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1AE50B" w14:textId="77777777" w:rsidR="00401AB3" w:rsidRDefault="00401AB3" w:rsidP="00401AB3">
      <w:pPr>
        <w:spacing w:after="160" w:line="360" w:lineRule="auto"/>
        <w:jc w:val="center"/>
        <w:rPr>
          <w:rFonts w:eastAsiaTheme="majorEastAsia"/>
          <w:b/>
          <w:bCs/>
        </w:rPr>
      </w:pPr>
      <w:r>
        <w:rPr>
          <w:rFonts w:eastAsiaTheme="majorEastAsia" w:hint="eastAsia"/>
          <w:b/>
          <w:bCs/>
        </w:rPr>
        <w:t>Yanlin Li 2400612</w:t>
      </w:r>
    </w:p>
    <w:p w14:paraId="1D79B7CC" w14:textId="77777777" w:rsidR="00401AB3" w:rsidRDefault="00401AB3" w:rsidP="00401AB3">
      <w:pPr>
        <w:spacing w:after="160" w:line="360" w:lineRule="auto"/>
        <w:jc w:val="center"/>
        <w:rPr>
          <w:rFonts w:eastAsiaTheme="majorEastAsia"/>
          <w:b/>
          <w:bCs/>
        </w:rPr>
      </w:pPr>
      <w:r w:rsidRPr="00401AB3">
        <w:rPr>
          <w:rFonts w:eastAsiaTheme="majorEastAsia"/>
          <w:b/>
          <w:bCs/>
        </w:rPr>
        <w:t>BA Illustration</w:t>
      </w:r>
    </w:p>
    <w:p w14:paraId="5954F8D9" w14:textId="134D7477" w:rsidR="00401AB3" w:rsidRDefault="00401AB3" w:rsidP="00401AB3">
      <w:pPr>
        <w:spacing w:after="160" w:line="360" w:lineRule="auto"/>
        <w:jc w:val="center"/>
        <w:rPr>
          <w:rFonts w:eastAsiaTheme="majorEastAsia"/>
          <w:b/>
          <w:bCs/>
          <w:lang w:val="en-US"/>
        </w:rPr>
      </w:pPr>
      <w:r>
        <w:rPr>
          <w:rFonts w:eastAsiaTheme="majorEastAsia"/>
          <w:b/>
          <w:bCs/>
          <w:lang w:val="en-US"/>
        </w:rPr>
        <w:t>Ways of perceiving</w:t>
      </w:r>
    </w:p>
    <w:p w14:paraId="50452E4F" w14:textId="77777777" w:rsidR="00401AB3" w:rsidRDefault="00401AB3" w:rsidP="00401AB3">
      <w:pPr>
        <w:spacing w:after="160" w:line="360" w:lineRule="auto"/>
        <w:jc w:val="center"/>
        <w:rPr>
          <w:rFonts w:eastAsiaTheme="majorEastAsia"/>
          <w:b/>
          <w:bCs/>
        </w:rPr>
      </w:pPr>
      <w:r w:rsidRPr="00401AB3">
        <w:rPr>
          <w:rFonts w:eastAsiaTheme="majorEastAsia"/>
          <w:b/>
          <w:bCs/>
        </w:rPr>
        <w:t>ADDA4023</w:t>
      </w:r>
    </w:p>
    <w:p w14:paraId="0B54ED38" w14:textId="77777777" w:rsidR="00401AB3" w:rsidRDefault="00401AB3" w:rsidP="00401AB3">
      <w:pPr>
        <w:spacing w:after="160" w:line="360" w:lineRule="auto"/>
        <w:jc w:val="center"/>
        <w:rPr>
          <w:rFonts w:eastAsiaTheme="majorEastAsia"/>
          <w:b/>
          <w:bCs/>
        </w:rPr>
      </w:pPr>
    </w:p>
    <w:p w14:paraId="7E6DFF64" w14:textId="77777777" w:rsidR="00401AB3" w:rsidRDefault="00401AB3" w:rsidP="00401AB3">
      <w:pPr>
        <w:spacing w:after="160" w:line="360" w:lineRule="auto"/>
        <w:jc w:val="center"/>
        <w:rPr>
          <w:rFonts w:eastAsiaTheme="majorEastAsia"/>
          <w:b/>
          <w:bCs/>
        </w:rPr>
      </w:pPr>
    </w:p>
    <w:p w14:paraId="4D665FD8" w14:textId="541D2DAC" w:rsidR="0025022C" w:rsidRPr="00C10DF6" w:rsidRDefault="0025022C" w:rsidP="00401AB3">
      <w:pPr>
        <w:spacing w:after="160" w:line="360" w:lineRule="auto"/>
        <w:jc w:val="center"/>
        <w:rPr>
          <w:rFonts w:eastAsiaTheme="majorEastAsia" w:hint="eastAsia"/>
          <w:b/>
          <w:bCs/>
          <w:lang w:val="en-US"/>
        </w:rPr>
      </w:pPr>
      <w:bookmarkStart w:id="0" w:name="OLE_LINK3"/>
      <w:bookmarkStart w:id="1" w:name="OLE_LINK4"/>
      <w:bookmarkStart w:id="2" w:name="OLE_LINK5"/>
      <w:r w:rsidRPr="0025022C">
        <w:rPr>
          <w:rFonts w:eastAsiaTheme="majorEastAsia" w:hint="eastAsia"/>
          <w:b/>
          <w:bCs/>
        </w:rPr>
        <w:t>P</w:t>
      </w:r>
      <w:r w:rsidRPr="0025022C">
        <w:rPr>
          <w:rFonts w:eastAsiaTheme="majorEastAsia"/>
          <w:b/>
          <w:bCs/>
        </w:rPr>
        <w:t>ainting in Transition: Narrative and Cultural Shifts in Chinese and European Art Across the Renaissance</w:t>
      </w:r>
    </w:p>
    <w:bookmarkEnd w:id="0"/>
    <w:bookmarkEnd w:id="1"/>
    <w:bookmarkEnd w:id="2"/>
    <w:p w14:paraId="79B3EBBE" w14:textId="77777777" w:rsidR="00C360A4" w:rsidRPr="00CE3AAE" w:rsidRDefault="00C360A4" w:rsidP="00C360A4">
      <w:pPr>
        <w:spacing w:after="160" w:line="360" w:lineRule="auto"/>
        <w:rPr>
          <w:rFonts w:eastAsiaTheme="majorEastAsia" w:hint="eastAsia"/>
          <w:b/>
          <w:bCs/>
          <w:lang w:val="en-US"/>
        </w:rPr>
      </w:pPr>
    </w:p>
    <w:p w14:paraId="739EFFCD" w14:textId="77777777" w:rsidR="00401AB3" w:rsidRPr="00C360A4" w:rsidRDefault="00401AB3" w:rsidP="00C360A4">
      <w:pPr>
        <w:spacing w:after="160" w:line="360" w:lineRule="auto"/>
        <w:rPr>
          <w:rFonts w:eastAsiaTheme="majorEastAsia" w:hint="eastAsia"/>
          <w:b/>
          <w:bCs/>
        </w:rPr>
      </w:pPr>
    </w:p>
    <w:p w14:paraId="1543E401" w14:textId="7D93F9D9" w:rsidR="00A40742" w:rsidRPr="0025022C" w:rsidRDefault="00A40742" w:rsidP="00C360A4">
      <w:pPr>
        <w:spacing w:after="160" w:line="360" w:lineRule="auto"/>
      </w:pPr>
      <w:r w:rsidRPr="00C360A4">
        <w:rPr>
          <w:rFonts w:eastAsiaTheme="majorEastAsia"/>
          <w:b/>
          <w:bCs/>
        </w:rPr>
        <w:t>Introduction</w:t>
      </w:r>
    </w:p>
    <w:p w14:paraId="57FEC4E7" w14:textId="5C0FAA85" w:rsidR="00C360A4" w:rsidRDefault="0084185D" w:rsidP="00C360A4">
      <w:pPr>
        <w:spacing w:line="360" w:lineRule="auto"/>
      </w:pPr>
      <w:r w:rsidRPr="0084185D">
        <w:t xml:space="preserve">This essay analyses and compares four typical artworks from China and Europe, spanning from the 12th century to the post-Renaissance period </w:t>
      </w:r>
      <w:r>
        <w:rPr>
          <w:rFonts w:hint="eastAsia"/>
        </w:rPr>
        <w:t>-</w:t>
      </w:r>
      <w:r w:rsidRPr="0084185D">
        <w:t xml:space="preserve"> including </w:t>
      </w:r>
      <w:r w:rsidRPr="0084185D">
        <w:rPr>
          <w:i/>
          <w:iCs/>
        </w:rPr>
        <w:t>Along the River During the Qingming Festival</w:t>
      </w:r>
      <w:r w:rsidRPr="0084185D">
        <w:t xml:space="preserve">, </w:t>
      </w:r>
      <w:r w:rsidRPr="0084185D">
        <w:rPr>
          <w:i/>
          <w:iCs/>
        </w:rPr>
        <w:t>The Martyrdom of St Edmund</w:t>
      </w:r>
      <w:r w:rsidRPr="0084185D">
        <w:t xml:space="preserve">, and </w:t>
      </w:r>
      <w:r w:rsidRPr="0084185D">
        <w:rPr>
          <w:i/>
          <w:iCs/>
        </w:rPr>
        <w:t>The Last Supper</w:t>
      </w:r>
      <w:r w:rsidRPr="0084185D">
        <w:t>. It explores differences in narrative structure and examines perspective, subject matter, technique, and cultural function to reveal how art reflects the underlying philosophies and social frameworks of its time. The analysis will follow a chronological approach, considering style, composition, viewer perspective, depicted subjects, and the treatment of religious and secular themes.</w:t>
      </w:r>
    </w:p>
    <w:p w14:paraId="069EA27C" w14:textId="77777777" w:rsidR="0084185D" w:rsidRPr="00C360A4" w:rsidRDefault="0084185D" w:rsidP="00C360A4">
      <w:pPr>
        <w:spacing w:line="360" w:lineRule="auto"/>
        <w:rPr>
          <w:rFonts w:hint="eastAsia"/>
        </w:rPr>
      </w:pPr>
    </w:p>
    <w:p w14:paraId="1B63BC75" w14:textId="621D2FD4" w:rsidR="00F90782" w:rsidRPr="00C360A4" w:rsidRDefault="00F90782" w:rsidP="00C360A4">
      <w:pPr>
        <w:spacing w:line="360" w:lineRule="auto"/>
        <w:rPr>
          <w:rFonts w:hint="eastAsia"/>
        </w:rPr>
      </w:pPr>
      <w:r w:rsidRPr="00C360A4">
        <w:rPr>
          <w:rFonts w:eastAsiaTheme="majorEastAsia"/>
          <w:b/>
          <w:bCs/>
        </w:rPr>
        <w:t>Before the Renaissance:</w:t>
      </w:r>
      <w:r w:rsidR="004148C1" w:rsidRPr="00C360A4">
        <w:rPr>
          <w:b/>
          <w:bCs/>
        </w:rPr>
        <w:t xml:space="preserve"> </w:t>
      </w:r>
      <w:r w:rsidRPr="00C360A4">
        <w:rPr>
          <w:rFonts w:eastAsiaTheme="majorEastAsia"/>
          <w:b/>
          <w:bCs/>
          <w:i/>
          <w:iCs/>
        </w:rPr>
        <w:t>Along the River During the Qingming Festival</w:t>
      </w:r>
      <w:r w:rsidRPr="00C360A4">
        <w:rPr>
          <w:rFonts w:eastAsiaTheme="majorEastAsia"/>
          <w:b/>
          <w:bCs/>
        </w:rPr>
        <w:t xml:space="preserve"> and </w:t>
      </w:r>
      <w:r w:rsidRPr="00C360A4">
        <w:rPr>
          <w:rFonts w:eastAsiaTheme="majorEastAsia"/>
          <w:b/>
          <w:bCs/>
          <w:i/>
          <w:iCs/>
        </w:rPr>
        <w:t>The Martyrdom of St Edmund</w:t>
      </w:r>
      <w:r w:rsidRPr="00C360A4">
        <w:br/>
        <w:t>In the 12th to 13th centuries, Chinese and European painting gradually developed a clearer sense of narrative, yet the methods of expression and underlying cultural motivations differed greatly.</w:t>
      </w:r>
    </w:p>
    <w:p w14:paraId="17A8A25F" w14:textId="1B2EF25E" w:rsidR="00F90782" w:rsidRPr="00C360A4" w:rsidRDefault="00F90782" w:rsidP="00C360A4">
      <w:pPr>
        <w:spacing w:line="360" w:lineRule="auto"/>
        <w:rPr>
          <w:color w:val="E97132" w:themeColor="accent2"/>
        </w:rPr>
      </w:pPr>
      <w:r w:rsidRPr="00C360A4">
        <w:rPr>
          <w:rFonts w:eastAsiaTheme="majorEastAsia"/>
          <w:i/>
          <w:iCs/>
        </w:rPr>
        <w:t>Along the River During the Qingming Festival</w:t>
      </w:r>
      <w:r w:rsidR="00A93039" w:rsidRPr="00C360A4">
        <w:rPr>
          <w:i/>
          <w:iCs/>
        </w:rPr>
        <w:t xml:space="preserve"> </w:t>
      </w:r>
      <w:r w:rsidR="00A93039" w:rsidRPr="00C360A4">
        <w:rPr>
          <w:lang w:val="en-US"/>
        </w:rPr>
        <w:t>(c. 1100)</w:t>
      </w:r>
      <w:r w:rsidRPr="00C360A4">
        <w:t xml:space="preserve"> (Fig. 1, 2), painted by Zhang </w:t>
      </w:r>
      <w:proofErr w:type="spellStart"/>
      <w:r w:rsidRPr="00C360A4">
        <w:t>Zeduan</w:t>
      </w:r>
      <w:proofErr w:type="spellEnd"/>
      <w:r w:rsidRPr="00C360A4">
        <w:t xml:space="preserve"> during the Song dynasty, is a handscroll in ink and colour on silk, measuring 24.8 cm in height and 528 cm in length (The Palace Museum, n.d.). It depicts the vibrant urban life of </w:t>
      </w:r>
      <w:proofErr w:type="spellStart"/>
      <w:r w:rsidRPr="00C360A4">
        <w:t>Bianjing</w:t>
      </w:r>
      <w:proofErr w:type="spellEnd"/>
      <w:r w:rsidRPr="00C360A4">
        <w:t xml:space="preserve"> (present-day Kaifeng) and stands out as a panoramic narrative painting. </w:t>
      </w:r>
      <w:r w:rsidR="00CE3AAE">
        <w:rPr>
          <w:rFonts w:hint="eastAsia"/>
        </w:rPr>
        <w:t>Using a scattered perspective and</w:t>
      </w:r>
      <w:r w:rsidRPr="00C360A4">
        <w:t xml:space="preserve"> exceptionally fine brushwork, the artist constructs a complex</w:t>
      </w:r>
      <w:r w:rsidR="0088271B">
        <w:t>,</w:t>
      </w:r>
      <w:r w:rsidRPr="00C360A4">
        <w:t xml:space="preserve"> layered composition filled with diverse scenes. </w:t>
      </w:r>
    </w:p>
    <w:p w14:paraId="7FEBB921" w14:textId="77777777" w:rsidR="00C10DF6" w:rsidRDefault="00756270" w:rsidP="00C10DF6">
      <w:pPr>
        <w:keepNext/>
        <w:spacing w:line="360" w:lineRule="auto"/>
        <w:jc w:val="center"/>
      </w:pPr>
      <w:r w:rsidRPr="00C360A4">
        <w:rPr>
          <w:rFonts w:eastAsia="Songti SC"/>
          <w:lang w:eastAsia="zh-TW"/>
        </w:rPr>
        <w:lastRenderedPageBreak/>
        <w:drawing>
          <wp:inline distT="0" distB="0" distL="0" distR="0" wp14:anchorId="7D2957F2" wp14:editId="361FCA10">
            <wp:extent cx="5216460" cy="2175933"/>
            <wp:effectExtent l="0" t="0" r="3810" b="0"/>
            <wp:docPr id="285883270" name="Picture 1" descr="A drawing of a bridge over a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883270" name="Picture 1" descr="A drawing of a bridge over a river&#10;&#10;Description automatically generated"/>
                    <pic:cNvPicPr/>
                  </pic:nvPicPr>
                  <pic:blipFill>
                    <a:blip r:embed="rId5"/>
                    <a:stretch>
                      <a:fillRect/>
                    </a:stretch>
                  </pic:blipFill>
                  <pic:spPr>
                    <a:xfrm>
                      <a:off x="0" y="0"/>
                      <a:ext cx="5246097" cy="2188295"/>
                    </a:xfrm>
                    <a:prstGeom prst="rect">
                      <a:avLst/>
                    </a:prstGeom>
                  </pic:spPr>
                </pic:pic>
              </a:graphicData>
            </a:graphic>
          </wp:inline>
        </w:drawing>
      </w:r>
    </w:p>
    <w:p w14:paraId="58566758" w14:textId="18B4E6F8" w:rsidR="00110450" w:rsidRPr="00C360A4" w:rsidRDefault="00C10DF6" w:rsidP="00C10DF6">
      <w:pPr>
        <w:pStyle w:val="Caption"/>
        <w:jc w:val="center"/>
        <w:rPr>
          <w:rFonts w:eastAsia="Songti SC"/>
          <w:sz w:val="24"/>
          <w:szCs w:val="24"/>
          <w:lang w:val="en-US"/>
        </w:rPr>
      </w:pPr>
      <w:r>
        <w:t xml:space="preserve">Figure </w:t>
      </w:r>
      <w:r>
        <w:fldChar w:fldCharType="begin"/>
      </w:r>
      <w:r>
        <w:instrText xml:space="preserve"> SEQ Figure \* ARABIC </w:instrText>
      </w:r>
      <w:r>
        <w:fldChar w:fldCharType="separate"/>
      </w:r>
      <w:r w:rsidR="00A40630">
        <w:rPr>
          <w:noProof/>
        </w:rPr>
        <w:t>1</w:t>
      </w:r>
      <w:r>
        <w:fldChar w:fldCharType="end"/>
      </w:r>
      <w:r w:rsidRPr="00551FB5">
        <w:rPr>
          <w:rFonts w:hint="eastAsia"/>
        </w:rPr>
        <w:t>Detail from Along the River During the Qingming Festival, showing the bridge area.</w:t>
      </w:r>
    </w:p>
    <w:p w14:paraId="5A42B7F9" w14:textId="77777777" w:rsidR="00C10DF6" w:rsidRPr="00C10DF6" w:rsidRDefault="00C10DF6" w:rsidP="00C360A4">
      <w:pPr>
        <w:spacing w:line="360" w:lineRule="auto"/>
        <w:jc w:val="center"/>
        <w:rPr>
          <w:rFonts w:eastAsia="Songti SC"/>
          <w:lang w:val="en-US"/>
        </w:rPr>
      </w:pPr>
    </w:p>
    <w:p w14:paraId="2997BCE5" w14:textId="77777777" w:rsidR="00A40630" w:rsidRDefault="00756270" w:rsidP="00A40630">
      <w:pPr>
        <w:keepNext/>
        <w:spacing w:line="360" w:lineRule="auto"/>
        <w:jc w:val="center"/>
      </w:pPr>
      <w:r w:rsidRPr="00C360A4">
        <w:rPr>
          <w:rFonts w:eastAsia="Songti SC"/>
          <w:lang w:eastAsia="zh-TW"/>
        </w:rPr>
        <w:drawing>
          <wp:inline distT="0" distB="0" distL="0" distR="0" wp14:anchorId="60C5E44D" wp14:editId="22D43C03">
            <wp:extent cx="5215467" cy="2199210"/>
            <wp:effectExtent l="0" t="0" r="4445" b="0"/>
            <wp:docPr id="242167567" name="Picture 1" descr="A drawing of a vill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167567" name="Picture 1" descr="A drawing of a village&#10;&#10;Description automatically generated"/>
                    <pic:cNvPicPr/>
                  </pic:nvPicPr>
                  <pic:blipFill>
                    <a:blip r:embed="rId6"/>
                    <a:stretch>
                      <a:fillRect/>
                    </a:stretch>
                  </pic:blipFill>
                  <pic:spPr>
                    <a:xfrm>
                      <a:off x="0" y="0"/>
                      <a:ext cx="5228749" cy="2204811"/>
                    </a:xfrm>
                    <a:prstGeom prst="rect">
                      <a:avLst/>
                    </a:prstGeom>
                  </pic:spPr>
                </pic:pic>
              </a:graphicData>
            </a:graphic>
          </wp:inline>
        </w:drawing>
      </w:r>
    </w:p>
    <w:p w14:paraId="78D8463D" w14:textId="13A76BD5" w:rsidR="00110450" w:rsidRPr="00C360A4" w:rsidRDefault="00A40630" w:rsidP="00A40630">
      <w:pPr>
        <w:pStyle w:val="Caption"/>
        <w:jc w:val="center"/>
        <w:rPr>
          <w:b/>
          <w:bCs/>
          <w:sz w:val="24"/>
          <w:szCs w:val="24"/>
        </w:rPr>
      </w:pPr>
      <w:r>
        <w:t xml:space="preserve">Figure </w:t>
      </w:r>
      <w:r>
        <w:fldChar w:fldCharType="begin"/>
      </w:r>
      <w:r>
        <w:instrText xml:space="preserve"> SEQ Figure \* ARABIC </w:instrText>
      </w:r>
      <w:r>
        <w:fldChar w:fldCharType="separate"/>
      </w:r>
      <w:r>
        <w:rPr>
          <w:noProof/>
        </w:rPr>
        <w:t>2</w:t>
      </w:r>
      <w:r>
        <w:fldChar w:fldCharType="end"/>
      </w:r>
      <w:r w:rsidRPr="001140E4">
        <w:t>Additional detail from Along the River During the Qingming Festival, showing the market scene.</w:t>
      </w:r>
    </w:p>
    <w:p w14:paraId="268B531A" w14:textId="77777777" w:rsidR="0084185D" w:rsidRDefault="0084185D" w:rsidP="00C360A4">
      <w:pPr>
        <w:spacing w:line="360" w:lineRule="auto"/>
        <w:rPr>
          <w:rFonts w:hint="eastAsia"/>
        </w:rPr>
      </w:pPr>
    </w:p>
    <w:p w14:paraId="4FD0E7B2" w14:textId="449078EC" w:rsidR="00756270" w:rsidRPr="00C360A4" w:rsidRDefault="0084185D" w:rsidP="00C360A4">
      <w:pPr>
        <w:spacing w:line="360" w:lineRule="auto"/>
      </w:pPr>
      <w:r w:rsidRPr="0084185D">
        <w:t xml:space="preserve">At the same time, European painting from the period was mainly found in murals and manuscript illustrations. </w:t>
      </w:r>
      <w:r w:rsidRPr="0084185D">
        <w:rPr>
          <w:i/>
          <w:iCs/>
        </w:rPr>
        <w:t>The Martyrdom of St Edmund</w:t>
      </w:r>
      <w:r w:rsidRPr="0084185D">
        <w:t xml:space="preserve"> (Fig. 3, 4) is a typical example of linear narrative in medieval European art. The events unfold in chronological order, with each scene shown separately. This style places strong emphasis on religious symbolism and the communication of doctrine. The composition is tightly focused, with simplified figures and exaggerated expressions and gestures to enhance the sense of sacredness. The aim is to convey devotion and warning, allowing viewers to quickly grasp the religious message (Epstein, 2011, p.5). For example, illustrations in </w:t>
      </w:r>
      <w:r w:rsidRPr="0084185D">
        <w:rPr>
          <w:i/>
          <w:iCs/>
        </w:rPr>
        <w:t>The Georgics of Virgil</w:t>
      </w:r>
      <w:r w:rsidRPr="0084185D">
        <w:t xml:space="preserve"> (Fig. 5) also demonstrate a similar approach and religious focus.</w:t>
      </w:r>
    </w:p>
    <w:p w14:paraId="56F5AAEA" w14:textId="77777777" w:rsidR="00A40630" w:rsidRDefault="00756270" w:rsidP="00A40630">
      <w:pPr>
        <w:keepNext/>
        <w:spacing w:line="360" w:lineRule="auto"/>
        <w:jc w:val="center"/>
      </w:pPr>
      <w:r w:rsidRPr="00C360A4">
        <w:rPr>
          <w:rFonts w:eastAsia="Songti SC"/>
          <w:noProof/>
          <w:lang w:eastAsia="zh-TW"/>
        </w:rPr>
        <w:lastRenderedPageBreak/>
        <w:drawing>
          <wp:inline distT="0" distB="0" distL="0" distR="0" wp14:anchorId="1862ABD6" wp14:editId="623F4D24">
            <wp:extent cx="2028619" cy="3048000"/>
            <wp:effectExtent l="0" t="0" r="3810" b="0"/>
            <wp:docPr id="890871653" name="Picture 3" descr="A close-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71653" name="Picture 3" descr="A close-up of a paint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71499" cy="3112427"/>
                    </a:xfrm>
                    <a:prstGeom prst="rect">
                      <a:avLst/>
                    </a:prstGeom>
                  </pic:spPr>
                </pic:pic>
              </a:graphicData>
            </a:graphic>
          </wp:inline>
        </w:drawing>
      </w:r>
    </w:p>
    <w:p w14:paraId="2D21C3F6" w14:textId="30EC4003" w:rsidR="001B0616" w:rsidRPr="00C360A4" w:rsidRDefault="00A40630" w:rsidP="00A40630">
      <w:pPr>
        <w:pStyle w:val="Caption"/>
        <w:jc w:val="center"/>
        <w:rPr>
          <w:sz w:val="24"/>
          <w:szCs w:val="24"/>
        </w:rPr>
      </w:pPr>
      <w:r>
        <w:t xml:space="preserve">Figure </w:t>
      </w:r>
      <w:r>
        <w:fldChar w:fldCharType="begin"/>
      </w:r>
      <w:r>
        <w:instrText xml:space="preserve"> SEQ Figure \* ARABIC </w:instrText>
      </w:r>
      <w:r>
        <w:fldChar w:fldCharType="separate"/>
      </w:r>
      <w:r>
        <w:rPr>
          <w:noProof/>
        </w:rPr>
        <w:t>3</w:t>
      </w:r>
      <w:r>
        <w:fldChar w:fldCharType="end"/>
      </w:r>
      <w:r w:rsidRPr="00673194">
        <w:t>Detail from The Martyrdom of St Edmund</w:t>
      </w:r>
    </w:p>
    <w:p w14:paraId="0CF124F0" w14:textId="77777777" w:rsidR="00C10DF6" w:rsidRPr="00C360A4" w:rsidRDefault="00C10DF6" w:rsidP="00C360A4">
      <w:pPr>
        <w:spacing w:line="360" w:lineRule="auto"/>
        <w:jc w:val="center"/>
        <w:rPr>
          <w:rFonts w:hint="eastAsia"/>
        </w:rPr>
      </w:pPr>
    </w:p>
    <w:p w14:paraId="2E91DF72" w14:textId="77777777" w:rsidR="00A40630" w:rsidRDefault="00C360A4" w:rsidP="00A40630">
      <w:pPr>
        <w:keepNext/>
        <w:spacing w:line="360" w:lineRule="auto"/>
        <w:jc w:val="center"/>
      </w:pPr>
      <w:r w:rsidRPr="00C360A4">
        <w:rPr>
          <w:rFonts w:eastAsia="Songti SC"/>
          <w:noProof/>
          <w:lang w:eastAsia="zh-TW"/>
        </w:rPr>
        <w:drawing>
          <wp:inline distT="0" distB="0" distL="0" distR="0" wp14:anchorId="556A92B6" wp14:editId="4A560D0B">
            <wp:extent cx="2152073" cy="3360025"/>
            <wp:effectExtent l="0" t="0" r="0" b="5715"/>
            <wp:docPr id="1131778148" name="Picture 4" descr="A close-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78148" name="Picture 4" descr="A close-up of a paint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03997" cy="3441094"/>
                    </a:xfrm>
                    <a:prstGeom prst="rect">
                      <a:avLst/>
                    </a:prstGeom>
                  </pic:spPr>
                </pic:pic>
              </a:graphicData>
            </a:graphic>
          </wp:inline>
        </w:drawing>
      </w:r>
    </w:p>
    <w:p w14:paraId="00E7AACE" w14:textId="45CEC3CF" w:rsidR="001B0616" w:rsidRPr="00A40630" w:rsidRDefault="00A40630" w:rsidP="00A40630">
      <w:pPr>
        <w:pStyle w:val="Caption"/>
        <w:jc w:val="center"/>
        <w:rPr>
          <w:sz w:val="24"/>
          <w:szCs w:val="24"/>
        </w:rPr>
      </w:pPr>
      <w:r>
        <w:t xml:space="preserve">Figure </w:t>
      </w:r>
      <w:r>
        <w:fldChar w:fldCharType="begin"/>
      </w:r>
      <w:r>
        <w:instrText xml:space="preserve"> SEQ Figure \* ARABIC </w:instrText>
      </w:r>
      <w:r>
        <w:fldChar w:fldCharType="separate"/>
      </w:r>
      <w:r>
        <w:rPr>
          <w:noProof/>
        </w:rPr>
        <w:t>4</w:t>
      </w:r>
      <w:r>
        <w:fldChar w:fldCharType="end"/>
      </w:r>
      <w:r w:rsidRPr="00D801C6">
        <w:t>Additional detail from The Martyrdom of St Edmund</w:t>
      </w:r>
    </w:p>
    <w:p w14:paraId="535FDA2C" w14:textId="77777777" w:rsidR="00A40630" w:rsidRDefault="00756270" w:rsidP="00A40630">
      <w:pPr>
        <w:keepNext/>
        <w:spacing w:line="360" w:lineRule="auto"/>
        <w:jc w:val="center"/>
      </w:pPr>
      <w:r w:rsidRPr="00C360A4">
        <w:rPr>
          <w:noProof/>
          <w:lang w:val="en-US"/>
        </w:rPr>
        <w:lastRenderedPageBreak/>
        <w:drawing>
          <wp:inline distT="0" distB="0" distL="0" distR="0" wp14:anchorId="66508CD8" wp14:editId="01378781">
            <wp:extent cx="2313644" cy="3084945"/>
            <wp:effectExtent l="0" t="0" r="0" b="1270"/>
            <wp:docPr id="1418280359" name="Picture 1" descr="A close-up of a book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280359" name="Picture 1" descr="A close-up of a book pag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58961" cy="3145369"/>
                    </a:xfrm>
                    <a:prstGeom prst="rect">
                      <a:avLst/>
                    </a:prstGeom>
                  </pic:spPr>
                </pic:pic>
              </a:graphicData>
            </a:graphic>
          </wp:inline>
        </w:drawing>
      </w:r>
    </w:p>
    <w:p w14:paraId="5DA2DA19" w14:textId="5267A787" w:rsidR="00110450" w:rsidRPr="00C360A4" w:rsidRDefault="00A40630" w:rsidP="00A40630">
      <w:pPr>
        <w:pStyle w:val="Caption"/>
        <w:jc w:val="center"/>
        <w:rPr>
          <w:b/>
          <w:bCs/>
          <w:sz w:val="24"/>
          <w:szCs w:val="24"/>
        </w:rPr>
      </w:pPr>
      <w:r>
        <w:t xml:space="preserve">Figure </w:t>
      </w:r>
      <w:r>
        <w:fldChar w:fldCharType="begin"/>
      </w:r>
      <w:r>
        <w:instrText xml:space="preserve"> SEQ Figure \* ARABIC </w:instrText>
      </w:r>
      <w:r>
        <w:fldChar w:fldCharType="separate"/>
      </w:r>
      <w:r>
        <w:rPr>
          <w:noProof/>
        </w:rPr>
        <w:t>5</w:t>
      </w:r>
      <w:r>
        <w:fldChar w:fldCharType="end"/>
      </w:r>
      <w:r w:rsidRPr="00DD2DAC">
        <w:t>The Georgics of Virgil</w:t>
      </w:r>
    </w:p>
    <w:p w14:paraId="31293D59" w14:textId="77777777" w:rsidR="001B0616" w:rsidRPr="00C360A4" w:rsidRDefault="001B0616" w:rsidP="00C360A4">
      <w:pPr>
        <w:spacing w:line="360" w:lineRule="auto"/>
      </w:pPr>
    </w:p>
    <w:p w14:paraId="32805CA8" w14:textId="77777777" w:rsidR="0084185D" w:rsidRDefault="0084185D" w:rsidP="00C360A4">
      <w:pPr>
        <w:spacing w:line="360" w:lineRule="auto"/>
        <w:rPr>
          <w:rFonts w:eastAsiaTheme="majorEastAsia"/>
          <w:b/>
          <w:bCs/>
          <w:i/>
          <w:iCs/>
        </w:rPr>
      </w:pPr>
      <w:r w:rsidRPr="0084185D">
        <w:rPr>
          <w:rFonts w:eastAsiaTheme="majorEastAsia"/>
          <w:b/>
          <w:bCs/>
          <w:i/>
          <w:iCs/>
        </w:rPr>
        <w:t>Artists in Society and Culture</w:t>
      </w:r>
    </w:p>
    <w:p w14:paraId="389D5B0C" w14:textId="77777777" w:rsidR="0084185D" w:rsidRPr="0084185D" w:rsidRDefault="0084185D" w:rsidP="0084185D">
      <w:pPr>
        <w:spacing w:line="360" w:lineRule="auto"/>
      </w:pPr>
      <w:r w:rsidRPr="0084185D">
        <w:t xml:space="preserve">Zhang </w:t>
      </w:r>
      <w:proofErr w:type="spellStart"/>
      <w:r w:rsidRPr="0084185D">
        <w:t>Zeduan</w:t>
      </w:r>
      <w:proofErr w:type="spellEnd"/>
      <w:r w:rsidRPr="0084185D">
        <w:t xml:space="preserve"> served as a court painter during the Song dynasty, when artists were formally recruited through examinations and granted official status. This integration into the scholar-official system gave painters like Zhang significant social recognition. Although </w:t>
      </w:r>
      <w:r w:rsidRPr="0084185D">
        <w:rPr>
          <w:i/>
          <w:iCs/>
        </w:rPr>
        <w:t>Along the River During the Qingming Festival</w:t>
      </w:r>
      <w:r w:rsidRPr="0084185D">
        <w:t xml:space="preserve"> is unsigned, later colophons confirmed his authorship, reflecting the value placed on individual identity.</w:t>
      </w:r>
    </w:p>
    <w:p w14:paraId="07BAC05E" w14:textId="77777777" w:rsidR="0084185D" w:rsidRPr="0084185D" w:rsidRDefault="0084185D" w:rsidP="0084185D">
      <w:pPr>
        <w:spacing w:line="360" w:lineRule="auto"/>
      </w:pPr>
      <w:r w:rsidRPr="0084185D">
        <w:t>In contrast, painting in 12th-century Europe was largely centred around religious activity. Painters were often seen as craftsmen, grouped with stonemasons, carpenters, and other manual workers. Most remained anonymous, working under the commission of the Church or nobility to decorate religious spaces such as churches and manuscripts. Their work focused on function rather than expression, with little emphasis on personal style or ideas (</w:t>
      </w:r>
      <w:proofErr w:type="spellStart"/>
      <w:r w:rsidRPr="0084185D">
        <w:t>Paoletti</w:t>
      </w:r>
      <w:proofErr w:type="spellEnd"/>
      <w:r w:rsidRPr="0084185D">
        <w:t>, 2005, p.45).</w:t>
      </w:r>
    </w:p>
    <w:p w14:paraId="4FAB8B2E" w14:textId="77777777" w:rsidR="00C360A4" w:rsidRPr="00C360A4" w:rsidRDefault="00C360A4" w:rsidP="00C360A4">
      <w:pPr>
        <w:spacing w:line="360" w:lineRule="auto"/>
        <w:rPr>
          <w:rFonts w:hint="eastAsia"/>
        </w:rPr>
      </w:pPr>
    </w:p>
    <w:p w14:paraId="1C3D6657" w14:textId="77777777" w:rsidR="0084185D" w:rsidRDefault="0084185D" w:rsidP="00C360A4">
      <w:pPr>
        <w:spacing w:line="360" w:lineRule="auto"/>
        <w:rPr>
          <w:rFonts w:eastAsiaTheme="majorEastAsia"/>
          <w:b/>
          <w:bCs/>
          <w:i/>
          <w:iCs/>
        </w:rPr>
      </w:pPr>
      <w:r w:rsidRPr="0084185D">
        <w:rPr>
          <w:rFonts w:eastAsiaTheme="majorEastAsia"/>
          <w:b/>
          <w:bCs/>
          <w:i/>
          <w:iCs/>
        </w:rPr>
        <w:t>The Role and Audience of Painting</w:t>
      </w:r>
    </w:p>
    <w:p w14:paraId="4A31604E" w14:textId="731C3580" w:rsidR="00F44D77" w:rsidRPr="00C360A4" w:rsidRDefault="00F44D77" w:rsidP="00C360A4">
      <w:pPr>
        <w:spacing w:line="360" w:lineRule="auto"/>
      </w:pPr>
      <w:r w:rsidRPr="00F44D77">
        <w:t>Since the Song dynasty, painting had been regarded as a reflection of personal cultivation and cultural refinement.</w:t>
      </w:r>
      <w:r w:rsidR="0048601C" w:rsidRPr="00C360A4">
        <w:t xml:space="preserve"> I</w:t>
      </w:r>
      <w:r w:rsidRPr="00F44D77">
        <w:t xml:space="preserve">t focused on achieving </w:t>
      </w:r>
      <w:r w:rsidRPr="00C360A4">
        <w:rPr>
          <w:rFonts w:eastAsia="Songti SC"/>
        </w:rPr>
        <w:t>气韵生动</w:t>
      </w:r>
      <w:r w:rsidRPr="00C360A4">
        <w:rPr>
          <w:rFonts w:eastAsia="Songti SC"/>
        </w:rPr>
        <w:t xml:space="preserve"> </w:t>
      </w:r>
      <w:r w:rsidRPr="00C360A4">
        <w:rPr>
          <w:lang w:val="en-US"/>
        </w:rPr>
        <w:t>(</w:t>
      </w:r>
      <w:r w:rsidRPr="00F44D77">
        <w:t>a sense of inner vitality and spirit</w:t>
      </w:r>
      <w:r w:rsidRPr="00C360A4">
        <w:rPr>
          <w:lang w:val="en-US"/>
        </w:rPr>
        <w:t xml:space="preserve">), </w:t>
      </w:r>
      <w:r w:rsidRPr="00C360A4">
        <w:t>emphasising personal emotion and the painter’s imagined or idealised vision of the world</w:t>
      </w:r>
      <w:r w:rsidRPr="00C360A4">
        <w:t xml:space="preserve"> </w:t>
      </w:r>
      <w:r w:rsidRPr="00F44D77">
        <w:t>(Fong, 1992, p.24).</w:t>
      </w:r>
      <w:r w:rsidR="0048601C" w:rsidRPr="00C360A4">
        <w:t xml:space="preserve"> </w:t>
      </w:r>
      <w:r w:rsidR="0048601C" w:rsidRPr="00C360A4">
        <w:t xml:space="preserve">Supported by a prosperous economy and stable politics, Song society valued scholarship over military power. Painting became widely regarded not only as an </w:t>
      </w:r>
      <w:r w:rsidR="0048601C" w:rsidRPr="00C360A4">
        <w:lastRenderedPageBreak/>
        <w:t>artistic pursuit but also as a moral practice and marker of social identity. It was studied by scholar-officials, monks, noblewomen, and other educated groups.</w:t>
      </w:r>
      <w:r w:rsidR="0048601C" w:rsidRPr="00C360A4">
        <w:t xml:space="preserve"> </w:t>
      </w:r>
      <w:r w:rsidR="0048601C" w:rsidRPr="00C360A4">
        <w:t xml:space="preserve">As recorded by Mi Fu in </w:t>
      </w:r>
      <w:proofErr w:type="spellStart"/>
      <w:r w:rsidR="0048601C" w:rsidRPr="00C360A4">
        <w:rPr>
          <w:rFonts w:eastAsiaTheme="majorEastAsia"/>
          <w:i/>
          <w:iCs/>
        </w:rPr>
        <w:t>Huashi</w:t>
      </w:r>
      <w:proofErr w:type="spellEnd"/>
      <w:r w:rsidR="0048601C" w:rsidRPr="00C360A4">
        <w:t xml:space="preserve"> (</w:t>
      </w:r>
      <w:r w:rsidR="0048601C" w:rsidRPr="00C360A4">
        <w:rPr>
          <w:rFonts w:eastAsiaTheme="majorEastAsia"/>
          <w:i/>
          <w:iCs/>
        </w:rPr>
        <w:t>History of Painting</w:t>
      </w:r>
      <w:r w:rsidR="00401AB3" w:rsidRPr="00C360A4">
        <w:t>), “</w:t>
      </w:r>
      <w:r w:rsidR="00CE3AAE">
        <w:rPr>
          <w:rFonts w:hint="eastAsia"/>
        </w:rPr>
        <w:t>No fewer than ten thousand people wer</w:t>
      </w:r>
      <w:r w:rsidR="0048601C" w:rsidRPr="00C360A4">
        <w:t>e learning to paint</w:t>
      </w:r>
      <w:r w:rsidR="00296BE7" w:rsidRPr="00C360A4">
        <w:t xml:space="preserve"> (</w:t>
      </w:r>
      <w:r w:rsidR="0048601C" w:rsidRPr="00C360A4">
        <w:t>author’s translation</w:t>
      </w:r>
      <w:r w:rsidR="00296BE7" w:rsidRPr="00C360A4">
        <w:t>)”</w:t>
      </w:r>
      <w:r w:rsidR="0048601C" w:rsidRPr="00C360A4">
        <w:t xml:space="preserve"> at the time. </w:t>
      </w:r>
      <w:r w:rsidR="007B4255" w:rsidRPr="00C360A4">
        <w:t>Due to the influence of the civil service examination and the preferences of the elite, calligraphy and painting gained significant cultural and economic value. The art market became increasingly active,</w:t>
      </w:r>
      <w:r w:rsidR="007B4255" w:rsidRPr="00C360A4">
        <w:t xml:space="preserve"> a</w:t>
      </w:r>
      <w:r w:rsidR="007B4255" w:rsidRPr="00C360A4">
        <w:t xml:space="preserve">s recorded in </w:t>
      </w:r>
      <w:r w:rsidR="007B4255" w:rsidRPr="00C360A4">
        <w:rPr>
          <w:rFonts w:eastAsiaTheme="majorEastAsia"/>
          <w:i/>
          <w:iCs/>
        </w:rPr>
        <w:t>Dreams of Splendour of the Eastern Capital</w:t>
      </w:r>
      <w:r w:rsidR="007B4255" w:rsidRPr="00C360A4">
        <w:t xml:space="preserve"> (</w:t>
      </w:r>
      <w:proofErr w:type="spellStart"/>
      <w:r w:rsidR="007B4255" w:rsidRPr="00C360A4">
        <w:rPr>
          <w:rFonts w:eastAsiaTheme="majorEastAsia"/>
          <w:i/>
          <w:iCs/>
        </w:rPr>
        <w:t>Dongjing</w:t>
      </w:r>
      <w:proofErr w:type="spellEnd"/>
      <w:r w:rsidR="007B4255" w:rsidRPr="00C360A4">
        <w:rPr>
          <w:rFonts w:eastAsiaTheme="majorEastAsia"/>
          <w:i/>
          <w:iCs/>
        </w:rPr>
        <w:t xml:space="preserve"> Meng Hua Lu</w:t>
      </w:r>
      <w:r w:rsidR="007B4255" w:rsidRPr="00C360A4">
        <w:t xml:space="preserve">) (Meng, 1147/2006, p.144), “more than a hundred scrolls were traded each day at </w:t>
      </w:r>
      <w:proofErr w:type="spellStart"/>
      <w:r w:rsidR="007B4255" w:rsidRPr="00C360A4">
        <w:t>Panlou</w:t>
      </w:r>
      <w:proofErr w:type="spellEnd"/>
      <w:r w:rsidR="007B4255" w:rsidRPr="00C360A4">
        <w:t xml:space="preserve"> </w:t>
      </w:r>
      <w:r w:rsidR="007B4255" w:rsidRPr="00C360A4">
        <w:t>(</w:t>
      </w:r>
      <w:r w:rsidR="007B4255" w:rsidRPr="00C360A4">
        <w:rPr>
          <w:rFonts w:eastAsiaTheme="majorEastAsia"/>
          <w:i/>
          <w:iCs/>
        </w:rPr>
        <w:t>author’s translation</w:t>
      </w:r>
      <w:r w:rsidR="007B4255" w:rsidRPr="00C360A4">
        <w:t>)</w:t>
      </w:r>
      <w:r w:rsidR="00D44379" w:rsidRPr="00C360A4">
        <w:t>.”</w:t>
      </w:r>
    </w:p>
    <w:p w14:paraId="4B71921F" w14:textId="2CFA5798" w:rsidR="00C360A4" w:rsidRPr="00C360A4" w:rsidRDefault="008217FD" w:rsidP="00C360A4">
      <w:pPr>
        <w:spacing w:line="360" w:lineRule="auto"/>
        <w:rPr>
          <w:rFonts w:hint="eastAsia"/>
        </w:rPr>
      </w:pPr>
      <w:r w:rsidRPr="008217FD">
        <w:t xml:space="preserve">In contrast, religion continued to dominate culture in medieval Europe, and painting was seen as part of the Artes </w:t>
      </w:r>
      <w:proofErr w:type="spellStart"/>
      <w:r w:rsidRPr="008217FD">
        <w:t>Mechanicae</w:t>
      </w:r>
      <w:proofErr w:type="spellEnd"/>
      <w:r w:rsidRPr="008217FD">
        <w:t xml:space="preserve"> (a medieval concept of skilled practices). Artists started as apprentices and were bound by guild regulations, often limiting personal creativity (Baxandall, 1972, p.33). For example, the Paris guild charter of 1182 explicitly forbade individual work. Most 12th-century murals and illustrations were anonymous; even the stained glass of Saint-Denis was credited to “a certain brother”, showing that artists’ identities were not yet recognised. Frequent wars and plagues left the population struggling under a rigid hierarchy. As a result, art remained under Church and noble control, with no independent art market or shared public taste.</w:t>
      </w:r>
    </w:p>
    <w:p w14:paraId="68C3DCEC" w14:textId="76B4759D" w:rsidR="002019E8" w:rsidRPr="002019E8" w:rsidRDefault="002019E8" w:rsidP="00C360A4">
      <w:pPr>
        <w:spacing w:after="160" w:line="360" w:lineRule="auto"/>
        <w:rPr>
          <w:b/>
          <w:bCs/>
        </w:rPr>
      </w:pPr>
      <w:r w:rsidRPr="002019E8">
        <w:rPr>
          <w:rFonts w:eastAsiaTheme="majorEastAsia"/>
          <w:b/>
          <w:bCs/>
          <w:i/>
          <w:iCs/>
        </w:rPr>
        <w:t xml:space="preserve">Differences in Materials </w:t>
      </w:r>
      <w:r w:rsidR="008217FD">
        <w:rPr>
          <w:rFonts w:eastAsiaTheme="majorEastAsia" w:hint="eastAsia"/>
          <w:b/>
          <w:bCs/>
          <w:i/>
          <w:iCs/>
        </w:rPr>
        <w:t xml:space="preserve">and </w:t>
      </w:r>
      <w:r w:rsidRPr="002019E8">
        <w:rPr>
          <w:rFonts w:eastAsiaTheme="majorEastAsia"/>
          <w:b/>
          <w:bCs/>
          <w:i/>
          <w:iCs/>
        </w:rPr>
        <w:t>Techniques</w:t>
      </w:r>
    </w:p>
    <w:p w14:paraId="32109E18" w14:textId="428DDA95" w:rsidR="008217FD" w:rsidRPr="00C360A4" w:rsidRDefault="002019E8" w:rsidP="00C360A4">
      <w:pPr>
        <w:spacing w:line="360" w:lineRule="auto"/>
        <w:rPr>
          <w:rFonts w:hint="eastAsia"/>
        </w:rPr>
      </w:pPr>
      <w:r w:rsidRPr="00C360A4">
        <w:t xml:space="preserve">Chinese painting used materials such as silk and ink, focusing on the expressive quality of brushwork and the aesthetics of ink. Two main styles developed: </w:t>
      </w:r>
      <w:proofErr w:type="spellStart"/>
      <w:r w:rsidRPr="00C360A4">
        <w:rPr>
          <w:rFonts w:eastAsiaTheme="majorEastAsia"/>
          <w:i/>
          <w:iCs/>
        </w:rPr>
        <w:t>gongbi</w:t>
      </w:r>
      <w:proofErr w:type="spellEnd"/>
      <w:r w:rsidRPr="00C360A4">
        <w:t xml:space="preserve"> (</w:t>
      </w:r>
      <w:r w:rsidRPr="00C360A4">
        <w:rPr>
          <w:rFonts w:eastAsia="Songti SC"/>
        </w:rPr>
        <w:t>工笔</w:t>
      </w:r>
      <w:r w:rsidRPr="00C360A4">
        <w:rPr>
          <w:rFonts w:eastAsia="Songti SC"/>
          <w:lang w:val="en-US"/>
        </w:rPr>
        <w:t>,</w:t>
      </w:r>
      <w:r w:rsidRPr="00C360A4">
        <w:t xml:space="preserve"> </w:t>
      </w:r>
      <w:r w:rsidRPr="00C360A4">
        <w:t xml:space="preserve">fine, </w:t>
      </w:r>
      <w:r w:rsidRPr="00C360A4">
        <w:t xml:space="preserve">detailed lines with colour), often used in court paintings, and </w:t>
      </w:r>
      <w:proofErr w:type="spellStart"/>
      <w:r w:rsidRPr="00C360A4">
        <w:rPr>
          <w:rFonts w:eastAsiaTheme="majorEastAsia"/>
          <w:i/>
          <w:iCs/>
        </w:rPr>
        <w:t>xieyi</w:t>
      </w:r>
      <w:proofErr w:type="spellEnd"/>
      <w:r w:rsidRPr="00C360A4">
        <w:t xml:space="preserve"> (</w:t>
      </w:r>
      <w:r w:rsidRPr="00C360A4">
        <w:rPr>
          <w:rFonts w:eastAsia="Songti SC"/>
        </w:rPr>
        <w:t>写</w:t>
      </w:r>
      <w:r w:rsidRPr="00C360A4">
        <w:rPr>
          <w:rFonts w:eastAsia="Songti SC"/>
          <w:lang w:val="en-US"/>
        </w:rPr>
        <w:t>意</w:t>
      </w:r>
      <w:r w:rsidRPr="00C360A4">
        <w:rPr>
          <w:rFonts w:eastAsia="Songti SC"/>
          <w:lang w:val="en-US"/>
        </w:rPr>
        <w:t xml:space="preserve">, </w:t>
      </w:r>
      <w:r w:rsidRPr="00C360A4">
        <w:t xml:space="preserve">freehand ink), favoured by literati artists (Lee, 1964, p.342). </w:t>
      </w:r>
      <w:r w:rsidR="00296BE7" w:rsidRPr="00C360A4">
        <w:rPr>
          <w:rFonts w:eastAsiaTheme="majorEastAsia"/>
          <w:i/>
          <w:iCs/>
        </w:rPr>
        <w:t>Auspicious Cranes</w:t>
      </w:r>
      <w:r w:rsidR="00296BE7" w:rsidRPr="00C360A4">
        <w:rPr>
          <w:i/>
          <w:iCs/>
        </w:rPr>
        <w:t xml:space="preserve"> </w:t>
      </w:r>
      <w:r w:rsidR="00296BE7" w:rsidRPr="00C360A4">
        <w:t xml:space="preserve">by Emperor </w:t>
      </w:r>
      <w:proofErr w:type="spellStart"/>
      <w:r w:rsidR="00296BE7" w:rsidRPr="00C360A4">
        <w:t>Huizong</w:t>
      </w:r>
      <w:proofErr w:type="spellEnd"/>
      <w:r w:rsidR="00296BE7" w:rsidRPr="00C360A4">
        <w:t xml:space="preserve"> (Fig. 6) exemplifies the </w:t>
      </w:r>
      <w:proofErr w:type="spellStart"/>
      <w:r w:rsidR="00296BE7" w:rsidRPr="00C360A4">
        <w:rPr>
          <w:rFonts w:eastAsiaTheme="majorEastAsia"/>
        </w:rPr>
        <w:t>gongbi</w:t>
      </w:r>
      <w:proofErr w:type="spellEnd"/>
      <w:r w:rsidR="00296BE7" w:rsidRPr="00C360A4">
        <w:t xml:space="preserve"> style, </w:t>
      </w:r>
      <w:r w:rsidR="00296BE7" w:rsidRPr="00C360A4">
        <w:t>showing</w:t>
      </w:r>
      <w:r w:rsidR="00296BE7" w:rsidRPr="00C360A4">
        <w:t xml:space="preserve"> technical precision and controlled composition. Scrolls were </w:t>
      </w:r>
      <w:r w:rsidR="00CE3AAE" w:rsidRPr="00C360A4">
        <w:t>portable</w:t>
      </w:r>
      <w:r w:rsidR="00CE3AAE" w:rsidRPr="00C360A4">
        <w:rPr>
          <w:lang w:val="en-US"/>
        </w:rPr>
        <w:t>;</w:t>
      </w:r>
      <w:r w:rsidR="00296BE7" w:rsidRPr="00C360A4">
        <w:t xml:space="preserve"> however, many were lost or damaged during </w:t>
      </w:r>
      <w:r w:rsidR="0088271B">
        <w:t xml:space="preserve">the </w:t>
      </w:r>
      <w:r w:rsidR="00296BE7" w:rsidRPr="00C360A4">
        <w:t>war.</w:t>
      </w:r>
    </w:p>
    <w:p w14:paraId="431AE12E" w14:textId="77777777" w:rsidR="00A40630" w:rsidRDefault="002019E8" w:rsidP="00A40630">
      <w:pPr>
        <w:keepNext/>
        <w:spacing w:line="360" w:lineRule="auto"/>
        <w:jc w:val="center"/>
        <w:rPr>
          <w:rFonts w:hint="eastAsia"/>
        </w:rPr>
      </w:pPr>
      <w:r w:rsidRPr="00C360A4">
        <w:rPr>
          <w:rFonts w:eastAsia="Songti SC"/>
          <w:b/>
          <w:bCs/>
          <w:i/>
          <w:iCs/>
          <w:noProof/>
        </w:rPr>
        <w:lastRenderedPageBreak/>
        <w:drawing>
          <wp:inline distT="0" distB="0" distL="0" distR="0" wp14:anchorId="32D4D9E3" wp14:editId="2AB7AB07">
            <wp:extent cx="2150022" cy="5761184"/>
            <wp:effectExtent l="0" t="2222" r="0" b="0"/>
            <wp:docPr id="1623512409" name="Picture 1" descr="A poster with birds fly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512409" name="Picture 1" descr="A poster with birds flying in the sky&#10;&#10;Description automatically generated"/>
                    <pic:cNvPicPr/>
                  </pic:nvPicPr>
                  <pic:blipFill>
                    <a:blip r:embed="rId10"/>
                    <a:stretch>
                      <a:fillRect/>
                    </a:stretch>
                  </pic:blipFill>
                  <pic:spPr>
                    <a:xfrm rot="16200000">
                      <a:off x="0" y="0"/>
                      <a:ext cx="2167138" cy="5807049"/>
                    </a:xfrm>
                    <a:prstGeom prst="rect">
                      <a:avLst/>
                    </a:prstGeom>
                  </pic:spPr>
                </pic:pic>
              </a:graphicData>
            </a:graphic>
          </wp:inline>
        </w:drawing>
      </w:r>
    </w:p>
    <w:p w14:paraId="010DEF14" w14:textId="4BAD4AD2" w:rsidR="002019E8" w:rsidRPr="00C360A4" w:rsidRDefault="00A40630" w:rsidP="00A40630">
      <w:pPr>
        <w:pStyle w:val="Caption"/>
        <w:jc w:val="center"/>
        <w:rPr>
          <w:sz w:val="24"/>
          <w:szCs w:val="24"/>
        </w:rPr>
      </w:pPr>
      <w:r>
        <w:t xml:space="preserve">Figure </w:t>
      </w:r>
      <w:r>
        <w:fldChar w:fldCharType="begin"/>
      </w:r>
      <w:r>
        <w:instrText xml:space="preserve"> SEQ Figure \* ARABIC </w:instrText>
      </w:r>
      <w:r>
        <w:fldChar w:fldCharType="separate"/>
      </w:r>
      <w:r>
        <w:rPr>
          <w:noProof/>
        </w:rPr>
        <w:t>6</w:t>
      </w:r>
      <w:r>
        <w:fldChar w:fldCharType="end"/>
      </w:r>
      <w:r w:rsidRPr="00A807B4">
        <w:rPr>
          <w:rFonts w:hint="eastAsia"/>
        </w:rPr>
        <w:t>RuiheTu</w:t>
      </w:r>
    </w:p>
    <w:p w14:paraId="1710D053" w14:textId="77777777" w:rsidR="004E75FD" w:rsidRPr="00C360A4" w:rsidRDefault="004E75FD" w:rsidP="00C360A4">
      <w:pPr>
        <w:spacing w:line="360" w:lineRule="auto"/>
        <w:rPr>
          <w:b/>
          <w:bCs/>
          <w:i/>
          <w:iCs/>
        </w:rPr>
      </w:pPr>
    </w:p>
    <w:p w14:paraId="2CFF0948" w14:textId="08A9293C" w:rsidR="004148C1" w:rsidRDefault="004148C1" w:rsidP="00C360A4">
      <w:pPr>
        <w:spacing w:after="160" w:line="360" w:lineRule="auto"/>
      </w:pPr>
      <w:r w:rsidRPr="00C360A4">
        <w:t>European painting often used tempera on parchment or wood, producing rich but hard-to-alter colours, enhanced with gold leaf for a sacred effect (Thompson, 1936, p.24). Fresco was also important in religious spaces, with pigments applied to wet plaster walls. These works were visually powerful but fixed in place, unlike the portable Chinese handscroll.</w:t>
      </w:r>
    </w:p>
    <w:p w14:paraId="0DE7DFDB" w14:textId="77777777" w:rsidR="00C360A4" w:rsidRPr="002019E8" w:rsidRDefault="00C360A4" w:rsidP="00C360A4">
      <w:pPr>
        <w:spacing w:after="160" w:line="360" w:lineRule="auto"/>
        <w:rPr>
          <w:rFonts w:hint="eastAsia"/>
        </w:rPr>
      </w:pPr>
    </w:p>
    <w:p w14:paraId="17103387" w14:textId="1DAB81E6" w:rsidR="008C36A6" w:rsidRPr="008C36A6" w:rsidRDefault="008C36A6" w:rsidP="00C360A4">
      <w:pPr>
        <w:spacing w:after="160" w:line="360" w:lineRule="auto"/>
        <w:rPr>
          <w:b/>
          <w:bCs/>
          <w:i/>
          <w:iCs/>
        </w:rPr>
      </w:pPr>
      <w:r w:rsidRPr="008C36A6">
        <w:rPr>
          <w:b/>
          <w:bCs/>
        </w:rPr>
        <w:t xml:space="preserve">The Renaissance </w:t>
      </w:r>
      <w:r w:rsidR="0084185D">
        <w:rPr>
          <w:rFonts w:hint="eastAsia"/>
          <w:b/>
          <w:bCs/>
        </w:rPr>
        <w:t xml:space="preserve">and </w:t>
      </w:r>
      <w:r w:rsidRPr="008C36A6">
        <w:rPr>
          <w:b/>
          <w:bCs/>
        </w:rPr>
        <w:t>Yuan–Ming Period:</w:t>
      </w:r>
      <w:r w:rsidRPr="00C360A4">
        <w:rPr>
          <w:b/>
          <w:bCs/>
          <w:i/>
          <w:iCs/>
        </w:rPr>
        <w:t xml:space="preserve"> </w:t>
      </w:r>
      <w:r w:rsidRPr="008C36A6">
        <w:rPr>
          <w:rFonts w:eastAsiaTheme="majorEastAsia"/>
          <w:b/>
          <w:bCs/>
          <w:i/>
          <w:iCs/>
        </w:rPr>
        <w:t>The Last Supper</w:t>
      </w:r>
      <w:r w:rsidRPr="008C36A6">
        <w:rPr>
          <w:b/>
          <w:bCs/>
          <w:i/>
          <w:iCs/>
        </w:rPr>
        <w:t xml:space="preserve"> and </w:t>
      </w:r>
      <w:r w:rsidRPr="008C36A6">
        <w:rPr>
          <w:rFonts w:eastAsiaTheme="majorEastAsia"/>
          <w:b/>
          <w:bCs/>
          <w:i/>
          <w:iCs/>
        </w:rPr>
        <w:t xml:space="preserve">Dwelling in the </w:t>
      </w:r>
      <w:proofErr w:type="spellStart"/>
      <w:r w:rsidRPr="008C36A6">
        <w:rPr>
          <w:rFonts w:eastAsiaTheme="majorEastAsia"/>
          <w:b/>
          <w:bCs/>
          <w:i/>
          <w:iCs/>
        </w:rPr>
        <w:t>Fuchun</w:t>
      </w:r>
      <w:proofErr w:type="spellEnd"/>
      <w:r w:rsidRPr="008C36A6">
        <w:rPr>
          <w:rFonts w:eastAsiaTheme="majorEastAsia"/>
          <w:b/>
          <w:bCs/>
          <w:i/>
          <w:iCs/>
        </w:rPr>
        <w:t xml:space="preserve"> Mountains</w:t>
      </w:r>
    </w:p>
    <w:p w14:paraId="1CAB1255" w14:textId="77777777" w:rsidR="00D44379" w:rsidRPr="00C360A4" w:rsidRDefault="00D44379" w:rsidP="00C360A4">
      <w:pPr>
        <w:spacing w:line="360" w:lineRule="auto"/>
      </w:pPr>
      <w:r w:rsidRPr="00C360A4">
        <w:t>In the 15th century, the Renaissance marked a turning point in European painting. No longer confined to religious themes, art increasingly served as a means of personal expression and humanist thought. Linear perspective became a defining technique, bringing order and depth to pictorial space.</w:t>
      </w:r>
    </w:p>
    <w:p w14:paraId="384A5A4A" w14:textId="5F50F76B" w:rsidR="008C36A6" w:rsidRPr="00CE7BCC" w:rsidRDefault="008C36A6" w:rsidP="00C360A4">
      <w:pPr>
        <w:spacing w:line="360" w:lineRule="auto"/>
        <w:rPr>
          <w:rFonts w:ascii="Heiti TC" w:eastAsia="Heiti TC" w:hAnsi="Heiti TC" w:cs="Heiti TC"/>
          <w:color w:val="E97132" w:themeColor="accent2"/>
          <w:lang w:val="en-US"/>
        </w:rPr>
      </w:pPr>
      <w:r w:rsidRPr="008C36A6">
        <w:t xml:space="preserve">Taking Leonardo da Vinci’s </w:t>
      </w:r>
      <w:r w:rsidRPr="008C36A6">
        <w:rPr>
          <w:rFonts w:eastAsiaTheme="majorEastAsia"/>
          <w:i/>
          <w:iCs/>
        </w:rPr>
        <w:t>The Last Supper</w:t>
      </w:r>
      <w:r w:rsidRPr="008C36A6">
        <w:t xml:space="preserve"> (Fig. </w:t>
      </w:r>
      <w:r w:rsidRPr="00C360A4">
        <w:t>7</w:t>
      </w:r>
      <w:r w:rsidRPr="008C36A6">
        <w:t>) (1495–1498) as an example, the mural uses single-point linear perspective to draw all lines toward Christ, highlighting both his central role and the sense of order and sacredness (Kemp, 200</w:t>
      </w:r>
      <w:r w:rsidR="005E3A42" w:rsidRPr="00C360A4">
        <w:t>6</w:t>
      </w:r>
      <w:r w:rsidRPr="008C36A6">
        <w:t xml:space="preserve">, </w:t>
      </w:r>
      <w:r w:rsidRPr="008C36A6">
        <w:rPr>
          <w:color w:val="000000" w:themeColor="text1"/>
        </w:rPr>
        <w:t>p.</w:t>
      </w:r>
      <w:r w:rsidR="005E3A42" w:rsidRPr="00C360A4">
        <w:rPr>
          <w:color w:val="000000" w:themeColor="text1"/>
        </w:rPr>
        <w:t>236</w:t>
      </w:r>
      <w:r w:rsidRPr="008C36A6">
        <w:t xml:space="preserve">). </w:t>
      </w:r>
      <w:r w:rsidR="00296BE7" w:rsidRPr="00C360A4">
        <w:t xml:space="preserve">The figures show clear body language and detailed facial expressions, which help to express emotion and </w:t>
      </w:r>
      <w:r w:rsidR="00296BE7" w:rsidRPr="00C360A4">
        <w:t>feelings</w:t>
      </w:r>
      <w:r w:rsidR="00296BE7" w:rsidRPr="00C360A4">
        <w:t>.</w:t>
      </w:r>
      <w:r w:rsidR="00296BE7" w:rsidRPr="00C360A4">
        <w:t xml:space="preserve"> </w:t>
      </w:r>
      <w:r w:rsidR="00537B77" w:rsidRPr="00C360A4">
        <w:t>The</w:t>
      </w:r>
      <w:r w:rsidR="00296BE7" w:rsidRPr="00C360A4">
        <w:t xml:space="preserve"> viewer becomes a direct witness, heightening the sense of immediacy and presence.</w:t>
      </w:r>
      <w:r w:rsidRPr="008C36A6">
        <w:t xml:space="preserve"> This kind of “frozen instant” narrative reflects the Western concept of linear time and a focus on dramatic climactic moments </w:t>
      </w:r>
      <w:r w:rsidR="005E3A42" w:rsidRPr="00C360A4">
        <w:rPr>
          <w:lang w:val="en-US"/>
        </w:rPr>
        <w:t>(King, 2012)</w:t>
      </w:r>
      <w:r w:rsidR="00CE7BCC">
        <w:rPr>
          <w:rFonts w:ascii="Heiti TC" w:eastAsia="Heiti TC" w:hAnsi="Heiti TC" w:cs="Heiti TC"/>
          <w:lang w:val="en-US"/>
        </w:rPr>
        <w:t>.</w:t>
      </w:r>
    </w:p>
    <w:p w14:paraId="11FDD39A" w14:textId="77777777" w:rsidR="00A40630" w:rsidRDefault="008C36A6" w:rsidP="00A40630">
      <w:pPr>
        <w:keepNext/>
        <w:spacing w:line="360" w:lineRule="auto"/>
        <w:jc w:val="center"/>
      </w:pPr>
      <w:r w:rsidRPr="00C360A4">
        <w:lastRenderedPageBreak/>
        <w:fldChar w:fldCharType="begin"/>
      </w:r>
      <w:r w:rsidRPr="00C360A4">
        <w:instrText xml:space="preserve"> INCLUDEPICTURE "https://upload.wikimedia.org/wikipedia/commons/thumb/4/4b/%C3%9Altima_Cena_-_Da_Vinci_5.jpg/1200px-%C3%9Altima_Cena_-_Da_Vinci_5.jpg" \* MERGEFORMATINET </w:instrText>
      </w:r>
      <w:r w:rsidRPr="00C360A4">
        <w:fldChar w:fldCharType="separate"/>
      </w:r>
      <w:r w:rsidRPr="00C360A4">
        <w:rPr>
          <w:noProof/>
        </w:rPr>
        <w:drawing>
          <wp:inline distT="0" distB="0" distL="0" distR="0" wp14:anchorId="727E59AC" wp14:editId="7A649F13">
            <wp:extent cx="4359564" cy="2456059"/>
            <wp:effectExtent l="0" t="0" r="0" b="0"/>
            <wp:docPr id="1483730956" name="Picture 5" descr="最后的晚餐(达芬奇) - 维基百科，自由的百科全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最后的晚餐(达芬奇) - 维基百科，自由的百科全书"/>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77361" cy="2466085"/>
                    </a:xfrm>
                    <a:prstGeom prst="rect">
                      <a:avLst/>
                    </a:prstGeom>
                    <a:noFill/>
                    <a:ln>
                      <a:noFill/>
                    </a:ln>
                  </pic:spPr>
                </pic:pic>
              </a:graphicData>
            </a:graphic>
          </wp:inline>
        </w:drawing>
      </w:r>
      <w:r w:rsidRPr="00C360A4">
        <w:fldChar w:fldCharType="end"/>
      </w:r>
    </w:p>
    <w:p w14:paraId="3823FD16" w14:textId="30BFA7B4" w:rsidR="008C36A6" w:rsidRPr="00C360A4" w:rsidRDefault="00A40630" w:rsidP="00A40630">
      <w:pPr>
        <w:pStyle w:val="Caption"/>
        <w:jc w:val="center"/>
        <w:rPr>
          <w:sz w:val="24"/>
          <w:szCs w:val="24"/>
        </w:rPr>
      </w:pPr>
      <w:r>
        <w:t xml:space="preserve">Figure </w:t>
      </w:r>
      <w:r>
        <w:fldChar w:fldCharType="begin"/>
      </w:r>
      <w:r>
        <w:instrText xml:space="preserve"> SEQ Figure \* ARABIC </w:instrText>
      </w:r>
      <w:r>
        <w:fldChar w:fldCharType="separate"/>
      </w:r>
      <w:r>
        <w:rPr>
          <w:noProof/>
        </w:rPr>
        <w:t>7</w:t>
      </w:r>
      <w:r>
        <w:fldChar w:fldCharType="end"/>
      </w:r>
      <w:r w:rsidRPr="00FB5A39">
        <w:t>The Last Supper</w:t>
      </w:r>
    </w:p>
    <w:p w14:paraId="6FECA36F" w14:textId="77777777" w:rsidR="00A40742" w:rsidRPr="00C360A4" w:rsidRDefault="00A40742" w:rsidP="00C360A4">
      <w:pPr>
        <w:spacing w:line="360" w:lineRule="auto"/>
      </w:pPr>
    </w:p>
    <w:p w14:paraId="3BFA5C21" w14:textId="45B29318" w:rsidR="008C36A6" w:rsidRPr="00C360A4" w:rsidRDefault="00976E94" w:rsidP="00C360A4">
      <w:pPr>
        <w:spacing w:line="360" w:lineRule="auto"/>
      </w:pPr>
      <w:r w:rsidRPr="00C360A4">
        <w:t xml:space="preserve">Around the same period in Yuan China, Huang </w:t>
      </w:r>
      <w:proofErr w:type="spellStart"/>
      <w:r w:rsidRPr="00C360A4">
        <w:t>Gongwang’s</w:t>
      </w:r>
      <w:proofErr w:type="spellEnd"/>
      <w:r w:rsidRPr="00C360A4">
        <w:t xml:space="preserve"> </w:t>
      </w:r>
      <w:r w:rsidRPr="00C360A4">
        <w:rPr>
          <w:rFonts w:eastAsiaTheme="majorEastAsia"/>
          <w:i/>
          <w:iCs/>
        </w:rPr>
        <w:t xml:space="preserve">Dwelling in the </w:t>
      </w:r>
      <w:proofErr w:type="spellStart"/>
      <w:r w:rsidRPr="00C360A4">
        <w:rPr>
          <w:rFonts w:eastAsiaTheme="majorEastAsia"/>
          <w:i/>
          <w:iCs/>
        </w:rPr>
        <w:t>Fuchun</w:t>
      </w:r>
      <w:proofErr w:type="spellEnd"/>
      <w:r w:rsidRPr="00C360A4">
        <w:rPr>
          <w:rFonts w:eastAsiaTheme="majorEastAsia"/>
          <w:i/>
          <w:iCs/>
        </w:rPr>
        <w:t xml:space="preserve"> Mountains</w:t>
      </w:r>
      <w:r w:rsidRPr="00C360A4">
        <w:t xml:space="preserve"> (1350) (Fig. </w:t>
      </w:r>
      <w:r w:rsidRPr="00C360A4">
        <w:t>8</w:t>
      </w:r>
      <w:r w:rsidRPr="00C360A4">
        <w:t>) presents a distinctly different approach to narrative.</w:t>
      </w:r>
      <w:r w:rsidR="00537B77" w:rsidRPr="00C360A4">
        <w:t xml:space="preserve"> </w:t>
      </w:r>
      <w:r w:rsidR="00537B77" w:rsidRPr="00C360A4">
        <w:t xml:space="preserve">As a hallmark of literati landscape painting, it adopts </w:t>
      </w:r>
      <w:r w:rsidR="0088271B">
        <w:t xml:space="preserve">a </w:t>
      </w:r>
      <w:r w:rsidR="00537B77" w:rsidRPr="00C360A4">
        <w:t>traditional scattered perspective, offering no fixed viewpoint and no single narrative climax.</w:t>
      </w:r>
      <w:r w:rsidR="00537B77" w:rsidRPr="00C360A4">
        <w:t xml:space="preserve"> </w:t>
      </w:r>
      <w:r w:rsidR="00866AFA" w:rsidRPr="00C360A4">
        <w:t>R</w:t>
      </w:r>
      <w:r w:rsidR="00866AFA" w:rsidRPr="00C360A4">
        <w:t xml:space="preserve">eflecting core concepts in Chinese philosophy, such as the unity of humans and nature, and the balance between presence and emptiness </w:t>
      </w:r>
      <w:r w:rsidR="005225C3" w:rsidRPr="00C360A4">
        <w:t>(</w:t>
      </w:r>
      <w:proofErr w:type="spellStart"/>
      <w:r w:rsidR="005225C3" w:rsidRPr="00C360A4">
        <w:t>Tregear</w:t>
      </w:r>
      <w:proofErr w:type="spellEnd"/>
      <w:r w:rsidR="005225C3" w:rsidRPr="00C360A4">
        <w:t>, 1980, p.108)</w:t>
      </w:r>
    </w:p>
    <w:p w14:paraId="70D0E659" w14:textId="77777777" w:rsidR="00A40630" w:rsidRDefault="00866AFA" w:rsidP="00A40630">
      <w:pPr>
        <w:keepNext/>
        <w:spacing w:after="160" w:line="360" w:lineRule="auto"/>
        <w:jc w:val="center"/>
      </w:pPr>
      <w:r w:rsidRPr="00C360A4">
        <w:rPr>
          <w:noProof/>
        </w:rPr>
        <w:drawing>
          <wp:inline distT="0" distB="0" distL="0" distR="0" wp14:anchorId="391A2BF3" wp14:editId="2322FA55">
            <wp:extent cx="5731510" cy="2081530"/>
            <wp:effectExtent l="0" t="0" r="0" b="0"/>
            <wp:docPr id="1898779071" name="Picture 2" descr="A close-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779071" name="Picture 2" descr="A close-up of a painting&#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081530"/>
                    </a:xfrm>
                    <a:prstGeom prst="rect">
                      <a:avLst/>
                    </a:prstGeom>
                    <a:noFill/>
                    <a:ln>
                      <a:noFill/>
                    </a:ln>
                  </pic:spPr>
                </pic:pic>
              </a:graphicData>
            </a:graphic>
          </wp:inline>
        </w:drawing>
      </w:r>
    </w:p>
    <w:p w14:paraId="6DF11223" w14:textId="192B89DC" w:rsidR="00866AFA" w:rsidRPr="00A40630" w:rsidRDefault="00A40630" w:rsidP="00A40630">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rsidRPr="001D53C4">
        <w:rPr>
          <w:rFonts w:hint="eastAsia"/>
        </w:rPr>
        <w:t xml:space="preserve">Dwelling in the </w:t>
      </w:r>
      <w:proofErr w:type="spellStart"/>
      <w:r w:rsidRPr="001D53C4">
        <w:rPr>
          <w:rFonts w:hint="eastAsia"/>
        </w:rPr>
        <w:t>Fuchun</w:t>
      </w:r>
      <w:proofErr w:type="spellEnd"/>
      <w:r w:rsidRPr="001D53C4">
        <w:rPr>
          <w:rFonts w:hint="eastAsia"/>
        </w:rPr>
        <w:t xml:space="preserve"> Mountain</w:t>
      </w:r>
      <w:r>
        <w:t>s</w:t>
      </w:r>
    </w:p>
    <w:p w14:paraId="00C8781D" w14:textId="77777777" w:rsidR="002019E8" w:rsidRPr="007B4255" w:rsidRDefault="002019E8" w:rsidP="00C360A4">
      <w:pPr>
        <w:spacing w:after="160" w:line="360" w:lineRule="auto"/>
      </w:pPr>
    </w:p>
    <w:p w14:paraId="04B669B5" w14:textId="674DC930" w:rsidR="004148C1" w:rsidRPr="00C360A4" w:rsidRDefault="004148C1" w:rsidP="00C360A4">
      <w:pPr>
        <w:spacing w:line="360" w:lineRule="auto"/>
        <w:rPr>
          <w:b/>
          <w:bCs/>
          <w:i/>
          <w:iCs/>
        </w:rPr>
      </w:pPr>
      <w:r w:rsidRPr="00C360A4">
        <w:rPr>
          <w:b/>
          <w:bCs/>
          <w:i/>
          <w:iCs/>
        </w:rPr>
        <w:t>Shifts in Artistic Function and Identity</w:t>
      </w:r>
    </w:p>
    <w:p w14:paraId="4D610E09" w14:textId="40FB91AA" w:rsidR="005225C3" w:rsidRPr="00C360A4" w:rsidRDefault="008217FD" w:rsidP="00C360A4">
      <w:pPr>
        <w:spacing w:after="160" w:line="360" w:lineRule="auto"/>
      </w:pPr>
      <w:r w:rsidRPr="008217FD">
        <w:t xml:space="preserve">The Renaissance was closely linked to the Black Death (1347–1353), which had a profound impact on European society. The massive loss of life weakened the authority of the Church and led many to question religious beliefs. These changes gave rise to Renaissance humanism (Cohn, 2003, pp. 41–42). Artists began to gain social status and identity, moving beyond the </w:t>
      </w:r>
      <w:r w:rsidRPr="008217FD">
        <w:lastRenderedPageBreak/>
        <w:t>anonymous role of medieval craftsmen. Leonardo da Vinci and Michelangelo, for instance, signed their works and left behind self-portraits, sketches, and notes. They were not only in direct contact with nobles and popes, but also held influence in political affairs. As artists became more closely tied to intellectual and civic life, art shifted from serving religion to becoming a tool for human expression and cultural power.</w:t>
      </w:r>
      <w:proofErr w:type="spellStart"/>
      <w:r>
        <w:rPr>
          <w:rFonts w:hint="eastAsia"/>
        </w:rPr>
        <w:t xml:space="preserve"> </w:t>
      </w:r>
      <w:proofErr w:type="gramStart"/>
      <w:r w:rsidR="004A12BD" w:rsidRPr="00C360A4">
        <w:t>In</w:t>
      </w:r>
      <w:proofErr w:type="spellEnd"/>
      <w:proofErr w:type="gramEnd"/>
      <w:r w:rsidR="004A12BD" w:rsidRPr="00C360A4">
        <w:t xml:space="preserve"> a different context,</w:t>
      </w:r>
      <w:r w:rsidR="005225C3" w:rsidRPr="00C360A4">
        <w:t xml:space="preserve"> </w:t>
      </w:r>
      <w:r w:rsidR="005225C3" w:rsidRPr="00C360A4">
        <w:t>literati painting in Yuan</w:t>
      </w:r>
      <w:r w:rsidR="00A40630">
        <w:t>-</w:t>
      </w:r>
      <w:r w:rsidR="005225C3" w:rsidRPr="00C360A4">
        <w:t>Ming China continued the Song dynasty tradition of using art for personal cultivation. However, from the Yuan period onwards, the focus of Chinese painting gradually shifted from the academy system to literati-led expression.</w:t>
      </w:r>
    </w:p>
    <w:p w14:paraId="7A66C4FA" w14:textId="5160C56C" w:rsidR="008217FD" w:rsidRPr="005225C3" w:rsidRDefault="0084185D" w:rsidP="00C360A4">
      <w:pPr>
        <w:spacing w:after="160" w:line="360" w:lineRule="auto"/>
        <w:rPr>
          <w:rFonts w:hint="eastAsia"/>
        </w:rPr>
      </w:pPr>
      <w:r w:rsidRPr="0084185D">
        <w:t xml:space="preserve">Political instability during the Yuan and Ming dynasties led to the decline of the scholar-official class, many of whom turned to the arts for spiritual refuge. Their work often expressed a strong sense of withdrawal and quiet resistance. As Huang </w:t>
      </w:r>
      <w:proofErr w:type="spellStart"/>
      <w:r w:rsidRPr="0084185D">
        <w:t>Gongwang</w:t>
      </w:r>
      <w:proofErr w:type="spellEnd"/>
      <w:r w:rsidRPr="0084185D">
        <w:t xml:space="preserve"> wrote in the colophon to </w:t>
      </w:r>
      <w:r w:rsidRPr="0084185D">
        <w:rPr>
          <w:i/>
          <w:iCs/>
        </w:rPr>
        <w:t xml:space="preserve">Dwelling in the </w:t>
      </w:r>
      <w:proofErr w:type="spellStart"/>
      <w:r w:rsidRPr="0084185D">
        <w:rPr>
          <w:i/>
          <w:iCs/>
        </w:rPr>
        <w:t>Fuchun</w:t>
      </w:r>
      <w:proofErr w:type="spellEnd"/>
      <w:r w:rsidRPr="0084185D">
        <w:rPr>
          <w:i/>
          <w:iCs/>
        </w:rPr>
        <w:t xml:space="preserve"> Mountains</w:t>
      </w:r>
      <w:r w:rsidRPr="0084185D">
        <w:t>, “In my later years, I found this retreat in the mountains. I let go of worldly concerns, followed my feelings with the brush, and painted for my enjoyment” (Huang, 1350/2020, colophon; author’s translation). Though calm in tone, the colophon reflects the artist’s wish to withdraw from a turbulent world. Literati painting became a response to social instability, offering a refuge for personal expression, often created in private and shared within trusted circles.</w:t>
      </w:r>
    </w:p>
    <w:p w14:paraId="48E63912" w14:textId="539F9D4F" w:rsidR="004A12BD" w:rsidRPr="00C360A4" w:rsidRDefault="004148C1" w:rsidP="00C360A4">
      <w:pPr>
        <w:spacing w:line="360" w:lineRule="auto"/>
        <w:rPr>
          <w:b/>
          <w:bCs/>
          <w:i/>
          <w:iCs/>
        </w:rPr>
      </w:pPr>
      <w:r w:rsidRPr="00C360A4">
        <w:rPr>
          <w:b/>
          <w:bCs/>
          <w:i/>
          <w:iCs/>
        </w:rPr>
        <w:t>Changes in Media and Technique</w:t>
      </w:r>
    </w:p>
    <w:p w14:paraId="22E6B394" w14:textId="77777777" w:rsidR="008217FD" w:rsidRDefault="008217FD" w:rsidP="00C360A4">
      <w:pPr>
        <w:spacing w:line="360" w:lineRule="auto"/>
      </w:pPr>
      <w:r w:rsidRPr="008217FD">
        <w:t>The Renaissance saw major changes in European painting, including the use of oil paint, canvas, and perspective to create depth and realism. Fresco painting also peaked in public and religious spaces. In contrast, Chinese painting continued using ink on paper or silk, focusing on brushwork, tonal variation, and the expressive power of space.</w:t>
      </w:r>
    </w:p>
    <w:p w14:paraId="19AFEFD5" w14:textId="77777777" w:rsidR="008217FD" w:rsidRDefault="008217FD" w:rsidP="00C360A4">
      <w:pPr>
        <w:spacing w:line="360" w:lineRule="auto"/>
        <w:rPr>
          <w:rFonts w:hint="eastAsia"/>
        </w:rPr>
      </w:pPr>
    </w:p>
    <w:p w14:paraId="32787A04" w14:textId="21A06F9E" w:rsidR="00F44D77" w:rsidRPr="00C360A4" w:rsidRDefault="00C22E2B" w:rsidP="00C360A4">
      <w:pPr>
        <w:spacing w:line="360" w:lineRule="auto"/>
        <w:rPr>
          <w:b/>
          <w:bCs/>
        </w:rPr>
      </w:pPr>
      <w:r w:rsidRPr="00C360A4">
        <w:rPr>
          <w:b/>
          <w:bCs/>
        </w:rPr>
        <w:t>Conclusion</w:t>
      </w:r>
    </w:p>
    <w:p w14:paraId="44B4AC46" w14:textId="3FD6753C" w:rsidR="00FD7196" w:rsidRDefault="0084185D" w:rsidP="00C360A4">
      <w:pPr>
        <w:spacing w:line="360" w:lineRule="auto"/>
        <w:rPr>
          <w:lang w:val="en-US"/>
        </w:rPr>
      </w:pPr>
      <w:r w:rsidRPr="0084185D">
        <w:t>This essay explores how painting in China and Europe from the 12th century to the Renaissance reflects differences in narrative form, material use, and the artist’s role. These differences are shaped by broader political, economic, and cultural contexts. Whether in scroll or fresco, ink or oil, artistic choices carry the imprint of their time. Art, in this sense, is more than an image; it is a record of how people see themselves, their world, and their place. To read a painting is to read the logic of a civilisation, made visible through brush, surface, and gaze.</w:t>
      </w:r>
    </w:p>
    <w:p w14:paraId="2E26A98A" w14:textId="77777777" w:rsidR="00F47240" w:rsidRDefault="00F47240" w:rsidP="00C360A4">
      <w:pPr>
        <w:spacing w:line="360" w:lineRule="auto"/>
        <w:rPr>
          <w:lang w:val="en-US"/>
        </w:rPr>
      </w:pPr>
    </w:p>
    <w:p w14:paraId="4EAC5C94" w14:textId="77777777" w:rsidR="00F47240" w:rsidRDefault="00F47240" w:rsidP="00C360A4">
      <w:pPr>
        <w:spacing w:line="360" w:lineRule="auto"/>
        <w:rPr>
          <w:lang w:val="en-US"/>
        </w:rPr>
      </w:pPr>
    </w:p>
    <w:p w14:paraId="0FEE8B4A" w14:textId="77777777" w:rsidR="00FD7196" w:rsidRPr="00C360A4" w:rsidRDefault="00FD7196" w:rsidP="00C360A4">
      <w:pPr>
        <w:spacing w:line="360" w:lineRule="auto"/>
        <w:rPr>
          <w:rFonts w:hint="eastAsia"/>
        </w:rPr>
      </w:pPr>
    </w:p>
    <w:p w14:paraId="2F401911" w14:textId="71DF6398" w:rsidR="00756270" w:rsidRPr="00C360A4" w:rsidRDefault="001666BA" w:rsidP="00C360A4">
      <w:pPr>
        <w:spacing w:line="360" w:lineRule="auto"/>
        <w:rPr>
          <w:b/>
          <w:bCs/>
          <w:lang w:val="en-US"/>
        </w:rPr>
      </w:pPr>
      <w:r w:rsidRPr="00C360A4">
        <w:rPr>
          <w:b/>
          <w:bCs/>
          <w:lang w:val="en-US"/>
        </w:rPr>
        <w:t>Bibliography</w:t>
      </w:r>
    </w:p>
    <w:p w14:paraId="4138D9B5" w14:textId="77777777" w:rsidR="00FD7196" w:rsidRPr="00FD7196" w:rsidRDefault="00FD7196" w:rsidP="00C360A4">
      <w:pPr>
        <w:spacing w:line="360" w:lineRule="auto"/>
      </w:pPr>
      <w:r w:rsidRPr="00FD7196">
        <w:t xml:space="preserve">Baxandall, M. (1972) </w:t>
      </w:r>
      <w:r w:rsidRPr="00FD7196">
        <w:rPr>
          <w:i/>
          <w:iCs/>
        </w:rPr>
        <w:t>Painting and Experience in Fifteenth-Century Italy: A Primer in the Social History of Pictorial Style</w:t>
      </w:r>
      <w:r w:rsidRPr="00FD7196">
        <w:t>. Oxford: Oxford University Press.</w:t>
      </w:r>
    </w:p>
    <w:p w14:paraId="3D04DEDA" w14:textId="77777777" w:rsidR="00FD7196" w:rsidRPr="00FD7196" w:rsidRDefault="00FD7196" w:rsidP="00C360A4">
      <w:pPr>
        <w:spacing w:line="360" w:lineRule="auto"/>
      </w:pPr>
      <w:r w:rsidRPr="00FD7196">
        <w:t xml:space="preserve">Cohn, S.K. (2003) </w:t>
      </w:r>
      <w:r w:rsidRPr="00FD7196">
        <w:rPr>
          <w:i/>
          <w:iCs/>
        </w:rPr>
        <w:t>The Black Death Transformed: Disease and Culture in Early Renaissance Europe</w:t>
      </w:r>
      <w:r w:rsidRPr="00FD7196">
        <w:t>. Oxford: Oxford University Press.</w:t>
      </w:r>
    </w:p>
    <w:p w14:paraId="7EE632D3" w14:textId="77777777" w:rsidR="00FD7196" w:rsidRPr="00FD7196" w:rsidRDefault="00FD7196" w:rsidP="00C360A4">
      <w:pPr>
        <w:spacing w:line="360" w:lineRule="auto"/>
      </w:pPr>
      <w:r w:rsidRPr="00FD7196">
        <w:t xml:space="preserve">Epstein, M.M. (2011) </w:t>
      </w:r>
      <w:r w:rsidRPr="00FD7196">
        <w:rPr>
          <w:i/>
          <w:iCs/>
        </w:rPr>
        <w:t>The Medieval Haggadah: Art, Narrative, and Religious Imagination</w:t>
      </w:r>
      <w:r w:rsidRPr="00FD7196">
        <w:t>. New Haven: Yale University Press.</w:t>
      </w:r>
    </w:p>
    <w:p w14:paraId="6038BC7D" w14:textId="2FF6C19C" w:rsidR="00FD7196" w:rsidRPr="00FD7196" w:rsidRDefault="00FD7196" w:rsidP="00C360A4">
      <w:pPr>
        <w:spacing w:line="360" w:lineRule="auto"/>
      </w:pPr>
      <w:r w:rsidRPr="00FD7196">
        <w:t xml:space="preserve">Fong, W. (1992) </w:t>
      </w:r>
      <w:r w:rsidRPr="00FD7196">
        <w:rPr>
          <w:i/>
          <w:iCs/>
        </w:rPr>
        <w:t xml:space="preserve">Beyond Representation: Chinese Painting and Calligraphy, </w:t>
      </w:r>
      <w:r w:rsidR="001671B5">
        <w:rPr>
          <w:i/>
          <w:iCs/>
        </w:rPr>
        <w:t>8</w:t>
      </w:r>
      <w:r w:rsidR="001671B5" w:rsidRPr="001671B5">
        <w:rPr>
          <w:i/>
          <w:iCs/>
        </w:rPr>
        <w:t>th</w:t>
      </w:r>
      <w:r w:rsidR="001671B5">
        <w:rPr>
          <w:rFonts w:hint="eastAsia"/>
          <w:i/>
          <w:iCs/>
        </w:rPr>
        <w:t>-</w:t>
      </w:r>
      <w:r w:rsidRPr="00FD7196">
        <w:rPr>
          <w:i/>
          <w:iCs/>
        </w:rPr>
        <w:t>14th Century</w:t>
      </w:r>
      <w:r w:rsidRPr="00FD7196">
        <w:t>. New York: Metropolitan Museum of Art.</w:t>
      </w:r>
    </w:p>
    <w:p w14:paraId="7F80B338" w14:textId="77777777" w:rsidR="005E3A42" w:rsidRPr="00C360A4" w:rsidRDefault="005E3A42" w:rsidP="00C360A4">
      <w:pPr>
        <w:spacing w:line="360" w:lineRule="auto"/>
      </w:pPr>
      <w:r w:rsidRPr="00C360A4">
        <w:t xml:space="preserve">Kemp, M. (2006) </w:t>
      </w:r>
      <w:r w:rsidRPr="00C360A4">
        <w:rPr>
          <w:i/>
          <w:iCs/>
        </w:rPr>
        <w:t>Leonardo da Vinci: The Marvellous Works of Nature and Man</w:t>
      </w:r>
      <w:r w:rsidRPr="00C360A4">
        <w:t>. Oxford: Oxford University Press.</w:t>
      </w:r>
    </w:p>
    <w:p w14:paraId="44858E6C" w14:textId="7A7BEEAF" w:rsidR="00FD7196" w:rsidRPr="00FD7196" w:rsidRDefault="00FD7196" w:rsidP="00C360A4">
      <w:pPr>
        <w:spacing w:line="360" w:lineRule="auto"/>
      </w:pPr>
      <w:r w:rsidRPr="00FD7196">
        <w:t xml:space="preserve">King, R. (2012) </w:t>
      </w:r>
      <w:r w:rsidRPr="00FD7196">
        <w:rPr>
          <w:i/>
          <w:iCs/>
        </w:rPr>
        <w:t>Leonardo and the Last Supper</w:t>
      </w:r>
      <w:r w:rsidRPr="00FD7196">
        <w:t>. London: A&amp;C Black.</w:t>
      </w:r>
    </w:p>
    <w:p w14:paraId="52B5969B" w14:textId="77777777" w:rsidR="00FD7196" w:rsidRPr="00FD7196" w:rsidRDefault="00FD7196" w:rsidP="00C360A4">
      <w:pPr>
        <w:spacing w:line="360" w:lineRule="auto"/>
      </w:pPr>
      <w:r w:rsidRPr="00FD7196">
        <w:t xml:space="preserve">Lee, S.E. (1964) </w:t>
      </w:r>
      <w:r w:rsidRPr="00FD7196">
        <w:rPr>
          <w:i/>
          <w:iCs/>
        </w:rPr>
        <w:t>A History of Far Eastern Art</w:t>
      </w:r>
      <w:r w:rsidRPr="00FD7196">
        <w:t>. New York: Prentice-Hall.</w:t>
      </w:r>
    </w:p>
    <w:p w14:paraId="1DD7C423" w14:textId="77777777" w:rsidR="001B0616" w:rsidRPr="00C360A4" w:rsidRDefault="00FD7196" w:rsidP="00C360A4">
      <w:pPr>
        <w:spacing w:line="360" w:lineRule="auto"/>
      </w:pPr>
      <w:r w:rsidRPr="00FD7196">
        <w:t xml:space="preserve">Meng, Y. (c.1147/2006) </w:t>
      </w:r>
      <w:proofErr w:type="spellStart"/>
      <w:r w:rsidRPr="00FD7196">
        <w:rPr>
          <w:i/>
          <w:iCs/>
        </w:rPr>
        <w:t>Dongjing</w:t>
      </w:r>
      <w:proofErr w:type="spellEnd"/>
      <w:r w:rsidRPr="00FD7196">
        <w:rPr>
          <w:i/>
          <w:iCs/>
        </w:rPr>
        <w:t xml:space="preserve"> Meng Hua Lu</w:t>
      </w:r>
      <w:r w:rsidRPr="00FD7196">
        <w:t xml:space="preserve">, edited by Yi </w:t>
      </w:r>
      <w:proofErr w:type="spellStart"/>
      <w:r w:rsidRPr="00FD7196">
        <w:t>Yongwen</w:t>
      </w:r>
      <w:proofErr w:type="spellEnd"/>
      <w:r w:rsidRPr="00FD7196">
        <w:t xml:space="preserve">. Beijing: </w:t>
      </w:r>
      <w:proofErr w:type="spellStart"/>
      <w:r w:rsidRPr="00FD7196">
        <w:t>Zhonghua</w:t>
      </w:r>
      <w:proofErr w:type="spellEnd"/>
      <w:r w:rsidRPr="00FD7196">
        <w:t xml:space="preserve"> Book Company.</w:t>
      </w:r>
      <w:r w:rsidR="00890E50" w:rsidRPr="00C360A4">
        <w:t xml:space="preserve"> </w:t>
      </w:r>
    </w:p>
    <w:p w14:paraId="4D18A52B" w14:textId="77777777" w:rsidR="00FD7196" w:rsidRPr="00FD7196" w:rsidRDefault="00FD7196" w:rsidP="00C360A4">
      <w:pPr>
        <w:spacing w:line="360" w:lineRule="auto"/>
      </w:pPr>
      <w:r w:rsidRPr="00FD7196">
        <w:t xml:space="preserve">Thompson, D.V. (1956) </w:t>
      </w:r>
      <w:r w:rsidRPr="00FD7196">
        <w:rPr>
          <w:i/>
          <w:iCs/>
        </w:rPr>
        <w:t>The Materials and Techniques of Medieval Painting</w:t>
      </w:r>
      <w:r w:rsidRPr="00FD7196">
        <w:t>. New York: Dover Publications.</w:t>
      </w:r>
    </w:p>
    <w:p w14:paraId="45852FA6" w14:textId="77777777" w:rsidR="00FD7196" w:rsidRPr="00C360A4" w:rsidRDefault="00FD7196" w:rsidP="00C360A4">
      <w:pPr>
        <w:spacing w:line="360" w:lineRule="auto"/>
      </w:pPr>
      <w:proofErr w:type="spellStart"/>
      <w:r w:rsidRPr="00FD7196">
        <w:t>Tregear</w:t>
      </w:r>
      <w:proofErr w:type="spellEnd"/>
      <w:r w:rsidRPr="00FD7196">
        <w:t xml:space="preserve">, M. (1980) </w:t>
      </w:r>
      <w:r w:rsidRPr="00FD7196">
        <w:rPr>
          <w:i/>
          <w:iCs/>
        </w:rPr>
        <w:t>Chinese Art</w:t>
      </w:r>
      <w:r w:rsidRPr="00FD7196">
        <w:t>. London: Thames &amp; Hudson.</w:t>
      </w:r>
    </w:p>
    <w:p w14:paraId="2D9BFD93" w14:textId="77777777" w:rsidR="00C74822" w:rsidRDefault="00C74822" w:rsidP="00C360A4">
      <w:pPr>
        <w:spacing w:line="360" w:lineRule="auto"/>
      </w:pPr>
    </w:p>
    <w:p w14:paraId="5B79B719" w14:textId="77777777" w:rsidR="00C74822" w:rsidRPr="00F47240" w:rsidRDefault="00C74822" w:rsidP="00C360A4">
      <w:pPr>
        <w:spacing w:line="360" w:lineRule="auto"/>
        <w:rPr>
          <w:rFonts w:hint="eastAsia"/>
          <w:b/>
          <w:bCs/>
        </w:rPr>
      </w:pPr>
    </w:p>
    <w:p w14:paraId="13AD089B" w14:textId="69718C7B" w:rsidR="00890E50" w:rsidRPr="00F47240" w:rsidRDefault="00F47240">
      <w:pPr>
        <w:spacing w:line="360" w:lineRule="auto"/>
        <w:rPr>
          <w:b/>
          <w:bCs/>
        </w:rPr>
      </w:pPr>
      <w:r w:rsidRPr="00F47240">
        <w:rPr>
          <w:rFonts w:hint="eastAsia"/>
          <w:b/>
          <w:bCs/>
        </w:rPr>
        <w:t>List of figures</w:t>
      </w:r>
    </w:p>
    <w:p w14:paraId="04A80C58" w14:textId="77777777" w:rsidR="00C10DF6" w:rsidRDefault="00C10DF6" w:rsidP="00C10DF6">
      <w:pPr>
        <w:spacing w:line="360" w:lineRule="auto"/>
      </w:pPr>
      <w:r>
        <w:t xml:space="preserve">Figure 1&amp;2: </w:t>
      </w:r>
      <w:r w:rsidRPr="00FD7196">
        <w:t xml:space="preserve">The Palace Museum (n.d.) </w:t>
      </w:r>
      <w:r w:rsidRPr="00FD7196">
        <w:rPr>
          <w:i/>
          <w:iCs/>
        </w:rPr>
        <w:t xml:space="preserve">Along the River During the Qingming Festival by Zhang </w:t>
      </w:r>
      <w:proofErr w:type="spellStart"/>
      <w:r w:rsidRPr="00FD7196">
        <w:rPr>
          <w:i/>
          <w:iCs/>
        </w:rPr>
        <w:t>Zeduan</w:t>
      </w:r>
      <w:proofErr w:type="spellEnd"/>
      <w:r w:rsidRPr="00FD7196">
        <w:t xml:space="preserve">. Available at: </w:t>
      </w:r>
      <w:hyperlink r:id="rId13" w:tgtFrame="_new" w:history="1">
        <w:r w:rsidRPr="00FD7196">
          <w:rPr>
            <w:rStyle w:val="Hyperlink"/>
          </w:rPr>
          <w:t>https://www.dpm.org.cn/collection/paint/228226.html</w:t>
        </w:r>
      </w:hyperlink>
      <w:r w:rsidRPr="00FD7196">
        <w:t xml:space="preserve"> (Accessed: 18 April 2025).</w:t>
      </w:r>
    </w:p>
    <w:p w14:paraId="6374C35C" w14:textId="77777777" w:rsidR="00C10DF6" w:rsidRDefault="00C10DF6" w:rsidP="00C10DF6">
      <w:pPr>
        <w:spacing w:line="360" w:lineRule="auto"/>
      </w:pPr>
      <w:r>
        <w:t xml:space="preserve">Figure 3&amp;4: </w:t>
      </w:r>
      <w:r w:rsidRPr="00C360A4">
        <w:t xml:space="preserve">The Morgan Library &amp; Museum (n.d.) </w:t>
      </w:r>
      <w:r w:rsidRPr="00C360A4">
        <w:rPr>
          <w:i/>
          <w:iCs/>
        </w:rPr>
        <w:t>Life and Miracles of St Edmund</w:t>
      </w:r>
      <w:r w:rsidRPr="00C360A4">
        <w:t xml:space="preserve">. Available at: </w:t>
      </w:r>
      <w:hyperlink r:id="rId14" w:tgtFrame="_new" w:history="1">
        <w:r w:rsidRPr="00C360A4">
          <w:rPr>
            <w:rStyle w:val="Hyperlink"/>
          </w:rPr>
          <w:t>https://www.the</w:t>
        </w:r>
        <w:r w:rsidRPr="00C360A4">
          <w:rPr>
            <w:rStyle w:val="Hyperlink"/>
          </w:rPr>
          <w:t>m</w:t>
        </w:r>
        <w:r w:rsidRPr="00C360A4">
          <w:rPr>
            <w:rStyle w:val="Hyperlink"/>
          </w:rPr>
          <w:t>organ.org/collection/Life-and-Miracles-of-St-Edmund</w:t>
        </w:r>
      </w:hyperlink>
      <w:r w:rsidRPr="00C360A4">
        <w:t xml:space="preserve"> </w:t>
      </w:r>
    </w:p>
    <w:p w14:paraId="7A4433A8" w14:textId="744057CA" w:rsidR="00C10DF6" w:rsidRDefault="00C10DF6" w:rsidP="00C10DF6">
      <w:pPr>
        <w:spacing w:line="360" w:lineRule="auto"/>
      </w:pPr>
      <w:r>
        <w:t xml:space="preserve">Figure 5: </w:t>
      </w:r>
      <w:r w:rsidRPr="00C360A4">
        <w:t xml:space="preserve">Macmillan, D. (1990) </w:t>
      </w:r>
      <w:r w:rsidRPr="00C360A4">
        <w:rPr>
          <w:i/>
          <w:iCs/>
        </w:rPr>
        <w:t>Scottish Art 1460</w:t>
      </w:r>
      <w:r>
        <w:rPr>
          <w:rFonts w:hint="eastAsia"/>
          <w:i/>
          <w:iCs/>
        </w:rPr>
        <w:t>-</w:t>
      </w:r>
      <w:r w:rsidRPr="00C360A4">
        <w:rPr>
          <w:i/>
          <w:iCs/>
        </w:rPr>
        <w:t>1990</w:t>
      </w:r>
      <w:r w:rsidRPr="00C360A4">
        <w:t>. Edinburgh: Mainstream Publishing.</w:t>
      </w:r>
    </w:p>
    <w:p w14:paraId="257EB18A" w14:textId="77777777" w:rsidR="00C10DF6" w:rsidRDefault="00C10DF6" w:rsidP="00C10DF6">
      <w:pPr>
        <w:spacing w:line="360" w:lineRule="auto"/>
      </w:pPr>
      <w:r w:rsidRPr="00FD7196">
        <w:t xml:space="preserve">Palace Museum (n.d.) </w:t>
      </w:r>
      <w:r w:rsidRPr="00FD7196">
        <w:rPr>
          <w:i/>
          <w:iCs/>
        </w:rPr>
        <w:t xml:space="preserve">Along the River During the Qingming Festival (Qingming Shang He Tu) by Zhang </w:t>
      </w:r>
      <w:proofErr w:type="spellStart"/>
      <w:r w:rsidRPr="00FD7196">
        <w:rPr>
          <w:i/>
          <w:iCs/>
        </w:rPr>
        <w:t>Zeduan</w:t>
      </w:r>
      <w:proofErr w:type="spellEnd"/>
      <w:r w:rsidRPr="00FD7196">
        <w:t xml:space="preserve">. [Online image]. Available at: </w:t>
      </w:r>
      <w:hyperlink r:id="rId15" w:tgtFrame="_new" w:history="1">
        <w:r w:rsidRPr="00FD7196">
          <w:rPr>
            <w:rStyle w:val="Hyperlink"/>
          </w:rPr>
          <w:t>https://www.dpm.org.cn/collection/paint/228226.html</w:t>
        </w:r>
      </w:hyperlink>
      <w:r w:rsidRPr="00FD7196">
        <w:t xml:space="preserve"> (Accessed: 18 April 2025).</w:t>
      </w:r>
    </w:p>
    <w:p w14:paraId="44EA539F" w14:textId="086DB834" w:rsidR="00C10DF6" w:rsidRDefault="00C10DF6" w:rsidP="00C10DF6">
      <w:pPr>
        <w:spacing w:line="360" w:lineRule="auto"/>
      </w:pPr>
      <w:r w:rsidRPr="00C360A4">
        <w:t>(Accessed: 21 April 2025).</w:t>
      </w:r>
    </w:p>
    <w:p w14:paraId="0389AD70" w14:textId="5BF065BC" w:rsidR="00C74822" w:rsidRDefault="00C10DF6" w:rsidP="00C74822">
      <w:pPr>
        <w:spacing w:line="360" w:lineRule="auto"/>
      </w:pPr>
      <w:r>
        <w:t xml:space="preserve">Figure 6: </w:t>
      </w:r>
      <w:r w:rsidR="00C74822" w:rsidRPr="00FD7196">
        <w:t xml:space="preserve">Liaoning Provincial Museum (n.d.) </w:t>
      </w:r>
      <w:proofErr w:type="spellStart"/>
      <w:r w:rsidR="00C74822" w:rsidRPr="00FD7196">
        <w:rPr>
          <w:i/>
          <w:iCs/>
        </w:rPr>
        <w:t>Ruihetu</w:t>
      </w:r>
      <w:proofErr w:type="spellEnd"/>
      <w:r w:rsidR="00C74822" w:rsidRPr="00FD7196">
        <w:rPr>
          <w:i/>
          <w:iCs/>
        </w:rPr>
        <w:t xml:space="preserve"> by Zhao </w:t>
      </w:r>
      <w:proofErr w:type="spellStart"/>
      <w:r w:rsidR="00C74822" w:rsidRPr="00FD7196">
        <w:rPr>
          <w:i/>
          <w:iCs/>
        </w:rPr>
        <w:t>Huizong</w:t>
      </w:r>
      <w:proofErr w:type="spellEnd"/>
      <w:r w:rsidR="00C74822" w:rsidRPr="00FD7196">
        <w:t xml:space="preserve">. [Online image]. Available at: </w:t>
      </w:r>
      <w:hyperlink r:id="rId16" w:tgtFrame="_new" w:history="1">
        <w:r w:rsidR="00C74822" w:rsidRPr="00FD7196">
          <w:rPr>
            <w:rStyle w:val="Hyperlink"/>
          </w:rPr>
          <w:t>http://www.lnmuseum.com</w:t>
        </w:r>
      </w:hyperlink>
      <w:r w:rsidR="00C74822" w:rsidRPr="00FD7196">
        <w:t xml:space="preserve"> (Accessed: 18 April 2025).</w:t>
      </w:r>
    </w:p>
    <w:p w14:paraId="1AEE4D83" w14:textId="7F8A8834" w:rsidR="00C74822" w:rsidRDefault="00C10DF6" w:rsidP="00C74822">
      <w:pPr>
        <w:spacing w:line="360" w:lineRule="auto"/>
      </w:pPr>
      <w:r>
        <w:lastRenderedPageBreak/>
        <w:t xml:space="preserve">Figure 7: </w:t>
      </w:r>
      <w:r w:rsidR="00C74822" w:rsidRPr="00C360A4">
        <w:t xml:space="preserve">Museo del </w:t>
      </w:r>
      <w:proofErr w:type="spellStart"/>
      <w:r w:rsidR="00C74822" w:rsidRPr="00C360A4">
        <w:t>Cenacolo</w:t>
      </w:r>
      <w:proofErr w:type="spellEnd"/>
      <w:r w:rsidR="00C74822" w:rsidRPr="00C360A4">
        <w:t xml:space="preserve"> </w:t>
      </w:r>
      <w:proofErr w:type="spellStart"/>
      <w:r w:rsidR="00C74822" w:rsidRPr="00C360A4">
        <w:t>Vinciano</w:t>
      </w:r>
      <w:proofErr w:type="spellEnd"/>
      <w:r w:rsidR="00C74822" w:rsidRPr="00C360A4">
        <w:t xml:space="preserve"> (n.d.) </w:t>
      </w:r>
      <w:r w:rsidR="00C74822" w:rsidRPr="00C360A4">
        <w:rPr>
          <w:i/>
          <w:iCs/>
        </w:rPr>
        <w:t>The Last Supper by Leonardo da Vinci</w:t>
      </w:r>
      <w:r w:rsidR="00C74822" w:rsidRPr="00C360A4">
        <w:t xml:space="preserve">. Available at: </w:t>
      </w:r>
      <w:hyperlink r:id="rId17" w:tgtFrame="_new" w:history="1">
        <w:r w:rsidR="00C74822" w:rsidRPr="00C360A4">
          <w:rPr>
            <w:rStyle w:val="Hyperlink"/>
          </w:rPr>
          <w:t>https://cenacolovincia</w:t>
        </w:r>
        <w:r w:rsidR="00C74822" w:rsidRPr="00C360A4">
          <w:rPr>
            <w:rStyle w:val="Hyperlink"/>
          </w:rPr>
          <w:t>n</w:t>
        </w:r>
        <w:r w:rsidR="00C74822" w:rsidRPr="00C360A4">
          <w:rPr>
            <w:rStyle w:val="Hyperlink"/>
          </w:rPr>
          <w:t>o.org/en/</w:t>
        </w:r>
      </w:hyperlink>
      <w:r w:rsidR="00C74822" w:rsidRPr="00C360A4">
        <w:t xml:space="preserve"> (Accessed: 21 April 2025).</w:t>
      </w:r>
    </w:p>
    <w:p w14:paraId="0EDD4959" w14:textId="77777777" w:rsidR="00C10DF6" w:rsidRDefault="00C10DF6" w:rsidP="00C10DF6">
      <w:pPr>
        <w:spacing w:line="360" w:lineRule="auto"/>
      </w:pPr>
      <w:r>
        <w:t xml:space="preserve">Figure 8: </w:t>
      </w:r>
      <w:r w:rsidRPr="00FD7196">
        <w:t xml:space="preserve">Huang, G. (1350/2020) </w:t>
      </w:r>
      <w:r w:rsidRPr="00FD7196">
        <w:rPr>
          <w:i/>
          <w:iCs/>
        </w:rPr>
        <w:t xml:space="preserve">Fu </w:t>
      </w:r>
      <w:proofErr w:type="spellStart"/>
      <w:r w:rsidRPr="00FD7196">
        <w:rPr>
          <w:i/>
          <w:iCs/>
        </w:rPr>
        <w:t>chun</w:t>
      </w:r>
      <w:proofErr w:type="spellEnd"/>
      <w:r w:rsidRPr="00FD7196">
        <w:rPr>
          <w:i/>
          <w:iCs/>
        </w:rPr>
        <w:t xml:space="preserve"> </w:t>
      </w:r>
      <w:proofErr w:type="spellStart"/>
      <w:r w:rsidRPr="00FD7196">
        <w:rPr>
          <w:i/>
          <w:iCs/>
        </w:rPr>
        <w:t>shan</w:t>
      </w:r>
      <w:proofErr w:type="spellEnd"/>
      <w:r w:rsidRPr="00FD7196">
        <w:rPr>
          <w:i/>
          <w:iCs/>
        </w:rPr>
        <w:t xml:space="preserve"> </w:t>
      </w:r>
      <w:proofErr w:type="spellStart"/>
      <w:r w:rsidRPr="00FD7196">
        <w:rPr>
          <w:i/>
          <w:iCs/>
        </w:rPr>
        <w:t>ju</w:t>
      </w:r>
      <w:proofErr w:type="spellEnd"/>
      <w:r w:rsidRPr="00FD7196">
        <w:rPr>
          <w:i/>
          <w:iCs/>
        </w:rPr>
        <w:t xml:space="preserve"> </w:t>
      </w:r>
      <w:proofErr w:type="spellStart"/>
      <w:r w:rsidRPr="00FD7196">
        <w:rPr>
          <w:i/>
          <w:iCs/>
        </w:rPr>
        <w:t>tu</w:t>
      </w:r>
      <w:proofErr w:type="spellEnd"/>
      <w:r w:rsidRPr="00FD7196">
        <w:t xml:space="preserve"> [</w:t>
      </w:r>
      <w:r w:rsidRPr="00FD7196">
        <w:rPr>
          <w:rFonts w:eastAsia="Songti SC"/>
        </w:rPr>
        <w:t>富春山居图</w:t>
      </w:r>
      <w:r w:rsidRPr="00FD7196">
        <w:t xml:space="preserve">, </w:t>
      </w:r>
      <w:r w:rsidRPr="00FD7196">
        <w:rPr>
          <w:i/>
          <w:iCs/>
        </w:rPr>
        <w:t xml:space="preserve">Dwelling in the </w:t>
      </w:r>
      <w:proofErr w:type="spellStart"/>
      <w:r w:rsidRPr="00FD7196">
        <w:rPr>
          <w:i/>
          <w:iCs/>
        </w:rPr>
        <w:t>Fuchun</w:t>
      </w:r>
      <w:proofErr w:type="spellEnd"/>
      <w:r w:rsidRPr="00FD7196">
        <w:rPr>
          <w:i/>
          <w:iCs/>
        </w:rPr>
        <w:t xml:space="preserve"> Mountains</w:t>
      </w:r>
      <w:r w:rsidRPr="00FD7196">
        <w:t xml:space="preserve">]. [Handscroll, ink on paper]. National Palace Museum, Taipei. Accession no: </w:t>
      </w:r>
      <w:r w:rsidRPr="00FD7196">
        <w:rPr>
          <w:rFonts w:eastAsia="Songti SC"/>
        </w:rPr>
        <w:t>故畫</w:t>
      </w:r>
      <w:r w:rsidRPr="00FD7196">
        <w:t xml:space="preserve">001324. Available at: </w:t>
      </w:r>
      <w:hyperlink r:id="rId18" w:tgtFrame="_new" w:history="1">
        <w:r w:rsidRPr="00FD7196">
          <w:rPr>
            <w:rStyle w:val="Hyperlink"/>
          </w:rPr>
          <w:t>https://theme.npm.edu.tw/opendata/</w:t>
        </w:r>
      </w:hyperlink>
      <w:r w:rsidRPr="00FD7196">
        <w:t xml:space="preserve"> (Accessed: 19 April 2025).</w:t>
      </w:r>
    </w:p>
    <w:p w14:paraId="18088BF7" w14:textId="77777777" w:rsidR="00C74822" w:rsidRPr="00FD7196" w:rsidRDefault="00C74822" w:rsidP="00C74822">
      <w:pPr>
        <w:spacing w:line="360" w:lineRule="auto"/>
        <w:rPr>
          <w:rFonts w:hint="eastAsia"/>
        </w:rPr>
      </w:pPr>
    </w:p>
    <w:p w14:paraId="7A6804B6" w14:textId="77777777" w:rsidR="00C74822" w:rsidRPr="00FD7196" w:rsidRDefault="00C74822" w:rsidP="00C74822">
      <w:pPr>
        <w:spacing w:line="360" w:lineRule="auto"/>
        <w:rPr>
          <w:rFonts w:hint="eastAsia"/>
        </w:rPr>
      </w:pPr>
    </w:p>
    <w:p w14:paraId="72DAA898" w14:textId="77777777" w:rsidR="00C74822" w:rsidRPr="00FD7196" w:rsidRDefault="00C74822">
      <w:pPr>
        <w:spacing w:line="360" w:lineRule="auto"/>
        <w:rPr>
          <w:rFonts w:hint="eastAsia"/>
        </w:rPr>
      </w:pPr>
    </w:p>
    <w:sectPr w:rsidR="00C74822" w:rsidRPr="00FD71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ongti SC">
    <w:panose1 w:val="02010600040101010101"/>
    <w:charset w:val="86"/>
    <w:family w:val="auto"/>
    <w:pitch w:val="variable"/>
    <w:sig w:usb0="00000287" w:usb1="080F0000" w:usb2="00000010" w:usb3="00000000" w:csb0="0004009F" w:csb1="00000000"/>
  </w:font>
  <w:font w:name="Heiti TC">
    <w:panose1 w:val="02000000000000000000"/>
    <w:charset w:val="80"/>
    <w:family w:val="auto"/>
    <w:pitch w:val="variable"/>
    <w:sig w:usb0="8000002F" w:usb1="0807004A" w:usb2="00000010" w:usb3="00000000" w:csb0="003E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CD4E0F"/>
    <w:multiLevelType w:val="hybridMultilevel"/>
    <w:tmpl w:val="D0840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3203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782"/>
    <w:rsid w:val="00110450"/>
    <w:rsid w:val="0016436A"/>
    <w:rsid w:val="001666BA"/>
    <w:rsid w:val="001671B5"/>
    <w:rsid w:val="001B0616"/>
    <w:rsid w:val="002019E8"/>
    <w:rsid w:val="002245D6"/>
    <w:rsid w:val="0025022C"/>
    <w:rsid w:val="00296BE7"/>
    <w:rsid w:val="00401AB3"/>
    <w:rsid w:val="004148C1"/>
    <w:rsid w:val="0048601C"/>
    <w:rsid w:val="004A12BD"/>
    <w:rsid w:val="004E75FD"/>
    <w:rsid w:val="005225C3"/>
    <w:rsid w:val="00537B77"/>
    <w:rsid w:val="005E3A42"/>
    <w:rsid w:val="00756270"/>
    <w:rsid w:val="007B4255"/>
    <w:rsid w:val="008217FD"/>
    <w:rsid w:val="0084185D"/>
    <w:rsid w:val="00844A6C"/>
    <w:rsid w:val="00866AFA"/>
    <w:rsid w:val="0088271B"/>
    <w:rsid w:val="00890E50"/>
    <w:rsid w:val="008C36A6"/>
    <w:rsid w:val="0097494C"/>
    <w:rsid w:val="00976E94"/>
    <w:rsid w:val="009F2D8C"/>
    <w:rsid w:val="00A40630"/>
    <w:rsid w:val="00A40742"/>
    <w:rsid w:val="00A93039"/>
    <w:rsid w:val="00AC636F"/>
    <w:rsid w:val="00C10DF6"/>
    <w:rsid w:val="00C22E2B"/>
    <w:rsid w:val="00C360A4"/>
    <w:rsid w:val="00C74822"/>
    <w:rsid w:val="00CE3AAE"/>
    <w:rsid w:val="00CE7BCC"/>
    <w:rsid w:val="00D44379"/>
    <w:rsid w:val="00D54008"/>
    <w:rsid w:val="00F44D77"/>
    <w:rsid w:val="00F47240"/>
    <w:rsid w:val="00F90782"/>
    <w:rsid w:val="00FD71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EC691"/>
  <w15:chartTrackingRefBased/>
  <w15:docId w15:val="{B7D1C49B-0A61-8042-A4A3-5F1240C26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6BA"/>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F907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07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7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7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7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78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78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78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78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7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07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7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7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7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7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7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7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782"/>
    <w:rPr>
      <w:rFonts w:eastAsiaTheme="majorEastAsia" w:cstheme="majorBidi"/>
      <w:color w:val="272727" w:themeColor="text1" w:themeTint="D8"/>
    </w:rPr>
  </w:style>
  <w:style w:type="paragraph" w:styleId="Title">
    <w:name w:val="Title"/>
    <w:basedOn w:val="Normal"/>
    <w:next w:val="Normal"/>
    <w:link w:val="TitleChar"/>
    <w:uiPriority w:val="10"/>
    <w:qFormat/>
    <w:rsid w:val="00F9078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7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7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7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782"/>
    <w:pPr>
      <w:spacing w:before="160"/>
      <w:jc w:val="center"/>
    </w:pPr>
    <w:rPr>
      <w:i/>
      <w:iCs/>
      <w:color w:val="404040" w:themeColor="text1" w:themeTint="BF"/>
    </w:rPr>
  </w:style>
  <w:style w:type="character" w:customStyle="1" w:styleId="QuoteChar">
    <w:name w:val="Quote Char"/>
    <w:basedOn w:val="DefaultParagraphFont"/>
    <w:link w:val="Quote"/>
    <w:uiPriority w:val="29"/>
    <w:rsid w:val="00F90782"/>
    <w:rPr>
      <w:i/>
      <w:iCs/>
      <w:color w:val="404040" w:themeColor="text1" w:themeTint="BF"/>
    </w:rPr>
  </w:style>
  <w:style w:type="paragraph" w:styleId="ListParagraph">
    <w:name w:val="List Paragraph"/>
    <w:basedOn w:val="Normal"/>
    <w:uiPriority w:val="34"/>
    <w:qFormat/>
    <w:rsid w:val="00F90782"/>
    <w:pPr>
      <w:ind w:left="720"/>
      <w:contextualSpacing/>
    </w:pPr>
  </w:style>
  <w:style w:type="character" w:styleId="IntenseEmphasis">
    <w:name w:val="Intense Emphasis"/>
    <w:basedOn w:val="DefaultParagraphFont"/>
    <w:uiPriority w:val="21"/>
    <w:qFormat/>
    <w:rsid w:val="00F90782"/>
    <w:rPr>
      <w:i/>
      <w:iCs/>
      <w:color w:val="0F4761" w:themeColor="accent1" w:themeShade="BF"/>
    </w:rPr>
  </w:style>
  <w:style w:type="paragraph" w:styleId="IntenseQuote">
    <w:name w:val="Intense Quote"/>
    <w:basedOn w:val="Normal"/>
    <w:next w:val="Normal"/>
    <w:link w:val="IntenseQuoteChar"/>
    <w:uiPriority w:val="30"/>
    <w:qFormat/>
    <w:rsid w:val="00F907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782"/>
    <w:rPr>
      <w:i/>
      <w:iCs/>
      <w:color w:val="0F4761" w:themeColor="accent1" w:themeShade="BF"/>
    </w:rPr>
  </w:style>
  <w:style w:type="character" w:styleId="IntenseReference">
    <w:name w:val="Intense Reference"/>
    <w:basedOn w:val="DefaultParagraphFont"/>
    <w:uiPriority w:val="32"/>
    <w:qFormat/>
    <w:rsid w:val="00F90782"/>
    <w:rPr>
      <w:b/>
      <w:bCs/>
      <w:smallCaps/>
      <w:color w:val="0F4761" w:themeColor="accent1" w:themeShade="BF"/>
      <w:spacing w:val="5"/>
    </w:rPr>
  </w:style>
  <w:style w:type="character" w:styleId="Emphasis">
    <w:name w:val="Emphasis"/>
    <w:basedOn w:val="DefaultParagraphFont"/>
    <w:uiPriority w:val="20"/>
    <w:qFormat/>
    <w:rsid w:val="001666BA"/>
    <w:rPr>
      <w:i/>
      <w:iCs/>
    </w:rPr>
  </w:style>
  <w:style w:type="character" w:styleId="Hyperlink">
    <w:name w:val="Hyperlink"/>
    <w:basedOn w:val="DefaultParagraphFont"/>
    <w:uiPriority w:val="99"/>
    <w:unhideWhenUsed/>
    <w:rsid w:val="00FD7196"/>
    <w:rPr>
      <w:color w:val="467886" w:themeColor="hyperlink"/>
      <w:u w:val="single"/>
    </w:rPr>
  </w:style>
  <w:style w:type="character" w:styleId="UnresolvedMention">
    <w:name w:val="Unresolved Mention"/>
    <w:basedOn w:val="DefaultParagraphFont"/>
    <w:uiPriority w:val="99"/>
    <w:semiHidden/>
    <w:unhideWhenUsed/>
    <w:rsid w:val="00FD7196"/>
    <w:rPr>
      <w:color w:val="605E5C"/>
      <w:shd w:val="clear" w:color="auto" w:fill="E1DFDD"/>
    </w:rPr>
  </w:style>
  <w:style w:type="paragraph" w:styleId="Caption">
    <w:name w:val="caption"/>
    <w:basedOn w:val="Normal"/>
    <w:next w:val="Normal"/>
    <w:uiPriority w:val="35"/>
    <w:unhideWhenUsed/>
    <w:qFormat/>
    <w:rsid w:val="00A40742"/>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720943">
      <w:bodyDiv w:val="1"/>
      <w:marLeft w:val="0"/>
      <w:marRight w:val="0"/>
      <w:marTop w:val="0"/>
      <w:marBottom w:val="0"/>
      <w:divBdr>
        <w:top w:val="none" w:sz="0" w:space="0" w:color="auto"/>
        <w:left w:val="none" w:sz="0" w:space="0" w:color="auto"/>
        <w:bottom w:val="none" w:sz="0" w:space="0" w:color="auto"/>
        <w:right w:val="none" w:sz="0" w:space="0" w:color="auto"/>
      </w:divBdr>
    </w:div>
    <w:div w:id="58409468">
      <w:bodyDiv w:val="1"/>
      <w:marLeft w:val="0"/>
      <w:marRight w:val="0"/>
      <w:marTop w:val="0"/>
      <w:marBottom w:val="0"/>
      <w:divBdr>
        <w:top w:val="none" w:sz="0" w:space="0" w:color="auto"/>
        <w:left w:val="none" w:sz="0" w:space="0" w:color="auto"/>
        <w:bottom w:val="none" w:sz="0" w:space="0" w:color="auto"/>
        <w:right w:val="none" w:sz="0" w:space="0" w:color="auto"/>
      </w:divBdr>
    </w:div>
    <w:div w:id="112597843">
      <w:bodyDiv w:val="1"/>
      <w:marLeft w:val="0"/>
      <w:marRight w:val="0"/>
      <w:marTop w:val="0"/>
      <w:marBottom w:val="0"/>
      <w:divBdr>
        <w:top w:val="none" w:sz="0" w:space="0" w:color="auto"/>
        <w:left w:val="none" w:sz="0" w:space="0" w:color="auto"/>
        <w:bottom w:val="none" w:sz="0" w:space="0" w:color="auto"/>
        <w:right w:val="none" w:sz="0" w:space="0" w:color="auto"/>
      </w:divBdr>
    </w:div>
    <w:div w:id="125123960">
      <w:bodyDiv w:val="1"/>
      <w:marLeft w:val="0"/>
      <w:marRight w:val="0"/>
      <w:marTop w:val="0"/>
      <w:marBottom w:val="0"/>
      <w:divBdr>
        <w:top w:val="none" w:sz="0" w:space="0" w:color="auto"/>
        <w:left w:val="none" w:sz="0" w:space="0" w:color="auto"/>
        <w:bottom w:val="none" w:sz="0" w:space="0" w:color="auto"/>
        <w:right w:val="none" w:sz="0" w:space="0" w:color="auto"/>
      </w:divBdr>
    </w:div>
    <w:div w:id="280067221">
      <w:bodyDiv w:val="1"/>
      <w:marLeft w:val="0"/>
      <w:marRight w:val="0"/>
      <w:marTop w:val="0"/>
      <w:marBottom w:val="0"/>
      <w:divBdr>
        <w:top w:val="none" w:sz="0" w:space="0" w:color="auto"/>
        <w:left w:val="none" w:sz="0" w:space="0" w:color="auto"/>
        <w:bottom w:val="none" w:sz="0" w:space="0" w:color="auto"/>
        <w:right w:val="none" w:sz="0" w:space="0" w:color="auto"/>
      </w:divBdr>
      <w:divsChild>
        <w:div w:id="15615646">
          <w:blockQuote w:val="1"/>
          <w:marLeft w:val="720"/>
          <w:marRight w:val="720"/>
          <w:marTop w:val="100"/>
          <w:marBottom w:val="100"/>
          <w:divBdr>
            <w:top w:val="none" w:sz="0" w:space="0" w:color="auto"/>
            <w:left w:val="none" w:sz="0" w:space="0" w:color="auto"/>
            <w:bottom w:val="none" w:sz="0" w:space="0" w:color="auto"/>
            <w:right w:val="none" w:sz="0" w:space="0" w:color="auto"/>
          </w:divBdr>
        </w:div>
        <w:div w:id="8653376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5305778">
      <w:bodyDiv w:val="1"/>
      <w:marLeft w:val="0"/>
      <w:marRight w:val="0"/>
      <w:marTop w:val="0"/>
      <w:marBottom w:val="0"/>
      <w:divBdr>
        <w:top w:val="none" w:sz="0" w:space="0" w:color="auto"/>
        <w:left w:val="none" w:sz="0" w:space="0" w:color="auto"/>
        <w:bottom w:val="none" w:sz="0" w:space="0" w:color="auto"/>
        <w:right w:val="none" w:sz="0" w:space="0" w:color="auto"/>
      </w:divBdr>
      <w:divsChild>
        <w:div w:id="902182825">
          <w:blockQuote w:val="1"/>
          <w:marLeft w:val="720"/>
          <w:marRight w:val="720"/>
          <w:marTop w:val="100"/>
          <w:marBottom w:val="100"/>
          <w:divBdr>
            <w:top w:val="none" w:sz="0" w:space="0" w:color="auto"/>
            <w:left w:val="none" w:sz="0" w:space="0" w:color="auto"/>
            <w:bottom w:val="none" w:sz="0" w:space="0" w:color="auto"/>
            <w:right w:val="none" w:sz="0" w:space="0" w:color="auto"/>
          </w:divBdr>
        </w:div>
        <w:div w:id="19677322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84185459">
      <w:bodyDiv w:val="1"/>
      <w:marLeft w:val="0"/>
      <w:marRight w:val="0"/>
      <w:marTop w:val="0"/>
      <w:marBottom w:val="0"/>
      <w:divBdr>
        <w:top w:val="none" w:sz="0" w:space="0" w:color="auto"/>
        <w:left w:val="none" w:sz="0" w:space="0" w:color="auto"/>
        <w:bottom w:val="none" w:sz="0" w:space="0" w:color="auto"/>
        <w:right w:val="none" w:sz="0" w:space="0" w:color="auto"/>
      </w:divBdr>
    </w:div>
    <w:div w:id="422188673">
      <w:bodyDiv w:val="1"/>
      <w:marLeft w:val="0"/>
      <w:marRight w:val="0"/>
      <w:marTop w:val="0"/>
      <w:marBottom w:val="0"/>
      <w:divBdr>
        <w:top w:val="none" w:sz="0" w:space="0" w:color="auto"/>
        <w:left w:val="none" w:sz="0" w:space="0" w:color="auto"/>
        <w:bottom w:val="none" w:sz="0" w:space="0" w:color="auto"/>
        <w:right w:val="none" w:sz="0" w:space="0" w:color="auto"/>
      </w:divBdr>
    </w:div>
    <w:div w:id="461192518">
      <w:bodyDiv w:val="1"/>
      <w:marLeft w:val="0"/>
      <w:marRight w:val="0"/>
      <w:marTop w:val="0"/>
      <w:marBottom w:val="0"/>
      <w:divBdr>
        <w:top w:val="none" w:sz="0" w:space="0" w:color="auto"/>
        <w:left w:val="none" w:sz="0" w:space="0" w:color="auto"/>
        <w:bottom w:val="none" w:sz="0" w:space="0" w:color="auto"/>
        <w:right w:val="none" w:sz="0" w:space="0" w:color="auto"/>
      </w:divBdr>
    </w:div>
    <w:div w:id="498815736">
      <w:bodyDiv w:val="1"/>
      <w:marLeft w:val="0"/>
      <w:marRight w:val="0"/>
      <w:marTop w:val="0"/>
      <w:marBottom w:val="0"/>
      <w:divBdr>
        <w:top w:val="none" w:sz="0" w:space="0" w:color="auto"/>
        <w:left w:val="none" w:sz="0" w:space="0" w:color="auto"/>
        <w:bottom w:val="none" w:sz="0" w:space="0" w:color="auto"/>
        <w:right w:val="none" w:sz="0" w:space="0" w:color="auto"/>
      </w:divBdr>
    </w:div>
    <w:div w:id="527375361">
      <w:bodyDiv w:val="1"/>
      <w:marLeft w:val="0"/>
      <w:marRight w:val="0"/>
      <w:marTop w:val="0"/>
      <w:marBottom w:val="0"/>
      <w:divBdr>
        <w:top w:val="none" w:sz="0" w:space="0" w:color="auto"/>
        <w:left w:val="none" w:sz="0" w:space="0" w:color="auto"/>
        <w:bottom w:val="none" w:sz="0" w:space="0" w:color="auto"/>
        <w:right w:val="none" w:sz="0" w:space="0" w:color="auto"/>
      </w:divBdr>
      <w:divsChild>
        <w:div w:id="13395756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0950525">
      <w:bodyDiv w:val="1"/>
      <w:marLeft w:val="0"/>
      <w:marRight w:val="0"/>
      <w:marTop w:val="0"/>
      <w:marBottom w:val="0"/>
      <w:divBdr>
        <w:top w:val="none" w:sz="0" w:space="0" w:color="auto"/>
        <w:left w:val="none" w:sz="0" w:space="0" w:color="auto"/>
        <w:bottom w:val="none" w:sz="0" w:space="0" w:color="auto"/>
        <w:right w:val="none" w:sz="0" w:space="0" w:color="auto"/>
      </w:divBdr>
    </w:div>
    <w:div w:id="857888988">
      <w:bodyDiv w:val="1"/>
      <w:marLeft w:val="0"/>
      <w:marRight w:val="0"/>
      <w:marTop w:val="0"/>
      <w:marBottom w:val="0"/>
      <w:divBdr>
        <w:top w:val="none" w:sz="0" w:space="0" w:color="auto"/>
        <w:left w:val="none" w:sz="0" w:space="0" w:color="auto"/>
        <w:bottom w:val="none" w:sz="0" w:space="0" w:color="auto"/>
        <w:right w:val="none" w:sz="0" w:space="0" w:color="auto"/>
      </w:divBdr>
    </w:div>
    <w:div w:id="921529124">
      <w:bodyDiv w:val="1"/>
      <w:marLeft w:val="0"/>
      <w:marRight w:val="0"/>
      <w:marTop w:val="0"/>
      <w:marBottom w:val="0"/>
      <w:divBdr>
        <w:top w:val="none" w:sz="0" w:space="0" w:color="auto"/>
        <w:left w:val="none" w:sz="0" w:space="0" w:color="auto"/>
        <w:bottom w:val="none" w:sz="0" w:space="0" w:color="auto"/>
        <w:right w:val="none" w:sz="0" w:space="0" w:color="auto"/>
      </w:divBdr>
      <w:divsChild>
        <w:div w:id="1841432716">
          <w:blockQuote w:val="1"/>
          <w:marLeft w:val="720"/>
          <w:marRight w:val="720"/>
          <w:marTop w:val="100"/>
          <w:marBottom w:val="100"/>
          <w:divBdr>
            <w:top w:val="none" w:sz="0" w:space="0" w:color="auto"/>
            <w:left w:val="none" w:sz="0" w:space="0" w:color="auto"/>
            <w:bottom w:val="none" w:sz="0" w:space="0" w:color="auto"/>
            <w:right w:val="none" w:sz="0" w:space="0" w:color="auto"/>
          </w:divBdr>
        </w:div>
        <w:div w:id="19529788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53555849">
      <w:bodyDiv w:val="1"/>
      <w:marLeft w:val="0"/>
      <w:marRight w:val="0"/>
      <w:marTop w:val="0"/>
      <w:marBottom w:val="0"/>
      <w:divBdr>
        <w:top w:val="none" w:sz="0" w:space="0" w:color="auto"/>
        <w:left w:val="none" w:sz="0" w:space="0" w:color="auto"/>
        <w:bottom w:val="none" w:sz="0" w:space="0" w:color="auto"/>
        <w:right w:val="none" w:sz="0" w:space="0" w:color="auto"/>
      </w:divBdr>
    </w:div>
    <w:div w:id="1021125212">
      <w:bodyDiv w:val="1"/>
      <w:marLeft w:val="0"/>
      <w:marRight w:val="0"/>
      <w:marTop w:val="0"/>
      <w:marBottom w:val="0"/>
      <w:divBdr>
        <w:top w:val="none" w:sz="0" w:space="0" w:color="auto"/>
        <w:left w:val="none" w:sz="0" w:space="0" w:color="auto"/>
        <w:bottom w:val="none" w:sz="0" w:space="0" w:color="auto"/>
        <w:right w:val="none" w:sz="0" w:space="0" w:color="auto"/>
      </w:divBdr>
    </w:div>
    <w:div w:id="1028674582">
      <w:bodyDiv w:val="1"/>
      <w:marLeft w:val="0"/>
      <w:marRight w:val="0"/>
      <w:marTop w:val="0"/>
      <w:marBottom w:val="0"/>
      <w:divBdr>
        <w:top w:val="none" w:sz="0" w:space="0" w:color="auto"/>
        <w:left w:val="none" w:sz="0" w:space="0" w:color="auto"/>
        <w:bottom w:val="none" w:sz="0" w:space="0" w:color="auto"/>
        <w:right w:val="none" w:sz="0" w:space="0" w:color="auto"/>
      </w:divBdr>
    </w:div>
    <w:div w:id="1032994608">
      <w:bodyDiv w:val="1"/>
      <w:marLeft w:val="0"/>
      <w:marRight w:val="0"/>
      <w:marTop w:val="0"/>
      <w:marBottom w:val="0"/>
      <w:divBdr>
        <w:top w:val="none" w:sz="0" w:space="0" w:color="auto"/>
        <w:left w:val="none" w:sz="0" w:space="0" w:color="auto"/>
        <w:bottom w:val="none" w:sz="0" w:space="0" w:color="auto"/>
        <w:right w:val="none" w:sz="0" w:space="0" w:color="auto"/>
      </w:divBdr>
    </w:div>
    <w:div w:id="1124040260">
      <w:bodyDiv w:val="1"/>
      <w:marLeft w:val="0"/>
      <w:marRight w:val="0"/>
      <w:marTop w:val="0"/>
      <w:marBottom w:val="0"/>
      <w:divBdr>
        <w:top w:val="none" w:sz="0" w:space="0" w:color="auto"/>
        <w:left w:val="none" w:sz="0" w:space="0" w:color="auto"/>
        <w:bottom w:val="none" w:sz="0" w:space="0" w:color="auto"/>
        <w:right w:val="none" w:sz="0" w:space="0" w:color="auto"/>
      </w:divBdr>
      <w:divsChild>
        <w:div w:id="15659482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73257683">
      <w:bodyDiv w:val="1"/>
      <w:marLeft w:val="0"/>
      <w:marRight w:val="0"/>
      <w:marTop w:val="0"/>
      <w:marBottom w:val="0"/>
      <w:divBdr>
        <w:top w:val="none" w:sz="0" w:space="0" w:color="auto"/>
        <w:left w:val="none" w:sz="0" w:space="0" w:color="auto"/>
        <w:bottom w:val="none" w:sz="0" w:space="0" w:color="auto"/>
        <w:right w:val="none" w:sz="0" w:space="0" w:color="auto"/>
      </w:divBdr>
    </w:div>
    <w:div w:id="1208566085">
      <w:bodyDiv w:val="1"/>
      <w:marLeft w:val="0"/>
      <w:marRight w:val="0"/>
      <w:marTop w:val="0"/>
      <w:marBottom w:val="0"/>
      <w:divBdr>
        <w:top w:val="none" w:sz="0" w:space="0" w:color="auto"/>
        <w:left w:val="none" w:sz="0" w:space="0" w:color="auto"/>
        <w:bottom w:val="none" w:sz="0" w:space="0" w:color="auto"/>
        <w:right w:val="none" w:sz="0" w:space="0" w:color="auto"/>
      </w:divBdr>
      <w:divsChild>
        <w:div w:id="17445981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20902790">
      <w:bodyDiv w:val="1"/>
      <w:marLeft w:val="0"/>
      <w:marRight w:val="0"/>
      <w:marTop w:val="0"/>
      <w:marBottom w:val="0"/>
      <w:divBdr>
        <w:top w:val="none" w:sz="0" w:space="0" w:color="auto"/>
        <w:left w:val="none" w:sz="0" w:space="0" w:color="auto"/>
        <w:bottom w:val="none" w:sz="0" w:space="0" w:color="auto"/>
        <w:right w:val="none" w:sz="0" w:space="0" w:color="auto"/>
      </w:divBdr>
      <w:divsChild>
        <w:div w:id="19932140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36444199">
      <w:bodyDiv w:val="1"/>
      <w:marLeft w:val="0"/>
      <w:marRight w:val="0"/>
      <w:marTop w:val="0"/>
      <w:marBottom w:val="0"/>
      <w:divBdr>
        <w:top w:val="none" w:sz="0" w:space="0" w:color="auto"/>
        <w:left w:val="none" w:sz="0" w:space="0" w:color="auto"/>
        <w:bottom w:val="none" w:sz="0" w:space="0" w:color="auto"/>
        <w:right w:val="none" w:sz="0" w:space="0" w:color="auto"/>
      </w:divBdr>
    </w:div>
    <w:div w:id="1476797448">
      <w:bodyDiv w:val="1"/>
      <w:marLeft w:val="0"/>
      <w:marRight w:val="0"/>
      <w:marTop w:val="0"/>
      <w:marBottom w:val="0"/>
      <w:divBdr>
        <w:top w:val="none" w:sz="0" w:space="0" w:color="auto"/>
        <w:left w:val="none" w:sz="0" w:space="0" w:color="auto"/>
        <w:bottom w:val="none" w:sz="0" w:space="0" w:color="auto"/>
        <w:right w:val="none" w:sz="0" w:space="0" w:color="auto"/>
      </w:divBdr>
    </w:div>
    <w:div w:id="1499610156">
      <w:bodyDiv w:val="1"/>
      <w:marLeft w:val="0"/>
      <w:marRight w:val="0"/>
      <w:marTop w:val="0"/>
      <w:marBottom w:val="0"/>
      <w:divBdr>
        <w:top w:val="none" w:sz="0" w:space="0" w:color="auto"/>
        <w:left w:val="none" w:sz="0" w:space="0" w:color="auto"/>
        <w:bottom w:val="none" w:sz="0" w:space="0" w:color="auto"/>
        <w:right w:val="none" w:sz="0" w:space="0" w:color="auto"/>
      </w:divBdr>
    </w:div>
    <w:div w:id="1699813707">
      <w:bodyDiv w:val="1"/>
      <w:marLeft w:val="0"/>
      <w:marRight w:val="0"/>
      <w:marTop w:val="0"/>
      <w:marBottom w:val="0"/>
      <w:divBdr>
        <w:top w:val="none" w:sz="0" w:space="0" w:color="auto"/>
        <w:left w:val="none" w:sz="0" w:space="0" w:color="auto"/>
        <w:bottom w:val="none" w:sz="0" w:space="0" w:color="auto"/>
        <w:right w:val="none" w:sz="0" w:space="0" w:color="auto"/>
      </w:divBdr>
    </w:div>
    <w:div w:id="1720281159">
      <w:bodyDiv w:val="1"/>
      <w:marLeft w:val="0"/>
      <w:marRight w:val="0"/>
      <w:marTop w:val="0"/>
      <w:marBottom w:val="0"/>
      <w:divBdr>
        <w:top w:val="none" w:sz="0" w:space="0" w:color="auto"/>
        <w:left w:val="none" w:sz="0" w:space="0" w:color="auto"/>
        <w:bottom w:val="none" w:sz="0" w:space="0" w:color="auto"/>
        <w:right w:val="none" w:sz="0" w:space="0" w:color="auto"/>
      </w:divBdr>
    </w:div>
    <w:div w:id="1733964070">
      <w:bodyDiv w:val="1"/>
      <w:marLeft w:val="0"/>
      <w:marRight w:val="0"/>
      <w:marTop w:val="0"/>
      <w:marBottom w:val="0"/>
      <w:divBdr>
        <w:top w:val="none" w:sz="0" w:space="0" w:color="auto"/>
        <w:left w:val="none" w:sz="0" w:space="0" w:color="auto"/>
        <w:bottom w:val="none" w:sz="0" w:space="0" w:color="auto"/>
        <w:right w:val="none" w:sz="0" w:space="0" w:color="auto"/>
      </w:divBdr>
    </w:div>
    <w:div w:id="1847016085">
      <w:bodyDiv w:val="1"/>
      <w:marLeft w:val="0"/>
      <w:marRight w:val="0"/>
      <w:marTop w:val="0"/>
      <w:marBottom w:val="0"/>
      <w:divBdr>
        <w:top w:val="none" w:sz="0" w:space="0" w:color="auto"/>
        <w:left w:val="none" w:sz="0" w:space="0" w:color="auto"/>
        <w:bottom w:val="none" w:sz="0" w:space="0" w:color="auto"/>
        <w:right w:val="none" w:sz="0" w:space="0" w:color="auto"/>
      </w:divBdr>
    </w:div>
    <w:div w:id="1854879278">
      <w:bodyDiv w:val="1"/>
      <w:marLeft w:val="0"/>
      <w:marRight w:val="0"/>
      <w:marTop w:val="0"/>
      <w:marBottom w:val="0"/>
      <w:divBdr>
        <w:top w:val="none" w:sz="0" w:space="0" w:color="auto"/>
        <w:left w:val="none" w:sz="0" w:space="0" w:color="auto"/>
        <w:bottom w:val="none" w:sz="0" w:space="0" w:color="auto"/>
        <w:right w:val="none" w:sz="0" w:space="0" w:color="auto"/>
      </w:divBdr>
    </w:div>
    <w:div w:id="1984264750">
      <w:bodyDiv w:val="1"/>
      <w:marLeft w:val="0"/>
      <w:marRight w:val="0"/>
      <w:marTop w:val="0"/>
      <w:marBottom w:val="0"/>
      <w:divBdr>
        <w:top w:val="none" w:sz="0" w:space="0" w:color="auto"/>
        <w:left w:val="none" w:sz="0" w:space="0" w:color="auto"/>
        <w:bottom w:val="none" w:sz="0" w:space="0" w:color="auto"/>
        <w:right w:val="none" w:sz="0" w:space="0" w:color="auto"/>
      </w:divBdr>
      <w:divsChild>
        <w:div w:id="11622401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14452662">
      <w:bodyDiv w:val="1"/>
      <w:marLeft w:val="0"/>
      <w:marRight w:val="0"/>
      <w:marTop w:val="0"/>
      <w:marBottom w:val="0"/>
      <w:divBdr>
        <w:top w:val="none" w:sz="0" w:space="0" w:color="auto"/>
        <w:left w:val="none" w:sz="0" w:space="0" w:color="auto"/>
        <w:bottom w:val="none" w:sz="0" w:space="0" w:color="auto"/>
        <w:right w:val="none" w:sz="0" w:space="0" w:color="auto"/>
      </w:divBdr>
    </w:div>
    <w:div w:id="2050181448">
      <w:bodyDiv w:val="1"/>
      <w:marLeft w:val="0"/>
      <w:marRight w:val="0"/>
      <w:marTop w:val="0"/>
      <w:marBottom w:val="0"/>
      <w:divBdr>
        <w:top w:val="none" w:sz="0" w:space="0" w:color="auto"/>
        <w:left w:val="none" w:sz="0" w:space="0" w:color="auto"/>
        <w:bottom w:val="none" w:sz="0" w:space="0" w:color="auto"/>
        <w:right w:val="none" w:sz="0" w:space="0" w:color="auto"/>
      </w:divBdr>
    </w:div>
    <w:div w:id="2139913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dpm.org.cn/collection/paint/228226.html" TargetMode="External"/><Relationship Id="rId18" Type="http://schemas.openxmlformats.org/officeDocument/2006/relationships/hyperlink" Target="https://theme.npm.edu.tw/opendata/"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hyperlink" Target="https://cenacolovinciano.org/en/" TargetMode="External"/><Relationship Id="rId2" Type="http://schemas.openxmlformats.org/officeDocument/2006/relationships/styles" Target="styles.xml"/><Relationship Id="rId16" Type="http://schemas.openxmlformats.org/officeDocument/2006/relationships/hyperlink" Target="http://www.lnmuseum.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hyperlink" Target="https://www.dpm.org.cn/collection/paint/228226.html" TargetMode="Externa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themorgan.org/collection/Life-and-Miracles-of-St-Edmu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10</Pages>
  <Words>2089</Words>
  <Characters>11909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Yanlin Li (2400612)</dc:creator>
  <cp:keywords/>
  <dc:description/>
  <cp:lastModifiedBy>Yanlin Li (2400612)</cp:lastModifiedBy>
  <cp:revision>3</cp:revision>
  <dcterms:created xsi:type="dcterms:W3CDTF">2025-04-23T11:03:00Z</dcterms:created>
  <dcterms:modified xsi:type="dcterms:W3CDTF">2025-04-28T21:41:00Z</dcterms:modified>
</cp:coreProperties>
</file>