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5F12C" w14:textId="24D67E42" w:rsidR="00C445CC" w:rsidRPr="00780AA7" w:rsidRDefault="006B529A" w:rsidP="001A7A5C">
      <w:pPr>
        <w:spacing w:line="360" w:lineRule="auto"/>
        <w:jc w:val="center"/>
        <w:rPr>
          <w:rFonts w:ascii="Arial" w:eastAsia="Aptos" w:hAnsi="Arial" w:cs="Arial"/>
          <w:color w:val="000000" w:themeColor="text1"/>
        </w:rPr>
      </w:pPr>
      <w:r w:rsidRPr="00780AA7">
        <w:rPr>
          <w:rFonts w:ascii="Arial" w:hAnsi="Arial" w:cs="Arial"/>
          <w:noProof/>
          <w:color w:val="000000" w:themeColor="text1"/>
        </w:rPr>
        <w:drawing>
          <wp:inline distT="0" distB="0" distL="0" distR="0" wp14:anchorId="53B664B8" wp14:editId="0820E540">
            <wp:extent cx="4832017" cy="2017986"/>
            <wp:effectExtent l="0" t="0" r="6985" b="1905"/>
            <wp:docPr id="432244430" name="Picture 4"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15757" cy="2052958"/>
                    </a:xfrm>
                    <a:prstGeom prst="rect">
                      <a:avLst/>
                    </a:prstGeom>
                    <a:noFill/>
                    <a:ln>
                      <a:noFill/>
                    </a:ln>
                  </pic:spPr>
                </pic:pic>
              </a:graphicData>
            </a:graphic>
          </wp:inline>
        </w:drawing>
      </w:r>
    </w:p>
    <w:p w14:paraId="2B9FF8AB" w14:textId="77777777" w:rsidR="00527673" w:rsidRPr="00780AA7" w:rsidRDefault="00527673" w:rsidP="001A7A5C">
      <w:pPr>
        <w:spacing w:line="360" w:lineRule="auto"/>
        <w:jc w:val="center"/>
        <w:rPr>
          <w:rFonts w:ascii="Arial" w:eastAsia="Aptos" w:hAnsi="Arial" w:cs="Arial"/>
          <w:color w:val="000000" w:themeColor="text1"/>
        </w:rPr>
      </w:pPr>
    </w:p>
    <w:p w14:paraId="0EFDEFCD" w14:textId="77777777" w:rsidR="00527673" w:rsidRPr="00780AA7" w:rsidRDefault="00527673" w:rsidP="001A7A5C">
      <w:pPr>
        <w:spacing w:line="360" w:lineRule="auto"/>
        <w:jc w:val="center"/>
        <w:rPr>
          <w:rFonts w:ascii="Arial" w:eastAsia="Aptos" w:hAnsi="Arial" w:cs="Arial"/>
          <w:color w:val="000000" w:themeColor="text1"/>
        </w:rPr>
      </w:pPr>
    </w:p>
    <w:p w14:paraId="2EB7E551" w14:textId="63146944" w:rsidR="00C445CC" w:rsidRPr="00780AA7" w:rsidRDefault="00680772" w:rsidP="001A7A5C">
      <w:pPr>
        <w:spacing w:line="360" w:lineRule="auto"/>
        <w:jc w:val="center"/>
        <w:rPr>
          <w:rFonts w:ascii="Arial" w:eastAsia="Aptos" w:hAnsi="Arial" w:cs="Arial"/>
          <w:color w:val="000000" w:themeColor="text1"/>
          <w:sz w:val="32"/>
          <w:szCs w:val="32"/>
        </w:rPr>
      </w:pPr>
      <w:r w:rsidRPr="00780AA7">
        <w:rPr>
          <w:rFonts w:ascii="Arial" w:eastAsia="Aptos" w:hAnsi="Arial" w:cs="Arial"/>
          <w:color w:val="000000" w:themeColor="text1"/>
          <w:sz w:val="32"/>
          <w:szCs w:val="32"/>
        </w:rPr>
        <w:t xml:space="preserve">Student </w:t>
      </w:r>
      <w:r w:rsidR="00877C1A" w:rsidRPr="00780AA7">
        <w:rPr>
          <w:rFonts w:ascii="Arial" w:eastAsia="Aptos" w:hAnsi="Arial" w:cs="Arial"/>
          <w:color w:val="000000" w:themeColor="text1"/>
          <w:sz w:val="32"/>
          <w:szCs w:val="32"/>
        </w:rPr>
        <w:t>Name</w:t>
      </w:r>
      <w:r w:rsidR="00527673" w:rsidRPr="00780AA7">
        <w:rPr>
          <w:rFonts w:ascii="Arial" w:eastAsia="Aptos" w:hAnsi="Arial" w:cs="Arial"/>
          <w:color w:val="000000" w:themeColor="text1"/>
          <w:sz w:val="32"/>
          <w:szCs w:val="32"/>
        </w:rPr>
        <w:t xml:space="preserve">: </w:t>
      </w:r>
      <w:r w:rsidR="00877C1A" w:rsidRPr="00780AA7">
        <w:rPr>
          <w:rFonts w:ascii="Arial" w:eastAsia="Aptos" w:hAnsi="Arial" w:cs="Arial"/>
          <w:color w:val="000000" w:themeColor="text1"/>
          <w:sz w:val="32"/>
          <w:szCs w:val="32"/>
        </w:rPr>
        <w:t xml:space="preserve">Hetvi </w:t>
      </w:r>
      <w:proofErr w:type="spellStart"/>
      <w:r w:rsidR="00877C1A" w:rsidRPr="00780AA7">
        <w:rPr>
          <w:rFonts w:ascii="Arial" w:eastAsia="Aptos" w:hAnsi="Arial" w:cs="Arial"/>
          <w:color w:val="000000" w:themeColor="text1"/>
          <w:sz w:val="32"/>
          <w:szCs w:val="32"/>
        </w:rPr>
        <w:t>Rajendrasinh</w:t>
      </w:r>
      <w:proofErr w:type="spellEnd"/>
      <w:r w:rsidR="00877C1A" w:rsidRPr="00780AA7">
        <w:rPr>
          <w:rFonts w:ascii="Arial" w:eastAsia="Aptos" w:hAnsi="Arial" w:cs="Arial"/>
          <w:color w:val="000000" w:themeColor="text1"/>
          <w:sz w:val="32"/>
          <w:szCs w:val="32"/>
        </w:rPr>
        <w:t xml:space="preserve"> Sangdot</w:t>
      </w:r>
    </w:p>
    <w:p w14:paraId="687AD70F" w14:textId="32D734A3" w:rsidR="00B31A5F" w:rsidRPr="00780AA7" w:rsidRDefault="00B31A5F" w:rsidP="001A7A5C">
      <w:pPr>
        <w:spacing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 xml:space="preserve">Student ID </w:t>
      </w:r>
      <w:r w:rsidR="00877C1A" w:rsidRPr="00780AA7">
        <w:rPr>
          <w:rFonts w:ascii="Arial" w:hAnsi="Arial" w:cs="Arial"/>
          <w:color w:val="000000" w:themeColor="text1"/>
          <w:sz w:val="32"/>
          <w:szCs w:val="32"/>
        </w:rPr>
        <w:t>Number</w:t>
      </w:r>
      <w:r w:rsidR="00527673" w:rsidRPr="00780AA7">
        <w:rPr>
          <w:rFonts w:ascii="Arial" w:hAnsi="Arial" w:cs="Arial"/>
          <w:color w:val="000000" w:themeColor="text1"/>
          <w:sz w:val="32"/>
          <w:szCs w:val="32"/>
        </w:rPr>
        <w:t>: 2526007</w:t>
      </w:r>
    </w:p>
    <w:p w14:paraId="0B1A8ACD" w14:textId="1900E3F1" w:rsidR="005071A6" w:rsidRPr="00780AA7" w:rsidRDefault="005071A6" w:rsidP="001A7A5C">
      <w:pPr>
        <w:spacing w:before="120" w:after="120" w:line="360" w:lineRule="auto"/>
        <w:jc w:val="center"/>
        <w:rPr>
          <w:rFonts w:ascii="Arial" w:hAnsi="Arial" w:cs="Arial"/>
          <w:color w:val="000000" w:themeColor="text1"/>
          <w:sz w:val="32"/>
          <w:szCs w:val="32"/>
        </w:rPr>
      </w:pPr>
      <w:proofErr w:type="spellStart"/>
      <w:r w:rsidRPr="00780AA7">
        <w:rPr>
          <w:rFonts w:ascii="Arial" w:hAnsi="Arial" w:cs="Arial"/>
          <w:color w:val="000000" w:themeColor="text1"/>
          <w:sz w:val="32"/>
          <w:szCs w:val="32"/>
        </w:rPr>
        <w:t>Programme</w:t>
      </w:r>
      <w:proofErr w:type="spellEnd"/>
      <w:r w:rsidR="00527673" w:rsidRPr="00780AA7">
        <w:rPr>
          <w:rFonts w:ascii="Arial" w:hAnsi="Arial" w:cs="Arial"/>
          <w:color w:val="000000" w:themeColor="text1"/>
          <w:sz w:val="32"/>
          <w:szCs w:val="32"/>
        </w:rPr>
        <w:t xml:space="preserve">: </w:t>
      </w:r>
      <w:proofErr w:type="spellStart"/>
      <w:r w:rsidR="00877C1A" w:rsidRPr="00780AA7">
        <w:rPr>
          <w:rFonts w:ascii="Arial" w:hAnsi="Arial" w:cs="Arial"/>
          <w:color w:val="000000" w:themeColor="text1"/>
          <w:sz w:val="32"/>
          <w:szCs w:val="32"/>
        </w:rPr>
        <w:t>Msc</w:t>
      </w:r>
      <w:proofErr w:type="spell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 xml:space="preserve">Public Health </w:t>
      </w:r>
      <w:proofErr w:type="gramStart"/>
      <w:r w:rsidR="00877C1A" w:rsidRPr="00780AA7">
        <w:rPr>
          <w:rFonts w:ascii="Arial" w:hAnsi="Arial" w:cs="Arial"/>
          <w:color w:val="000000" w:themeColor="text1"/>
          <w:sz w:val="32"/>
          <w:szCs w:val="32"/>
        </w:rPr>
        <w:t>And</w:t>
      </w:r>
      <w:proofErr w:type="gram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 xml:space="preserve">Social Care </w:t>
      </w:r>
      <w:proofErr w:type="gramStart"/>
      <w:r w:rsidR="00877C1A" w:rsidRPr="00780AA7">
        <w:rPr>
          <w:rFonts w:ascii="Arial" w:hAnsi="Arial" w:cs="Arial"/>
          <w:color w:val="000000" w:themeColor="text1"/>
          <w:sz w:val="32"/>
          <w:szCs w:val="32"/>
        </w:rPr>
        <w:t>In</w:t>
      </w:r>
      <w:proofErr w:type="gram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Practice</w:t>
      </w:r>
    </w:p>
    <w:p w14:paraId="37821BBE" w14:textId="47CEDBC1" w:rsidR="005071A6" w:rsidRPr="00780AA7" w:rsidRDefault="005071A6" w:rsidP="001A7A5C">
      <w:pPr>
        <w:spacing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Module</w:t>
      </w:r>
      <w:r w:rsidR="00527673" w:rsidRPr="00780AA7">
        <w:rPr>
          <w:rFonts w:ascii="Arial" w:hAnsi="Arial" w:cs="Arial"/>
          <w:color w:val="000000" w:themeColor="text1"/>
          <w:sz w:val="32"/>
          <w:szCs w:val="32"/>
        </w:rPr>
        <w:t xml:space="preserve">: </w:t>
      </w:r>
      <w:proofErr w:type="spellStart"/>
      <w:r w:rsidR="00877C1A" w:rsidRPr="00780AA7">
        <w:rPr>
          <w:rFonts w:ascii="Arial" w:hAnsi="Arial" w:cs="Arial"/>
          <w:color w:val="000000" w:themeColor="text1"/>
          <w:sz w:val="32"/>
          <w:szCs w:val="32"/>
        </w:rPr>
        <w:t>Pulation</w:t>
      </w:r>
      <w:proofErr w:type="spell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 xml:space="preserve">Health </w:t>
      </w:r>
      <w:proofErr w:type="gramStart"/>
      <w:r w:rsidR="00877C1A" w:rsidRPr="00780AA7">
        <w:rPr>
          <w:rFonts w:ascii="Arial" w:hAnsi="Arial" w:cs="Arial"/>
          <w:color w:val="000000" w:themeColor="text1"/>
          <w:sz w:val="32"/>
          <w:szCs w:val="32"/>
        </w:rPr>
        <w:t>And</w:t>
      </w:r>
      <w:proofErr w:type="gram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Digital Health Promotion</w:t>
      </w:r>
    </w:p>
    <w:p w14:paraId="0856AB26" w14:textId="55DF9BE7" w:rsidR="00E452BE" w:rsidRPr="00780AA7" w:rsidRDefault="005071A6" w:rsidP="001A7A5C">
      <w:pPr>
        <w:spacing w:before="120" w:after="120"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 xml:space="preserve">Module </w:t>
      </w:r>
      <w:r w:rsidR="00877C1A" w:rsidRPr="00780AA7">
        <w:rPr>
          <w:rFonts w:ascii="Arial" w:hAnsi="Arial" w:cs="Arial"/>
          <w:color w:val="000000" w:themeColor="text1"/>
          <w:sz w:val="32"/>
          <w:szCs w:val="32"/>
        </w:rPr>
        <w:t>Code</w:t>
      </w:r>
      <w:r w:rsidR="00527673" w:rsidRPr="00780AA7">
        <w:rPr>
          <w:rFonts w:ascii="Arial" w:hAnsi="Arial" w:cs="Arial"/>
          <w:color w:val="000000" w:themeColor="text1"/>
          <w:sz w:val="32"/>
          <w:szCs w:val="32"/>
        </w:rPr>
        <w:t xml:space="preserve">: </w:t>
      </w:r>
      <w:r w:rsidR="009F280B" w:rsidRPr="00780AA7">
        <w:rPr>
          <w:rFonts w:ascii="Arial" w:hAnsi="Arial" w:cs="Arial"/>
          <w:color w:val="000000" w:themeColor="text1"/>
          <w:sz w:val="32"/>
          <w:szCs w:val="32"/>
        </w:rPr>
        <w:t>LCHS7009</w:t>
      </w:r>
    </w:p>
    <w:p w14:paraId="5AE0E94D"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501F1C2E"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313FC7DE"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7AC7AC7C"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264CE152"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61EF724A"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661A9401" w14:textId="77777777" w:rsidR="001D78CA" w:rsidRPr="00780AA7" w:rsidRDefault="001D78CA" w:rsidP="001A7A5C">
      <w:pPr>
        <w:spacing w:before="120" w:after="120" w:line="360" w:lineRule="auto"/>
        <w:jc w:val="both"/>
        <w:rPr>
          <w:rFonts w:ascii="Arial" w:hAnsi="Arial" w:cs="Arial"/>
          <w:color w:val="000000" w:themeColor="text1"/>
        </w:rPr>
      </w:pPr>
    </w:p>
    <w:sdt>
      <w:sdtPr>
        <w:rPr>
          <w:rFonts w:ascii="Arial" w:eastAsiaTheme="minorEastAsia" w:hAnsi="Arial" w:cs="Arial"/>
          <w:color w:val="auto"/>
          <w:sz w:val="24"/>
          <w:szCs w:val="24"/>
          <w:lang w:eastAsia="ja-JP"/>
        </w:rPr>
        <w:id w:val="-1646427102"/>
        <w:docPartObj>
          <w:docPartGallery w:val="Table of Contents"/>
          <w:docPartUnique/>
        </w:docPartObj>
      </w:sdtPr>
      <w:sdtEndPr>
        <w:rPr>
          <w:noProof/>
        </w:rPr>
      </w:sdtEndPr>
      <w:sdtContent>
        <w:p w14:paraId="46DFDE7C" w14:textId="671C978E" w:rsidR="00295508" w:rsidRPr="001A7A5C" w:rsidRDefault="00295508" w:rsidP="001A7A5C">
          <w:pPr>
            <w:pStyle w:val="TOCHeading"/>
            <w:spacing w:line="360" w:lineRule="auto"/>
            <w:jc w:val="center"/>
            <w:rPr>
              <w:rFonts w:ascii="Arial" w:hAnsi="Arial" w:cs="Arial"/>
              <w:b/>
              <w:bCs/>
              <w:sz w:val="28"/>
              <w:szCs w:val="28"/>
            </w:rPr>
          </w:pPr>
          <w:r w:rsidRPr="001A7A5C">
            <w:rPr>
              <w:rFonts w:ascii="Arial" w:hAnsi="Arial" w:cs="Arial"/>
              <w:b/>
              <w:bCs/>
            </w:rPr>
            <w:t>Table of Contents</w:t>
          </w:r>
        </w:p>
        <w:p w14:paraId="3A1E7D5D" w14:textId="77777777" w:rsidR="001A7A5C" w:rsidRPr="001A7A5C" w:rsidRDefault="001A7A5C" w:rsidP="001A7A5C">
          <w:pPr>
            <w:rPr>
              <w:lang w:eastAsia="en-US"/>
            </w:rPr>
          </w:pPr>
        </w:p>
        <w:p w14:paraId="7230970A" w14:textId="6396061C" w:rsidR="00C911B9" w:rsidRDefault="00295508">
          <w:pPr>
            <w:pStyle w:val="TOC1"/>
            <w:tabs>
              <w:tab w:val="right" w:leader="dot" w:pos="9350"/>
            </w:tabs>
            <w:rPr>
              <w:noProof/>
              <w:kern w:val="2"/>
              <w:lang w:eastAsia="en-US"/>
              <w14:ligatures w14:val="standardContextual"/>
            </w:rPr>
          </w:pPr>
          <w:r w:rsidRPr="00780AA7">
            <w:rPr>
              <w:rFonts w:ascii="Arial" w:hAnsi="Arial" w:cs="Arial"/>
              <w:sz w:val="28"/>
              <w:szCs w:val="28"/>
            </w:rPr>
            <w:fldChar w:fldCharType="begin"/>
          </w:r>
          <w:r w:rsidRPr="00780AA7">
            <w:rPr>
              <w:rFonts w:ascii="Arial" w:hAnsi="Arial" w:cs="Arial"/>
              <w:sz w:val="28"/>
              <w:szCs w:val="28"/>
            </w:rPr>
            <w:instrText xml:space="preserve"> TOC \o "1-3" \h \z \u </w:instrText>
          </w:r>
          <w:r w:rsidRPr="00780AA7">
            <w:rPr>
              <w:rFonts w:ascii="Arial" w:hAnsi="Arial" w:cs="Arial"/>
              <w:sz w:val="28"/>
              <w:szCs w:val="28"/>
            </w:rPr>
            <w:fldChar w:fldCharType="separate"/>
          </w:r>
          <w:hyperlink w:anchor="_Toc233962515" w:history="1">
            <w:r w:rsidR="00C911B9" w:rsidRPr="00ED52C5">
              <w:rPr>
                <w:rStyle w:val="Hyperlink"/>
                <w:rFonts w:ascii="Arial" w:hAnsi="Arial" w:cs="Arial"/>
                <w:noProof/>
              </w:rPr>
              <w:t>Blog 1: Breaking the Cycle of Period Pain: How Mobile Health Apps Are Transforming Dysmenorrhoea Management Among Young Women in the Uk</w:t>
            </w:r>
            <w:r w:rsidR="00C911B9">
              <w:rPr>
                <w:noProof/>
                <w:webHidden/>
              </w:rPr>
              <w:tab/>
            </w:r>
            <w:r w:rsidR="00C911B9">
              <w:rPr>
                <w:noProof/>
                <w:webHidden/>
              </w:rPr>
              <w:fldChar w:fldCharType="begin"/>
            </w:r>
            <w:r w:rsidR="00C911B9">
              <w:rPr>
                <w:noProof/>
                <w:webHidden/>
              </w:rPr>
              <w:instrText xml:space="preserve"> PAGEREF _Toc233962515 \h </w:instrText>
            </w:r>
            <w:r w:rsidR="00C911B9">
              <w:rPr>
                <w:noProof/>
                <w:webHidden/>
              </w:rPr>
            </w:r>
            <w:r w:rsidR="00C911B9">
              <w:rPr>
                <w:noProof/>
                <w:webHidden/>
              </w:rPr>
              <w:fldChar w:fldCharType="separate"/>
            </w:r>
            <w:r w:rsidR="00C911B9">
              <w:rPr>
                <w:noProof/>
                <w:webHidden/>
              </w:rPr>
              <w:t>2</w:t>
            </w:r>
            <w:r w:rsidR="00C911B9">
              <w:rPr>
                <w:noProof/>
                <w:webHidden/>
              </w:rPr>
              <w:fldChar w:fldCharType="end"/>
            </w:r>
          </w:hyperlink>
        </w:p>
        <w:p w14:paraId="4D1F53DE" w14:textId="6A191EE4" w:rsidR="00C911B9" w:rsidRDefault="00C911B9">
          <w:pPr>
            <w:pStyle w:val="TOC2"/>
            <w:rPr>
              <w:noProof/>
              <w:kern w:val="2"/>
              <w:lang w:eastAsia="en-US"/>
              <w14:ligatures w14:val="standardContextual"/>
            </w:rPr>
          </w:pPr>
          <w:hyperlink w:anchor="_Toc233962516" w:history="1">
            <w:r w:rsidRPr="00ED52C5">
              <w:rPr>
                <w:rStyle w:val="Hyperlink"/>
                <w:rFonts w:ascii="Arial" w:eastAsia="Arial" w:hAnsi="Arial" w:cs="Arial"/>
                <w:noProof/>
              </w:rPr>
              <w:t>1.1.</w:t>
            </w:r>
            <w:r>
              <w:rPr>
                <w:noProof/>
                <w:kern w:val="2"/>
                <w:lang w:eastAsia="en-US"/>
                <w14:ligatures w14:val="standardContextual"/>
              </w:rPr>
              <w:tab/>
            </w:r>
            <w:r w:rsidRPr="00ED52C5">
              <w:rPr>
                <w:rStyle w:val="Hyperlink"/>
                <w:rFonts w:ascii="Arial" w:eastAsia="Arial" w:hAnsi="Arial" w:cs="Arial"/>
                <w:noProof/>
              </w:rPr>
              <w:t>The Public Health Problem</w:t>
            </w:r>
            <w:r>
              <w:rPr>
                <w:noProof/>
                <w:webHidden/>
              </w:rPr>
              <w:tab/>
            </w:r>
            <w:r>
              <w:rPr>
                <w:noProof/>
                <w:webHidden/>
              </w:rPr>
              <w:fldChar w:fldCharType="begin"/>
            </w:r>
            <w:r>
              <w:rPr>
                <w:noProof/>
                <w:webHidden/>
              </w:rPr>
              <w:instrText xml:space="preserve"> PAGEREF _Toc233962516 \h </w:instrText>
            </w:r>
            <w:r>
              <w:rPr>
                <w:noProof/>
                <w:webHidden/>
              </w:rPr>
            </w:r>
            <w:r>
              <w:rPr>
                <w:noProof/>
                <w:webHidden/>
              </w:rPr>
              <w:fldChar w:fldCharType="separate"/>
            </w:r>
            <w:r>
              <w:rPr>
                <w:noProof/>
                <w:webHidden/>
              </w:rPr>
              <w:t>3</w:t>
            </w:r>
            <w:r>
              <w:rPr>
                <w:noProof/>
                <w:webHidden/>
              </w:rPr>
              <w:fldChar w:fldCharType="end"/>
            </w:r>
          </w:hyperlink>
        </w:p>
        <w:p w14:paraId="45E14197" w14:textId="340A0D41" w:rsidR="00C911B9" w:rsidRDefault="00C911B9">
          <w:pPr>
            <w:pStyle w:val="TOC2"/>
            <w:rPr>
              <w:noProof/>
              <w:kern w:val="2"/>
              <w:lang w:eastAsia="en-US"/>
              <w14:ligatures w14:val="standardContextual"/>
            </w:rPr>
          </w:pPr>
          <w:hyperlink w:anchor="_Toc233962517" w:history="1">
            <w:r w:rsidRPr="00ED52C5">
              <w:rPr>
                <w:rStyle w:val="Hyperlink"/>
                <w:rFonts w:ascii="Arial" w:eastAsia="Arial" w:hAnsi="Arial" w:cs="Arial"/>
                <w:noProof/>
              </w:rPr>
              <w:t>1.2.</w:t>
            </w:r>
            <w:r>
              <w:rPr>
                <w:noProof/>
                <w:kern w:val="2"/>
                <w:lang w:eastAsia="en-US"/>
                <w14:ligatures w14:val="standardContextual"/>
              </w:rPr>
              <w:tab/>
            </w:r>
            <w:r w:rsidRPr="00ED52C5">
              <w:rPr>
                <w:rStyle w:val="Hyperlink"/>
                <w:rFonts w:ascii="Arial" w:eastAsia="Arial" w:hAnsi="Arial" w:cs="Arial"/>
                <w:noProof/>
              </w:rPr>
              <w:t>The Digital Technology: Clue App</w:t>
            </w:r>
            <w:r>
              <w:rPr>
                <w:noProof/>
                <w:webHidden/>
              </w:rPr>
              <w:tab/>
            </w:r>
            <w:r>
              <w:rPr>
                <w:noProof/>
                <w:webHidden/>
              </w:rPr>
              <w:fldChar w:fldCharType="begin"/>
            </w:r>
            <w:r>
              <w:rPr>
                <w:noProof/>
                <w:webHidden/>
              </w:rPr>
              <w:instrText xml:space="preserve"> PAGEREF _Toc233962517 \h </w:instrText>
            </w:r>
            <w:r>
              <w:rPr>
                <w:noProof/>
                <w:webHidden/>
              </w:rPr>
            </w:r>
            <w:r>
              <w:rPr>
                <w:noProof/>
                <w:webHidden/>
              </w:rPr>
              <w:fldChar w:fldCharType="separate"/>
            </w:r>
            <w:r>
              <w:rPr>
                <w:noProof/>
                <w:webHidden/>
              </w:rPr>
              <w:t>4</w:t>
            </w:r>
            <w:r>
              <w:rPr>
                <w:noProof/>
                <w:webHidden/>
              </w:rPr>
              <w:fldChar w:fldCharType="end"/>
            </w:r>
          </w:hyperlink>
        </w:p>
        <w:p w14:paraId="6D9E24CE" w14:textId="4717C55D" w:rsidR="00C911B9" w:rsidRDefault="00C911B9">
          <w:pPr>
            <w:pStyle w:val="TOC2"/>
            <w:rPr>
              <w:noProof/>
              <w:kern w:val="2"/>
              <w:lang w:eastAsia="en-US"/>
              <w14:ligatures w14:val="standardContextual"/>
            </w:rPr>
          </w:pPr>
          <w:hyperlink w:anchor="_Toc233962518" w:history="1">
            <w:r w:rsidRPr="00ED52C5">
              <w:rPr>
                <w:rStyle w:val="Hyperlink"/>
                <w:rFonts w:ascii="Arial" w:eastAsia="Aptos" w:hAnsi="Arial" w:cs="Arial"/>
                <w:noProof/>
              </w:rPr>
              <w:t>1.3.</w:t>
            </w:r>
            <w:r>
              <w:rPr>
                <w:noProof/>
                <w:kern w:val="2"/>
                <w:lang w:eastAsia="en-US"/>
                <w14:ligatures w14:val="standardContextual"/>
              </w:rPr>
              <w:tab/>
            </w:r>
            <w:r w:rsidRPr="00ED52C5">
              <w:rPr>
                <w:rStyle w:val="Hyperlink"/>
                <w:rFonts w:ascii="Arial" w:eastAsia="Aptos" w:hAnsi="Arial" w:cs="Arial"/>
                <w:noProof/>
              </w:rPr>
              <w:t>Advantages of Clue for Dysmenorrhoea Management</w:t>
            </w:r>
            <w:r>
              <w:rPr>
                <w:noProof/>
                <w:webHidden/>
              </w:rPr>
              <w:tab/>
            </w:r>
            <w:r>
              <w:rPr>
                <w:noProof/>
                <w:webHidden/>
              </w:rPr>
              <w:fldChar w:fldCharType="begin"/>
            </w:r>
            <w:r>
              <w:rPr>
                <w:noProof/>
                <w:webHidden/>
              </w:rPr>
              <w:instrText xml:space="preserve"> PAGEREF _Toc233962518 \h </w:instrText>
            </w:r>
            <w:r>
              <w:rPr>
                <w:noProof/>
                <w:webHidden/>
              </w:rPr>
            </w:r>
            <w:r>
              <w:rPr>
                <w:noProof/>
                <w:webHidden/>
              </w:rPr>
              <w:fldChar w:fldCharType="separate"/>
            </w:r>
            <w:r>
              <w:rPr>
                <w:noProof/>
                <w:webHidden/>
              </w:rPr>
              <w:t>5</w:t>
            </w:r>
            <w:r>
              <w:rPr>
                <w:noProof/>
                <w:webHidden/>
              </w:rPr>
              <w:fldChar w:fldCharType="end"/>
            </w:r>
          </w:hyperlink>
        </w:p>
        <w:p w14:paraId="66F6E2B4" w14:textId="4868B6E5" w:rsidR="00C911B9" w:rsidRDefault="00C911B9">
          <w:pPr>
            <w:pStyle w:val="TOC2"/>
            <w:rPr>
              <w:noProof/>
              <w:kern w:val="2"/>
              <w:lang w:eastAsia="en-US"/>
              <w14:ligatures w14:val="standardContextual"/>
            </w:rPr>
          </w:pPr>
          <w:hyperlink w:anchor="_Toc233962519" w:history="1">
            <w:r w:rsidRPr="00ED52C5">
              <w:rPr>
                <w:rStyle w:val="Hyperlink"/>
                <w:rFonts w:ascii="Arial" w:eastAsia="Aptos" w:hAnsi="Arial" w:cs="Arial"/>
                <w:noProof/>
              </w:rPr>
              <w:t>1.4.</w:t>
            </w:r>
            <w:r>
              <w:rPr>
                <w:noProof/>
                <w:kern w:val="2"/>
                <w:lang w:eastAsia="en-US"/>
                <w14:ligatures w14:val="standardContextual"/>
              </w:rPr>
              <w:tab/>
            </w:r>
            <w:r w:rsidRPr="00ED52C5">
              <w:rPr>
                <w:rStyle w:val="Hyperlink"/>
                <w:rFonts w:ascii="Arial" w:eastAsia="Aptos" w:hAnsi="Arial" w:cs="Arial"/>
                <w:noProof/>
              </w:rPr>
              <w:t>Disadvantages and Shortfalls of Clue</w:t>
            </w:r>
            <w:r>
              <w:rPr>
                <w:noProof/>
                <w:webHidden/>
              </w:rPr>
              <w:tab/>
            </w:r>
            <w:r>
              <w:rPr>
                <w:noProof/>
                <w:webHidden/>
              </w:rPr>
              <w:fldChar w:fldCharType="begin"/>
            </w:r>
            <w:r>
              <w:rPr>
                <w:noProof/>
                <w:webHidden/>
              </w:rPr>
              <w:instrText xml:space="preserve"> PAGEREF _Toc233962519 \h </w:instrText>
            </w:r>
            <w:r>
              <w:rPr>
                <w:noProof/>
                <w:webHidden/>
              </w:rPr>
            </w:r>
            <w:r>
              <w:rPr>
                <w:noProof/>
                <w:webHidden/>
              </w:rPr>
              <w:fldChar w:fldCharType="separate"/>
            </w:r>
            <w:r>
              <w:rPr>
                <w:noProof/>
                <w:webHidden/>
              </w:rPr>
              <w:t>5</w:t>
            </w:r>
            <w:r>
              <w:rPr>
                <w:noProof/>
                <w:webHidden/>
              </w:rPr>
              <w:fldChar w:fldCharType="end"/>
            </w:r>
          </w:hyperlink>
        </w:p>
        <w:p w14:paraId="2863F493" w14:textId="712FA6A8" w:rsidR="00C911B9" w:rsidRDefault="00C911B9">
          <w:pPr>
            <w:pStyle w:val="TOC2"/>
            <w:rPr>
              <w:noProof/>
              <w:kern w:val="2"/>
              <w:lang w:eastAsia="en-US"/>
              <w14:ligatures w14:val="standardContextual"/>
            </w:rPr>
          </w:pPr>
          <w:hyperlink w:anchor="_Toc233962520" w:history="1">
            <w:r w:rsidRPr="00ED52C5">
              <w:rPr>
                <w:rStyle w:val="Hyperlink"/>
                <w:rFonts w:ascii="Arial" w:hAnsi="Arial" w:cs="Arial"/>
                <w:noProof/>
              </w:rPr>
              <w:t>1.5.</w:t>
            </w:r>
            <w:r>
              <w:rPr>
                <w:noProof/>
                <w:kern w:val="2"/>
                <w:lang w:eastAsia="en-US"/>
                <w14:ligatures w14:val="standardContextual"/>
              </w:rPr>
              <w:tab/>
            </w:r>
            <w:r w:rsidRPr="00ED52C5">
              <w:rPr>
                <w:rStyle w:val="Hyperlink"/>
                <w:rFonts w:ascii="Arial" w:hAnsi="Arial" w:cs="Arial"/>
                <w:noProof/>
              </w:rPr>
              <w:t>Addressing the Shortfalls</w:t>
            </w:r>
            <w:r>
              <w:rPr>
                <w:noProof/>
                <w:webHidden/>
              </w:rPr>
              <w:tab/>
            </w:r>
            <w:r>
              <w:rPr>
                <w:noProof/>
                <w:webHidden/>
              </w:rPr>
              <w:fldChar w:fldCharType="begin"/>
            </w:r>
            <w:r>
              <w:rPr>
                <w:noProof/>
                <w:webHidden/>
              </w:rPr>
              <w:instrText xml:space="preserve"> PAGEREF _Toc233962520 \h </w:instrText>
            </w:r>
            <w:r>
              <w:rPr>
                <w:noProof/>
                <w:webHidden/>
              </w:rPr>
            </w:r>
            <w:r>
              <w:rPr>
                <w:noProof/>
                <w:webHidden/>
              </w:rPr>
              <w:fldChar w:fldCharType="separate"/>
            </w:r>
            <w:r>
              <w:rPr>
                <w:noProof/>
                <w:webHidden/>
              </w:rPr>
              <w:t>6</w:t>
            </w:r>
            <w:r>
              <w:rPr>
                <w:noProof/>
                <w:webHidden/>
              </w:rPr>
              <w:fldChar w:fldCharType="end"/>
            </w:r>
          </w:hyperlink>
        </w:p>
        <w:p w14:paraId="1DAA756F" w14:textId="08827F95" w:rsidR="00C911B9" w:rsidRDefault="00C911B9">
          <w:pPr>
            <w:pStyle w:val="TOC1"/>
            <w:tabs>
              <w:tab w:val="right" w:leader="dot" w:pos="9350"/>
            </w:tabs>
            <w:rPr>
              <w:noProof/>
              <w:kern w:val="2"/>
              <w:lang w:eastAsia="en-US"/>
              <w14:ligatures w14:val="standardContextual"/>
            </w:rPr>
          </w:pPr>
          <w:hyperlink w:anchor="_Toc233962521" w:history="1">
            <w:r w:rsidRPr="00ED52C5">
              <w:rPr>
                <w:rStyle w:val="Hyperlink"/>
                <w:rFonts w:ascii="Arial" w:hAnsi="Arial" w:cs="Arial"/>
                <w:noProof/>
              </w:rPr>
              <w:t>Blog 2: CycleWell : A Designed Digital Technology for Dysmenorrhoea Self-Management</w:t>
            </w:r>
            <w:r>
              <w:rPr>
                <w:noProof/>
                <w:webHidden/>
              </w:rPr>
              <w:tab/>
            </w:r>
            <w:r>
              <w:rPr>
                <w:noProof/>
                <w:webHidden/>
              </w:rPr>
              <w:fldChar w:fldCharType="begin"/>
            </w:r>
            <w:r>
              <w:rPr>
                <w:noProof/>
                <w:webHidden/>
              </w:rPr>
              <w:instrText xml:space="preserve"> PAGEREF _Toc233962521 \h </w:instrText>
            </w:r>
            <w:r>
              <w:rPr>
                <w:noProof/>
                <w:webHidden/>
              </w:rPr>
            </w:r>
            <w:r>
              <w:rPr>
                <w:noProof/>
                <w:webHidden/>
              </w:rPr>
              <w:fldChar w:fldCharType="separate"/>
            </w:r>
            <w:r>
              <w:rPr>
                <w:noProof/>
                <w:webHidden/>
              </w:rPr>
              <w:t>7</w:t>
            </w:r>
            <w:r>
              <w:rPr>
                <w:noProof/>
                <w:webHidden/>
              </w:rPr>
              <w:fldChar w:fldCharType="end"/>
            </w:r>
          </w:hyperlink>
        </w:p>
        <w:p w14:paraId="2F67E87C" w14:textId="714B6C0A" w:rsidR="00C911B9" w:rsidRDefault="00C911B9">
          <w:pPr>
            <w:pStyle w:val="TOC2"/>
            <w:rPr>
              <w:noProof/>
              <w:kern w:val="2"/>
              <w:lang w:eastAsia="en-US"/>
              <w14:ligatures w14:val="standardContextual"/>
            </w:rPr>
          </w:pPr>
          <w:hyperlink w:anchor="_Toc233962522" w:history="1">
            <w:r w:rsidRPr="00ED52C5">
              <w:rPr>
                <w:rStyle w:val="Hyperlink"/>
                <w:rFonts w:ascii="Arial" w:hAnsi="Arial" w:cs="Arial"/>
                <w:noProof/>
              </w:rPr>
              <w:t>2.1. The Public Health Proble</w:t>
            </w:r>
            <w:r>
              <w:rPr>
                <w:noProof/>
                <w:webHidden/>
              </w:rPr>
              <w:tab/>
            </w:r>
            <w:r>
              <w:rPr>
                <w:noProof/>
                <w:webHidden/>
              </w:rPr>
              <w:fldChar w:fldCharType="begin"/>
            </w:r>
            <w:r>
              <w:rPr>
                <w:noProof/>
                <w:webHidden/>
              </w:rPr>
              <w:instrText xml:space="preserve"> PAGEREF _Toc233962522 \h </w:instrText>
            </w:r>
            <w:r>
              <w:rPr>
                <w:noProof/>
                <w:webHidden/>
              </w:rPr>
            </w:r>
            <w:r>
              <w:rPr>
                <w:noProof/>
                <w:webHidden/>
              </w:rPr>
              <w:fldChar w:fldCharType="separate"/>
            </w:r>
            <w:r>
              <w:rPr>
                <w:noProof/>
                <w:webHidden/>
              </w:rPr>
              <w:t>7</w:t>
            </w:r>
            <w:r>
              <w:rPr>
                <w:noProof/>
                <w:webHidden/>
              </w:rPr>
              <w:fldChar w:fldCharType="end"/>
            </w:r>
          </w:hyperlink>
        </w:p>
        <w:p w14:paraId="404EA9A0" w14:textId="49A9DBAB" w:rsidR="00C911B9" w:rsidRDefault="00C911B9">
          <w:pPr>
            <w:pStyle w:val="TOC2"/>
            <w:rPr>
              <w:noProof/>
              <w:kern w:val="2"/>
              <w:lang w:eastAsia="en-US"/>
              <w14:ligatures w14:val="standardContextual"/>
            </w:rPr>
          </w:pPr>
          <w:hyperlink w:anchor="_Toc233962523" w:history="1">
            <w:r w:rsidRPr="00ED52C5">
              <w:rPr>
                <w:rStyle w:val="Hyperlink"/>
                <w:rFonts w:ascii="Arial" w:hAnsi="Arial" w:cs="Arial"/>
                <w:noProof/>
              </w:rPr>
              <w:t>2.2. The Designed Technology: CycleWell</w:t>
            </w:r>
            <w:r>
              <w:rPr>
                <w:noProof/>
                <w:webHidden/>
              </w:rPr>
              <w:tab/>
            </w:r>
            <w:r>
              <w:rPr>
                <w:noProof/>
                <w:webHidden/>
              </w:rPr>
              <w:fldChar w:fldCharType="begin"/>
            </w:r>
            <w:r>
              <w:rPr>
                <w:noProof/>
                <w:webHidden/>
              </w:rPr>
              <w:instrText xml:space="preserve"> PAGEREF _Toc233962523 \h </w:instrText>
            </w:r>
            <w:r>
              <w:rPr>
                <w:noProof/>
                <w:webHidden/>
              </w:rPr>
            </w:r>
            <w:r>
              <w:rPr>
                <w:noProof/>
                <w:webHidden/>
              </w:rPr>
              <w:fldChar w:fldCharType="separate"/>
            </w:r>
            <w:r>
              <w:rPr>
                <w:noProof/>
                <w:webHidden/>
              </w:rPr>
              <w:t>8</w:t>
            </w:r>
            <w:r>
              <w:rPr>
                <w:noProof/>
                <w:webHidden/>
              </w:rPr>
              <w:fldChar w:fldCharType="end"/>
            </w:r>
          </w:hyperlink>
        </w:p>
        <w:p w14:paraId="24CE2B08" w14:textId="51A905F8" w:rsidR="00C911B9" w:rsidRDefault="00C911B9">
          <w:pPr>
            <w:pStyle w:val="TOC2"/>
            <w:rPr>
              <w:noProof/>
              <w:kern w:val="2"/>
              <w:lang w:eastAsia="en-US"/>
              <w14:ligatures w14:val="standardContextual"/>
            </w:rPr>
          </w:pPr>
          <w:hyperlink w:anchor="_Toc233962524" w:history="1">
            <w:r w:rsidRPr="00ED52C5">
              <w:rPr>
                <w:rStyle w:val="Hyperlink"/>
                <w:rFonts w:ascii="Arial" w:hAnsi="Arial" w:cs="Arial"/>
                <w:noProof/>
              </w:rPr>
              <w:t>2.3. Use in Health Promotion</w:t>
            </w:r>
            <w:r>
              <w:rPr>
                <w:noProof/>
                <w:webHidden/>
              </w:rPr>
              <w:tab/>
            </w:r>
            <w:r>
              <w:rPr>
                <w:noProof/>
                <w:webHidden/>
              </w:rPr>
              <w:fldChar w:fldCharType="begin"/>
            </w:r>
            <w:r>
              <w:rPr>
                <w:noProof/>
                <w:webHidden/>
              </w:rPr>
              <w:instrText xml:space="preserve"> PAGEREF _Toc233962524 \h </w:instrText>
            </w:r>
            <w:r>
              <w:rPr>
                <w:noProof/>
                <w:webHidden/>
              </w:rPr>
            </w:r>
            <w:r>
              <w:rPr>
                <w:noProof/>
                <w:webHidden/>
              </w:rPr>
              <w:fldChar w:fldCharType="separate"/>
            </w:r>
            <w:r>
              <w:rPr>
                <w:noProof/>
                <w:webHidden/>
              </w:rPr>
              <w:t>8</w:t>
            </w:r>
            <w:r>
              <w:rPr>
                <w:noProof/>
                <w:webHidden/>
              </w:rPr>
              <w:fldChar w:fldCharType="end"/>
            </w:r>
          </w:hyperlink>
        </w:p>
        <w:p w14:paraId="14558576" w14:textId="0919F32C" w:rsidR="00C911B9" w:rsidRDefault="00C911B9">
          <w:pPr>
            <w:pStyle w:val="TOC2"/>
            <w:rPr>
              <w:noProof/>
              <w:kern w:val="2"/>
              <w:lang w:eastAsia="en-US"/>
              <w14:ligatures w14:val="standardContextual"/>
            </w:rPr>
          </w:pPr>
          <w:hyperlink w:anchor="_Toc233962525" w:history="1">
            <w:r w:rsidRPr="00ED52C5">
              <w:rPr>
                <w:rStyle w:val="Hyperlink"/>
                <w:rFonts w:ascii="Arial" w:hAnsi="Arial" w:cs="Arial"/>
                <w:noProof/>
              </w:rPr>
              <w:t>2.4. advantages and Shortfalls of CycleWell</w:t>
            </w:r>
            <w:r>
              <w:rPr>
                <w:noProof/>
                <w:webHidden/>
              </w:rPr>
              <w:tab/>
            </w:r>
            <w:r>
              <w:rPr>
                <w:noProof/>
                <w:webHidden/>
              </w:rPr>
              <w:fldChar w:fldCharType="begin"/>
            </w:r>
            <w:r>
              <w:rPr>
                <w:noProof/>
                <w:webHidden/>
              </w:rPr>
              <w:instrText xml:space="preserve"> PAGEREF _Toc233962525 \h </w:instrText>
            </w:r>
            <w:r>
              <w:rPr>
                <w:noProof/>
                <w:webHidden/>
              </w:rPr>
            </w:r>
            <w:r>
              <w:rPr>
                <w:noProof/>
                <w:webHidden/>
              </w:rPr>
              <w:fldChar w:fldCharType="separate"/>
            </w:r>
            <w:r>
              <w:rPr>
                <w:noProof/>
                <w:webHidden/>
              </w:rPr>
              <w:t>8</w:t>
            </w:r>
            <w:r>
              <w:rPr>
                <w:noProof/>
                <w:webHidden/>
              </w:rPr>
              <w:fldChar w:fldCharType="end"/>
            </w:r>
          </w:hyperlink>
        </w:p>
        <w:p w14:paraId="2FEDB225" w14:textId="6C006865" w:rsidR="00C911B9" w:rsidRDefault="00C911B9">
          <w:pPr>
            <w:pStyle w:val="TOC2"/>
            <w:rPr>
              <w:noProof/>
              <w:kern w:val="2"/>
              <w:lang w:eastAsia="en-US"/>
              <w14:ligatures w14:val="standardContextual"/>
            </w:rPr>
          </w:pPr>
          <w:hyperlink w:anchor="_Toc233962526" w:history="1">
            <w:r w:rsidRPr="00ED52C5">
              <w:rPr>
                <w:rStyle w:val="Hyperlink"/>
                <w:rFonts w:ascii="Arial" w:hAnsi="Arial" w:cs="Arial"/>
                <w:noProof/>
              </w:rPr>
              <w:t>2.5. Disadvantages and Shortfalls of CycleWell</w:t>
            </w:r>
            <w:r>
              <w:rPr>
                <w:noProof/>
                <w:webHidden/>
              </w:rPr>
              <w:tab/>
            </w:r>
            <w:r>
              <w:rPr>
                <w:noProof/>
                <w:webHidden/>
              </w:rPr>
              <w:fldChar w:fldCharType="begin"/>
            </w:r>
            <w:r>
              <w:rPr>
                <w:noProof/>
                <w:webHidden/>
              </w:rPr>
              <w:instrText xml:space="preserve"> PAGEREF _Toc233962526 \h </w:instrText>
            </w:r>
            <w:r>
              <w:rPr>
                <w:noProof/>
                <w:webHidden/>
              </w:rPr>
            </w:r>
            <w:r>
              <w:rPr>
                <w:noProof/>
                <w:webHidden/>
              </w:rPr>
              <w:fldChar w:fldCharType="separate"/>
            </w:r>
            <w:r>
              <w:rPr>
                <w:noProof/>
                <w:webHidden/>
              </w:rPr>
              <w:t>9</w:t>
            </w:r>
            <w:r>
              <w:rPr>
                <w:noProof/>
                <w:webHidden/>
              </w:rPr>
              <w:fldChar w:fldCharType="end"/>
            </w:r>
          </w:hyperlink>
        </w:p>
        <w:p w14:paraId="4CD80AB6" w14:textId="506AFD82" w:rsidR="00C911B9" w:rsidRDefault="00C911B9">
          <w:pPr>
            <w:pStyle w:val="TOC2"/>
            <w:rPr>
              <w:noProof/>
              <w:kern w:val="2"/>
              <w:lang w:eastAsia="en-US"/>
              <w14:ligatures w14:val="standardContextual"/>
            </w:rPr>
          </w:pPr>
          <w:hyperlink w:anchor="_Toc233962527" w:history="1">
            <w:r w:rsidRPr="00ED52C5">
              <w:rPr>
                <w:rStyle w:val="Hyperlink"/>
                <w:rFonts w:ascii="Arial" w:hAnsi="Arial" w:cs="Arial"/>
                <w:noProof/>
              </w:rPr>
              <w:t>2.6. Addressing the Shortfalls:</w:t>
            </w:r>
            <w:r>
              <w:rPr>
                <w:noProof/>
                <w:webHidden/>
              </w:rPr>
              <w:tab/>
            </w:r>
            <w:r>
              <w:rPr>
                <w:noProof/>
                <w:webHidden/>
              </w:rPr>
              <w:fldChar w:fldCharType="begin"/>
            </w:r>
            <w:r>
              <w:rPr>
                <w:noProof/>
                <w:webHidden/>
              </w:rPr>
              <w:instrText xml:space="preserve"> PAGEREF _Toc233962527 \h </w:instrText>
            </w:r>
            <w:r>
              <w:rPr>
                <w:noProof/>
                <w:webHidden/>
              </w:rPr>
            </w:r>
            <w:r>
              <w:rPr>
                <w:noProof/>
                <w:webHidden/>
              </w:rPr>
              <w:fldChar w:fldCharType="separate"/>
            </w:r>
            <w:r>
              <w:rPr>
                <w:noProof/>
                <w:webHidden/>
              </w:rPr>
              <w:t>9</w:t>
            </w:r>
            <w:r>
              <w:rPr>
                <w:noProof/>
                <w:webHidden/>
              </w:rPr>
              <w:fldChar w:fldCharType="end"/>
            </w:r>
          </w:hyperlink>
        </w:p>
        <w:p w14:paraId="171FB6B8" w14:textId="298B9D71" w:rsidR="00C911B9" w:rsidRDefault="00C911B9">
          <w:pPr>
            <w:pStyle w:val="TOC2"/>
            <w:rPr>
              <w:noProof/>
              <w:kern w:val="2"/>
              <w:lang w:eastAsia="en-US"/>
              <w14:ligatures w14:val="standardContextual"/>
            </w:rPr>
          </w:pPr>
          <w:hyperlink w:anchor="_Toc233962528" w:history="1">
            <w:r w:rsidRPr="00ED52C5">
              <w:rPr>
                <w:rStyle w:val="Hyperlink"/>
                <w:rFonts w:ascii="Arial" w:hAnsi="Arial" w:cs="Arial"/>
                <w:noProof/>
              </w:rPr>
              <w:t>1.6.</w:t>
            </w:r>
            <w:r>
              <w:rPr>
                <w:noProof/>
                <w:kern w:val="2"/>
                <w:lang w:eastAsia="en-US"/>
                <w14:ligatures w14:val="standardContextual"/>
              </w:rPr>
              <w:tab/>
            </w:r>
            <w:r w:rsidRPr="00ED52C5">
              <w:rPr>
                <w:rStyle w:val="Hyperlink"/>
                <w:rFonts w:ascii="Arial" w:hAnsi="Arial" w:cs="Arial"/>
                <w:noProof/>
              </w:rPr>
              <w:t>Reference bolg 1:</w:t>
            </w:r>
            <w:r>
              <w:rPr>
                <w:noProof/>
                <w:webHidden/>
              </w:rPr>
              <w:tab/>
            </w:r>
            <w:r>
              <w:rPr>
                <w:noProof/>
                <w:webHidden/>
              </w:rPr>
              <w:fldChar w:fldCharType="begin"/>
            </w:r>
            <w:r>
              <w:rPr>
                <w:noProof/>
                <w:webHidden/>
              </w:rPr>
              <w:instrText xml:space="preserve"> PAGEREF _Toc233962528 \h </w:instrText>
            </w:r>
            <w:r>
              <w:rPr>
                <w:noProof/>
                <w:webHidden/>
              </w:rPr>
            </w:r>
            <w:r>
              <w:rPr>
                <w:noProof/>
                <w:webHidden/>
              </w:rPr>
              <w:fldChar w:fldCharType="separate"/>
            </w:r>
            <w:r>
              <w:rPr>
                <w:noProof/>
                <w:webHidden/>
              </w:rPr>
              <w:t>10</w:t>
            </w:r>
            <w:r>
              <w:rPr>
                <w:noProof/>
                <w:webHidden/>
              </w:rPr>
              <w:fldChar w:fldCharType="end"/>
            </w:r>
          </w:hyperlink>
        </w:p>
        <w:p w14:paraId="36B17913" w14:textId="2FF3C628" w:rsidR="00C911B9" w:rsidRDefault="00C911B9">
          <w:pPr>
            <w:pStyle w:val="TOC2"/>
            <w:rPr>
              <w:noProof/>
              <w:kern w:val="2"/>
              <w:lang w:eastAsia="en-US"/>
              <w14:ligatures w14:val="standardContextual"/>
            </w:rPr>
          </w:pPr>
          <w:hyperlink w:anchor="_Toc233962529" w:history="1">
            <w:r w:rsidRPr="00ED52C5">
              <w:rPr>
                <w:rStyle w:val="Hyperlink"/>
                <w:rFonts w:ascii="Arial" w:hAnsi="Arial" w:cs="Arial"/>
                <w:noProof/>
              </w:rPr>
              <w:t>2.7. References — Blog 2</w:t>
            </w:r>
            <w:r>
              <w:rPr>
                <w:noProof/>
                <w:webHidden/>
              </w:rPr>
              <w:tab/>
            </w:r>
            <w:r>
              <w:rPr>
                <w:noProof/>
                <w:webHidden/>
              </w:rPr>
              <w:fldChar w:fldCharType="begin"/>
            </w:r>
            <w:r>
              <w:rPr>
                <w:noProof/>
                <w:webHidden/>
              </w:rPr>
              <w:instrText xml:space="preserve"> PAGEREF _Toc233962529 \h </w:instrText>
            </w:r>
            <w:r>
              <w:rPr>
                <w:noProof/>
                <w:webHidden/>
              </w:rPr>
            </w:r>
            <w:r>
              <w:rPr>
                <w:noProof/>
                <w:webHidden/>
              </w:rPr>
              <w:fldChar w:fldCharType="separate"/>
            </w:r>
            <w:r>
              <w:rPr>
                <w:noProof/>
                <w:webHidden/>
              </w:rPr>
              <w:t>12</w:t>
            </w:r>
            <w:r>
              <w:rPr>
                <w:noProof/>
                <w:webHidden/>
              </w:rPr>
              <w:fldChar w:fldCharType="end"/>
            </w:r>
          </w:hyperlink>
        </w:p>
        <w:p w14:paraId="15450650" w14:textId="517EABA3" w:rsidR="00A54712" w:rsidRDefault="00295508" w:rsidP="00A54712">
          <w:pPr>
            <w:spacing w:line="360" w:lineRule="auto"/>
            <w:jc w:val="both"/>
            <w:rPr>
              <w:rFonts w:ascii="Arial" w:hAnsi="Arial" w:cs="Arial"/>
              <w:noProof/>
              <w:sz w:val="28"/>
              <w:szCs w:val="28"/>
            </w:rPr>
          </w:pPr>
          <w:r w:rsidRPr="00780AA7">
            <w:rPr>
              <w:rFonts w:ascii="Arial" w:hAnsi="Arial" w:cs="Arial"/>
              <w:noProof/>
              <w:sz w:val="28"/>
              <w:szCs w:val="28"/>
            </w:rPr>
            <w:fldChar w:fldCharType="end"/>
          </w:r>
        </w:p>
        <w:p w14:paraId="31327E0C" w14:textId="02CD33B3" w:rsidR="00A54712" w:rsidRPr="00A54712" w:rsidRDefault="00000000" w:rsidP="00A54712">
          <w:pPr>
            <w:spacing w:line="360" w:lineRule="auto"/>
            <w:jc w:val="both"/>
            <w:rPr>
              <w:rFonts w:ascii="Arial" w:hAnsi="Arial" w:cs="Arial"/>
            </w:rPr>
          </w:pPr>
        </w:p>
      </w:sdtContent>
    </w:sdt>
    <w:p w14:paraId="24837671" w14:textId="17C9BBB3" w:rsidR="00D8565B" w:rsidRDefault="2CECB03D" w:rsidP="00A730D7">
      <w:pPr>
        <w:pStyle w:val="Heading1"/>
        <w:spacing w:line="360" w:lineRule="auto"/>
        <w:jc w:val="both"/>
        <w:rPr>
          <w:rFonts w:ascii="Arial" w:hAnsi="Arial" w:cs="Arial"/>
          <w:sz w:val="32"/>
          <w:szCs w:val="32"/>
        </w:rPr>
      </w:pPr>
      <w:bookmarkStart w:id="0" w:name="_Toc233962515"/>
      <w:r w:rsidRPr="001A7A5C">
        <w:rPr>
          <w:rFonts w:ascii="Arial" w:hAnsi="Arial" w:cs="Arial"/>
          <w:sz w:val="32"/>
          <w:szCs w:val="32"/>
        </w:rPr>
        <w:lastRenderedPageBreak/>
        <w:t xml:space="preserve">Blog 1: </w:t>
      </w:r>
      <w:r w:rsidR="00C02DD1" w:rsidRPr="001A7A5C">
        <w:rPr>
          <w:rFonts w:ascii="Arial" w:hAnsi="Arial" w:cs="Arial"/>
          <w:sz w:val="32"/>
          <w:szCs w:val="32"/>
        </w:rPr>
        <w:t xml:space="preserve">Breaking the Cycle of Period Pain: How Mobile Health Apps Are Transforming </w:t>
      </w:r>
      <w:proofErr w:type="spellStart"/>
      <w:r w:rsidR="00C02DD1" w:rsidRPr="001A7A5C">
        <w:rPr>
          <w:rFonts w:ascii="Arial" w:hAnsi="Arial" w:cs="Arial"/>
          <w:sz w:val="32"/>
          <w:szCs w:val="32"/>
        </w:rPr>
        <w:t>Dysmenorrhoea</w:t>
      </w:r>
      <w:proofErr w:type="spellEnd"/>
      <w:r w:rsidR="00C02DD1" w:rsidRPr="001A7A5C">
        <w:rPr>
          <w:rFonts w:ascii="Arial" w:hAnsi="Arial" w:cs="Arial"/>
          <w:sz w:val="32"/>
          <w:szCs w:val="32"/>
        </w:rPr>
        <w:t xml:space="preserve"> Management Among Young Women in the U</w:t>
      </w:r>
      <w:r w:rsidR="00A160A8">
        <w:rPr>
          <w:rFonts w:ascii="Arial" w:hAnsi="Arial" w:cs="Arial"/>
          <w:sz w:val="32"/>
          <w:szCs w:val="32"/>
        </w:rPr>
        <w:t>k</w:t>
      </w:r>
      <w:bookmarkEnd w:id="0"/>
    </w:p>
    <w:p w14:paraId="4CC7A09B" w14:textId="77777777" w:rsidR="00A730D7" w:rsidRPr="00A730D7" w:rsidRDefault="00A730D7" w:rsidP="00A730D7"/>
    <w:p w14:paraId="12B7D264" w14:textId="4EB850A8" w:rsidR="00197521" w:rsidRPr="0041258D" w:rsidRDefault="00197521" w:rsidP="001A7A5C">
      <w:pPr>
        <w:pStyle w:val="Heading2"/>
        <w:numPr>
          <w:ilvl w:val="1"/>
          <w:numId w:val="13"/>
        </w:numPr>
        <w:spacing w:line="360" w:lineRule="auto"/>
        <w:jc w:val="both"/>
        <w:rPr>
          <w:rFonts w:ascii="Arial" w:eastAsia="Arial" w:hAnsi="Arial" w:cs="Arial"/>
          <w:sz w:val="28"/>
          <w:szCs w:val="28"/>
        </w:rPr>
      </w:pPr>
      <w:bookmarkStart w:id="1" w:name="_Toc233962516"/>
      <w:r w:rsidRPr="0041258D">
        <w:rPr>
          <w:rFonts w:ascii="Arial" w:eastAsia="Arial" w:hAnsi="Arial" w:cs="Arial"/>
          <w:sz w:val="28"/>
          <w:szCs w:val="28"/>
        </w:rPr>
        <w:t>The Public Health Problem</w:t>
      </w:r>
      <w:bookmarkEnd w:id="1"/>
    </w:p>
    <w:p w14:paraId="1A427A50" w14:textId="77777777" w:rsidR="0041258D" w:rsidRDefault="0041258D" w:rsidP="0041258D"/>
    <w:p w14:paraId="219F67CB" w14:textId="21693520" w:rsidR="00A730D7" w:rsidRDefault="0087475D" w:rsidP="00E81AF3">
      <w:pPr>
        <w:spacing w:before="50" w:after="110" w:line="360" w:lineRule="auto"/>
        <w:jc w:val="both"/>
        <w:rPr>
          <w:rFonts w:ascii="Arial" w:eastAsia="Arial" w:hAnsi="Arial" w:cs="Arial"/>
          <w:color w:val="000000" w:themeColor="text1"/>
        </w:rPr>
      </w:pPr>
      <w:proofErr w:type="spellStart"/>
      <w:r w:rsidRPr="0087475D">
        <w:rPr>
          <w:rFonts w:ascii="Arial" w:eastAsia="Arial" w:hAnsi="Arial" w:cs="Arial"/>
          <w:color w:val="000000" w:themeColor="text1"/>
        </w:rPr>
        <w:t>Dysmenorrhoea</w:t>
      </w:r>
      <w:proofErr w:type="spellEnd"/>
      <w:r w:rsidRPr="0087475D">
        <w:rPr>
          <w:rFonts w:ascii="Arial" w:eastAsia="Arial" w:hAnsi="Arial" w:cs="Arial"/>
          <w:color w:val="000000" w:themeColor="text1"/>
        </w:rPr>
        <w:t xml:space="preserve"> painful menstruation is prevalent yet chronically under-managed in the UK (MacGregor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2023)</w:t>
      </w:r>
      <w:r w:rsidR="00E81AF3">
        <w:rPr>
          <w:rFonts w:ascii="Arial" w:eastAsia="Arial" w:hAnsi="Arial" w:cs="Arial"/>
          <w:color w:val="000000" w:themeColor="text1"/>
        </w:rPr>
        <w:t>.</w:t>
      </w:r>
      <w:r w:rsidRPr="0087475D">
        <w:rPr>
          <w:rFonts w:ascii="Arial" w:eastAsia="Arial" w:hAnsi="Arial" w:cs="Arial"/>
          <w:color w:val="000000" w:themeColor="text1"/>
        </w:rPr>
        <w:t xml:space="preserve"> Prevalence ranges from 45% to 97% in community studies, peaking at 67</w:t>
      </w:r>
      <w:r w:rsidR="00E81AF3">
        <w:rPr>
          <w:rFonts w:ascii="Arial" w:eastAsia="Arial" w:hAnsi="Arial" w:cs="Arial"/>
          <w:color w:val="000000" w:themeColor="text1"/>
        </w:rPr>
        <w:t>-</w:t>
      </w:r>
      <w:r w:rsidRPr="0087475D">
        <w:rPr>
          <w:rFonts w:ascii="Arial" w:eastAsia="Arial" w:hAnsi="Arial" w:cs="Arial"/>
          <w:color w:val="000000" w:themeColor="text1"/>
        </w:rPr>
        <w:t>90% in women aged 17</w:t>
      </w:r>
      <w:r w:rsidR="00E81AF3">
        <w:rPr>
          <w:rFonts w:ascii="Arial" w:eastAsia="Arial" w:hAnsi="Arial" w:cs="Arial"/>
          <w:color w:val="000000" w:themeColor="text1"/>
        </w:rPr>
        <w:t>-</w:t>
      </w:r>
      <w:r w:rsidRPr="0087475D">
        <w:rPr>
          <w:rFonts w:ascii="Arial" w:eastAsia="Arial" w:hAnsi="Arial" w:cs="Arial"/>
          <w:color w:val="000000" w:themeColor="text1"/>
        </w:rPr>
        <w:t xml:space="preserve">24, yet fewer than 37% seek formal medical help due to </w:t>
      </w:r>
      <w:proofErr w:type="spellStart"/>
      <w:r w:rsidRPr="0087475D">
        <w:rPr>
          <w:rFonts w:ascii="Arial" w:eastAsia="Arial" w:hAnsi="Arial" w:cs="Arial"/>
          <w:color w:val="000000" w:themeColor="text1"/>
        </w:rPr>
        <w:t>normalisation</w:t>
      </w:r>
      <w:proofErr w:type="spellEnd"/>
      <w:r w:rsidRPr="0087475D">
        <w:rPr>
          <w:rFonts w:ascii="Arial" w:eastAsia="Arial" w:hAnsi="Arial" w:cs="Arial"/>
          <w:color w:val="000000" w:themeColor="text1"/>
        </w:rPr>
        <w:t xml:space="preserve"> of menstrual pain. (MacGregor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2023)</w:t>
      </w:r>
      <w:r w:rsidR="00E81AF3">
        <w:rPr>
          <w:rFonts w:ascii="Arial" w:eastAsia="Arial" w:hAnsi="Arial" w:cs="Arial"/>
          <w:color w:val="000000" w:themeColor="text1"/>
        </w:rPr>
        <w:t>.</w:t>
      </w:r>
      <w:r w:rsidRPr="0087475D">
        <w:rPr>
          <w:rFonts w:ascii="Arial" w:eastAsia="Arial" w:hAnsi="Arial" w:cs="Arial"/>
          <w:color w:val="000000" w:themeColor="text1"/>
        </w:rPr>
        <w:t xml:space="preserve"> The burden extends beyond the individual: pain contributes to school absenteeism and an estimated 8.9 days of annual workplace productivity loss (</w:t>
      </w:r>
      <w:proofErr w:type="spellStart"/>
      <w:r w:rsidRPr="0087475D">
        <w:rPr>
          <w:rFonts w:ascii="Arial" w:eastAsia="Arial" w:hAnsi="Arial" w:cs="Arial"/>
          <w:color w:val="000000" w:themeColor="text1"/>
        </w:rPr>
        <w:t>Karout</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2021)</w:t>
      </w:r>
      <w:r w:rsidR="00E81AF3">
        <w:rPr>
          <w:rFonts w:ascii="Arial" w:eastAsia="Arial" w:hAnsi="Arial" w:cs="Arial"/>
          <w:color w:val="000000" w:themeColor="text1"/>
        </w:rPr>
        <w:t>.</w:t>
      </w:r>
      <w:r w:rsidRPr="0087475D">
        <w:rPr>
          <w:rFonts w:ascii="Arial" w:eastAsia="Arial" w:hAnsi="Arial" w:cs="Arial"/>
          <w:color w:val="000000" w:themeColor="text1"/>
        </w:rPr>
        <w:t xml:space="preserve"> Unmanaged adolescent </w:t>
      </w:r>
      <w:proofErr w:type="spellStart"/>
      <w:r w:rsidRPr="0087475D">
        <w:rPr>
          <w:rFonts w:ascii="Arial" w:eastAsia="Arial" w:hAnsi="Arial" w:cs="Arial"/>
          <w:color w:val="000000" w:themeColor="text1"/>
        </w:rPr>
        <w:t>dysmenorrhoea</w:t>
      </w:r>
      <w:proofErr w:type="spellEnd"/>
      <w:r w:rsidRPr="0087475D">
        <w:rPr>
          <w:rFonts w:ascii="Arial" w:eastAsia="Arial" w:hAnsi="Arial" w:cs="Arial"/>
          <w:color w:val="000000" w:themeColor="text1"/>
        </w:rPr>
        <w:t xml:space="preserve"> also predicts adult chronic pain, making early intervention a public health priority (The Lancet Child &amp; Adolescent Health, 2025; </w:t>
      </w:r>
      <w:proofErr w:type="spellStart"/>
      <w:r w:rsidRPr="0087475D">
        <w:rPr>
          <w:rFonts w:ascii="Arial" w:eastAsia="Arial" w:hAnsi="Arial" w:cs="Arial"/>
          <w:color w:val="000000" w:themeColor="text1"/>
        </w:rPr>
        <w:t>Serya</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2025)</w:t>
      </w:r>
      <w:r w:rsidR="00E81AF3">
        <w:rPr>
          <w:rFonts w:ascii="Arial" w:eastAsia="Arial" w:hAnsi="Arial" w:cs="Arial"/>
          <w:color w:val="000000" w:themeColor="text1"/>
        </w:rPr>
        <w:t>.</w:t>
      </w:r>
    </w:p>
    <w:p w14:paraId="0895927A" w14:textId="6D210558" w:rsidR="00A730D7" w:rsidRDefault="00A730D7" w:rsidP="00A730D7">
      <w:pPr>
        <w:spacing w:before="50" w:after="110" w:line="360" w:lineRule="auto"/>
        <w:jc w:val="center"/>
        <w:rPr>
          <w:rFonts w:ascii="Arial" w:eastAsia="Arial" w:hAnsi="Arial" w:cs="Arial"/>
          <w:color w:val="000000" w:themeColor="text1"/>
        </w:rPr>
      </w:pPr>
      <w:r w:rsidRPr="00780AA7">
        <w:rPr>
          <w:rFonts w:ascii="Arial" w:hAnsi="Arial" w:cs="Arial"/>
          <w:noProof/>
          <w:color w:val="000000" w:themeColor="text1"/>
        </w:rPr>
        <w:drawing>
          <wp:inline distT="0" distB="0" distL="0" distR="0" wp14:anchorId="26D6F58F" wp14:editId="50357959">
            <wp:extent cx="2152015" cy="3237545"/>
            <wp:effectExtent l="190500" t="190500" r="191135" b="191770"/>
            <wp:docPr id="970179239" name="Picture 1" descr="Dysmenorrhea: symptoms, causes, and period cramps treatment at Velvet  Health Clinic – Velvet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smenorrhea: symptoms, causes, and period cramps treatment at Velvet  Health Clinic – Velvet Heal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0678" cy="3250577"/>
                    </a:xfrm>
                    <a:prstGeom prst="rect">
                      <a:avLst/>
                    </a:prstGeom>
                    <a:ln>
                      <a:noFill/>
                    </a:ln>
                    <a:effectLst>
                      <a:outerShdw blurRad="190500" algn="tl" rotWithShape="0">
                        <a:srgbClr val="000000">
                          <a:alpha val="70000"/>
                        </a:srgbClr>
                      </a:outerShdw>
                    </a:effectLst>
                  </pic:spPr>
                </pic:pic>
              </a:graphicData>
            </a:graphic>
          </wp:inline>
        </w:drawing>
      </w:r>
    </w:p>
    <w:p w14:paraId="48195DCE" w14:textId="2E7D209A" w:rsidR="00A730D7" w:rsidRPr="00A730D7" w:rsidRDefault="00A730D7" w:rsidP="00A730D7">
      <w:pPr>
        <w:spacing w:line="360" w:lineRule="auto"/>
        <w:jc w:val="center"/>
        <w:rPr>
          <w:rFonts w:ascii="Arial" w:hAnsi="Arial" w:cs="Arial"/>
          <w:color w:val="000000" w:themeColor="text1"/>
        </w:rPr>
      </w:pPr>
      <w:r w:rsidRPr="00AE6441">
        <w:rPr>
          <w:rFonts w:ascii="Arial" w:hAnsi="Arial" w:cs="Arial"/>
          <w:color w:val="000000" w:themeColor="text1"/>
        </w:rPr>
        <w:t>(Velvet Health, 2025)</w:t>
      </w:r>
    </w:p>
    <w:p w14:paraId="535BC71C" w14:textId="61E52E0C" w:rsidR="003653C1" w:rsidRDefault="00E931CB" w:rsidP="00CC2912">
      <w:pPr>
        <w:spacing w:before="60" w:after="120" w:line="360" w:lineRule="auto"/>
        <w:rPr>
          <w:rFonts w:ascii="Arial" w:hAnsi="Arial" w:cs="Arial"/>
          <w:color w:val="000000" w:themeColor="text1"/>
        </w:rPr>
      </w:pPr>
      <w:r w:rsidRPr="00780AA7">
        <w:rPr>
          <w:rFonts w:ascii="Arial" w:hAnsi="Arial" w:cs="Arial"/>
          <w:noProof/>
          <w:color w:val="000000" w:themeColor="text1"/>
        </w:rPr>
        <w:lastRenderedPageBreak/>
        <w:drawing>
          <wp:inline distT="0" distB="0" distL="0" distR="0" wp14:anchorId="5A0C539A" wp14:editId="260D3BBE">
            <wp:extent cx="6302788" cy="3122295"/>
            <wp:effectExtent l="0" t="0" r="0" b="0"/>
            <wp:docPr id="1809261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9983" b="8427"/>
                    <a:stretch>
                      <a:fillRect/>
                    </a:stretch>
                  </pic:blipFill>
                  <pic:spPr bwMode="auto">
                    <a:xfrm>
                      <a:off x="0" y="0"/>
                      <a:ext cx="6366803" cy="3154007"/>
                    </a:xfrm>
                    <a:prstGeom prst="rect">
                      <a:avLst/>
                    </a:prstGeom>
                    <a:noFill/>
                    <a:ln>
                      <a:noFill/>
                    </a:ln>
                    <a:extLst>
                      <a:ext uri="{53640926-AAD7-44D8-BBD7-CCE9431645EC}">
                        <a14:shadowObscured xmlns:a14="http://schemas.microsoft.com/office/drawing/2010/main"/>
                      </a:ext>
                    </a:extLst>
                  </pic:spPr>
                </pic:pic>
              </a:graphicData>
            </a:graphic>
          </wp:inline>
        </w:drawing>
      </w:r>
    </w:p>
    <w:p w14:paraId="7E5C7F33" w14:textId="77777777" w:rsidR="00E81AF3" w:rsidRDefault="00E81AF3" w:rsidP="00E81AF3">
      <w:pPr>
        <w:spacing w:before="60" w:after="120" w:line="360" w:lineRule="auto"/>
        <w:jc w:val="center"/>
        <w:rPr>
          <w:rFonts w:ascii="Arial" w:hAnsi="Arial" w:cs="Arial"/>
          <w:color w:val="000000" w:themeColor="text1"/>
        </w:rPr>
      </w:pPr>
    </w:p>
    <w:p w14:paraId="757617A9" w14:textId="79187E51" w:rsidR="003653C1" w:rsidRDefault="00E81AF3" w:rsidP="00E81AF3">
      <w:pPr>
        <w:spacing w:before="60" w:after="120" w:line="360" w:lineRule="auto"/>
        <w:jc w:val="center"/>
        <w:rPr>
          <w:rFonts w:ascii="Arial" w:hAnsi="Arial" w:cs="Arial"/>
          <w:color w:val="000000" w:themeColor="text1"/>
        </w:rPr>
      </w:pPr>
      <w:r>
        <w:rPr>
          <w:rFonts w:ascii="Arial" w:hAnsi="Arial" w:cs="Arial"/>
          <w:color w:val="000000" w:themeColor="text1"/>
        </w:rPr>
        <w:t xml:space="preserve">Graph: 1 </w:t>
      </w:r>
      <w:r w:rsidR="00C36991">
        <w:rPr>
          <w:rFonts w:ascii="Arial" w:hAnsi="Arial" w:cs="Arial"/>
          <w:color w:val="000000" w:themeColor="text1"/>
        </w:rPr>
        <w:t>prevalence of demographic group</w:t>
      </w:r>
    </w:p>
    <w:p w14:paraId="45238E81" w14:textId="77777777" w:rsidR="00E81AF3" w:rsidRPr="00B32BF4" w:rsidRDefault="00E81AF3" w:rsidP="00E81AF3">
      <w:pPr>
        <w:spacing w:before="60" w:after="120" w:line="360" w:lineRule="auto"/>
        <w:jc w:val="center"/>
        <w:rPr>
          <w:rFonts w:ascii="Arial" w:hAnsi="Arial" w:cs="Arial"/>
          <w:color w:val="000000" w:themeColor="text1"/>
        </w:rPr>
      </w:pPr>
    </w:p>
    <w:p w14:paraId="5FFCA8EB" w14:textId="361A93DB" w:rsidR="006218B9" w:rsidRDefault="006218B9" w:rsidP="001A7A5C">
      <w:pPr>
        <w:pStyle w:val="Heading2"/>
        <w:numPr>
          <w:ilvl w:val="1"/>
          <w:numId w:val="13"/>
        </w:numPr>
        <w:spacing w:line="360" w:lineRule="auto"/>
        <w:jc w:val="both"/>
        <w:rPr>
          <w:rFonts w:ascii="Arial" w:eastAsia="Arial" w:hAnsi="Arial" w:cs="Arial"/>
          <w:sz w:val="28"/>
          <w:szCs w:val="28"/>
        </w:rPr>
      </w:pPr>
      <w:bookmarkStart w:id="2" w:name="_Toc233962517"/>
      <w:r w:rsidRPr="00760E3C">
        <w:rPr>
          <w:rFonts w:ascii="Arial" w:eastAsia="Arial" w:hAnsi="Arial" w:cs="Arial"/>
          <w:sz w:val="28"/>
          <w:szCs w:val="28"/>
        </w:rPr>
        <w:t>The Digital Technology: Clue App</w:t>
      </w:r>
      <w:bookmarkEnd w:id="2"/>
    </w:p>
    <w:p w14:paraId="65F0B153" w14:textId="77777777" w:rsidR="0087475D" w:rsidRPr="0087475D" w:rsidRDefault="0087475D" w:rsidP="0087475D"/>
    <w:p w14:paraId="10EB0D82" w14:textId="6E6DF932" w:rsidR="0087475D" w:rsidRPr="0087475D" w:rsidRDefault="0087475D" w:rsidP="0087475D">
      <w:pPr>
        <w:spacing w:before="50" w:after="110" w:line="360" w:lineRule="auto"/>
        <w:jc w:val="both"/>
        <w:rPr>
          <w:color w:val="000000" w:themeColor="text1"/>
          <w:sz w:val="32"/>
          <w:szCs w:val="32"/>
        </w:rPr>
      </w:pPr>
      <w:r w:rsidRPr="0087475D">
        <w:rPr>
          <w:rFonts w:ascii="Arial" w:eastAsia="Arial" w:hAnsi="Arial" w:cs="Arial"/>
          <w:color w:val="000000" w:themeColor="text1"/>
        </w:rPr>
        <w:t xml:space="preserve">Clue is a free, science-based menstrual tracking app developed with academic researchers and clinicians. Users log pain, medication, mood, sleep, and activity, generating </w:t>
      </w:r>
      <w:proofErr w:type="spellStart"/>
      <w:r w:rsidRPr="0087475D">
        <w:rPr>
          <w:rFonts w:ascii="Arial" w:eastAsia="Arial" w:hAnsi="Arial" w:cs="Arial"/>
          <w:color w:val="000000" w:themeColor="text1"/>
        </w:rPr>
        <w:t>personalised</w:t>
      </w:r>
      <w:proofErr w:type="spellEnd"/>
      <w:r w:rsidRPr="0087475D">
        <w:rPr>
          <w:rFonts w:ascii="Arial" w:eastAsia="Arial" w:hAnsi="Arial" w:cs="Arial"/>
          <w:color w:val="000000" w:themeColor="text1"/>
        </w:rPr>
        <w:t xml:space="preserve"> insights. With over 11 million monthly users across 190 countries, it is among the most widely used menstrual health platforms globally</w:t>
      </w:r>
      <w:r w:rsidR="009D0E90">
        <w:rPr>
          <w:rFonts w:ascii="Arial" w:eastAsia="Arial" w:hAnsi="Arial" w:cs="Arial"/>
          <w:color w:val="000000" w:themeColor="text1"/>
        </w:rPr>
        <w:t xml:space="preserve"> </w:t>
      </w:r>
      <w:r w:rsidRPr="0087475D">
        <w:rPr>
          <w:rFonts w:ascii="Arial" w:eastAsia="Arial" w:hAnsi="Arial" w:cs="Arial"/>
          <w:color w:val="000000" w:themeColor="text1"/>
        </w:rPr>
        <w:t>(Clue, 2024)</w:t>
      </w:r>
      <w:r w:rsidR="009D0E90">
        <w:rPr>
          <w:rFonts w:ascii="Arial" w:eastAsia="Arial" w:hAnsi="Arial" w:cs="Arial"/>
          <w:color w:val="000000" w:themeColor="text1"/>
        </w:rPr>
        <w:t>.</w:t>
      </w:r>
      <w:r w:rsidRPr="0087475D">
        <w:rPr>
          <w:rFonts w:ascii="Arial" w:eastAsia="Arial" w:hAnsi="Arial" w:cs="Arial"/>
          <w:color w:val="000000" w:themeColor="text1"/>
        </w:rPr>
        <w:t xml:space="preserve"> Its data informs academic partnerships, including with the University of Exeter, aimed at closing the research gap in female reproductive health (Frontiers in Computer Science, 2023)</w:t>
      </w:r>
      <w:r w:rsidR="009D0E90">
        <w:rPr>
          <w:rFonts w:ascii="Arial" w:eastAsia="Arial" w:hAnsi="Arial" w:cs="Arial"/>
          <w:color w:val="000000" w:themeColor="text1"/>
        </w:rPr>
        <w:t>.</w:t>
      </w:r>
      <w:r w:rsidRPr="0087475D">
        <w:rPr>
          <w:rFonts w:ascii="Arial" w:eastAsia="Arial" w:hAnsi="Arial" w:cs="Arial"/>
          <w:color w:val="000000" w:themeColor="text1"/>
        </w:rPr>
        <w:t xml:space="preserve"> Clue helps users </w:t>
      </w:r>
      <w:proofErr w:type="spellStart"/>
      <w:r w:rsidRPr="0087475D">
        <w:rPr>
          <w:rFonts w:ascii="Arial" w:eastAsia="Arial" w:hAnsi="Arial" w:cs="Arial"/>
          <w:color w:val="000000" w:themeColor="text1"/>
        </w:rPr>
        <w:t>recognise</w:t>
      </w:r>
      <w:proofErr w:type="spellEnd"/>
      <w:r w:rsidRPr="0087475D">
        <w:rPr>
          <w:rFonts w:ascii="Arial" w:eastAsia="Arial" w:hAnsi="Arial" w:cs="Arial"/>
          <w:color w:val="000000" w:themeColor="text1"/>
        </w:rPr>
        <w:t xml:space="preserve"> abnormal pain patterns that may indicate endometriosis, supporting earlier help-seeking</w:t>
      </w:r>
      <w:r w:rsidR="009D0E90">
        <w:rPr>
          <w:rFonts w:ascii="Arial" w:eastAsia="Arial" w:hAnsi="Arial" w:cs="Arial"/>
          <w:color w:val="000000" w:themeColor="text1"/>
        </w:rPr>
        <w:t xml:space="preserve"> </w:t>
      </w:r>
      <w:r w:rsidRPr="0087475D">
        <w:rPr>
          <w:rFonts w:ascii="Arial" w:eastAsia="Arial" w:hAnsi="Arial" w:cs="Arial"/>
          <w:color w:val="000000" w:themeColor="text1"/>
        </w:rPr>
        <w:t>(</w:t>
      </w:r>
      <w:proofErr w:type="spellStart"/>
      <w:r w:rsidRPr="0087475D">
        <w:rPr>
          <w:rFonts w:ascii="Arial" w:eastAsia="Arial" w:hAnsi="Arial" w:cs="Arial"/>
          <w:color w:val="000000" w:themeColor="text1"/>
        </w:rPr>
        <w:t>Armour</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2024; University of Exeter, 2023)</w:t>
      </w:r>
      <w:r w:rsidR="009D0E90">
        <w:rPr>
          <w:rFonts w:ascii="Arial" w:eastAsia="Arial" w:hAnsi="Arial" w:cs="Arial"/>
          <w:color w:val="000000" w:themeColor="text1"/>
        </w:rPr>
        <w:t>.</w:t>
      </w:r>
    </w:p>
    <w:p w14:paraId="7608E6C3" w14:textId="77777777" w:rsidR="0072596E" w:rsidRPr="00780AA7" w:rsidRDefault="0072596E" w:rsidP="001A7A5C">
      <w:pPr>
        <w:spacing w:before="60" w:after="120" w:line="360" w:lineRule="auto"/>
        <w:jc w:val="both"/>
        <w:rPr>
          <w:rFonts w:ascii="Arial" w:eastAsia="Arial" w:hAnsi="Arial" w:cs="Arial"/>
          <w:color w:val="000000" w:themeColor="text1"/>
        </w:rPr>
      </w:pPr>
    </w:p>
    <w:p w14:paraId="7F31D457" w14:textId="4D50A66B" w:rsidR="001D7D67" w:rsidRPr="009D0E90" w:rsidRDefault="001F40B1" w:rsidP="00BC07D7">
      <w:pPr>
        <w:spacing w:before="60" w:after="120" w:line="360" w:lineRule="auto"/>
        <w:jc w:val="center"/>
        <w:rPr>
          <w:rFonts w:ascii="Arial" w:eastAsia="Arial" w:hAnsi="Arial" w:cs="Arial"/>
          <w:color w:val="000000" w:themeColor="text1"/>
        </w:rPr>
      </w:pPr>
      <w:r w:rsidRPr="00780AA7">
        <w:rPr>
          <w:rFonts w:ascii="Arial" w:hAnsi="Arial" w:cs="Arial"/>
          <w:noProof/>
        </w:rPr>
        <w:lastRenderedPageBreak/>
        <w:drawing>
          <wp:inline distT="0" distB="0" distL="0" distR="0" wp14:anchorId="087C2F8A" wp14:editId="5249E5FC">
            <wp:extent cx="2258052" cy="2141626"/>
            <wp:effectExtent l="95250" t="95250" r="104775" b="678180"/>
            <wp:docPr id="369596701" name="Picture 1" descr="Withings x Clue | Withings 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Withings x Clue | Withings US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156"/>
                    <a:stretch>
                      <a:fillRect/>
                    </a:stretch>
                  </pic:blipFill>
                  <pic:spPr bwMode="auto">
                    <a:xfrm>
                      <a:off x="0" y="0"/>
                      <a:ext cx="2298838" cy="218030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inline>
        </w:drawing>
      </w:r>
      <w:r w:rsidR="002B2BC8" w:rsidRPr="00780AA7">
        <w:rPr>
          <w:rFonts w:ascii="Arial" w:hAnsi="Arial" w:cs="Arial"/>
          <w:noProof/>
        </w:rPr>
        <w:drawing>
          <wp:inline distT="0" distB="0" distL="0" distR="0" wp14:anchorId="7C02932B" wp14:editId="69F5BD1E">
            <wp:extent cx="3273409" cy="2150989"/>
            <wp:effectExtent l="95250" t="95250" r="99060" b="687705"/>
            <wp:docPr id="522979968" name="Picture 15" descr="Get a Clue: A Review of a Period-Tracking App – The Wesley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et a Clue: A Review of a Period-Tracking App – The Wesleyan ..."/>
                    <pic:cNvPicPr>
                      <a:picLocks noChangeAspect="1" noChangeArrowheads="1"/>
                    </pic:cNvPicPr>
                  </pic:nvPicPr>
                  <pic:blipFill rotWithShape="1">
                    <a:blip r:embed="rId10">
                      <a:extLst>
                        <a:ext uri="{28A0092B-C50C-407E-A947-70E740481C1C}">
                          <a14:useLocalDpi xmlns:a14="http://schemas.microsoft.com/office/drawing/2010/main" val="0"/>
                        </a:ext>
                      </a:extLst>
                    </a:blip>
                    <a:srcRect l="2722" t="3480" r="3379" b="5080"/>
                    <a:stretch>
                      <a:fillRect/>
                    </a:stretch>
                  </pic:blipFill>
                  <pic:spPr bwMode="auto">
                    <a:xfrm>
                      <a:off x="0" y="0"/>
                      <a:ext cx="3376754" cy="2218898"/>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inline>
        </w:drawing>
      </w:r>
      <w:r w:rsidR="00BC07D7">
        <w:rPr>
          <w:rFonts w:ascii="Arial" w:eastAsia="Arial" w:hAnsi="Arial" w:cs="Arial"/>
          <w:color w:val="000000" w:themeColor="text1"/>
        </w:rPr>
        <w:t>(Clue;2026)</w:t>
      </w:r>
    </w:p>
    <w:p w14:paraId="0D90A1FB" w14:textId="23A6DA13" w:rsidR="001D7D67" w:rsidRDefault="001D7D67" w:rsidP="001A7A5C">
      <w:pPr>
        <w:pStyle w:val="Heading2"/>
        <w:numPr>
          <w:ilvl w:val="1"/>
          <w:numId w:val="13"/>
        </w:numPr>
        <w:spacing w:line="360" w:lineRule="auto"/>
        <w:jc w:val="both"/>
        <w:rPr>
          <w:rFonts w:ascii="Arial" w:eastAsia="Aptos" w:hAnsi="Arial" w:cs="Arial"/>
          <w:sz w:val="28"/>
          <w:szCs w:val="28"/>
        </w:rPr>
      </w:pPr>
      <w:bookmarkStart w:id="3" w:name="_Toc233962518"/>
      <w:r w:rsidRPr="0072596E">
        <w:rPr>
          <w:rFonts w:ascii="Arial" w:eastAsia="Aptos" w:hAnsi="Arial" w:cs="Arial"/>
          <w:sz w:val="28"/>
          <w:szCs w:val="28"/>
        </w:rPr>
        <w:t xml:space="preserve">Advantages of Clue for </w:t>
      </w:r>
      <w:proofErr w:type="spellStart"/>
      <w:r w:rsidRPr="0072596E">
        <w:rPr>
          <w:rFonts w:ascii="Arial" w:eastAsia="Aptos" w:hAnsi="Arial" w:cs="Arial"/>
          <w:sz w:val="28"/>
          <w:szCs w:val="28"/>
        </w:rPr>
        <w:t>Dysmenorrhoea</w:t>
      </w:r>
      <w:proofErr w:type="spellEnd"/>
      <w:r w:rsidRPr="0072596E">
        <w:rPr>
          <w:rFonts w:ascii="Arial" w:eastAsia="Aptos" w:hAnsi="Arial" w:cs="Arial"/>
          <w:sz w:val="28"/>
          <w:szCs w:val="28"/>
        </w:rPr>
        <w:t xml:space="preserve"> Management</w:t>
      </w:r>
      <w:bookmarkEnd w:id="3"/>
    </w:p>
    <w:p w14:paraId="755BA7E8" w14:textId="24261D90" w:rsidR="0087475D" w:rsidRDefault="0087475D" w:rsidP="0087475D">
      <w:pPr>
        <w:spacing w:before="100" w:after="60"/>
      </w:pPr>
    </w:p>
    <w:p w14:paraId="584576D3"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Free and accessible without clinical appointments (BMC Women's Health, 2023)</w:t>
      </w:r>
    </w:p>
    <w:p w14:paraId="7BEC6D1E"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Evidence-based, scientifically reliable content (BMC Women's Health, 2023)</w:t>
      </w:r>
    </w:p>
    <w:p w14:paraId="38230A64"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Real-time tracking reduces recall bias (BMC Women's Health, 2023)</w:t>
      </w:r>
    </w:p>
    <w:p w14:paraId="335266C9"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Improves self-management of pain (Seo and Seo, 2025)</w:t>
      </w:r>
    </w:p>
    <w:p w14:paraId="7B3DF94B"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Promotes menstrual health literacy (Seo and Seo, 2025)</w:t>
      </w:r>
    </w:p>
    <w:p w14:paraId="5B75C8D4" w14:textId="52DD84F5" w:rsidR="004273A2" w:rsidRPr="00E81AF3" w:rsidRDefault="0087475D" w:rsidP="001A7A5C">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Encourages earlier healthcare-seeking (BMC Women's Health, 2023)</w:t>
      </w:r>
    </w:p>
    <w:p w14:paraId="6FF48CDC" w14:textId="77777777" w:rsidR="00E81AF3" w:rsidRPr="00E81AF3" w:rsidRDefault="00E81AF3" w:rsidP="00E81AF3">
      <w:pPr>
        <w:pStyle w:val="ListParagraph"/>
        <w:spacing w:before="30" w:after="60" w:line="360" w:lineRule="auto"/>
        <w:contextualSpacing w:val="0"/>
        <w:jc w:val="both"/>
        <w:rPr>
          <w:color w:val="000000" w:themeColor="text1"/>
          <w:sz w:val="32"/>
          <w:szCs w:val="32"/>
        </w:rPr>
      </w:pPr>
    </w:p>
    <w:p w14:paraId="6B6C9EF4" w14:textId="7A43A08C" w:rsidR="001D7D67" w:rsidRDefault="001D7D67" w:rsidP="001A7A5C">
      <w:pPr>
        <w:pStyle w:val="Heading2"/>
        <w:numPr>
          <w:ilvl w:val="1"/>
          <w:numId w:val="13"/>
        </w:numPr>
        <w:spacing w:line="360" w:lineRule="auto"/>
        <w:jc w:val="both"/>
        <w:rPr>
          <w:rFonts w:ascii="Arial" w:eastAsia="Aptos" w:hAnsi="Arial" w:cs="Arial"/>
          <w:sz w:val="28"/>
          <w:szCs w:val="28"/>
        </w:rPr>
      </w:pPr>
      <w:bookmarkStart w:id="4" w:name="_Toc233962519"/>
      <w:r w:rsidRPr="0061495C">
        <w:rPr>
          <w:rFonts w:ascii="Arial" w:eastAsia="Aptos" w:hAnsi="Arial" w:cs="Arial"/>
          <w:sz w:val="28"/>
          <w:szCs w:val="28"/>
        </w:rPr>
        <w:t>Disadvantages and Shortfalls of Clue</w:t>
      </w:r>
      <w:bookmarkEnd w:id="4"/>
    </w:p>
    <w:p w14:paraId="57D9D454" w14:textId="77777777" w:rsidR="00E81AF3" w:rsidRPr="00E81AF3" w:rsidRDefault="00E81AF3" w:rsidP="00E81AF3"/>
    <w:p w14:paraId="1348E28A"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Data privacy concerns over third-party sharing (Frontiers in Computer Science, 2023)</w:t>
      </w:r>
    </w:p>
    <w:p w14:paraId="6E278E30"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Persistent user trust issues (Oxford Open Digital Health, 2025)</w:t>
      </w:r>
    </w:p>
    <w:p w14:paraId="7E86C144"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lastRenderedPageBreak/>
        <w:t>Digital exclusion from limited literacy or access (MacGregor et al., 2023)</w:t>
      </w:r>
    </w:p>
    <w:p w14:paraId="12B15B65"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Risk of widening health inequalities (MacGregor et al., 2023)</w:t>
      </w:r>
    </w:p>
    <w:p w14:paraId="390BF7C0"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Algorithm inaccuracies for irregular cycles (Seo and Seo, 2025)</w:t>
      </w:r>
    </w:p>
    <w:p w14:paraId="1B2C5439"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Limited long-term evidence (Seo and Seo, 2025)</w:t>
      </w:r>
    </w:p>
    <w:p w14:paraId="2513A5D9" w14:textId="0EA7CF86" w:rsidR="0061495C" w:rsidRPr="00E81AF3" w:rsidRDefault="00E81AF3" w:rsidP="00E81AF3">
      <w:pPr>
        <w:pStyle w:val="ListParagraph"/>
        <w:numPr>
          <w:ilvl w:val="0"/>
          <w:numId w:val="22"/>
        </w:numPr>
        <w:rPr>
          <w:color w:val="000000" w:themeColor="text1"/>
          <w:sz w:val="32"/>
          <w:szCs w:val="32"/>
        </w:rPr>
      </w:pPr>
      <w:r w:rsidRPr="00E81AF3">
        <w:rPr>
          <w:rFonts w:ascii="Arial" w:eastAsia="Arial" w:hAnsi="Arial" w:cs="Arial"/>
          <w:color w:val="000000" w:themeColor="text1"/>
        </w:rPr>
        <w:t>Cannot diagnose conditions such as endometriosis or PCOS (Seo and Seo, 2025)</w:t>
      </w:r>
    </w:p>
    <w:p w14:paraId="44844055" w14:textId="77777777" w:rsidR="00E81AF3" w:rsidRPr="00E81AF3" w:rsidRDefault="00E81AF3" w:rsidP="00E81AF3">
      <w:pPr>
        <w:pStyle w:val="ListParagraph"/>
        <w:rPr>
          <w:color w:val="000000" w:themeColor="text1"/>
          <w:sz w:val="32"/>
          <w:szCs w:val="32"/>
        </w:rPr>
      </w:pPr>
    </w:p>
    <w:p w14:paraId="7FCCB406" w14:textId="79406314" w:rsidR="001D7D67" w:rsidRPr="00C66A9E" w:rsidRDefault="001D7D67" w:rsidP="001A7A5C">
      <w:pPr>
        <w:pStyle w:val="Heading2"/>
        <w:numPr>
          <w:ilvl w:val="1"/>
          <w:numId w:val="13"/>
        </w:numPr>
        <w:spacing w:line="360" w:lineRule="auto"/>
        <w:jc w:val="both"/>
        <w:rPr>
          <w:rFonts w:ascii="Arial" w:hAnsi="Arial" w:cs="Arial"/>
          <w:sz w:val="28"/>
          <w:szCs w:val="28"/>
        </w:rPr>
      </w:pPr>
      <w:bookmarkStart w:id="5" w:name="_Toc233962520"/>
      <w:r w:rsidRPr="00C66A9E">
        <w:rPr>
          <w:rFonts w:ascii="Arial" w:hAnsi="Arial" w:cs="Arial"/>
          <w:sz w:val="28"/>
          <w:szCs w:val="28"/>
        </w:rPr>
        <w:t>Addressing the Shortfalls</w:t>
      </w:r>
      <w:bookmarkEnd w:id="5"/>
    </w:p>
    <w:p w14:paraId="5AEDCBC2" w14:textId="77777777" w:rsidR="004273A2" w:rsidRPr="0087475D" w:rsidRDefault="004273A2" w:rsidP="0087475D">
      <w:pPr>
        <w:spacing w:line="360" w:lineRule="auto"/>
        <w:jc w:val="both"/>
        <w:rPr>
          <w:rFonts w:ascii="Arial" w:hAnsi="Arial" w:cs="Arial"/>
          <w:color w:val="000000" w:themeColor="text1"/>
          <w:sz w:val="32"/>
          <w:szCs w:val="32"/>
        </w:rPr>
      </w:pPr>
    </w:p>
    <w:p w14:paraId="5CBF8F87" w14:textId="08B30B04" w:rsidR="0087475D" w:rsidRPr="0087475D" w:rsidRDefault="0087475D" w:rsidP="0087475D">
      <w:pPr>
        <w:spacing w:before="50" w:after="110" w:line="360" w:lineRule="auto"/>
        <w:jc w:val="both"/>
        <w:rPr>
          <w:color w:val="000000" w:themeColor="text1"/>
          <w:sz w:val="32"/>
          <w:szCs w:val="32"/>
        </w:rPr>
      </w:pPr>
      <w:r w:rsidRPr="0087475D">
        <w:rPr>
          <w:rFonts w:ascii="Arial" w:eastAsia="Arial" w:hAnsi="Arial" w:cs="Arial"/>
          <w:color w:val="000000" w:themeColor="text1"/>
        </w:rPr>
        <w:t>Public health bodies have been urged to develop NHS-funded period-tracking apps under UK GDPR and NHS data governance frameworks, removing commercial data-sharing incentives</w:t>
      </w:r>
      <w:r w:rsidR="009D0E90">
        <w:rPr>
          <w:rFonts w:ascii="Arial" w:eastAsia="Arial" w:hAnsi="Arial" w:cs="Arial"/>
          <w:color w:val="000000" w:themeColor="text1"/>
        </w:rPr>
        <w:t xml:space="preserve"> </w:t>
      </w:r>
      <w:r w:rsidRPr="0087475D">
        <w:rPr>
          <w:rFonts w:ascii="Arial" w:eastAsia="Arial" w:hAnsi="Arial" w:cs="Arial"/>
          <w:color w:val="000000" w:themeColor="text1"/>
        </w:rPr>
        <w:t>(The Guardian, 2025)</w:t>
      </w:r>
      <w:r w:rsidR="009D0E90">
        <w:rPr>
          <w:rFonts w:ascii="Arial" w:eastAsia="Arial" w:hAnsi="Arial" w:cs="Arial"/>
          <w:color w:val="000000" w:themeColor="text1"/>
        </w:rPr>
        <w:t>.</w:t>
      </w:r>
      <w:r w:rsidRPr="0087475D">
        <w:rPr>
          <w:rFonts w:ascii="Arial" w:eastAsia="Arial" w:hAnsi="Arial" w:cs="Arial"/>
          <w:color w:val="000000" w:themeColor="text1"/>
        </w:rPr>
        <w:t xml:space="preserve"> Digital exclusion could be mitigated by embedding </w:t>
      </w:r>
      <w:proofErr w:type="gramStart"/>
      <w:r w:rsidRPr="0087475D">
        <w:rPr>
          <w:rFonts w:ascii="Arial" w:eastAsia="Arial" w:hAnsi="Arial" w:cs="Arial"/>
          <w:color w:val="000000" w:themeColor="text1"/>
        </w:rPr>
        <w:t>app</w:t>
      </w:r>
      <w:r>
        <w:rPr>
          <w:rFonts w:ascii="Arial" w:eastAsia="Arial" w:hAnsi="Arial" w:cs="Arial"/>
          <w:color w:val="000000" w:themeColor="text1"/>
        </w:rPr>
        <w:t xml:space="preserve"> </w:t>
      </w:r>
      <w:r w:rsidRPr="0087475D">
        <w:rPr>
          <w:rFonts w:ascii="Arial" w:eastAsia="Arial" w:hAnsi="Arial" w:cs="Arial"/>
          <w:color w:val="000000" w:themeColor="text1"/>
        </w:rPr>
        <w:t>based</w:t>
      </w:r>
      <w:proofErr w:type="gramEnd"/>
      <w:r w:rsidRPr="0087475D">
        <w:rPr>
          <w:rFonts w:ascii="Arial" w:eastAsia="Arial" w:hAnsi="Arial" w:cs="Arial"/>
          <w:color w:val="000000" w:themeColor="text1"/>
        </w:rPr>
        <w:t xml:space="preserve"> tools within NHS school health and sexual health services alongside offline equivalents (</w:t>
      </w:r>
      <w:proofErr w:type="spellStart"/>
      <w:r w:rsidRPr="0087475D">
        <w:rPr>
          <w:rFonts w:ascii="Arial" w:eastAsia="Arial" w:hAnsi="Arial" w:cs="Arial"/>
          <w:color w:val="000000" w:themeColor="text1"/>
        </w:rPr>
        <w:t>Armour</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2024</w:t>
      </w:r>
      <w:r w:rsidR="009D0E90">
        <w:rPr>
          <w:rFonts w:ascii="Arial" w:eastAsia="Arial" w:hAnsi="Arial" w:cs="Arial"/>
          <w:color w:val="000000" w:themeColor="text1"/>
        </w:rPr>
        <w:t>).</w:t>
      </w:r>
      <w:r w:rsidRPr="0087475D">
        <w:rPr>
          <w:rFonts w:ascii="Arial" w:eastAsia="Arial" w:hAnsi="Arial" w:cs="Arial"/>
          <w:color w:val="000000" w:themeColor="text1"/>
        </w:rPr>
        <w:t xml:space="preserve"> Larger, longitudinal RCTs are needed to provide robust evidence of long-term clinical effectiveness (Seo and Seo, 2025)</w:t>
      </w:r>
      <w:r w:rsidR="009D0E90">
        <w:rPr>
          <w:rFonts w:ascii="Arial" w:eastAsia="Arial" w:hAnsi="Arial" w:cs="Arial"/>
          <w:color w:val="000000" w:themeColor="text1"/>
        </w:rPr>
        <w:t>.</w:t>
      </w:r>
    </w:p>
    <w:p w14:paraId="3429E628" w14:textId="3F8A0422" w:rsidR="005B4276" w:rsidRPr="00780AA7" w:rsidRDefault="005B4276" w:rsidP="001A7A5C">
      <w:pPr>
        <w:spacing w:before="60" w:after="120" w:line="360" w:lineRule="auto"/>
        <w:jc w:val="both"/>
        <w:rPr>
          <w:rFonts w:ascii="Arial" w:hAnsi="Arial" w:cs="Arial"/>
          <w:color w:val="000000" w:themeColor="text1"/>
        </w:rPr>
      </w:pPr>
      <w:r w:rsidRPr="00780AA7">
        <w:rPr>
          <w:rFonts w:ascii="Arial" w:hAnsi="Arial" w:cs="Arial"/>
          <w:noProof/>
          <w:color w:val="000000" w:themeColor="text1"/>
        </w:rPr>
        <mc:AlternateContent>
          <mc:Choice Requires="wps">
            <w:drawing>
              <wp:inline distT="0" distB="0" distL="0" distR="0" wp14:anchorId="0000A796" wp14:editId="475AA296">
                <wp:extent cx="304800" cy="304800"/>
                <wp:effectExtent l="0" t="0" r="0" b="0"/>
                <wp:docPr id="775268670"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6017A"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4D8FA58" w14:textId="77777777" w:rsidR="007A4031" w:rsidRPr="00780AA7" w:rsidRDefault="007A4031" w:rsidP="001A7A5C">
      <w:pPr>
        <w:spacing w:before="60" w:after="120" w:line="360" w:lineRule="auto"/>
        <w:jc w:val="both"/>
        <w:rPr>
          <w:rFonts w:ascii="Arial" w:hAnsi="Arial" w:cs="Arial"/>
          <w:color w:val="000000" w:themeColor="text1"/>
        </w:rPr>
      </w:pPr>
    </w:p>
    <w:p w14:paraId="5FA65F30" w14:textId="77777777" w:rsidR="006338B0" w:rsidRPr="00780AA7" w:rsidRDefault="006338B0" w:rsidP="001A7A5C">
      <w:pPr>
        <w:spacing w:line="360" w:lineRule="auto"/>
        <w:jc w:val="both"/>
        <w:rPr>
          <w:rFonts w:ascii="Arial" w:eastAsia="Aptos" w:hAnsi="Arial" w:cs="Arial"/>
          <w:color w:val="000000" w:themeColor="text1"/>
        </w:rPr>
      </w:pPr>
    </w:p>
    <w:p w14:paraId="12A04308" w14:textId="77777777" w:rsidR="009B37CF" w:rsidRPr="00780AA7" w:rsidRDefault="009B37CF" w:rsidP="001A7A5C">
      <w:pPr>
        <w:spacing w:line="360" w:lineRule="auto"/>
        <w:jc w:val="both"/>
        <w:rPr>
          <w:rFonts w:ascii="Arial" w:hAnsi="Arial" w:cs="Arial"/>
          <w:color w:val="000000" w:themeColor="text1"/>
        </w:rPr>
      </w:pPr>
    </w:p>
    <w:p w14:paraId="4E1ED54D" w14:textId="77777777" w:rsidR="009B37CF" w:rsidRDefault="009B37CF" w:rsidP="001A7A5C">
      <w:pPr>
        <w:spacing w:line="360" w:lineRule="auto"/>
        <w:jc w:val="both"/>
        <w:rPr>
          <w:rFonts w:ascii="Arial" w:hAnsi="Arial" w:cs="Arial"/>
          <w:color w:val="000000" w:themeColor="text1"/>
        </w:rPr>
      </w:pPr>
    </w:p>
    <w:p w14:paraId="79B1AEE6" w14:textId="77777777" w:rsidR="009D0E90" w:rsidRPr="00780AA7" w:rsidRDefault="009D0E90" w:rsidP="001A7A5C">
      <w:pPr>
        <w:spacing w:line="360" w:lineRule="auto"/>
        <w:jc w:val="both"/>
        <w:rPr>
          <w:rFonts w:ascii="Arial" w:hAnsi="Arial" w:cs="Arial"/>
          <w:color w:val="000000" w:themeColor="text1"/>
        </w:rPr>
      </w:pPr>
    </w:p>
    <w:p w14:paraId="17B71FA6" w14:textId="77777777" w:rsidR="009B37CF" w:rsidRPr="00780AA7" w:rsidRDefault="009B37CF" w:rsidP="001A7A5C">
      <w:pPr>
        <w:spacing w:line="360" w:lineRule="auto"/>
        <w:jc w:val="both"/>
        <w:rPr>
          <w:rFonts w:ascii="Arial" w:hAnsi="Arial" w:cs="Arial"/>
          <w:color w:val="000000" w:themeColor="text1"/>
        </w:rPr>
      </w:pPr>
    </w:p>
    <w:p w14:paraId="10CFDC11" w14:textId="77777777" w:rsidR="009E4FB0" w:rsidRPr="00780AA7" w:rsidRDefault="009E4FB0" w:rsidP="001A7A5C">
      <w:pPr>
        <w:spacing w:line="360" w:lineRule="auto"/>
        <w:jc w:val="both"/>
        <w:rPr>
          <w:rFonts w:ascii="Arial" w:hAnsi="Arial" w:cs="Arial"/>
        </w:rPr>
      </w:pPr>
    </w:p>
    <w:p w14:paraId="2DFAAAF6" w14:textId="6137D4A0" w:rsidR="004060FC" w:rsidRPr="00C66A9E" w:rsidRDefault="004060FC" w:rsidP="001A7A5C">
      <w:pPr>
        <w:pStyle w:val="Heading1"/>
        <w:spacing w:line="360" w:lineRule="auto"/>
        <w:jc w:val="both"/>
        <w:rPr>
          <w:rFonts w:ascii="Arial" w:hAnsi="Arial" w:cs="Arial"/>
          <w:sz w:val="32"/>
          <w:szCs w:val="32"/>
        </w:rPr>
      </w:pPr>
      <w:bookmarkStart w:id="6" w:name="_Toc233962521"/>
      <w:r w:rsidRPr="00C66A9E">
        <w:rPr>
          <w:rFonts w:ascii="Arial" w:hAnsi="Arial" w:cs="Arial"/>
          <w:sz w:val="32"/>
          <w:szCs w:val="32"/>
        </w:rPr>
        <w:lastRenderedPageBreak/>
        <w:t xml:space="preserve">Blog 2: </w:t>
      </w:r>
      <w:proofErr w:type="spellStart"/>
      <w:proofErr w:type="gramStart"/>
      <w:r w:rsidRPr="00C66A9E">
        <w:rPr>
          <w:rFonts w:ascii="Arial" w:hAnsi="Arial" w:cs="Arial"/>
          <w:sz w:val="32"/>
          <w:szCs w:val="32"/>
        </w:rPr>
        <w:t>CycleWell</w:t>
      </w:r>
      <w:proofErr w:type="spellEnd"/>
      <w:r w:rsidRPr="00C66A9E">
        <w:rPr>
          <w:rFonts w:ascii="Arial" w:hAnsi="Arial" w:cs="Arial"/>
          <w:sz w:val="32"/>
          <w:szCs w:val="32"/>
        </w:rPr>
        <w:t xml:space="preserve"> </w:t>
      </w:r>
      <w:r w:rsidR="006B3B83" w:rsidRPr="00C66A9E">
        <w:rPr>
          <w:rFonts w:ascii="Arial" w:hAnsi="Arial" w:cs="Arial"/>
          <w:sz w:val="32"/>
          <w:szCs w:val="32"/>
        </w:rPr>
        <w:t>:</w:t>
      </w:r>
      <w:proofErr w:type="gramEnd"/>
      <w:r w:rsidRPr="00C66A9E">
        <w:rPr>
          <w:rFonts w:ascii="Arial" w:hAnsi="Arial" w:cs="Arial"/>
          <w:sz w:val="32"/>
          <w:szCs w:val="32"/>
        </w:rPr>
        <w:t xml:space="preserve"> A Designed Digital Technology for </w:t>
      </w:r>
      <w:proofErr w:type="spellStart"/>
      <w:r w:rsidRPr="00C66A9E">
        <w:rPr>
          <w:rFonts w:ascii="Arial" w:hAnsi="Arial" w:cs="Arial"/>
          <w:sz w:val="32"/>
          <w:szCs w:val="32"/>
        </w:rPr>
        <w:t>Dysmenorrhoea</w:t>
      </w:r>
      <w:proofErr w:type="spellEnd"/>
      <w:r w:rsidRPr="00C66A9E">
        <w:rPr>
          <w:rFonts w:ascii="Arial" w:hAnsi="Arial" w:cs="Arial"/>
          <w:sz w:val="32"/>
          <w:szCs w:val="32"/>
        </w:rPr>
        <w:t xml:space="preserve"> Self-Management</w:t>
      </w:r>
      <w:bookmarkEnd w:id="6"/>
      <w:r w:rsidRPr="00C66A9E">
        <w:rPr>
          <w:rFonts w:ascii="Arial" w:hAnsi="Arial" w:cs="Arial"/>
          <w:sz w:val="32"/>
          <w:szCs w:val="32"/>
        </w:rPr>
        <w:t xml:space="preserve"> </w:t>
      </w:r>
    </w:p>
    <w:p w14:paraId="1397FDD4" w14:textId="77777777" w:rsidR="00EA5635" w:rsidRPr="00C66A9E" w:rsidRDefault="00EA5635" w:rsidP="001A7A5C">
      <w:pPr>
        <w:spacing w:line="360" w:lineRule="auto"/>
        <w:jc w:val="both"/>
      </w:pPr>
    </w:p>
    <w:p w14:paraId="765937EE" w14:textId="7B9F2EC8" w:rsidR="00981C1F" w:rsidRDefault="00A53580" w:rsidP="001A7A5C">
      <w:pPr>
        <w:pStyle w:val="Heading2"/>
        <w:spacing w:line="360" w:lineRule="auto"/>
        <w:jc w:val="both"/>
        <w:rPr>
          <w:rFonts w:ascii="Arial" w:hAnsi="Arial" w:cs="Arial"/>
          <w:sz w:val="28"/>
          <w:szCs w:val="28"/>
        </w:rPr>
      </w:pPr>
      <w:bookmarkStart w:id="7" w:name="_Toc233962522"/>
      <w:r w:rsidRPr="008464DA">
        <w:rPr>
          <w:rFonts w:ascii="Arial" w:hAnsi="Arial" w:cs="Arial"/>
          <w:sz w:val="28"/>
          <w:szCs w:val="28"/>
        </w:rPr>
        <w:t xml:space="preserve">2.1. </w:t>
      </w:r>
      <w:r w:rsidR="00981C1F" w:rsidRPr="008464DA">
        <w:rPr>
          <w:rFonts w:ascii="Arial" w:hAnsi="Arial" w:cs="Arial"/>
          <w:sz w:val="28"/>
          <w:szCs w:val="28"/>
        </w:rPr>
        <w:t xml:space="preserve">The Public Health </w:t>
      </w:r>
      <w:proofErr w:type="spellStart"/>
      <w:r w:rsidR="00981C1F" w:rsidRPr="008464DA">
        <w:rPr>
          <w:rFonts w:ascii="Arial" w:hAnsi="Arial" w:cs="Arial"/>
          <w:sz w:val="28"/>
          <w:szCs w:val="28"/>
        </w:rPr>
        <w:t>Proble</w:t>
      </w:r>
      <w:bookmarkEnd w:id="7"/>
      <w:proofErr w:type="spellEnd"/>
    </w:p>
    <w:p w14:paraId="5BD9272D" w14:textId="77777777" w:rsidR="00A65466" w:rsidRPr="00A65466" w:rsidRDefault="00A65466" w:rsidP="00A65466"/>
    <w:p w14:paraId="6D0A2F8F" w14:textId="56D85AD5" w:rsidR="00A730D7" w:rsidRDefault="00A65466" w:rsidP="00A65466">
      <w:pPr>
        <w:spacing w:line="360" w:lineRule="auto"/>
        <w:jc w:val="both"/>
        <w:rPr>
          <w:rFonts w:ascii="Arial" w:eastAsia="Arial" w:hAnsi="Arial" w:cs="Arial"/>
          <w:color w:val="000000" w:themeColor="text1"/>
        </w:rPr>
      </w:pPr>
      <w:proofErr w:type="spellStart"/>
      <w:r w:rsidRPr="00A65466">
        <w:rPr>
          <w:rFonts w:ascii="Arial" w:eastAsia="Arial" w:hAnsi="Arial" w:cs="Arial"/>
          <w:color w:val="000000" w:themeColor="text1"/>
        </w:rPr>
        <w:t>Dysmenorrhoea</w:t>
      </w:r>
      <w:proofErr w:type="spellEnd"/>
      <w:r w:rsidRPr="00A65466">
        <w:rPr>
          <w:rFonts w:ascii="Arial" w:eastAsia="Arial" w:hAnsi="Arial" w:cs="Arial"/>
          <w:color w:val="000000" w:themeColor="text1"/>
        </w:rPr>
        <w:t xml:space="preserve"> affects 67</w:t>
      </w:r>
      <w:r>
        <w:rPr>
          <w:rFonts w:ascii="Arial" w:eastAsia="Arial" w:hAnsi="Arial" w:cs="Arial"/>
          <w:color w:val="000000" w:themeColor="text1"/>
        </w:rPr>
        <w:t>-</w:t>
      </w:r>
      <w:r w:rsidRPr="00A65466">
        <w:rPr>
          <w:rFonts w:ascii="Arial" w:eastAsia="Arial" w:hAnsi="Arial" w:cs="Arial"/>
          <w:color w:val="000000" w:themeColor="text1"/>
        </w:rPr>
        <w:t>90% of UK women aged 17</w:t>
      </w:r>
      <w:r>
        <w:rPr>
          <w:rFonts w:ascii="Arial" w:eastAsia="Arial" w:hAnsi="Arial" w:cs="Arial"/>
          <w:color w:val="000000" w:themeColor="text1"/>
        </w:rPr>
        <w:t>-</w:t>
      </w:r>
      <w:r w:rsidRPr="00A65466">
        <w:rPr>
          <w:rFonts w:ascii="Arial" w:eastAsia="Arial" w:hAnsi="Arial" w:cs="Arial"/>
          <w:color w:val="000000" w:themeColor="text1"/>
        </w:rPr>
        <w:t xml:space="preserve">24, yet fewer than 37% seek medical advice due to </w:t>
      </w:r>
      <w:proofErr w:type="spellStart"/>
      <w:r w:rsidRPr="00A65466">
        <w:rPr>
          <w:rFonts w:ascii="Arial" w:eastAsia="Arial" w:hAnsi="Arial" w:cs="Arial"/>
          <w:color w:val="000000" w:themeColor="text1"/>
        </w:rPr>
        <w:t>normalisation</w:t>
      </w:r>
      <w:proofErr w:type="spellEnd"/>
      <w:r w:rsidRPr="00A65466">
        <w:rPr>
          <w:rFonts w:ascii="Arial" w:eastAsia="Arial" w:hAnsi="Arial" w:cs="Arial"/>
          <w:color w:val="000000" w:themeColor="text1"/>
        </w:rPr>
        <w:t xml:space="preserve"> of pain and low health literacy (MacGregor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2023; Matheson and Durand, 2024)</w:t>
      </w:r>
      <w:r>
        <w:rPr>
          <w:rFonts w:ascii="Arial" w:eastAsia="Arial" w:hAnsi="Arial" w:cs="Arial"/>
          <w:color w:val="000000" w:themeColor="text1"/>
        </w:rPr>
        <w:t>.</w:t>
      </w:r>
      <w:r w:rsidRPr="00A65466">
        <w:rPr>
          <w:rFonts w:ascii="Arial" w:eastAsia="Arial" w:hAnsi="Arial" w:cs="Arial"/>
          <w:color w:val="000000" w:themeColor="text1"/>
        </w:rPr>
        <w:t xml:space="preserve"> Unmanaged adolescent </w:t>
      </w:r>
      <w:proofErr w:type="spellStart"/>
      <w:r w:rsidRPr="00A65466">
        <w:rPr>
          <w:rFonts w:ascii="Arial" w:eastAsia="Arial" w:hAnsi="Arial" w:cs="Arial"/>
          <w:color w:val="000000" w:themeColor="text1"/>
        </w:rPr>
        <w:t>dysmenorrhoea</w:t>
      </w:r>
      <w:proofErr w:type="spellEnd"/>
      <w:r w:rsidRPr="00A65466">
        <w:rPr>
          <w:rFonts w:ascii="Arial" w:eastAsia="Arial" w:hAnsi="Arial" w:cs="Arial"/>
          <w:color w:val="000000" w:themeColor="text1"/>
        </w:rPr>
        <w:t xml:space="preserve"> predicts adult chronic pain, and existing apps lack structured </w:t>
      </w:r>
      <w:proofErr w:type="spellStart"/>
      <w:r w:rsidRPr="00A65466">
        <w:rPr>
          <w:rFonts w:ascii="Arial" w:eastAsia="Arial" w:hAnsi="Arial" w:cs="Arial"/>
          <w:color w:val="000000" w:themeColor="text1"/>
        </w:rPr>
        <w:t>behaviour</w:t>
      </w:r>
      <w:proofErr w:type="spellEnd"/>
      <w:r w:rsidRPr="00A65466">
        <w:rPr>
          <w:rFonts w:ascii="Arial" w:eastAsia="Arial" w:hAnsi="Arial" w:cs="Arial"/>
          <w:color w:val="000000" w:themeColor="text1"/>
        </w:rPr>
        <w:t>-change support and NHS data governance creating a clear gap for a purpose-built intervention (The Lancet, 2025; Seo and Seo, 2025</w:t>
      </w:r>
      <w:r>
        <w:rPr>
          <w:rFonts w:ascii="Arial" w:eastAsia="Arial" w:hAnsi="Arial" w:cs="Arial"/>
          <w:color w:val="000000" w:themeColor="text1"/>
        </w:rPr>
        <w:t>).</w:t>
      </w:r>
    </w:p>
    <w:p w14:paraId="5109D637" w14:textId="45217293" w:rsidR="00A730D7" w:rsidRDefault="00CC2912" w:rsidP="00BC07D7">
      <w:pPr>
        <w:spacing w:line="360" w:lineRule="auto"/>
        <w:jc w:val="center"/>
        <w:rPr>
          <w:color w:val="000000" w:themeColor="text1"/>
          <w:sz w:val="32"/>
          <w:szCs w:val="32"/>
        </w:rPr>
      </w:pPr>
      <w:r w:rsidRPr="00CC2912">
        <w:rPr>
          <w:noProof/>
          <w:color w:val="000000" w:themeColor="text1"/>
          <w:sz w:val="32"/>
          <w:szCs w:val="32"/>
        </w:rPr>
        <w:drawing>
          <wp:inline distT="0" distB="0" distL="0" distR="0" wp14:anchorId="22208F9C" wp14:editId="00E782CD">
            <wp:extent cx="6981825" cy="3082890"/>
            <wp:effectExtent l="0" t="0" r="0" b="0"/>
            <wp:docPr id="103492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23892" cy="3189777"/>
                    </a:xfrm>
                    <a:prstGeom prst="rect">
                      <a:avLst/>
                    </a:prstGeom>
                    <a:noFill/>
                    <a:ln>
                      <a:noFill/>
                    </a:ln>
                  </pic:spPr>
                </pic:pic>
              </a:graphicData>
            </a:graphic>
          </wp:inline>
        </w:drawing>
      </w:r>
    </w:p>
    <w:p w14:paraId="78B41272" w14:textId="6E140866" w:rsidR="009D0E90" w:rsidRDefault="00BC07D7" w:rsidP="00BC07D7">
      <w:pPr>
        <w:spacing w:line="360" w:lineRule="auto"/>
        <w:jc w:val="center"/>
        <w:rPr>
          <w:color w:val="000000" w:themeColor="text1"/>
          <w:sz w:val="32"/>
          <w:szCs w:val="32"/>
        </w:rPr>
      </w:pPr>
      <w:r>
        <w:rPr>
          <w:color w:val="000000" w:themeColor="text1"/>
          <w:sz w:val="32"/>
          <w:szCs w:val="32"/>
        </w:rPr>
        <w:t>(Self-generate)</w:t>
      </w:r>
    </w:p>
    <w:p w14:paraId="0429D5D5" w14:textId="77777777" w:rsidR="009D0E90" w:rsidRPr="00CC2912" w:rsidRDefault="009D0E90" w:rsidP="009D0E90">
      <w:pPr>
        <w:spacing w:line="360" w:lineRule="auto"/>
        <w:rPr>
          <w:color w:val="000000" w:themeColor="text1"/>
          <w:sz w:val="32"/>
          <w:szCs w:val="32"/>
        </w:rPr>
      </w:pPr>
    </w:p>
    <w:p w14:paraId="082A3756" w14:textId="38315723" w:rsidR="00981C1F" w:rsidRDefault="009216B4" w:rsidP="001A7A5C">
      <w:pPr>
        <w:pStyle w:val="Heading2"/>
        <w:spacing w:line="360" w:lineRule="auto"/>
        <w:jc w:val="both"/>
        <w:rPr>
          <w:rFonts w:ascii="Arial" w:hAnsi="Arial" w:cs="Arial"/>
        </w:rPr>
      </w:pPr>
      <w:bookmarkStart w:id="8" w:name="_Toc233962523"/>
      <w:r w:rsidRPr="00780AA7">
        <w:rPr>
          <w:rFonts w:ascii="Arial" w:hAnsi="Arial" w:cs="Arial"/>
        </w:rPr>
        <w:lastRenderedPageBreak/>
        <w:t xml:space="preserve">2.2. </w:t>
      </w:r>
      <w:r w:rsidR="00981C1F" w:rsidRPr="00780AA7">
        <w:rPr>
          <w:rFonts w:ascii="Arial" w:hAnsi="Arial" w:cs="Arial"/>
        </w:rPr>
        <w:t xml:space="preserve">The Designed Technology: </w:t>
      </w:r>
      <w:proofErr w:type="spellStart"/>
      <w:r w:rsidR="00981C1F" w:rsidRPr="00780AA7">
        <w:rPr>
          <w:rFonts w:ascii="Arial" w:hAnsi="Arial" w:cs="Arial"/>
        </w:rPr>
        <w:t>CycleWell</w:t>
      </w:r>
      <w:bookmarkEnd w:id="8"/>
      <w:proofErr w:type="spellEnd"/>
    </w:p>
    <w:p w14:paraId="5AFFADBA" w14:textId="42543AB9" w:rsidR="00F209B0" w:rsidRDefault="00F209B0" w:rsidP="00BE1DA1">
      <w:pPr>
        <w:spacing w:before="60" w:after="120" w:line="360" w:lineRule="auto"/>
        <w:rPr>
          <w:rFonts w:ascii="Arial" w:hAnsi="Arial" w:cs="Arial"/>
          <w:color w:val="000000" w:themeColor="text1"/>
        </w:rPr>
      </w:pPr>
    </w:p>
    <w:p w14:paraId="74D3BDF5" w14:textId="1123AA36" w:rsidR="00A65466" w:rsidRDefault="00A65466" w:rsidP="00A65466">
      <w:pPr>
        <w:spacing w:before="50" w:after="110" w:line="360" w:lineRule="auto"/>
        <w:jc w:val="both"/>
        <w:rPr>
          <w:rFonts w:ascii="Arial" w:eastAsia="Arial" w:hAnsi="Arial" w:cs="Arial"/>
          <w:color w:val="000000" w:themeColor="text1"/>
        </w:rPr>
      </w:pPr>
      <w:proofErr w:type="spellStart"/>
      <w:r w:rsidRPr="00A65466">
        <w:rPr>
          <w:rFonts w:ascii="Arial" w:eastAsia="Arial" w:hAnsi="Arial" w:cs="Arial"/>
          <w:color w:val="000000" w:themeColor="text1"/>
        </w:rPr>
        <w:t>CycleWell</w:t>
      </w:r>
      <w:proofErr w:type="spellEnd"/>
      <w:r w:rsidRPr="00A65466">
        <w:rPr>
          <w:rFonts w:ascii="Arial" w:eastAsia="Arial" w:hAnsi="Arial" w:cs="Arial"/>
          <w:color w:val="000000" w:themeColor="text1"/>
        </w:rPr>
        <w:t xml:space="preserve"> is a proposed free NHS-endorsed app (iOS/Android) for women aged 16</w:t>
      </w:r>
      <w:r>
        <w:rPr>
          <w:rFonts w:ascii="Arial" w:eastAsia="Arial" w:hAnsi="Arial" w:cs="Arial"/>
          <w:color w:val="000000" w:themeColor="text1"/>
        </w:rPr>
        <w:t>-</w:t>
      </w:r>
      <w:r w:rsidRPr="00A65466">
        <w:rPr>
          <w:rFonts w:ascii="Arial" w:eastAsia="Arial" w:hAnsi="Arial" w:cs="Arial"/>
          <w:color w:val="000000" w:themeColor="text1"/>
        </w:rPr>
        <w:t xml:space="preserve">30, designed to build users' knowledge, confidence, and motivation to manage menstrual pain effectively. Features include an AI pain diary flagging endometriosis-consistent patterns,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education modules matched to each user's readiness to change, an NHS 111/GP referral gateway, a moderated peer forum, and GDPR-compliant data storage with zero third-party sharing (Oxford Open Digital Health, 2025)</w:t>
      </w:r>
      <w:r>
        <w:rPr>
          <w:rFonts w:ascii="Arial" w:eastAsia="Arial" w:hAnsi="Arial" w:cs="Arial"/>
          <w:color w:val="000000" w:themeColor="text1"/>
        </w:rPr>
        <w:t>.</w:t>
      </w:r>
    </w:p>
    <w:p w14:paraId="27D9DAA0" w14:textId="77777777" w:rsidR="009D0E90" w:rsidRPr="00CC2912" w:rsidRDefault="009D0E90" w:rsidP="00A65466">
      <w:pPr>
        <w:spacing w:before="50" w:after="110" w:line="360" w:lineRule="auto"/>
        <w:jc w:val="both"/>
        <w:rPr>
          <w:rFonts w:ascii="Arial" w:eastAsia="Arial" w:hAnsi="Arial" w:cs="Arial"/>
          <w:color w:val="000000" w:themeColor="text1"/>
        </w:rPr>
      </w:pPr>
    </w:p>
    <w:p w14:paraId="3FB147C2" w14:textId="6EEFE639" w:rsidR="00A65466" w:rsidRDefault="00A65466" w:rsidP="00A65466">
      <w:pPr>
        <w:pStyle w:val="Heading2"/>
        <w:rPr>
          <w:rFonts w:ascii="Arial" w:hAnsi="Arial" w:cs="Arial"/>
        </w:rPr>
      </w:pPr>
      <w:bookmarkStart w:id="9" w:name="_Toc233962524"/>
      <w:r>
        <w:rPr>
          <w:rFonts w:ascii="Arial" w:hAnsi="Arial" w:cs="Arial"/>
        </w:rPr>
        <w:t xml:space="preserve">2.3. </w:t>
      </w:r>
      <w:r w:rsidRPr="00A65466">
        <w:rPr>
          <w:rFonts w:ascii="Arial" w:hAnsi="Arial" w:cs="Arial"/>
        </w:rPr>
        <w:t>Use in Health Promotion</w:t>
      </w:r>
      <w:bookmarkEnd w:id="9"/>
    </w:p>
    <w:p w14:paraId="6DC5FB09" w14:textId="77777777" w:rsidR="00A65466" w:rsidRPr="00A65466" w:rsidRDefault="00A65466" w:rsidP="00A65466"/>
    <w:p w14:paraId="1B0A39B1" w14:textId="7610983B" w:rsidR="00A65466" w:rsidRPr="00A65466" w:rsidRDefault="00A65466" w:rsidP="00A65466">
      <w:pPr>
        <w:spacing w:before="50" w:after="110" w:line="360" w:lineRule="auto"/>
        <w:jc w:val="both"/>
        <w:rPr>
          <w:color w:val="000000" w:themeColor="text1"/>
          <w:sz w:val="32"/>
          <w:szCs w:val="32"/>
        </w:rPr>
      </w:pPr>
      <w:proofErr w:type="spellStart"/>
      <w:r w:rsidRPr="00A65466">
        <w:rPr>
          <w:rFonts w:ascii="Arial" w:eastAsia="Arial" w:hAnsi="Arial" w:cs="Arial"/>
          <w:color w:val="000000" w:themeColor="text1"/>
        </w:rPr>
        <w:t>CycleWell</w:t>
      </w:r>
      <w:proofErr w:type="spellEnd"/>
      <w:r w:rsidRPr="00A65466">
        <w:rPr>
          <w:rFonts w:ascii="Arial" w:eastAsia="Arial" w:hAnsi="Arial" w:cs="Arial"/>
          <w:color w:val="000000" w:themeColor="text1"/>
        </w:rPr>
        <w:t xml:space="preserve"> builds users' knowledge and skills through pain-management education, creates opportunity to act via the NHS gateway and peer forum, and strengthens motivation through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dashboards and progress feedback. An onboarding questionnaire identifies each user's current attitude towards their pain from dismissing it as normal to actively managing it and delivers tailored content accordingly, an approach shown to outperform generic health information delivery (Nigg et al., 2024)</w:t>
      </w:r>
      <w:r>
        <w:rPr>
          <w:rFonts w:ascii="Arial" w:eastAsia="Arial" w:hAnsi="Arial" w:cs="Arial"/>
          <w:color w:val="000000" w:themeColor="text1"/>
        </w:rPr>
        <w:t>.</w:t>
      </w:r>
    </w:p>
    <w:p w14:paraId="187D9FA8" w14:textId="77777777" w:rsidR="00A65466" w:rsidRPr="00780AA7" w:rsidRDefault="00A65466" w:rsidP="001A7A5C">
      <w:pPr>
        <w:spacing w:before="60" w:after="120" w:line="360" w:lineRule="auto"/>
        <w:jc w:val="both"/>
        <w:rPr>
          <w:rFonts w:ascii="Arial" w:hAnsi="Arial" w:cs="Arial"/>
          <w:color w:val="000000" w:themeColor="text1"/>
        </w:rPr>
      </w:pPr>
    </w:p>
    <w:p w14:paraId="158D9A75" w14:textId="26A76A60" w:rsidR="005C4A7E" w:rsidRDefault="009216B4" w:rsidP="00CC2912">
      <w:pPr>
        <w:pStyle w:val="Heading2"/>
        <w:spacing w:line="360" w:lineRule="auto"/>
        <w:jc w:val="both"/>
        <w:rPr>
          <w:rFonts w:ascii="Arial" w:hAnsi="Arial" w:cs="Arial"/>
        </w:rPr>
      </w:pPr>
      <w:bookmarkStart w:id="10" w:name="_Toc233962525"/>
      <w:r w:rsidRPr="00780AA7">
        <w:rPr>
          <w:rFonts w:ascii="Arial" w:hAnsi="Arial" w:cs="Arial"/>
        </w:rPr>
        <w:t xml:space="preserve">2.4. </w:t>
      </w:r>
      <w:r w:rsidR="00D4108D" w:rsidRPr="00780AA7">
        <w:rPr>
          <w:rFonts w:ascii="Arial" w:hAnsi="Arial" w:cs="Arial"/>
        </w:rPr>
        <w:t xml:space="preserve">advantages and Shortfalls of </w:t>
      </w:r>
      <w:proofErr w:type="spellStart"/>
      <w:r w:rsidR="00D4108D" w:rsidRPr="00780AA7">
        <w:rPr>
          <w:rFonts w:ascii="Arial" w:hAnsi="Arial" w:cs="Arial"/>
        </w:rPr>
        <w:t>CycleWell</w:t>
      </w:r>
      <w:bookmarkEnd w:id="10"/>
      <w:proofErr w:type="spellEnd"/>
    </w:p>
    <w:p w14:paraId="16BE0D69" w14:textId="77777777" w:rsidR="009D0E90" w:rsidRPr="009D0E90" w:rsidRDefault="009D0E90" w:rsidP="009D0E90"/>
    <w:p w14:paraId="755F4329" w14:textId="77777777"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 xml:space="preserve">Combines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w:t>
      </w:r>
      <w:proofErr w:type="spellStart"/>
      <w:r w:rsidRPr="00A65466">
        <w:rPr>
          <w:rFonts w:ascii="Arial" w:eastAsia="Arial" w:hAnsi="Arial" w:cs="Arial"/>
          <w:color w:val="000000" w:themeColor="text1"/>
        </w:rPr>
        <w:t>behaviour</w:t>
      </w:r>
      <w:proofErr w:type="spellEnd"/>
      <w:r w:rsidRPr="00A65466">
        <w:rPr>
          <w:rFonts w:ascii="Arial" w:eastAsia="Arial" w:hAnsi="Arial" w:cs="Arial"/>
          <w:color w:val="000000" w:themeColor="text1"/>
        </w:rPr>
        <w:t>-change support with a direct NHS referral pathway, unlike existing commercial apps</w:t>
      </w:r>
    </w:p>
    <w:p w14:paraId="62A07919" w14:textId="08BEB5A9"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AI pain-pattern flagging could reduce the UK's 6</w:t>
      </w:r>
      <w:r>
        <w:rPr>
          <w:rFonts w:ascii="Arial" w:eastAsia="Arial" w:hAnsi="Arial" w:cs="Arial"/>
          <w:color w:val="000000" w:themeColor="text1"/>
        </w:rPr>
        <w:t>-</w:t>
      </w:r>
      <w:r w:rsidRPr="00A65466">
        <w:rPr>
          <w:rFonts w:ascii="Arial" w:eastAsia="Arial" w:hAnsi="Arial" w:cs="Arial"/>
          <w:color w:val="000000" w:themeColor="text1"/>
        </w:rPr>
        <w:t xml:space="preserve">8year average endometriosis diagnostic delay (MacGregor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2023)</w:t>
      </w:r>
    </w:p>
    <w:p w14:paraId="4152A201" w14:textId="77777777"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 xml:space="preserve">Tailored, stage-matched content improves user engagement compared to generic health information (Nigg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2024)</w:t>
      </w:r>
    </w:p>
    <w:p w14:paraId="153ED449" w14:textId="3FB5AB46" w:rsidR="00B72B8B" w:rsidRPr="009D0E90"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lastRenderedPageBreak/>
        <w:t>NHS-grade data governance removes commercial data-sharing risk (Oxford Open Digital Health, 2025)</w:t>
      </w:r>
    </w:p>
    <w:p w14:paraId="2197DB2D" w14:textId="77777777" w:rsidR="009D0E90" w:rsidRPr="009D0E90" w:rsidRDefault="009D0E90" w:rsidP="009D0E90">
      <w:pPr>
        <w:pStyle w:val="ListParagraph"/>
        <w:spacing w:before="30" w:after="60" w:line="360" w:lineRule="auto"/>
        <w:contextualSpacing w:val="0"/>
        <w:jc w:val="both"/>
        <w:rPr>
          <w:color w:val="000000" w:themeColor="text1"/>
          <w:sz w:val="32"/>
          <w:szCs w:val="32"/>
        </w:rPr>
      </w:pPr>
    </w:p>
    <w:p w14:paraId="0178E237" w14:textId="7FA8B69E" w:rsidR="003B5CBC" w:rsidRPr="00CC2912" w:rsidRDefault="009216B4" w:rsidP="00CC2912">
      <w:pPr>
        <w:pStyle w:val="Heading2"/>
        <w:spacing w:line="360" w:lineRule="auto"/>
        <w:jc w:val="both"/>
        <w:rPr>
          <w:rFonts w:ascii="Arial" w:hAnsi="Arial" w:cs="Arial"/>
        </w:rPr>
      </w:pPr>
      <w:bookmarkStart w:id="11" w:name="_Toc233962526"/>
      <w:r w:rsidRPr="00780AA7">
        <w:rPr>
          <w:rFonts w:ascii="Arial" w:hAnsi="Arial" w:cs="Arial"/>
        </w:rPr>
        <w:t>2.</w:t>
      </w:r>
      <w:r w:rsidR="00605A28" w:rsidRPr="00780AA7">
        <w:rPr>
          <w:rFonts w:ascii="Arial" w:hAnsi="Arial" w:cs="Arial"/>
        </w:rPr>
        <w:t xml:space="preserve">5. </w:t>
      </w:r>
      <w:r w:rsidR="00B72B8B" w:rsidRPr="00780AA7">
        <w:rPr>
          <w:rFonts w:ascii="Arial" w:hAnsi="Arial" w:cs="Arial"/>
        </w:rPr>
        <w:t xml:space="preserve">Disadvantages and Shortfalls of </w:t>
      </w:r>
      <w:proofErr w:type="spellStart"/>
      <w:r w:rsidR="00B72B8B" w:rsidRPr="00780AA7">
        <w:rPr>
          <w:rFonts w:ascii="Arial" w:hAnsi="Arial" w:cs="Arial"/>
        </w:rPr>
        <w:t>CycleWell</w:t>
      </w:r>
      <w:bookmarkEnd w:id="11"/>
      <w:proofErr w:type="spellEnd"/>
    </w:p>
    <w:p w14:paraId="3759A98E" w14:textId="390D7824"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Substantial development and ongoing maintenance costs (</w:t>
      </w:r>
      <w:proofErr w:type="spellStart"/>
      <w:r w:rsidRPr="00A65466">
        <w:rPr>
          <w:rFonts w:ascii="Arial" w:eastAsia="Arial" w:hAnsi="Arial" w:cs="Arial"/>
          <w:color w:val="000000" w:themeColor="text1"/>
        </w:rPr>
        <w:t>Armour</w:t>
      </w:r>
      <w:proofErr w:type="spellEnd"/>
      <w:r w:rsidRPr="00A65466">
        <w:rPr>
          <w:rFonts w:ascii="Arial" w:eastAsia="Arial" w:hAnsi="Arial" w:cs="Arial"/>
          <w:color w:val="000000" w:themeColor="text1"/>
        </w:rPr>
        <w:t xml:space="preserve"> </w:t>
      </w:r>
      <w:r w:rsidRPr="002D67D8">
        <w:rPr>
          <w:rFonts w:ascii="Arial" w:eastAsia="Arial" w:hAnsi="Arial" w:cs="Arial"/>
          <w:i/>
          <w:iCs/>
          <w:color w:val="000000" w:themeColor="text1"/>
        </w:rPr>
        <w:t>et al.,</w:t>
      </w:r>
      <w:r w:rsidRPr="00A65466">
        <w:rPr>
          <w:rFonts w:ascii="Arial" w:eastAsia="Arial" w:hAnsi="Arial" w:cs="Arial"/>
          <w:color w:val="000000" w:themeColor="text1"/>
        </w:rPr>
        <w:t xml:space="preserve"> 2024)</w:t>
      </w:r>
      <w:r w:rsidR="009D0E90">
        <w:rPr>
          <w:rFonts w:ascii="Arial" w:eastAsia="Arial" w:hAnsi="Arial" w:cs="Arial"/>
          <w:color w:val="000000" w:themeColor="text1"/>
        </w:rPr>
        <w:t>.</w:t>
      </w:r>
    </w:p>
    <w:p w14:paraId="05CA8288" w14:textId="52524427"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Risk of digital exclusion for women without smartphones or reliable internet access</w:t>
      </w:r>
      <w:r w:rsidR="009D0E90">
        <w:rPr>
          <w:rFonts w:ascii="Arial" w:eastAsia="Arial" w:hAnsi="Arial" w:cs="Arial"/>
          <w:color w:val="000000" w:themeColor="text1"/>
        </w:rPr>
        <w:t>.</w:t>
      </w:r>
    </w:p>
    <w:p w14:paraId="44FE5BFF" w14:textId="5CF974EA"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High attrition rates are a common limitation of mHealth tools over time (Seo and Seo, 2025)</w:t>
      </w:r>
      <w:r w:rsidR="009D0E90">
        <w:rPr>
          <w:rFonts w:ascii="Arial" w:eastAsia="Arial" w:hAnsi="Arial" w:cs="Arial"/>
          <w:color w:val="000000" w:themeColor="text1"/>
        </w:rPr>
        <w:t>.</w:t>
      </w:r>
    </w:p>
    <w:p w14:paraId="6D1C0F24" w14:textId="69072639"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Limited long-term, large-scale evidence of real-world effectiveness</w:t>
      </w:r>
      <w:r w:rsidR="009D0E90">
        <w:rPr>
          <w:rFonts w:ascii="Arial" w:eastAsia="Arial" w:hAnsi="Arial" w:cs="Arial"/>
          <w:color w:val="000000" w:themeColor="text1"/>
        </w:rPr>
        <w:t>.</w:t>
      </w:r>
    </w:p>
    <w:p w14:paraId="59E33084" w14:textId="77777777" w:rsidR="00B72B8B" w:rsidRPr="00780AA7" w:rsidRDefault="00B72B8B" w:rsidP="002D67D8">
      <w:pPr>
        <w:spacing w:line="360" w:lineRule="auto"/>
        <w:jc w:val="both"/>
        <w:rPr>
          <w:rFonts w:ascii="Arial" w:hAnsi="Arial" w:cs="Arial"/>
        </w:rPr>
      </w:pPr>
    </w:p>
    <w:p w14:paraId="46250050" w14:textId="0672D220" w:rsidR="00CB2F0D" w:rsidRPr="00780AA7" w:rsidRDefault="00605A28" w:rsidP="00CC2912">
      <w:pPr>
        <w:pStyle w:val="Heading2"/>
        <w:spacing w:line="360" w:lineRule="auto"/>
        <w:jc w:val="both"/>
        <w:rPr>
          <w:rFonts w:ascii="Arial" w:hAnsi="Arial" w:cs="Arial"/>
        </w:rPr>
      </w:pPr>
      <w:bookmarkStart w:id="12" w:name="_Toc233962527"/>
      <w:r w:rsidRPr="00780AA7">
        <w:rPr>
          <w:rFonts w:ascii="Arial" w:hAnsi="Arial" w:cs="Arial"/>
        </w:rPr>
        <w:t xml:space="preserve">2.6. </w:t>
      </w:r>
      <w:r w:rsidR="00981C1F" w:rsidRPr="00780AA7">
        <w:rPr>
          <w:rFonts w:ascii="Arial" w:hAnsi="Arial" w:cs="Arial"/>
        </w:rPr>
        <w:t>Addressing the Shortfalls</w:t>
      </w:r>
      <w:r w:rsidR="00CB2F0D" w:rsidRPr="00780AA7">
        <w:rPr>
          <w:rFonts w:ascii="Arial" w:hAnsi="Arial" w:cs="Arial"/>
        </w:rPr>
        <w:t>:</w:t>
      </w:r>
      <w:bookmarkEnd w:id="12"/>
      <w:r w:rsidR="00CB2F0D" w:rsidRPr="00780AA7">
        <w:rPr>
          <w:rFonts w:ascii="Arial" w:hAnsi="Arial" w:cs="Arial"/>
        </w:rPr>
        <w:t xml:space="preserve"> </w:t>
      </w:r>
    </w:p>
    <w:p w14:paraId="61B00C86" w14:textId="21FC0932" w:rsidR="00780AA7" w:rsidRPr="00CC2912" w:rsidRDefault="002D67D8" w:rsidP="00CC2912">
      <w:pPr>
        <w:spacing w:before="50" w:after="110" w:line="360" w:lineRule="auto"/>
        <w:jc w:val="both"/>
        <w:rPr>
          <w:color w:val="000000" w:themeColor="text1"/>
          <w:sz w:val="32"/>
          <w:szCs w:val="32"/>
        </w:rPr>
      </w:pPr>
      <w:r w:rsidRPr="002D67D8">
        <w:rPr>
          <w:rFonts w:ascii="Arial" w:eastAsia="Arial" w:hAnsi="Arial" w:cs="Arial"/>
          <w:color w:val="000000" w:themeColor="text1"/>
        </w:rPr>
        <w:t>A printed NHS companion guide distributed via GP surgeries and schools would mitigate digital exclusion (</w:t>
      </w:r>
      <w:proofErr w:type="spellStart"/>
      <w:r w:rsidRPr="002D67D8">
        <w:rPr>
          <w:rFonts w:ascii="Arial" w:eastAsia="Arial" w:hAnsi="Arial" w:cs="Arial"/>
          <w:color w:val="000000" w:themeColor="text1"/>
        </w:rPr>
        <w:t>Armour</w:t>
      </w:r>
      <w:proofErr w:type="spellEnd"/>
      <w:r w:rsidRPr="002D67D8">
        <w:rPr>
          <w:rFonts w:ascii="Arial" w:eastAsia="Arial" w:hAnsi="Arial" w:cs="Arial"/>
          <w:color w:val="000000" w:themeColor="text1"/>
        </w:rPr>
        <w:t xml:space="preserve"> </w:t>
      </w:r>
      <w:r w:rsidRPr="002D67D8">
        <w:rPr>
          <w:rFonts w:ascii="Arial" w:eastAsia="Arial" w:hAnsi="Arial" w:cs="Arial"/>
          <w:i/>
          <w:iCs/>
          <w:color w:val="000000" w:themeColor="text1"/>
        </w:rPr>
        <w:t>et al.,</w:t>
      </w:r>
      <w:r w:rsidRPr="002D67D8">
        <w:rPr>
          <w:rFonts w:ascii="Arial" w:eastAsia="Arial" w:hAnsi="Arial" w:cs="Arial"/>
          <w:color w:val="000000" w:themeColor="text1"/>
        </w:rPr>
        <w:t xml:space="preserve"> 2024)</w:t>
      </w:r>
      <w:r w:rsidR="009D0E90">
        <w:rPr>
          <w:rFonts w:ascii="Arial" w:eastAsia="Arial" w:hAnsi="Arial" w:cs="Arial"/>
          <w:color w:val="000000" w:themeColor="text1"/>
        </w:rPr>
        <w:t>.</w:t>
      </w:r>
      <w:r w:rsidRPr="002D67D8">
        <w:rPr>
          <w:rFonts w:ascii="Arial" w:eastAsia="Arial" w:hAnsi="Arial" w:cs="Arial"/>
          <w:color w:val="000000" w:themeColor="text1"/>
        </w:rPr>
        <w:t xml:space="preserve"> Reward-based features could sustain engagement, funded through NHS England's Digital Health Strategy</w:t>
      </w:r>
      <w:r w:rsidR="009D0E90">
        <w:rPr>
          <w:rFonts w:ascii="Arial" w:eastAsia="Arial" w:hAnsi="Arial" w:cs="Arial"/>
          <w:color w:val="000000" w:themeColor="text1"/>
        </w:rPr>
        <w:t xml:space="preserve"> </w:t>
      </w:r>
      <w:r w:rsidRPr="002D67D8">
        <w:rPr>
          <w:rFonts w:ascii="Arial" w:eastAsia="Arial" w:hAnsi="Arial" w:cs="Arial"/>
          <w:color w:val="000000" w:themeColor="text1"/>
        </w:rPr>
        <w:t xml:space="preserve">(Nigg </w:t>
      </w:r>
      <w:r w:rsidRPr="002D67D8">
        <w:rPr>
          <w:rFonts w:ascii="Arial" w:eastAsia="Arial" w:hAnsi="Arial" w:cs="Arial"/>
          <w:i/>
          <w:iCs/>
          <w:color w:val="000000" w:themeColor="text1"/>
        </w:rPr>
        <w:t xml:space="preserve">et al., </w:t>
      </w:r>
      <w:r w:rsidRPr="002D67D8">
        <w:rPr>
          <w:rFonts w:ascii="Arial" w:eastAsia="Arial" w:hAnsi="Arial" w:cs="Arial"/>
          <w:color w:val="000000" w:themeColor="text1"/>
        </w:rPr>
        <w:t>2024; NHS England, 2023)</w:t>
      </w:r>
      <w:r w:rsidR="009D0E90">
        <w:rPr>
          <w:rFonts w:ascii="Arial" w:eastAsia="Arial" w:hAnsi="Arial" w:cs="Arial"/>
          <w:color w:val="000000" w:themeColor="text1"/>
        </w:rPr>
        <w:t>.</w:t>
      </w:r>
      <w:r w:rsidRPr="002D67D8">
        <w:rPr>
          <w:rFonts w:ascii="Arial" w:eastAsia="Arial" w:hAnsi="Arial" w:cs="Arial"/>
          <w:color w:val="000000" w:themeColor="text1"/>
        </w:rPr>
        <w:t xml:space="preserve"> Adequately powered RCTs across diverse populations are essential before national roll-out (Seo and Seo, 2025)</w:t>
      </w:r>
      <w:r w:rsidR="009D0E90">
        <w:rPr>
          <w:rFonts w:ascii="Arial" w:eastAsia="Arial" w:hAnsi="Arial" w:cs="Arial"/>
          <w:color w:val="000000" w:themeColor="text1"/>
        </w:rPr>
        <w:t>.</w:t>
      </w:r>
    </w:p>
    <w:p w14:paraId="7E29258B" w14:textId="77777777" w:rsidR="00AE70C0" w:rsidRDefault="00AE70C0" w:rsidP="001A7A5C">
      <w:pPr>
        <w:spacing w:line="360" w:lineRule="auto"/>
        <w:jc w:val="both"/>
        <w:rPr>
          <w:rFonts w:ascii="Arial" w:hAnsi="Arial" w:cs="Arial"/>
          <w:color w:val="000000" w:themeColor="text1"/>
        </w:rPr>
      </w:pPr>
    </w:p>
    <w:p w14:paraId="4E3D9911" w14:textId="77777777" w:rsidR="009D0E90" w:rsidRDefault="009D0E90" w:rsidP="001A7A5C">
      <w:pPr>
        <w:spacing w:line="360" w:lineRule="auto"/>
        <w:jc w:val="both"/>
        <w:rPr>
          <w:rFonts w:ascii="Arial" w:hAnsi="Arial" w:cs="Arial"/>
          <w:color w:val="000000" w:themeColor="text1"/>
        </w:rPr>
      </w:pPr>
    </w:p>
    <w:p w14:paraId="2A55915C" w14:textId="77777777" w:rsidR="009D0E90" w:rsidRDefault="009D0E90" w:rsidP="001A7A5C">
      <w:pPr>
        <w:spacing w:line="360" w:lineRule="auto"/>
        <w:jc w:val="both"/>
        <w:rPr>
          <w:rFonts w:ascii="Arial" w:hAnsi="Arial" w:cs="Arial"/>
          <w:color w:val="000000" w:themeColor="text1"/>
        </w:rPr>
      </w:pPr>
    </w:p>
    <w:p w14:paraId="193394D1" w14:textId="77777777" w:rsidR="009D0E90" w:rsidRDefault="009D0E90" w:rsidP="001A7A5C">
      <w:pPr>
        <w:spacing w:line="360" w:lineRule="auto"/>
        <w:jc w:val="both"/>
        <w:rPr>
          <w:rFonts w:ascii="Arial" w:hAnsi="Arial" w:cs="Arial"/>
          <w:color w:val="000000" w:themeColor="text1"/>
        </w:rPr>
      </w:pPr>
    </w:p>
    <w:p w14:paraId="4C8A06DE" w14:textId="77777777" w:rsidR="009D0E90" w:rsidRPr="00780AA7" w:rsidRDefault="009D0E90" w:rsidP="001A7A5C">
      <w:pPr>
        <w:spacing w:line="360" w:lineRule="auto"/>
        <w:jc w:val="both"/>
        <w:rPr>
          <w:rFonts w:ascii="Arial" w:hAnsi="Arial" w:cs="Arial"/>
          <w:color w:val="000000" w:themeColor="text1"/>
        </w:rPr>
      </w:pPr>
    </w:p>
    <w:p w14:paraId="0B92457A" w14:textId="780E94DB" w:rsidR="00AE70C0" w:rsidRPr="00780AA7" w:rsidRDefault="00605A28" w:rsidP="001A7A5C">
      <w:pPr>
        <w:pStyle w:val="Heading2"/>
        <w:numPr>
          <w:ilvl w:val="1"/>
          <w:numId w:val="13"/>
        </w:numPr>
        <w:spacing w:line="360" w:lineRule="auto"/>
        <w:jc w:val="both"/>
        <w:rPr>
          <w:rFonts w:ascii="Arial" w:hAnsi="Arial" w:cs="Arial"/>
        </w:rPr>
      </w:pPr>
      <w:r w:rsidRPr="00780AA7">
        <w:rPr>
          <w:rFonts w:ascii="Arial" w:hAnsi="Arial" w:cs="Arial"/>
        </w:rPr>
        <w:lastRenderedPageBreak/>
        <w:t xml:space="preserve"> </w:t>
      </w:r>
      <w:bookmarkStart w:id="13" w:name="_Toc233962528"/>
      <w:r w:rsidR="00AE70C0" w:rsidRPr="00780AA7">
        <w:rPr>
          <w:rFonts w:ascii="Arial" w:hAnsi="Arial" w:cs="Arial"/>
        </w:rPr>
        <w:t>Reference</w:t>
      </w:r>
      <w:r w:rsidR="000A01B5" w:rsidRPr="00780AA7">
        <w:rPr>
          <w:rFonts w:ascii="Arial" w:hAnsi="Arial" w:cs="Arial"/>
        </w:rPr>
        <w:t xml:space="preserve"> </w:t>
      </w:r>
      <w:proofErr w:type="spellStart"/>
      <w:r w:rsidR="000A01B5" w:rsidRPr="00780AA7">
        <w:rPr>
          <w:rFonts w:ascii="Arial" w:hAnsi="Arial" w:cs="Arial"/>
        </w:rPr>
        <w:t>bolg</w:t>
      </w:r>
      <w:proofErr w:type="spellEnd"/>
      <w:r w:rsidR="000A01B5" w:rsidRPr="00780AA7">
        <w:rPr>
          <w:rFonts w:ascii="Arial" w:hAnsi="Arial" w:cs="Arial"/>
        </w:rPr>
        <w:t xml:space="preserve"> 1</w:t>
      </w:r>
      <w:r w:rsidR="00AE70C0" w:rsidRPr="00780AA7">
        <w:rPr>
          <w:rFonts w:ascii="Arial" w:hAnsi="Arial" w:cs="Arial"/>
        </w:rPr>
        <w:t>:</w:t>
      </w:r>
      <w:bookmarkEnd w:id="13"/>
    </w:p>
    <w:p w14:paraId="61E77EFC" w14:textId="45917D86" w:rsidR="00337174" w:rsidRPr="00337174" w:rsidRDefault="00337174" w:rsidP="00337174">
      <w:pPr>
        <w:pStyle w:val="pdq2pgselectionanchorcontainer"/>
        <w:numPr>
          <w:ilvl w:val="0"/>
          <w:numId w:val="27"/>
        </w:numPr>
        <w:spacing w:line="360" w:lineRule="auto"/>
        <w:jc w:val="both"/>
        <w:rPr>
          <w:rFonts w:ascii="Arial" w:hAnsi="Arial" w:cs="Arial"/>
          <w:color w:val="000000" w:themeColor="text1"/>
        </w:rPr>
      </w:pPr>
      <w:proofErr w:type="spellStart"/>
      <w:r w:rsidRPr="00337174">
        <w:rPr>
          <w:rFonts w:ascii="Arial" w:hAnsi="Arial" w:cs="Arial"/>
          <w:color w:val="000000" w:themeColor="text1"/>
        </w:rPr>
        <w:t>Armour</w:t>
      </w:r>
      <w:proofErr w:type="spellEnd"/>
      <w:r w:rsidRPr="00337174">
        <w:rPr>
          <w:rFonts w:ascii="Arial" w:hAnsi="Arial" w:cs="Arial"/>
          <w:color w:val="000000" w:themeColor="text1"/>
        </w:rPr>
        <w:t xml:space="preserve">, M., Dahlen, H.G. and Smith, C.A. (2024) </w:t>
      </w:r>
      <w:r w:rsidRPr="00337174">
        <w:rPr>
          <w:rStyle w:val="Emphasis"/>
          <w:rFonts w:ascii="Arial" w:hAnsi="Arial" w:cs="Arial"/>
          <w:color w:val="000000" w:themeColor="text1"/>
        </w:rPr>
        <w:t xml:space="preserve">What is known about adolescent </w:t>
      </w:r>
      <w:proofErr w:type="spellStart"/>
      <w:r w:rsidRPr="00337174">
        <w:rPr>
          <w:rStyle w:val="Emphasis"/>
          <w:rFonts w:ascii="Arial" w:hAnsi="Arial" w:cs="Arial"/>
          <w:color w:val="000000" w:themeColor="text1"/>
        </w:rPr>
        <w:t>dysmenorrhoea</w:t>
      </w:r>
      <w:proofErr w:type="spellEnd"/>
      <w:r w:rsidRPr="00337174">
        <w:rPr>
          <w:rStyle w:val="Emphasis"/>
          <w:rFonts w:ascii="Arial" w:hAnsi="Arial" w:cs="Arial"/>
          <w:color w:val="000000" w:themeColor="text1"/>
        </w:rPr>
        <w:t xml:space="preserve"> in (and for) community health settings?</w:t>
      </w:r>
      <w:r w:rsidRPr="00337174">
        <w:rPr>
          <w:rFonts w:ascii="Arial" w:hAnsi="Arial" w:cs="Arial"/>
          <w:color w:val="000000" w:themeColor="text1"/>
        </w:rPr>
        <w:t xml:space="preserve"> Frontiers in Reproductive Health, 6, p.1394978. Available at: </w:t>
      </w:r>
      <w:hyperlink r:id="rId12" w:tgtFrame="_new" w:history="1">
        <w:r w:rsidRPr="00337174">
          <w:rPr>
            <w:rStyle w:val="Hyperlink"/>
            <w:rFonts w:ascii="Arial" w:hAnsi="Arial" w:cs="Arial"/>
            <w:color w:val="000000" w:themeColor="text1"/>
          </w:rPr>
          <w:t>https://doi.org/10.3389/frph.2024.1394978</w:t>
        </w:r>
      </w:hyperlink>
      <w:r w:rsidRPr="00337174">
        <w:rPr>
          <w:rFonts w:ascii="Arial" w:hAnsi="Arial" w:cs="Arial"/>
          <w:color w:val="000000" w:themeColor="text1"/>
        </w:rPr>
        <w:t xml:space="preserve"> </w:t>
      </w:r>
    </w:p>
    <w:p w14:paraId="4E01002C" w14:textId="1949364E"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BMC Women's Health (2023) </w:t>
      </w:r>
      <w:r w:rsidRPr="00337174">
        <w:rPr>
          <w:rStyle w:val="Emphasis"/>
          <w:rFonts w:ascii="Arial" w:hAnsi="Arial" w:cs="Arial"/>
          <w:color w:val="000000" w:themeColor="text1"/>
        </w:rPr>
        <w:t>More than blood: app-tracking reveals variability in heavy menstrual bleeding construct</w:t>
      </w:r>
      <w:r w:rsidRPr="00337174">
        <w:rPr>
          <w:rFonts w:ascii="Arial" w:hAnsi="Arial" w:cs="Arial"/>
          <w:color w:val="000000" w:themeColor="text1"/>
        </w:rPr>
        <w:t xml:space="preserve">. BMC Women's Health, 23, p.170. Available at: </w:t>
      </w:r>
      <w:hyperlink r:id="rId13" w:tgtFrame="_new" w:history="1">
        <w:r w:rsidRPr="00337174">
          <w:rPr>
            <w:rStyle w:val="Hyperlink"/>
            <w:rFonts w:ascii="Arial" w:hAnsi="Arial" w:cs="Arial"/>
            <w:color w:val="000000" w:themeColor="text1"/>
          </w:rPr>
          <w:t>https://doi.org/10.1186/s12905-023-02312-4</w:t>
        </w:r>
      </w:hyperlink>
      <w:r w:rsidRPr="00337174">
        <w:rPr>
          <w:rFonts w:ascii="Arial" w:hAnsi="Arial" w:cs="Arial"/>
          <w:color w:val="000000" w:themeColor="text1"/>
        </w:rPr>
        <w:t xml:space="preserve"> </w:t>
      </w:r>
    </w:p>
    <w:p w14:paraId="177075CC" w14:textId="6886DFEB"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Burnett, M. and Lemyre, M. (2017) </w:t>
      </w:r>
      <w:r w:rsidRPr="00337174">
        <w:rPr>
          <w:rStyle w:val="Emphasis"/>
          <w:rFonts w:ascii="Arial" w:hAnsi="Arial" w:cs="Arial"/>
          <w:color w:val="000000" w:themeColor="text1"/>
        </w:rPr>
        <w:t>No. 345 Primary Dysmenorrhea Consensus Guideline</w:t>
      </w:r>
      <w:r w:rsidRPr="00337174">
        <w:rPr>
          <w:rFonts w:ascii="Arial" w:hAnsi="Arial" w:cs="Arial"/>
          <w:color w:val="000000" w:themeColor="text1"/>
        </w:rPr>
        <w:t xml:space="preserve">. Journal of Obstetrics and </w:t>
      </w:r>
      <w:proofErr w:type="spellStart"/>
      <w:r w:rsidRPr="00337174">
        <w:rPr>
          <w:rFonts w:ascii="Arial" w:hAnsi="Arial" w:cs="Arial"/>
          <w:color w:val="000000" w:themeColor="text1"/>
        </w:rPr>
        <w:t>Gynaecology</w:t>
      </w:r>
      <w:proofErr w:type="spellEnd"/>
      <w:r w:rsidRPr="00337174">
        <w:rPr>
          <w:rFonts w:ascii="Arial" w:hAnsi="Arial" w:cs="Arial"/>
          <w:color w:val="000000" w:themeColor="text1"/>
        </w:rPr>
        <w:t xml:space="preserve"> Canada, 39(7), pp.585–595. Available at: </w:t>
      </w:r>
      <w:hyperlink r:id="rId14" w:tgtFrame="_new" w:history="1">
        <w:r w:rsidRPr="00337174">
          <w:rPr>
            <w:rStyle w:val="Hyperlink"/>
            <w:rFonts w:ascii="Arial" w:hAnsi="Arial" w:cs="Arial"/>
            <w:color w:val="000000" w:themeColor="text1"/>
          </w:rPr>
          <w:t>https://doi.org/10.1016/j.jogc.2016.12.023</w:t>
        </w:r>
      </w:hyperlink>
      <w:r w:rsidRPr="00337174">
        <w:rPr>
          <w:rFonts w:ascii="Arial" w:hAnsi="Arial" w:cs="Arial"/>
          <w:color w:val="000000" w:themeColor="text1"/>
        </w:rPr>
        <w:t xml:space="preserve"> </w:t>
      </w:r>
    </w:p>
    <w:p w14:paraId="5063D678" w14:textId="4901E3A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Clue (2024) </w:t>
      </w:r>
      <w:r w:rsidRPr="00337174">
        <w:rPr>
          <w:rStyle w:val="Emphasis"/>
          <w:rFonts w:ascii="Arial" w:hAnsi="Arial" w:cs="Arial"/>
          <w:color w:val="000000" w:themeColor="text1"/>
        </w:rPr>
        <w:t>How tracking your period advances women's health</w:t>
      </w:r>
      <w:r w:rsidRPr="00337174">
        <w:rPr>
          <w:rFonts w:ascii="Arial" w:hAnsi="Arial" w:cs="Arial"/>
          <w:color w:val="000000" w:themeColor="text1"/>
        </w:rPr>
        <w:t xml:space="preserve">. Available at: </w:t>
      </w:r>
      <w:hyperlink r:id="rId15" w:tgtFrame="_new" w:history="1">
        <w:r w:rsidRPr="00337174">
          <w:rPr>
            <w:rStyle w:val="Hyperlink"/>
            <w:rFonts w:ascii="Arial" w:hAnsi="Arial" w:cs="Arial"/>
            <w:color w:val="000000" w:themeColor="text1"/>
          </w:rPr>
          <w:t>https://helloclue.com/articles/about-clue/scientific-research-at-clue</w:t>
        </w:r>
      </w:hyperlink>
      <w:r w:rsidRPr="00337174">
        <w:rPr>
          <w:rFonts w:ascii="Arial" w:hAnsi="Arial" w:cs="Arial"/>
          <w:color w:val="000000" w:themeColor="text1"/>
        </w:rPr>
        <w:t xml:space="preserve"> </w:t>
      </w:r>
    </w:p>
    <w:p w14:paraId="21279EC0" w14:textId="6AE234BF"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Frontiers in Computer Science (2023) </w:t>
      </w:r>
      <w:r w:rsidRPr="00337174">
        <w:rPr>
          <w:rStyle w:val="Emphasis"/>
          <w:rFonts w:ascii="Arial" w:hAnsi="Arial" w:cs="Arial"/>
          <w:color w:val="000000" w:themeColor="text1"/>
        </w:rPr>
        <w:t>Reimagining the cycle: interaction in self-tracking period apps and menstrual empowerment</w:t>
      </w:r>
      <w:r w:rsidRPr="00337174">
        <w:rPr>
          <w:rFonts w:ascii="Arial" w:hAnsi="Arial" w:cs="Arial"/>
          <w:color w:val="000000" w:themeColor="text1"/>
        </w:rPr>
        <w:t xml:space="preserve">. Frontiers in Computer Science, 5, p.1166210. Available at: </w:t>
      </w:r>
      <w:hyperlink r:id="rId16" w:tgtFrame="_new" w:history="1">
        <w:r w:rsidRPr="00337174">
          <w:rPr>
            <w:rStyle w:val="Hyperlink"/>
            <w:rFonts w:ascii="Arial" w:hAnsi="Arial" w:cs="Arial"/>
            <w:color w:val="000000" w:themeColor="text1"/>
          </w:rPr>
          <w:t>https://doi.org/10.3389/fcomp.2023.1166210</w:t>
        </w:r>
      </w:hyperlink>
      <w:r w:rsidRPr="00337174">
        <w:rPr>
          <w:rFonts w:ascii="Arial" w:hAnsi="Arial" w:cs="Arial"/>
          <w:color w:val="000000" w:themeColor="text1"/>
        </w:rPr>
        <w:t xml:space="preserve"> </w:t>
      </w:r>
    </w:p>
    <w:p w14:paraId="0801E779" w14:textId="1EA670CA" w:rsidR="00337174" w:rsidRPr="00337174" w:rsidRDefault="00337174" w:rsidP="00337174">
      <w:pPr>
        <w:pStyle w:val="ListParagraph"/>
        <w:numPr>
          <w:ilvl w:val="0"/>
          <w:numId w:val="27"/>
        </w:numPr>
        <w:spacing w:before="100" w:beforeAutospacing="1" w:after="100" w:afterAutospacing="1" w:line="360" w:lineRule="auto"/>
        <w:jc w:val="both"/>
        <w:rPr>
          <w:rFonts w:ascii="Arial" w:hAnsi="Arial" w:cs="Arial"/>
          <w:color w:val="000000" w:themeColor="text1"/>
        </w:rPr>
      </w:pPr>
      <w:proofErr w:type="spellStart"/>
      <w:r w:rsidRPr="00337174">
        <w:rPr>
          <w:rFonts w:ascii="Arial" w:hAnsi="Arial" w:cs="Arial"/>
          <w:color w:val="000000" w:themeColor="text1"/>
        </w:rPr>
        <w:t>Karout</w:t>
      </w:r>
      <w:proofErr w:type="spellEnd"/>
      <w:r w:rsidRPr="00337174">
        <w:rPr>
          <w:rFonts w:ascii="Arial" w:hAnsi="Arial" w:cs="Arial"/>
          <w:color w:val="000000" w:themeColor="text1"/>
        </w:rPr>
        <w:t xml:space="preserve">, S. </w:t>
      </w:r>
      <w:r w:rsidRPr="00337174">
        <w:rPr>
          <w:rStyle w:val="Emphasis"/>
          <w:rFonts w:ascii="Arial" w:hAnsi="Arial" w:cs="Arial"/>
          <w:color w:val="000000" w:themeColor="text1"/>
        </w:rPr>
        <w:t>et al.</w:t>
      </w:r>
      <w:r w:rsidRPr="00337174">
        <w:rPr>
          <w:rFonts w:ascii="Arial" w:hAnsi="Arial" w:cs="Arial"/>
          <w:color w:val="000000" w:themeColor="text1"/>
        </w:rPr>
        <w:t xml:space="preserve"> (2021) </w:t>
      </w:r>
      <w:r w:rsidRPr="00337174">
        <w:rPr>
          <w:rStyle w:val="Emphasis"/>
          <w:rFonts w:ascii="Arial" w:hAnsi="Arial" w:cs="Arial"/>
          <w:color w:val="000000" w:themeColor="text1"/>
        </w:rPr>
        <w:t>Prevalence, risk factors, and management practices of primary dysmenorrhea among young females</w:t>
      </w:r>
      <w:r w:rsidRPr="00337174">
        <w:rPr>
          <w:rFonts w:ascii="Arial" w:hAnsi="Arial" w:cs="Arial"/>
          <w:color w:val="000000" w:themeColor="text1"/>
        </w:rPr>
        <w:t xml:space="preserve">. BMC Women's Health, 21(1), p.392. Available at: </w:t>
      </w:r>
      <w:hyperlink r:id="rId17" w:tgtFrame="_new" w:history="1">
        <w:r w:rsidRPr="00337174">
          <w:rPr>
            <w:rStyle w:val="Hyperlink"/>
            <w:rFonts w:ascii="Arial" w:hAnsi="Arial" w:cs="Arial"/>
            <w:color w:val="000000" w:themeColor="text1"/>
          </w:rPr>
          <w:t>https://doi.org/10.1186/s12905-021-01532-w</w:t>
        </w:r>
      </w:hyperlink>
      <w:r w:rsidRPr="00337174">
        <w:rPr>
          <w:rFonts w:ascii="Arial" w:hAnsi="Arial" w:cs="Arial"/>
          <w:color w:val="000000" w:themeColor="text1"/>
        </w:rPr>
        <w:t xml:space="preserve"> </w:t>
      </w:r>
    </w:p>
    <w:p w14:paraId="4C19B784" w14:textId="477640F2"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MacGregor, B., Allaire, C., </w:t>
      </w:r>
      <w:proofErr w:type="spellStart"/>
      <w:r w:rsidRPr="00337174">
        <w:rPr>
          <w:rFonts w:ascii="Arial" w:hAnsi="Arial" w:cs="Arial"/>
          <w:color w:val="000000" w:themeColor="text1"/>
        </w:rPr>
        <w:t>Bedaiwy</w:t>
      </w:r>
      <w:proofErr w:type="spellEnd"/>
      <w:r w:rsidRPr="00337174">
        <w:rPr>
          <w:rFonts w:ascii="Arial" w:hAnsi="Arial" w:cs="Arial"/>
          <w:color w:val="000000" w:themeColor="text1"/>
        </w:rPr>
        <w:t xml:space="preserve">, M.A., Yong, P.J. and Bougie, O. (2023) </w:t>
      </w:r>
      <w:r w:rsidRPr="00337174">
        <w:rPr>
          <w:rStyle w:val="Emphasis"/>
          <w:rFonts w:ascii="Arial" w:hAnsi="Arial" w:cs="Arial"/>
          <w:color w:val="000000" w:themeColor="text1"/>
        </w:rPr>
        <w:t>Disease burden of dysmenorrhea: impact on life course potential</w:t>
      </w:r>
      <w:r w:rsidRPr="00337174">
        <w:rPr>
          <w:rFonts w:ascii="Arial" w:hAnsi="Arial" w:cs="Arial"/>
          <w:color w:val="000000" w:themeColor="text1"/>
        </w:rPr>
        <w:t xml:space="preserve">. International Journal of Women's Health, 15, pp.499–509. Available at: </w:t>
      </w:r>
      <w:hyperlink r:id="rId18" w:tgtFrame="_new" w:history="1">
        <w:r w:rsidRPr="00337174">
          <w:rPr>
            <w:rStyle w:val="Hyperlink"/>
            <w:rFonts w:ascii="Arial" w:hAnsi="Arial" w:cs="Arial"/>
            <w:color w:val="000000" w:themeColor="text1"/>
          </w:rPr>
          <w:t>https://doi.org/10.2147/IJWH.S380006</w:t>
        </w:r>
      </w:hyperlink>
      <w:r w:rsidRPr="00337174">
        <w:rPr>
          <w:rFonts w:ascii="Arial" w:hAnsi="Arial" w:cs="Arial"/>
          <w:color w:val="000000" w:themeColor="text1"/>
        </w:rPr>
        <w:t xml:space="preserve"> </w:t>
      </w:r>
    </w:p>
    <w:p w14:paraId="11A22364" w14:textId="3B159EB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Ofcom (2024) </w:t>
      </w:r>
      <w:r w:rsidRPr="00337174">
        <w:rPr>
          <w:rStyle w:val="Emphasis"/>
          <w:rFonts w:ascii="Arial" w:hAnsi="Arial" w:cs="Arial"/>
          <w:color w:val="000000" w:themeColor="text1"/>
        </w:rPr>
        <w:t>Online Nation Report 2024</w:t>
      </w:r>
      <w:r w:rsidRPr="00337174">
        <w:rPr>
          <w:rFonts w:ascii="Arial" w:hAnsi="Arial" w:cs="Arial"/>
          <w:color w:val="000000" w:themeColor="text1"/>
        </w:rPr>
        <w:t xml:space="preserve">. London: Ofcom. Available at: </w:t>
      </w:r>
      <w:hyperlink r:id="rId19" w:tgtFrame="_new" w:history="1">
        <w:r w:rsidRPr="00337174">
          <w:rPr>
            <w:rStyle w:val="Hyperlink"/>
            <w:rFonts w:ascii="Arial" w:hAnsi="Arial" w:cs="Arial"/>
            <w:color w:val="000000" w:themeColor="text1"/>
          </w:rPr>
          <w:t>https://www.ofcom.org.uk</w:t>
        </w:r>
      </w:hyperlink>
      <w:r w:rsidRPr="00337174">
        <w:rPr>
          <w:rFonts w:ascii="Arial" w:hAnsi="Arial" w:cs="Arial"/>
          <w:color w:val="000000" w:themeColor="text1"/>
        </w:rPr>
        <w:t xml:space="preserve"> </w:t>
      </w:r>
    </w:p>
    <w:p w14:paraId="14345E0A" w14:textId="064FB669"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Oxford Open Digital Health (2025) </w:t>
      </w:r>
      <w:r w:rsidRPr="00337174">
        <w:rPr>
          <w:rStyle w:val="Emphasis"/>
          <w:rFonts w:ascii="Arial" w:hAnsi="Arial" w:cs="Arial"/>
          <w:color w:val="000000" w:themeColor="text1"/>
        </w:rPr>
        <w:t>Flowing data: women's views on privacy and data security when using menstrual cycle tracking apps</w:t>
      </w:r>
      <w:r w:rsidRPr="00337174">
        <w:rPr>
          <w:rFonts w:ascii="Arial" w:hAnsi="Arial" w:cs="Arial"/>
          <w:color w:val="000000" w:themeColor="text1"/>
        </w:rPr>
        <w:t xml:space="preserve">. Oxford Open Digital Health. Available at: </w:t>
      </w:r>
      <w:hyperlink r:id="rId20" w:tgtFrame="_new" w:history="1">
        <w:r w:rsidRPr="00337174">
          <w:rPr>
            <w:rStyle w:val="Hyperlink"/>
            <w:rFonts w:ascii="Arial" w:hAnsi="Arial" w:cs="Arial"/>
            <w:color w:val="000000" w:themeColor="text1"/>
          </w:rPr>
          <w:t>https://doi.org/10.1093/oodh/oqaf011</w:t>
        </w:r>
      </w:hyperlink>
      <w:r w:rsidRPr="00337174">
        <w:rPr>
          <w:rFonts w:ascii="Arial" w:hAnsi="Arial" w:cs="Arial"/>
          <w:color w:val="000000" w:themeColor="text1"/>
        </w:rPr>
        <w:t xml:space="preserve"> </w:t>
      </w:r>
    </w:p>
    <w:p w14:paraId="38086DA4" w14:textId="080D6E5E"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Schoep, M.E., Adang, E.M.M., Maas, J.W.M., De Bie, B., Aarts, J.W.M. and Nieboer, T.E. (2019) </w:t>
      </w:r>
      <w:r w:rsidRPr="00337174">
        <w:rPr>
          <w:rStyle w:val="Emphasis"/>
          <w:rFonts w:ascii="Arial" w:hAnsi="Arial" w:cs="Arial"/>
          <w:color w:val="000000" w:themeColor="text1"/>
        </w:rPr>
        <w:t xml:space="preserve">Productivity loss due to menstruation-related symptoms: a nationwide </w:t>
      </w:r>
      <w:r w:rsidRPr="00337174">
        <w:rPr>
          <w:rStyle w:val="Emphasis"/>
          <w:rFonts w:ascii="Arial" w:hAnsi="Arial" w:cs="Arial"/>
          <w:color w:val="000000" w:themeColor="text1"/>
        </w:rPr>
        <w:lastRenderedPageBreak/>
        <w:t>cross-sectional survey among 32,748 women</w:t>
      </w:r>
      <w:r w:rsidRPr="00337174">
        <w:rPr>
          <w:rFonts w:ascii="Arial" w:hAnsi="Arial" w:cs="Arial"/>
          <w:color w:val="000000" w:themeColor="text1"/>
        </w:rPr>
        <w:t xml:space="preserve">. BMJ Open, 9(6), e026186. Available at: </w:t>
      </w:r>
      <w:hyperlink r:id="rId21" w:tgtFrame="_new" w:history="1">
        <w:r w:rsidRPr="00337174">
          <w:rPr>
            <w:rStyle w:val="Hyperlink"/>
            <w:rFonts w:ascii="Arial" w:hAnsi="Arial" w:cs="Arial"/>
            <w:color w:val="000000" w:themeColor="text1"/>
          </w:rPr>
          <w:t>https://doi.org/10.1136/bmjopen-2018-026186</w:t>
        </w:r>
      </w:hyperlink>
      <w:r w:rsidRPr="00337174">
        <w:rPr>
          <w:rFonts w:ascii="Arial" w:hAnsi="Arial" w:cs="Arial"/>
          <w:color w:val="000000" w:themeColor="text1"/>
        </w:rPr>
        <w:t xml:space="preserve"> </w:t>
      </w:r>
    </w:p>
    <w:p w14:paraId="3662F569" w14:textId="4AE57EDC"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Seo, M.S. and Seo, B.N. (2025) </w:t>
      </w:r>
      <w:r w:rsidRPr="00337174">
        <w:rPr>
          <w:rStyle w:val="Emphasis"/>
          <w:rFonts w:ascii="Arial" w:hAnsi="Arial" w:cs="Arial"/>
          <w:color w:val="000000" w:themeColor="text1"/>
        </w:rPr>
        <w:t>Effectiveness of digital healthcare in managing menstrual symptoms: a systematic review</w:t>
      </w:r>
      <w:r w:rsidRPr="00337174">
        <w:rPr>
          <w:rFonts w:ascii="Arial" w:hAnsi="Arial" w:cs="Arial"/>
          <w:color w:val="000000" w:themeColor="text1"/>
        </w:rPr>
        <w:t xml:space="preserve">. Women's Health Nursing, 31. Available at: </w:t>
      </w:r>
      <w:hyperlink r:id="rId22" w:tgtFrame="_new" w:history="1">
        <w:r w:rsidRPr="00337174">
          <w:rPr>
            <w:rStyle w:val="Hyperlink"/>
            <w:rFonts w:ascii="Arial" w:hAnsi="Arial" w:cs="Arial"/>
            <w:color w:val="000000" w:themeColor="text1"/>
          </w:rPr>
          <w:t>https://doi.org/10.4069/whn.2025.05.22</w:t>
        </w:r>
      </w:hyperlink>
      <w:r w:rsidRPr="00337174">
        <w:rPr>
          <w:rFonts w:ascii="Arial" w:hAnsi="Arial" w:cs="Arial"/>
          <w:color w:val="000000" w:themeColor="text1"/>
        </w:rPr>
        <w:t xml:space="preserve"> </w:t>
      </w:r>
    </w:p>
    <w:p w14:paraId="0D6D85E7" w14:textId="085F4BA4" w:rsidR="00337174" w:rsidRPr="00337174" w:rsidRDefault="00337174" w:rsidP="00337174">
      <w:pPr>
        <w:pStyle w:val="NormalWeb"/>
        <w:numPr>
          <w:ilvl w:val="0"/>
          <w:numId w:val="27"/>
        </w:numPr>
        <w:spacing w:line="360" w:lineRule="auto"/>
        <w:jc w:val="both"/>
        <w:rPr>
          <w:rFonts w:ascii="Arial" w:hAnsi="Arial" w:cs="Arial"/>
          <w:color w:val="000000" w:themeColor="text1"/>
        </w:rPr>
      </w:pPr>
      <w:proofErr w:type="spellStart"/>
      <w:r w:rsidRPr="00337174">
        <w:rPr>
          <w:rFonts w:ascii="Arial" w:hAnsi="Arial" w:cs="Arial"/>
          <w:color w:val="000000" w:themeColor="text1"/>
        </w:rPr>
        <w:t>Serya</w:t>
      </w:r>
      <w:proofErr w:type="spellEnd"/>
      <w:r w:rsidRPr="00337174">
        <w:rPr>
          <w:rFonts w:ascii="Arial" w:hAnsi="Arial" w:cs="Arial"/>
          <w:color w:val="000000" w:themeColor="text1"/>
        </w:rPr>
        <w:t xml:space="preserve">, H. </w:t>
      </w:r>
      <w:r w:rsidRPr="00337174">
        <w:rPr>
          <w:rStyle w:val="Emphasis"/>
          <w:rFonts w:ascii="Arial" w:hAnsi="Arial" w:cs="Arial"/>
          <w:color w:val="000000" w:themeColor="text1"/>
        </w:rPr>
        <w:t>et al.</w:t>
      </w:r>
      <w:r w:rsidRPr="00337174">
        <w:rPr>
          <w:rFonts w:ascii="Arial" w:hAnsi="Arial" w:cs="Arial"/>
          <w:color w:val="000000" w:themeColor="text1"/>
        </w:rPr>
        <w:t xml:space="preserve"> (2025) </w:t>
      </w:r>
      <w:r w:rsidRPr="00337174">
        <w:rPr>
          <w:rStyle w:val="Emphasis"/>
          <w:rFonts w:ascii="Arial" w:hAnsi="Arial" w:cs="Arial"/>
          <w:color w:val="000000" w:themeColor="text1"/>
        </w:rPr>
        <w:t>Dysmenorrhea among working women and its effect on their work productivity and activity impairment</w:t>
      </w:r>
      <w:r w:rsidRPr="00337174">
        <w:rPr>
          <w:rFonts w:ascii="Arial" w:hAnsi="Arial" w:cs="Arial"/>
          <w:color w:val="000000" w:themeColor="text1"/>
        </w:rPr>
        <w:t xml:space="preserve">. Journal of the Egyptian Public Health Association, 100(1). Available at: </w:t>
      </w:r>
      <w:hyperlink r:id="rId23" w:tgtFrame="_new" w:history="1">
        <w:r w:rsidRPr="00337174">
          <w:rPr>
            <w:rStyle w:val="Hyperlink"/>
            <w:rFonts w:ascii="Arial" w:hAnsi="Arial" w:cs="Arial"/>
            <w:color w:val="000000" w:themeColor="text1"/>
          </w:rPr>
          <w:t>https://jepha.springeropen.com</w:t>
        </w:r>
      </w:hyperlink>
      <w:r w:rsidRPr="00337174">
        <w:rPr>
          <w:rFonts w:ascii="Arial" w:hAnsi="Arial" w:cs="Arial"/>
          <w:color w:val="000000" w:themeColor="text1"/>
        </w:rPr>
        <w:t xml:space="preserve"> </w:t>
      </w:r>
    </w:p>
    <w:p w14:paraId="3DB6B0B5" w14:textId="239B708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The Guardian (2025) </w:t>
      </w:r>
      <w:r w:rsidRPr="00337174">
        <w:rPr>
          <w:rStyle w:val="Emphasis"/>
          <w:rFonts w:ascii="Arial" w:hAnsi="Arial" w:cs="Arial"/>
          <w:color w:val="000000" w:themeColor="text1"/>
        </w:rPr>
        <w:t>Public health bodies urged to launch period tracking apps to protect data</w:t>
      </w:r>
      <w:r w:rsidRPr="00337174">
        <w:rPr>
          <w:rFonts w:ascii="Arial" w:hAnsi="Arial" w:cs="Arial"/>
          <w:color w:val="000000" w:themeColor="text1"/>
        </w:rPr>
        <w:t xml:space="preserve">. The Guardian, 11 June. Available at: </w:t>
      </w:r>
      <w:hyperlink r:id="rId24" w:tgtFrame="_new" w:history="1">
        <w:r w:rsidRPr="00337174">
          <w:rPr>
            <w:rStyle w:val="Hyperlink"/>
            <w:rFonts w:ascii="Arial" w:hAnsi="Arial" w:cs="Arial"/>
            <w:color w:val="000000" w:themeColor="text1"/>
          </w:rPr>
          <w:t>https://www.theguardian.com/society/2025/jun/11</w:t>
        </w:r>
      </w:hyperlink>
      <w:r w:rsidRPr="00337174">
        <w:rPr>
          <w:rFonts w:ascii="Arial" w:hAnsi="Arial" w:cs="Arial"/>
          <w:color w:val="000000" w:themeColor="text1"/>
        </w:rPr>
        <w:t xml:space="preserve"> </w:t>
      </w:r>
    </w:p>
    <w:p w14:paraId="24A5D5AA" w14:textId="3886BA07"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The Lancet Child &amp; Adolescent Health (2025) </w:t>
      </w:r>
      <w:r w:rsidRPr="00337174">
        <w:rPr>
          <w:rStyle w:val="Emphasis"/>
          <w:rFonts w:ascii="Arial" w:hAnsi="Arial" w:cs="Arial"/>
          <w:color w:val="000000" w:themeColor="text1"/>
        </w:rPr>
        <w:t xml:space="preserve">Longitudinal association between </w:t>
      </w:r>
      <w:proofErr w:type="spellStart"/>
      <w:r w:rsidRPr="00337174">
        <w:rPr>
          <w:rStyle w:val="Emphasis"/>
          <w:rFonts w:ascii="Arial" w:hAnsi="Arial" w:cs="Arial"/>
          <w:color w:val="000000" w:themeColor="text1"/>
        </w:rPr>
        <w:t>dysmenorrhoea</w:t>
      </w:r>
      <w:proofErr w:type="spellEnd"/>
      <w:r w:rsidRPr="00337174">
        <w:rPr>
          <w:rStyle w:val="Emphasis"/>
          <w:rFonts w:ascii="Arial" w:hAnsi="Arial" w:cs="Arial"/>
          <w:color w:val="000000" w:themeColor="text1"/>
        </w:rPr>
        <w:t xml:space="preserve"> in adolescence and chronic pain in adulthood</w:t>
      </w:r>
      <w:r w:rsidRPr="00337174">
        <w:rPr>
          <w:rFonts w:ascii="Arial" w:hAnsi="Arial" w:cs="Arial"/>
          <w:color w:val="000000" w:themeColor="text1"/>
        </w:rPr>
        <w:t xml:space="preserve">. The Lancet Child &amp; Adolescent Health. Available at: </w:t>
      </w:r>
      <w:hyperlink r:id="rId25" w:tgtFrame="_new" w:history="1">
        <w:r w:rsidRPr="00337174">
          <w:rPr>
            <w:rStyle w:val="Hyperlink"/>
            <w:rFonts w:ascii="Arial" w:hAnsi="Arial" w:cs="Arial"/>
            <w:color w:val="000000" w:themeColor="text1"/>
          </w:rPr>
          <w:t>https://doi.org/10.1016/S2352-4642(25)00213-5</w:t>
        </w:r>
      </w:hyperlink>
      <w:r w:rsidRPr="00337174">
        <w:rPr>
          <w:rFonts w:ascii="Arial" w:hAnsi="Arial" w:cs="Arial"/>
          <w:color w:val="000000" w:themeColor="text1"/>
        </w:rPr>
        <w:t xml:space="preserve"> </w:t>
      </w:r>
    </w:p>
    <w:p w14:paraId="0902A04C" w14:textId="1304C1AD"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University of Exeter (2023) </w:t>
      </w:r>
      <w:r w:rsidRPr="00337174">
        <w:rPr>
          <w:rStyle w:val="Emphasis"/>
          <w:rFonts w:ascii="Arial" w:hAnsi="Arial" w:cs="Arial"/>
          <w:color w:val="000000" w:themeColor="text1"/>
        </w:rPr>
        <w:t xml:space="preserve">Global </w:t>
      </w:r>
      <w:proofErr w:type="gramStart"/>
      <w:r w:rsidRPr="00337174">
        <w:rPr>
          <w:rStyle w:val="Emphasis"/>
          <w:rFonts w:ascii="Arial" w:hAnsi="Arial" w:cs="Arial"/>
          <w:color w:val="000000" w:themeColor="text1"/>
        </w:rPr>
        <w:t>researchers</w:t>
      </w:r>
      <w:proofErr w:type="gramEnd"/>
      <w:r w:rsidRPr="00337174">
        <w:rPr>
          <w:rStyle w:val="Emphasis"/>
          <w:rFonts w:ascii="Arial" w:hAnsi="Arial" w:cs="Arial"/>
          <w:color w:val="000000" w:themeColor="text1"/>
        </w:rPr>
        <w:t xml:space="preserve"> team with menstrual health app Clue</w:t>
      </w:r>
      <w:r w:rsidRPr="00337174">
        <w:rPr>
          <w:rFonts w:ascii="Arial" w:hAnsi="Arial" w:cs="Arial"/>
          <w:color w:val="000000" w:themeColor="text1"/>
        </w:rPr>
        <w:t xml:space="preserve">. Available at: </w:t>
      </w:r>
      <w:hyperlink r:id="rId26" w:tgtFrame="_new" w:history="1">
        <w:r w:rsidRPr="00337174">
          <w:rPr>
            <w:rStyle w:val="Hyperlink"/>
            <w:rFonts w:ascii="Arial" w:hAnsi="Arial" w:cs="Arial"/>
            <w:color w:val="000000" w:themeColor="text1"/>
          </w:rPr>
          <w:t>https://news.exeter.ac.uk</w:t>
        </w:r>
      </w:hyperlink>
      <w:r w:rsidRPr="00337174">
        <w:rPr>
          <w:rFonts w:ascii="Arial" w:hAnsi="Arial" w:cs="Arial"/>
          <w:color w:val="000000" w:themeColor="text1"/>
        </w:rPr>
        <w:t xml:space="preserve"> </w:t>
      </w:r>
    </w:p>
    <w:p w14:paraId="44CC264D" w14:textId="77777777" w:rsidR="00337174" w:rsidRPr="00337174" w:rsidRDefault="00337174" w:rsidP="00337174">
      <w:pPr>
        <w:pStyle w:val="NormalWeb"/>
        <w:numPr>
          <w:ilvl w:val="0"/>
          <w:numId w:val="27"/>
        </w:numPr>
        <w:spacing w:line="360" w:lineRule="auto"/>
        <w:jc w:val="both"/>
        <w:rPr>
          <w:rFonts w:ascii="Arial" w:hAnsi="Arial" w:cs="Arial"/>
        </w:rPr>
      </w:pPr>
      <w:r w:rsidRPr="00337174">
        <w:rPr>
          <w:rFonts w:ascii="Arial" w:hAnsi="Arial" w:cs="Arial"/>
          <w:color w:val="000000" w:themeColor="text1"/>
        </w:rPr>
        <w:t xml:space="preserve">Women and Equalities Committee (2024) </w:t>
      </w:r>
      <w:r w:rsidRPr="00337174">
        <w:rPr>
          <w:rStyle w:val="Emphasis"/>
          <w:rFonts w:ascii="Arial" w:hAnsi="Arial" w:cs="Arial"/>
          <w:color w:val="000000" w:themeColor="text1"/>
        </w:rPr>
        <w:t>Menstrual Health: Government Response and Evidence Review</w:t>
      </w:r>
      <w:r w:rsidRPr="00337174">
        <w:rPr>
          <w:rFonts w:ascii="Arial" w:hAnsi="Arial" w:cs="Arial"/>
          <w:color w:val="000000" w:themeColor="text1"/>
        </w:rPr>
        <w:t xml:space="preserve">. London: UK Parliament. Available at: </w:t>
      </w:r>
      <w:hyperlink r:id="rId27" w:tgtFrame="_new" w:history="1">
        <w:r w:rsidRPr="00337174">
          <w:rPr>
            <w:rStyle w:val="Hyperlink"/>
            <w:rFonts w:ascii="Arial" w:hAnsi="Arial" w:cs="Arial"/>
            <w:color w:val="000000" w:themeColor="text1"/>
          </w:rPr>
          <w:t>https://committees.parliament.uk</w:t>
        </w:r>
      </w:hyperlink>
    </w:p>
    <w:p w14:paraId="3D4EB780" w14:textId="77777777" w:rsidR="00AE70C0" w:rsidRDefault="00AE70C0" w:rsidP="00337174">
      <w:pPr>
        <w:spacing w:before="40" w:after="40" w:line="360" w:lineRule="auto"/>
        <w:ind w:left="360" w:hanging="360"/>
        <w:jc w:val="both"/>
        <w:rPr>
          <w:rFonts w:ascii="Arial" w:eastAsiaTheme="majorEastAsia" w:hAnsi="Arial" w:cs="Arial"/>
          <w:color w:val="000000" w:themeColor="text1"/>
        </w:rPr>
      </w:pPr>
    </w:p>
    <w:p w14:paraId="18626A7C" w14:textId="77777777" w:rsidR="00DD45A3" w:rsidRDefault="00DD45A3" w:rsidP="00337174">
      <w:pPr>
        <w:spacing w:before="40" w:after="40" w:line="360" w:lineRule="auto"/>
        <w:ind w:left="360" w:hanging="360"/>
        <w:jc w:val="both"/>
        <w:rPr>
          <w:rFonts w:ascii="Arial" w:eastAsiaTheme="majorEastAsia" w:hAnsi="Arial" w:cs="Arial"/>
          <w:color w:val="000000" w:themeColor="text1"/>
        </w:rPr>
      </w:pPr>
    </w:p>
    <w:p w14:paraId="34FEF6F4"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3B61A2A5"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1F976FCD"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00DD0404" w14:textId="77777777" w:rsidR="00DD45A3" w:rsidRDefault="00DD45A3" w:rsidP="00337174">
      <w:pPr>
        <w:spacing w:before="40" w:after="40" w:line="360" w:lineRule="auto"/>
        <w:ind w:left="360" w:hanging="360"/>
        <w:jc w:val="both"/>
        <w:rPr>
          <w:rFonts w:ascii="Arial" w:eastAsiaTheme="majorEastAsia" w:hAnsi="Arial" w:cs="Arial"/>
          <w:color w:val="000000" w:themeColor="text1"/>
        </w:rPr>
      </w:pPr>
    </w:p>
    <w:p w14:paraId="54133661" w14:textId="77777777" w:rsidR="00DD45A3" w:rsidRPr="00780AA7" w:rsidRDefault="00DD45A3" w:rsidP="00337174">
      <w:pPr>
        <w:spacing w:before="40" w:after="40" w:line="360" w:lineRule="auto"/>
        <w:ind w:left="360" w:hanging="360"/>
        <w:jc w:val="both"/>
        <w:rPr>
          <w:rFonts w:ascii="Arial" w:eastAsiaTheme="majorEastAsia" w:hAnsi="Arial" w:cs="Arial"/>
          <w:color w:val="000000" w:themeColor="text1"/>
        </w:rPr>
      </w:pPr>
    </w:p>
    <w:p w14:paraId="0A65D655" w14:textId="09422089" w:rsidR="0066371F" w:rsidRPr="00780AA7" w:rsidRDefault="00605A28" w:rsidP="00337174">
      <w:pPr>
        <w:pStyle w:val="Heading2"/>
        <w:spacing w:line="360" w:lineRule="auto"/>
        <w:jc w:val="both"/>
        <w:rPr>
          <w:rFonts w:ascii="Arial" w:hAnsi="Arial" w:cs="Arial"/>
        </w:rPr>
      </w:pPr>
      <w:bookmarkStart w:id="14" w:name="_Toc233962529"/>
      <w:r w:rsidRPr="00780AA7">
        <w:rPr>
          <w:rFonts w:ascii="Arial" w:hAnsi="Arial" w:cs="Arial"/>
        </w:rPr>
        <w:lastRenderedPageBreak/>
        <w:t xml:space="preserve">2.7. </w:t>
      </w:r>
      <w:r w:rsidR="0066371F" w:rsidRPr="00780AA7">
        <w:rPr>
          <w:rFonts w:ascii="Arial" w:hAnsi="Arial" w:cs="Arial"/>
        </w:rPr>
        <w:t>References — Blog 2</w:t>
      </w:r>
      <w:bookmarkEnd w:id="14"/>
    </w:p>
    <w:p w14:paraId="4D9E8381"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Deci, E.L. and Ryan, R.M. (2000) </w:t>
      </w:r>
      <w:r w:rsidRPr="00337174">
        <w:rPr>
          <w:rFonts w:ascii="Arial" w:hAnsi="Arial" w:cs="Arial"/>
          <w:i/>
          <w:iCs/>
          <w:color w:val="000000" w:themeColor="text1"/>
        </w:rPr>
        <w:t xml:space="preserve">The "what" and "why" of goal pursuits: human needs and the self-determination of </w:t>
      </w:r>
      <w:proofErr w:type="spellStart"/>
      <w:r w:rsidRPr="00337174">
        <w:rPr>
          <w:rFonts w:ascii="Arial" w:hAnsi="Arial" w:cs="Arial"/>
          <w:i/>
          <w:iCs/>
          <w:color w:val="000000" w:themeColor="text1"/>
        </w:rPr>
        <w:t>behaviour</w:t>
      </w:r>
      <w:proofErr w:type="spellEnd"/>
      <w:r w:rsidRPr="00337174">
        <w:rPr>
          <w:rFonts w:ascii="Arial" w:hAnsi="Arial" w:cs="Arial"/>
          <w:color w:val="000000" w:themeColor="text1"/>
        </w:rPr>
        <w:t>. Psychological Inquiry, 11(4), pp.227–268.</w:t>
      </w:r>
    </w:p>
    <w:p w14:paraId="5527C986" w14:textId="43003668" w:rsidR="00337174" w:rsidRPr="00337174" w:rsidRDefault="00337174" w:rsidP="00337174">
      <w:pPr>
        <w:pStyle w:val="ListParagraph"/>
        <w:numPr>
          <w:ilvl w:val="0"/>
          <w:numId w:val="28"/>
        </w:numPr>
        <w:spacing w:line="360" w:lineRule="auto"/>
        <w:jc w:val="both"/>
        <w:rPr>
          <w:rFonts w:ascii="Arial" w:hAnsi="Arial" w:cs="Arial"/>
          <w:color w:val="000000" w:themeColor="text1"/>
        </w:rPr>
      </w:pPr>
      <w:proofErr w:type="spellStart"/>
      <w:r w:rsidRPr="00337174">
        <w:rPr>
          <w:rFonts w:ascii="Arial" w:hAnsi="Arial" w:cs="Arial"/>
          <w:color w:val="000000" w:themeColor="text1"/>
        </w:rPr>
        <w:t>Karout</w:t>
      </w:r>
      <w:proofErr w:type="spellEnd"/>
      <w:r w:rsidRPr="00337174">
        <w:rPr>
          <w:rFonts w:ascii="Arial" w:hAnsi="Arial" w:cs="Arial"/>
          <w:color w:val="000000" w:themeColor="text1"/>
        </w:rPr>
        <w:t xml:space="preserve">, S. </w:t>
      </w:r>
      <w:r w:rsidRPr="00337174">
        <w:rPr>
          <w:rFonts w:ascii="Arial" w:hAnsi="Arial" w:cs="Arial"/>
          <w:i/>
          <w:iCs/>
          <w:color w:val="000000" w:themeColor="text1"/>
        </w:rPr>
        <w:t>et al.</w:t>
      </w:r>
      <w:r w:rsidRPr="00337174">
        <w:rPr>
          <w:rFonts w:ascii="Arial" w:hAnsi="Arial" w:cs="Arial"/>
          <w:color w:val="000000" w:themeColor="text1"/>
        </w:rPr>
        <w:t xml:space="preserve"> (2021) </w:t>
      </w:r>
      <w:r w:rsidRPr="00337174">
        <w:rPr>
          <w:rFonts w:ascii="Arial" w:hAnsi="Arial" w:cs="Arial"/>
          <w:i/>
          <w:iCs/>
          <w:color w:val="000000" w:themeColor="text1"/>
        </w:rPr>
        <w:t>Prevalence, risk factors, and management practices of primary dysmenorrhea among young females</w:t>
      </w:r>
      <w:r w:rsidRPr="00337174">
        <w:rPr>
          <w:rFonts w:ascii="Arial" w:hAnsi="Arial" w:cs="Arial"/>
          <w:color w:val="000000" w:themeColor="text1"/>
        </w:rPr>
        <w:t xml:space="preserve">. BMC Women's Health, 21(1), p.392. Available at: </w:t>
      </w:r>
      <w:hyperlink r:id="rId28" w:tgtFrame="_new" w:history="1">
        <w:r w:rsidRPr="00337174">
          <w:rPr>
            <w:rStyle w:val="Hyperlink"/>
            <w:rFonts w:ascii="Arial" w:hAnsi="Arial" w:cs="Arial"/>
            <w:color w:val="000000" w:themeColor="text1"/>
          </w:rPr>
          <w:t>https://doi.org/10.1186/s12905-021-01532-w</w:t>
        </w:r>
      </w:hyperlink>
      <w:r w:rsidRPr="00337174">
        <w:rPr>
          <w:rFonts w:ascii="Arial" w:hAnsi="Arial" w:cs="Arial"/>
          <w:color w:val="000000" w:themeColor="text1"/>
        </w:rPr>
        <w:t xml:space="preserve"> </w:t>
      </w:r>
    </w:p>
    <w:p w14:paraId="726AF577" w14:textId="7A34012E"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MacGregor, B., Allaire, C., </w:t>
      </w:r>
      <w:proofErr w:type="spellStart"/>
      <w:r w:rsidRPr="00337174">
        <w:rPr>
          <w:rFonts w:ascii="Arial" w:hAnsi="Arial" w:cs="Arial"/>
          <w:color w:val="000000" w:themeColor="text1"/>
        </w:rPr>
        <w:t>Bedaiwy</w:t>
      </w:r>
      <w:proofErr w:type="spellEnd"/>
      <w:r w:rsidRPr="00337174">
        <w:rPr>
          <w:rFonts w:ascii="Arial" w:hAnsi="Arial" w:cs="Arial"/>
          <w:color w:val="000000" w:themeColor="text1"/>
        </w:rPr>
        <w:t xml:space="preserve">, M.A., Yong, P.J. and Bougie, O. (2023) </w:t>
      </w:r>
      <w:r w:rsidRPr="00337174">
        <w:rPr>
          <w:rFonts w:ascii="Arial" w:hAnsi="Arial" w:cs="Arial"/>
          <w:i/>
          <w:iCs/>
          <w:color w:val="000000" w:themeColor="text1"/>
        </w:rPr>
        <w:t>Disease burden of dysmenorrhea: impact on life course potential</w:t>
      </w:r>
      <w:r w:rsidRPr="00337174">
        <w:rPr>
          <w:rFonts w:ascii="Arial" w:hAnsi="Arial" w:cs="Arial"/>
          <w:color w:val="000000" w:themeColor="text1"/>
        </w:rPr>
        <w:t xml:space="preserve">. International Journal of Women's Health, 15, pp.499–509. Available at: </w:t>
      </w:r>
      <w:hyperlink r:id="rId29" w:tgtFrame="_new" w:history="1">
        <w:r w:rsidRPr="00337174">
          <w:rPr>
            <w:rStyle w:val="Hyperlink"/>
            <w:rFonts w:ascii="Arial" w:hAnsi="Arial" w:cs="Arial"/>
            <w:color w:val="000000" w:themeColor="text1"/>
          </w:rPr>
          <w:t>https://doi.org/10.2147/IJWH.S380006</w:t>
        </w:r>
      </w:hyperlink>
      <w:r w:rsidRPr="00337174">
        <w:rPr>
          <w:rFonts w:ascii="Arial" w:hAnsi="Arial" w:cs="Arial"/>
          <w:color w:val="000000" w:themeColor="text1"/>
        </w:rPr>
        <w:t xml:space="preserve"> </w:t>
      </w:r>
    </w:p>
    <w:p w14:paraId="0C57C3A1" w14:textId="381E33E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Matheson, S.C. and Durand, H. (2024) </w:t>
      </w:r>
      <w:r w:rsidRPr="00337174">
        <w:rPr>
          <w:rFonts w:ascii="Arial" w:hAnsi="Arial" w:cs="Arial"/>
          <w:i/>
          <w:iCs/>
          <w:color w:val="000000" w:themeColor="text1"/>
        </w:rPr>
        <w:t xml:space="preserve">Help-seeking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in </w:t>
      </w:r>
      <w:proofErr w:type="spellStart"/>
      <w:r w:rsidRPr="00337174">
        <w:rPr>
          <w:rFonts w:ascii="Arial" w:hAnsi="Arial" w:cs="Arial"/>
          <w:i/>
          <w:iCs/>
          <w:color w:val="000000" w:themeColor="text1"/>
        </w:rPr>
        <w:t>dysmenorrhoea</w:t>
      </w:r>
      <w:proofErr w:type="spellEnd"/>
      <w:r w:rsidRPr="00337174">
        <w:rPr>
          <w:rFonts w:ascii="Arial" w:hAnsi="Arial" w:cs="Arial"/>
          <w:color w:val="000000" w:themeColor="text1"/>
        </w:rPr>
        <w:t xml:space="preserve">. Women's Health, 20, p.17455057241273588. Available at: </w:t>
      </w:r>
      <w:hyperlink r:id="rId30" w:tgtFrame="_new" w:history="1">
        <w:r w:rsidRPr="00337174">
          <w:rPr>
            <w:rStyle w:val="Hyperlink"/>
            <w:rFonts w:ascii="Arial" w:hAnsi="Arial" w:cs="Arial"/>
            <w:color w:val="000000" w:themeColor="text1"/>
          </w:rPr>
          <w:t>https://doi.org/10.1177/17455057241273588</w:t>
        </w:r>
      </w:hyperlink>
      <w:r w:rsidRPr="00337174">
        <w:rPr>
          <w:rFonts w:ascii="Arial" w:hAnsi="Arial" w:cs="Arial"/>
          <w:color w:val="000000" w:themeColor="text1"/>
        </w:rPr>
        <w:t xml:space="preserve"> </w:t>
      </w:r>
    </w:p>
    <w:p w14:paraId="1DF8B276" w14:textId="79B9F7DC"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Michie, S., van Stralen, M.M. and West, R. (2011) </w:t>
      </w:r>
      <w:r w:rsidRPr="00337174">
        <w:rPr>
          <w:rFonts w:ascii="Arial" w:hAnsi="Arial" w:cs="Arial"/>
          <w:i/>
          <w:iCs/>
          <w:color w:val="000000" w:themeColor="text1"/>
        </w:rPr>
        <w:t xml:space="preserve">The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change wheel: a new method for </w:t>
      </w:r>
      <w:proofErr w:type="spellStart"/>
      <w:r w:rsidRPr="00337174">
        <w:rPr>
          <w:rFonts w:ascii="Arial" w:hAnsi="Arial" w:cs="Arial"/>
          <w:i/>
          <w:iCs/>
          <w:color w:val="000000" w:themeColor="text1"/>
        </w:rPr>
        <w:t>characterising</w:t>
      </w:r>
      <w:proofErr w:type="spellEnd"/>
      <w:r w:rsidRPr="00337174">
        <w:rPr>
          <w:rFonts w:ascii="Arial" w:hAnsi="Arial" w:cs="Arial"/>
          <w:i/>
          <w:iCs/>
          <w:color w:val="000000" w:themeColor="text1"/>
        </w:rPr>
        <w:t xml:space="preserve"> and designing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change interventions</w:t>
      </w:r>
      <w:r w:rsidRPr="00337174">
        <w:rPr>
          <w:rFonts w:ascii="Arial" w:hAnsi="Arial" w:cs="Arial"/>
          <w:color w:val="000000" w:themeColor="text1"/>
        </w:rPr>
        <w:t xml:space="preserve">. Implementation Science, 6, p.42. Available at: </w:t>
      </w:r>
      <w:hyperlink r:id="rId31" w:tgtFrame="_new" w:history="1">
        <w:r w:rsidRPr="00337174">
          <w:rPr>
            <w:rStyle w:val="Hyperlink"/>
            <w:rFonts w:ascii="Arial" w:hAnsi="Arial" w:cs="Arial"/>
            <w:color w:val="000000" w:themeColor="text1"/>
          </w:rPr>
          <w:t>https://doi.org/10.1186/1748-5908-6-42</w:t>
        </w:r>
      </w:hyperlink>
      <w:r w:rsidRPr="00337174">
        <w:rPr>
          <w:rFonts w:ascii="Arial" w:hAnsi="Arial" w:cs="Arial"/>
          <w:color w:val="000000" w:themeColor="text1"/>
        </w:rPr>
        <w:t xml:space="preserve"> </w:t>
      </w:r>
    </w:p>
    <w:p w14:paraId="68E30A78"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NHS England (2023) </w:t>
      </w:r>
      <w:r w:rsidRPr="00337174">
        <w:rPr>
          <w:rFonts w:ascii="Arial" w:hAnsi="Arial" w:cs="Arial"/>
          <w:i/>
          <w:iCs/>
          <w:color w:val="000000" w:themeColor="text1"/>
        </w:rPr>
        <w:t>NHS digital health strategy 2023–2028</w:t>
      </w:r>
      <w:r w:rsidRPr="00337174">
        <w:rPr>
          <w:rFonts w:ascii="Arial" w:hAnsi="Arial" w:cs="Arial"/>
          <w:color w:val="000000" w:themeColor="text1"/>
        </w:rPr>
        <w:t>. London: NHS England.</w:t>
      </w:r>
    </w:p>
    <w:p w14:paraId="691580DF" w14:textId="7562BF66"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Nigg, C.R., Lisha, N. and Jordan, P.J. (2024) </w:t>
      </w:r>
      <w:r w:rsidRPr="00337174">
        <w:rPr>
          <w:rFonts w:ascii="Arial" w:hAnsi="Arial" w:cs="Arial"/>
          <w:i/>
          <w:iCs/>
          <w:color w:val="000000" w:themeColor="text1"/>
        </w:rPr>
        <w:t>Applications of behavioral change theories and models in health promotion interventions</w:t>
      </w:r>
      <w:r w:rsidRPr="00337174">
        <w:rPr>
          <w:rFonts w:ascii="Arial" w:hAnsi="Arial" w:cs="Arial"/>
          <w:color w:val="000000" w:themeColor="text1"/>
        </w:rPr>
        <w:t xml:space="preserve">. Behavioral Sciences, 15(5), p.580. Available at: https://doi.org/10.3390/bs15050580 </w:t>
      </w:r>
    </w:p>
    <w:p w14:paraId="78FDDEB3" w14:textId="6855B28D"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Oxford Open Digital Health (2025) </w:t>
      </w:r>
      <w:r w:rsidRPr="00337174">
        <w:rPr>
          <w:rFonts w:ascii="Arial" w:hAnsi="Arial" w:cs="Arial"/>
          <w:i/>
          <w:iCs/>
          <w:color w:val="000000" w:themeColor="text1"/>
        </w:rPr>
        <w:t>Flowing data: women's views on privacy and data security when using menstrual cycle tracking apps</w:t>
      </w:r>
      <w:r w:rsidRPr="00337174">
        <w:rPr>
          <w:rFonts w:ascii="Arial" w:hAnsi="Arial" w:cs="Arial"/>
          <w:color w:val="000000" w:themeColor="text1"/>
        </w:rPr>
        <w:t xml:space="preserve">. Oxford Open Digital Health. Available at: </w:t>
      </w:r>
      <w:hyperlink r:id="rId32" w:tgtFrame="_new" w:history="1">
        <w:r w:rsidRPr="00337174">
          <w:rPr>
            <w:rStyle w:val="Hyperlink"/>
            <w:rFonts w:ascii="Arial" w:hAnsi="Arial" w:cs="Arial"/>
            <w:color w:val="000000" w:themeColor="text1"/>
          </w:rPr>
          <w:t>https://doi.org/10.1093/oodh/oqaf011</w:t>
        </w:r>
      </w:hyperlink>
      <w:r w:rsidRPr="00337174">
        <w:rPr>
          <w:rFonts w:ascii="Arial" w:hAnsi="Arial" w:cs="Arial"/>
          <w:color w:val="000000" w:themeColor="text1"/>
        </w:rPr>
        <w:t xml:space="preserve"> </w:t>
      </w:r>
    </w:p>
    <w:p w14:paraId="3E556440" w14:textId="3AAFA6DC"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Prochaska, J.O. and DiClemente, C.C. (1983) </w:t>
      </w:r>
      <w:r w:rsidRPr="00337174">
        <w:rPr>
          <w:rFonts w:ascii="Arial" w:hAnsi="Arial" w:cs="Arial"/>
          <w:i/>
          <w:iCs/>
          <w:color w:val="000000" w:themeColor="text1"/>
        </w:rPr>
        <w:t>Stages and processes of self-change of smoking: toward an integrative model of change</w:t>
      </w:r>
      <w:r w:rsidRPr="00337174">
        <w:rPr>
          <w:rFonts w:ascii="Arial" w:hAnsi="Arial" w:cs="Arial"/>
          <w:color w:val="000000" w:themeColor="text1"/>
        </w:rPr>
        <w:t xml:space="preserve">. Journal of Consulting and Clinical Psychology, 51(3), pp.390–395. Available at: </w:t>
      </w:r>
      <w:hyperlink r:id="rId33" w:tgtFrame="_new" w:history="1">
        <w:r w:rsidRPr="00337174">
          <w:rPr>
            <w:rStyle w:val="Hyperlink"/>
            <w:rFonts w:ascii="Arial" w:hAnsi="Arial" w:cs="Arial"/>
            <w:color w:val="000000" w:themeColor="text1"/>
          </w:rPr>
          <w:t>https://doi.org/10.1037/0022-006X.51.3.390</w:t>
        </w:r>
      </w:hyperlink>
      <w:r w:rsidRPr="00337174">
        <w:rPr>
          <w:rFonts w:ascii="Arial" w:hAnsi="Arial" w:cs="Arial"/>
          <w:color w:val="000000" w:themeColor="text1"/>
        </w:rPr>
        <w:t xml:space="preserve"> </w:t>
      </w:r>
    </w:p>
    <w:p w14:paraId="6CF3C264" w14:textId="60575AB0"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lastRenderedPageBreak/>
        <w:t xml:space="preserve">Seo, M.S. and Seo, B.N. (2025) </w:t>
      </w:r>
      <w:r w:rsidRPr="00337174">
        <w:rPr>
          <w:rFonts w:ascii="Arial" w:hAnsi="Arial" w:cs="Arial"/>
          <w:i/>
          <w:iCs/>
          <w:color w:val="000000" w:themeColor="text1"/>
        </w:rPr>
        <w:t>Effectiveness of digital healthcare in managing menstrual symptoms: a systematic review</w:t>
      </w:r>
      <w:r w:rsidRPr="00337174">
        <w:rPr>
          <w:rFonts w:ascii="Arial" w:hAnsi="Arial" w:cs="Arial"/>
          <w:color w:val="000000" w:themeColor="text1"/>
        </w:rPr>
        <w:t xml:space="preserve">. Women's Health Nursing, 31. Available at: </w:t>
      </w:r>
      <w:hyperlink r:id="rId34" w:tgtFrame="_new" w:history="1">
        <w:r w:rsidRPr="00337174">
          <w:rPr>
            <w:rStyle w:val="Hyperlink"/>
            <w:rFonts w:ascii="Arial" w:hAnsi="Arial" w:cs="Arial"/>
            <w:color w:val="000000" w:themeColor="text1"/>
          </w:rPr>
          <w:t>https://doi.org/10.4069/whn.2025.05.22</w:t>
        </w:r>
      </w:hyperlink>
      <w:r w:rsidRPr="00337174">
        <w:rPr>
          <w:rFonts w:ascii="Arial" w:hAnsi="Arial" w:cs="Arial"/>
          <w:color w:val="000000" w:themeColor="text1"/>
        </w:rPr>
        <w:t xml:space="preserve"> </w:t>
      </w:r>
    </w:p>
    <w:p w14:paraId="5E7559AE"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The Lancet Child &amp; Adolescent Health (2025) </w:t>
      </w:r>
      <w:r w:rsidRPr="00337174">
        <w:rPr>
          <w:rFonts w:ascii="Arial" w:hAnsi="Arial" w:cs="Arial"/>
          <w:i/>
          <w:iCs/>
          <w:color w:val="000000" w:themeColor="text1"/>
        </w:rPr>
        <w:t xml:space="preserve">Longitudinal association between </w:t>
      </w:r>
      <w:proofErr w:type="spellStart"/>
      <w:r w:rsidRPr="00337174">
        <w:rPr>
          <w:rFonts w:ascii="Arial" w:hAnsi="Arial" w:cs="Arial"/>
          <w:i/>
          <w:iCs/>
          <w:color w:val="000000" w:themeColor="text1"/>
        </w:rPr>
        <w:t>dysmenorrhoea</w:t>
      </w:r>
      <w:proofErr w:type="spellEnd"/>
      <w:r w:rsidRPr="00337174">
        <w:rPr>
          <w:rFonts w:ascii="Arial" w:hAnsi="Arial" w:cs="Arial"/>
          <w:i/>
          <w:iCs/>
          <w:color w:val="000000" w:themeColor="text1"/>
        </w:rPr>
        <w:t xml:space="preserve"> in adolescence and chronic pain in adulthood</w:t>
      </w:r>
      <w:r w:rsidRPr="00337174">
        <w:rPr>
          <w:rFonts w:ascii="Arial" w:hAnsi="Arial" w:cs="Arial"/>
          <w:color w:val="000000" w:themeColor="text1"/>
        </w:rPr>
        <w:t xml:space="preserve">. The Lancet Child &amp; Adolescent Health. Available at: </w:t>
      </w:r>
      <w:hyperlink r:id="rId35" w:tgtFrame="_new" w:history="1">
        <w:r w:rsidRPr="00337174">
          <w:rPr>
            <w:rStyle w:val="Hyperlink"/>
            <w:rFonts w:ascii="Arial" w:hAnsi="Arial" w:cs="Arial"/>
            <w:color w:val="000000" w:themeColor="text1"/>
          </w:rPr>
          <w:t>https://doi.org/10.1016/S2352-4642(25)00213-5</w:t>
        </w:r>
      </w:hyperlink>
    </w:p>
    <w:p w14:paraId="2C078E63" w14:textId="69ACEB21" w:rsidR="00B60D45" w:rsidRPr="00337174" w:rsidRDefault="00B60D45" w:rsidP="00337174">
      <w:pPr>
        <w:spacing w:line="360" w:lineRule="auto"/>
        <w:jc w:val="both"/>
        <w:rPr>
          <w:rFonts w:ascii="Arial" w:hAnsi="Arial" w:cs="Arial"/>
        </w:rPr>
      </w:pPr>
    </w:p>
    <w:sectPr w:rsidR="00B60D45" w:rsidRPr="00337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07DB"/>
    <w:multiLevelType w:val="multilevel"/>
    <w:tmpl w:val="32D44E5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88E5055"/>
    <w:multiLevelType w:val="hybridMultilevel"/>
    <w:tmpl w:val="33C6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80921"/>
    <w:multiLevelType w:val="multilevel"/>
    <w:tmpl w:val="F84030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F197071"/>
    <w:multiLevelType w:val="hybridMultilevel"/>
    <w:tmpl w:val="F58C9FC6"/>
    <w:lvl w:ilvl="0" w:tplc="004CBDC0">
      <w:start w:val="1"/>
      <w:numFmt w:val="bullet"/>
      <w:lvlText w:val="●"/>
      <w:lvlJc w:val="left"/>
      <w:pPr>
        <w:ind w:left="720" w:hanging="360"/>
      </w:pPr>
    </w:lvl>
    <w:lvl w:ilvl="1" w:tplc="292CC5DE">
      <w:start w:val="1"/>
      <w:numFmt w:val="bullet"/>
      <w:lvlText w:val="○"/>
      <w:lvlJc w:val="left"/>
      <w:pPr>
        <w:ind w:left="1440" w:hanging="360"/>
      </w:pPr>
    </w:lvl>
    <w:lvl w:ilvl="2" w:tplc="4A305FD4">
      <w:start w:val="1"/>
      <w:numFmt w:val="bullet"/>
      <w:lvlText w:val="■"/>
      <w:lvlJc w:val="left"/>
      <w:pPr>
        <w:ind w:left="2160" w:hanging="360"/>
      </w:pPr>
    </w:lvl>
    <w:lvl w:ilvl="3" w:tplc="A12A32E4">
      <w:start w:val="1"/>
      <w:numFmt w:val="bullet"/>
      <w:lvlText w:val="●"/>
      <w:lvlJc w:val="left"/>
      <w:pPr>
        <w:ind w:left="2880" w:hanging="360"/>
      </w:pPr>
    </w:lvl>
    <w:lvl w:ilvl="4" w:tplc="CD5E30B6">
      <w:start w:val="1"/>
      <w:numFmt w:val="bullet"/>
      <w:lvlText w:val="○"/>
      <w:lvlJc w:val="left"/>
      <w:pPr>
        <w:ind w:left="3600" w:hanging="360"/>
      </w:pPr>
    </w:lvl>
    <w:lvl w:ilvl="5" w:tplc="05A27C06">
      <w:start w:val="1"/>
      <w:numFmt w:val="bullet"/>
      <w:lvlText w:val="■"/>
      <w:lvlJc w:val="left"/>
      <w:pPr>
        <w:ind w:left="4320" w:hanging="360"/>
      </w:pPr>
    </w:lvl>
    <w:lvl w:ilvl="6" w:tplc="5B32F4FA">
      <w:start w:val="1"/>
      <w:numFmt w:val="bullet"/>
      <w:lvlText w:val="●"/>
      <w:lvlJc w:val="left"/>
      <w:pPr>
        <w:ind w:left="5040" w:hanging="360"/>
      </w:pPr>
    </w:lvl>
    <w:lvl w:ilvl="7" w:tplc="D8EC958E">
      <w:start w:val="1"/>
      <w:numFmt w:val="bullet"/>
      <w:lvlText w:val="●"/>
      <w:lvlJc w:val="left"/>
      <w:pPr>
        <w:ind w:left="5760" w:hanging="360"/>
      </w:pPr>
    </w:lvl>
    <w:lvl w:ilvl="8" w:tplc="D93E9E8A">
      <w:start w:val="1"/>
      <w:numFmt w:val="bullet"/>
      <w:lvlText w:val="●"/>
      <w:lvlJc w:val="left"/>
      <w:pPr>
        <w:ind w:left="6480" w:hanging="360"/>
      </w:pPr>
    </w:lvl>
  </w:abstractNum>
  <w:abstractNum w:abstractNumId="4" w15:restartNumberingAfterBreak="0">
    <w:nsid w:val="20ED5AD6"/>
    <w:multiLevelType w:val="multilevel"/>
    <w:tmpl w:val="2FF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315DB"/>
    <w:multiLevelType w:val="hybridMultilevel"/>
    <w:tmpl w:val="B342867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221403"/>
    <w:multiLevelType w:val="multilevel"/>
    <w:tmpl w:val="2C1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90A4F"/>
    <w:multiLevelType w:val="multilevel"/>
    <w:tmpl w:val="6E70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134E8"/>
    <w:multiLevelType w:val="hybridMultilevel"/>
    <w:tmpl w:val="35E05B28"/>
    <w:lvl w:ilvl="0" w:tplc="6F3E29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322632"/>
    <w:multiLevelType w:val="multilevel"/>
    <w:tmpl w:val="FC38897A"/>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37573F30"/>
    <w:multiLevelType w:val="hybridMultilevel"/>
    <w:tmpl w:val="985C81E4"/>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1" w15:restartNumberingAfterBreak="0">
    <w:nsid w:val="38F84CD1"/>
    <w:multiLevelType w:val="multilevel"/>
    <w:tmpl w:val="F84030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DD2560C"/>
    <w:multiLevelType w:val="hybridMultilevel"/>
    <w:tmpl w:val="88B2B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191A66"/>
    <w:multiLevelType w:val="multilevel"/>
    <w:tmpl w:val="02B42E14"/>
    <w:lvl w:ilvl="0">
      <w:start w:val="1"/>
      <w:numFmt w:val="decimal"/>
      <w:lvlText w:val="%1."/>
      <w:lvlJc w:val="left"/>
      <w:pPr>
        <w:ind w:left="480" w:hanging="480"/>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1080" w:hanging="108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440" w:hanging="1440"/>
      </w:pPr>
      <w:rPr>
        <w:rFonts w:eastAsia="Arial" w:hint="default"/>
      </w:rPr>
    </w:lvl>
    <w:lvl w:ilvl="5">
      <w:start w:val="1"/>
      <w:numFmt w:val="decimal"/>
      <w:lvlText w:val="%1.%2.%3.%4.%5.%6."/>
      <w:lvlJc w:val="left"/>
      <w:pPr>
        <w:ind w:left="1800" w:hanging="1800"/>
      </w:pPr>
      <w:rPr>
        <w:rFonts w:eastAsia="Arial" w:hint="default"/>
      </w:rPr>
    </w:lvl>
    <w:lvl w:ilvl="6">
      <w:start w:val="1"/>
      <w:numFmt w:val="decimal"/>
      <w:lvlText w:val="%1.%2.%3.%4.%5.%6.%7."/>
      <w:lvlJc w:val="left"/>
      <w:pPr>
        <w:ind w:left="1800" w:hanging="1800"/>
      </w:pPr>
      <w:rPr>
        <w:rFonts w:eastAsia="Arial" w:hint="default"/>
      </w:rPr>
    </w:lvl>
    <w:lvl w:ilvl="7">
      <w:start w:val="1"/>
      <w:numFmt w:val="decimal"/>
      <w:lvlText w:val="%1.%2.%3.%4.%5.%6.%7.%8."/>
      <w:lvlJc w:val="left"/>
      <w:pPr>
        <w:ind w:left="2160" w:hanging="2160"/>
      </w:pPr>
      <w:rPr>
        <w:rFonts w:eastAsia="Arial" w:hint="default"/>
      </w:rPr>
    </w:lvl>
    <w:lvl w:ilvl="8">
      <w:start w:val="1"/>
      <w:numFmt w:val="decimal"/>
      <w:lvlText w:val="%1.%2.%3.%4.%5.%6.%7.%8.%9."/>
      <w:lvlJc w:val="left"/>
      <w:pPr>
        <w:ind w:left="2520" w:hanging="2520"/>
      </w:pPr>
      <w:rPr>
        <w:rFonts w:eastAsia="Arial" w:hint="default"/>
      </w:rPr>
    </w:lvl>
  </w:abstractNum>
  <w:abstractNum w:abstractNumId="14" w15:restartNumberingAfterBreak="0">
    <w:nsid w:val="501A451B"/>
    <w:multiLevelType w:val="multilevel"/>
    <w:tmpl w:val="AA7C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B6C44"/>
    <w:multiLevelType w:val="hybridMultilevel"/>
    <w:tmpl w:val="7996DD42"/>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6" w15:restartNumberingAfterBreak="0">
    <w:nsid w:val="5B42361E"/>
    <w:multiLevelType w:val="hybridMultilevel"/>
    <w:tmpl w:val="B34AB092"/>
    <w:lvl w:ilvl="0" w:tplc="3E56BA3E">
      <w:start w:val="1"/>
      <w:numFmt w:val="bullet"/>
      <w:lvlText w:val="●"/>
      <w:lvlJc w:val="left"/>
      <w:pPr>
        <w:ind w:left="720" w:hanging="360"/>
      </w:pPr>
    </w:lvl>
    <w:lvl w:ilvl="1" w:tplc="70A87E32">
      <w:start w:val="1"/>
      <w:numFmt w:val="bullet"/>
      <w:lvlText w:val="○"/>
      <w:lvlJc w:val="left"/>
      <w:pPr>
        <w:ind w:left="1440" w:hanging="360"/>
      </w:pPr>
    </w:lvl>
    <w:lvl w:ilvl="2" w:tplc="DA22004A">
      <w:start w:val="1"/>
      <w:numFmt w:val="bullet"/>
      <w:lvlText w:val="■"/>
      <w:lvlJc w:val="left"/>
      <w:pPr>
        <w:ind w:left="2160" w:hanging="360"/>
      </w:pPr>
    </w:lvl>
    <w:lvl w:ilvl="3" w:tplc="93D4D9A4">
      <w:start w:val="1"/>
      <w:numFmt w:val="bullet"/>
      <w:lvlText w:val="●"/>
      <w:lvlJc w:val="left"/>
      <w:pPr>
        <w:ind w:left="2880" w:hanging="360"/>
      </w:pPr>
    </w:lvl>
    <w:lvl w:ilvl="4" w:tplc="F2F2F578">
      <w:start w:val="1"/>
      <w:numFmt w:val="bullet"/>
      <w:lvlText w:val="○"/>
      <w:lvlJc w:val="left"/>
      <w:pPr>
        <w:ind w:left="3600" w:hanging="360"/>
      </w:pPr>
    </w:lvl>
    <w:lvl w:ilvl="5" w:tplc="7FD6BB28">
      <w:start w:val="1"/>
      <w:numFmt w:val="bullet"/>
      <w:lvlText w:val="■"/>
      <w:lvlJc w:val="left"/>
      <w:pPr>
        <w:ind w:left="4320" w:hanging="360"/>
      </w:pPr>
    </w:lvl>
    <w:lvl w:ilvl="6" w:tplc="9CBC7A50">
      <w:start w:val="1"/>
      <w:numFmt w:val="bullet"/>
      <w:lvlText w:val="●"/>
      <w:lvlJc w:val="left"/>
      <w:pPr>
        <w:ind w:left="5040" w:hanging="360"/>
      </w:pPr>
    </w:lvl>
    <w:lvl w:ilvl="7" w:tplc="CABAE120">
      <w:start w:val="1"/>
      <w:numFmt w:val="bullet"/>
      <w:lvlText w:val="●"/>
      <w:lvlJc w:val="left"/>
      <w:pPr>
        <w:ind w:left="5760" w:hanging="360"/>
      </w:pPr>
    </w:lvl>
    <w:lvl w:ilvl="8" w:tplc="135E579C">
      <w:start w:val="1"/>
      <w:numFmt w:val="bullet"/>
      <w:lvlText w:val="●"/>
      <w:lvlJc w:val="left"/>
      <w:pPr>
        <w:ind w:left="6480" w:hanging="360"/>
      </w:pPr>
    </w:lvl>
  </w:abstractNum>
  <w:abstractNum w:abstractNumId="17" w15:restartNumberingAfterBreak="0">
    <w:nsid w:val="61636828"/>
    <w:multiLevelType w:val="hybridMultilevel"/>
    <w:tmpl w:val="68D42006"/>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8" w15:restartNumberingAfterBreak="0">
    <w:nsid w:val="66A50F0F"/>
    <w:multiLevelType w:val="multilevel"/>
    <w:tmpl w:val="E354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212C17"/>
    <w:multiLevelType w:val="multilevel"/>
    <w:tmpl w:val="4ED485E8"/>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6A701979"/>
    <w:multiLevelType w:val="multilevel"/>
    <w:tmpl w:val="2C1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F58DD"/>
    <w:multiLevelType w:val="multilevel"/>
    <w:tmpl w:val="A030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BC7F20"/>
    <w:multiLevelType w:val="multilevel"/>
    <w:tmpl w:val="9760B88A"/>
    <w:lvl w:ilvl="0">
      <w:start w:val="1"/>
      <w:numFmt w:val="decimal"/>
      <w:lvlText w:val="%1."/>
      <w:lvlJc w:val="left"/>
      <w:pPr>
        <w:ind w:left="390" w:hanging="390"/>
      </w:pPr>
      <w:rPr>
        <w:rFonts w:eastAsia="Arial" w:hint="default"/>
        <w:b/>
      </w:rPr>
    </w:lvl>
    <w:lvl w:ilvl="1">
      <w:start w:val="1"/>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800" w:hanging="1800"/>
      </w:pPr>
      <w:rPr>
        <w:rFonts w:eastAsia="Arial" w:hint="default"/>
        <w:b/>
      </w:rPr>
    </w:lvl>
    <w:lvl w:ilvl="8">
      <w:start w:val="1"/>
      <w:numFmt w:val="decimal"/>
      <w:lvlText w:val="%1.%2.%3.%4.%5.%6.%7.%8.%9."/>
      <w:lvlJc w:val="left"/>
      <w:pPr>
        <w:ind w:left="2160" w:hanging="2160"/>
      </w:pPr>
      <w:rPr>
        <w:rFonts w:eastAsia="Arial" w:hint="default"/>
        <w:b/>
      </w:rPr>
    </w:lvl>
  </w:abstractNum>
  <w:abstractNum w:abstractNumId="23" w15:restartNumberingAfterBreak="0">
    <w:nsid w:val="74268884"/>
    <w:multiLevelType w:val="hybridMultilevel"/>
    <w:tmpl w:val="F22C49CE"/>
    <w:lvl w:ilvl="0" w:tplc="C7FCBC84">
      <w:start w:val="1"/>
      <w:numFmt w:val="bullet"/>
      <w:lvlText w:val=""/>
      <w:lvlJc w:val="left"/>
      <w:pPr>
        <w:ind w:left="720" w:hanging="360"/>
      </w:pPr>
      <w:rPr>
        <w:rFonts w:ascii="Symbol" w:hAnsi="Symbol" w:hint="default"/>
      </w:rPr>
    </w:lvl>
    <w:lvl w:ilvl="1" w:tplc="C8A033DA">
      <w:start w:val="1"/>
      <w:numFmt w:val="bullet"/>
      <w:lvlText w:val="o"/>
      <w:lvlJc w:val="left"/>
      <w:pPr>
        <w:ind w:left="1440" w:hanging="360"/>
      </w:pPr>
      <w:rPr>
        <w:rFonts w:ascii="Courier New" w:hAnsi="Courier New" w:hint="default"/>
      </w:rPr>
    </w:lvl>
    <w:lvl w:ilvl="2" w:tplc="C478C114">
      <w:start w:val="1"/>
      <w:numFmt w:val="bullet"/>
      <w:lvlText w:val=""/>
      <w:lvlJc w:val="left"/>
      <w:pPr>
        <w:ind w:left="2160" w:hanging="360"/>
      </w:pPr>
      <w:rPr>
        <w:rFonts w:ascii="Wingdings" w:hAnsi="Wingdings" w:hint="default"/>
      </w:rPr>
    </w:lvl>
    <w:lvl w:ilvl="3" w:tplc="C68A17D6">
      <w:start w:val="1"/>
      <w:numFmt w:val="bullet"/>
      <w:lvlText w:val=""/>
      <w:lvlJc w:val="left"/>
      <w:pPr>
        <w:ind w:left="2880" w:hanging="360"/>
      </w:pPr>
      <w:rPr>
        <w:rFonts w:ascii="Symbol" w:hAnsi="Symbol" w:hint="default"/>
      </w:rPr>
    </w:lvl>
    <w:lvl w:ilvl="4" w:tplc="C8F29432">
      <w:start w:val="1"/>
      <w:numFmt w:val="bullet"/>
      <w:lvlText w:val="o"/>
      <w:lvlJc w:val="left"/>
      <w:pPr>
        <w:ind w:left="3600" w:hanging="360"/>
      </w:pPr>
      <w:rPr>
        <w:rFonts w:ascii="Courier New" w:hAnsi="Courier New" w:hint="default"/>
      </w:rPr>
    </w:lvl>
    <w:lvl w:ilvl="5" w:tplc="CDCE0BE8">
      <w:start w:val="1"/>
      <w:numFmt w:val="bullet"/>
      <w:lvlText w:val=""/>
      <w:lvlJc w:val="left"/>
      <w:pPr>
        <w:ind w:left="4320" w:hanging="360"/>
      </w:pPr>
      <w:rPr>
        <w:rFonts w:ascii="Wingdings" w:hAnsi="Wingdings" w:hint="default"/>
      </w:rPr>
    </w:lvl>
    <w:lvl w:ilvl="6" w:tplc="14BA670A">
      <w:start w:val="1"/>
      <w:numFmt w:val="bullet"/>
      <w:lvlText w:val=""/>
      <w:lvlJc w:val="left"/>
      <w:pPr>
        <w:ind w:left="5040" w:hanging="360"/>
      </w:pPr>
      <w:rPr>
        <w:rFonts w:ascii="Symbol" w:hAnsi="Symbol" w:hint="default"/>
      </w:rPr>
    </w:lvl>
    <w:lvl w:ilvl="7" w:tplc="4D1EC5E2">
      <w:start w:val="1"/>
      <w:numFmt w:val="bullet"/>
      <w:lvlText w:val="o"/>
      <w:lvlJc w:val="left"/>
      <w:pPr>
        <w:ind w:left="5760" w:hanging="360"/>
      </w:pPr>
      <w:rPr>
        <w:rFonts w:ascii="Courier New" w:hAnsi="Courier New" w:hint="default"/>
      </w:rPr>
    </w:lvl>
    <w:lvl w:ilvl="8" w:tplc="2752F33C">
      <w:start w:val="1"/>
      <w:numFmt w:val="bullet"/>
      <w:lvlText w:val=""/>
      <w:lvlJc w:val="left"/>
      <w:pPr>
        <w:ind w:left="6480" w:hanging="360"/>
      </w:pPr>
      <w:rPr>
        <w:rFonts w:ascii="Wingdings" w:hAnsi="Wingdings" w:hint="default"/>
      </w:rPr>
    </w:lvl>
  </w:abstractNum>
  <w:abstractNum w:abstractNumId="24" w15:restartNumberingAfterBreak="0">
    <w:nsid w:val="76765022"/>
    <w:multiLevelType w:val="hybridMultilevel"/>
    <w:tmpl w:val="5C325FB2"/>
    <w:lvl w:ilvl="0" w:tplc="0409000D">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25" w15:restartNumberingAfterBreak="0">
    <w:nsid w:val="7AB012CB"/>
    <w:multiLevelType w:val="multilevel"/>
    <w:tmpl w:val="608C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8562529">
    <w:abstractNumId w:val="23"/>
  </w:num>
  <w:num w:numId="2" w16cid:durableId="531502760">
    <w:abstractNumId w:val="14"/>
  </w:num>
  <w:num w:numId="3" w16cid:durableId="294795268">
    <w:abstractNumId w:val="21"/>
  </w:num>
  <w:num w:numId="4" w16cid:durableId="806975743">
    <w:abstractNumId w:val="7"/>
  </w:num>
  <w:num w:numId="5" w16cid:durableId="496311473">
    <w:abstractNumId w:val="4"/>
  </w:num>
  <w:num w:numId="6" w16cid:durableId="1429934426">
    <w:abstractNumId w:val="25"/>
  </w:num>
  <w:num w:numId="7" w16cid:durableId="531847640">
    <w:abstractNumId w:val="18"/>
  </w:num>
  <w:num w:numId="8" w16cid:durableId="1396277145">
    <w:abstractNumId w:val="19"/>
  </w:num>
  <w:num w:numId="9" w16cid:durableId="59599372">
    <w:abstractNumId w:val="22"/>
  </w:num>
  <w:num w:numId="10" w16cid:durableId="2323895">
    <w:abstractNumId w:val="8"/>
  </w:num>
  <w:num w:numId="11" w16cid:durableId="36592837">
    <w:abstractNumId w:val="13"/>
  </w:num>
  <w:num w:numId="12" w16cid:durableId="936596090">
    <w:abstractNumId w:val="9"/>
  </w:num>
  <w:num w:numId="13" w16cid:durableId="264774987">
    <w:abstractNumId w:val="0"/>
  </w:num>
  <w:num w:numId="14" w16cid:durableId="1964537988">
    <w:abstractNumId w:val="12"/>
  </w:num>
  <w:num w:numId="15" w16cid:durableId="1485003755">
    <w:abstractNumId w:val="6"/>
  </w:num>
  <w:num w:numId="16" w16cid:durableId="681278521">
    <w:abstractNumId w:val="20"/>
  </w:num>
  <w:num w:numId="17" w16cid:durableId="1759251218">
    <w:abstractNumId w:val="3"/>
    <w:lvlOverride w:ilvl="0">
      <w:startOverride w:val="1"/>
    </w:lvlOverride>
  </w:num>
  <w:num w:numId="18" w16cid:durableId="43987394">
    <w:abstractNumId w:val="3"/>
  </w:num>
  <w:num w:numId="19" w16cid:durableId="1239514275">
    <w:abstractNumId w:val="15"/>
  </w:num>
  <w:num w:numId="20" w16cid:durableId="1077634841">
    <w:abstractNumId w:val="1"/>
  </w:num>
  <w:num w:numId="21" w16cid:durableId="1533759757">
    <w:abstractNumId w:val="24"/>
  </w:num>
  <w:num w:numId="22" w16cid:durableId="545333869">
    <w:abstractNumId w:val="5"/>
  </w:num>
  <w:num w:numId="23" w16cid:durableId="1049111532">
    <w:abstractNumId w:val="16"/>
    <w:lvlOverride w:ilvl="0">
      <w:startOverride w:val="1"/>
    </w:lvlOverride>
  </w:num>
  <w:num w:numId="24" w16cid:durableId="1419059919">
    <w:abstractNumId w:val="16"/>
  </w:num>
  <w:num w:numId="25" w16cid:durableId="361322839">
    <w:abstractNumId w:val="17"/>
  </w:num>
  <w:num w:numId="26" w16cid:durableId="1263031366">
    <w:abstractNumId w:val="10"/>
  </w:num>
  <w:num w:numId="27" w16cid:durableId="1178543966">
    <w:abstractNumId w:val="11"/>
  </w:num>
  <w:num w:numId="28" w16cid:durableId="316962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B809D"/>
    <w:rsid w:val="000273F2"/>
    <w:rsid w:val="00050F64"/>
    <w:rsid w:val="000703EA"/>
    <w:rsid w:val="00074EE2"/>
    <w:rsid w:val="00092230"/>
    <w:rsid w:val="000A01B5"/>
    <w:rsid w:val="000B4D09"/>
    <w:rsid w:val="000B73F4"/>
    <w:rsid w:val="000C3B41"/>
    <w:rsid w:val="000E2C14"/>
    <w:rsid w:val="000E70B5"/>
    <w:rsid w:val="000F1E97"/>
    <w:rsid w:val="000F78C7"/>
    <w:rsid w:val="0016518D"/>
    <w:rsid w:val="001858D1"/>
    <w:rsid w:val="00197521"/>
    <w:rsid w:val="001A7A5C"/>
    <w:rsid w:val="001C6587"/>
    <w:rsid w:val="001D78CA"/>
    <w:rsid w:val="001D7D67"/>
    <w:rsid w:val="001E2C15"/>
    <w:rsid w:val="001F34D0"/>
    <w:rsid w:val="001F40B1"/>
    <w:rsid w:val="00211CF0"/>
    <w:rsid w:val="002853B0"/>
    <w:rsid w:val="002867FB"/>
    <w:rsid w:val="00295508"/>
    <w:rsid w:val="002A4A52"/>
    <w:rsid w:val="002B2692"/>
    <w:rsid w:val="002B2BC8"/>
    <w:rsid w:val="002D67D8"/>
    <w:rsid w:val="002E2CE3"/>
    <w:rsid w:val="002F4078"/>
    <w:rsid w:val="002F6C94"/>
    <w:rsid w:val="00337174"/>
    <w:rsid w:val="003653C1"/>
    <w:rsid w:val="00380374"/>
    <w:rsid w:val="003811B2"/>
    <w:rsid w:val="0038340D"/>
    <w:rsid w:val="0039759A"/>
    <w:rsid w:val="003B5CBC"/>
    <w:rsid w:val="003D11A9"/>
    <w:rsid w:val="004060FC"/>
    <w:rsid w:val="00406C5B"/>
    <w:rsid w:val="0041258D"/>
    <w:rsid w:val="004273A2"/>
    <w:rsid w:val="00442F40"/>
    <w:rsid w:val="00445954"/>
    <w:rsid w:val="00466ADA"/>
    <w:rsid w:val="004D2EBD"/>
    <w:rsid w:val="005071A6"/>
    <w:rsid w:val="00521CE7"/>
    <w:rsid w:val="00527673"/>
    <w:rsid w:val="00581679"/>
    <w:rsid w:val="00586B01"/>
    <w:rsid w:val="005A4EFC"/>
    <w:rsid w:val="005B4276"/>
    <w:rsid w:val="005C4A7E"/>
    <w:rsid w:val="005D301B"/>
    <w:rsid w:val="00605A28"/>
    <w:rsid w:val="0061495C"/>
    <w:rsid w:val="00615A37"/>
    <w:rsid w:val="006218B9"/>
    <w:rsid w:val="006338B0"/>
    <w:rsid w:val="006341BB"/>
    <w:rsid w:val="00643EEF"/>
    <w:rsid w:val="00651976"/>
    <w:rsid w:val="0066371F"/>
    <w:rsid w:val="00676F4E"/>
    <w:rsid w:val="00680772"/>
    <w:rsid w:val="006960BD"/>
    <w:rsid w:val="006A33CF"/>
    <w:rsid w:val="006B09CC"/>
    <w:rsid w:val="006B3B83"/>
    <w:rsid w:val="006B529A"/>
    <w:rsid w:val="006C1DBF"/>
    <w:rsid w:val="006D2360"/>
    <w:rsid w:val="006E2955"/>
    <w:rsid w:val="006F2174"/>
    <w:rsid w:val="007107EF"/>
    <w:rsid w:val="0072596E"/>
    <w:rsid w:val="00734286"/>
    <w:rsid w:val="00745419"/>
    <w:rsid w:val="00746A49"/>
    <w:rsid w:val="007504E0"/>
    <w:rsid w:val="00760E3C"/>
    <w:rsid w:val="00774756"/>
    <w:rsid w:val="00777A25"/>
    <w:rsid w:val="00780AA7"/>
    <w:rsid w:val="00795000"/>
    <w:rsid w:val="007A2599"/>
    <w:rsid w:val="007A4031"/>
    <w:rsid w:val="007B20D6"/>
    <w:rsid w:val="00807EFA"/>
    <w:rsid w:val="008464DA"/>
    <w:rsid w:val="00851551"/>
    <w:rsid w:val="00857402"/>
    <w:rsid w:val="0087475D"/>
    <w:rsid w:val="00877C1A"/>
    <w:rsid w:val="00883687"/>
    <w:rsid w:val="00890283"/>
    <w:rsid w:val="008906B6"/>
    <w:rsid w:val="008A51E0"/>
    <w:rsid w:val="008A6249"/>
    <w:rsid w:val="008B6927"/>
    <w:rsid w:val="008C12B3"/>
    <w:rsid w:val="008E358B"/>
    <w:rsid w:val="009216B4"/>
    <w:rsid w:val="00960684"/>
    <w:rsid w:val="00980D3E"/>
    <w:rsid w:val="00981C1F"/>
    <w:rsid w:val="00994F59"/>
    <w:rsid w:val="009B37CF"/>
    <w:rsid w:val="009C74A3"/>
    <w:rsid w:val="009D0ADD"/>
    <w:rsid w:val="009D0E90"/>
    <w:rsid w:val="009E4FB0"/>
    <w:rsid w:val="009E6203"/>
    <w:rsid w:val="009F280B"/>
    <w:rsid w:val="009F7867"/>
    <w:rsid w:val="00A14E2E"/>
    <w:rsid w:val="00A160A8"/>
    <w:rsid w:val="00A53580"/>
    <w:rsid w:val="00A54712"/>
    <w:rsid w:val="00A65466"/>
    <w:rsid w:val="00A730D7"/>
    <w:rsid w:val="00A801FE"/>
    <w:rsid w:val="00AC0B36"/>
    <w:rsid w:val="00AD3B1E"/>
    <w:rsid w:val="00AD7FA9"/>
    <w:rsid w:val="00AE1AE0"/>
    <w:rsid w:val="00AE6441"/>
    <w:rsid w:val="00AE70C0"/>
    <w:rsid w:val="00B0414A"/>
    <w:rsid w:val="00B1674D"/>
    <w:rsid w:val="00B253C7"/>
    <w:rsid w:val="00B31A5F"/>
    <w:rsid w:val="00B32BF4"/>
    <w:rsid w:val="00B52DE3"/>
    <w:rsid w:val="00B566A5"/>
    <w:rsid w:val="00B57075"/>
    <w:rsid w:val="00B60D45"/>
    <w:rsid w:val="00B72B8B"/>
    <w:rsid w:val="00BB66ED"/>
    <w:rsid w:val="00BB71E2"/>
    <w:rsid w:val="00BC07D7"/>
    <w:rsid w:val="00BE1DA1"/>
    <w:rsid w:val="00BF3D4B"/>
    <w:rsid w:val="00C02DD1"/>
    <w:rsid w:val="00C105B8"/>
    <w:rsid w:val="00C31E6D"/>
    <w:rsid w:val="00C36991"/>
    <w:rsid w:val="00C43DD4"/>
    <w:rsid w:val="00C445CC"/>
    <w:rsid w:val="00C66A9E"/>
    <w:rsid w:val="00C701ED"/>
    <w:rsid w:val="00C74389"/>
    <w:rsid w:val="00C85EB5"/>
    <w:rsid w:val="00C911B9"/>
    <w:rsid w:val="00CB2F0D"/>
    <w:rsid w:val="00CC1055"/>
    <w:rsid w:val="00CC2912"/>
    <w:rsid w:val="00CD5A22"/>
    <w:rsid w:val="00CE367F"/>
    <w:rsid w:val="00D1644C"/>
    <w:rsid w:val="00D3200C"/>
    <w:rsid w:val="00D4108D"/>
    <w:rsid w:val="00D43C56"/>
    <w:rsid w:val="00D76505"/>
    <w:rsid w:val="00D8565B"/>
    <w:rsid w:val="00DB30B7"/>
    <w:rsid w:val="00DC1800"/>
    <w:rsid w:val="00DC2782"/>
    <w:rsid w:val="00DC49CE"/>
    <w:rsid w:val="00DD45A3"/>
    <w:rsid w:val="00E03F54"/>
    <w:rsid w:val="00E452BE"/>
    <w:rsid w:val="00E477C6"/>
    <w:rsid w:val="00E5368D"/>
    <w:rsid w:val="00E74DFF"/>
    <w:rsid w:val="00E81AF3"/>
    <w:rsid w:val="00E931CB"/>
    <w:rsid w:val="00E95E9E"/>
    <w:rsid w:val="00EA5635"/>
    <w:rsid w:val="00EE2112"/>
    <w:rsid w:val="00F134EC"/>
    <w:rsid w:val="00F159D6"/>
    <w:rsid w:val="00F209B0"/>
    <w:rsid w:val="00F42FD3"/>
    <w:rsid w:val="00F443CF"/>
    <w:rsid w:val="00F85375"/>
    <w:rsid w:val="00F85E06"/>
    <w:rsid w:val="00FC15D9"/>
    <w:rsid w:val="00FD1DFA"/>
    <w:rsid w:val="00FD5FED"/>
    <w:rsid w:val="00FF32A3"/>
    <w:rsid w:val="02FAB5EC"/>
    <w:rsid w:val="06848210"/>
    <w:rsid w:val="0969CF0D"/>
    <w:rsid w:val="09EF6D53"/>
    <w:rsid w:val="0A25F35A"/>
    <w:rsid w:val="0DB52B9D"/>
    <w:rsid w:val="132F2840"/>
    <w:rsid w:val="1537F6A1"/>
    <w:rsid w:val="1897E36B"/>
    <w:rsid w:val="197BFAE0"/>
    <w:rsid w:val="1AFF6145"/>
    <w:rsid w:val="217F9FED"/>
    <w:rsid w:val="21944689"/>
    <w:rsid w:val="24062814"/>
    <w:rsid w:val="276DC918"/>
    <w:rsid w:val="293736A9"/>
    <w:rsid w:val="2A3F4B80"/>
    <w:rsid w:val="2CECB03D"/>
    <w:rsid w:val="312CFBC7"/>
    <w:rsid w:val="32AA9BCE"/>
    <w:rsid w:val="33A36E0D"/>
    <w:rsid w:val="358954ED"/>
    <w:rsid w:val="36D9B4B6"/>
    <w:rsid w:val="3F0A73EB"/>
    <w:rsid w:val="43921A38"/>
    <w:rsid w:val="497D3E65"/>
    <w:rsid w:val="4FB25F8F"/>
    <w:rsid w:val="5083B55D"/>
    <w:rsid w:val="50B6FF6C"/>
    <w:rsid w:val="52517481"/>
    <w:rsid w:val="54F7878D"/>
    <w:rsid w:val="5946016E"/>
    <w:rsid w:val="647E1E4B"/>
    <w:rsid w:val="6D5D32A1"/>
    <w:rsid w:val="6DCD566C"/>
    <w:rsid w:val="787B8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5CC0"/>
  <w15:chartTrackingRefBased/>
  <w15:docId w15:val="{92CBF694-5773-40EF-822E-7CF64F82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08D"/>
  </w:style>
  <w:style w:type="paragraph" w:styleId="Heading1">
    <w:name w:val="heading 1"/>
    <w:basedOn w:val="Normal"/>
    <w:next w:val="Normal"/>
    <w:uiPriority w:val="9"/>
    <w:qFormat/>
    <w:rsid w:val="52517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1944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194468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21944689"/>
    <w:pPr>
      <w:ind w:left="720"/>
      <w:contextualSpacing/>
    </w:pPr>
  </w:style>
  <w:style w:type="character" w:customStyle="1" w:styleId="Heading2Char">
    <w:name w:val="Heading 2 Char"/>
    <w:basedOn w:val="DefaultParagraphFont"/>
    <w:link w:val="Heading2"/>
    <w:uiPriority w:val="9"/>
    <w:rsid w:val="00890283"/>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0AC0B36"/>
    <w:rPr>
      <w:color w:val="467886" w:themeColor="hyperlink"/>
      <w:u w:val="single"/>
    </w:rPr>
  </w:style>
  <w:style w:type="character" w:styleId="UnresolvedMention">
    <w:name w:val="Unresolved Mention"/>
    <w:basedOn w:val="DefaultParagraphFont"/>
    <w:uiPriority w:val="99"/>
    <w:semiHidden/>
    <w:unhideWhenUsed/>
    <w:rsid w:val="00AC0B36"/>
    <w:rPr>
      <w:color w:val="605E5C"/>
      <w:shd w:val="clear" w:color="auto" w:fill="E1DFDD"/>
    </w:rPr>
  </w:style>
  <w:style w:type="paragraph" w:styleId="Title">
    <w:name w:val="Title"/>
    <w:basedOn w:val="Normal"/>
    <w:next w:val="Normal"/>
    <w:link w:val="TitleChar"/>
    <w:uiPriority w:val="10"/>
    <w:qFormat/>
    <w:rsid w:val="009F78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86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1674D"/>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B1674D"/>
    <w:pPr>
      <w:spacing w:after="100"/>
    </w:pPr>
  </w:style>
  <w:style w:type="paragraph" w:styleId="TOC2">
    <w:name w:val="toc 2"/>
    <w:basedOn w:val="Normal"/>
    <w:next w:val="Normal"/>
    <w:autoRedefine/>
    <w:uiPriority w:val="39"/>
    <w:unhideWhenUsed/>
    <w:rsid w:val="00FD5FED"/>
    <w:pPr>
      <w:tabs>
        <w:tab w:val="left" w:pos="960"/>
        <w:tab w:val="right" w:leader="dot" w:pos="9350"/>
      </w:tabs>
      <w:spacing w:after="100" w:line="360" w:lineRule="auto"/>
      <w:ind w:left="240"/>
      <w:jc w:val="both"/>
    </w:pPr>
  </w:style>
  <w:style w:type="paragraph" w:customStyle="1" w:styleId="pdq2pgselectionanchorcontainer">
    <w:name w:val="pdq2pg_selectionanchorcontainer"/>
    <w:basedOn w:val="Normal"/>
    <w:rsid w:val="00337174"/>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337174"/>
    <w:rPr>
      <w:i/>
      <w:iCs/>
    </w:rPr>
  </w:style>
  <w:style w:type="paragraph" w:styleId="NormalWeb">
    <w:name w:val="Normal (Web)"/>
    <w:basedOn w:val="Normal"/>
    <w:uiPriority w:val="99"/>
    <w:semiHidden/>
    <w:unhideWhenUsed/>
    <w:rsid w:val="00337174"/>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05-023-02312-4" TargetMode="External"/><Relationship Id="rId18" Type="http://schemas.openxmlformats.org/officeDocument/2006/relationships/hyperlink" Target="https://doi.org/10.2147/IJWH.S380006" TargetMode="External"/><Relationship Id="rId26" Type="http://schemas.openxmlformats.org/officeDocument/2006/relationships/hyperlink" Target="https://news.exeter.ac.uk" TargetMode="External"/><Relationship Id="rId21" Type="http://schemas.openxmlformats.org/officeDocument/2006/relationships/hyperlink" Target="https://doi.org/10.1136/bmjopen-2018-026186" TargetMode="External"/><Relationship Id="rId34" Type="http://schemas.openxmlformats.org/officeDocument/2006/relationships/hyperlink" Target="https://doi.org/10.4069/whn.2025.05.22" TargetMode="External"/><Relationship Id="rId7" Type="http://schemas.openxmlformats.org/officeDocument/2006/relationships/image" Target="media/image2.png"/><Relationship Id="rId12" Type="http://schemas.openxmlformats.org/officeDocument/2006/relationships/hyperlink" Target="https://doi.org/10.3389/frph.2024.1394978" TargetMode="External"/><Relationship Id="rId17" Type="http://schemas.openxmlformats.org/officeDocument/2006/relationships/hyperlink" Target="https://doi.org/10.1186/s12905-021-01532-w" TargetMode="External"/><Relationship Id="rId25" Type="http://schemas.openxmlformats.org/officeDocument/2006/relationships/hyperlink" Target="https://doi.org/10.1016/S2352-4642(25)00213-5" TargetMode="External"/><Relationship Id="rId33" Type="http://schemas.openxmlformats.org/officeDocument/2006/relationships/hyperlink" Target="https://doi.org/10.1037/0022-006X.51.3.390" TargetMode="External"/><Relationship Id="rId2" Type="http://schemas.openxmlformats.org/officeDocument/2006/relationships/numbering" Target="numbering.xml"/><Relationship Id="rId16" Type="http://schemas.openxmlformats.org/officeDocument/2006/relationships/hyperlink" Target="https://doi.org/10.3389/fcomp.2023.1166210" TargetMode="External"/><Relationship Id="rId20" Type="http://schemas.openxmlformats.org/officeDocument/2006/relationships/hyperlink" Target="https://doi.org/10.1093/oodh/oqaf011" TargetMode="External"/><Relationship Id="rId29" Type="http://schemas.openxmlformats.org/officeDocument/2006/relationships/hyperlink" Target="https://doi.org/10.2147/IJWH.S38000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eguardian.com/society/2025/jun/11" TargetMode="External"/><Relationship Id="rId32" Type="http://schemas.openxmlformats.org/officeDocument/2006/relationships/hyperlink" Target="https://doi.org/10.1093/oodh/oqaf01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lloclue.com/articles/about-clue/scientific-research-at-clue" TargetMode="External"/><Relationship Id="rId23" Type="http://schemas.openxmlformats.org/officeDocument/2006/relationships/hyperlink" Target="https://jepha.springeropen.com" TargetMode="External"/><Relationship Id="rId28" Type="http://schemas.openxmlformats.org/officeDocument/2006/relationships/hyperlink" Target="https://doi.org/10.1186/s12905-021-01532-w"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ofcom.org.uk" TargetMode="External"/><Relationship Id="rId31" Type="http://schemas.openxmlformats.org/officeDocument/2006/relationships/hyperlink" Target="https://doi.org/10.1186/1748-5908-6-42"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1016/j.jogc.2016.12.023" TargetMode="External"/><Relationship Id="rId22" Type="http://schemas.openxmlformats.org/officeDocument/2006/relationships/hyperlink" Target="https://doi.org/10.4069/whn.2025.05.22" TargetMode="External"/><Relationship Id="rId27" Type="http://schemas.openxmlformats.org/officeDocument/2006/relationships/hyperlink" Target="https://committees.parliament.uk" TargetMode="External"/><Relationship Id="rId30" Type="http://schemas.openxmlformats.org/officeDocument/2006/relationships/hyperlink" Target="https://doi.org/10.1177/17455057241273588" TargetMode="External"/><Relationship Id="rId35" Type="http://schemas.openxmlformats.org/officeDocument/2006/relationships/hyperlink" Target="https://doi.org/10.1016/S2352-4642(25)00213-5"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9D47E-EF0A-4BD5-8F47-B51332C9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13</Pages>
  <Words>2250</Words>
  <Characters>12830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Hetvi Sangdot</dc:creator>
  <cp:keywords/>
  <dc:description/>
  <cp:lastModifiedBy>Hetvi Sangdot</cp:lastModifiedBy>
  <cp:revision>13</cp:revision>
  <dcterms:created xsi:type="dcterms:W3CDTF">2026-06-25T21:35:00Z</dcterms:created>
  <dcterms:modified xsi:type="dcterms:W3CDTF">2026-07-03T08:15:00Z</dcterms:modified>
</cp:coreProperties>
</file>