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576F975" w14:textId="64F8D2E6" w:rsidR="00B56CE8" w:rsidRDefault="00BA0077" w:rsidP="00BD069B">
      <w:pPr>
        <w:spacing w:line="240" w:lineRule="auto"/>
      </w:pPr>
      <w:r>
        <w:rPr>
          <w:rFonts w:ascii="Arial" w:hAnsi="Arial" w:cs="Arial"/>
          <w:noProof/>
        </w:rPr>
        <w:drawing>
          <wp:inline distT="0" distB="0" distL="0" distR="0" wp14:anchorId="2C22949A" wp14:editId="45ABA57F">
            <wp:extent cx="1857375" cy="762000"/>
            <wp:effectExtent l="0" t="0" r="0" b="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57375" cy="762000"/>
                    </a:xfrm>
                    <a:prstGeom prst="rect">
                      <a:avLst/>
                    </a:prstGeom>
                    <a:noFill/>
                    <a:ln>
                      <a:noFill/>
                    </a:ln>
                  </pic:spPr>
                </pic:pic>
              </a:graphicData>
            </a:graphic>
          </wp:inline>
        </w:drawing>
      </w:r>
    </w:p>
    <w:p w14:paraId="38BFB29F" w14:textId="2D345B46" w:rsidR="00BA0077" w:rsidRDefault="00BA0077" w:rsidP="00BD069B">
      <w:pPr>
        <w:spacing w:line="240" w:lineRule="auto"/>
      </w:pPr>
    </w:p>
    <w:p w14:paraId="4C9E5A48" w14:textId="4A58ECB3" w:rsidR="00BA0077" w:rsidRPr="004D0AEB" w:rsidRDefault="00BA0077" w:rsidP="00BD069B">
      <w:pPr>
        <w:spacing w:line="240" w:lineRule="auto"/>
        <w:jc w:val="center"/>
        <w:rPr>
          <w:rFonts w:cstheme="minorHAnsi"/>
          <w:b/>
          <w:bCs/>
          <w:sz w:val="32"/>
          <w:szCs w:val="32"/>
        </w:rPr>
      </w:pPr>
      <w:r w:rsidRPr="004D0AEB">
        <w:rPr>
          <w:rFonts w:cstheme="minorHAnsi"/>
          <w:b/>
          <w:bCs/>
          <w:sz w:val="32"/>
          <w:szCs w:val="32"/>
        </w:rPr>
        <w:t>A Quranic Analysis of the Story of Lot</w:t>
      </w:r>
      <w:r w:rsidR="00177A17" w:rsidRPr="004D0AEB">
        <w:rPr>
          <w:rFonts w:cstheme="minorHAnsi"/>
          <w:b/>
          <w:bCs/>
          <w:sz w:val="32"/>
          <w:szCs w:val="32"/>
        </w:rPr>
        <w:t xml:space="preserve">: </w:t>
      </w:r>
      <w:r w:rsidR="006B4D26" w:rsidRPr="004D0AEB">
        <w:rPr>
          <w:rFonts w:cstheme="minorHAnsi"/>
          <w:b/>
          <w:bCs/>
          <w:sz w:val="32"/>
          <w:szCs w:val="32"/>
        </w:rPr>
        <w:t xml:space="preserve">Traditional Islamic Responses and the Legitimacy of LGBT Positive </w:t>
      </w:r>
      <w:r w:rsidR="00E6397E" w:rsidRPr="004D0AEB">
        <w:rPr>
          <w:rFonts w:cstheme="minorHAnsi"/>
          <w:b/>
          <w:bCs/>
          <w:sz w:val="32"/>
          <w:szCs w:val="32"/>
        </w:rPr>
        <w:t>Readings</w:t>
      </w:r>
    </w:p>
    <w:p w14:paraId="0E904C7A" w14:textId="24F9971B" w:rsidR="00BA0077" w:rsidRPr="004D0AEB" w:rsidRDefault="00BA0077" w:rsidP="00BD069B">
      <w:pPr>
        <w:spacing w:line="240" w:lineRule="auto"/>
        <w:jc w:val="center"/>
        <w:rPr>
          <w:rFonts w:cstheme="minorHAnsi"/>
          <w:sz w:val="32"/>
          <w:szCs w:val="32"/>
        </w:rPr>
      </w:pPr>
    </w:p>
    <w:p w14:paraId="1626B2F0" w14:textId="77777777" w:rsidR="00BA0077" w:rsidRPr="004D0AEB" w:rsidRDefault="00BA0077" w:rsidP="00BD069B">
      <w:pPr>
        <w:spacing w:line="240" w:lineRule="auto"/>
        <w:jc w:val="center"/>
        <w:rPr>
          <w:rFonts w:cstheme="minorHAnsi"/>
          <w:sz w:val="32"/>
          <w:szCs w:val="32"/>
        </w:rPr>
      </w:pPr>
    </w:p>
    <w:p w14:paraId="1E1EC368" w14:textId="05664B27" w:rsidR="00BA0077" w:rsidRPr="004D0AEB" w:rsidRDefault="00BA0077" w:rsidP="00BD069B">
      <w:pPr>
        <w:spacing w:line="240" w:lineRule="auto"/>
        <w:jc w:val="center"/>
        <w:rPr>
          <w:rFonts w:cstheme="minorHAnsi"/>
          <w:b/>
          <w:bCs/>
          <w:sz w:val="32"/>
          <w:szCs w:val="32"/>
        </w:rPr>
      </w:pPr>
      <w:r w:rsidRPr="004D0AEB">
        <w:rPr>
          <w:rFonts w:cstheme="minorHAnsi"/>
          <w:b/>
          <w:bCs/>
          <w:sz w:val="32"/>
          <w:szCs w:val="32"/>
        </w:rPr>
        <w:t>Rhiannon Fay Welsh</w:t>
      </w:r>
      <w:r w:rsidR="00D82B80" w:rsidRPr="004D0AEB">
        <w:rPr>
          <w:rFonts w:cstheme="minorHAnsi"/>
          <w:b/>
          <w:bCs/>
          <w:sz w:val="32"/>
          <w:szCs w:val="32"/>
        </w:rPr>
        <w:br/>
        <w:t>1804218</w:t>
      </w:r>
    </w:p>
    <w:p w14:paraId="5D240446" w14:textId="49C4C739" w:rsidR="00BA0077" w:rsidRPr="004D0AEB" w:rsidRDefault="00BA0077" w:rsidP="00BD069B">
      <w:pPr>
        <w:spacing w:line="240" w:lineRule="auto"/>
        <w:jc w:val="center"/>
        <w:rPr>
          <w:rFonts w:cstheme="minorHAnsi"/>
          <w:b/>
          <w:bCs/>
          <w:sz w:val="32"/>
          <w:szCs w:val="32"/>
        </w:rPr>
      </w:pPr>
    </w:p>
    <w:p w14:paraId="1D1BAEB9" w14:textId="4A0AC0F4" w:rsidR="00BA0077" w:rsidRPr="004D0AEB" w:rsidRDefault="00BA0077" w:rsidP="00BD069B">
      <w:pPr>
        <w:spacing w:line="240" w:lineRule="auto"/>
        <w:jc w:val="center"/>
        <w:rPr>
          <w:rFonts w:cstheme="minorHAnsi"/>
          <w:b/>
          <w:bCs/>
          <w:sz w:val="32"/>
          <w:szCs w:val="32"/>
        </w:rPr>
      </w:pPr>
    </w:p>
    <w:p w14:paraId="19993100" w14:textId="650F30C8" w:rsidR="00BA0077" w:rsidRPr="004D0AEB" w:rsidRDefault="00BA0077" w:rsidP="00BD069B">
      <w:pPr>
        <w:spacing w:line="240" w:lineRule="auto"/>
        <w:jc w:val="center"/>
        <w:rPr>
          <w:rFonts w:cstheme="minorHAnsi"/>
          <w:b/>
          <w:bCs/>
          <w:sz w:val="32"/>
          <w:szCs w:val="32"/>
        </w:rPr>
      </w:pPr>
      <w:r w:rsidRPr="004D0AEB">
        <w:rPr>
          <w:rFonts w:cstheme="minorHAnsi"/>
          <w:b/>
          <w:bCs/>
          <w:sz w:val="32"/>
          <w:szCs w:val="32"/>
        </w:rPr>
        <w:t>MA Study of Religions</w:t>
      </w:r>
    </w:p>
    <w:p w14:paraId="12CF43B2" w14:textId="3464D1BE" w:rsidR="00BA0077" w:rsidRPr="004D0AEB" w:rsidRDefault="00BA0077" w:rsidP="00BD069B">
      <w:pPr>
        <w:spacing w:line="240" w:lineRule="auto"/>
        <w:jc w:val="center"/>
        <w:rPr>
          <w:rFonts w:cstheme="minorHAnsi"/>
          <w:b/>
          <w:bCs/>
          <w:sz w:val="28"/>
          <w:szCs w:val="28"/>
        </w:rPr>
      </w:pPr>
    </w:p>
    <w:p w14:paraId="1ACF23D8" w14:textId="179EC354" w:rsidR="00BA0077" w:rsidRPr="004D0AEB" w:rsidRDefault="00BA0077" w:rsidP="00BD069B">
      <w:pPr>
        <w:spacing w:line="240" w:lineRule="auto"/>
        <w:jc w:val="center"/>
        <w:rPr>
          <w:rFonts w:cstheme="minorHAnsi"/>
          <w:b/>
          <w:bCs/>
          <w:sz w:val="28"/>
          <w:szCs w:val="28"/>
        </w:rPr>
      </w:pPr>
    </w:p>
    <w:p w14:paraId="40B82749" w14:textId="63C9997C" w:rsidR="00BA0077" w:rsidRPr="004D0AEB" w:rsidRDefault="00BA0077" w:rsidP="00BD069B">
      <w:pPr>
        <w:spacing w:line="240" w:lineRule="auto"/>
        <w:jc w:val="center"/>
        <w:rPr>
          <w:rFonts w:cstheme="minorHAnsi"/>
          <w:sz w:val="28"/>
          <w:szCs w:val="28"/>
        </w:rPr>
      </w:pPr>
      <w:r w:rsidRPr="004D0AEB">
        <w:rPr>
          <w:rFonts w:cstheme="minorHAnsi"/>
          <w:sz w:val="28"/>
          <w:szCs w:val="28"/>
        </w:rPr>
        <w:t>This dissertation is being submitted in partial fulfilment of the requirement for the degree of MA</w:t>
      </w:r>
    </w:p>
    <w:p w14:paraId="48120323" w14:textId="760F2E6D" w:rsidR="00BA0077" w:rsidRPr="004D0AEB" w:rsidRDefault="00BA0077" w:rsidP="00BD069B">
      <w:pPr>
        <w:spacing w:line="240" w:lineRule="auto"/>
        <w:jc w:val="center"/>
        <w:rPr>
          <w:rFonts w:cstheme="minorHAnsi"/>
          <w:sz w:val="28"/>
          <w:szCs w:val="28"/>
        </w:rPr>
      </w:pPr>
    </w:p>
    <w:p w14:paraId="3F750E33" w14:textId="08AE8516" w:rsidR="00BA0077" w:rsidRPr="004D0AEB" w:rsidRDefault="00BA0077" w:rsidP="00BD069B">
      <w:pPr>
        <w:spacing w:line="240" w:lineRule="auto"/>
        <w:jc w:val="center"/>
        <w:rPr>
          <w:rFonts w:cstheme="minorHAnsi"/>
          <w:sz w:val="28"/>
          <w:szCs w:val="28"/>
        </w:rPr>
      </w:pPr>
    </w:p>
    <w:p w14:paraId="2A344634" w14:textId="45BBA5C9" w:rsidR="00BA0077" w:rsidRPr="004D0AEB" w:rsidRDefault="00BA0077" w:rsidP="00BD069B">
      <w:pPr>
        <w:spacing w:line="240" w:lineRule="auto"/>
        <w:jc w:val="center"/>
        <w:rPr>
          <w:rFonts w:cstheme="minorHAnsi"/>
          <w:b/>
          <w:bCs/>
          <w:sz w:val="32"/>
          <w:szCs w:val="32"/>
        </w:rPr>
      </w:pPr>
      <w:r w:rsidRPr="004D0AEB">
        <w:rPr>
          <w:rFonts w:cstheme="minorHAnsi"/>
          <w:b/>
          <w:bCs/>
          <w:sz w:val="32"/>
          <w:szCs w:val="32"/>
        </w:rPr>
        <w:t>2020</w:t>
      </w:r>
    </w:p>
    <w:p w14:paraId="4AD3F8B2" w14:textId="785EB50B" w:rsidR="00BA0077" w:rsidRPr="004D0AEB" w:rsidRDefault="00BA0077" w:rsidP="00BD069B">
      <w:pPr>
        <w:spacing w:line="240" w:lineRule="auto"/>
        <w:jc w:val="center"/>
        <w:rPr>
          <w:rFonts w:cstheme="minorHAnsi"/>
          <w:b/>
          <w:bCs/>
          <w:sz w:val="32"/>
          <w:szCs w:val="32"/>
        </w:rPr>
      </w:pPr>
    </w:p>
    <w:p w14:paraId="6454525E" w14:textId="11E8C53B" w:rsidR="00BA0077" w:rsidRPr="004D0AEB" w:rsidRDefault="00BA0077" w:rsidP="00BD069B">
      <w:pPr>
        <w:spacing w:line="240" w:lineRule="auto"/>
        <w:jc w:val="center"/>
        <w:rPr>
          <w:rFonts w:cstheme="minorHAnsi"/>
          <w:b/>
          <w:bCs/>
          <w:sz w:val="32"/>
          <w:szCs w:val="32"/>
        </w:rPr>
      </w:pPr>
    </w:p>
    <w:p w14:paraId="29E31D2F" w14:textId="366D7222" w:rsidR="00BA0077" w:rsidRPr="004D0AEB" w:rsidRDefault="00BA0077" w:rsidP="00BD069B">
      <w:pPr>
        <w:spacing w:line="240" w:lineRule="auto"/>
        <w:jc w:val="center"/>
        <w:rPr>
          <w:rFonts w:cstheme="minorHAnsi"/>
          <w:b/>
          <w:bCs/>
          <w:sz w:val="32"/>
          <w:szCs w:val="32"/>
        </w:rPr>
      </w:pPr>
      <w:r w:rsidRPr="004D0AEB">
        <w:rPr>
          <w:rFonts w:cstheme="minorHAnsi"/>
          <w:b/>
          <w:bCs/>
          <w:sz w:val="32"/>
          <w:szCs w:val="32"/>
        </w:rPr>
        <w:t>UNIVERSITY OF WALES TRINITY SAINT DAVID</w:t>
      </w:r>
    </w:p>
    <w:p w14:paraId="6BBB4D77" w14:textId="09FD943F" w:rsidR="00BA0077" w:rsidRPr="004D0AEB" w:rsidRDefault="00BA0077" w:rsidP="00BD069B">
      <w:pPr>
        <w:spacing w:line="240" w:lineRule="auto"/>
        <w:rPr>
          <w:rFonts w:cstheme="minorHAnsi"/>
          <w:sz w:val="28"/>
          <w:szCs w:val="28"/>
        </w:rPr>
      </w:pPr>
    </w:p>
    <w:p w14:paraId="602CD8C7" w14:textId="3385245C" w:rsidR="00434D84" w:rsidRPr="004D0AEB" w:rsidRDefault="00434D84" w:rsidP="00BD069B">
      <w:pPr>
        <w:spacing w:line="240" w:lineRule="auto"/>
        <w:rPr>
          <w:rFonts w:cstheme="minorHAnsi"/>
          <w:sz w:val="28"/>
          <w:szCs w:val="28"/>
        </w:rPr>
      </w:pPr>
    </w:p>
    <w:p w14:paraId="15D09DA3" w14:textId="7F3C433D" w:rsidR="00434D84" w:rsidRPr="004D0AEB" w:rsidRDefault="00434D84" w:rsidP="00BD069B">
      <w:pPr>
        <w:spacing w:line="240" w:lineRule="auto"/>
        <w:rPr>
          <w:rFonts w:cstheme="minorHAnsi"/>
          <w:sz w:val="28"/>
          <w:szCs w:val="28"/>
        </w:rPr>
      </w:pPr>
    </w:p>
    <w:p w14:paraId="1AB302A4" w14:textId="77777777" w:rsidR="00434D84" w:rsidRPr="004D0AEB" w:rsidRDefault="00434D84" w:rsidP="00BD069B">
      <w:pPr>
        <w:spacing w:after="120" w:line="240" w:lineRule="auto"/>
        <w:ind w:left="720"/>
        <w:rPr>
          <w:rFonts w:cstheme="minorHAnsi"/>
        </w:rPr>
      </w:pPr>
      <w:r w:rsidRPr="004D0AEB">
        <w:rPr>
          <w:rFonts w:cstheme="minorHAnsi"/>
          <w:noProof/>
        </w:rPr>
        <w:lastRenderedPageBreak/>
        <w:drawing>
          <wp:inline distT="0" distB="0" distL="0" distR="0" wp14:anchorId="3D598AD1" wp14:editId="2F2F39D6">
            <wp:extent cx="1857375" cy="762000"/>
            <wp:effectExtent l="0" t="0" r="0" b="0"/>
            <wp:docPr id="3" name="Picture 3"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57375" cy="762000"/>
                    </a:xfrm>
                    <a:prstGeom prst="rect">
                      <a:avLst/>
                    </a:prstGeom>
                    <a:noFill/>
                    <a:ln>
                      <a:noFill/>
                    </a:ln>
                  </pic:spPr>
                </pic:pic>
              </a:graphicData>
            </a:graphic>
          </wp:inline>
        </w:drawing>
      </w:r>
    </w:p>
    <w:p w14:paraId="60790912" w14:textId="77777777" w:rsidR="00434D84" w:rsidRPr="00BD069B" w:rsidRDefault="00434D84" w:rsidP="00BD069B">
      <w:pPr>
        <w:pBdr>
          <w:top w:val="single" w:sz="4" w:space="1" w:color="auto"/>
          <w:left w:val="single" w:sz="4" w:space="4" w:color="auto"/>
          <w:bottom w:val="single" w:sz="4" w:space="1" w:color="auto"/>
          <w:right w:val="single" w:sz="4" w:space="4" w:color="auto"/>
        </w:pBdr>
        <w:spacing w:after="120" w:line="240" w:lineRule="auto"/>
        <w:jc w:val="center"/>
        <w:rPr>
          <w:rFonts w:cstheme="minorHAnsi"/>
          <w:sz w:val="24"/>
          <w:szCs w:val="24"/>
        </w:rPr>
      </w:pPr>
      <w:r w:rsidRPr="00BD069B">
        <w:rPr>
          <w:rFonts w:cstheme="minorHAnsi"/>
          <w:b/>
          <w:sz w:val="24"/>
          <w:szCs w:val="24"/>
        </w:rPr>
        <w:t>Master’s Degrees by Examination and Dissertation</w:t>
      </w:r>
    </w:p>
    <w:p w14:paraId="1E5DD9EC" w14:textId="77777777" w:rsidR="00434D84" w:rsidRPr="00BD069B" w:rsidRDefault="00434D84" w:rsidP="00BD069B">
      <w:pPr>
        <w:pBdr>
          <w:top w:val="single" w:sz="4" w:space="1" w:color="auto"/>
          <w:left w:val="single" w:sz="4" w:space="4" w:color="auto"/>
          <w:bottom w:val="single" w:sz="4" w:space="1" w:color="auto"/>
          <w:right w:val="single" w:sz="4" w:space="4" w:color="auto"/>
        </w:pBdr>
        <w:spacing w:after="120" w:line="240" w:lineRule="auto"/>
        <w:jc w:val="center"/>
        <w:rPr>
          <w:rFonts w:cstheme="minorHAnsi"/>
          <w:sz w:val="24"/>
          <w:szCs w:val="24"/>
        </w:rPr>
      </w:pPr>
      <w:r w:rsidRPr="00BD069B">
        <w:rPr>
          <w:rFonts w:cstheme="minorHAnsi"/>
          <w:b/>
          <w:sz w:val="24"/>
          <w:szCs w:val="24"/>
        </w:rPr>
        <w:t>Declaration Form</w:t>
      </w:r>
    </w:p>
    <w:p w14:paraId="117DF92C" w14:textId="77777777" w:rsidR="00434D84" w:rsidRPr="00BD069B" w:rsidRDefault="00434D84" w:rsidP="00BD069B">
      <w:pPr>
        <w:pBdr>
          <w:top w:val="single" w:sz="4" w:space="1" w:color="auto"/>
          <w:left w:val="single" w:sz="4" w:space="4" w:color="auto"/>
          <w:bottom w:val="single" w:sz="4" w:space="1" w:color="auto"/>
          <w:right w:val="single" w:sz="4" w:space="4" w:color="auto"/>
        </w:pBdr>
        <w:spacing w:after="120" w:line="240" w:lineRule="auto"/>
        <w:rPr>
          <w:rFonts w:cstheme="minorHAnsi"/>
          <w:sz w:val="24"/>
          <w:szCs w:val="24"/>
        </w:rPr>
      </w:pPr>
      <w:r w:rsidRPr="00BD069B">
        <w:rPr>
          <w:rFonts w:cstheme="minorHAnsi"/>
          <w:sz w:val="24"/>
          <w:szCs w:val="24"/>
        </w:rPr>
        <w:t>1. This work has not previously been accepted in substance for any degree and is not being concurrently submitted in candidature for any degree.</w:t>
      </w:r>
    </w:p>
    <w:p w14:paraId="28CCB692" w14:textId="77777777" w:rsidR="00434D84" w:rsidRPr="00BD069B" w:rsidRDefault="00434D84" w:rsidP="00BD069B">
      <w:pPr>
        <w:pBdr>
          <w:top w:val="single" w:sz="4" w:space="1" w:color="auto"/>
          <w:left w:val="single" w:sz="4" w:space="4" w:color="auto"/>
          <w:bottom w:val="single" w:sz="4" w:space="1" w:color="auto"/>
          <w:right w:val="single" w:sz="4" w:space="4" w:color="auto"/>
        </w:pBdr>
        <w:spacing w:after="120" w:line="240" w:lineRule="auto"/>
        <w:rPr>
          <w:rFonts w:cstheme="minorHAnsi"/>
          <w:sz w:val="24"/>
          <w:szCs w:val="24"/>
        </w:rPr>
      </w:pPr>
      <w:r w:rsidRPr="00BD069B">
        <w:rPr>
          <w:rFonts w:cstheme="minorHAnsi"/>
          <w:sz w:val="24"/>
          <w:szCs w:val="24"/>
        </w:rPr>
        <w:t>Name..…Rhiannon…Welsh.………………………………………………………………………...</w:t>
      </w:r>
    </w:p>
    <w:p w14:paraId="5084D19C" w14:textId="77777777" w:rsidR="00434D84" w:rsidRPr="00BD069B" w:rsidRDefault="00434D84" w:rsidP="00BD069B">
      <w:pPr>
        <w:pBdr>
          <w:top w:val="single" w:sz="4" w:space="1" w:color="auto"/>
          <w:left w:val="single" w:sz="4" w:space="4" w:color="auto"/>
          <w:bottom w:val="single" w:sz="4" w:space="1" w:color="auto"/>
          <w:right w:val="single" w:sz="4" w:space="4" w:color="auto"/>
        </w:pBdr>
        <w:spacing w:after="120" w:line="240" w:lineRule="auto"/>
        <w:rPr>
          <w:rFonts w:cstheme="minorHAnsi"/>
          <w:sz w:val="24"/>
          <w:szCs w:val="24"/>
        </w:rPr>
      </w:pPr>
      <w:r w:rsidRPr="00BD069B">
        <w:rPr>
          <w:rFonts w:cstheme="minorHAnsi"/>
          <w:sz w:val="24"/>
          <w:szCs w:val="24"/>
        </w:rPr>
        <w:t>Date …12/05/2020……………………………………………………………………………...</w:t>
      </w:r>
    </w:p>
    <w:p w14:paraId="126A2DF5" w14:textId="77777777" w:rsidR="00434D84" w:rsidRPr="00BD069B" w:rsidRDefault="00434D84" w:rsidP="00BD069B">
      <w:pPr>
        <w:pBdr>
          <w:top w:val="single" w:sz="4" w:space="1" w:color="auto"/>
          <w:left w:val="single" w:sz="4" w:space="4" w:color="auto"/>
          <w:bottom w:val="single" w:sz="4" w:space="1" w:color="auto"/>
          <w:right w:val="single" w:sz="4" w:space="4" w:color="auto"/>
        </w:pBdr>
        <w:spacing w:after="120" w:line="240" w:lineRule="auto"/>
        <w:rPr>
          <w:rFonts w:cstheme="minorHAnsi"/>
          <w:sz w:val="24"/>
          <w:szCs w:val="24"/>
        </w:rPr>
      </w:pPr>
    </w:p>
    <w:p w14:paraId="0E71D325" w14:textId="77777777" w:rsidR="00434D84" w:rsidRPr="00BD069B" w:rsidRDefault="00434D84" w:rsidP="00BD069B">
      <w:pPr>
        <w:pBdr>
          <w:top w:val="single" w:sz="4" w:space="1" w:color="auto"/>
          <w:left w:val="single" w:sz="4" w:space="4" w:color="auto"/>
          <w:bottom w:val="single" w:sz="4" w:space="1" w:color="auto"/>
          <w:right w:val="single" w:sz="4" w:space="4" w:color="auto"/>
        </w:pBdr>
        <w:spacing w:after="120" w:line="240" w:lineRule="auto"/>
        <w:rPr>
          <w:rFonts w:cstheme="minorHAnsi"/>
          <w:sz w:val="24"/>
          <w:szCs w:val="24"/>
        </w:rPr>
      </w:pPr>
      <w:r w:rsidRPr="00BD069B">
        <w:rPr>
          <w:rFonts w:cstheme="minorHAnsi"/>
          <w:sz w:val="24"/>
          <w:szCs w:val="24"/>
        </w:rPr>
        <w:t>2. This dissertation is being submitted in partial fulfilment of the requirements for the degree of ………………………………………………………………..................................</w:t>
      </w:r>
    </w:p>
    <w:p w14:paraId="3FBDDC54" w14:textId="77777777" w:rsidR="00434D84" w:rsidRPr="00BD069B" w:rsidRDefault="00434D84" w:rsidP="00BD069B">
      <w:pPr>
        <w:pBdr>
          <w:top w:val="single" w:sz="4" w:space="1" w:color="auto"/>
          <w:left w:val="single" w:sz="4" w:space="4" w:color="auto"/>
          <w:bottom w:val="single" w:sz="4" w:space="1" w:color="auto"/>
          <w:right w:val="single" w:sz="4" w:space="4" w:color="auto"/>
        </w:pBdr>
        <w:spacing w:after="120" w:line="240" w:lineRule="auto"/>
        <w:rPr>
          <w:rFonts w:cstheme="minorHAnsi"/>
          <w:sz w:val="24"/>
          <w:szCs w:val="24"/>
        </w:rPr>
      </w:pPr>
      <w:r w:rsidRPr="00BD069B">
        <w:rPr>
          <w:rFonts w:cstheme="minorHAnsi"/>
          <w:sz w:val="24"/>
          <w:szCs w:val="24"/>
        </w:rPr>
        <w:t>Name:  MA Study of Religions………………………………………………………………………….</w:t>
      </w:r>
    </w:p>
    <w:p w14:paraId="71BA4A98" w14:textId="77777777" w:rsidR="00434D84" w:rsidRPr="00BD069B" w:rsidRDefault="00434D84" w:rsidP="00BD069B">
      <w:pPr>
        <w:pBdr>
          <w:top w:val="single" w:sz="4" w:space="1" w:color="auto"/>
          <w:left w:val="single" w:sz="4" w:space="4" w:color="auto"/>
          <w:bottom w:val="single" w:sz="4" w:space="1" w:color="auto"/>
          <w:right w:val="single" w:sz="4" w:space="4" w:color="auto"/>
        </w:pBdr>
        <w:spacing w:after="120" w:line="240" w:lineRule="auto"/>
        <w:rPr>
          <w:rFonts w:cstheme="minorHAnsi"/>
          <w:sz w:val="24"/>
          <w:szCs w:val="24"/>
        </w:rPr>
      </w:pPr>
      <w:r w:rsidRPr="00BD069B">
        <w:rPr>
          <w:rFonts w:cstheme="minorHAnsi"/>
          <w:sz w:val="24"/>
          <w:szCs w:val="24"/>
        </w:rPr>
        <w:t>Date  12/05/2020……………………………………………………….…………..…………...</w:t>
      </w:r>
    </w:p>
    <w:p w14:paraId="12CC9F62" w14:textId="77777777" w:rsidR="00434D84" w:rsidRPr="00BD069B" w:rsidRDefault="00434D84" w:rsidP="00BD069B">
      <w:pPr>
        <w:pBdr>
          <w:top w:val="single" w:sz="4" w:space="1" w:color="auto"/>
          <w:left w:val="single" w:sz="4" w:space="4" w:color="auto"/>
          <w:bottom w:val="single" w:sz="4" w:space="1" w:color="auto"/>
          <w:right w:val="single" w:sz="4" w:space="4" w:color="auto"/>
        </w:pBdr>
        <w:spacing w:after="120" w:line="240" w:lineRule="auto"/>
        <w:rPr>
          <w:rFonts w:cstheme="minorHAnsi"/>
          <w:sz w:val="24"/>
          <w:szCs w:val="24"/>
        </w:rPr>
      </w:pPr>
    </w:p>
    <w:p w14:paraId="4F0B374F" w14:textId="77777777" w:rsidR="00434D84" w:rsidRPr="00BD069B" w:rsidRDefault="00434D84" w:rsidP="00BD069B">
      <w:pPr>
        <w:pBdr>
          <w:top w:val="single" w:sz="4" w:space="1" w:color="auto"/>
          <w:left w:val="single" w:sz="4" w:space="4" w:color="auto"/>
          <w:bottom w:val="single" w:sz="4" w:space="1" w:color="auto"/>
          <w:right w:val="single" w:sz="4" w:space="4" w:color="auto"/>
        </w:pBdr>
        <w:spacing w:after="120" w:line="240" w:lineRule="auto"/>
        <w:rPr>
          <w:rFonts w:cstheme="minorHAnsi"/>
          <w:sz w:val="24"/>
          <w:szCs w:val="24"/>
        </w:rPr>
      </w:pPr>
      <w:r w:rsidRPr="00BD069B">
        <w:rPr>
          <w:rFonts w:cstheme="minorHAnsi"/>
          <w:sz w:val="24"/>
          <w:szCs w:val="24"/>
        </w:rPr>
        <w:t>3. This dissertation is the result of my own independent work/investigation, except where otherwise stated.</w:t>
      </w:r>
    </w:p>
    <w:p w14:paraId="7C55C130" w14:textId="77777777" w:rsidR="00434D84" w:rsidRPr="00BD069B" w:rsidRDefault="00434D84" w:rsidP="00BD069B">
      <w:pPr>
        <w:pBdr>
          <w:top w:val="single" w:sz="4" w:space="1" w:color="auto"/>
          <w:left w:val="single" w:sz="4" w:space="4" w:color="auto"/>
          <w:bottom w:val="single" w:sz="4" w:space="1" w:color="auto"/>
          <w:right w:val="single" w:sz="4" w:space="4" w:color="auto"/>
        </w:pBdr>
        <w:spacing w:after="120" w:line="240" w:lineRule="auto"/>
        <w:rPr>
          <w:rFonts w:cstheme="minorHAnsi"/>
          <w:sz w:val="24"/>
          <w:szCs w:val="24"/>
        </w:rPr>
      </w:pPr>
      <w:r w:rsidRPr="00BD069B">
        <w:rPr>
          <w:rFonts w:cstheme="minorHAnsi"/>
          <w:sz w:val="24"/>
          <w:szCs w:val="24"/>
        </w:rPr>
        <w:t xml:space="preserve">Other sources are acknowledged by footnotes giving explicit references. </w:t>
      </w:r>
    </w:p>
    <w:p w14:paraId="00E1596F" w14:textId="77777777" w:rsidR="00434D84" w:rsidRPr="00BD069B" w:rsidRDefault="00434D84" w:rsidP="00BD069B">
      <w:pPr>
        <w:pBdr>
          <w:top w:val="single" w:sz="4" w:space="1" w:color="auto"/>
          <w:left w:val="single" w:sz="4" w:space="4" w:color="auto"/>
          <w:bottom w:val="single" w:sz="4" w:space="1" w:color="auto"/>
          <w:right w:val="single" w:sz="4" w:space="4" w:color="auto"/>
        </w:pBdr>
        <w:spacing w:after="120" w:line="240" w:lineRule="auto"/>
        <w:rPr>
          <w:rFonts w:cstheme="minorHAnsi"/>
          <w:sz w:val="24"/>
          <w:szCs w:val="24"/>
        </w:rPr>
      </w:pPr>
      <w:r w:rsidRPr="00BD069B">
        <w:rPr>
          <w:rFonts w:cstheme="minorHAnsi"/>
          <w:sz w:val="24"/>
          <w:szCs w:val="24"/>
        </w:rPr>
        <w:t>A bibliography is appended.</w:t>
      </w:r>
    </w:p>
    <w:p w14:paraId="6030A8B3" w14:textId="77777777" w:rsidR="00434D84" w:rsidRPr="00BD069B" w:rsidRDefault="00434D84" w:rsidP="00BD069B">
      <w:pPr>
        <w:pBdr>
          <w:top w:val="single" w:sz="4" w:space="1" w:color="auto"/>
          <w:left w:val="single" w:sz="4" w:space="4" w:color="auto"/>
          <w:bottom w:val="single" w:sz="4" w:space="1" w:color="auto"/>
          <w:right w:val="single" w:sz="4" w:space="4" w:color="auto"/>
        </w:pBdr>
        <w:spacing w:after="120" w:line="240" w:lineRule="auto"/>
        <w:rPr>
          <w:rFonts w:cstheme="minorHAnsi"/>
          <w:sz w:val="24"/>
          <w:szCs w:val="24"/>
        </w:rPr>
      </w:pPr>
      <w:r w:rsidRPr="00BD069B">
        <w:rPr>
          <w:rFonts w:cstheme="minorHAnsi"/>
          <w:sz w:val="24"/>
          <w:szCs w:val="24"/>
        </w:rPr>
        <w:t>Name………Rhiannon Welsh……:  ……………………………………………….……………….</w:t>
      </w:r>
    </w:p>
    <w:p w14:paraId="45C4CFC4" w14:textId="77777777" w:rsidR="00434D84" w:rsidRPr="00BD069B" w:rsidRDefault="00434D84" w:rsidP="00BD069B">
      <w:pPr>
        <w:pBdr>
          <w:top w:val="single" w:sz="4" w:space="1" w:color="auto"/>
          <w:left w:val="single" w:sz="4" w:space="4" w:color="auto"/>
          <w:bottom w:val="single" w:sz="4" w:space="1" w:color="auto"/>
          <w:right w:val="single" w:sz="4" w:space="4" w:color="auto"/>
        </w:pBdr>
        <w:spacing w:after="120" w:line="240" w:lineRule="auto"/>
        <w:rPr>
          <w:rFonts w:cstheme="minorHAnsi"/>
          <w:sz w:val="24"/>
          <w:szCs w:val="24"/>
        </w:rPr>
      </w:pPr>
      <w:r w:rsidRPr="00BD069B">
        <w:rPr>
          <w:rFonts w:cstheme="minorHAnsi"/>
          <w:sz w:val="24"/>
          <w:szCs w:val="24"/>
        </w:rPr>
        <w:t>Date:  ……12/05/2020………………………………………………...……………………….</w:t>
      </w:r>
    </w:p>
    <w:p w14:paraId="2A63775C" w14:textId="77777777" w:rsidR="00434D84" w:rsidRPr="00BD069B" w:rsidRDefault="00434D84" w:rsidP="00BD069B">
      <w:pPr>
        <w:pBdr>
          <w:top w:val="single" w:sz="4" w:space="1" w:color="auto"/>
          <w:left w:val="single" w:sz="4" w:space="4" w:color="auto"/>
          <w:bottom w:val="single" w:sz="4" w:space="1" w:color="auto"/>
          <w:right w:val="single" w:sz="4" w:space="4" w:color="auto"/>
        </w:pBdr>
        <w:spacing w:after="120" w:line="240" w:lineRule="auto"/>
        <w:rPr>
          <w:rFonts w:cstheme="minorHAnsi"/>
          <w:sz w:val="24"/>
          <w:szCs w:val="24"/>
        </w:rPr>
      </w:pPr>
      <w:r w:rsidRPr="00BD069B">
        <w:rPr>
          <w:rFonts w:cstheme="minorHAnsi"/>
          <w:sz w:val="24"/>
          <w:szCs w:val="24"/>
        </w:rPr>
        <w:t xml:space="preserve">  </w:t>
      </w:r>
    </w:p>
    <w:p w14:paraId="44E6C024" w14:textId="77777777" w:rsidR="00434D84" w:rsidRPr="00BD069B" w:rsidRDefault="00434D84" w:rsidP="00BD069B">
      <w:pPr>
        <w:pBdr>
          <w:top w:val="single" w:sz="4" w:space="1" w:color="auto"/>
          <w:left w:val="single" w:sz="4" w:space="4" w:color="auto"/>
          <w:bottom w:val="single" w:sz="4" w:space="1" w:color="auto"/>
          <w:right w:val="single" w:sz="4" w:space="4" w:color="auto"/>
        </w:pBdr>
        <w:spacing w:after="120" w:line="240" w:lineRule="auto"/>
        <w:rPr>
          <w:rFonts w:cstheme="minorHAnsi"/>
          <w:sz w:val="24"/>
          <w:szCs w:val="24"/>
        </w:rPr>
      </w:pPr>
      <w:r w:rsidRPr="00BD069B">
        <w:rPr>
          <w:rFonts w:cstheme="minorHAnsi"/>
          <w:sz w:val="24"/>
          <w:szCs w:val="24"/>
        </w:rPr>
        <w:t xml:space="preserve">4. I hereby give consent for my dissertation, if accepted, to be available for photocopying, inter- library loan, and for deposit in the University’s digital repository </w:t>
      </w:r>
    </w:p>
    <w:p w14:paraId="6365F600" w14:textId="77777777" w:rsidR="00434D84" w:rsidRPr="00BD069B" w:rsidRDefault="00434D84" w:rsidP="00BD069B">
      <w:pPr>
        <w:pBdr>
          <w:top w:val="single" w:sz="4" w:space="1" w:color="auto"/>
          <w:left w:val="single" w:sz="4" w:space="4" w:color="auto"/>
          <w:bottom w:val="single" w:sz="4" w:space="1" w:color="auto"/>
          <w:right w:val="single" w:sz="4" w:space="4" w:color="auto"/>
        </w:pBdr>
        <w:spacing w:after="120" w:line="240" w:lineRule="auto"/>
        <w:rPr>
          <w:rFonts w:cstheme="minorHAnsi"/>
          <w:sz w:val="24"/>
          <w:szCs w:val="24"/>
        </w:rPr>
      </w:pPr>
      <w:r w:rsidRPr="00BD069B">
        <w:rPr>
          <w:rFonts w:cstheme="minorHAnsi"/>
          <w:sz w:val="24"/>
          <w:szCs w:val="24"/>
        </w:rPr>
        <w:t>Name…Rhiannon Welsh…………………………………………………………………….</w:t>
      </w:r>
    </w:p>
    <w:p w14:paraId="599B3E6E" w14:textId="77777777" w:rsidR="00434D84" w:rsidRPr="00BD069B" w:rsidRDefault="00434D84" w:rsidP="00BD069B">
      <w:pPr>
        <w:pBdr>
          <w:top w:val="single" w:sz="4" w:space="1" w:color="auto"/>
          <w:left w:val="single" w:sz="4" w:space="4" w:color="auto"/>
          <w:bottom w:val="single" w:sz="4" w:space="1" w:color="auto"/>
          <w:right w:val="single" w:sz="4" w:space="4" w:color="auto"/>
        </w:pBdr>
        <w:spacing w:after="120" w:line="240" w:lineRule="auto"/>
        <w:rPr>
          <w:rFonts w:cstheme="minorHAnsi"/>
          <w:sz w:val="24"/>
          <w:szCs w:val="24"/>
        </w:rPr>
      </w:pPr>
      <w:r w:rsidRPr="00BD069B">
        <w:rPr>
          <w:rFonts w:cstheme="minorHAnsi"/>
          <w:sz w:val="24"/>
          <w:szCs w:val="24"/>
        </w:rPr>
        <w:t>Date…12/05/2020……………………………………………….……………………………..</w:t>
      </w:r>
    </w:p>
    <w:p w14:paraId="33B6F966" w14:textId="77777777" w:rsidR="00434D84" w:rsidRPr="00BD069B" w:rsidRDefault="00434D84" w:rsidP="00BD069B">
      <w:pPr>
        <w:pBdr>
          <w:top w:val="single" w:sz="4" w:space="1" w:color="auto"/>
          <w:left w:val="single" w:sz="4" w:space="4" w:color="auto"/>
          <w:bottom w:val="single" w:sz="4" w:space="1" w:color="auto"/>
          <w:right w:val="single" w:sz="4" w:space="4" w:color="auto"/>
        </w:pBdr>
        <w:spacing w:after="120" w:line="240" w:lineRule="auto"/>
        <w:rPr>
          <w:rFonts w:cstheme="minorHAnsi"/>
          <w:sz w:val="24"/>
          <w:szCs w:val="24"/>
        </w:rPr>
      </w:pPr>
      <w:r w:rsidRPr="00BD069B">
        <w:rPr>
          <w:rFonts w:cstheme="minorHAnsi"/>
          <w:b/>
          <w:sz w:val="24"/>
          <w:szCs w:val="24"/>
        </w:rPr>
        <w:t>Supervisor’s Declaration</w:t>
      </w:r>
      <w:r w:rsidRPr="00BD069B">
        <w:rPr>
          <w:rFonts w:cstheme="minorHAnsi"/>
          <w:sz w:val="24"/>
          <w:szCs w:val="24"/>
        </w:rPr>
        <w:t>.</w:t>
      </w:r>
    </w:p>
    <w:p w14:paraId="0D8A8610" w14:textId="77777777" w:rsidR="00434D84" w:rsidRPr="00BD069B" w:rsidRDefault="00434D84" w:rsidP="00BD069B">
      <w:pPr>
        <w:pBdr>
          <w:top w:val="single" w:sz="4" w:space="1" w:color="auto"/>
          <w:left w:val="single" w:sz="4" w:space="4" w:color="auto"/>
          <w:bottom w:val="single" w:sz="4" w:space="1" w:color="auto"/>
          <w:right w:val="single" w:sz="4" w:space="4" w:color="auto"/>
        </w:pBdr>
        <w:spacing w:after="120" w:line="240" w:lineRule="auto"/>
        <w:rPr>
          <w:rFonts w:cstheme="minorHAnsi"/>
          <w:sz w:val="24"/>
          <w:szCs w:val="24"/>
        </w:rPr>
      </w:pPr>
      <w:r w:rsidRPr="00BD069B">
        <w:rPr>
          <w:rFonts w:cstheme="minorHAnsi"/>
          <w:sz w:val="24"/>
          <w:szCs w:val="24"/>
        </w:rPr>
        <w:t>I am satisfied that this work is the result of the student’s own efforts.</w:t>
      </w:r>
    </w:p>
    <w:p w14:paraId="1645DCA5" w14:textId="77777777" w:rsidR="00434D84" w:rsidRPr="00BD069B" w:rsidRDefault="00434D84" w:rsidP="00BD069B">
      <w:pPr>
        <w:pBdr>
          <w:top w:val="single" w:sz="4" w:space="1" w:color="auto"/>
          <w:left w:val="single" w:sz="4" w:space="4" w:color="auto"/>
          <w:bottom w:val="single" w:sz="4" w:space="1" w:color="auto"/>
          <w:right w:val="single" w:sz="4" w:space="4" w:color="auto"/>
        </w:pBdr>
        <w:spacing w:after="120" w:line="240" w:lineRule="auto"/>
        <w:rPr>
          <w:rFonts w:cstheme="minorHAnsi"/>
          <w:sz w:val="24"/>
          <w:szCs w:val="24"/>
        </w:rPr>
      </w:pPr>
      <w:r w:rsidRPr="00BD069B">
        <w:rPr>
          <w:rFonts w:cstheme="minorHAnsi"/>
          <w:sz w:val="24"/>
          <w:szCs w:val="24"/>
        </w:rPr>
        <w:t>Signed:  …</w:t>
      </w:r>
      <w:r w:rsidRPr="00BD069B">
        <w:rPr>
          <w:rFonts w:cstheme="minorHAnsi"/>
          <w:noProof/>
          <w:sz w:val="24"/>
          <w:szCs w:val="24"/>
        </w:rPr>
        <w:drawing>
          <wp:inline distT="0" distB="0" distL="0" distR="0" wp14:anchorId="41CA8C47" wp14:editId="127448DA">
            <wp:extent cx="3422782" cy="889635"/>
            <wp:effectExtent l="0" t="0" r="6350" b="5715"/>
            <wp:docPr id="2" name="Picture 2" descr="A close up of a devi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ig.jpg"/>
                    <pic:cNvPicPr/>
                  </pic:nvPicPr>
                  <pic:blipFill>
                    <a:blip r:embed="rId8">
                      <a:extLst>
                        <a:ext uri="{28A0092B-C50C-407E-A947-70E740481C1C}">
                          <a14:useLocalDpi xmlns:a14="http://schemas.microsoft.com/office/drawing/2010/main" val="0"/>
                        </a:ext>
                      </a:extLst>
                    </a:blip>
                    <a:stretch>
                      <a:fillRect/>
                    </a:stretch>
                  </pic:blipFill>
                  <pic:spPr>
                    <a:xfrm>
                      <a:off x="0" y="0"/>
                      <a:ext cx="3436144" cy="893108"/>
                    </a:xfrm>
                    <a:prstGeom prst="rect">
                      <a:avLst/>
                    </a:prstGeom>
                  </pic:spPr>
                </pic:pic>
              </a:graphicData>
            </a:graphic>
          </wp:inline>
        </w:drawing>
      </w:r>
      <w:r w:rsidRPr="00BD069B">
        <w:rPr>
          <w:rFonts w:cstheme="minorHAnsi"/>
          <w:sz w:val="24"/>
          <w:szCs w:val="24"/>
        </w:rPr>
        <w:t>……………………………………Dr Angus M Slater…………………………………...</w:t>
      </w:r>
    </w:p>
    <w:p w14:paraId="112E6EB3" w14:textId="77777777" w:rsidR="00434D84" w:rsidRPr="00BD069B" w:rsidRDefault="00434D84" w:rsidP="00BD069B">
      <w:pPr>
        <w:pBdr>
          <w:top w:val="single" w:sz="4" w:space="1" w:color="auto"/>
          <w:left w:val="single" w:sz="4" w:space="4" w:color="auto"/>
          <w:bottom w:val="single" w:sz="4" w:space="1" w:color="auto"/>
          <w:right w:val="single" w:sz="4" w:space="4" w:color="auto"/>
        </w:pBdr>
        <w:spacing w:after="120" w:line="240" w:lineRule="auto"/>
        <w:jc w:val="both"/>
        <w:rPr>
          <w:rFonts w:cstheme="minorHAnsi"/>
          <w:sz w:val="24"/>
          <w:szCs w:val="24"/>
        </w:rPr>
      </w:pPr>
      <w:r w:rsidRPr="00BD069B">
        <w:rPr>
          <w:rFonts w:cstheme="minorHAnsi"/>
          <w:sz w:val="24"/>
          <w:szCs w:val="24"/>
        </w:rPr>
        <w:t>Date: ……………………………12/05/2020……………………………………………..</w:t>
      </w:r>
    </w:p>
    <w:p w14:paraId="56FEE05D" w14:textId="0AF23252" w:rsidR="003969E4" w:rsidRPr="004D0AEB" w:rsidRDefault="003969E4" w:rsidP="00BD069B">
      <w:pPr>
        <w:spacing w:line="240" w:lineRule="auto"/>
        <w:rPr>
          <w:rFonts w:cstheme="minorHAnsi"/>
          <w:sz w:val="28"/>
          <w:szCs w:val="28"/>
        </w:rPr>
      </w:pPr>
    </w:p>
    <w:p w14:paraId="088121CC" w14:textId="5CFA56D0" w:rsidR="003969E4" w:rsidRPr="004D0AEB" w:rsidRDefault="003969E4" w:rsidP="00BD069B">
      <w:pPr>
        <w:spacing w:line="240" w:lineRule="auto"/>
        <w:rPr>
          <w:rFonts w:cstheme="minorHAnsi"/>
          <w:sz w:val="28"/>
          <w:szCs w:val="28"/>
        </w:rPr>
      </w:pPr>
    </w:p>
    <w:p w14:paraId="03A94121" w14:textId="77777777" w:rsidR="003969E4" w:rsidRPr="004D0AEB" w:rsidRDefault="003969E4" w:rsidP="00BD069B">
      <w:pPr>
        <w:spacing w:line="360" w:lineRule="auto"/>
        <w:jc w:val="center"/>
        <w:rPr>
          <w:rFonts w:cstheme="minorHAnsi"/>
          <w:b/>
          <w:bCs/>
          <w:sz w:val="32"/>
          <w:szCs w:val="32"/>
        </w:rPr>
      </w:pPr>
      <w:r w:rsidRPr="004D0AEB">
        <w:rPr>
          <w:rFonts w:cstheme="minorHAnsi"/>
          <w:b/>
          <w:bCs/>
          <w:sz w:val="32"/>
          <w:szCs w:val="32"/>
        </w:rPr>
        <w:t>CONTENTS</w:t>
      </w:r>
    </w:p>
    <w:p w14:paraId="6DC0529C" w14:textId="1C20B000" w:rsidR="003969E4" w:rsidRPr="004D0AEB" w:rsidRDefault="003969E4" w:rsidP="00BD069B">
      <w:pPr>
        <w:spacing w:line="360" w:lineRule="auto"/>
        <w:jc w:val="right"/>
        <w:rPr>
          <w:rFonts w:cstheme="minorHAnsi"/>
          <w:b/>
          <w:bCs/>
          <w:sz w:val="28"/>
          <w:szCs w:val="28"/>
        </w:rPr>
      </w:pPr>
      <w:r w:rsidRPr="004D0AEB">
        <w:rPr>
          <w:rFonts w:cstheme="minorHAnsi"/>
          <w:b/>
          <w:bCs/>
          <w:sz w:val="28"/>
          <w:szCs w:val="28"/>
        </w:rPr>
        <w:t>Page No.</w:t>
      </w:r>
    </w:p>
    <w:p w14:paraId="31DB5626" w14:textId="1264EECA" w:rsidR="000B7F14" w:rsidRDefault="000B7F14" w:rsidP="00BD069B">
      <w:pPr>
        <w:spacing w:line="360" w:lineRule="auto"/>
        <w:rPr>
          <w:rFonts w:cstheme="minorHAnsi"/>
          <w:b/>
          <w:bCs/>
          <w:sz w:val="28"/>
          <w:szCs w:val="28"/>
        </w:rPr>
      </w:pPr>
      <w:r>
        <w:rPr>
          <w:rFonts w:cstheme="minorHAnsi"/>
          <w:b/>
          <w:bCs/>
          <w:sz w:val="28"/>
          <w:szCs w:val="28"/>
        </w:rPr>
        <w:t>Contents                                                                                                                     2</w:t>
      </w:r>
    </w:p>
    <w:p w14:paraId="6FE228FB" w14:textId="5182A211" w:rsidR="000B7F14" w:rsidRDefault="000B7F14" w:rsidP="00BD069B">
      <w:pPr>
        <w:spacing w:line="360" w:lineRule="auto"/>
        <w:rPr>
          <w:rFonts w:cstheme="minorHAnsi"/>
          <w:b/>
          <w:bCs/>
          <w:sz w:val="28"/>
          <w:szCs w:val="28"/>
        </w:rPr>
      </w:pPr>
      <w:r>
        <w:rPr>
          <w:rFonts w:cstheme="minorHAnsi"/>
          <w:b/>
          <w:bCs/>
          <w:sz w:val="28"/>
          <w:szCs w:val="28"/>
        </w:rPr>
        <w:t>Abstract                                                                                                                      3</w:t>
      </w:r>
    </w:p>
    <w:p w14:paraId="062E129A" w14:textId="53ADB0BD" w:rsidR="003969E4" w:rsidRPr="004D0AEB" w:rsidRDefault="003969E4" w:rsidP="00BD069B">
      <w:pPr>
        <w:spacing w:line="360" w:lineRule="auto"/>
        <w:rPr>
          <w:rFonts w:cstheme="minorHAnsi"/>
          <w:b/>
          <w:bCs/>
          <w:sz w:val="28"/>
          <w:szCs w:val="28"/>
        </w:rPr>
      </w:pPr>
      <w:r w:rsidRPr="004D0AEB">
        <w:rPr>
          <w:rFonts w:cstheme="minorHAnsi"/>
          <w:b/>
          <w:bCs/>
          <w:sz w:val="28"/>
          <w:szCs w:val="28"/>
        </w:rPr>
        <w:t>Introduction</w:t>
      </w:r>
      <w:r w:rsidR="006124C5">
        <w:rPr>
          <w:rFonts w:cstheme="minorHAnsi"/>
          <w:b/>
          <w:bCs/>
          <w:sz w:val="28"/>
          <w:szCs w:val="28"/>
        </w:rPr>
        <w:t xml:space="preserve">                                                                                                               4</w:t>
      </w:r>
    </w:p>
    <w:p w14:paraId="308C4F06" w14:textId="54D1CB19" w:rsidR="003969E4" w:rsidRPr="004D0AEB" w:rsidRDefault="003969E4" w:rsidP="00BD069B">
      <w:pPr>
        <w:spacing w:line="360" w:lineRule="auto"/>
        <w:rPr>
          <w:rFonts w:cstheme="minorHAnsi"/>
          <w:b/>
          <w:bCs/>
          <w:sz w:val="28"/>
          <w:szCs w:val="28"/>
        </w:rPr>
      </w:pPr>
      <w:r w:rsidRPr="004D0AEB">
        <w:rPr>
          <w:rFonts w:cstheme="minorHAnsi"/>
          <w:b/>
          <w:bCs/>
          <w:sz w:val="28"/>
          <w:szCs w:val="28"/>
        </w:rPr>
        <w:t>Chapter 1</w:t>
      </w:r>
      <w:r w:rsidR="005F4544">
        <w:rPr>
          <w:rFonts w:cstheme="minorHAnsi"/>
          <w:b/>
          <w:bCs/>
          <w:sz w:val="28"/>
          <w:szCs w:val="28"/>
        </w:rPr>
        <w:t xml:space="preserve">                                                                                                                   13</w:t>
      </w:r>
    </w:p>
    <w:p w14:paraId="11C0720C" w14:textId="4AD586D7" w:rsidR="003969E4" w:rsidRPr="004D0AEB" w:rsidRDefault="003969E4" w:rsidP="00BD069B">
      <w:pPr>
        <w:spacing w:line="360" w:lineRule="auto"/>
        <w:rPr>
          <w:rFonts w:cstheme="minorHAnsi"/>
          <w:sz w:val="28"/>
          <w:szCs w:val="28"/>
        </w:rPr>
      </w:pPr>
      <w:r w:rsidRPr="004D0AEB">
        <w:rPr>
          <w:rFonts w:cstheme="minorHAnsi"/>
          <w:sz w:val="28"/>
          <w:szCs w:val="28"/>
        </w:rPr>
        <w:t>Theoretical Framework</w:t>
      </w:r>
      <w:r w:rsidR="00B12E0F" w:rsidRPr="004D0AEB">
        <w:rPr>
          <w:rFonts w:cstheme="minorHAnsi"/>
          <w:sz w:val="28"/>
          <w:szCs w:val="28"/>
        </w:rPr>
        <w:t xml:space="preserve"> – Liberation Theology</w:t>
      </w:r>
    </w:p>
    <w:p w14:paraId="1EE3FA2C" w14:textId="3316A516" w:rsidR="003969E4" w:rsidRPr="004D0AEB" w:rsidRDefault="003969E4" w:rsidP="00BD069B">
      <w:pPr>
        <w:spacing w:line="360" w:lineRule="auto"/>
        <w:rPr>
          <w:rFonts w:cstheme="minorHAnsi"/>
          <w:b/>
          <w:bCs/>
          <w:sz w:val="28"/>
          <w:szCs w:val="28"/>
        </w:rPr>
      </w:pPr>
      <w:r w:rsidRPr="004D0AEB">
        <w:rPr>
          <w:rFonts w:cstheme="minorHAnsi"/>
          <w:b/>
          <w:bCs/>
          <w:sz w:val="28"/>
          <w:szCs w:val="28"/>
        </w:rPr>
        <w:t>Chapter 2</w:t>
      </w:r>
      <w:r w:rsidR="005F4544">
        <w:rPr>
          <w:rFonts w:cstheme="minorHAnsi"/>
          <w:b/>
          <w:bCs/>
          <w:sz w:val="28"/>
          <w:szCs w:val="28"/>
        </w:rPr>
        <w:t xml:space="preserve">                                                                                                                   19</w:t>
      </w:r>
    </w:p>
    <w:p w14:paraId="2B012C39" w14:textId="1020A501" w:rsidR="003969E4" w:rsidRPr="004D0AEB" w:rsidRDefault="003969E4" w:rsidP="00BD069B">
      <w:pPr>
        <w:spacing w:line="360" w:lineRule="auto"/>
        <w:rPr>
          <w:rFonts w:cstheme="minorHAnsi"/>
          <w:sz w:val="28"/>
          <w:szCs w:val="28"/>
        </w:rPr>
      </w:pPr>
      <w:r w:rsidRPr="004D0AEB">
        <w:rPr>
          <w:rFonts w:cstheme="minorHAnsi"/>
          <w:sz w:val="28"/>
          <w:szCs w:val="28"/>
        </w:rPr>
        <w:t>Foundations of Islamic Homosexuality</w:t>
      </w:r>
      <w:r w:rsidR="00A6166B" w:rsidRPr="004D0AEB">
        <w:rPr>
          <w:rFonts w:cstheme="minorHAnsi"/>
          <w:sz w:val="28"/>
          <w:szCs w:val="28"/>
        </w:rPr>
        <w:t xml:space="preserve"> – The Golden Age and </w:t>
      </w:r>
      <w:r w:rsidR="00473951" w:rsidRPr="004D0AEB">
        <w:rPr>
          <w:rFonts w:cstheme="minorHAnsi"/>
          <w:sz w:val="28"/>
          <w:szCs w:val="28"/>
        </w:rPr>
        <w:br/>
      </w:r>
      <w:r w:rsidR="00A6166B" w:rsidRPr="004D0AEB">
        <w:rPr>
          <w:rFonts w:cstheme="minorHAnsi"/>
          <w:sz w:val="28"/>
          <w:szCs w:val="28"/>
        </w:rPr>
        <w:t>Sharia Law</w:t>
      </w:r>
    </w:p>
    <w:p w14:paraId="6632B6D9" w14:textId="71475D96" w:rsidR="003969E4" w:rsidRPr="004D0AEB" w:rsidRDefault="003969E4" w:rsidP="00BD069B">
      <w:pPr>
        <w:spacing w:line="360" w:lineRule="auto"/>
        <w:rPr>
          <w:rFonts w:cstheme="minorHAnsi"/>
          <w:b/>
          <w:bCs/>
          <w:sz w:val="28"/>
          <w:szCs w:val="28"/>
        </w:rPr>
      </w:pPr>
      <w:r w:rsidRPr="004D0AEB">
        <w:rPr>
          <w:rFonts w:cstheme="minorHAnsi"/>
          <w:b/>
          <w:bCs/>
          <w:sz w:val="28"/>
          <w:szCs w:val="28"/>
        </w:rPr>
        <w:t>Chapter 3</w:t>
      </w:r>
      <w:r w:rsidR="005F4544">
        <w:rPr>
          <w:rFonts w:cstheme="minorHAnsi"/>
          <w:b/>
          <w:bCs/>
          <w:sz w:val="28"/>
          <w:szCs w:val="28"/>
        </w:rPr>
        <w:t xml:space="preserve">                                                                                                                   30</w:t>
      </w:r>
    </w:p>
    <w:p w14:paraId="429D91BA" w14:textId="3CF8FE85" w:rsidR="003969E4" w:rsidRPr="004D0AEB" w:rsidRDefault="003969E4" w:rsidP="00BD069B">
      <w:pPr>
        <w:spacing w:line="360" w:lineRule="auto"/>
        <w:rPr>
          <w:rFonts w:cstheme="minorHAnsi"/>
          <w:sz w:val="28"/>
          <w:szCs w:val="28"/>
        </w:rPr>
      </w:pPr>
      <w:r w:rsidRPr="004D0AEB">
        <w:rPr>
          <w:rFonts w:cstheme="minorHAnsi"/>
          <w:sz w:val="28"/>
          <w:szCs w:val="28"/>
        </w:rPr>
        <w:t>Quranic Principles of Interpretation</w:t>
      </w:r>
      <w:r w:rsidR="00E15DEA" w:rsidRPr="004D0AEB">
        <w:rPr>
          <w:rFonts w:cstheme="minorHAnsi"/>
          <w:sz w:val="28"/>
          <w:szCs w:val="28"/>
        </w:rPr>
        <w:t xml:space="preserve"> – </w:t>
      </w:r>
      <w:r w:rsidR="00A87A5F" w:rsidRPr="004D0AEB">
        <w:rPr>
          <w:rFonts w:cstheme="minorHAnsi"/>
          <w:sz w:val="28"/>
          <w:szCs w:val="28"/>
        </w:rPr>
        <w:t xml:space="preserve">The </w:t>
      </w:r>
      <w:r w:rsidR="003A4846" w:rsidRPr="004D0AEB">
        <w:rPr>
          <w:rFonts w:cstheme="minorHAnsi"/>
          <w:sz w:val="28"/>
          <w:szCs w:val="28"/>
        </w:rPr>
        <w:t xml:space="preserve">Hadith and </w:t>
      </w:r>
      <w:r w:rsidR="00A87A5F" w:rsidRPr="004D0AEB">
        <w:rPr>
          <w:rFonts w:cstheme="minorHAnsi"/>
          <w:sz w:val="28"/>
          <w:szCs w:val="28"/>
        </w:rPr>
        <w:t>Quranic</w:t>
      </w:r>
      <w:r w:rsidR="00A87A5F" w:rsidRPr="004D0AEB">
        <w:rPr>
          <w:rFonts w:cstheme="minorHAnsi"/>
          <w:sz w:val="28"/>
          <w:szCs w:val="28"/>
        </w:rPr>
        <w:br/>
        <w:t>Interpretive Tools</w:t>
      </w:r>
    </w:p>
    <w:p w14:paraId="31EC5FD1" w14:textId="115E759A" w:rsidR="003969E4" w:rsidRPr="004D0AEB" w:rsidRDefault="003969E4" w:rsidP="00BD069B">
      <w:pPr>
        <w:spacing w:line="360" w:lineRule="auto"/>
        <w:rPr>
          <w:rFonts w:cstheme="minorHAnsi"/>
          <w:b/>
          <w:bCs/>
          <w:sz w:val="28"/>
          <w:szCs w:val="28"/>
        </w:rPr>
      </w:pPr>
      <w:r w:rsidRPr="004D0AEB">
        <w:rPr>
          <w:rFonts w:cstheme="minorHAnsi"/>
          <w:b/>
          <w:bCs/>
          <w:sz w:val="28"/>
          <w:szCs w:val="28"/>
        </w:rPr>
        <w:t>Chapter 4</w:t>
      </w:r>
      <w:r w:rsidR="005F4544">
        <w:rPr>
          <w:rFonts w:cstheme="minorHAnsi"/>
          <w:b/>
          <w:bCs/>
          <w:sz w:val="28"/>
          <w:szCs w:val="28"/>
        </w:rPr>
        <w:t xml:space="preserve">                                                                                                                   41</w:t>
      </w:r>
    </w:p>
    <w:p w14:paraId="5424A732" w14:textId="74899ADD" w:rsidR="003969E4" w:rsidRPr="004D0AEB" w:rsidRDefault="003969E4" w:rsidP="00BD069B">
      <w:pPr>
        <w:spacing w:line="360" w:lineRule="auto"/>
        <w:rPr>
          <w:rFonts w:cstheme="minorHAnsi"/>
          <w:sz w:val="28"/>
          <w:szCs w:val="28"/>
        </w:rPr>
      </w:pPr>
      <w:r w:rsidRPr="004D0AEB">
        <w:rPr>
          <w:rFonts w:cstheme="minorHAnsi"/>
          <w:sz w:val="28"/>
          <w:szCs w:val="28"/>
        </w:rPr>
        <w:t>Analysing the Story of Lot</w:t>
      </w:r>
      <w:r w:rsidR="00473951" w:rsidRPr="004D0AEB">
        <w:rPr>
          <w:rFonts w:cstheme="minorHAnsi"/>
          <w:sz w:val="28"/>
          <w:szCs w:val="28"/>
        </w:rPr>
        <w:t xml:space="preserve"> – Traditional Responses and the Legitimacy</w:t>
      </w:r>
      <w:r w:rsidR="00473951" w:rsidRPr="004D0AEB">
        <w:rPr>
          <w:rFonts w:cstheme="minorHAnsi"/>
          <w:sz w:val="28"/>
          <w:szCs w:val="28"/>
        </w:rPr>
        <w:br/>
        <w:t>of LGBT Positive Readings</w:t>
      </w:r>
    </w:p>
    <w:p w14:paraId="11DE20F4" w14:textId="526C21AB" w:rsidR="003969E4" w:rsidRPr="004D0AEB" w:rsidRDefault="003969E4" w:rsidP="00BD069B">
      <w:pPr>
        <w:spacing w:line="360" w:lineRule="auto"/>
        <w:rPr>
          <w:rFonts w:cstheme="minorHAnsi"/>
          <w:b/>
          <w:bCs/>
          <w:sz w:val="28"/>
          <w:szCs w:val="28"/>
        </w:rPr>
      </w:pPr>
      <w:r w:rsidRPr="004D0AEB">
        <w:rPr>
          <w:rFonts w:cstheme="minorHAnsi"/>
          <w:b/>
          <w:bCs/>
          <w:sz w:val="28"/>
          <w:szCs w:val="28"/>
        </w:rPr>
        <w:t>Conclusion</w:t>
      </w:r>
      <w:r w:rsidR="005F4544">
        <w:rPr>
          <w:rFonts w:cstheme="minorHAnsi"/>
          <w:b/>
          <w:bCs/>
          <w:sz w:val="28"/>
          <w:szCs w:val="28"/>
        </w:rPr>
        <w:t xml:space="preserve">                                                                                                                 61</w:t>
      </w:r>
    </w:p>
    <w:p w14:paraId="11A2E073" w14:textId="255112C6" w:rsidR="003969E4" w:rsidRPr="004D0AEB" w:rsidRDefault="003969E4" w:rsidP="00BD069B">
      <w:pPr>
        <w:spacing w:line="360" w:lineRule="auto"/>
        <w:rPr>
          <w:rFonts w:cstheme="minorHAnsi"/>
          <w:b/>
          <w:bCs/>
          <w:sz w:val="28"/>
          <w:szCs w:val="28"/>
        </w:rPr>
      </w:pPr>
      <w:r w:rsidRPr="004D0AEB">
        <w:rPr>
          <w:rFonts w:cstheme="minorHAnsi"/>
          <w:b/>
          <w:bCs/>
          <w:sz w:val="28"/>
          <w:szCs w:val="28"/>
        </w:rPr>
        <w:t xml:space="preserve">Bibliography </w:t>
      </w:r>
      <w:r w:rsidR="005F4544">
        <w:rPr>
          <w:rFonts w:cstheme="minorHAnsi"/>
          <w:b/>
          <w:bCs/>
          <w:sz w:val="28"/>
          <w:szCs w:val="28"/>
        </w:rPr>
        <w:t xml:space="preserve">                                                                                                             65</w:t>
      </w:r>
    </w:p>
    <w:p w14:paraId="0AE16340" w14:textId="2AF91BB5" w:rsidR="003969E4" w:rsidRPr="004D0AEB" w:rsidRDefault="003969E4" w:rsidP="00BD069B">
      <w:pPr>
        <w:spacing w:line="240" w:lineRule="auto"/>
        <w:rPr>
          <w:rFonts w:cstheme="minorHAnsi"/>
          <w:sz w:val="28"/>
          <w:szCs w:val="28"/>
        </w:rPr>
      </w:pPr>
    </w:p>
    <w:p w14:paraId="31A8B99C" w14:textId="30E55AC2" w:rsidR="00B26D02" w:rsidRPr="004D0AEB" w:rsidRDefault="00B26D02" w:rsidP="00BD069B">
      <w:pPr>
        <w:spacing w:line="240" w:lineRule="auto"/>
        <w:rPr>
          <w:rFonts w:cstheme="minorHAnsi"/>
          <w:sz w:val="28"/>
          <w:szCs w:val="28"/>
        </w:rPr>
      </w:pPr>
    </w:p>
    <w:p w14:paraId="5CE068F4" w14:textId="77777777" w:rsidR="00BD069B" w:rsidRPr="004D0AEB" w:rsidRDefault="00BD069B" w:rsidP="00BD069B">
      <w:pPr>
        <w:spacing w:line="240" w:lineRule="auto"/>
        <w:rPr>
          <w:rFonts w:cstheme="minorHAnsi"/>
          <w:sz w:val="28"/>
          <w:szCs w:val="28"/>
        </w:rPr>
      </w:pPr>
    </w:p>
    <w:p w14:paraId="24549DDB" w14:textId="5D38B333" w:rsidR="00B26D02" w:rsidRPr="004D0AEB" w:rsidRDefault="00B26D02" w:rsidP="00BD069B">
      <w:pPr>
        <w:spacing w:line="240" w:lineRule="auto"/>
        <w:rPr>
          <w:rFonts w:cstheme="minorHAnsi"/>
          <w:sz w:val="28"/>
          <w:szCs w:val="28"/>
        </w:rPr>
      </w:pPr>
    </w:p>
    <w:p w14:paraId="08DE849E" w14:textId="77777777" w:rsidR="00393001" w:rsidRPr="00BD069B" w:rsidRDefault="00393001" w:rsidP="00BD069B">
      <w:pPr>
        <w:spacing w:line="240" w:lineRule="auto"/>
        <w:jc w:val="center"/>
        <w:rPr>
          <w:rFonts w:cstheme="minorHAnsi"/>
          <w:b/>
          <w:bCs/>
          <w:sz w:val="32"/>
          <w:szCs w:val="32"/>
        </w:rPr>
      </w:pPr>
      <w:r w:rsidRPr="00BD069B">
        <w:rPr>
          <w:rFonts w:cstheme="minorHAnsi"/>
          <w:b/>
          <w:bCs/>
          <w:sz w:val="32"/>
          <w:szCs w:val="32"/>
        </w:rPr>
        <w:t>ABSTRACT</w:t>
      </w:r>
    </w:p>
    <w:p w14:paraId="5B924EBB" w14:textId="6714D2BB" w:rsidR="00393001" w:rsidRPr="00BD069B" w:rsidRDefault="00393001" w:rsidP="00BD069B">
      <w:pPr>
        <w:spacing w:line="240" w:lineRule="auto"/>
        <w:rPr>
          <w:rFonts w:cstheme="minorHAnsi"/>
          <w:sz w:val="24"/>
          <w:szCs w:val="24"/>
        </w:rPr>
      </w:pPr>
      <w:r w:rsidRPr="00BD069B">
        <w:rPr>
          <w:rFonts w:cstheme="minorHAnsi"/>
          <w:sz w:val="24"/>
          <w:szCs w:val="24"/>
        </w:rPr>
        <w:t xml:space="preserve">Homosexuality within the Islamic faith is deemed as sinful, condemned as such due to the key Quranic passage ‘Story of Lot’. Throughout Islamic history, a traditionalist reading of Lot’s parable has reigned supreme, highlighting that homosexuality is reprimanded, and punishable by death under Sharia Law. With the increasing emergence of LGBT groups during the past decade, an opportunity to re-open a discourse on Islamic holy texts has transpired, with particular regards to sexual diversity. Focusing on a </w:t>
      </w:r>
      <w:r w:rsidR="00852F6C" w:rsidRPr="00BD069B">
        <w:rPr>
          <w:rFonts w:cstheme="minorHAnsi"/>
          <w:sz w:val="24"/>
          <w:szCs w:val="24"/>
        </w:rPr>
        <w:t>scriptural</w:t>
      </w:r>
      <w:r w:rsidRPr="00BD069B">
        <w:rPr>
          <w:rFonts w:cstheme="minorHAnsi"/>
          <w:sz w:val="24"/>
          <w:szCs w:val="24"/>
        </w:rPr>
        <w:t xml:space="preserve"> approach, this thesis argues that a supportive homosexual reading of Lot’s parable is attainable. In order to assess the potentiality of this, an examination of homosexuality throughout the historic Golden Age is conducted, to evaluate how the perceivability of homosexuality has developed, along with an exploration of the Sharia law and its potential compatibility to a homosexual approach. Primarily this thesis draws upon the tools and principles of scriptural interpretation, assessing its complexity, whilst specifically aiming to re-evaluate the classic interpretation of Lot’s parable, to support a homosexual reading. This interpretive analysis is further evaluated through the theological framework of Farid Esack’s Liberation Theology (1997) which argues for a liberative Quranic interpretation, with a specific focus on oppressed communities. This supportive homosexual interpretation of Lot’s parable affirms that one </w:t>
      </w:r>
      <w:r w:rsidR="00036937" w:rsidRPr="00BD069B">
        <w:rPr>
          <w:rFonts w:cstheme="minorHAnsi"/>
          <w:sz w:val="24"/>
          <w:szCs w:val="24"/>
        </w:rPr>
        <w:t>can</w:t>
      </w:r>
      <w:r w:rsidRPr="00BD069B">
        <w:rPr>
          <w:rFonts w:cstheme="minorHAnsi"/>
          <w:sz w:val="24"/>
          <w:szCs w:val="24"/>
        </w:rPr>
        <w:t xml:space="preserve"> be queer and Muslim, through an internally legitimate Islamic Quranic reading.</w:t>
      </w:r>
    </w:p>
    <w:p w14:paraId="633F80CB" w14:textId="1E0299B2" w:rsidR="00B26D02" w:rsidRPr="004D0AEB" w:rsidRDefault="00B26D02" w:rsidP="00BD069B">
      <w:pPr>
        <w:spacing w:line="240" w:lineRule="auto"/>
        <w:rPr>
          <w:rFonts w:cstheme="minorHAnsi"/>
          <w:sz w:val="28"/>
          <w:szCs w:val="28"/>
        </w:rPr>
      </w:pPr>
    </w:p>
    <w:p w14:paraId="64CF0459" w14:textId="74E6BD7E" w:rsidR="00F118E5" w:rsidRPr="004D0AEB" w:rsidRDefault="00F118E5" w:rsidP="00BD069B">
      <w:pPr>
        <w:spacing w:line="240" w:lineRule="auto"/>
        <w:rPr>
          <w:rFonts w:cstheme="minorHAnsi"/>
          <w:sz w:val="28"/>
          <w:szCs w:val="28"/>
        </w:rPr>
      </w:pPr>
    </w:p>
    <w:p w14:paraId="530091F1" w14:textId="57EBBE77" w:rsidR="00F118E5" w:rsidRPr="004D0AEB" w:rsidRDefault="00F118E5" w:rsidP="00BD069B">
      <w:pPr>
        <w:spacing w:line="240" w:lineRule="auto"/>
        <w:rPr>
          <w:rFonts w:cstheme="minorHAnsi"/>
          <w:sz w:val="28"/>
          <w:szCs w:val="28"/>
        </w:rPr>
      </w:pPr>
    </w:p>
    <w:p w14:paraId="09F6B500" w14:textId="588A6557" w:rsidR="00F118E5" w:rsidRPr="004D0AEB" w:rsidRDefault="00F118E5" w:rsidP="00BD069B">
      <w:pPr>
        <w:spacing w:line="240" w:lineRule="auto"/>
        <w:rPr>
          <w:rFonts w:cstheme="minorHAnsi"/>
          <w:sz w:val="28"/>
          <w:szCs w:val="28"/>
        </w:rPr>
      </w:pPr>
    </w:p>
    <w:p w14:paraId="505E981E" w14:textId="57FE84BF" w:rsidR="00F118E5" w:rsidRPr="004D0AEB" w:rsidRDefault="00F118E5" w:rsidP="00BD069B">
      <w:pPr>
        <w:spacing w:line="240" w:lineRule="auto"/>
        <w:rPr>
          <w:rFonts w:cstheme="minorHAnsi"/>
          <w:sz w:val="28"/>
          <w:szCs w:val="28"/>
        </w:rPr>
      </w:pPr>
    </w:p>
    <w:p w14:paraId="5A378906" w14:textId="1F908BC4" w:rsidR="00F118E5" w:rsidRPr="004D0AEB" w:rsidRDefault="00F118E5" w:rsidP="00BD069B">
      <w:pPr>
        <w:spacing w:line="480" w:lineRule="auto"/>
        <w:rPr>
          <w:rFonts w:cstheme="minorHAnsi"/>
          <w:sz w:val="28"/>
          <w:szCs w:val="28"/>
        </w:rPr>
      </w:pPr>
    </w:p>
    <w:p w14:paraId="074E96DA" w14:textId="6CFDE8F5" w:rsidR="00F118E5" w:rsidRPr="004D0AEB" w:rsidRDefault="00F118E5" w:rsidP="00BD069B">
      <w:pPr>
        <w:spacing w:line="480" w:lineRule="auto"/>
        <w:rPr>
          <w:rFonts w:cstheme="minorHAnsi"/>
          <w:sz w:val="28"/>
          <w:szCs w:val="28"/>
        </w:rPr>
      </w:pPr>
    </w:p>
    <w:p w14:paraId="63DEEEF2" w14:textId="7A81A223" w:rsidR="00F118E5" w:rsidRPr="004D0AEB" w:rsidRDefault="00F118E5" w:rsidP="00BD069B">
      <w:pPr>
        <w:spacing w:line="480" w:lineRule="auto"/>
        <w:rPr>
          <w:rFonts w:cstheme="minorHAnsi"/>
          <w:sz w:val="28"/>
          <w:szCs w:val="28"/>
        </w:rPr>
      </w:pPr>
    </w:p>
    <w:p w14:paraId="5A360BF4" w14:textId="66757790" w:rsidR="00F118E5" w:rsidRPr="004D0AEB" w:rsidRDefault="00F118E5" w:rsidP="00BD069B">
      <w:pPr>
        <w:spacing w:line="480" w:lineRule="auto"/>
        <w:rPr>
          <w:rFonts w:cstheme="minorHAnsi"/>
          <w:sz w:val="28"/>
          <w:szCs w:val="28"/>
        </w:rPr>
      </w:pPr>
    </w:p>
    <w:p w14:paraId="1BFB62F4" w14:textId="3E7D5CB0" w:rsidR="00BD069B" w:rsidRDefault="00BD069B" w:rsidP="00BD069B">
      <w:pPr>
        <w:spacing w:line="480" w:lineRule="auto"/>
        <w:rPr>
          <w:rFonts w:cstheme="minorHAnsi"/>
          <w:sz w:val="28"/>
          <w:szCs w:val="28"/>
        </w:rPr>
      </w:pPr>
    </w:p>
    <w:p w14:paraId="6A59A64C" w14:textId="77777777" w:rsidR="000B7F14" w:rsidRPr="004D0AEB" w:rsidRDefault="000B7F14" w:rsidP="00BD069B">
      <w:pPr>
        <w:spacing w:line="480" w:lineRule="auto"/>
        <w:rPr>
          <w:rFonts w:cstheme="minorHAnsi"/>
          <w:sz w:val="28"/>
          <w:szCs w:val="28"/>
        </w:rPr>
      </w:pPr>
    </w:p>
    <w:p w14:paraId="52FC38ED" w14:textId="77777777" w:rsidR="00F118E5" w:rsidRPr="004D0AEB" w:rsidRDefault="00F118E5" w:rsidP="00BD069B">
      <w:pPr>
        <w:tabs>
          <w:tab w:val="left" w:pos="5940"/>
        </w:tabs>
        <w:spacing w:line="480" w:lineRule="auto"/>
        <w:jc w:val="center"/>
        <w:rPr>
          <w:rFonts w:cstheme="minorHAnsi"/>
          <w:b/>
          <w:bCs/>
          <w:sz w:val="32"/>
          <w:szCs w:val="32"/>
        </w:rPr>
      </w:pPr>
      <w:r w:rsidRPr="004D0AEB">
        <w:rPr>
          <w:rFonts w:cstheme="minorHAnsi"/>
          <w:b/>
          <w:bCs/>
          <w:sz w:val="32"/>
          <w:szCs w:val="32"/>
        </w:rPr>
        <w:lastRenderedPageBreak/>
        <w:t>INTRODUCTION</w:t>
      </w:r>
    </w:p>
    <w:p w14:paraId="3120AB00" w14:textId="6C403783" w:rsidR="00F118E5" w:rsidRPr="004D0AEB" w:rsidRDefault="00F118E5" w:rsidP="00BD069B">
      <w:pPr>
        <w:tabs>
          <w:tab w:val="left" w:pos="5940"/>
        </w:tabs>
        <w:spacing w:line="480" w:lineRule="auto"/>
        <w:rPr>
          <w:rFonts w:cstheme="minorHAnsi"/>
          <w:sz w:val="24"/>
          <w:szCs w:val="24"/>
        </w:rPr>
      </w:pPr>
      <w:r w:rsidRPr="004D0AEB">
        <w:rPr>
          <w:rFonts w:cstheme="minorHAnsi"/>
          <w:sz w:val="24"/>
          <w:szCs w:val="24"/>
        </w:rPr>
        <w:t>Within the Islamic faith, homosexual</w:t>
      </w:r>
      <w:r w:rsidRPr="004D0AEB">
        <w:rPr>
          <w:rStyle w:val="FootnoteReference"/>
          <w:rFonts w:cstheme="minorHAnsi"/>
          <w:sz w:val="24"/>
          <w:szCs w:val="24"/>
        </w:rPr>
        <w:footnoteReference w:id="1"/>
      </w:r>
      <w:r w:rsidRPr="004D0AEB">
        <w:rPr>
          <w:rFonts w:cstheme="minorHAnsi"/>
          <w:sz w:val="24"/>
          <w:szCs w:val="24"/>
        </w:rPr>
        <w:t xml:space="preserve"> Muslims face a multitude of challenges, distinctly evident in terms of rejection and exclusion (Hendricks, 2010, p.31). This is predominantly anchored by the belief that homosexuality within Islam is a sin; specifically, due to the Quranic passage ‘Story of Lot’</w:t>
      </w:r>
      <w:r w:rsidRPr="004D0AEB">
        <w:rPr>
          <w:rStyle w:val="FootnoteReference"/>
          <w:rFonts w:cstheme="minorHAnsi"/>
          <w:sz w:val="24"/>
          <w:szCs w:val="24"/>
        </w:rPr>
        <w:footnoteReference w:id="2"/>
      </w:r>
      <w:r w:rsidRPr="004D0AEB">
        <w:rPr>
          <w:rFonts w:cstheme="minorHAnsi"/>
          <w:sz w:val="24"/>
          <w:szCs w:val="24"/>
        </w:rPr>
        <w:t>, punishable by death under Sharia Law</w:t>
      </w:r>
      <w:r w:rsidRPr="004D0AEB">
        <w:rPr>
          <w:rStyle w:val="FootnoteReference"/>
          <w:rFonts w:cstheme="minorHAnsi"/>
          <w:sz w:val="24"/>
          <w:szCs w:val="24"/>
        </w:rPr>
        <w:footnoteReference w:id="3"/>
      </w:r>
      <w:r w:rsidRPr="004D0AEB">
        <w:rPr>
          <w:rFonts w:cstheme="minorHAnsi"/>
          <w:sz w:val="24"/>
          <w:szCs w:val="24"/>
        </w:rPr>
        <w:t>. Although Islam promotes peace in every aspect of life, homosexuality is criminalised within Sharia, under Hadd punishment, resulting in many homosexual Muslims struggling to find harmony in their religion (Hendricks, 2010, p.32). During the past decade however, Islamic LGBT</w:t>
      </w:r>
      <w:r w:rsidRPr="004D0AEB">
        <w:rPr>
          <w:rStyle w:val="FootnoteReference"/>
          <w:rFonts w:cstheme="minorHAnsi"/>
          <w:sz w:val="24"/>
          <w:szCs w:val="24"/>
        </w:rPr>
        <w:footnoteReference w:id="4"/>
      </w:r>
      <w:r w:rsidRPr="004D0AEB">
        <w:rPr>
          <w:rFonts w:cstheme="minorHAnsi"/>
          <w:sz w:val="24"/>
          <w:szCs w:val="24"/>
        </w:rPr>
        <w:t xml:space="preserve"> groups have begun to emerge, resulting in Muslim orthodoxy attempting to defend their religious texts and perspectives on non-hetero normative sexualities, whilst offering homosexual Muslims the opportunity to revisit Islamic tradition, and attempt to re-interpret the holy texts, to support a sexually sensitive reading (Hendricks, 2010, p.31). The Qur’an, through its poetical form of expression, does offer itself to numerous interpretations, enabling an opportunity </w:t>
      </w:r>
      <w:r w:rsidR="002D4BD8" w:rsidRPr="004D0AEB">
        <w:rPr>
          <w:rFonts w:cstheme="minorHAnsi"/>
          <w:sz w:val="24"/>
          <w:szCs w:val="24"/>
        </w:rPr>
        <w:t>for</w:t>
      </w:r>
      <w:r w:rsidRPr="004D0AEB">
        <w:rPr>
          <w:rFonts w:cstheme="minorHAnsi"/>
          <w:sz w:val="24"/>
          <w:szCs w:val="24"/>
        </w:rPr>
        <w:t xml:space="preserve"> individuals to re-open a discourse on Islam and its sexual diversity (Hendricks, 2010, p.31-32). </w:t>
      </w:r>
    </w:p>
    <w:p w14:paraId="4D4CDCBE" w14:textId="77777777" w:rsidR="00F118E5" w:rsidRPr="004D0AEB" w:rsidRDefault="00F118E5" w:rsidP="00BD069B">
      <w:pPr>
        <w:tabs>
          <w:tab w:val="left" w:pos="5940"/>
        </w:tabs>
        <w:spacing w:line="480" w:lineRule="auto"/>
        <w:rPr>
          <w:rFonts w:cstheme="minorHAnsi"/>
          <w:sz w:val="24"/>
          <w:szCs w:val="24"/>
        </w:rPr>
      </w:pPr>
    </w:p>
    <w:p w14:paraId="18BD3247" w14:textId="77777777" w:rsidR="00F118E5" w:rsidRPr="004D0AEB" w:rsidRDefault="00F118E5" w:rsidP="00BD069B">
      <w:pPr>
        <w:spacing w:line="480" w:lineRule="auto"/>
        <w:rPr>
          <w:rFonts w:cstheme="minorHAnsi"/>
          <w:b/>
          <w:bCs/>
          <w:sz w:val="24"/>
          <w:szCs w:val="24"/>
        </w:rPr>
      </w:pPr>
      <w:r w:rsidRPr="004D0AEB">
        <w:rPr>
          <w:rFonts w:cstheme="minorHAnsi"/>
          <w:b/>
          <w:bCs/>
          <w:sz w:val="24"/>
          <w:szCs w:val="24"/>
        </w:rPr>
        <w:t>Research Focus</w:t>
      </w:r>
    </w:p>
    <w:p w14:paraId="2D3E8BAF" w14:textId="701039DF" w:rsidR="00F118E5" w:rsidRPr="004D0AEB" w:rsidRDefault="00F118E5" w:rsidP="00BD069B">
      <w:pPr>
        <w:spacing w:line="480" w:lineRule="auto"/>
        <w:rPr>
          <w:rFonts w:cstheme="minorHAnsi"/>
          <w:sz w:val="24"/>
          <w:szCs w:val="24"/>
        </w:rPr>
      </w:pPr>
      <w:r w:rsidRPr="004D0AEB">
        <w:rPr>
          <w:rFonts w:cstheme="minorHAnsi"/>
          <w:sz w:val="24"/>
          <w:szCs w:val="24"/>
        </w:rPr>
        <w:t>Although a developing field, the area of homosexuality and religion is an exceedingly significant one. Many Muslims seek a theological answer concerning their sexuality, pursuing validation from within Islam, primarily turning to the Qur’an</w:t>
      </w:r>
      <w:r w:rsidR="00D30A34" w:rsidRPr="004D0AEB">
        <w:rPr>
          <w:rFonts w:cstheme="minorHAnsi"/>
          <w:sz w:val="24"/>
          <w:szCs w:val="24"/>
        </w:rPr>
        <w:t xml:space="preserve"> for </w:t>
      </w:r>
      <w:r w:rsidR="00BC6A28" w:rsidRPr="004D0AEB">
        <w:rPr>
          <w:rFonts w:cstheme="minorHAnsi"/>
          <w:sz w:val="24"/>
          <w:szCs w:val="24"/>
        </w:rPr>
        <w:t>a solution</w:t>
      </w:r>
      <w:r w:rsidR="00D30A34" w:rsidRPr="004D0AEB">
        <w:rPr>
          <w:rFonts w:cstheme="minorHAnsi"/>
          <w:sz w:val="24"/>
          <w:szCs w:val="24"/>
        </w:rPr>
        <w:t xml:space="preserve"> </w:t>
      </w:r>
      <w:r w:rsidRPr="004D0AEB">
        <w:rPr>
          <w:rFonts w:cstheme="minorHAnsi"/>
          <w:sz w:val="24"/>
          <w:szCs w:val="24"/>
        </w:rPr>
        <w:t>(Hendricks, 2010, p.31). Study within this field offers an opportunity to re-</w:t>
      </w:r>
      <w:r w:rsidR="007B06A4" w:rsidRPr="004D0AEB">
        <w:rPr>
          <w:rFonts w:cstheme="minorHAnsi"/>
          <w:sz w:val="24"/>
          <w:szCs w:val="24"/>
        </w:rPr>
        <w:t>evaluate</w:t>
      </w:r>
      <w:r w:rsidR="00664E60" w:rsidRPr="004D0AEB">
        <w:rPr>
          <w:rFonts w:cstheme="minorHAnsi"/>
          <w:sz w:val="24"/>
          <w:szCs w:val="24"/>
        </w:rPr>
        <w:t xml:space="preserve"> the Islamic dialogue</w:t>
      </w:r>
      <w:r w:rsidRPr="004D0AEB">
        <w:rPr>
          <w:rFonts w:cstheme="minorHAnsi"/>
          <w:sz w:val="24"/>
          <w:szCs w:val="24"/>
        </w:rPr>
        <w:t xml:space="preserve"> </w:t>
      </w:r>
      <w:r w:rsidR="00664E60" w:rsidRPr="004D0AEB">
        <w:rPr>
          <w:rFonts w:cstheme="minorHAnsi"/>
          <w:sz w:val="24"/>
          <w:szCs w:val="24"/>
        </w:rPr>
        <w:t>on</w:t>
      </w:r>
      <w:r w:rsidRPr="004D0AEB">
        <w:rPr>
          <w:rFonts w:cstheme="minorHAnsi"/>
          <w:sz w:val="24"/>
          <w:szCs w:val="24"/>
        </w:rPr>
        <w:t xml:space="preserve"> sexual diversity, whilst providing scope for a progressive Muslim thought to emerge (Hendricks, 2010, p.31). My research focus thus concerns the Quranic Story of Lot, as it symbolises the pivotal passage of discussion concerning homosexuality and Islam. Due to the traditional interpretation of this passage, regarding homosexual condemnation,</w:t>
      </w:r>
      <w:r w:rsidR="00325675" w:rsidRPr="004D0AEB">
        <w:rPr>
          <w:rFonts w:cstheme="minorHAnsi"/>
          <w:sz w:val="24"/>
          <w:szCs w:val="24"/>
        </w:rPr>
        <w:t xml:space="preserve"> LGBT</w:t>
      </w:r>
      <w:r w:rsidRPr="004D0AEB">
        <w:rPr>
          <w:rFonts w:cstheme="minorHAnsi"/>
          <w:sz w:val="24"/>
          <w:szCs w:val="24"/>
        </w:rPr>
        <w:t xml:space="preserve"> Muslims feel renounced from their faith, rejected by God and alienated in their life (Hendricks, 2010, p.31). My research </w:t>
      </w:r>
      <w:r w:rsidR="00EC7707" w:rsidRPr="004D0AEB">
        <w:rPr>
          <w:rFonts w:cstheme="minorHAnsi"/>
          <w:sz w:val="24"/>
          <w:szCs w:val="24"/>
        </w:rPr>
        <w:t>therefore focuses on</w:t>
      </w:r>
      <w:r w:rsidRPr="004D0AEB">
        <w:rPr>
          <w:rFonts w:cstheme="minorHAnsi"/>
          <w:sz w:val="24"/>
          <w:szCs w:val="24"/>
        </w:rPr>
        <w:t xml:space="preserve"> the tools and principles within Islam itself, </w:t>
      </w:r>
      <w:r w:rsidR="00EC7707" w:rsidRPr="004D0AEB">
        <w:rPr>
          <w:rFonts w:cstheme="minorHAnsi"/>
          <w:sz w:val="24"/>
          <w:szCs w:val="24"/>
        </w:rPr>
        <w:t>with</w:t>
      </w:r>
      <w:r w:rsidRPr="004D0AEB">
        <w:rPr>
          <w:rFonts w:cstheme="minorHAnsi"/>
          <w:sz w:val="24"/>
          <w:szCs w:val="24"/>
        </w:rPr>
        <w:t xml:space="preserve"> the intent to internally legitimise a homosexually supported Quranic interpretation.</w:t>
      </w:r>
    </w:p>
    <w:p w14:paraId="538193C3" w14:textId="77777777" w:rsidR="00F118E5" w:rsidRPr="004D0AEB" w:rsidRDefault="00F118E5" w:rsidP="00BD069B">
      <w:pPr>
        <w:spacing w:line="480" w:lineRule="auto"/>
        <w:rPr>
          <w:rFonts w:cstheme="minorHAnsi"/>
          <w:sz w:val="24"/>
          <w:szCs w:val="24"/>
        </w:rPr>
      </w:pPr>
    </w:p>
    <w:p w14:paraId="2D0E7BDA" w14:textId="77777777" w:rsidR="00F118E5" w:rsidRPr="004D0AEB" w:rsidRDefault="00F118E5" w:rsidP="00BD069B">
      <w:pPr>
        <w:spacing w:line="480" w:lineRule="auto"/>
        <w:rPr>
          <w:rFonts w:cstheme="minorHAnsi"/>
          <w:b/>
          <w:bCs/>
          <w:sz w:val="24"/>
          <w:szCs w:val="24"/>
        </w:rPr>
      </w:pPr>
      <w:r w:rsidRPr="004D0AEB">
        <w:rPr>
          <w:rFonts w:cstheme="minorHAnsi"/>
          <w:b/>
          <w:bCs/>
          <w:sz w:val="24"/>
          <w:szCs w:val="24"/>
        </w:rPr>
        <w:t>Research Aims and Objectives</w:t>
      </w:r>
    </w:p>
    <w:p w14:paraId="1FB23622" w14:textId="199A56AA" w:rsidR="00F118E5" w:rsidRPr="004D0AEB" w:rsidRDefault="00F118E5" w:rsidP="00BD069B">
      <w:pPr>
        <w:spacing w:line="480" w:lineRule="auto"/>
        <w:rPr>
          <w:rFonts w:cstheme="minorHAnsi"/>
          <w:sz w:val="24"/>
          <w:szCs w:val="24"/>
        </w:rPr>
      </w:pPr>
      <w:r w:rsidRPr="004D0AEB">
        <w:rPr>
          <w:rFonts w:cstheme="minorHAnsi"/>
          <w:sz w:val="24"/>
          <w:szCs w:val="24"/>
        </w:rPr>
        <w:t>The core aim of this research is to argue that a supportive homosexual reading of Lot’s parable is possible within the religion Islam. I am adopting a theological and scriptural methodology to analyse the traditional interpretation of this passage, in which homosexuality is considered sinful, by prominent classical scholars such as Pinhas Ben Nahum</w:t>
      </w:r>
      <w:r w:rsidRPr="004D0AEB">
        <w:rPr>
          <w:rStyle w:val="FootnoteReference"/>
          <w:rFonts w:cstheme="minorHAnsi"/>
          <w:sz w:val="24"/>
          <w:szCs w:val="24"/>
        </w:rPr>
        <w:footnoteReference w:id="5"/>
      </w:r>
      <w:r w:rsidRPr="004D0AEB">
        <w:rPr>
          <w:rFonts w:cstheme="minorHAnsi"/>
          <w:sz w:val="24"/>
          <w:szCs w:val="24"/>
        </w:rPr>
        <w:t xml:space="preserve"> and Muhammad ibn Jarir al-Tabari</w:t>
      </w:r>
      <w:r w:rsidRPr="004D0AEB">
        <w:rPr>
          <w:rStyle w:val="FootnoteReference"/>
          <w:rFonts w:cstheme="minorHAnsi"/>
          <w:sz w:val="24"/>
          <w:szCs w:val="24"/>
        </w:rPr>
        <w:footnoteReference w:id="6"/>
      </w:r>
      <w:r w:rsidRPr="004D0AEB">
        <w:rPr>
          <w:rFonts w:cstheme="minorHAnsi"/>
          <w:sz w:val="24"/>
          <w:szCs w:val="24"/>
        </w:rPr>
        <w:t xml:space="preserve">. I will also examine the contrasting, or open </w:t>
      </w:r>
      <w:r w:rsidRPr="004D0AEB">
        <w:rPr>
          <w:rFonts w:cstheme="minorHAnsi"/>
          <w:sz w:val="24"/>
          <w:szCs w:val="24"/>
        </w:rPr>
        <w:lastRenderedPageBreak/>
        <w:t>interpretations, which could support a homosexually sensitive reading, through engaging with scholars such as Ibn Hamz</w:t>
      </w:r>
      <w:r w:rsidRPr="004D0AEB">
        <w:rPr>
          <w:rStyle w:val="FootnoteReference"/>
          <w:rFonts w:cstheme="minorHAnsi"/>
          <w:sz w:val="24"/>
          <w:szCs w:val="24"/>
        </w:rPr>
        <w:footnoteReference w:id="7"/>
      </w:r>
      <w:r w:rsidRPr="004D0AEB">
        <w:rPr>
          <w:rFonts w:cstheme="minorHAnsi"/>
          <w:sz w:val="24"/>
          <w:szCs w:val="24"/>
        </w:rPr>
        <w:t xml:space="preserve"> and Holly Toensing</w:t>
      </w:r>
      <w:r w:rsidRPr="004D0AEB">
        <w:rPr>
          <w:rStyle w:val="FootnoteReference"/>
          <w:rFonts w:cstheme="minorHAnsi"/>
          <w:sz w:val="24"/>
          <w:szCs w:val="24"/>
        </w:rPr>
        <w:footnoteReference w:id="8"/>
      </w:r>
      <w:r w:rsidRPr="004D0AEB">
        <w:rPr>
          <w:rFonts w:cstheme="minorHAnsi"/>
          <w:sz w:val="24"/>
          <w:szCs w:val="24"/>
        </w:rPr>
        <w:t>. It is vital to note that although I will be examining contrasting interpretations to the classic belief, I will not be attempting to argue that Lot’s parable cannot, or does not, condemn homosexuality. Rather, I will be arguing that a homosexual interpretation is plausible, through revisiting Islamic tradition</w:t>
      </w:r>
      <w:r w:rsidR="00684634" w:rsidRPr="004D0AEB">
        <w:rPr>
          <w:rFonts w:cstheme="minorHAnsi"/>
          <w:sz w:val="24"/>
          <w:szCs w:val="24"/>
        </w:rPr>
        <w:t>,</w:t>
      </w:r>
      <w:r w:rsidRPr="004D0AEB">
        <w:rPr>
          <w:rFonts w:cstheme="minorHAnsi"/>
          <w:sz w:val="24"/>
          <w:szCs w:val="24"/>
        </w:rPr>
        <w:t xml:space="preserve"> in terms of the Qur’an, and attempting to look beyond the narrowly focused classic interpretation, to a more </w:t>
      </w:r>
      <w:r w:rsidR="00397D66" w:rsidRPr="004D0AEB">
        <w:rPr>
          <w:rFonts w:cstheme="minorHAnsi"/>
          <w:sz w:val="24"/>
          <w:szCs w:val="24"/>
        </w:rPr>
        <w:t>sexually diverse</w:t>
      </w:r>
      <w:r w:rsidRPr="004D0AEB">
        <w:rPr>
          <w:rFonts w:cstheme="minorHAnsi"/>
          <w:sz w:val="24"/>
          <w:szCs w:val="24"/>
        </w:rPr>
        <w:t xml:space="preserve"> reading. </w:t>
      </w:r>
    </w:p>
    <w:p w14:paraId="12D38B53" w14:textId="2A9261C6" w:rsidR="00F118E5" w:rsidRPr="004D0AEB" w:rsidRDefault="00F118E5" w:rsidP="00BD069B">
      <w:pPr>
        <w:spacing w:line="480" w:lineRule="auto"/>
        <w:rPr>
          <w:rFonts w:cstheme="minorHAnsi"/>
          <w:sz w:val="24"/>
          <w:szCs w:val="24"/>
        </w:rPr>
      </w:pPr>
      <w:r w:rsidRPr="004D0AEB">
        <w:rPr>
          <w:rFonts w:cstheme="minorHAnsi"/>
          <w:sz w:val="24"/>
          <w:szCs w:val="24"/>
        </w:rPr>
        <w:t xml:space="preserve">I will analyse these contrasting interpretations through using tools within Islam, </w:t>
      </w:r>
      <w:r w:rsidR="00334246" w:rsidRPr="004D0AEB">
        <w:rPr>
          <w:rFonts w:cstheme="minorHAnsi"/>
          <w:sz w:val="24"/>
          <w:szCs w:val="24"/>
        </w:rPr>
        <w:t>to</w:t>
      </w:r>
      <w:r w:rsidRPr="004D0AEB">
        <w:rPr>
          <w:rFonts w:cstheme="minorHAnsi"/>
          <w:sz w:val="24"/>
          <w:szCs w:val="24"/>
        </w:rPr>
        <w:t xml:space="preserve"> internally legitimise and secure a supported homosexual reading. I will be making use of Scott Kugle’s</w:t>
      </w:r>
      <w:r w:rsidRPr="004D0AEB">
        <w:rPr>
          <w:rStyle w:val="FootnoteReference"/>
          <w:rFonts w:cstheme="minorHAnsi"/>
          <w:sz w:val="24"/>
          <w:szCs w:val="24"/>
        </w:rPr>
        <w:footnoteReference w:id="9"/>
      </w:r>
      <w:r w:rsidRPr="004D0AEB">
        <w:rPr>
          <w:rFonts w:cstheme="minorHAnsi"/>
          <w:sz w:val="24"/>
          <w:szCs w:val="24"/>
        </w:rPr>
        <w:t xml:space="preserve"> conceptual theory of Quranic interpretation to argue this, through applying his interpretive Tools and Principles to my Quranic analysis, to analyse whether a homosexual interpretation is plausible. Another core aim of this research is to provide an historical examination of homosexuality within Islam. I will be drawing upon Shoaib Daniyal’s</w:t>
      </w:r>
      <w:r w:rsidRPr="004D0AEB">
        <w:rPr>
          <w:rStyle w:val="FootnoteReference"/>
          <w:rFonts w:cstheme="minorHAnsi"/>
          <w:sz w:val="24"/>
          <w:szCs w:val="24"/>
        </w:rPr>
        <w:footnoteReference w:id="10"/>
      </w:r>
      <w:r w:rsidRPr="004D0AEB">
        <w:rPr>
          <w:rFonts w:cstheme="minorHAnsi"/>
          <w:sz w:val="24"/>
          <w:szCs w:val="24"/>
        </w:rPr>
        <w:t xml:space="preserve"> literature, to explore the key historic period of The Golden Age</w:t>
      </w:r>
      <w:r w:rsidRPr="004D0AEB">
        <w:rPr>
          <w:rStyle w:val="FootnoteReference"/>
          <w:rFonts w:cstheme="minorHAnsi"/>
          <w:sz w:val="24"/>
          <w:szCs w:val="24"/>
        </w:rPr>
        <w:footnoteReference w:id="11"/>
      </w:r>
      <w:r w:rsidRPr="004D0AEB">
        <w:rPr>
          <w:rFonts w:cstheme="minorHAnsi"/>
          <w:sz w:val="24"/>
          <w:szCs w:val="24"/>
        </w:rPr>
        <w:t>, whilst also examining the development of homosexuality throughout history, specifically analysing why a change in attitude occurred towards same</w:t>
      </w:r>
      <w:r w:rsidR="00BC5BD3" w:rsidRPr="004D0AEB">
        <w:rPr>
          <w:rFonts w:cstheme="minorHAnsi"/>
          <w:sz w:val="24"/>
          <w:szCs w:val="24"/>
        </w:rPr>
        <w:t>-</w:t>
      </w:r>
      <w:r w:rsidRPr="004D0AEB">
        <w:rPr>
          <w:rFonts w:cstheme="minorHAnsi"/>
          <w:sz w:val="24"/>
          <w:szCs w:val="24"/>
        </w:rPr>
        <w:t>sex. This research also aims to examine the Sharia law, and its potential to be compatible with homosexuality. I will specifically be making use of Abu Ishaq al-Shatibi’s</w:t>
      </w:r>
      <w:r w:rsidRPr="004D0AEB">
        <w:rPr>
          <w:rStyle w:val="FootnoteReference"/>
          <w:rFonts w:cstheme="minorHAnsi"/>
          <w:sz w:val="24"/>
          <w:szCs w:val="24"/>
        </w:rPr>
        <w:footnoteReference w:id="12"/>
      </w:r>
      <w:r w:rsidRPr="004D0AEB">
        <w:rPr>
          <w:rFonts w:cstheme="minorHAnsi"/>
          <w:sz w:val="24"/>
          <w:szCs w:val="24"/>
        </w:rPr>
        <w:t xml:space="preserve"> adaption theory of Sharia, applying his five principles to my analyses, </w:t>
      </w:r>
      <w:r w:rsidR="004F6725" w:rsidRPr="004D0AEB">
        <w:rPr>
          <w:rFonts w:cstheme="minorHAnsi"/>
          <w:sz w:val="24"/>
          <w:szCs w:val="24"/>
        </w:rPr>
        <w:t>to</w:t>
      </w:r>
      <w:r w:rsidRPr="004D0AEB">
        <w:rPr>
          <w:rFonts w:cstheme="minorHAnsi"/>
          <w:sz w:val="24"/>
          <w:szCs w:val="24"/>
        </w:rPr>
        <w:t xml:space="preserve"> </w:t>
      </w:r>
      <w:r w:rsidR="00D91F7E" w:rsidRPr="004D0AEB">
        <w:rPr>
          <w:rFonts w:cstheme="minorHAnsi"/>
          <w:sz w:val="24"/>
          <w:szCs w:val="24"/>
        </w:rPr>
        <w:t xml:space="preserve">evaluate </w:t>
      </w:r>
      <w:r w:rsidRPr="004D0AEB">
        <w:rPr>
          <w:rFonts w:cstheme="minorHAnsi"/>
          <w:sz w:val="24"/>
          <w:szCs w:val="24"/>
        </w:rPr>
        <w:t xml:space="preserve">their wealth </w:t>
      </w:r>
      <w:r w:rsidR="00D91F7E" w:rsidRPr="004D0AEB">
        <w:rPr>
          <w:rFonts w:cstheme="minorHAnsi"/>
          <w:sz w:val="24"/>
          <w:szCs w:val="24"/>
        </w:rPr>
        <w:t>in terms of a</w:t>
      </w:r>
      <w:r w:rsidRPr="004D0AEB">
        <w:rPr>
          <w:rFonts w:cstheme="minorHAnsi"/>
          <w:sz w:val="24"/>
          <w:szCs w:val="24"/>
        </w:rPr>
        <w:t xml:space="preserve"> supportive homosexual perspective. </w:t>
      </w:r>
    </w:p>
    <w:p w14:paraId="5894A1E1" w14:textId="412570FB" w:rsidR="00F118E5" w:rsidRPr="004D0AEB" w:rsidRDefault="00F118E5" w:rsidP="00BD069B">
      <w:pPr>
        <w:spacing w:line="480" w:lineRule="auto"/>
        <w:rPr>
          <w:rFonts w:cstheme="minorHAnsi"/>
          <w:sz w:val="24"/>
          <w:szCs w:val="24"/>
        </w:rPr>
      </w:pPr>
      <w:r w:rsidRPr="004D0AEB">
        <w:rPr>
          <w:rFonts w:cstheme="minorHAnsi"/>
          <w:sz w:val="24"/>
          <w:szCs w:val="24"/>
        </w:rPr>
        <w:lastRenderedPageBreak/>
        <w:t>In addition, a core aim of this research is to look beyond the orthodox condemnation of Islamic homosexuality, and to rather, extract a liberative reading for homosexual Muslims. I will thus be drawing upon Esack’s</w:t>
      </w:r>
      <w:r w:rsidRPr="004D0AEB">
        <w:rPr>
          <w:rStyle w:val="FootnoteReference"/>
          <w:rFonts w:cstheme="minorHAnsi"/>
          <w:sz w:val="24"/>
          <w:szCs w:val="24"/>
        </w:rPr>
        <w:footnoteReference w:id="13"/>
      </w:r>
      <w:r w:rsidRPr="004D0AEB">
        <w:rPr>
          <w:rFonts w:cstheme="minorHAnsi"/>
          <w:sz w:val="24"/>
          <w:szCs w:val="24"/>
        </w:rPr>
        <w:t xml:space="preserve"> Liberation Theology, which argues that marginalised communities can extract justice from the Qur’an, to liberate themselves from oppression (p.83). As homosexual Muslims represent a</w:t>
      </w:r>
      <w:r w:rsidR="00B22916" w:rsidRPr="004D0AEB">
        <w:rPr>
          <w:rFonts w:cstheme="minorHAnsi"/>
          <w:sz w:val="24"/>
          <w:szCs w:val="24"/>
        </w:rPr>
        <w:t xml:space="preserve"> marginalised </w:t>
      </w:r>
      <w:r w:rsidRPr="004D0AEB">
        <w:rPr>
          <w:rFonts w:cstheme="minorHAnsi"/>
          <w:sz w:val="24"/>
          <w:szCs w:val="24"/>
        </w:rPr>
        <w:t>community, I will be drawing upon Esack’s theory to interpret my analysis</w:t>
      </w:r>
      <w:r w:rsidR="00BE7C49" w:rsidRPr="004D0AEB">
        <w:rPr>
          <w:rFonts w:cstheme="minorHAnsi"/>
          <w:sz w:val="24"/>
          <w:szCs w:val="24"/>
        </w:rPr>
        <w:t xml:space="preserve"> on a</w:t>
      </w:r>
      <w:r w:rsidRPr="004D0AEB">
        <w:rPr>
          <w:rFonts w:cstheme="minorHAnsi"/>
          <w:sz w:val="24"/>
          <w:szCs w:val="24"/>
        </w:rPr>
        <w:t xml:space="preserve"> possible homosexual </w:t>
      </w:r>
      <w:r w:rsidR="00BE7C49" w:rsidRPr="004D0AEB">
        <w:rPr>
          <w:rFonts w:cstheme="minorHAnsi"/>
          <w:sz w:val="24"/>
          <w:szCs w:val="24"/>
        </w:rPr>
        <w:t>passage</w:t>
      </w:r>
      <w:r w:rsidR="00DA7CA6" w:rsidRPr="004D0AEB">
        <w:rPr>
          <w:rFonts w:cstheme="minorHAnsi"/>
          <w:sz w:val="24"/>
          <w:szCs w:val="24"/>
        </w:rPr>
        <w:t xml:space="preserve"> reading.</w:t>
      </w:r>
    </w:p>
    <w:p w14:paraId="59130D74" w14:textId="77777777" w:rsidR="00F118E5" w:rsidRPr="004D0AEB" w:rsidRDefault="00F118E5" w:rsidP="00BD069B">
      <w:pPr>
        <w:spacing w:line="480" w:lineRule="auto"/>
        <w:rPr>
          <w:rFonts w:cstheme="minorHAnsi"/>
          <w:sz w:val="24"/>
          <w:szCs w:val="24"/>
        </w:rPr>
      </w:pPr>
    </w:p>
    <w:p w14:paraId="4AF7F761" w14:textId="77777777" w:rsidR="00F118E5" w:rsidRPr="004D0AEB" w:rsidRDefault="00F118E5" w:rsidP="00BD069B">
      <w:pPr>
        <w:spacing w:line="480" w:lineRule="auto"/>
        <w:rPr>
          <w:rFonts w:cstheme="minorHAnsi"/>
          <w:b/>
          <w:bCs/>
          <w:sz w:val="24"/>
          <w:szCs w:val="24"/>
        </w:rPr>
      </w:pPr>
      <w:r w:rsidRPr="004D0AEB">
        <w:rPr>
          <w:rFonts w:cstheme="minorHAnsi"/>
          <w:b/>
          <w:bCs/>
          <w:sz w:val="24"/>
          <w:szCs w:val="24"/>
        </w:rPr>
        <w:t>Research Value</w:t>
      </w:r>
    </w:p>
    <w:p w14:paraId="25DA0EB8" w14:textId="50B38F8D" w:rsidR="00F118E5" w:rsidRPr="004D0AEB" w:rsidRDefault="00F118E5" w:rsidP="00BD069B">
      <w:pPr>
        <w:spacing w:line="480" w:lineRule="auto"/>
        <w:rPr>
          <w:rFonts w:cstheme="minorHAnsi"/>
          <w:sz w:val="24"/>
          <w:szCs w:val="24"/>
        </w:rPr>
      </w:pPr>
      <w:r w:rsidRPr="004D0AEB">
        <w:rPr>
          <w:rFonts w:cstheme="minorHAnsi"/>
          <w:sz w:val="24"/>
          <w:szCs w:val="24"/>
        </w:rPr>
        <w:t xml:space="preserve">The field of homosexuality and religion remains a developing one, due to the consistent evolution of modern society and thus emergent groups, such as LGBT. Religious texts are </w:t>
      </w:r>
      <w:r w:rsidR="00DA7CA6" w:rsidRPr="004D0AEB">
        <w:rPr>
          <w:rFonts w:cstheme="minorHAnsi"/>
          <w:sz w:val="24"/>
          <w:szCs w:val="24"/>
        </w:rPr>
        <w:t xml:space="preserve">thus </w:t>
      </w:r>
      <w:r w:rsidRPr="004D0AEB">
        <w:rPr>
          <w:rFonts w:cstheme="minorHAnsi"/>
          <w:sz w:val="24"/>
          <w:szCs w:val="24"/>
        </w:rPr>
        <w:t xml:space="preserve">consistently being re-examined, with traditional interpretations being questioned. This enables my research to add to the developing field of sexuality, through a specific focus on a textual Quranic analysis, to support </w:t>
      </w:r>
      <w:r w:rsidR="008F42EF" w:rsidRPr="004D0AEB">
        <w:rPr>
          <w:rFonts w:cstheme="minorHAnsi"/>
          <w:sz w:val="24"/>
          <w:szCs w:val="24"/>
        </w:rPr>
        <w:t>Islamic homosexuality</w:t>
      </w:r>
      <w:r w:rsidRPr="004D0AEB">
        <w:rPr>
          <w:rFonts w:cstheme="minorHAnsi"/>
          <w:sz w:val="24"/>
          <w:szCs w:val="24"/>
        </w:rPr>
        <w:t>. Ethnographic works are undeniably prominent amongst this field of research, with an array of anthropological literature eminent</w:t>
      </w:r>
      <w:r w:rsidRPr="004D0AEB">
        <w:rPr>
          <w:rStyle w:val="FootnoteReference"/>
          <w:rFonts w:cstheme="minorHAnsi"/>
          <w:sz w:val="24"/>
          <w:szCs w:val="24"/>
        </w:rPr>
        <w:t xml:space="preserve"> </w:t>
      </w:r>
      <w:r w:rsidRPr="004D0AEB">
        <w:rPr>
          <w:rStyle w:val="FootnoteReference"/>
          <w:rFonts w:cstheme="minorHAnsi"/>
          <w:sz w:val="24"/>
          <w:szCs w:val="24"/>
        </w:rPr>
        <w:footnoteReference w:id="14"/>
      </w:r>
      <w:r w:rsidRPr="004D0AEB">
        <w:rPr>
          <w:rFonts w:cstheme="minorHAnsi"/>
          <w:sz w:val="24"/>
          <w:szCs w:val="24"/>
        </w:rPr>
        <w:t xml:space="preserve">. However, there appears to be </w:t>
      </w:r>
      <w:r w:rsidR="002B7CF3" w:rsidRPr="004D0AEB">
        <w:rPr>
          <w:rFonts w:cstheme="minorHAnsi"/>
          <w:sz w:val="24"/>
          <w:szCs w:val="24"/>
        </w:rPr>
        <w:t>less</w:t>
      </w:r>
      <w:r w:rsidRPr="004D0AEB">
        <w:rPr>
          <w:rFonts w:cstheme="minorHAnsi"/>
          <w:sz w:val="24"/>
          <w:szCs w:val="24"/>
        </w:rPr>
        <w:t xml:space="preserve"> literature from a theological perspective, thus, my research will add to the field, being specifically focused on a doctrinal approach. This research will also contribute a narrowly focused study, through analysing one key Quranic passage of debate, resulting in a detailed investigation, with analytic depth. In addition, my research conveys two prominent approaches to the field of homosexuality and Islam. Firstly, I attempt to legitimise a homosexual reading through the religion Islam </w:t>
      </w:r>
      <w:r w:rsidRPr="004D0AEB">
        <w:rPr>
          <w:rFonts w:cstheme="minorHAnsi"/>
          <w:sz w:val="24"/>
          <w:szCs w:val="24"/>
        </w:rPr>
        <w:lastRenderedPageBreak/>
        <w:t xml:space="preserve">itself, justifying my argument through use </w:t>
      </w:r>
      <w:r w:rsidR="00ED7227" w:rsidRPr="004D0AEB">
        <w:rPr>
          <w:rFonts w:cstheme="minorHAnsi"/>
          <w:sz w:val="24"/>
          <w:szCs w:val="24"/>
        </w:rPr>
        <w:t>its</w:t>
      </w:r>
      <w:r w:rsidRPr="004D0AEB">
        <w:rPr>
          <w:rFonts w:cstheme="minorHAnsi"/>
          <w:sz w:val="24"/>
          <w:szCs w:val="24"/>
        </w:rPr>
        <w:t xml:space="preserve"> core holy text, whilst also drawing upon Esack’s Liberation Theology, applying an interpretive lens </w:t>
      </w:r>
      <w:r w:rsidR="009D1B4A" w:rsidRPr="004D0AEB">
        <w:rPr>
          <w:rFonts w:cstheme="minorHAnsi"/>
          <w:sz w:val="24"/>
          <w:szCs w:val="24"/>
        </w:rPr>
        <w:t>to</w:t>
      </w:r>
      <w:r w:rsidRPr="004D0AEB">
        <w:rPr>
          <w:rFonts w:cstheme="minorHAnsi"/>
          <w:sz w:val="24"/>
          <w:szCs w:val="24"/>
        </w:rPr>
        <w:t xml:space="preserve"> extract justice and support</w:t>
      </w:r>
      <w:r w:rsidR="009D1B4A" w:rsidRPr="004D0AEB">
        <w:rPr>
          <w:rFonts w:cstheme="minorHAnsi"/>
          <w:sz w:val="24"/>
          <w:szCs w:val="24"/>
        </w:rPr>
        <w:t xml:space="preserve"> </w:t>
      </w:r>
      <w:r w:rsidRPr="004D0AEB">
        <w:rPr>
          <w:rFonts w:cstheme="minorHAnsi"/>
          <w:sz w:val="24"/>
          <w:szCs w:val="24"/>
        </w:rPr>
        <w:t xml:space="preserve">the </w:t>
      </w:r>
      <w:r w:rsidR="009D1B4A" w:rsidRPr="004D0AEB">
        <w:rPr>
          <w:rFonts w:cstheme="minorHAnsi"/>
          <w:sz w:val="24"/>
          <w:szCs w:val="24"/>
        </w:rPr>
        <w:t>oppressed.</w:t>
      </w:r>
    </w:p>
    <w:p w14:paraId="39737173" w14:textId="31D164B8" w:rsidR="00F118E5" w:rsidRPr="004D0AEB" w:rsidRDefault="00F118E5" w:rsidP="00BD069B">
      <w:pPr>
        <w:spacing w:line="480" w:lineRule="auto"/>
        <w:rPr>
          <w:rFonts w:cstheme="minorHAnsi"/>
          <w:sz w:val="24"/>
          <w:szCs w:val="24"/>
        </w:rPr>
      </w:pPr>
      <w:r w:rsidRPr="004D0AEB">
        <w:rPr>
          <w:rFonts w:cstheme="minorHAnsi"/>
          <w:sz w:val="24"/>
          <w:szCs w:val="24"/>
        </w:rPr>
        <w:t>Over the next four chapters, I will</w:t>
      </w:r>
      <w:r w:rsidR="009D1B4A" w:rsidRPr="004D0AEB">
        <w:rPr>
          <w:rFonts w:cstheme="minorHAnsi"/>
          <w:sz w:val="24"/>
          <w:szCs w:val="24"/>
        </w:rPr>
        <w:t xml:space="preserve"> thus</w:t>
      </w:r>
      <w:r w:rsidRPr="004D0AEB">
        <w:rPr>
          <w:rFonts w:cstheme="minorHAnsi"/>
          <w:sz w:val="24"/>
          <w:szCs w:val="24"/>
        </w:rPr>
        <w:t xml:space="preserve"> be examining the concept of homosexuality throughout Islamic history, whilst also evaluating the tradition of Sharia, and its potential compatibility with an LGBT perspective. I will then proceed to analyse the issues and complexities of interpretation, as interpretation is key whilst analysing LGBT narratives. Esack’s Liberation Theology will be drawn upon throughout</w:t>
      </w:r>
      <w:r w:rsidR="00075EA6" w:rsidRPr="004D0AEB">
        <w:rPr>
          <w:rFonts w:cstheme="minorHAnsi"/>
          <w:sz w:val="24"/>
          <w:szCs w:val="24"/>
        </w:rPr>
        <w:t>, when applicable,</w:t>
      </w:r>
      <w:r w:rsidRPr="004D0AEB">
        <w:rPr>
          <w:rFonts w:cstheme="minorHAnsi"/>
          <w:sz w:val="24"/>
          <w:szCs w:val="24"/>
        </w:rPr>
        <w:t xml:space="preserve"> to interpret my findings and support my arguments.</w:t>
      </w:r>
    </w:p>
    <w:p w14:paraId="1CD422FE" w14:textId="77777777" w:rsidR="00F118E5" w:rsidRPr="004D0AEB" w:rsidRDefault="00F118E5" w:rsidP="00BD069B">
      <w:pPr>
        <w:spacing w:line="480" w:lineRule="auto"/>
        <w:rPr>
          <w:rFonts w:cstheme="minorHAnsi"/>
          <w:sz w:val="24"/>
          <w:szCs w:val="24"/>
        </w:rPr>
      </w:pPr>
    </w:p>
    <w:p w14:paraId="114F386D" w14:textId="77777777" w:rsidR="00F118E5" w:rsidRPr="004D0AEB" w:rsidRDefault="00F118E5" w:rsidP="00BD069B">
      <w:pPr>
        <w:spacing w:line="480" w:lineRule="auto"/>
        <w:rPr>
          <w:rFonts w:cstheme="minorHAnsi"/>
          <w:b/>
          <w:bCs/>
          <w:sz w:val="24"/>
          <w:szCs w:val="24"/>
        </w:rPr>
      </w:pPr>
      <w:r w:rsidRPr="004D0AEB">
        <w:rPr>
          <w:rFonts w:cstheme="minorHAnsi"/>
          <w:b/>
          <w:bCs/>
          <w:sz w:val="24"/>
          <w:szCs w:val="24"/>
        </w:rPr>
        <w:t>Literature Review</w:t>
      </w:r>
    </w:p>
    <w:p w14:paraId="27347262" w14:textId="5F5FE128" w:rsidR="00F118E5" w:rsidRPr="004D0AEB" w:rsidRDefault="00F118E5" w:rsidP="00BD069B">
      <w:pPr>
        <w:spacing w:line="480" w:lineRule="auto"/>
        <w:rPr>
          <w:rFonts w:cstheme="minorHAnsi"/>
          <w:sz w:val="24"/>
          <w:szCs w:val="24"/>
        </w:rPr>
      </w:pPr>
      <w:bookmarkStart w:id="0" w:name="_Hlk17415698"/>
      <w:r w:rsidRPr="004D0AEB">
        <w:rPr>
          <w:rFonts w:cstheme="minorHAnsi"/>
          <w:sz w:val="24"/>
          <w:szCs w:val="24"/>
        </w:rPr>
        <w:t xml:space="preserve">There is a sufficient amount of academic literature available concerning homosexuality within Islam, specifically in the form of scholarly books and journal articles. There are particular scholars who have contributed towards the field that </w:t>
      </w:r>
      <w:r w:rsidR="003414E8" w:rsidRPr="004D0AEB">
        <w:rPr>
          <w:rFonts w:cstheme="minorHAnsi"/>
          <w:sz w:val="24"/>
          <w:szCs w:val="24"/>
        </w:rPr>
        <w:t>are vital to</w:t>
      </w:r>
      <w:r w:rsidRPr="004D0AEB">
        <w:rPr>
          <w:rFonts w:cstheme="minorHAnsi"/>
          <w:sz w:val="24"/>
          <w:szCs w:val="24"/>
        </w:rPr>
        <w:t xml:space="preserve"> discuss here. Firstly, </w:t>
      </w:r>
      <w:r w:rsidR="008B51AE" w:rsidRPr="004D0AEB">
        <w:rPr>
          <w:rFonts w:cstheme="minorHAnsi"/>
          <w:sz w:val="24"/>
          <w:szCs w:val="24"/>
        </w:rPr>
        <w:t xml:space="preserve">is </w:t>
      </w:r>
      <w:r w:rsidRPr="004D0AEB">
        <w:rPr>
          <w:rFonts w:cstheme="minorHAnsi"/>
          <w:sz w:val="24"/>
          <w:szCs w:val="24"/>
        </w:rPr>
        <w:t>Farid Esack’s</w:t>
      </w:r>
      <w:r w:rsidR="008B51AE" w:rsidRPr="004D0AEB">
        <w:rPr>
          <w:rFonts w:cstheme="minorHAnsi"/>
          <w:sz w:val="24"/>
          <w:szCs w:val="24"/>
        </w:rPr>
        <w:t xml:space="preserve"> prominent</w:t>
      </w:r>
      <w:r w:rsidRPr="004D0AEB">
        <w:rPr>
          <w:rFonts w:cstheme="minorHAnsi"/>
          <w:sz w:val="24"/>
          <w:szCs w:val="24"/>
        </w:rPr>
        <w:t xml:space="preserve"> literature; </w:t>
      </w:r>
      <w:r w:rsidRPr="004D0AEB">
        <w:rPr>
          <w:rFonts w:cstheme="minorHAnsi"/>
          <w:i/>
          <w:iCs/>
          <w:sz w:val="24"/>
          <w:szCs w:val="24"/>
        </w:rPr>
        <w:t xml:space="preserve">Qur’an Liberation and Pluralism </w:t>
      </w:r>
      <w:r w:rsidRPr="004D0AEB">
        <w:rPr>
          <w:rFonts w:cstheme="minorHAnsi"/>
          <w:sz w:val="24"/>
          <w:szCs w:val="24"/>
        </w:rPr>
        <w:t>(1996).</w:t>
      </w:r>
      <w:r w:rsidRPr="004D0AEB">
        <w:rPr>
          <w:rFonts w:cstheme="minorHAnsi"/>
          <w:i/>
          <w:iCs/>
          <w:sz w:val="24"/>
          <w:szCs w:val="24"/>
        </w:rPr>
        <w:t xml:space="preserve"> </w:t>
      </w:r>
      <w:r w:rsidRPr="004D0AEB">
        <w:rPr>
          <w:rFonts w:cstheme="minorHAnsi"/>
          <w:sz w:val="24"/>
          <w:szCs w:val="24"/>
        </w:rPr>
        <w:t>Reading Esack’s work is crucial whilst analysing a sexually sensitive interpretation of the Qur’an, as the scholar argues a liberative theolog</w:t>
      </w:r>
      <w:r w:rsidR="009A5152" w:rsidRPr="004D0AEB">
        <w:rPr>
          <w:rFonts w:cstheme="minorHAnsi"/>
          <w:sz w:val="24"/>
          <w:szCs w:val="24"/>
        </w:rPr>
        <w:t>y,</w:t>
      </w:r>
      <w:r w:rsidRPr="004D0AEB">
        <w:rPr>
          <w:rFonts w:cstheme="minorHAnsi"/>
          <w:sz w:val="24"/>
          <w:szCs w:val="24"/>
        </w:rPr>
        <w:t xml:space="preserve"> in which an oppressed individual is able to extract justice from a text, to become free from all forms of exploitation and religious injustice (1997, p.83). This source has thus equipped me with a theoretical perspective in which to draw upon, whilst also being pivotal towards interpreting my primary findings (Thin, 2014, p.40). Esack’s work is specifically based on the South African apartheid demise of the 1980’s, and the struggle which existed to attain liberation from the oppression of racial hierarchies and other faith intrusions, however it’s theoretical application is not limited to this period </w:t>
      </w:r>
      <w:r w:rsidRPr="004D0AEB">
        <w:rPr>
          <w:rFonts w:cstheme="minorHAnsi"/>
          <w:sz w:val="24"/>
          <w:szCs w:val="24"/>
        </w:rPr>
        <w:lastRenderedPageBreak/>
        <w:t xml:space="preserve">(Esack, 1997, p.19). This literature is extremely useful as it not only argues from a social perspective; to liberate </w:t>
      </w:r>
      <w:r w:rsidR="004C3B3D" w:rsidRPr="004D0AEB">
        <w:rPr>
          <w:rFonts w:cstheme="minorHAnsi"/>
          <w:sz w:val="24"/>
          <w:szCs w:val="24"/>
        </w:rPr>
        <w:t>marginalised</w:t>
      </w:r>
      <w:r w:rsidRPr="004D0AEB">
        <w:rPr>
          <w:rFonts w:cstheme="minorHAnsi"/>
          <w:sz w:val="24"/>
          <w:szCs w:val="24"/>
        </w:rPr>
        <w:t xml:space="preserve"> communities, but it also explores this</w:t>
      </w:r>
      <w:r w:rsidR="00D530B3" w:rsidRPr="004D0AEB">
        <w:rPr>
          <w:rFonts w:cstheme="minorHAnsi"/>
          <w:sz w:val="24"/>
          <w:szCs w:val="24"/>
        </w:rPr>
        <w:t xml:space="preserve"> concept</w:t>
      </w:r>
      <w:r w:rsidRPr="004D0AEB">
        <w:rPr>
          <w:rFonts w:cstheme="minorHAnsi"/>
          <w:sz w:val="24"/>
          <w:szCs w:val="24"/>
        </w:rPr>
        <w:t xml:space="preserve"> through a legalistic and theological lens, </w:t>
      </w:r>
      <w:r w:rsidR="00D530B3" w:rsidRPr="004D0AEB">
        <w:rPr>
          <w:rFonts w:cstheme="minorHAnsi"/>
          <w:sz w:val="24"/>
          <w:szCs w:val="24"/>
        </w:rPr>
        <w:t>with</w:t>
      </w:r>
      <w:r w:rsidRPr="004D0AEB">
        <w:rPr>
          <w:rFonts w:cstheme="minorHAnsi"/>
          <w:sz w:val="24"/>
          <w:szCs w:val="24"/>
        </w:rPr>
        <w:t xml:space="preserve"> the foundation of this theory l</w:t>
      </w:r>
      <w:r w:rsidR="00D530B3" w:rsidRPr="004D0AEB">
        <w:rPr>
          <w:rFonts w:cstheme="minorHAnsi"/>
          <w:sz w:val="24"/>
          <w:szCs w:val="24"/>
        </w:rPr>
        <w:t>ying</w:t>
      </w:r>
      <w:r w:rsidRPr="004D0AEB">
        <w:rPr>
          <w:rFonts w:cstheme="minorHAnsi"/>
          <w:sz w:val="24"/>
          <w:szCs w:val="24"/>
        </w:rPr>
        <w:t xml:space="preserve"> within the Qur’an and its interpretive prospects. Esack’s central argument is that the Qur’an itself is extremely liberating, if interpreted in the context of the vulnerabl</w:t>
      </w:r>
      <w:r w:rsidR="00640922" w:rsidRPr="004D0AEB">
        <w:rPr>
          <w:rFonts w:cstheme="minorHAnsi"/>
          <w:sz w:val="24"/>
          <w:szCs w:val="24"/>
        </w:rPr>
        <w:t>e</w:t>
      </w:r>
      <w:r w:rsidRPr="004D0AEB">
        <w:rPr>
          <w:rFonts w:cstheme="minorHAnsi"/>
          <w:sz w:val="24"/>
          <w:szCs w:val="24"/>
        </w:rPr>
        <w:t xml:space="preserve">, however it is also in need of liberation by Muslims, who can release the holy text from its prior interpretations of </w:t>
      </w:r>
      <w:r w:rsidR="00640922" w:rsidRPr="004D0AEB">
        <w:rPr>
          <w:rFonts w:cstheme="minorHAnsi"/>
          <w:sz w:val="24"/>
          <w:szCs w:val="24"/>
        </w:rPr>
        <w:t>persecution</w:t>
      </w:r>
      <w:r w:rsidRPr="004D0AEB">
        <w:rPr>
          <w:rFonts w:cstheme="minorHAnsi"/>
          <w:sz w:val="24"/>
          <w:szCs w:val="24"/>
        </w:rPr>
        <w:t xml:space="preserve"> (Esack, 1997, p.83). This literature thus offers an excellent</w:t>
      </w:r>
      <w:r w:rsidR="00452C1B" w:rsidRPr="004D0AEB">
        <w:rPr>
          <w:rFonts w:cstheme="minorHAnsi"/>
          <w:sz w:val="24"/>
          <w:szCs w:val="24"/>
        </w:rPr>
        <w:t xml:space="preserve"> theology to draw up during the study of </w:t>
      </w:r>
      <w:r w:rsidRPr="004D0AEB">
        <w:rPr>
          <w:rFonts w:cstheme="minorHAnsi"/>
          <w:sz w:val="24"/>
          <w:szCs w:val="24"/>
        </w:rPr>
        <w:t>a marginalised community, through offering a lens through which to interpret one’s primary findings in terms of</w:t>
      </w:r>
      <w:r w:rsidR="00B85AE8" w:rsidRPr="004D0AEB">
        <w:rPr>
          <w:rFonts w:cstheme="minorHAnsi"/>
          <w:sz w:val="24"/>
          <w:szCs w:val="24"/>
        </w:rPr>
        <w:t xml:space="preserve"> attaining</w:t>
      </w:r>
      <w:r w:rsidRPr="004D0AEB">
        <w:rPr>
          <w:rFonts w:cstheme="minorHAnsi"/>
          <w:sz w:val="24"/>
          <w:szCs w:val="24"/>
        </w:rPr>
        <w:t xml:space="preserve"> liberation and overcoming oppressio</w:t>
      </w:r>
      <w:r w:rsidR="00B85AE8" w:rsidRPr="004D0AEB">
        <w:rPr>
          <w:rFonts w:cstheme="minorHAnsi"/>
          <w:sz w:val="24"/>
          <w:szCs w:val="24"/>
        </w:rPr>
        <w:t>n.</w:t>
      </w:r>
    </w:p>
    <w:bookmarkEnd w:id="0"/>
    <w:p w14:paraId="2214E9B4" w14:textId="1829E95D" w:rsidR="00F118E5" w:rsidRPr="004D0AEB" w:rsidRDefault="00F118E5" w:rsidP="00BD069B">
      <w:pPr>
        <w:spacing w:line="480" w:lineRule="auto"/>
        <w:rPr>
          <w:rFonts w:cstheme="minorHAnsi"/>
          <w:sz w:val="24"/>
          <w:szCs w:val="24"/>
        </w:rPr>
      </w:pPr>
      <w:r w:rsidRPr="004D0AEB">
        <w:rPr>
          <w:rFonts w:cstheme="minorHAnsi"/>
          <w:sz w:val="24"/>
          <w:szCs w:val="24"/>
        </w:rPr>
        <w:t xml:space="preserve">After gaining a theoretical framework, it is vital to read Scott Siraj al-Haqq Kugle’s (2010) </w:t>
      </w:r>
      <w:r w:rsidRPr="004D0AEB">
        <w:rPr>
          <w:rFonts w:cstheme="minorHAnsi"/>
          <w:i/>
          <w:iCs/>
          <w:sz w:val="24"/>
          <w:szCs w:val="24"/>
        </w:rPr>
        <w:t xml:space="preserve">Homosexuality in Islam; Critical Reflection on Gay, Lesbian, and Transgender Muslims. </w:t>
      </w:r>
      <w:r w:rsidRPr="004D0AEB">
        <w:rPr>
          <w:rFonts w:cstheme="minorHAnsi"/>
          <w:sz w:val="24"/>
          <w:szCs w:val="24"/>
        </w:rPr>
        <w:t>This book is crucial to my argument, as Kugle specially examines how Quranic tools and principles within Islam can be used to argue for a potential homosexual reading. This literature is specifically useful as it highlights the density of scriptural evaluation, illustrating how the process of interpretation is often filled with dispute due to its comp</w:t>
      </w:r>
      <w:r w:rsidR="00297F19" w:rsidRPr="004D0AEB">
        <w:rPr>
          <w:rFonts w:cstheme="minorHAnsi"/>
          <w:sz w:val="24"/>
          <w:szCs w:val="24"/>
        </w:rPr>
        <w:t xml:space="preserve">lex </w:t>
      </w:r>
      <w:r w:rsidRPr="004D0AEB">
        <w:rPr>
          <w:rFonts w:cstheme="minorHAnsi"/>
          <w:sz w:val="24"/>
          <w:szCs w:val="24"/>
        </w:rPr>
        <w:t>process. This literature thus examines specific Quranic passages and the influence they hold concerning homosexuality in Islam</w:t>
      </w:r>
      <w:r w:rsidR="00111A93" w:rsidRPr="004D0AEB">
        <w:rPr>
          <w:rFonts w:cstheme="minorHAnsi"/>
          <w:sz w:val="24"/>
          <w:szCs w:val="24"/>
        </w:rPr>
        <w:t>, such as the</w:t>
      </w:r>
      <w:r w:rsidRPr="004D0AEB">
        <w:rPr>
          <w:rFonts w:cstheme="minorHAnsi"/>
          <w:sz w:val="24"/>
          <w:szCs w:val="24"/>
        </w:rPr>
        <w:t xml:space="preserve"> Story of Lot</w:t>
      </w:r>
      <w:r w:rsidR="007C6632" w:rsidRPr="004D0AEB">
        <w:rPr>
          <w:rFonts w:cstheme="minorHAnsi"/>
          <w:sz w:val="24"/>
          <w:szCs w:val="24"/>
        </w:rPr>
        <w:t xml:space="preserve"> </w:t>
      </w:r>
      <w:r w:rsidR="00111A93" w:rsidRPr="004D0AEB">
        <w:rPr>
          <w:rFonts w:cstheme="minorHAnsi"/>
          <w:sz w:val="24"/>
          <w:szCs w:val="24"/>
        </w:rPr>
        <w:t xml:space="preserve">and its association with </w:t>
      </w:r>
      <w:r w:rsidR="007C6632" w:rsidRPr="004D0AEB">
        <w:rPr>
          <w:rFonts w:cstheme="minorHAnsi"/>
          <w:sz w:val="24"/>
          <w:szCs w:val="24"/>
        </w:rPr>
        <w:t>the sinful</w:t>
      </w:r>
      <w:r w:rsidRPr="004D0AEB">
        <w:rPr>
          <w:rFonts w:cstheme="minorHAnsi"/>
          <w:sz w:val="24"/>
          <w:szCs w:val="24"/>
        </w:rPr>
        <w:t xml:space="preserve">. However, Kugle looks beyond this rigid interpretation, </w:t>
      </w:r>
      <w:r w:rsidR="007C6632" w:rsidRPr="004D0AEB">
        <w:rPr>
          <w:rFonts w:cstheme="minorHAnsi"/>
          <w:sz w:val="24"/>
          <w:szCs w:val="24"/>
        </w:rPr>
        <w:t>evaluating</w:t>
      </w:r>
      <w:r w:rsidRPr="004D0AEB">
        <w:rPr>
          <w:rFonts w:cstheme="minorHAnsi"/>
          <w:sz w:val="24"/>
          <w:szCs w:val="24"/>
        </w:rPr>
        <w:t xml:space="preserve"> its condemnation flaws in an excellent in-depth analysis, whilst placing an emphasis on a constant interpretive search for justice. </w:t>
      </w:r>
      <w:r w:rsidR="000F1945" w:rsidRPr="004D0AEB">
        <w:rPr>
          <w:rFonts w:cstheme="minorHAnsi"/>
          <w:sz w:val="24"/>
          <w:szCs w:val="24"/>
        </w:rPr>
        <w:t>T</w:t>
      </w:r>
      <w:r w:rsidRPr="004D0AEB">
        <w:rPr>
          <w:rFonts w:cstheme="minorHAnsi"/>
          <w:sz w:val="24"/>
          <w:szCs w:val="24"/>
        </w:rPr>
        <w:t xml:space="preserve">his source </w:t>
      </w:r>
      <w:r w:rsidR="000009F4" w:rsidRPr="004D0AEB">
        <w:rPr>
          <w:rFonts w:cstheme="minorHAnsi"/>
          <w:sz w:val="24"/>
          <w:szCs w:val="24"/>
        </w:rPr>
        <w:t>also has value within the field</w:t>
      </w:r>
      <w:r w:rsidRPr="004D0AEB">
        <w:rPr>
          <w:rFonts w:cstheme="minorHAnsi"/>
          <w:sz w:val="24"/>
          <w:szCs w:val="24"/>
        </w:rPr>
        <w:t xml:space="preserve"> as it is one of very few sources to examine the concept of </w:t>
      </w:r>
      <w:r w:rsidR="000009F4" w:rsidRPr="004D0AEB">
        <w:rPr>
          <w:rFonts w:cstheme="minorHAnsi"/>
          <w:sz w:val="24"/>
          <w:szCs w:val="24"/>
        </w:rPr>
        <w:t xml:space="preserve">Islamic </w:t>
      </w:r>
      <w:r w:rsidRPr="004D0AEB">
        <w:rPr>
          <w:rFonts w:cstheme="minorHAnsi"/>
          <w:sz w:val="24"/>
          <w:szCs w:val="24"/>
        </w:rPr>
        <w:t xml:space="preserve">lesbianism. Kugle examines two key Quranic passages in which scholars </w:t>
      </w:r>
      <w:r w:rsidR="000009F4" w:rsidRPr="004D0AEB">
        <w:rPr>
          <w:rFonts w:cstheme="minorHAnsi"/>
          <w:sz w:val="24"/>
          <w:szCs w:val="24"/>
        </w:rPr>
        <w:t>interpret as</w:t>
      </w:r>
      <w:r w:rsidRPr="004D0AEB">
        <w:rPr>
          <w:rFonts w:cstheme="minorHAnsi"/>
          <w:sz w:val="24"/>
          <w:szCs w:val="24"/>
        </w:rPr>
        <w:t xml:space="preserve"> ‘lesbian immorality’, exploring both their wealth and ambiguity. This literature could possibly be criticised through its conservative approach, specifically evident through its discussion of gender as a fixed category, however this gender </w:t>
      </w:r>
      <w:r w:rsidRPr="004D0AEB">
        <w:rPr>
          <w:rFonts w:cstheme="minorHAnsi"/>
          <w:sz w:val="24"/>
          <w:szCs w:val="24"/>
        </w:rPr>
        <w:lastRenderedPageBreak/>
        <w:t xml:space="preserve">categorising arguably fits the purpose of this literature. Overall, this source is indispensable to the study of Islamic homosexuality, due to its theological depth and the </w:t>
      </w:r>
      <w:r w:rsidR="007F3558" w:rsidRPr="004D0AEB">
        <w:rPr>
          <w:rFonts w:cstheme="minorHAnsi"/>
          <w:sz w:val="24"/>
          <w:szCs w:val="24"/>
        </w:rPr>
        <w:t>unique</w:t>
      </w:r>
      <w:r w:rsidRPr="004D0AEB">
        <w:rPr>
          <w:rFonts w:cstheme="minorHAnsi"/>
          <w:sz w:val="24"/>
          <w:szCs w:val="24"/>
        </w:rPr>
        <w:t xml:space="preserve"> examination of homosexual females. </w:t>
      </w:r>
    </w:p>
    <w:p w14:paraId="1756588A" w14:textId="6B281738" w:rsidR="00F118E5" w:rsidRPr="004D0AEB" w:rsidRDefault="00F118E5" w:rsidP="00BD069B">
      <w:pPr>
        <w:spacing w:line="480" w:lineRule="auto"/>
        <w:rPr>
          <w:rFonts w:cstheme="minorHAnsi"/>
          <w:iCs/>
          <w:sz w:val="24"/>
          <w:szCs w:val="24"/>
        </w:rPr>
      </w:pPr>
      <w:r w:rsidRPr="004D0AEB">
        <w:rPr>
          <w:rFonts w:cstheme="minorHAnsi"/>
          <w:sz w:val="24"/>
          <w:szCs w:val="24"/>
        </w:rPr>
        <w:t xml:space="preserve">Another crucial book to mention is Khaled El-Rouayheb’s (2005) </w:t>
      </w:r>
      <w:r w:rsidRPr="004D0AEB">
        <w:rPr>
          <w:rFonts w:cstheme="minorHAnsi"/>
          <w:i/>
          <w:sz w:val="24"/>
          <w:szCs w:val="24"/>
        </w:rPr>
        <w:t xml:space="preserve">Before Homosexuality in the Arab-Islamic World 1500-1800. </w:t>
      </w:r>
      <w:r w:rsidRPr="004D0AEB">
        <w:rPr>
          <w:rFonts w:cstheme="minorHAnsi"/>
          <w:iCs/>
          <w:sz w:val="24"/>
          <w:szCs w:val="24"/>
        </w:rPr>
        <w:t>This source is vital to the study of Islamic homosexuality, as it offers an historical approach, providing a basis of knowledge on homosexuality amongst Muslims and its development. This literature provides both a legalistic and social approach,</w:t>
      </w:r>
      <w:r w:rsidR="00FA3538" w:rsidRPr="004D0AEB">
        <w:rPr>
          <w:rFonts w:cstheme="minorHAnsi"/>
          <w:iCs/>
          <w:sz w:val="24"/>
          <w:szCs w:val="24"/>
        </w:rPr>
        <w:t xml:space="preserve"> </w:t>
      </w:r>
      <w:r w:rsidRPr="004D0AEB">
        <w:rPr>
          <w:rFonts w:cstheme="minorHAnsi"/>
          <w:iCs/>
          <w:sz w:val="24"/>
          <w:szCs w:val="24"/>
        </w:rPr>
        <w:t>with a core discussion of Constructionism versus Essentialism. The author examines the compelling debate of essentialists, whom view the concept of homosexuality as a self-evident fact in the human world, which is shared across historical periods but differs in cultural attitudes, and the constructionists, whom, rather, claim that the concept of homosexuality developed in Europe in the late nineteenth century. This source provided a frame of reference which could be applied to my primary findings as a means of interpretation and analysis. Although El-Rouayheb’s work lacks in a textual, or Quranic, approach, and is thus only useful in terms of an historical approach, it remains a vital source due to its required need as a basis of study within this field</w:t>
      </w:r>
      <w:r w:rsidR="00D457B1" w:rsidRPr="004D0AEB">
        <w:rPr>
          <w:rFonts w:cstheme="minorHAnsi"/>
          <w:iCs/>
          <w:sz w:val="24"/>
          <w:szCs w:val="24"/>
        </w:rPr>
        <w:t>.</w:t>
      </w:r>
    </w:p>
    <w:p w14:paraId="668F57CF" w14:textId="02B88289" w:rsidR="00F118E5" w:rsidRPr="004D0AEB" w:rsidRDefault="00F118E5" w:rsidP="00BD069B">
      <w:pPr>
        <w:spacing w:line="480" w:lineRule="auto"/>
        <w:rPr>
          <w:rFonts w:cstheme="minorHAnsi"/>
          <w:iCs/>
          <w:sz w:val="24"/>
          <w:szCs w:val="24"/>
        </w:rPr>
      </w:pPr>
      <w:r w:rsidRPr="004D0AEB">
        <w:rPr>
          <w:rFonts w:cstheme="minorHAnsi"/>
          <w:iCs/>
          <w:sz w:val="24"/>
          <w:szCs w:val="24"/>
        </w:rPr>
        <w:t xml:space="preserve">In addition, it is vital to mention Shoaib Daniyal and his 2016 work </w:t>
      </w:r>
      <w:r w:rsidRPr="004D0AEB">
        <w:rPr>
          <w:rFonts w:cstheme="minorHAnsi"/>
          <w:i/>
          <w:sz w:val="24"/>
          <w:szCs w:val="24"/>
        </w:rPr>
        <w:t xml:space="preserve">A Historical Look at Attitudes to Homosexuality in the Islamic World. </w:t>
      </w:r>
      <w:r w:rsidRPr="004D0AEB">
        <w:rPr>
          <w:rFonts w:cstheme="minorHAnsi"/>
          <w:iCs/>
          <w:sz w:val="24"/>
          <w:szCs w:val="24"/>
        </w:rPr>
        <w:t xml:space="preserve">This literature also examines homosexuality throughout Islamic history, as it focuses on </w:t>
      </w:r>
      <w:r w:rsidR="00DB25A6" w:rsidRPr="004D0AEB">
        <w:rPr>
          <w:rFonts w:cstheme="minorHAnsi"/>
          <w:iCs/>
          <w:sz w:val="24"/>
          <w:szCs w:val="24"/>
        </w:rPr>
        <w:t>one of the most crucial</w:t>
      </w:r>
      <w:r w:rsidRPr="004D0AEB">
        <w:rPr>
          <w:rFonts w:cstheme="minorHAnsi"/>
          <w:iCs/>
          <w:sz w:val="24"/>
          <w:szCs w:val="24"/>
        </w:rPr>
        <w:t xml:space="preserve"> </w:t>
      </w:r>
      <w:r w:rsidR="00DB25A6" w:rsidRPr="004D0AEB">
        <w:rPr>
          <w:rFonts w:cstheme="minorHAnsi"/>
          <w:iCs/>
          <w:sz w:val="24"/>
          <w:szCs w:val="24"/>
        </w:rPr>
        <w:t>periods</w:t>
      </w:r>
      <w:r w:rsidRPr="004D0AEB">
        <w:rPr>
          <w:rFonts w:cstheme="minorHAnsi"/>
          <w:iCs/>
          <w:sz w:val="24"/>
          <w:szCs w:val="24"/>
        </w:rPr>
        <w:t xml:space="preserve"> within Islam</w:t>
      </w:r>
      <w:r w:rsidR="00DB25A6" w:rsidRPr="004D0AEB">
        <w:rPr>
          <w:rFonts w:cstheme="minorHAnsi"/>
          <w:iCs/>
          <w:sz w:val="24"/>
          <w:szCs w:val="24"/>
        </w:rPr>
        <w:t>i</w:t>
      </w:r>
      <w:r w:rsidR="005553BB" w:rsidRPr="004D0AEB">
        <w:rPr>
          <w:rFonts w:cstheme="minorHAnsi"/>
          <w:iCs/>
          <w:sz w:val="24"/>
          <w:szCs w:val="24"/>
        </w:rPr>
        <w:t>c</w:t>
      </w:r>
      <w:r w:rsidR="00DB25A6" w:rsidRPr="004D0AEB">
        <w:rPr>
          <w:rFonts w:cstheme="minorHAnsi"/>
          <w:iCs/>
          <w:sz w:val="24"/>
          <w:szCs w:val="24"/>
        </w:rPr>
        <w:t xml:space="preserve"> history</w:t>
      </w:r>
      <w:r w:rsidRPr="004D0AEB">
        <w:rPr>
          <w:rFonts w:cstheme="minorHAnsi"/>
          <w:iCs/>
          <w:sz w:val="24"/>
          <w:szCs w:val="24"/>
        </w:rPr>
        <w:t xml:space="preserve"> in terms of homosexuality: The Golden Age. This source is vital whilst considering an LGBT approach to Islam, as it examines the positive attitude towards homosexuality during this age, along with a discussion of historic notable figures and their contribution to the field, in terms of homosexual literature and autobiographies. The source proceeds to </w:t>
      </w:r>
      <w:r w:rsidRPr="004D0AEB">
        <w:rPr>
          <w:rFonts w:cstheme="minorHAnsi"/>
          <w:iCs/>
          <w:sz w:val="24"/>
          <w:szCs w:val="24"/>
        </w:rPr>
        <w:lastRenderedPageBreak/>
        <w:t>explore why th</w:t>
      </w:r>
      <w:r w:rsidR="005553BB" w:rsidRPr="004D0AEB">
        <w:rPr>
          <w:rFonts w:cstheme="minorHAnsi"/>
          <w:iCs/>
          <w:sz w:val="24"/>
          <w:szCs w:val="24"/>
        </w:rPr>
        <w:t>e</w:t>
      </w:r>
      <w:r w:rsidRPr="004D0AEB">
        <w:rPr>
          <w:rFonts w:cstheme="minorHAnsi"/>
          <w:iCs/>
          <w:sz w:val="24"/>
          <w:szCs w:val="24"/>
        </w:rPr>
        <w:t xml:space="preserve"> attitude towards homosexuality </w:t>
      </w:r>
      <w:r w:rsidR="005553BB" w:rsidRPr="004D0AEB">
        <w:rPr>
          <w:rFonts w:cstheme="minorHAnsi"/>
          <w:iCs/>
          <w:sz w:val="24"/>
          <w:szCs w:val="24"/>
        </w:rPr>
        <w:t>altered</w:t>
      </w:r>
      <w:r w:rsidRPr="004D0AEB">
        <w:rPr>
          <w:rFonts w:cstheme="minorHAnsi"/>
          <w:iCs/>
          <w:sz w:val="24"/>
          <w:szCs w:val="24"/>
        </w:rPr>
        <w:t xml:space="preserve">, with an interesting discussion on colonialism, </w:t>
      </w:r>
      <w:r w:rsidR="005553BB" w:rsidRPr="004D0AEB">
        <w:rPr>
          <w:rFonts w:cstheme="minorHAnsi"/>
          <w:iCs/>
          <w:sz w:val="24"/>
          <w:szCs w:val="24"/>
        </w:rPr>
        <w:t>and the development of homosexuality into a negative connotation,</w:t>
      </w:r>
      <w:r w:rsidR="00066A6B" w:rsidRPr="004D0AEB">
        <w:rPr>
          <w:rFonts w:cstheme="minorHAnsi"/>
          <w:iCs/>
          <w:sz w:val="24"/>
          <w:szCs w:val="24"/>
        </w:rPr>
        <w:t xml:space="preserve"> rapidly rising to the present day.</w:t>
      </w:r>
      <w:r w:rsidRPr="004D0AEB">
        <w:rPr>
          <w:rFonts w:cstheme="minorHAnsi"/>
          <w:iCs/>
          <w:sz w:val="24"/>
          <w:szCs w:val="24"/>
        </w:rPr>
        <w:t xml:space="preserve"> However, this article is extremely short, and</w:t>
      </w:r>
      <w:r w:rsidR="00E14235" w:rsidRPr="004D0AEB">
        <w:rPr>
          <w:rFonts w:cstheme="minorHAnsi"/>
          <w:iCs/>
          <w:sz w:val="24"/>
          <w:szCs w:val="24"/>
        </w:rPr>
        <w:t xml:space="preserve"> must be critiqued concerning</w:t>
      </w:r>
      <w:r w:rsidRPr="004D0AEB">
        <w:rPr>
          <w:rFonts w:cstheme="minorHAnsi"/>
          <w:iCs/>
          <w:sz w:val="24"/>
          <w:szCs w:val="24"/>
        </w:rPr>
        <w:t xml:space="preserve"> its discussion of Islamic</w:t>
      </w:r>
      <w:r w:rsidR="00E14235" w:rsidRPr="004D0AEB">
        <w:rPr>
          <w:rFonts w:cstheme="minorHAnsi"/>
          <w:iCs/>
          <w:sz w:val="24"/>
          <w:szCs w:val="24"/>
        </w:rPr>
        <w:t xml:space="preserve"> Sharia</w:t>
      </w:r>
      <w:r w:rsidRPr="004D0AEB">
        <w:rPr>
          <w:rFonts w:cstheme="minorHAnsi"/>
          <w:iCs/>
          <w:sz w:val="24"/>
          <w:szCs w:val="24"/>
        </w:rPr>
        <w:t xml:space="preserve"> law</w:t>
      </w:r>
      <w:r w:rsidR="00E14235" w:rsidRPr="004D0AEB">
        <w:rPr>
          <w:rFonts w:cstheme="minorHAnsi"/>
          <w:iCs/>
          <w:sz w:val="24"/>
          <w:szCs w:val="24"/>
        </w:rPr>
        <w:t>, which</w:t>
      </w:r>
      <w:r w:rsidRPr="004D0AEB">
        <w:rPr>
          <w:rFonts w:cstheme="minorHAnsi"/>
          <w:iCs/>
          <w:sz w:val="24"/>
          <w:szCs w:val="24"/>
        </w:rPr>
        <w:t xml:space="preserve"> lacks considerabl</w:t>
      </w:r>
      <w:r w:rsidR="00A350AC" w:rsidRPr="004D0AEB">
        <w:rPr>
          <w:rFonts w:cstheme="minorHAnsi"/>
          <w:iCs/>
          <w:sz w:val="24"/>
          <w:szCs w:val="24"/>
        </w:rPr>
        <w:t>y in terms of depth and analysis.</w:t>
      </w:r>
      <w:r w:rsidRPr="004D0AEB">
        <w:rPr>
          <w:rFonts w:cstheme="minorHAnsi"/>
          <w:iCs/>
          <w:sz w:val="24"/>
          <w:szCs w:val="24"/>
        </w:rPr>
        <w:t xml:space="preserve"> In terms of a</w:t>
      </w:r>
      <w:r w:rsidR="00A31999" w:rsidRPr="004D0AEB">
        <w:rPr>
          <w:rFonts w:cstheme="minorHAnsi"/>
          <w:iCs/>
          <w:sz w:val="24"/>
          <w:szCs w:val="24"/>
        </w:rPr>
        <w:t>n analytical and</w:t>
      </w:r>
      <w:r w:rsidRPr="004D0AEB">
        <w:rPr>
          <w:rFonts w:cstheme="minorHAnsi"/>
          <w:iCs/>
          <w:sz w:val="24"/>
          <w:szCs w:val="24"/>
        </w:rPr>
        <w:t xml:space="preserve"> legalistic approach it is thus weak, with a lack of </w:t>
      </w:r>
      <w:r w:rsidR="00A350AC" w:rsidRPr="004D0AEB">
        <w:rPr>
          <w:rFonts w:cstheme="minorHAnsi"/>
          <w:iCs/>
          <w:sz w:val="24"/>
          <w:szCs w:val="24"/>
        </w:rPr>
        <w:t>evaluation</w:t>
      </w:r>
      <w:r w:rsidRPr="004D0AEB">
        <w:rPr>
          <w:rFonts w:cstheme="minorHAnsi"/>
          <w:iCs/>
          <w:sz w:val="24"/>
          <w:szCs w:val="24"/>
        </w:rPr>
        <w:t xml:space="preserve"> and an argument in severe need of expansion. Nevertheless, in terms of a</w:t>
      </w:r>
      <w:r w:rsidR="00A31999" w:rsidRPr="004D0AEB">
        <w:rPr>
          <w:rFonts w:cstheme="minorHAnsi"/>
          <w:iCs/>
          <w:sz w:val="24"/>
          <w:szCs w:val="24"/>
        </w:rPr>
        <w:t>n informational</w:t>
      </w:r>
      <w:r w:rsidRPr="004D0AEB">
        <w:rPr>
          <w:rFonts w:cstheme="minorHAnsi"/>
          <w:iCs/>
          <w:sz w:val="24"/>
          <w:szCs w:val="24"/>
        </w:rPr>
        <w:t xml:space="preserve"> historic approach, it remains a vital source in the field due to </w:t>
      </w:r>
      <w:r w:rsidR="00B8622B" w:rsidRPr="004D0AEB">
        <w:rPr>
          <w:rFonts w:cstheme="minorHAnsi"/>
          <w:iCs/>
          <w:sz w:val="24"/>
          <w:szCs w:val="24"/>
        </w:rPr>
        <w:t>its presence as</w:t>
      </w:r>
      <w:r w:rsidRPr="004D0AEB">
        <w:rPr>
          <w:rFonts w:cstheme="minorHAnsi"/>
          <w:iCs/>
          <w:sz w:val="24"/>
          <w:szCs w:val="24"/>
        </w:rPr>
        <w:t xml:space="preserve"> one of few sources to explore the historic Golden Age, and the influence of colonialism on homosexual attitudes.</w:t>
      </w:r>
    </w:p>
    <w:p w14:paraId="24288A73" w14:textId="2089517D" w:rsidR="00F118E5" w:rsidRPr="004D0AEB" w:rsidRDefault="00F118E5" w:rsidP="00BD069B">
      <w:pPr>
        <w:spacing w:line="480" w:lineRule="auto"/>
        <w:rPr>
          <w:rFonts w:cstheme="minorHAnsi"/>
          <w:sz w:val="24"/>
          <w:szCs w:val="24"/>
        </w:rPr>
      </w:pPr>
      <w:r w:rsidRPr="004D0AEB">
        <w:rPr>
          <w:rFonts w:cstheme="minorHAnsi"/>
          <w:sz w:val="24"/>
          <w:szCs w:val="24"/>
        </w:rPr>
        <w:t>It is also crucial to mention Holly Joan Toensing in her 2005 journal article ‘Women of Sodom and Gomorrah: Collateral Damage in the War against Homosexuality?’, as she focuses on the issue of lesbianism within Islam. Toensing provides a significant piece of literature, being one of very few sources dedicated entirely to</w:t>
      </w:r>
      <w:r w:rsidR="004B4791" w:rsidRPr="004D0AEB">
        <w:rPr>
          <w:rFonts w:cstheme="minorHAnsi"/>
          <w:sz w:val="24"/>
          <w:szCs w:val="24"/>
        </w:rPr>
        <w:t xml:space="preserve"> I</w:t>
      </w:r>
      <w:r w:rsidRPr="004D0AEB">
        <w:rPr>
          <w:rFonts w:cstheme="minorHAnsi"/>
          <w:sz w:val="24"/>
          <w:szCs w:val="24"/>
        </w:rPr>
        <w:t xml:space="preserve">slamic </w:t>
      </w:r>
      <w:r w:rsidR="004B4791" w:rsidRPr="004D0AEB">
        <w:rPr>
          <w:rFonts w:cstheme="minorHAnsi"/>
          <w:sz w:val="24"/>
          <w:szCs w:val="24"/>
        </w:rPr>
        <w:t xml:space="preserve">female </w:t>
      </w:r>
      <w:r w:rsidRPr="004D0AEB">
        <w:rPr>
          <w:rFonts w:cstheme="minorHAnsi"/>
          <w:sz w:val="24"/>
          <w:szCs w:val="24"/>
        </w:rPr>
        <w:t>homosexuality. This source thus highlights an area of study which is largely overlooked, providing an essential work to the field. The author examines the wickedness of Sodom, analysing the sin as inhospitality, rather than homosexuality, offering a unique interpretation to draw upon. This source is narrowly focused on a Christian perspective, specifically arguing against the conservative biblical reading of Lot’s parable, however its argument is well grounded and easily applicable to one’s own analysis. Overall, this article provides a key outlook into the field, from an Islamic lesbian perspective, providing an invaluable insight into a topic that is scarcely examined.</w:t>
      </w:r>
    </w:p>
    <w:p w14:paraId="3FFE7F1E" w14:textId="3E5BDC05" w:rsidR="00A418A9" w:rsidRPr="004D0AEB" w:rsidRDefault="00F118E5" w:rsidP="00BD069B">
      <w:pPr>
        <w:spacing w:line="480" w:lineRule="auto"/>
        <w:rPr>
          <w:rFonts w:cstheme="minorHAnsi"/>
          <w:sz w:val="24"/>
          <w:szCs w:val="24"/>
        </w:rPr>
      </w:pPr>
      <w:r w:rsidRPr="004D0AEB">
        <w:rPr>
          <w:rFonts w:cstheme="minorHAnsi"/>
          <w:sz w:val="24"/>
          <w:szCs w:val="24"/>
        </w:rPr>
        <w:lastRenderedPageBreak/>
        <w:t>The thesis will thus fill a gap within the scholarly field of literature.</w:t>
      </w:r>
      <w:r w:rsidRPr="004D0AEB">
        <w:rPr>
          <w:rStyle w:val="FootnoteReference"/>
          <w:rFonts w:cstheme="minorHAnsi"/>
          <w:sz w:val="24"/>
          <w:szCs w:val="24"/>
        </w:rPr>
        <w:footnoteReference w:id="15"/>
      </w:r>
      <w:r w:rsidRPr="004D0AEB">
        <w:rPr>
          <w:rFonts w:cstheme="minorHAnsi"/>
          <w:sz w:val="24"/>
          <w:szCs w:val="24"/>
        </w:rPr>
        <w:t xml:space="preserve"> As previously discussed, there is a specific lack of literature surrounding women and homosexuality; with the core focus amongst the existing literature relying heavily on the issues of male same sex, thus, this thesis will contribute here to a largely uncovered area of research. Generally, throughout the literature I have engaged with, all scholars seem to have a similar approach to the </w:t>
      </w:r>
      <w:r w:rsidR="00F063BE" w:rsidRPr="004D0AEB">
        <w:rPr>
          <w:rFonts w:cstheme="minorHAnsi"/>
          <w:sz w:val="24"/>
          <w:szCs w:val="24"/>
        </w:rPr>
        <w:t>topic,</w:t>
      </w:r>
      <w:r w:rsidRPr="004D0AEB">
        <w:rPr>
          <w:rFonts w:cstheme="minorHAnsi"/>
          <w:sz w:val="24"/>
          <w:szCs w:val="24"/>
        </w:rPr>
        <w:t xml:space="preserve"> either an historic approach, or a textual approach heavily reliant on the Story of Lot</w:t>
      </w:r>
      <w:r w:rsidR="00DF5587" w:rsidRPr="004D0AEB">
        <w:rPr>
          <w:rFonts w:cstheme="minorHAnsi"/>
          <w:sz w:val="24"/>
          <w:szCs w:val="24"/>
        </w:rPr>
        <w:t>.</w:t>
      </w:r>
      <w:r w:rsidRPr="004D0AEB">
        <w:rPr>
          <w:rFonts w:cstheme="minorHAnsi"/>
          <w:sz w:val="24"/>
          <w:szCs w:val="24"/>
        </w:rPr>
        <w:t xml:space="preserve"> This thesis thus contributes a combined historical examination, with a theological Quranic analysis to this field, to argue that homosexuality within Islam is p</w:t>
      </w:r>
      <w:r w:rsidR="00A62D18" w:rsidRPr="004D0AEB">
        <w:rPr>
          <w:rFonts w:cstheme="minorHAnsi"/>
          <w:sz w:val="24"/>
          <w:szCs w:val="24"/>
        </w:rPr>
        <w:t>lausible</w:t>
      </w:r>
      <w:r w:rsidRPr="004D0AEB">
        <w:rPr>
          <w:rFonts w:cstheme="minorHAnsi"/>
          <w:sz w:val="24"/>
          <w:szCs w:val="24"/>
        </w:rPr>
        <w:t>. In addition, Esack’s theory will also contribute towards filling a gap within this Islamic homosexual field of study,</w:t>
      </w:r>
      <w:r w:rsidR="00A418A9" w:rsidRPr="004D0AEB">
        <w:rPr>
          <w:rFonts w:cstheme="minorHAnsi"/>
          <w:sz w:val="24"/>
          <w:szCs w:val="24"/>
        </w:rPr>
        <w:t xml:space="preserve"> a</w:t>
      </w:r>
      <w:r w:rsidR="00872406" w:rsidRPr="004D0AEB">
        <w:rPr>
          <w:rFonts w:cstheme="minorHAnsi"/>
          <w:sz w:val="24"/>
          <w:szCs w:val="24"/>
        </w:rPr>
        <w:t>s</w:t>
      </w:r>
      <w:r w:rsidR="00A418A9" w:rsidRPr="004D0AEB">
        <w:rPr>
          <w:rFonts w:cstheme="minorHAnsi"/>
          <w:sz w:val="24"/>
          <w:szCs w:val="24"/>
        </w:rPr>
        <w:t xml:space="preserve"> it offers a unique approach to the field</w:t>
      </w:r>
      <w:r w:rsidR="00DD0D37" w:rsidRPr="004D0AEB">
        <w:rPr>
          <w:rFonts w:cstheme="minorHAnsi"/>
          <w:sz w:val="24"/>
          <w:szCs w:val="24"/>
        </w:rPr>
        <w:t>, through</w:t>
      </w:r>
      <w:r w:rsidR="00A418A9" w:rsidRPr="004D0AEB">
        <w:rPr>
          <w:rFonts w:cstheme="minorHAnsi"/>
          <w:sz w:val="24"/>
          <w:szCs w:val="24"/>
        </w:rPr>
        <w:t xml:space="preserve"> </w:t>
      </w:r>
      <w:r w:rsidR="004E55C4" w:rsidRPr="004D0AEB">
        <w:rPr>
          <w:rFonts w:cstheme="minorHAnsi"/>
          <w:sz w:val="24"/>
          <w:szCs w:val="24"/>
        </w:rPr>
        <w:t>supporting my argument that homosexuality within Islam is internally legitima</w:t>
      </w:r>
      <w:r w:rsidR="00DD0D37" w:rsidRPr="004D0AEB">
        <w:rPr>
          <w:rFonts w:cstheme="minorHAnsi"/>
          <w:sz w:val="24"/>
          <w:szCs w:val="24"/>
        </w:rPr>
        <w:t xml:space="preserve">te, entirely achievable through Islamic Quranic </w:t>
      </w:r>
      <w:r w:rsidR="001A42EB" w:rsidRPr="004D0AEB">
        <w:rPr>
          <w:rFonts w:cstheme="minorHAnsi"/>
          <w:sz w:val="24"/>
          <w:szCs w:val="24"/>
        </w:rPr>
        <w:t>tools and principles.</w:t>
      </w:r>
    </w:p>
    <w:p w14:paraId="316856C8" w14:textId="77777777" w:rsidR="00F118E5" w:rsidRPr="004D0AEB" w:rsidRDefault="00F118E5" w:rsidP="00BD069B">
      <w:pPr>
        <w:spacing w:line="480" w:lineRule="auto"/>
        <w:rPr>
          <w:rFonts w:cstheme="minorHAnsi"/>
          <w:sz w:val="24"/>
          <w:szCs w:val="24"/>
        </w:rPr>
      </w:pPr>
    </w:p>
    <w:p w14:paraId="0AD60A34" w14:textId="77777777" w:rsidR="00F118E5" w:rsidRPr="004D0AEB" w:rsidRDefault="00F118E5" w:rsidP="00BD069B">
      <w:pPr>
        <w:spacing w:line="480" w:lineRule="auto"/>
        <w:rPr>
          <w:rFonts w:cstheme="minorHAnsi"/>
          <w:sz w:val="24"/>
          <w:szCs w:val="24"/>
        </w:rPr>
      </w:pPr>
    </w:p>
    <w:p w14:paraId="505234AC" w14:textId="77777777" w:rsidR="00F118E5" w:rsidRPr="004D0AEB" w:rsidRDefault="00F118E5" w:rsidP="00BD069B">
      <w:pPr>
        <w:spacing w:line="480" w:lineRule="auto"/>
        <w:rPr>
          <w:rFonts w:cstheme="minorHAnsi"/>
          <w:sz w:val="24"/>
          <w:szCs w:val="24"/>
        </w:rPr>
      </w:pPr>
    </w:p>
    <w:p w14:paraId="7CBB84C5" w14:textId="77777777" w:rsidR="00F118E5" w:rsidRPr="004D0AEB" w:rsidRDefault="00F118E5" w:rsidP="00BD069B">
      <w:pPr>
        <w:spacing w:line="480" w:lineRule="auto"/>
        <w:rPr>
          <w:rFonts w:cstheme="minorHAnsi"/>
          <w:sz w:val="24"/>
          <w:szCs w:val="24"/>
        </w:rPr>
      </w:pPr>
    </w:p>
    <w:p w14:paraId="40E1750C" w14:textId="77777777" w:rsidR="00F118E5" w:rsidRPr="004D0AEB" w:rsidRDefault="00F118E5" w:rsidP="00BD069B">
      <w:pPr>
        <w:spacing w:line="480" w:lineRule="auto"/>
        <w:rPr>
          <w:rFonts w:cstheme="minorHAnsi"/>
          <w:sz w:val="24"/>
          <w:szCs w:val="24"/>
        </w:rPr>
      </w:pPr>
    </w:p>
    <w:p w14:paraId="4BA42A18" w14:textId="5EF12DC1" w:rsidR="00F118E5" w:rsidRDefault="00F118E5" w:rsidP="00BD069B">
      <w:pPr>
        <w:spacing w:line="480" w:lineRule="auto"/>
        <w:rPr>
          <w:rFonts w:cstheme="minorHAnsi"/>
          <w:sz w:val="24"/>
          <w:szCs w:val="24"/>
        </w:rPr>
      </w:pPr>
    </w:p>
    <w:p w14:paraId="657528B1" w14:textId="77777777" w:rsidR="002E4AFC" w:rsidRPr="004D0AEB" w:rsidRDefault="002E4AFC" w:rsidP="00BD069B">
      <w:pPr>
        <w:spacing w:line="480" w:lineRule="auto"/>
        <w:rPr>
          <w:rFonts w:cstheme="minorHAnsi"/>
          <w:sz w:val="24"/>
          <w:szCs w:val="24"/>
        </w:rPr>
      </w:pPr>
    </w:p>
    <w:p w14:paraId="73EFA904" w14:textId="77777777" w:rsidR="00F118E5" w:rsidRPr="004D0AEB" w:rsidRDefault="00F118E5" w:rsidP="00BD069B">
      <w:pPr>
        <w:spacing w:line="480" w:lineRule="auto"/>
        <w:jc w:val="center"/>
        <w:rPr>
          <w:rFonts w:cstheme="minorHAnsi"/>
          <w:b/>
          <w:bCs/>
          <w:sz w:val="32"/>
          <w:szCs w:val="32"/>
        </w:rPr>
      </w:pPr>
      <w:r w:rsidRPr="004D0AEB">
        <w:rPr>
          <w:rFonts w:cstheme="minorHAnsi"/>
          <w:b/>
          <w:bCs/>
          <w:sz w:val="32"/>
          <w:szCs w:val="32"/>
        </w:rPr>
        <w:lastRenderedPageBreak/>
        <w:t xml:space="preserve">CHAPTER 1 </w:t>
      </w:r>
    </w:p>
    <w:p w14:paraId="4C33F789" w14:textId="77777777" w:rsidR="00F118E5" w:rsidRPr="004D0AEB" w:rsidRDefault="00F118E5" w:rsidP="00BD069B">
      <w:pPr>
        <w:spacing w:line="480" w:lineRule="auto"/>
        <w:jc w:val="center"/>
        <w:rPr>
          <w:rFonts w:cstheme="minorHAnsi"/>
          <w:b/>
          <w:bCs/>
          <w:sz w:val="32"/>
          <w:szCs w:val="32"/>
        </w:rPr>
      </w:pPr>
      <w:r w:rsidRPr="004D0AEB">
        <w:rPr>
          <w:rFonts w:cstheme="minorHAnsi"/>
          <w:b/>
          <w:bCs/>
          <w:sz w:val="32"/>
          <w:szCs w:val="32"/>
        </w:rPr>
        <w:t>THEORETICAL FRAMEWORK</w:t>
      </w:r>
    </w:p>
    <w:p w14:paraId="00AC30FE" w14:textId="77777777" w:rsidR="00F118E5" w:rsidRPr="004D0AEB" w:rsidRDefault="00F118E5" w:rsidP="00BD069B">
      <w:pPr>
        <w:spacing w:line="480" w:lineRule="auto"/>
        <w:rPr>
          <w:rFonts w:cstheme="minorHAnsi"/>
          <w:sz w:val="24"/>
          <w:szCs w:val="24"/>
          <w:u w:val="single"/>
        </w:rPr>
      </w:pPr>
    </w:p>
    <w:p w14:paraId="401E1DCC" w14:textId="77777777" w:rsidR="002E4AFC" w:rsidRDefault="00F118E5" w:rsidP="00BD069B">
      <w:pPr>
        <w:spacing w:line="480" w:lineRule="auto"/>
        <w:rPr>
          <w:rFonts w:cstheme="minorHAnsi"/>
          <w:sz w:val="24"/>
          <w:szCs w:val="24"/>
        </w:rPr>
      </w:pPr>
      <w:r w:rsidRPr="004D0AEB">
        <w:rPr>
          <w:rFonts w:cstheme="minorHAnsi"/>
          <w:sz w:val="24"/>
          <w:szCs w:val="24"/>
        </w:rPr>
        <w:t>I have chosen to draw upon Farid Esack’s Liberation Theology to argue for a potential and supportive homosexual interpretation of the Islamic Qur’an. Esack argues that a Liberation Theology can be applied to any marginalised or oppressed community, to relieve all forms of persecution. Esack weav</w:t>
      </w:r>
      <w:r w:rsidR="008B24D0" w:rsidRPr="004D0AEB">
        <w:rPr>
          <w:rFonts w:cstheme="minorHAnsi"/>
          <w:sz w:val="24"/>
          <w:szCs w:val="24"/>
        </w:rPr>
        <w:t>es</w:t>
      </w:r>
      <w:r w:rsidRPr="004D0AEB">
        <w:rPr>
          <w:rFonts w:cstheme="minorHAnsi"/>
          <w:sz w:val="24"/>
          <w:szCs w:val="24"/>
        </w:rPr>
        <w:t xml:space="preserve"> an historic rhetoric of liberation that was used during the nineteen-eighties, into a more coherent theological theory and hermeneutic of liberative religious pluralism, developing; the Theology of Liberation (1997, p.82). According to Esack, Liberation Theology is the liberation from all forms of racism, religious injustice, oppression and economic or political exploitation (1997, p.83). </w:t>
      </w:r>
    </w:p>
    <w:p w14:paraId="68E03B2A" w14:textId="6B553D50" w:rsidR="00F118E5" w:rsidRPr="004D0AEB" w:rsidRDefault="00F118E5" w:rsidP="00BD069B">
      <w:pPr>
        <w:spacing w:line="480" w:lineRule="auto"/>
        <w:rPr>
          <w:rFonts w:cstheme="minorHAnsi"/>
          <w:sz w:val="24"/>
          <w:szCs w:val="24"/>
        </w:rPr>
      </w:pPr>
      <w:r w:rsidRPr="004D0AEB">
        <w:rPr>
          <w:rFonts w:cstheme="minorHAnsi"/>
          <w:sz w:val="24"/>
          <w:szCs w:val="24"/>
        </w:rPr>
        <w:t>As Esack defines:</w:t>
      </w:r>
    </w:p>
    <w:p w14:paraId="7D4AB19E" w14:textId="447958DA" w:rsidR="00F118E5" w:rsidRDefault="00F118E5" w:rsidP="002E4AFC">
      <w:pPr>
        <w:spacing w:line="276" w:lineRule="auto"/>
        <w:ind w:left="283" w:right="283"/>
        <w:rPr>
          <w:rFonts w:cstheme="minorHAnsi"/>
          <w:sz w:val="24"/>
          <w:szCs w:val="24"/>
        </w:rPr>
      </w:pPr>
      <w:r w:rsidRPr="002E4AFC">
        <w:rPr>
          <w:rFonts w:cstheme="minorHAnsi"/>
          <w:sz w:val="24"/>
          <w:szCs w:val="24"/>
        </w:rPr>
        <w:t>“A theology of liberation, for me, is one that works towards freeing religion from social, political and religious structures and ideas based on uncritical obedience and the freedom of all people from all forms of injustice and exploitation including those of race, gender, class and religion” (1997, p.83).</w:t>
      </w:r>
    </w:p>
    <w:p w14:paraId="7E5289C5" w14:textId="77777777" w:rsidR="002E4AFC" w:rsidRPr="004D0AEB" w:rsidRDefault="002E4AFC" w:rsidP="002E4AFC">
      <w:pPr>
        <w:spacing w:line="276" w:lineRule="auto"/>
        <w:ind w:left="283" w:right="283"/>
        <w:rPr>
          <w:rFonts w:cstheme="minorHAnsi"/>
          <w:sz w:val="24"/>
          <w:szCs w:val="24"/>
        </w:rPr>
      </w:pPr>
    </w:p>
    <w:p w14:paraId="358CED44" w14:textId="29E5C9FD" w:rsidR="00F118E5" w:rsidRPr="004D0AEB" w:rsidRDefault="00F118E5" w:rsidP="00BD069B">
      <w:pPr>
        <w:spacing w:line="480" w:lineRule="auto"/>
        <w:rPr>
          <w:rFonts w:cstheme="minorHAnsi"/>
          <w:sz w:val="24"/>
          <w:szCs w:val="24"/>
        </w:rPr>
      </w:pPr>
      <w:r w:rsidRPr="004D0AEB">
        <w:rPr>
          <w:rFonts w:cstheme="minorHAnsi"/>
          <w:sz w:val="24"/>
          <w:szCs w:val="24"/>
        </w:rPr>
        <w:t xml:space="preserve">As homosexual Muslims represent an oppressed community therefore, this theology offers a lens through which to interpret my findings, and to support my argument; that although LGBT Muslims are persecuted, homosexuality within Islam is theologically plausible, through a liberative Quranic interpretation. </w:t>
      </w:r>
    </w:p>
    <w:p w14:paraId="7A770EB5" w14:textId="2CDF27BE" w:rsidR="00F118E5" w:rsidRPr="004D0AEB" w:rsidRDefault="00F118E5" w:rsidP="00BD069B">
      <w:pPr>
        <w:spacing w:line="480" w:lineRule="auto"/>
        <w:rPr>
          <w:rFonts w:cstheme="minorHAnsi"/>
          <w:sz w:val="24"/>
          <w:szCs w:val="24"/>
        </w:rPr>
      </w:pPr>
      <w:r w:rsidRPr="004D0AEB">
        <w:rPr>
          <w:rFonts w:cstheme="minorHAnsi"/>
          <w:sz w:val="24"/>
          <w:szCs w:val="24"/>
        </w:rPr>
        <w:t xml:space="preserve">Liberation theology is formulated by, and in solidarity with, those whose personal liberation becomes a reality, through their participation in the process. This liberative objective is thus </w:t>
      </w:r>
      <w:r w:rsidRPr="004D0AEB">
        <w:rPr>
          <w:rFonts w:cstheme="minorHAnsi"/>
          <w:sz w:val="24"/>
          <w:szCs w:val="24"/>
        </w:rPr>
        <w:lastRenderedPageBreak/>
        <w:t>achieved through a core method; seeking support from the earliest forms of theological legitimisation; the Qur’an (Esack, 1997, p.84).  Esack’s core argument maintains that a Liberation Theology offers an attempt to free the Qur’an from the notion that it is irrevocably tied to the powerful (1997, p.86). Thus, as the core of my argument centres around an interpretive analysis of the Quranic Story of Lot, which is traditionally known to condemn homosexuality, this theology offers a liberative lens through which to analyse and interpret this passage, to support my argument that homosexual Muslims can be liberated from a</w:t>
      </w:r>
      <w:r w:rsidR="003938F6" w:rsidRPr="004D0AEB">
        <w:rPr>
          <w:rFonts w:cstheme="minorHAnsi"/>
          <w:sz w:val="24"/>
          <w:szCs w:val="24"/>
        </w:rPr>
        <w:t xml:space="preserve"> persecuted</w:t>
      </w:r>
      <w:r w:rsidRPr="004D0AEB">
        <w:rPr>
          <w:rFonts w:cstheme="minorHAnsi"/>
          <w:sz w:val="24"/>
          <w:szCs w:val="24"/>
        </w:rPr>
        <w:t xml:space="preserve"> scriptural reading. </w:t>
      </w:r>
    </w:p>
    <w:p w14:paraId="7E12FE7B" w14:textId="77777777" w:rsidR="003938F6" w:rsidRPr="004D0AEB" w:rsidRDefault="003938F6" w:rsidP="00BD069B">
      <w:pPr>
        <w:spacing w:line="480" w:lineRule="auto"/>
        <w:rPr>
          <w:rFonts w:cstheme="minorHAnsi"/>
          <w:sz w:val="24"/>
          <w:szCs w:val="24"/>
          <w:u w:val="single"/>
        </w:rPr>
      </w:pPr>
    </w:p>
    <w:p w14:paraId="171B5FC0" w14:textId="7231DDB3" w:rsidR="00F118E5" w:rsidRPr="004D0AEB" w:rsidRDefault="00F118E5" w:rsidP="00BD069B">
      <w:pPr>
        <w:spacing w:line="480" w:lineRule="auto"/>
        <w:rPr>
          <w:rFonts w:cstheme="minorHAnsi"/>
          <w:b/>
          <w:bCs/>
          <w:sz w:val="24"/>
          <w:szCs w:val="24"/>
        </w:rPr>
      </w:pPr>
      <w:r w:rsidRPr="004D0AEB">
        <w:rPr>
          <w:rFonts w:cstheme="minorHAnsi"/>
          <w:b/>
          <w:bCs/>
          <w:sz w:val="24"/>
          <w:szCs w:val="24"/>
        </w:rPr>
        <w:t>Historic applicability</w:t>
      </w:r>
    </w:p>
    <w:p w14:paraId="10350871" w14:textId="65828AFC" w:rsidR="00F118E5" w:rsidRPr="004D0AEB" w:rsidRDefault="00F118E5" w:rsidP="00BD069B">
      <w:pPr>
        <w:spacing w:line="480" w:lineRule="auto"/>
        <w:rPr>
          <w:rFonts w:cstheme="minorHAnsi"/>
          <w:sz w:val="24"/>
          <w:szCs w:val="24"/>
        </w:rPr>
      </w:pPr>
      <w:r w:rsidRPr="004D0AEB">
        <w:rPr>
          <w:rFonts w:cstheme="minorHAnsi"/>
          <w:sz w:val="24"/>
          <w:szCs w:val="24"/>
        </w:rPr>
        <w:t xml:space="preserve">As previously stated, Esack’s theory was originally based on the South African </w:t>
      </w:r>
      <w:r w:rsidR="003938F6" w:rsidRPr="004D0AEB">
        <w:rPr>
          <w:rFonts w:cstheme="minorHAnsi"/>
          <w:sz w:val="24"/>
          <w:szCs w:val="24"/>
        </w:rPr>
        <w:t>apartheid</w:t>
      </w:r>
      <w:r w:rsidRPr="004D0AEB">
        <w:rPr>
          <w:rFonts w:cstheme="minorHAnsi"/>
          <w:sz w:val="24"/>
          <w:szCs w:val="24"/>
        </w:rPr>
        <w:t xml:space="preserve"> demise of the nineteen-eighties, where Islam arrived in the country from two different directions during two different time periods.</w:t>
      </w:r>
      <w:r w:rsidRPr="004D0AEB">
        <w:rPr>
          <w:rStyle w:val="FootnoteReference"/>
          <w:rFonts w:cstheme="minorHAnsi"/>
          <w:sz w:val="24"/>
          <w:szCs w:val="24"/>
        </w:rPr>
        <w:footnoteReference w:id="16"/>
      </w:r>
      <w:r w:rsidRPr="004D0AEB">
        <w:rPr>
          <w:rFonts w:cstheme="minorHAnsi"/>
          <w:sz w:val="24"/>
          <w:szCs w:val="24"/>
        </w:rPr>
        <w:t xml:space="preserve"> It is the Muslims of the Cape that offered the basis for Esack’s Liberation Theology; a significantly small community, whom survived against tremendous odds (Esack, 1997, p.20). The most important contributing factor in their survival as both a cultural community and distinct religious society however, lay in their strong sense of being different from, and even superior to, the religious Other (Esack, 1997, p21). Thus, the notion of a liberative theology began to develop, as the concept of being marginalised and even oppressed, did not result in weakness or defeat, but rather, </w:t>
      </w:r>
      <w:r w:rsidR="00B4715A" w:rsidRPr="004D0AEB">
        <w:rPr>
          <w:rFonts w:cstheme="minorHAnsi"/>
          <w:sz w:val="24"/>
          <w:szCs w:val="24"/>
        </w:rPr>
        <w:lastRenderedPageBreak/>
        <w:t>strengthened the community</w:t>
      </w:r>
      <w:r w:rsidRPr="004D0AEB">
        <w:rPr>
          <w:rFonts w:cstheme="minorHAnsi"/>
          <w:sz w:val="24"/>
          <w:szCs w:val="24"/>
        </w:rPr>
        <w:t xml:space="preserve">. As Esack maintains; “it is in the Cape that a qur’anic hermeneutic of liberation has been forged” (1997, p.20). </w:t>
      </w:r>
    </w:p>
    <w:p w14:paraId="5D9199A9" w14:textId="5D0E5680" w:rsidR="00F118E5" w:rsidRPr="004D0AEB" w:rsidRDefault="00F118E5" w:rsidP="00BD069B">
      <w:pPr>
        <w:spacing w:line="480" w:lineRule="auto"/>
        <w:rPr>
          <w:rFonts w:cstheme="minorHAnsi"/>
          <w:sz w:val="24"/>
          <w:szCs w:val="24"/>
        </w:rPr>
      </w:pPr>
      <w:r w:rsidRPr="004D0AEB">
        <w:rPr>
          <w:rFonts w:cstheme="minorHAnsi"/>
          <w:sz w:val="24"/>
          <w:szCs w:val="24"/>
        </w:rPr>
        <w:t>As historically</w:t>
      </w:r>
      <w:r w:rsidR="00CF619B" w:rsidRPr="004D0AEB">
        <w:rPr>
          <w:rFonts w:cstheme="minorHAnsi"/>
          <w:sz w:val="24"/>
          <w:szCs w:val="24"/>
        </w:rPr>
        <w:t>,</w:t>
      </w:r>
      <w:r w:rsidRPr="004D0AEB">
        <w:rPr>
          <w:rFonts w:cstheme="minorHAnsi"/>
          <w:sz w:val="24"/>
          <w:szCs w:val="24"/>
        </w:rPr>
        <w:t xml:space="preserve"> the Liberation Theology originated in South Africa, it has received critiques concerning its application to modern society and</w:t>
      </w:r>
      <w:r w:rsidR="00CF619B" w:rsidRPr="004D0AEB">
        <w:rPr>
          <w:rFonts w:cstheme="minorHAnsi"/>
          <w:sz w:val="24"/>
          <w:szCs w:val="24"/>
        </w:rPr>
        <w:t xml:space="preserve"> its</w:t>
      </w:r>
      <w:r w:rsidRPr="004D0AEB">
        <w:rPr>
          <w:rFonts w:cstheme="minorHAnsi"/>
          <w:sz w:val="24"/>
          <w:szCs w:val="24"/>
        </w:rPr>
        <w:t xml:space="preserve"> situations. However, Esack argues that this theory can be applied to any community that is suffering, and so, as suffering is not a time-based concept, I argue that I can </w:t>
      </w:r>
      <w:r w:rsidR="00794E2A" w:rsidRPr="004D0AEB">
        <w:rPr>
          <w:rFonts w:cstheme="minorHAnsi"/>
          <w:sz w:val="24"/>
          <w:szCs w:val="24"/>
        </w:rPr>
        <w:t xml:space="preserve">successfully </w:t>
      </w:r>
      <w:r w:rsidRPr="004D0AEB">
        <w:rPr>
          <w:rFonts w:cstheme="minorHAnsi"/>
          <w:sz w:val="24"/>
          <w:szCs w:val="24"/>
        </w:rPr>
        <w:t xml:space="preserve">apply this theology to my research. Similarly, Duderija maintains that Esack held a symbiotic relationship between Liberation Theology and the ideology of apartheid (2017, p.86). </w:t>
      </w:r>
      <w:r w:rsidR="00D75F6C" w:rsidRPr="004D0AEB">
        <w:rPr>
          <w:rFonts w:cstheme="minorHAnsi"/>
          <w:sz w:val="24"/>
          <w:szCs w:val="24"/>
        </w:rPr>
        <w:t xml:space="preserve">Duderija </w:t>
      </w:r>
      <w:r w:rsidRPr="004D0AEB">
        <w:rPr>
          <w:rFonts w:cstheme="minorHAnsi"/>
          <w:sz w:val="24"/>
          <w:szCs w:val="24"/>
        </w:rPr>
        <w:t xml:space="preserve">argues that Liberation Theology is entirely contextual, enabling it to become flexible in its application, as it is not a theology which was founded on a set of ahistorical, fixed guidelines (2017, p.83). Duderija refers to the Liberation Theology as an ‘interpreter’s theology’, and so I argue that Esack’s theory remains applicable, as the context of oppression exists in a symbiotic relationship with the nature of theology itself; making it pertinent to the interpreters oppression, during any time period, focusing on any oppressed community (2017, p.83). Rahemtulla also stresses this, maintaining that although the genesis of Esack’s theory lay in the South African apartheid, it cannot possibly be reduced to this struggle alone, as to do so would be to undermine the very conception of justice that it represents (2017, p.10). Rahemtulla argues that Esack’s articulation of liberation should be applied to all Islamic struggles, justifying my application of the Liberation Theology to </w:t>
      </w:r>
      <w:r w:rsidR="00E92915" w:rsidRPr="004D0AEB">
        <w:rPr>
          <w:rFonts w:cstheme="minorHAnsi"/>
          <w:sz w:val="24"/>
          <w:szCs w:val="24"/>
        </w:rPr>
        <w:t xml:space="preserve">the study of Islamic homosexuality </w:t>
      </w:r>
      <w:r w:rsidRPr="004D0AEB">
        <w:rPr>
          <w:rFonts w:cstheme="minorHAnsi"/>
          <w:sz w:val="24"/>
          <w:szCs w:val="24"/>
        </w:rPr>
        <w:t>(2017, p.10).</w:t>
      </w:r>
    </w:p>
    <w:p w14:paraId="35C0D498" w14:textId="77777777" w:rsidR="00F118E5" w:rsidRPr="004D0AEB" w:rsidRDefault="00F118E5" w:rsidP="00BD069B">
      <w:pPr>
        <w:spacing w:line="480" w:lineRule="auto"/>
        <w:rPr>
          <w:rFonts w:cstheme="minorHAnsi"/>
          <w:b/>
          <w:bCs/>
          <w:sz w:val="24"/>
          <w:szCs w:val="24"/>
        </w:rPr>
      </w:pPr>
    </w:p>
    <w:p w14:paraId="41A889C9" w14:textId="06C6281E" w:rsidR="00F118E5" w:rsidRPr="004D0AEB" w:rsidRDefault="00F118E5" w:rsidP="00BD069B">
      <w:pPr>
        <w:spacing w:line="480" w:lineRule="auto"/>
        <w:rPr>
          <w:rFonts w:cstheme="minorHAnsi"/>
          <w:b/>
          <w:bCs/>
          <w:sz w:val="24"/>
          <w:szCs w:val="24"/>
        </w:rPr>
      </w:pPr>
      <w:r w:rsidRPr="004D0AEB">
        <w:rPr>
          <w:rFonts w:cstheme="minorHAnsi"/>
          <w:b/>
          <w:bCs/>
          <w:sz w:val="24"/>
          <w:szCs w:val="24"/>
        </w:rPr>
        <w:t xml:space="preserve">Utilising </w:t>
      </w:r>
      <w:r w:rsidR="00E92915" w:rsidRPr="004D0AEB">
        <w:rPr>
          <w:rFonts w:cstheme="minorHAnsi"/>
          <w:b/>
          <w:bCs/>
          <w:sz w:val="24"/>
          <w:szCs w:val="24"/>
        </w:rPr>
        <w:t xml:space="preserve">a </w:t>
      </w:r>
      <w:r w:rsidRPr="004D0AEB">
        <w:rPr>
          <w:rFonts w:cstheme="minorHAnsi"/>
          <w:b/>
          <w:bCs/>
          <w:sz w:val="24"/>
          <w:szCs w:val="24"/>
        </w:rPr>
        <w:t>Liberation Theology</w:t>
      </w:r>
    </w:p>
    <w:p w14:paraId="79BAB131" w14:textId="0470D02B" w:rsidR="00F118E5" w:rsidRPr="004D0AEB" w:rsidRDefault="00F118E5" w:rsidP="00BD069B">
      <w:pPr>
        <w:spacing w:line="480" w:lineRule="auto"/>
        <w:rPr>
          <w:rFonts w:cstheme="minorHAnsi"/>
          <w:sz w:val="24"/>
          <w:szCs w:val="24"/>
        </w:rPr>
      </w:pPr>
      <w:r w:rsidRPr="004D0AEB">
        <w:rPr>
          <w:rFonts w:cstheme="minorHAnsi"/>
          <w:sz w:val="24"/>
          <w:szCs w:val="24"/>
        </w:rPr>
        <w:t xml:space="preserve">As previously mentioned, I will specifically be drawing upon Esack’s theory whilst analysing the Quranic Story of Lot, and its traditional interpretation of homosexual condemnation. I </w:t>
      </w:r>
      <w:r w:rsidRPr="004D0AEB">
        <w:rPr>
          <w:rFonts w:cstheme="minorHAnsi"/>
          <w:sz w:val="24"/>
          <w:szCs w:val="24"/>
        </w:rPr>
        <w:lastRenderedPageBreak/>
        <w:t>will be examining the flaws and critiques of this classic parable interpretation, whilst utilising Esack’s theology to argue for a potential homosexual reading. Esack argues that an oppressed Muslim can interpret the Qur’an in a way which exposes the traditional interpretation of the text as one which function’s as an ideology, acknowledging that these interpretations are often used to legitimise an unjust order (1997, p.11). The author also maintains that one must extract the religious dimensions from within a situation of injustice, to utilise them as causes for liberation (1997, p.11). I can thus draw upon the Liberation Theology whilst interpreting the Story of Lot, to extract justice from the holy scripture, to argue that a homosexual reading of the Qur’an is not only possible, but entirely legitimate</w:t>
      </w:r>
      <w:r w:rsidR="00017F5E" w:rsidRPr="004D0AEB">
        <w:rPr>
          <w:rFonts w:cstheme="minorHAnsi"/>
          <w:sz w:val="24"/>
          <w:szCs w:val="24"/>
        </w:rPr>
        <w:t>, within Islam</w:t>
      </w:r>
      <w:r w:rsidRPr="004D0AEB">
        <w:rPr>
          <w:rFonts w:cstheme="minorHAnsi"/>
          <w:sz w:val="24"/>
          <w:szCs w:val="24"/>
        </w:rPr>
        <w:t xml:space="preserve">. This theory will enable me to argue for a </w:t>
      </w:r>
      <w:r w:rsidR="001F3295" w:rsidRPr="004D0AEB">
        <w:rPr>
          <w:rFonts w:cstheme="minorHAnsi"/>
          <w:sz w:val="24"/>
          <w:szCs w:val="24"/>
        </w:rPr>
        <w:t>liberative</w:t>
      </w:r>
      <w:r w:rsidRPr="004D0AEB">
        <w:rPr>
          <w:rFonts w:cstheme="minorHAnsi"/>
          <w:sz w:val="24"/>
          <w:szCs w:val="24"/>
        </w:rPr>
        <w:t xml:space="preserve"> interpretation of Lot’s parable, to support, rather than destroy or condemn an oppressed community; namely, homosexual Muslims.</w:t>
      </w:r>
    </w:p>
    <w:p w14:paraId="0A2CA874" w14:textId="38C22EE9" w:rsidR="00F118E5" w:rsidRPr="004D0AEB" w:rsidRDefault="00F118E5" w:rsidP="00BD069B">
      <w:pPr>
        <w:spacing w:line="480" w:lineRule="auto"/>
        <w:rPr>
          <w:rFonts w:cstheme="minorHAnsi"/>
          <w:sz w:val="24"/>
          <w:szCs w:val="24"/>
        </w:rPr>
      </w:pPr>
      <w:r w:rsidRPr="004D0AEB">
        <w:rPr>
          <w:rFonts w:cstheme="minorHAnsi"/>
          <w:sz w:val="24"/>
          <w:szCs w:val="24"/>
        </w:rPr>
        <w:t>The scholar Kugle discusses Esack’s theology in terms of Quranic interpretation, maintaining that the theory created a movement of progressive Muslims, which articulated the need for groups of Islamists to interpret the Qur’an anew. Kugle places an emphasis on Esack’s aim to prune old branches of oppressive tradition, maintaining that tradition may have been pivotal long ago, but is now quickly fading, serving only to justify injustice using the name of religion (2010, p.38). As Kugle argues; “In pruning the living tree of Islam, they hope to revive the flow of its life-giving sap, clearing the way for new growth in hopes of future fruit” (2010 P.39). Kugle argues that LGBT Muslims can hear the Qur’ans voice from a particularly sensitive position, enabling them to strive towards equity (2010, p.35). This highlights precisely why I have chosen to draw upon Esack’s theory, as homosexual Muslims are disempowered by the traditional religious system that rules them</w:t>
      </w:r>
      <w:r w:rsidR="005E4F09" w:rsidRPr="004D0AEB">
        <w:rPr>
          <w:rFonts w:cstheme="minorHAnsi"/>
          <w:sz w:val="24"/>
          <w:szCs w:val="24"/>
        </w:rPr>
        <w:t>, however through the application of Esack’s theory, textual</w:t>
      </w:r>
      <w:r w:rsidRPr="004D0AEB">
        <w:rPr>
          <w:rFonts w:cstheme="minorHAnsi"/>
          <w:sz w:val="24"/>
          <w:szCs w:val="24"/>
        </w:rPr>
        <w:t xml:space="preserve"> justice can be extracted.</w:t>
      </w:r>
    </w:p>
    <w:p w14:paraId="6E472329" w14:textId="4056CE77" w:rsidR="00F118E5" w:rsidRPr="004D0AEB" w:rsidRDefault="00F118E5" w:rsidP="00BD069B">
      <w:pPr>
        <w:spacing w:line="480" w:lineRule="auto"/>
        <w:rPr>
          <w:rFonts w:cstheme="minorHAnsi"/>
          <w:sz w:val="24"/>
          <w:szCs w:val="24"/>
        </w:rPr>
      </w:pPr>
      <w:r w:rsidRPr="004D0AEB">
        <w:rPr>
          <w:rFonts w:cstheme="minorHAnsi"/>
          <w:sz w:val="24"/>
          <w:szCs w:val="24"/>
        </w:rPr>
        <w:lastRenderedPageBreak/>
        <w:t xml:space="preserve">Esack also places a great emphasis on hermeneutics, or more specifically, a hermeneutic of liberation. As Esack argues; “the search for a hermeneutic of liberation assumes that there is a group of people who are serious about the reconstruction of society alongside principles of justice, freedom, honesty and integrity” (1997, p.89). Esack argues that although every individual approaches the Qur’an as a bias and tentative interpreter, it is in fact the location of the Muslim which offers the pivotal hermeneutical key. The Liberation Theology thus argues that it is Muslims </w:t>
      </w:r>
      <w:r w:rsidR="000D13D2" w:rsidRPr="004D0AEB">
        <w:rPr>
          <w:rFonts w:cstheme="minorHAnsi"/>
          <w:sz w:val="24"/>
          <w:szCs w:val="24"/>
        </w:rPr>
        <w:t>who</w:t>
      </w:r>
      <w:r w:rsidRPr="004D0AEB">
        <w:rPr>
          <w:rFonts w:cstheme="minorHAnsi"/>
          <w:sz w:val="24"/>
          <w:szCs w:val="24"/>
        </w:rPr>
        <w:t xml:space="preserve"> stand within a struggle for justice that can gain a raw interpretation of the Qur’an (Esack, 1997, p.82). I will be able to make use of Esack’s theory one again here therefore, whilst drawing upon the ‘interpreter location’ theology, to justify my argument that homosexual Muslims stand within an oppressed but prosperous position</w:t>
      </w:r>
      <w:r w:rsidR="000D13D2" w:rsidRPr="004D0AEB">
        <w:rPr>
          <w:rFonts w:cstheme="minorHAnsi"/>
          <w:sz w:val="24"/>
          <w:szCs w:val="24"/>
        </w:rPr>
        <w:t>,</w:t>
      </w:r>
      <w:r w:rsidRPr="004D0AEB">
        <w:rPr>
          <w:rFonts w:cstheme="minorHAnsi"/>
          <w:sz w:val="24"/>
          <w:szCs w:val="24"/>
        </w:rPr>
        <w:t xml:space="preserve"> in which they can extract a true reading of the Qur’an. The scholar Duderija also highlights the importance of Esack’s ‘location’ argument, maintaining that Muslims are a social collective of people, who bear the responsibility to carryout God’s will on earth (2017, p.90). He maintains that the hermeneutical key of location highlights that marginalisation was never a product of God’s will, but merely an issue which derives from </w:t>
      </w:r>
      <w:r w:rsidR="000D13D2" w:rsidRPr="004D0AEB">
        <w:rPr>
          <w:rFonts w:cstheme="minorHAnsi"/>
          <w:sz w:val="24"/>
          <w:szCs w:val="24"/>
        </w:rPr>
        <w:t xml:space="preserve">traditional </w:t>
      </w:r>
      <w:r w:rsidRPr="004D0AEB">
        <w:rPr>
          <w:rFonts w:cstheme="minorHAnsi"/>
          <w:sz w:val="24"/>
          <w:szCs w:val="24"/>
        </w:rPr>
        <w:t>Quranic exploitation (2017, p.90). The hermeneutical key of liberative interpretation thus provides me with a lens through which to argue an open homosexual Quranic reading</w:t>
      </w:r>
      <w:r w:rsidR="00851ACB" w:rsidRPr="004D0AEB">
        <w:rPr>
          <w:rFonts w:cstheme="minorHAnsi"/>
          <w:sz w:val="24"/>
          <w:szCs w:val="24"/>
        </w:rPr>
        <w:t>, whilst also</w:t>
      </w:r>
      <w:r w:rsidR="00105B86" w:rsidRPr="004D0AEB">
        <w:rPr>
          <w:rFonts w:cstheme="minorHAnsi"/>
          <w:sz w:val="24"/>
          <w:szCs w:val="24"/>
        </w:rPr>
        <w:t xml:space="preserve"> offering a tool</w:t>
      </w:r>
      <w:r w:rsidR="001B7CAC" w:rsidRPr="004D0AEB">
        <w:rPr>
          <w:rFonts w:cstheme="minorHAnsi"/>
          <w:sz w:val="24"/>
          <w:szCs w:val="24"/>
        </w:rPr>
        <w:t xml:space="preserve"> </w:t>
      </w:r>
      <w:r w:rsidR="00105B86" w:rsidRPr="004D0AEB">
        <w:rPr>
          <w:rFonts w:cstheme="minorHAnsi"/>
          <w:sz w:val="24"/>
          <w:szCs w:val="24"/>
        </w:rPr>
        <w:t>through which to</w:t>
      </w:r>
      <w:r w:rsidR="00851ACB" w:rsidRPr="004D0AEB">
        <w:rPr>
          <w:rFonts w:cstheme="minorHAnsi"/>
          <w:sz w:val="24"/>
          <w:szCs w:val="24"/>
        </w:rPr>
        <w:t xml:space="preserve"> evaluat</w:t>
      </w:r>
      <w:r w:rsidR="00105B86" w:rsidRPr="004D0AEB">
        <w:rPr>
          <w:rFonts w:cstheme="minorHAnsi"/>
          <w:sz w:val="24"/>
          <w:szCs w:val="24"/>
        </w:rPr>
        <w:t>e</w:t>
      </w:r>
      <w:r w:rsidR="00851ACB" w:rsidRPr="004D0AEB">
        <w:rPr>
          <w:rFonts w:cstheme="minorHAnsi"/>
          <w:sz w:val="24"/>
          <w:szCs w:val="24"/>
        </w:rPr>
        <w:t xml:space="preserve"> </w:t>
      </w:r>
      <w:r w:rsidR="00105B86" w:rsidRPr="004D0AEB">
        <w:rPr>
          <w:rFonts w:cstheme="minorHAnsi"/>
          <w:sz w:val="24"/>
          <w:szCs w:val="24"/>
        </w:rPr>
        <w:t>the</w:t>
      </w:r>
      <w:r w:rsidR="00851ACB" w:rsidRPr="004D0AEB">
        <w:rPr>
          <w:rFonts w:cstheme="minorHAnsi"/>
          <w:sz w:val="24"/>
          <w:szCs w:val="24"/>
        </w:rPr>
        <w:t xml:space="preserve"> traditional </w:t>
      </w:r>
      <w:r w:rsidR="001130E1" w:rsidRPr="004D0AEB">
        <w:rPr>
          <w:rFonts w:cstheme="minorHAnsi"/>
          <w:sz w:val="24"/>
          <w:szCs w:val="24"/>
        </w:rPr>
        <w:t>approach</w:t>
      </w:r>
      <w:r w:rsidR="00187FE6" w:rsidRPr="004D0AEB">
        <w:rPr>
          <w:rFonts w:cstheme="minorHAnsi"/>
          <w:sz w:val="24"/>
          <w:szCs w:val="24"/>
        </w:rPr>
        <w:t>,</w:t>
      </w:r>
      <w:r w:rsidR="00105B86" w:rsidRPr="004D0AEB">
        <w:rPr>
          <w:rFonts w:cstheme="minorHAnsi"/>
          <w:sz w:val="24"/>
          <w:szCs w:val="24"/>
        </w:rPr>
        <w:t xml:space="preserve"> and i</w:t>
      </w:r>
      <w:r w:rsidR="00187FE6" w:rsidRPr="004D0AEB">
        <w:rPr>
          <w:rFonts w:cstheme="minorHAnsi"/>
          <w:sz w:val="24"/>
          <w:szCs w:val="24"/>
        </w:rPr>
        <w:t xml:space="preserve">dentify </w:t>
      </w:r>
      <w:r w:rsidR="00DA1E3E" w:rsidRPr="004D0AEB">
        <w:rPr>
          <w:rFonts w:cstheme="minorHAnsi"/>
          <w:sz w:val="24"/>
          <w:szCs w:val="24"/>
        </w:rPr>
        <w:t>its potentially suppressive elements.</w:t>
      </w:r>
    </w:p>
    <w:p w14:paraId="3A1CBE80" w14:textId="5A75D8FB" w:rsidR="00F118E5" w:rsidRPr="004D0AEB" w:rsidRDefault="00F118E5" w:rsidP="00BD069B">
      <w:pPr>
        <w:spacing w:line="480" w:lineRule="auto"/>
        <w:rPr>
          <w:rFonts w:cstheme="minorHAnsi"/>
          <w:sz w:val="24"/>
          <w:szCs w:val="24"/>
        </w:rPr>
      </w:pPr>
      <w:r w:rsidRPr="004D0AEB">
        <w:rPr>
          <w:rFonts w:cstheme="minorHAnsi"/>
          <w:sz w:val="24"/>
          <w:szCs w:val="24"/>
        </w:rPr>
        <w:t xml:space="preserve">Overall, this thesis can make use of Esack’s theory to question the notion that there is never a final authenticity or interpretation to the Islamic scripture. </w:t>
      </w:r>
      <w:r w:rsidR="006715A3" w:rsidRPr="004D0AEB">
        <w:rPr>
          <w:rFonts w:cstheme="minorHAnsi"/>
          <w:sz w:val="24"/>
          <w:szCs w:val="24"/>
        </w:rPr>
        <w:t xml:space="preserve">As discussed in the introduction, the aim of this thesis does not lie in a dismissal of </w:t>
      </w:r>
      <w:r w:rsidR="00AD2962" w:rsidRPr="004D0AEB">
        <w:rPr>
          <w:rFonts w:cstheme="minorHAnsi"/>
          <w:sz w:val="24"/>
          <w:szCs w:val="24"/>
        </w:rPr>
        <w:t xml:space="preserve">a classic approach to Lot’s parable, </w:t>
      </w:r>
      <w:r w:rsidR="00DB4E52" w:rsidRPr="004D0AEB">
        <w:rPr>
          <w:rFonts w:cstheme="minorHAnsi"/>
          <w:sz w:val="24"/>
          <w:szCs w:val="24"/>
        </w:rPr>
        <w:t>but</w:t>
      </w:r>
      <w:r w:rsidR="00AD2962" w:rsidRPr="004D0AEB">
        <w:rPr>
          <w:rFonts w:cstheme="minorHAnsi"/>
          <w:sz w:val="24"/>
          <w:szCs w:val="24"/>
        </w:rPr>
        <w:t xml:space="preserve"> rather</w:t>
      </w:r>
      <w:r w:rsidR="00533DEB" w:rsidRPr="004D0AEB">
        <w:rPr>
          <w:rFonts w:cstheme="minorHAnsi"/>
          <w:sz w:val="24"/>
          <w:szCs w:val="24"/>
        </w:rPr>
        <w:t>,</w:t>
      </w:r>
      <w:r w:rsidR="00AD2962" w:rsidRPr="004D0AEB">
        <w:rPr>
          <w:rFonts w:cstheme="minorHAnsi"/>
          <w:sz w:val="24"/>
          <w:szCs w:val="24"/>
        </w:rPr>
        <w:t xml:space="preserve"> aims to portray </w:t>
      </w:r>
      <w:r w:rsidR="00E665D3" w:rsidRPr="004D0AEB">
        <w:rPr>
          <w:rFonts w:cstheme="minorHAnsi"/>
          <w:sz w:val="24"/>
          <w:szCs w:val="24"/>
        </w:rPr>
        <w:t>that there is not one fixed, narrowly focused reading.</w:t>
      </w:r>
      <w:r w:rsidR="00AD2962" w:rsidRPr="004D0AEB">
        <w:rPr>
          <w:rFonts w:cstheme="minorHAnsi"/>
          <w:sz w:val="24"/>
          <w:szCs w:val="24"/>
        </w:rPr>
        <w:t xml:space="preserve"> </w:t>
      </w:r>
      <w:r w:rsidR="006049A4" w:rsidRPr="004D0AEB">
        <w:rPr>
          <w:rFonts w:cstheme="minorHAnsi"/>
          <w:sz w:val="24"/>
          <w:szCs w:val="24"/>
        </w:rPr>
        <w:t>Rather, there are alternative readings,</w:t>
      </w:r>
      <w:r w:rsidR="00533DEB" w:rsidRPr="004D0AEB">
        <w:rPr>
          <w:rFonts w:cstheme="minorHAnsi"/>
          <w:sz w:val="24"/>
          <w:szCs w:val="24"/>
        </w:rPr>
        <w:t xml:space="preserve"> such as a possible homosexual reading,</w:t>
      </w:r>
      <w:r w:rsidR="006049A4" w:rsidRPr="004D0AEB">
        <w:rPr>
          <w:rFonts w:cstheme="minorHAnsi"/>
          <w:sz w:val="24"/>
          <w:szCs w:val="24"/>
        </w:rPr>
        <w:t xml:space="preserve"> </w:t>
      </w:r>
      <w:r w:rsidR="00610907" w:rsidRPr="004D0AEB">
        <w:rPr>
          <w:rFonts w:cstheme="minorHAnsi"/>
          <w:sz w:val="24"/>
          <w:szCs w:val="24"/>
        </w:rPr>
        <w:t xml:space="preserve">which can be </w:t>
      </w:r>
      <w:r w:rsidR="00610907" w:rsidRPr="004D0AEB">
        <w:rPr>
          <w:rFonts w:cstheme="minorHAnsi"/>
          <w:sz w:val="24"/>
          <w:szCs w:val="24"/>
        </w:rPr>
        <w:lastRenderedPageBreak/>
        <w:t xml:space="preserve">extracted through the application of Esack’s framework, to overcome the rigid classic </w:t>
      </w:r>
      <w:r w:rsidR="003F7642" w:rsidRPr="004D0AEB">
        <w:rPr>
          <w:rFonts w:cstheme="minorHAnsi"/>
          <w:sz w:val="24"/>
          <w:szCs w:val="24"/>
        </w:rPr>
        <w:t xml:space="preserve">interpretive </w:t>
      </w:r>
      <w:r w:rsidR="00533DEB" w:rsidRPr="004D0AEB">
        <w:rPr>
          <w:rFonts w:cstheme="minorHAnsi"/>
          <w:sz w:val="24"/>
          <w:szCs w:val="24"/>
        </w:rPr>
        <w:t xml:space="preserve">lens. </w:t>
      </w:r>
      <w:r w:rsidRPr="004D0AEB">
        <w:rPr>
          <w:rFonts w:cstheme="minorHAnsi"/>
          <w:sz w:val="24"/>
          <w:szCs w:val="24"/>
        </w:rPr>
        <w:t xml:space="preserve">It is now </w:t>
      </w:r>
      <w:r w:rsidR="00646914" w:rsidRPr="004D0AEB">
        <w:rPr>
          <w:rFonts w:cstheme="minorHAnsi"/>
          <w:sz w:val="24"/>
          <w:szCs w:val="24"/>
        </w:rPr>
        <w:t>crucial</w:t>
      </w:r>
      <w:r w:rsidRPr="004D0AEB">
        <w:rPr>
          <w:rFonts w:cstheme="minorHAnsi"/>
          <w:sz w:val="24"/>
          <w:szCs w:val="24"/>
        </w:rPr>
        <w:t xml:space="preserve"> to examine the history of Islamic homosexuality in more detail, and the legal measures which contribute towards same sex attitudes within Islam.</w:t>
      </w:r>
    </w:p>
    <w:p w14:paraId="7BC50FD6" w14:textId="77777777" w:rsidR="00F118E5" w:rsidRPr="004D0AEB" w:rsidRDefault="00F118E5" w:rsidP="00BD069B">
      <w:pPr>
        <w:spacing w:line="480" w:lineRule="auto"/>
        <w:rPr>
          <w:rFonts w:cstheme="minorHAnsi"/>
          <w:sz w:val="24"/>
          <w:szCs w:val="24"/>
        </w:rPr>
      </w:pPr>
    </w:p>
    <w:p w14:paraId="51FD6EB1" w14:textId="77777777" w:rsidR="00F118E5" w:rsidRPr="004D0AEB" w:rsidRDefault="00F118E5" w:rsidP="00BD069B">
      <w:pPr>
        <w:spacing w:line="480" w:lineRule="auto"/>
        <w:rPr>
          <w:rFonts w:cstheme="minorHAnsi"/>
          <w:sz w:val="24"/>
          <w:szCs w:val="24"/>
        </w:rPr>
      </w:pPr>
    </w:p>
    <w:p w14:paraId="028C5026" w14:textId="77777777" w:rsidR="00F118E5" w:rsidRPr="004D0AEB" w:rsidRDefault="00F118E5" w:rsidP="00BD069B">
      <w:pPr>
        <w:spacing w:line="480" w:lineRule="auto"/>
        <w:rPr>
          <w:rFonts w:cstheme="minorHAnsi"/>
          <w:sz w:val="24"/>
          <w:szCs w:val="24"/>
        </w:rPr>
      </w:pPr>
    </w:p>
    <w:p w14:paraId="5BEB7F18" w14:textId="77777777" w:rsidR="00F118E5" w:rsidRPr="004D0AEB" w:rsidRDefault="00F118E5" w:rsidP="00BD069B">
      <w:pPr>
        <w:spacing w:line="480" w:lineRule="auto"/>
        <w:rPr>
          <w:rFonts w:cstheme="minorHAnsi"/>
          <w:sz w:val="24"/>
          <w:szCs w:val="24"/>
        </w:rPr>
      </w:pPr>
    </w:p>
    <w:p w14:paraId="7477ABE3" w14:textId="77777777" w:rsidR="00F118E5" w:rsidRPr="004D0AEB" w:rsidRDefault="00F118E5" w:rsidP="00BD069B">
      <w:pPr>
        <w:spacing w:line="480" w:lineRule="auto"/>
        <w:rPr>
          <w:rFonts w:cstheme="minorHAnsi"/>
          <w:sz w:val="24"/>
          <w:szCs w:val="24"/>
        </w:rPr>
      </w:pPr>
    </w:p>
    <w:p w14:paraId="2E0A1116" w14:textId="77777777" w:rsidR="00F118E5" w:rsidRPr="004D0AEB" w:rsidRDefault="00F118E5" w:rsidP="00BD069B">
      <w:pPr>
        <w:spacing w:line="480" w:lineRule="auto"/>
        <w:rPr>
          <w:rFonts w:cstheme="minorHAnsi"/>
          <w:sz w:val="24"/>
          <w:szCs w:val="24"/>
        </w:rPr>
      </w:pPr>
    </w:p>
    <w:p w14:paraId="533E48F1" w14:textId="77777777" w:rsidR="00F118E5" w:rsidRPr="004D0AEB" w:rsidRDefault="00F118E5" w:rsidP="00BD069B">
      <w:pPr>
        <w:spacing w:line="480" w:lineRule="auto"/>
        <w:rPr>
          <w:rFonts w:cstheme="minorHAnsi"/>
          <w:sz w:val="24"/>
          <w:szCs w:val="24"/>
        </w:rPr>
      </w:pPr>
    </w:p>
    <w:p w14:paraId="17811820" w14:textId="77777777" w:rsidR="00F118E5" w:rsidRPr="004D0AEB" w:rsidRDefault="00F118E5" w:rsidP="00BD069B">
      <w:pPr>
        <w:spacing w:line="480" w:lineRule="auto"/>
        <w:rPr>
          <w:rFonts w:cstheme="minorHAnsi"/>
          <w:sz w:val="24"/>
          <w:szCs w:val="24"/>
        </w:rPr>
      </w:pPr>
    </w:p>
    <w:p w14:paraId="4E873D8B" w14:textId="77777777" w:rsidR="00F118E5" w:rsidRPr="004D0AEB" w:rsidRDefault="00F118E5" w:rsidP="00BD069B">
      <w:pPr>
        <w:spacing w:line="480" w:lineRule="auto"/>
        <w:rPr>
          <w:rFonts w:cstheme="minorHAnsi"/>
          <w:sz w:val="24"/>
          <w:szCs w:val="24"/>
        </w:rPr>
      </w:pPr>
    </w:p>
    <w:p w14:paraId="3550E6FF" w14:textId="77777777" w:rsidR="00F118E5" w:rsidRPr="004D0AEB" w:rsidRDefault="00F118E5" w:rsidP="00BD069B">
      <w:pPr>
        <w:spacing w:line="480" w:lineRule="auto"/>
        <w:rPr>
          <w:rFonts w:cstheme="minorHAnsi"/>
          <w:sz w:val="24"/>
          <w:szCs w:val="24"/>
        </w:rPr>
      </w:pPr>
    </w:p>
    <w:p w14:paraId="7BBA94E2" w14:textId="77777777" w:rsidR="00F118E5" w:rsidRPr="004D0AEB" w:rsidRDefault="00F118E5" w:rsidP="00BD069B">
      <w:pPr>
        <w:spacing w:line="480" w:lineRule="auto"/>
        <w:rPr>
          <w:rFonts w:cstheme="minorHAnsi"/>
          <w:sz w:val="24"/>
          <w:szCs w:val="24"/>
        </w:rPr>
      </w:pPr>
    </w:p>
    <w:p w14:paraId="3FEE908C" w14:textId="77777777" w:rsidR="00F118E5" w:rsidRPr="004D0AEB" w:rsidRDefault="00F118E5" w:rsidP="00BD069B">
      <w:pPr>
        <w:spacing w:line="480" w:lineRule="auto"/>
        <w:rPr>
          <w:rFonts w:cstheme="minorHAnsi"/>
          <w:sz w:val="24"/>
          <w:szCs w:val="24"/>
        </w:rPr>
      </w:pPr>
    </w:p>
    <w:p w14:paraId="3E2C1ACF" w14:textId="77777777" w:rsidR="00F118E5" w:rsidRPr="004D0AEB" w:rsidRDefault="00F118E5" w:rsidP="00BD069B">
      <w:pPr>
        <w:spacing w:line="480" w:lineRule="auto"/>
        <w:rPr>
          <w:rFonts w:cstheme="minorHAnsi"/>
          <w:sz w:val="24"/>
          <w:szCs w:val="24"/>
        </w:rPr>
      </w:pPr>
    </w:p>
    <w:p w14:paraId="657F0519" w14:textId="7A27923A" w:rsidR="00F118E5" w:rsidRDefault="00F118E5" w:rsidP="00BD069B">
      <w:pPr>
        <w:spacing w:line="480" w:lineRule="auto"/>
        <w:rPr>
          <w:rFonts w:cstheme="minorHAnsi"/>
          <w:sz w:val="24"/>
          <w:szCs w:val="24"/>
        </w:rPr>
      </w:pPr>
    </w:p>
    <w:p w14:paraId="5B21C0BE" w14:textId="77777777" w:rsidR="00640F18" w:rsidRPr="004D0AEB" w:rsidRDefault="00640F18" w:rsidP="00BD069B">
      <w:pPr>
        <w:spacing w:line="480" w:lineRule="auto"/>
        <w:rPr>
          <w:rFonts w:cstheme="minorHAnsi"/>
          <w:sz w:val="24"/>
          <w:szCs w:val="24"/>
        </w:rPr>
      </w:pPr>
    </w:p>
    <w:p w14:paraId="54F37263" w14:textId="77777777" w:rsidR="00F118E5" w:rsidRPr="004D0AEB" w:rsidRDefault="00F118E5" w:rsidP="00BD069B">
      <w:pPr>
        <w:spacing w:line="480" w:lineRule="auto"/>
        <w:rPr>
          <w:rFonts w:cstheme="minorHAnsi"/>
          <w:sz w:val="24"/>
          <w:szCs w:val="24"/>
        </w:rPr>
      </w:pPr>
    </w:p>
    <w:p w14:paraId="1A7825CC" w14:textId="77777777" w:rsidR="00F118E5" w:rsidRPr="004D0AEB" w:rsidRDefault="00F118E5" w:rsidP="00BD069B">
      <w:pPr>
        <w:spacing w:line="480" w:lineRule="auto"/>
        <w:jc w:val="center"/>
        <w:rPr>
          <w:rFonts w:cstheme="minorHAnsi"/>
          <w:b/>
          <w:bCs/>
          <w:sz w:val="32"/>
          <w:szCs w:val="32"/>
        </w:rPr>
      </w:pPr>
      <w:r w:rsidRPr="004D0AEB">
        <w:rPr>
          <w:rFonts w:cstheme="minorHAnsi"/>
          <w:b/>
          <w:bCs/>
          <w:sz w:val="32"/>
          <w:szCs w:val="32"/>
        </w:rPr>
        <w:lastRenderedPageBreak/>
        <w:t>CHAPTER 2</w:t>
      </w:r>
    </w:p>
    <w:p w14:paraId="0E4EB0D2" w14:textId="77777777" w:rsidR="00F118E5" w:rsidRPr="004D0AEB" w:rsidRDefault="00F118E5" w:rsidP="00BD069B">
      <w:pPr>
        <w:spacing w:line="480" w:lineRule="auto"/>
        <w:jc w:val="center"/>
        <w:rPr>
          <w:rFonts w:cstheme="minorHAnsi"/>
          <w:b/>
          <w:bCs/>
          <w:sz w:val="32"/>
          <w:szCs w:val="32"/>
        </w:rPr>
      </w:pPr>
      <w:r w:rsidRPr="004D0AEB">
        <w:rPr>
          <w:rFonts w:cstheme="minorHAnsi"/>
          <w:b/>
          <w:bCs/>
          <w:sz w:val="32"/>
          <w:szCs w:val="32"/>
        </w:rPr>
        <w:t>FOUNDATIONS OF ISLAMIC HOMOSEXUALITY</w:t>
      </w:r>
    </w:p>
    <w:p w14:paraId="7BE2141E" w14:textId="77777777" w:rsidR="00F118E5" w:rsidRPr="004D0AEB" w:rsidRDefault="00F118E5" w:rsidP="00BD069B">
      <w:pPr>
        <w:spacing w:line="480" w:lineRule="auto"/>
        <w:jc w:val="center"/>
        <w:rPr>
          <w:rFonts w:cstheme="minorHAnsi"/>
          <w:b/>
          <w:bCs/>
          <w:sz w:val="32"/>
          <w:szCs w:val="32"/>
        </w:rPr>
      </w:pPr>
    </w:p>
    <w:p w14:paraId="2B2ACD11" w14:textId="77777777" w:rsidR="00F118E5" w:rsidRPr="004D0AEB" w:rsidRDefault="00F118E5" w:rsidP="00BD069B">
      <w:pPr>
        <w:spacing w:line="480" w:lineRule="auto"/>
        <w:rPr>
          <w:rFonts w:cstheme="minorHAnsi"/>
          <w:b/>
          <w:bCs/>
          <w:sz w:val="24"/>
          <w:szCs w:val="24"/>
        </w:rPr>
      </w:pPr>
      <w:r w:rsidRPr="004D0AEB">
        <w:rPr>
          <w:rFonts w:cstheme="minorHAnsi"/>
          <w:b/>
          <w:bCs/>
          <w:sz w:val="24"/>
          <w:szCs w:val="24"/>
        </w:rPr>
        <w:t>Islamic Homosexual History</w:t>
      </w:r>
    </w:p>
    <w:p w14:paraId="2409DCEB" w14:textId="0243378D" w:rsidR="00F118E5" w:rsidRPr="004D0AEB" w:rsidRDefault="00F118E5" w:rsidP="00BD069B">
      <w:pPr>
        <w:spacing w:line="480" w:lineRule="auto"/>
        <w:rPr>
          <w:rFonts w:cstheme="minorHAnsi"/>
          <w:sz w:val="24"/>
          <w:szCs w:val="24"/>
        </w:rPr>
      </w:pPr>
      <w:r w:rsidRPr="004D0AEB">
        <w:rPr>
          <w:rFonts w:cstheme="minorHAnsi"/>
          <w:sz w:val="24"/>
          <w:szCs w:val="24"/>
        </w:rPr>
        <w:t xml:space="preserve">The study of homosexuality throughout history has arguable been one of the most overlooked, and often disregarded fields of research (Murray and Roscoe, 1997, p.3). However, with the increase on human rights and progressive thinking during the past decade, the study of homosexuality has evidently evolved, quickly becoming one of the most intriguing and compelling areas of research, particularly regarding sexuality and religion. As this thesis argues for a supportive homosexual reading of the Islamic holy scripture, it is thus vital to examine how the concept of homosexuality has been portrayed throughout Islamic history, whilst also exploring any changes or developments in terms of Islamic attitudes towards same sex, with the progression of time. In addition, it is also pivotal to examine the Sharia law and </w:t>
      </w:r>
      <w:r w:rsidR="00034DED" w:rsidRPr="004D0AEB">
        <w:rPr>
          <w:rFonts w:cstheme="minorHAnsi"/>
          <w:sz w:val="24"/>
          <w:szCs w:val="24"/>
        </w:rPr>
        <w:t xml:space="preserve">its influence on </w:t>
      </w:r>
      <w:r w:rsidRPr="004D0AEB">
        <w:rPr>
          <w:rFonts w:cstheme="minorHAnsi"/>
          <w:sz w:val="24"/>
          <w:szCs w:val="24"/>
        </w:rPr>
        <w:t xml:space="preserve">homosexuality within Islam, whilst also exploring </w:t>
      </w:r>
      <w:r w:rsidR="003113AC" w:rsidRPr="004D0AEB">
        <w:rPr>
          <w:rFonts w:cstheme="minorHAnsi"/>
          <w:sz w:val="24"/>
          <w:szCs w:val="24"/>
        </w:rPr>
        <w:t>the possible compatibility of</w:t>
      </w:r>
      <w:r w:rsidRPr="004D0AEB">
        <w:rPr>
          <w:rFonts w:cstheme="minorHAnsi"/>
          <w:sz w:val="24"/>
          <w:szCs w:val="24"/>
        </w:rPr>
        <w:t xml:space="preserve"> Sharia and homosexuality. </w:t>
      </w:r>
    </w:p>
    <w:p w14:paraId="296CF1BF" w14:textId="77777777" w:rsidR="00F118E5" w:rsidRPr="004D0AEB" w:rsidRDefault="00F118E5" w:rsidP="00BD069B">
      <w:pPr>
        <w:spacing w:line="480" w:lineRule="auto"/>
        <w:rPr>
          <w:rFonts w:cstheme="minorHAnsi"/>
          <w:b/>
          <w:bCs/>
          <w:sz w:val="24"/>
          <w:szCs w:val="24"/>
        </w:rPr>
      </w:pPr>
      <w:r w:rsidRPr="004D0AEB">
        <w:rPr>
          <w:rFonts w:cstheme="minorHAnsi"/>
          <w:b/>
          <w:bCs/>
          <w:sz w:val="24"/>
          <w:szCs w:val="24"/>
        </w:rPr>
        <w:t xml:space="preserve">The Golden Age </w:t>
      </w:r>
    </w:p>
    <w:p w14:paraId="53E176DA" w14:textId="77777777" w:rsidR="00640F18" w:rsidRDefault="00F118E5" w:rsidP="00BD069B">
      <w:pPr>
        <w:spacing w:line="480" w:lineRule="auto"/>
        <w:rPr>
          <w:rFonts w:cstheme="minorHAnsi"/>
          <w:sz w:val="24"/>
          <w:szCs w:val="24"/>
        </w:rPr>
      </w:pPr>
      <w:r w:rsidRPr="004D0AEB">
        <w:rPr>
          <w:rFonts w:cstheme="minorHAnsi"/>
          <w:sz w:val="24"/>
          <w:szCs w:val="24"/>
        </w:rPr>
        <w:t>There is one particularly noteworthy period which is pivotal whilst examining the historical development of Islamic homosexual attitudes: The Golden Age. The Golden Age dates from the mid-8</w:t>
      </w:r>
      <w:r w:rsidRPr="004D0AEB">
        <w:rPr>
          <w:rFonts w:cstheme="minorHAnsi"/>
          <w:sz w:val="24"/>
          <w:szCs w:val="24"/>
          <w:vertAlign w:val="superscript"/>
        </w:rPr>
        <w:t>th</w:t>
      </w:r>
      <w:r w:rsidRPr="004D0AEB">
        <w:rPr>
          <w:rFonts w:cstheme="minorHAnsi"/>
          <w:sz w:val="24"/>
          <w:szCs w:val="24"/>
        </w:rPr>
        <w:t xml:space="preserve"> century to the mid-13</w:t>
      </w:r>
      <w:r w:rsidRPr="004D0AEB">
        <w:rPr>
          <w:rFonts w:cstheme="minorHAnsi"/>
          <w:sz w:val="24"/>
          <w:szCs w:val="24"/>
          <w:vertAlign w:val="superscript"/>
        </w:rPr>
        <w:t>th</w:t>
      </w:r>
      <w:r w:rsidRPr="004D0AEB">
        <w:rPr>
          <w:rFonts w:cstheme="minorHAnsi"/>
          <w:sz w:val="24"/>
          <w:szCs w:val="24"/>
        </w:rPr>
        <w:t xml:space="preserve"> century, and notes a compelling period in history, where </w:t>
      </w:r>
      <w:r w:rsidRPr="004D0AEB">
        <w:rPr>
          <w:rFonts w:cstheme="minorHAnsi"/>
          <w:sz w:val="24"/>
          <w:szCs w:val="24"/>
        </w:rPr>
        <w:lastRenderedPageBreak/>
        <w:t>Islamic civilisation is believed to have reached its cultural and intellectual zenith</w:t>
      </w:r>
      <w:r w:rsidRPr="004D0AEB">
        <w:rPr>
          <w:rStyle w:val="FootnoteReference"/>
          <w:rFonts w:cstheme="minorHAnsi"/>
          <w:sz w:val="24"/>
          <w:szCs w:val="24"/>
        </w:rPr>
        <w:footnoteReference w:id="17"/>
      </w:r>
      <w:r w:rsidRPr="004D0AEB">
        <w:rPr>
          <w:rFonts w:cstheme="minorHAnsi"/>
          <w:sz w:val="24"/>
          <w:szCs w:val="24"/>
        </w:rPr>
        <w:t xml:space="preserve"> (Daniyal, 2016). It is also the period where it is believed that homosexuality became widespread amongst society, with same-sex love being central to elements such as poetry and literature. Significantly, it is suggested that what cultivated in society during this period, was rather, precisely what Islamic law prohibits (El-Rouayheb, 2005, p.3). </w:t>
      </w:r>
    </w:p>
    <w:p w14:paraId="2AC18808" w14:textId="38EC14A9" w:rsidR="008449E5" w:rsidRPr="004D0AEB" w:rsidRDefault="00F118E5" w:rsidP="00640F18">
      <w:pPr>
        <w:spacing w:line="276" w:lineRule="auto"/>
        <w:rPr>
          <w:rFonts w:cstheme="minorHAnsi"/>
          <w:i/>
          <w:iCs/>
          <w:sz w:val="24"/>
          <w:szCs w:val="24"/>
        </w:rPr>
      </w:pPr>
      <w:r w:rsidRPr="004D0AEB">
        <w:rPr>
          <w:rFonts w:cstheme="minorHAnsi"/>
          <w:sz w:val="24"/>
          <w:szCs w:val="24"/>
        </w:rPr>
        <w:t xml:space="preserve">As Bernard Lewis maintains in his literature </w:t>
      </w:r>
      <w:r w:rsidRPr="004D0AEB">
        <w:rPr>
          <w:rFonts w:cstheme="minorHAnsi"/>
          <w:i/>
          <w:iCs/>
          <w:sz w:val="24"/>
          <w:szCs w:val="24"/>
        </w:rPr>
        <w:t xml:space="preserve">Music From a Distant Dream; </w:t>
      </w:r>
      <w:r w:rsidR="008449E5" w:rsidRPr="004D0AEB">
        <w:rPr>
          <w:rFonts w:cstheme="minorHAnsi"/>
          <w:i/>
          <w:iCs/>
          <w:sz w:val="24"/>
          <w:szCs w:val="24"/>
        </w:rPr>
        <w:br/>
      </w:r>
    </w:p>
    <w:p w14:paraId="53830613" w14:textId="35DAD0FB" w:rsidR="00F118E5" w:rsidRDefault="00F118E5" w:rsidP="00640F18">
      <w:pPr>
        <w:spacing w:line="276" w:lineRule="auto"/>
        <w:ind w:left="227" w:right="170"/>
        <w:rPr>
          <w:rFonts w:cstheme="minorHAnsi"/>
          <w:sz w:val="24"/>
          <w:szCs w:val="24"/>
        </w:rPr>
      </w:pPr>
      <w:r w:rsidRPr="00640F18">
        <w:rPr>
          <w:rFonts w:cstheme="minorHAnsi"/>
          <w:sz w:val="24"/>
          <w:szCs w:val="24"/>
        </w:rPr>
        <w:t>“Homosexuality is condemned and forbidden by the holy law of Islam, but there are times and places in Islamic history when the ban on homosexual love seems no stronger than the ban on adultery in, say, Renaissance Italy or seventeenth century France” (2001, p.26).</w:t>
      </w:r>
    </w:p>
    <w:p w14:paraId="268FFD5C" w14:textId="77777777" w:rsidR="00640F18" w:rsidRPr="004D0AEB" w:rsidRDefault="00640F18" w:rsidP="00640F18">
      <w:pPr>
        <w:spacing w:line="276" w:lineRule="auto"/>
        <w:ind w:left="227" w:right="170"/>
        <w:rPr>
          <w:rFonts w:cstheme="minorHAnsi"/>
          <w:sz w:val="24"/>
          <w:szCs w:val="24"/>
        </w:rPr>
      </w:pPr>
    </w:p>
    <w:p w14:paraId="648CF100" w14:textId="0F5EFAA7" w:rsidR="00F118E5" w:rsidRPr="004D0AEB" w:rsidRDefault="00F118E5" w:rsidP="00BD069B">
      <w:pPr>
        <w:spacing w:line="480" w:lineRule="auto"/>
        <w:rPr>
          <w:rFonts w:cstheme="minorHAnsi"/>
          <w:sz w:val="24"/>
          <w:szCs w:val="24"/>
        </w:rPr>
      </w:pPr>
      <w:r w:rsidRPr="004D0AEB">
        <w:rPr>
          <w:rFonts w:cstheme="minorHAnsi"/>
          <w:sz w:val="24"/>
          <w:szCs w:val="24"/>
        </w:rPr>
        <w:t>It is claimed that Muslim societies within the Golden Age openly spoke of same-sex love</w:t>
      </w:r>
      <w:r w:rsidR="007607A8" w:rsidRPr="004D0AEB">
        <w:rPr>
          <w:rFonts w:cstheme="minorHAnsi"/>
          <w:sz w:val="24"/>
          <w:szCs w:val="24"/>
        </w:rPr>
        <w:t xml:space="preserve">, whilst literature on homosexuality became pivotal </w:t>
      </w:r>
      <w:r w:rsidR="00DB0925" w:rsidRPr="004D0AEB">
        <w:rPr>
          <w:rFonts w:cstheme="minorHAnsi"/>
          <w:sz w:val="24"/>
          <w:szCs w:val="24"/>
        </w:rPr>
        <w:t>in</w:t>
      </w:r>
      <w:r w:rsidR="007607A8" w:rsidRPr="004D0AEB">
        <w:rPr>
          <w:rFonts w:cstheme="minorHAnsi"/>
          <w:sz w:val="24"/>
          <w:szCs w:val="24"/>
        </w:rPr>
        <w:t xml:space="preserve"> society </w:t>
      </w:r>
      <w:r w:rsidRPr="004D0AEB">
        <w:rPr>
          <w:rFonts w:cstheme="minorHAnsi"/>
          <w:sz w:val="24"/>
          <w:szCs w:val="24"/>
        </w:rPr>
        <w:t>(Daniyal, 2016). Through the study of Islam in present day, this statement is almost incomprehensible, however it can certainly be supported. For example, the Muslim Abu Nuwas (756-814) a significant classical Arab poet, wrote publicly concerning homosexuality; specifically, his own homosexual desires and relations</w:t>
      </w:r>
      <w:r w:rsidRPr="004D0AEB">
        <w:rPr>
          <w:rStyle w:val="FootnoteReference"/>
          <w:rFonts w:cstheme="minorHAnsi"/>
          <w:sz w:val="24"/>
          <w:szCs w:val="24"/>
        </w:rPr>
        <w:footnoteReference w:id="18"/>
      </w:r>
      <w:r w:rsidRPr="004D0AEB">
        <w:rPr>
          <w:rFonts w:cstheme="minorHAnsi"/>
          <w:sz w:val="24"/>
          <w:szCs w:val="24"/>
        </w:rPr>
        <w:t>. Nuwas became an extremely important historical figure, greatly revered, with his homoerotic poetry being openly circulated until as late as the 20</w:t>
      </w:r>
      <w:r w:rsidRPr="004D0AEB">
        <w:rPr>
          <w:rFonts w:cstheme="minorHAnsi"/>
          <w:sz w:val="24"/>
          <w:szCs w:val="24"/>
          <w:vertAlign w:val="superscript"/>
        </w:rPr>
        <w:t>th</w:t>
      </w:r>
      <w:r w:rsidRPr="004D0AEB">
        <w:rPr>
          <w:rFonts w:cstheme="minorHAnsi"/>
          <w:sz w:val="24"/>
          <w:szCs w:val="24"/>
        </w:rPr>
        <w:t xml:space="preserve"> century</w:t>
      </w:r>
      <w:r w:rsidRPr="004D0AEB">
        <w:rPr>
          <w:rStyle w:val="FootnoteReference"/>
          <w:rFonts w:cstheme="minorHAnsi"/>
          <w:sz w:val="24"/>
          <w:szCs w:val="24"/>
        </w:rPr>
        <w:footnoteReference w:id="19"/>
      </w:r>
      <w:r w:rsidRPr="004D0AEB">
        <w:rPr>
          <w:rFonts w:cstheme="minorHAnsi"/>
          <w:sz w:val="24"/>
          <w:szCs w:val="24"/>
        </w:rPr>
        <w:t xml:space="preserve"> (Daniyal, 2016). Nuwas was far from being the singularly influential Islamic figure regarding th</w:t>
      </w:r>
      <w:r w:rsidR="00B764F5" w:rsidRPr="004D0AEB">
        <w:rPr>
          <w:rFonts w:cstheme="minorHAnsi"/>
          <w:sz w:val="24"/>
          <w:szCs w:val="24"/>
        </w:rPr>
        <w:t>e</w:t>
      </w:r>
      <w:r w:rsidRPr="004D0AEB">
        <w:rPr>
          <w:rFonts w:cstheme="minorHAnsi"/>
          <w:sz w:val="24"/>
          <w:szCs w:val="24"/>
        </w:rPr>
        <w:t xml:space="preserve"> acceptance of same-sex-love. Mahmud Ghanzi, a sultan of this time was </w:t>
      </w:r>
      <w:r w:rsidRPr="004D0AEB">
        <w:rPr>
          <w:rFonts w:cstheme="minorHAnsi"/>
          <w:sz w:val="24"/>
          <w:szCs w:val="24"/>
        </w:rPr>
        <w:lastRenderedPageBreak/>
        <w:t>viewed as an ideal for deeply loving another male, whilst Mughal Emperor Babur wrote of his attraction to a male in the camp bazaar, in his sixteenth century autobiography</w:t>
      </w:r>
      <w:r w:rsidRPr="004D0AEB">
        <w:rPr>
          <w:rStyle w:val="FootnoteReference"/>
          <w:rFonts w:cstheme="minorHAnsi"/>
          <w:sz w:val="24"/>
          <w:szCs w:val="24"/>
        </w:rPr>
        <w:footnoteReference w:id="20"/>
      </w:r>
      <w:r w:rsidRPr="004D0AEB">
        <w:rPr>
          <w:rFonts w:cstheme="minorHAnsi"/>
          <w:sz w:val="24"/>
          <w:szCs w:val="24"/>
        </w:rPr>
        <w:t xml:space="preserve"> (Daniyal, 2016). Thus, I argue that until the 19</w:t>
      </w:r>
      <w:r w:rsidRPr="004D0AEB">
        <w:rPr>
          <w:rFonts w:cstheme="minorHAnsi"/>
          <w:sz w:val="24"/>
          <w:szCs w:val="24"/>
          <w:vertAlign w:val="superscript"/>
        </w:rPr>
        <w:t>th</w:t>
      </w:r>
      <w:r w:rsidRPr="004D0AEB">
        <w:rPr>
          <w:rFonts w:cstheme="minorHAnsi"/>
          <w:sz w:val="24"/>
          <w:szCs w:val="24"/>
        </w:rPr>
        <w:t xml:space="preserve"> century, Muslims treated homosexuality as a recognised and accepted part of life</w:t>
      </w:r>
      <w:r w:rsidRPr="004D0AEB">
        <w:rPr>
          <w:rStyle w:val="FootnoteReference"/>
          <w:rFonts w:cstheme="minorHAnsi"/>
          <w:sz w:val="24"/>
          <w:szCs w:val="24"/>
        </w:rPr>
        <w:footnoteReference w:id="21"/>
      </w:r>
      <w:r w:rsidRPr="004D0AEB">
        <w:rPr>
          <w:rFonts w:cstheme="minorHAnsi"/>
          <w:sz w:val="24"/>
          <w:szCs w:val="24"/>
        </w:rPr>
        <w:t>. As Kidwai argues; “Homoerotically inclined men are continuously visible in Muslim medieval histories and are generally described without pejorative comment” (Vanita and Kidwai, 2000, p.107).</w:t>
      </w:r>
    </w:p>
    <w:p w14:paraId="0E066EA3" w14:textId="2D7BC2E4" w:rsidR="00F118E5" w:rsidRPr="004D0AEB" w:rsidRDefault="00F118E5" w:rsidP="00BD069B">
      <w:pPr>
        <w:spacing w:line="480" w:lineRule="auto"/>
        <w:rPr>
          <w:rFonts w:cstheme="minorHAnsi"/>
          <w:sz w:val="24"/>
          <w:szCs w:val="24"/>
        </w:rPr>
      </w:pPr>
      <w:r w:rsidRPr="004D0AEB">
        <w:rPr>
          <w:rFonts w:cstheme="minorHAnsi"/>
          <w:sz w:val="24"/>
          <w:szCs w:val="24"/>
        </w:rPr>
        <w:t xml:space="preserve">One pivotal question that The Golden Age raises </w:t>
      </w:r>
      <w:r w:rsidR="007D1FB0" w:rsidRPr="004D0AEB">
        <w:rPr>
          <w:rFonts w:cstheme="minorHAnsi"/>
          <w:sz w:val="24"/>
          <w:szCs w:val="24"/>
        </w:rPr>
        <w:t>therefore</w:t>
      </w:r>
      <w:r w:rsidRPr="004D0AEB">
        <w:rPr>
          <w:rFonts w:cstheme="minorHAnsi"/>
          <w:sz w:val="24"/>
          <w:szCs w:val="24"/>
        </w:rPr>
        <w:t>, is how and why Islam now outlaws and criminalises all forms of same sex love, following this historical period of homosexual acceptance. There is certainly no mutual argument or viewpoint, however, the most favoured hypothesis rests on the impact of colonial influence (Daniyal, 2016). One vital concept which scholars specifically address is the existence of five Muslim countries where homosexuality has not become outlawed or forbidden, namely, Jordan, Indonesia, Turkey, Mali and Albania. Interestingly, these five countries that do not condemn homosexuality as a crime, were never colonialised by the British (Daniyal, 2016). I argue that one case in which this is evident, occurred when the Ottoman Empire decriminalised homosexuality. This took place two years before the British Raj created the Indian Penal Code, which proceeded to outlaw homosexuality in Pakistan, Bangladesh and India</w:t>
      </w:r>
      <w:r w:rsidRPr="004D0AEB">
        <w:rPr>
          <w:rStyle w:val="FootnoteReference"/>
          <w:rFonts w:cstheme="minorHAnsi"/>
          <w:sz w:val="24"/>
          <w:szCs w:val="24"/>
        </w:rPr>
        <w:footnoteReference w:id="22"/>
      </w:r>
      <w:r w:rsidRPr="004D0AEB">
        <w:rPr>
          <w:rFonts w:cstheme="minorHAnsi"/>
          <w:sz w:val="24"/>
          <w:szCs w:val="24"/>
        </w:rPr>
        <w:t xml:space="preserve"> (Daniyal, 2016). In nearly seventy years of Independence, Indian Parliament are still unsuccessful when attempting to overturn this law, whilst the right-wing Indian Bharatiya Janata Party have even stretched to the extent of claiming their party position to condemn homosexuality </w:t>
      </w:r>
      <w:r w:rsidRPr="004D0AEB">
        <w:rPr>
          <w:rFonts w:cstheme="minorHAnsi"/>
          <w:sz w:val="24"/>
          <w:szCs w:val="24"/>
        </w:rPr>
        <w:lastRenderedPageBreak/>
        <w:t>under a genetic disorder. As Daniyal highlights, this law almost borders on bizarre, as Hinduism, unlike Islam, or even Christianity, does not have any scriptural condemnation of homosexuality (2016). This link between homosexuality and</w:t>
      </w:r>
      <w:r w:rsidR="007A5DD7" w:rsidRPr="004D0AEB">
        <w:rPr>
          <w:rFonts w:cstheme="minorHAnsi"/>
          <w:sz w:val="24"/>
          <w:szCs w:val="24"/>
        </w:rPr>
        <w:t xml:space="preserve"> a</w:t>
      </w:r>
      <w:r w:rsidRPr="004D0AEB">
        <w:rPr>
          <w:rFonts w:cstheme="minorHAnsi"/>
          <w:sz w:val="24"/>
          <w:szCs w:val="24"/>
        </w:rPr>
        <w:t xml:space="preserve"> lack of colonialization has never been accurately proved, however through examples such as these, I argue that it is certainly a prominent possibility which must be considered.</w:t>
      </w:r>
    </w:p>
    <w:p w14:paraId="27CF0A54" w14:textId="4F707BF7" w:rsidR="00F118E5" w:rsidRPr="004D0AEB" w:rsidRDefault="00F118E5" w:rsidP="00BD069B">
      <w:pPr>
        <w:spacing w:line="480" w:lineRule="auto"/>
        <w:rPr>
          <w:rFonts w:cstheme="minorHAnsi"/>
          <w:sz w:val="24"/>
          <w:szCs w:val="24"/>
        </w:rPr>
      </w:pPr>
      <w:r w:rsidRPr="004D0AEB">
        <w:rPr>
          <w:rFonts w:cstheme="minorHAnsi"/>
          <w:sz w:val="24"/>
          <w:szCs w:val="24"/>
        </w:rPr>
        <w:t xml:space="preserve">Overall, it is not to be implied here that homosexuality prospered amongst Muslim of this age; that would be an overstatement almost typical of an orientalist discourse, however, it is vital to acknowledge that during Islamic history, homosexuality existed and was accepted (Murray and Roscoe, 1997, p.3). I argue that it was certainly possible to be homosexual and Muslim historically, with poems being openly homosexual, authors being revered for their same-sex literature, and homosexual figures being held as ideals of respect. I </w:t>
      </w:r>
      <w:r w:rsidR="00065E7B" w:rsidRPr="004D0AEB">
        <w:rPr>
          <w:rFonts w:cstheme="minorHAnsi"/>
          <w:sz w:val="24"/>
          <w:szCs w:val="24"/>
        </w:rPr>
        <w:t xml:space="preserve">thus </w:t>
      </w:r>
      <w:r w:rsidRPr="004D0AEB">
        <w:rPr>
          <w:rFonts w:cstheme="minorHAnsi"/>
          <w:sz w:val="24"/>
          <w:szCs w:val="24"/>
        </w:rPr>
        <w:t>argue that most Muslims either have little knowledge of what the Golden Age entailed, or they merely choose to overlook it. As Daniyal claims: “till the nineteenth century, Muslims treated homosexuality as a part and parcel of life” (2016). Therefore, from the nineteenth century onwards, homosexuality has quickly grown to be rejected</w:t>
      </w:r>
      <w:r w:rsidR="00E17DC8" w:rsidRPr="004D0AEB">
        <w:rPr>
          <w:rFonts w:cstheme="minorHAnsi"/>
          <w:sz w:val="24"/>
          <w:szCs w:val="24"/>
        </w:rPr>
        <w:t xml:space="preserve"> </w:t>
      </w:r>
      <w:r w:rsidRPr="004D0AEB">
        <w:rPr>
          <w:rFonts w:cstheme="minorHAnsi"/>
          <w:sz w:val="24"/>
          <w:szCs w:val="24"/>
        </w:rPr>
        <w:t xml:space="preserve">amongst most Muslims within every nation, leading us to our next discussion concerning </w:t>
      </w:r>
      <w:r w:rsidR="00E17DC8" w:rsidRPr="004D0AEB">
        <w:rPr>
          <w:rFonts w:cstheme="minorHAnsi"/>
          <w:sz w:val="24"/>
          <w:szCs w:val="24"/>
        </w:rPr>
        <w:t>the legal</w:t>
      </w:r>
      <w:r w:rsidRPr="004D0AEB">
        <w:rPr>
          <w:rFonts w:cstheme="minorHAnsi"/>
          <w:sz w:val="24"/>
          <w:szCs w:val="24"/>
        </w:rPr>
        <w:t xml:space="preserve"> origin of this condemnation; Sharia Law. </w:t>
      </w:r>
    </w:p>
    <w:p w14:paraId="4CCC0B50" w14:textId="77777777" w:rsidR="00F118E5" w:rsidRPr="004D0AEB" w:rsidRDefault="00F118E5" w:rsidP="00BD069B">
      <w:pPr>
        <w:spacing w:line="480" w:lineRule="auto"/>
        <w:rPr>
          <w:rFonts w:cstheme="minorHAnsi"/>
          <w:sz w:val="24"/>
          <w:szCs w:val="24"/>
        </w:rPr>
      </w:pPr>
    </w:p>
    <w:p w14:paraId="4ADACAE3" w14:textId="77777777" w:rsidR="00F118E5" w:rsidRPr="004D0AEB" w:rsidRDefault="00F118E5" w:rsidP="00BD069B">
      <w:pPr>
        <w:spacing w:line="480" w:lineRule="auto"/>
        <w:rPr>
          <w:rFonts w:cstheme="minorHAnsi"/>
          <w:b/>
          <w:bCs/>
          <w:sz w:val="24"/>
          <w:szCs w:val="24"/>
        </w:rPr>
      </w:pPr>
      <w:r w:rsidRPr="004D0AEB">
        <w:rPr>
          <w:rFonts w:cstheme="minorHAnsi"/>
          <w:b/>
          <w:bCs/>
          <w:sz w:val="24"/>
          <w:szCs w:val="24"/>
        </w:rPr>
        <w:t>Sharia Law</w:t>
      </w:r>
    </w:p>
    <w:p w14:paraId="46A6439A" w14:textId="479FB4B5" w:rsidR="00F118E5" w:rsidRPr="004D0AEB" w:rsidRDefault="00F118E5" w:rsidP="00BD069B">
      <w:pPr>
        <w:spacing w:line="480" w:lineRule="auto"/>
        <w:rPr>
          <w:rFonts w:cstheme="minorHAnsi"/>
          <w:sz w:val="24"/>
          <w:szCs w:val="24"/>
        </w:rPr>
      </w:pPr>
      <w:r w:rsidRPr="004D0AEB">
        <w:rPr>
          <w:rFonts w:cstheme="minorHAnsi"/>
          <w:sz w:val="24"/>
          <w:szCs w:val="24"/>
        </w:rPr>
        <w:t xml:space="preserve">A study of homosexuality within Islam would not be justifiable without an examination of the </w:t>
      </w:r>
      <w:r w:rsidR="00340CA1" w:rsidRPr="004D0AEB">
        <w:rPr>
          <w:rFonts w:cstheme="minorHAnsi"/>
          <w:sz w:val="24"/>
          <w:szCs w:val="24"/>
        </w:rPr>
        <w:t xml:space="preserve">Islamic </w:t>
      </w:r>
      <w:r w:rsidRPr="004D0AEB">
        <w:rPr>
          <w:rFonts w:cstheme="minorHAnsi"/>
          <w:sz w:val="24"/>
          <w:szCs w:val="24"/>
        </w:rPr>
        <w:t>Sharia law</w:t>
      </w:r>
      <w:r w:rsidR="007F5CD0" w:rsidRPr="004D0AEB">
        <w:rPr>
          <w:rFonts w:cstheme="minorHAnsi"/>
          <w:sz w:val="24"/>
          <w:szCs w:val="24"/>
        </w:rPr>
        <w:t xml:space="preserve">. </w:t>
      </w:r>
      <w:r w:rsidR="007F5CD0" w:rsidRPr="004D0AEB">
        <w:rPr>
          <w:rFonts w:cstheme="minorHAnsi"/>
          <w:sz w:val="24"/>
          <w:szCs w:val="24"/>
        </w:rPr>
        <w:t xml:space="preserve">Sharia entails a duty to submit to the will of Allah, through a system of legal practices and ethical actions, that correctly moulds the identity of a </w:t>
      </w:r>
      <w:r w:rsidR="007F5CD0" w:rsidRPr="004D0AEB">
        <w:rPr>
          <w:rFonts w:cstheme="minorHAnsi"/>
          <w:sz w:val="24"/>
          <w:szCs w:val="24"/>
        </w:rPr>
        <w:lastRenderedPageBreak/>
        <w:t>Muslim</w:t>
      </w:r>
      <w:r w:rsidRPr="004D0AEB">
        <w:rPr>
          <w:rStyle w:val="FootnoteReference"/>
          <w:rFonts w:cstheme="minorHAnsi"/>
          <w:sz w:val="24"/>
          <w:szCs w:val="24"/>
        </w:rPr>
        <w:footnoteReference w:id="23"/>
      </w:r>
      <w:r w:rsidR="007F5CD0" w:rsidRPr="004D0AEB">
        <w:rPr>
          <w:rFonts w:cstheme="minorHAnsi"/>
          <w:sz w:val="24"/>
          <w:szCs w:val="24"/>
        </w:rPr>
        <w:t>(Abdulla and Keshavjee, 2018, p.2-3)</w:t>
      </w:r>
      <w:r w:rsidRPr="004D0AEB">
        <w:rPr>
          <w:rFonts w:cstheme="minorHAnsi"/>
          <w:sz w:val="24"/>
          <w:szCs w:val="24"/>
        </w:rPr>
        <w:t xml:space="preserve">. In Arabic, the term ‘Sharia’ literally translates to ‘pathway’; one which Muslims must follow to deal justly with different affairs (Kugle, 2010, pp.132-133). As Kugle argues; this pathway “refers to the essential message of the Qur’an, the moral worth of life, the consequence of every action, the accounting before God and the life after resurrection” (2010, p.132). The Sharia pathway is not a narrow one however, and is, in contrast, a rather broad trail, which keeps Muslims within the limit of God’s will, but does not insist on a single file route. The scholar Kugle supports this argument, picturing Muslims as an unruly herd of sheep, that are herded by a wise Shepard; the Sharia, towards a source of water; symbolising God and his wishes (2010, pp, 132-133). As Kugle maintains; “divinely given signposts that mark the path that leads to life-sustaining water, which is the presence of God” (2010, p.133). </w:t>
      </w:r>
      <w:r w:rsidR="005B1316" w:rsidRPr="004D0AEB">
        <w:rPr>
          <w:rFonts w:cstheme="minorHAnsi"/>
          <w:sz w:val="24"/>
          <w:szCs w:val="24"/>
        </w:rPr>
        <w:t>If</w:t>
      </w:r>
      <w:r w:rsidR="001A4978" w:rsidRPr="004D0AEB">
        <w:rPr>
          <w:rFonts w:cstheme="minorHAnsi"/>
          <w:sz w:val="24"/>
          <w:szCs w:val="24"/>
        </w:rPr>
        <w:t xml:space="preserve"> </w:t>
      </w:r>
      <w:r w:rsidRPr="004D0AEB">
        <w:rPr>
          <w:rFonts w:cstheme="minorHAnsi"/>
          <w:sz w:val="24"/>
          <w:szCs w:val="24"/>
        </w:rPr>
        <w:t>the end goal lies with God, then the pathway will be accepted. This highlights our core examination during this chapter</w:t>
      </w:r>
      <w:r w:rsidR="005B1316" w:rsidRPr="004D0AEB">
        <w:rPr>
          <w:rFonts w:cstheme="minorHAnsi"/>
          <w:sz w:val="24"/>
          <w:szCs w:val="24"/>
        </w:rPr>
        <w:t>,</w:t>
      </w:r>
      <w:r w:rsidRPr="004D0AEB">
        <w:rPr>
          <w:rFonts w:cstheme="minorHAnsi"/>
          <w:sz w:val="24"/>
          <w:szCs w:val="24"/>
        </w:rPr>
        <w:t xml:space="preserve"> therefore</w:t>
      </w:r>
      <w:r w:rsidR="005B1316" w:rsidRPr="004D0AEB">
        <w:rPr>
          <w:rFonts w:cstheme="minorHAnsi"/>
          <w:sz w:val="24"/>
          <w:szCs w:val="24"/>
        </w:rPr>
        <w:t>;</w:t>
      </w:r>
      <w:r w:rsidRPr="004D0AEB">
        <w:rPr>
          <w:rFonts w:cstheme="minorHAnsi"/>
          <w:sz w:val="24"/>
          <w:szCs w:val="24"/>
        </w:rPr>
        <w:t xml:space="preserve"> how homosexual Muslims can adhere to the Sharia, through an exploration of </w:t>
      </w:r>
      <w:r w:rsidR="00E4050B" w:rsidRPr="004D0AEB">
        <w:rPr>
          <w:rFonts w:cstheme="minorHAnsi"/>
          <w:sz w:val="24"/>
          <w:szCs w:val="24"/>
        </w:rPr>
        <w:t>its sacred and profane</w:t>
      </w:r>
      <w:r w:rsidRPr="004D0AEB">
        <w:rPr>
          <w:rFonts w:cstheme="minorHAnsi"/>
          <w:sz w:val="24"/>
          <w:szCs w:val="24"/>
        </w:rPr>
        <w:t xml:space="preserve"> elements, </w:t>
      </w:r>
      <w:r w:rsidR="003E540C" w:rsidRPr="004D0AEB">
        <w:rPr>
          <w:rFonts w:cstheme="minorHAnsi"/>
          <w:sz w:val="24"/>
          <w:szCs w:val="24"/>
        </w:rPr>
        <w:t xml:space="preserve">and its possible </w:t>
      </w:r>
      <w:r w:rsidR="00C47ED0" w:rsidRPr="004D0AEB">
        <w:rPr>
          <w:rFonts w:cstheme="minorHAnsi"/>
          <w:sz w:val="24"/>
          <w:szCs w:val="24"/>
        </w:rPr>
        <w:t>modification regarding LGBT.</w:t>
      </w:r>
    </w:p>
    <w:p w14:paraId="737C3C51" w14:textId="77777777" w:rsidR="00F118E5" w:rsidRPr="004D0AEB" w:rsidRDefault="00F118E5" w:rsidP="00BD069B">
      <w:pPr>
        <w:spacing w:line="480" w:lineRule="auto"/>
        <w:rPr>
          <w:rFonts w:cstheme="minorHAnsi"/>
          <w:sz w:val="24"/>
          <w:szCs w:val="24"/>
        </w:rPr>
      </w:pPr>
    </w:p>
    <w:p w14:paraId="0022D34F" w14:textId="77777777" w:rsidR="00F118E5" w:rsidRPr="004D0AEB" w:rsidRDefault="00F118E5" w:rsidP="00BD069B">
      <w:pPr>
        <w:spacing w:line="480" w:lineRule="auto"/>
        <w:rPr>
          <w:rFonts w:cstheme="minorHAnsi"/>
          <w:b/>
          <w:bCs/>
          <w:sz w:val="24"/>
          <w:szCs w:val="24"/>
        </w:rPr>
      </w:pPr>
      <w:r w:rsidRPr="004D0AEB">
        <w:rPr>
          <w:rFonts w:cstheme="minorHAnsi"/>
          <w:b/>
          <w:bCs/>
          <w:sz w:val="24"/>
          <w:szCs w:val="24"/>
        </w:rPr>
        <w:t>Why did Sharia law begin?</w:t>
      </w:r>
    </w:p>
    <w:p w14:paraId="5311361F" w14:textId="77777777" w:rsidR="00F118E5" w:rsidRPr="004D0AEB" w:rsidRDefault="00F118E5" w:rsidP="00BD069B">
      <w:pPr>
        <w:spacing w:line="480" w:lineRule="auto"/>
        <w:rPr>
          <w:rFonts w:cstheme="minorHAnsi"/>
          <w:sz w:val="24"/>
          <w:szCs w:val="24"/>
        </w:rPr>
      </w:pPr>
      <w:r w:rsidRPr="004D0AEB">
        <w:rPr>
          <w:rFonts w:cstheme="minorHAnsi"/>
          <w:sz w:val="24"/>
          <w:szCs w:val="24"/>
        </w:rPr>
        <w:t>Before we begin to analyse the Sharia’s influence on Islamic homosexuality, it is firstly pivotal to highlight its origin. There is no denying that Islam had a difficult birth</w:t>
      </w:r>
      <w:r w:rsidRPr="004D0AEB">
        <w:rPr>
          <w:rStyle w:val="FootnoteReference"/>
          <w:rFonts w:cstheme="minorHAnsi"/>
          <w:sz w:val="24"/>
          <w:szCs w:val="24"/>
        </w:rPr>
        <w:footnoteReference w:id="24"/>
      </w:r>
      <w:r w:rsidRPr="004D0AEB">
        <w:rPr>
          <w:rFonts w:cstheme="minorHAnsi"/>
          <w:sz w:val="24"/>
          <w:szCs w:val="24"/>
        </w:rPr>
        <w:t>, however, after the Prophet passed away in 632, war broke out on a new, abhorrent level</w:t>
      </w:r>
      <w:r w:rsidRPr="004D0AEB">
        <w:rPr>
          <w:rStyle w:val="FootnoteReference"/>
          <w:rFonts w:cstheme="minorHAnsi"/>
          <w:sz w:val="24"/>
          <w:szCs w:val="24"/>
        </w:rPr>
        <w:footnoteReference w:id="25"/>
      </w:r>
      <w:r w:rsidRPr="004D0AEB">
        <w:rPr>
          <w:rFonts w:cstheme="minorHAnsi"/>
          <w:sz w:val="24"/>
          <w:szCs w:val="24"/>
        </w:rPr>
        <w:t xml:space="preserve"> (Abdulla </w:t>
      </w:r>
      <w:r w:rsidRPr="004D0AEB">
        <w:rPr>
          <w:rFonts w:cstheme="minorHAnsi"/>
          <w:sz w:val="24"/>
          <w:szCs w:val="24"/>
        </w:rPr>
        <w:lastRenderedPageBreak/>
        <w:t>and Keshavjee, 2018, p.6). It thus became clear that an organised system of rules was needed, in order to define rights under a new socio-political order, specifically one inspired by faith</w:t>
      </w:r>
      <w:r w:rsidRPr="004D0AEB">
        <w:rPr>
          <w:rStyle w:val="FootnoteReference"/>
          <w:rFonts w:cstheme="minorHAnsi"/>
          <w:sz w:val="24"/>
          <w:szCs w:val="24"/>
        </w:rPr>
        <w:footnoteReference w:id="26"/>
      </w:r>
      <w:r w:rsidRPr="004D0AEB">
        <w:rPr>
          <w:rFonts w:cstheme="minorHAnsi"/>
          <w:sz w:val="24"/>
          <w:szCs w:val="24"/>
        </w:rPr>
        <w:t xml:space="preserve">, resulting in the development of Sharia (Abdulla and Keshavjee, 2018, p.6). As Abdulla and Keshavjee argue; “a polity had to be formed that was inspired by a newly received Revelation in whose name the society would be shaped” (2018, p.7). </w:t>
      </w:r>
    </w:p>
    <w:p w14:paraId="173EDA29" w14:textId="77777777" w:rsidR="008B75CD" w:rsidRDefault="00F118E5" w:rsidP="00BD069B">
      <w:pPr>
        <w:spacing w:line="480" w:lineRule="auto"/>
        <w:rPr>
          <w:rFonts w:cstheme="minorHAnsi"/>
          <w:sz w:val="24"/>
          <w:szCs w:val="24"/>
        </w:rPr>
      </w:pPr>
      <w:r w:rsidRPr="004D0AEB">
        <w:rPr>
          <w:rFonts w:cstheme="minorHAnsi"/>
          <w:sz w:val="24"/>
          <w:szCs w:val="24"/>
        </w:rPr>
        <w:t>The source of law was seen to be embodied in the holy text; the Qur’an, and so, interpretations of this text,</w:t>
      </w:r>
      <w:r w:rsidRPr="004D0AEB">
        <w:rPr>
          <w:rFonts w:cstheme="minorHAnsi"/>
          <w:i/>
          <w:iCs/>
          <w:sz w:val="24"/>
          <w:szCs w:val="24"/>
        </w:rPr>
        <w:t xml:space="preserve"> </w:t>
      </w:r>
      <w:r w:rsidRPr="004D0AEB">
        <w:rPr>
          <w:rFonts w:cstheme="minorHAnsi"/>
          <w:sz w:val="24"/>
          <w:szCs w:val="24"/>
        </w:rPr>
        <w:t xml:space="preserve">became central to the development of Sharia (Abdulla and Keshavjee, 2018, p.7). This became known as the process </w:t>
      </w:r>
      <w:r w:rsidRPr="004D0AEB">
        <w:rPr>
          <w:rFonts w:cstheme="minorHAnsi"/>
          <w:i/>
          <w:iCs/>
          <w:sz w:val="24"/>
          <w:szCs w:val="24"/>
        </w:rPr>
        <w:t xml:space="preserve">usul al-fiqh; </w:t>
      </w:r>
      <w:r w:rsidRPr="004D0AEB">
        <w:rPr>
          <w:rFonts w:cstheme="minorHAnsi"/>
          <w:sz w:val="24"/>
          <w:szCs w:val="24"/>
        </w:rPr>
        <w:t xml:space="preserve">the legal theory through which Muslim jurists and exegetes ‘discovered’ God’s law through a process of appropriate Quranic interpretation. </w:t>
      </w:r>
    </w:p>
    <w:p w14:paraId="5656147C" w14:textId="03A976CA" w:rsidR="00F118E5" w:rsidRPr="008B75CD" w:rsidRDefault="00F118E5" w:rsidP="008B75CD">
      <w:pPr>
        <w:spacing w:line="276" w:lineRule="auto"/>
        <w:rPr>
          <w:rFonts w:cstheme="minorHAnsi"/>
          <w:sz w:val="24"/>
          <w:szCs w:val="24"/>
        </w:rPr>
      </w:pPr>
      <w:r w:rsidRPr="008B75CD">
        <w:rPr>
          <w:rFonts w:cstheme="minorHAnsi"/>
          <w:sz w:val="24"/>
          <w:szCs w:val="24"/>
        </w:rPr>
        <w:t>Khaled Abou El Fadl</w:t>
      </w:r>
      <w:r w:rsidR="001035EB" w:rsidRPr="008B75CD">
        <w:rPr>
          <w:rFonts w:cstheme="minorHAnsi"/>
          <w:sz w:val="24"/>
          <w:szCs w:val="24"/>
        </w:rPr>
        <w:t xml:space="preserve"> </w:t>
      </w:r>
      <w:r w:rsidRPr="008B75CD">
        <w:rPr>
          <w:rFonts w:cstheme="minorHAnsi"/>
          <w:sz w:val="24"/>
          <w:szCs w:val="24"/>
        </w:rPr>
        <w:t>define</w:t>
      </w:r>
      <w:r w:rsidR="001035EB" w:rsidRPr="008B75CD">
        <w:rPr>
          <w:rFonts w:cstheme="minorHAnsi"/>
          <w:sz w:val="24"/>
          <w:szCs w:val="24"/>
        </w:rPr>
        <w:t>s</w:t>
      </w:r>
      <w:r w:rsidRPr="008B75CD">
        <w:rPr>
          <w:rFonts w:cstheme="minorHAnsi"/>
          <w:sz w:val="24"/>
          <w:szCs w:val="24"/>
        </w:rPr>
        <w:t xml:space="preserve"> this process as follows:</w:t>
      </w:r>
    </w:p>
    <w:p w14:paraId="3F5CBD60" w14:textId="5F6DEE8F" w:rsidR="00F118E5" w:rsidRDefault="00F118E5" w:rsidP="008B75CD">
      <w:pPr>
        <w:spacing w:line="276" w:lineRule="auto"/>
        <w:ind w:left="283" w:right="170"/>
        <w:rPr>
          <w:rFonts w:cstheme="minorHAnsi"/>
          <w:sz w:val="24"/>
          <w:szCs w:val="24"/>
        </w:rPr>
      </w:pPr>
      <w:r w:rsidRPr="008B75CD">
        <w:rPr>
          <w:rFonts w:cstheme="minorHAnsi"/>
          <w:sz w:val="24"/>
          <w:szCs w:val="24"/>
        </w:rPr>
        <w:t>“Early Muslims debated and fought over who became the repository of legitimate authority after the Prophet. There were several candidates to receive this formidable authority…..by the eighth century CE, the most serious and formidable candidate had emerged as a coherent and systematic contender; the law of God, the Shari’a” (2001, p.12).</w:t>
      </w:r>
    </w:p>
    <w:p w14:paraId="1765CAAE" w14:textId="77777777" w:rsidR="008B75CD" w:rsidRPr="004D0AEB" w:rsidRDefault="008B75CD" w:rsidP="008B75CD">
      <w:pPr>
        <w:spacing w:line="276" w:lineRule="auto"/>
        <w:ind w:left="283" w:right="170"/>
        <w:rPr>
          <w:rFonts w:cstheme="minorHAnsi"/>
          <w:sz w:val="24"/>
          <w:szCs w:val="24"/>
        </w:rPr>
      </w:pPr>
    </w:p>
    <w:p w14:paraId="63D9EE07" w14:textId="21017F8A" w:rsidR="00F118E5" w:rsidRPr="004D0AEB" w:rsidRDefault="00F118E5" w:rsidP="00BD069B">
      <w:pPr>
        <w:spacing w:line="480" w:lineRule="auto"/>
        <w:rPr>
          <w:rFonts w:cstheme="minorHAnsi"/>
          <w:sz w:val="24"/>
          <w:szCs w:val="24"/>
        </w:rPr>
      </w:pPr>
      <w:r w:rsidRPr="004D0AEB">
        <w:rPr>
          <w:rFonts w:cstheme="minorHAnsi"/>
          <w:sz w:val="24"/>
          <w:szCs w:val="24"/>
        </w:rPr>
        <w:t xml:space="preserve">I argue that this brief definition captures the tension that is inherent in Sharia. It is the ‘law of God’, however, historically, was drawn up by professionals, who claimed a unique authority to articulate divine will (Kugle, 2010, p.131). It is thus articulated and represented by an audacious and bold specialised body of jurists, known as the </w:t>
      </w:r>
      <w:r w:rsidRPr="004D0AEB">
        <w:rPr>
          <w:rFonts w:cstheme="minorHAnsi"/>
          <w:i/>
          <w:iCs/>
          <w:sz w:val="24"/>
          <w:szCs w:val="24"/>
        </w:rPr>
        <w:t>fuqaha.</w:t>
      </w:r>
      <w:r w:rsidRPr="004D0AEB">
        <w:rPr>
          <w:rStyle w:val="FootnoteReference"/>
          <w:rFonts w:cstheme="minorHAnsi"/>
          <w:i/>
          <w:iCs/>
          <w:sz w:val="24"/>
          <w:szCs w:val="24"/>
        </w:rPr>
        <w:footnoteReference w:id="27"/>
      </w:r>
      <w:r w:rsidRPr="004D0AEB">
        <w:rPr>
          <w:rFonts w:cstheme="minorHAnsi"/>
          <w:sz w:val="24"/>
          <w:szCs w:val="24"/>
        </w:rPr>
        <w:t xml:space="preserve"> One significant argument that must be examined here therefore, in terms of homosexuality and Islam, </w:t>
      </w:r>
      <w:r w:rsidRPr="004D0AEB">
        <w:rPr>
          <w:rFonts w:cstheme="minorHAnsi"/>
          <w:sz w:val="24"/>
          <w:szCs w:val="24"/>
        </w:rPr>
        <w:lastRenderedPageBreak/>
        <w:t>centres around the issue of Sharia’s divine authenticity being contingent on human interpreters.</w:t>
      </w:r>
    </w:p>
    <w:p w14:paraId="3A8D80CC" w14:textId="77777777" w:rsidR="00F118E5" w:rsidRPr="004D0AEB" w:rsidRDefault="00F118E5" w:rsidP="00BD069B">
      <w:pPr>
        <w:spacing w:line="480" w:lineRule="auto"/>
        <w:rPr>
          <w:rFonts w:cstheme="minorHAnsi"/>
          <w:b/>
          <w:bCs/>
          <w:sz w:val="24"/>
          <w:szCs w:val="24"/>
        </w:rPr>
      </w:pPr>
      <w:r w:rsidRPr="004D0AEB">
        <w:rPr>
          <w:rFonts w:cstheme="minorHAnsi"/>
          <w:b/>
          <w:bCs/>
          <w:sz w:val="24"/>
          <w:szCs w:val="24"/>
        </w:rPr>
        <w:t>Sharia Law; Sacred or Profane?</w:t>
      </w:r>
    </w:p>
    <w:p w14:paraId="6192EE6B" w14:textId="7611FFA7" w:rsidR="00F118E5" w:rsidRPr="004D0AEB" w:rsidRDefault="00F118E5" w:rsidP="00BD069B">
      <w:pPr>
        <w:spacing w:line="480" w:lineRule="auto"/>
        <w:rPr>
          <w:rFonts w:cstheme="minorHAnsi"/>
          <w:sz w:val="24"/>
          <w:szCs w:val="24"/>
        </w:rPr>
      </w:pPr>
      <w:r w:rsidRPr="004D0AEB">
        <w:rPr>
          <w:rFonts w:cstheme="minorHAnsi"/>
          <w:sz w:val="24"/>
          <w:szCs w:val="24"/>
        </w:rPr>
        <w:t xml:space="preserve">As Kugle argues, for Muslims caught in conflict, such as homosexual Muslims, it is almost logical to question whether the Sharia law is an expression of God’s will through revelation, or whether one can simply reduce it to the product of human debate and social evolution (Kugle, 2010, p.132). Neo-traditionalists, along with the majority of Sunni Muslims would argue that Sharia is unquestionably divine. They argue that Islamic law is eternal, indisputable, and above all, represents a symbol of immutability; </w:t>
      </w:r>
      <w:r w:rsidR="005C6157" w:rsidRPr="004D0AEB">
        <w:rPr>
          <w:rFonts w:cstheme="minorHAnsi"/>
          <w:sz w:val="24"/>
          <w:szCs w:val="24"/>
        </w:rPr>
        <w:t>utterly</w:t>
      </w:r>
      <w:r w:rsidRPr="004D0AEB">
        <w:rPr>
          <w:rFonts w:cstheme="minorHAnsi"/>
          <w:sz w:val="24"/>
          <w:szCs w:val="24"/>
        </w:rPr>
        <w:t xml:space="preserve"> unchangeable (Kugle, 2010, p.132). I thus argue that a ‘literal’ reading of the Qur’an does not exist, resulting in a questionable ‘divine’ legal system. As Kugle maintains; “it would be intellectually dishonest to obscure the human ingenuity and frailty that went into the creation of the Islamic legal system” (2010, p.132). </w:t>
      </w:r>
    </w:p>
    <w:p w14:paraId="5CD176AE" w14:textId="1604EA12" w:rsidR="00F118E5" w:rsidRPr="004D0AEB" w:rsidRDefault="00F118E5" w:rsidP="00BD069B">
      <w:pPr>
        <w:spacing w:line="480" w:lineRule="auto"/>
        <w:rPr>
          <w:rFonts w:cstheme="minorHAnsi"/>
          <w:sz w:val="24"/>
          <w:szCs w:val="24"/>
        </w:rPr>
      </w:pPr>
      <w:r w:rsidRPr="004D0AEB">
        <w:rPr>
          <w:rFonts w:cstheme="minorHAnsi"/>
          <w:sz w:val="24"/>
          <w:szCs w:val="24"/>
        </w:rPr>
        <w:t xml:space="preserve">Abubakar supports my argument here in his book </w:t>
      </w:r>
      <w:r w:rsidRPr="004D0AEB">
        <w:rPr>
          <w:rFonts w:cstheme="minorHAnsi"/>
          <w:i/>
          <w:iCs/>
          <w:sz w:val="24"/>
          <w:szCs w:val="24"/>
        </w:rPr>
        <w:t xml:space="preserve">Gender Justice in Islamic Law </w:t>
      </w:r>
      <w:r w:rsidRPr="004D0AEB">
        <w:rPr>
          <w:rFonts w:cstheme="minorHAnsi"/>
          <w:sz w:val="24"/>
          <w:szCs w:val="24"/>
        </w:rPr>
        <w:t>(2018) as he argues that there is a problematic juxtaposition between the divine and human components when it comes to the Sharia (p.9). Abubakar argues that Islamic law is becoming increasingly synonymous with negativity, as what readily comes to mind when discussing Sharia is criminal punishment. However, Abubakar maintains that this negative connotation is partly due to human jurists, as they place such an emphasis on criminal aspects of the law to the detriment of other aspects of the system (2018, p.9). This scholar thus argues for a ‘rethink’ in terms of legal norms produced by jurists</w:t>
      </w:r>
      <w:r w:rsidR="00571F9E" w:rsidRPr="004D0AEB">
        <w:rPr>
          <w:rFonts w:cstheme="minorHAnsi"/>
          <w:sz w:val="24"/>
          <w:szCs w:val="24"/>
        </w:rPr>
        <w:t>,</w:t>
      </w:r>
      <w:r w:rsidRPr="004D0AEB">
        <w:rPr>
          <w:rFonts w:cstheme="minorHAnsi"/>
          <w:sz w:val="24"/>
          <w:szCs w:val="24"/>
        </w:rPr>
        <w:t xml:space="preserve"> to ensure that the overall purpose of the Sharia promotes</w:t>
      </w:r>
      <w:r w:rsidR="001163F2" w:rsidRPr="004D0AEB">
        <w:rPr>
          <w:rFonts w:cstheme="minorHAnsi"/>
          <w:sz w:val="24"/>
          <w:szCs w:val="24"/>
        </w:rPr>
        <w:t xml:space="preserve"> </w:t>
      </w:r>
      <w:r w:rsidR="001C7141" w:rsidRPr="004D0AEB">
        <w:rPr>
          <w:rFonts w:cstheme="minorHAnsi"/>
          <w:sz w:val="24"/>
          <w:szCs w:val="24"/>
        </w:rPr>
        <w:t>prosperity and</w:t>
      </w:r>
      <w:r w:rsidRPr="004D0AEB">
        <w:rPr>
          <w:rFonts w:cstheme="minorHAnsi"/>
          <w:sz w:val="24"/>
          <w:szCs w:val="24"/>
        </w:rPr>
        <w:t xml:space="preserve"> well</w:t>
      </w:r>
      <w:r w:rsidR="00167765" w:rsidRPr="004D0AEB">
        <w:rPr>
          <w:rFonts w:cstheme="minorHAnsi"/>
          <w:sz w:val="24"/>
          <w:szCs w:val="24"/>
        </w:rPr>
        <w:t>-</w:t>
      </w:r>
      <w:r w:rsidRPr="004D0AEB">
        <w:rPr>
          <w:rFonts w:cstheme="minorHAnsi"/>
          <w:sz w:val="24"/>
          <w:szCs w:val="24"/>
        </w:rPr>
        <w:t xml:space="preserve">being for all Muslims (2018, p.9). This highlights the impact </w:t>
      </w:r>
      <w:r w:rsidRPr="004D0AEB">
        <w:rPr>
          <w:rFonts w:cstheme="minorHAnsi"/>
          <w:sz w:val="24"/>
          <w:szCs w:val="24"/>
        </w:rPr>
        <w:lastRenderedPageBreak/>
        <w:t>humanity has had on the Sharia, resulting in an increase in negativity</w:t>
      </w:r>
      <w:r w:rsidR="00610218" w:rsidRPr="004D0AEB">
        <w:rPr>
          <w:rFonts w:cstheme="minorHAnsi"/>
          <w:sz w:val="24"/>
          <w:szCs w:val="24"/>
        </w:rPr>
        <w:t xml:space="preserve"> and cynicism</w:t>
      </w:r>
      <w:r w:rsidRPr="004D0AEB">
        <w:rPr>
          <w:rFonts w:cstheme="minorHAnsi"/>
          <w:sz w:val="24"/>
          <w:szCs w:val="24"/>
        </w:rPr>
        <w:t xml:space="preserve">, </w:t>
      </w:r>
      <w:r w:rsidR="00E90028" w:rsidRPr="004D0AEB">
        <w:rPr>
          <w:rFonts w:cstheme="minorHAnsi"/>
          <w:sz w:val="24"/>
          <w:szCs w:val="24"/>
        </w:rPr>
        <w:t>with</w:t>
      </w:r>
      <w:r w:rsidRPr="004D0AEB">
        <w:rPr>
          <w:rFonts w:cstheme="minorHAnsi"/>
          <w:sz w:val="24"/>
          <w:szCs w:val="24"/>
        </w:rPr>
        <w:t xml:space="preserve"> a blurred boundary</w:t>
      </w:r>
      <w:r w:rsidR="00E90028" w:rsidRPr="004D0AEB">
        <w:rPr>
          <w:rFonts w:cstheme="minorHAnsi"/>
          <w:sz w:val="24"/>
          <w:szCs w:val="24"/>
        </w:rPr>
        <w:t xml:space="preserve"> concerning</w:t>
      </w:r>
      <w:r w:rsidRPr="004D0AEB">
        <w:rPr>
          <w:rFonts w:cstheme="minorHAnsi"/>
          <w:sz w:val="24"/>
          <w:szCs w:val="24"/>
        </w:rPr>
        <w:t xml:space="preserve"> the ‘divine’. </w:t>
      </w:r>
    </w:p>
    <w:p w14:paraId="6AC2DC0E" w14:textId="559295E5" w:rsidR="00F118E5" w:rsidRPr="004D0AEB" w:rsidRDefault="00E90028" w:rsidP="00BD069B">
      <w:pPr>
        <w:spacing w:line="480" w:lineRule="auto"/>
        <w:rPr>
          <w:rFonts w:cstheme="minorHAnsi"/>
          <w:sz w:val="24"/>
          <w:szCs w:val="24"/>
        </w:rPr>
      </w:pPr>
      <w:r w:rsidRPr="004D0AEB">
        <w:rPr>
          <w:rFonts w:cstheme="minorHAnsi"/>
          <w:sz w:val="24"/>
          <w:szCs w:val="24"/>
        </w:rPr>
        <w:t>I argue that the</w:t>
      </w:r>
      <w:r w:rsidR="00F118E5" w:rsidRPr="004D0AEB">
        <w:rPr>
          <w:rFonts w:cstheme="minorHAnsi"/>
          <w:sz w:val="24"/>
          <w:szCs w:val="24"/>
        </w:rPr>
        <w:t xml:space="preserve"> profane element within the Sharia law, can be used to support </w:t>
      </w:r>
      <w:r w:rsidR="00612744" w:rsidRPr="004D0AEB">
        <w:rPr>
          <w:rFonts w:cstheme="minorHAnsi"/>
          <w:sz w:val="24"/>
          <w:szCs w:val="24"/>
        </w:rPr>
        <w:t xml:space="preserve">Islamic </w:t>
      </w:r>
      <w:r w:rsidR="00F118E5" w:rsidRPr="004D0AEB">
        <w:rPr>
          <w:rFonts w:cstheme="minorHAnsi"/>
          <w:sz w:val="24"/>
          <w:szCs w:val="24"/>
        </w:rPr>
        <w:t>homosexualit</w:t>
      </w:r>
      <w:r w:rsidRPr="004D0AEB">
        <w:rPr>
          <w:rFonts w:cstheme="minorHAnsi"/>
          <w:sz w:val="24"/>
          <w:szCs w:val="24"/>
        </w:rPr>
        <w:t>y</w:t>
      </w:r>
      <w:r w:rsidR="00612744" w:rsidRPr="004D0AEB">
        <w:rPr>
          <w:rFonts w:cstheme="minorHAnsi"/>
          <w:sz w:val="24"/>
          <w:szCs w:val="24"/>
        </w:rPr>
        <w:t>,</w:t>
      </w:r>
      <w:r w:rsidR="00F118E5" w:rsidRPr="004D0AEB">
        <w:rPr>
          <w:rFonts w:cstheme="minorHAnsi"/>
          <w:sz w:val="24"/>
          <w:szCs w:val="24"/>
        </w:rPr>
        <w:t xml:space="preserve"> as one </w:t>
      </w:r>
      <w:r w:rsidR="00612744" w:rsidRPr="004D0AEB">
        <w:rPr>
          <w:rFonts w:cstheme="minorHAnsi"/>
          <w:sz w:val="24"/>
          <w:szCs w:val="24"/>
        </w:rPr>
        <w:t xml:space="preserve">must </w:t>
      </w:r>
      <w:r w:rsidR="00F118E5" w:rsidRPr="004D0AEB">
        <w:rPr>
          <w:rFonts w:cstheme="minorHAnsi"/>
          <w:sz w:val="24"/>
          <w:szCs w:val="24"/>
        </w:rPr>
        <w:t>question</w:t>
      </w:r>
      <w:r w:rsidR="00612744" w:rsidRPr="004D0AEB">
        <w:rPr>
          <w:rFonts w:cstheme="minorHAnsi"/>
          <w:sz w:val="24"/>
          <w:szCs w:val="24"/>
        </w:rPr>
        <w:t xml:space="preserve"> </w:t>
      </w:r>
      <w:r w:rsidR="00F118E5" w:rsidRPr="004D0AEB">
        <w:rPr>
          <w:rFonts w:cstheme="minorHAnsi"/>
          <w:sz w:val="24"/>
          <w:szCs w:val="24"/>
        </w:rPr>
        <w:t xml:space="preserve">whether the law has been greatly altered by humanity over the course of time. The scholar Hallaq also highlights this, maintaining that for colonialist Europe, Sharia law </w:t>
      </w:r>
      <w:r w:rsidR="00612744" w:rsidRPr="004D0AEB">
        <w:rPr>
          <w:rFonts w:cstheme="minorHAnsi"/>
          <w:sz w:val="24"/>
          <w:szCs w:val="24"/>
        </w:rPr>
        <w:t>was</w:t>
      </w:r>
      <w:r w:rsidR="00F118E5" w:rsidRPr="004D0AEB">
        <w:rPr>
          <w:rFonts w:cstheme="minorHAnsi"/>
          <w:sz w:val="24"/>
          <w:szCs w:val="24"/>
        </w:rPr>
        <w:t xml:space="preserve"> sacred to Muslims, and so, out of sensitivity and respect, colonial powers left it alone (2009, p.115). However, once the laws began to become culturally marked, they became points of reference to modern politics, and so</w:t>
      </w:r>
      <w:r w:rsidR="001E0F08" w:rsidRPr="004D0AEB">
        <w:rPr>
          <w:rFonts w:cstheme="minorHAnsi"/>
          <w:sz w:val="24"/>
          <w:szCs w:val="24"/>
        </w:rPr>
        <w:t>, subject to</w:t>
      </w:r>
      <w:r w:rsidR="00F118E5" w:rsidRPr="004D0AEB">
        <w:rPr>
          <w:rFonts w:cstheme="minorHAnsi"/>
          <w:sz w:val="24"/>
          <w:szCs w:val="24"/>
        </w:rPr>
        <w:t xml:space="preserve"> the ravages of modernisation and humanity (Hallaq, 2009, p.115). </w:t>
      </w:r>
    </w:p>
    <w:p w14:paraId="50810609" w14:textId="77777777" w:rsidR="00F118E5" w:rsidRPr="004D0AEB" w:rsidRDefault="00F118E5" w:rsidP="00BD069B">
      <w:pPr>
        <w:spacing w:line="480" w:lineRule="auto"/>
        <w:rPr>
          <w:rFonts w:cstheme="minorHAnsi"/>
          <w:sz w:val="24"/>
          <w:szCs w:val="24"/>
        </w:rPr>
      </w:pPr>
      <w:r w:rsidRPr="004D0AEB">
        <w:rPr>
          <w:rFonts w:cstheme="minorHAnsi"/>
          <w:sz w:val="24"/>
          <w:szCs w:val="24"/>
        </w:rPr>
        <w:t>As Hallaq maintains:</w:t>
      </w:r>
    </w:p>
    <w:p w14:paraId="00D17844" w14:textId="6433A36B" w:rsidR="00F118E5" w:rsidRDefault="00F118E5" w:rsidP="008B75CD">
      <w:pPr>
        <w:spacing w:line="276" w:lineRule="auto"/>
        <w:ind w:left="227" w:right="340"/>
        <w:rPr>
          <w:rFonts w:cstheme="minorHAnsi"/>
          <w:sz w:val="24"/>
          <w:szCs w:val="24"/>
        </w:rPr>
      </w:pPr>
      <w:r w:rsidRPr="008B75CD">
        <w:rPr>
          <w:rFonts w:cstheme="minorHAnsi"/>
          <w:sz w:val="24"/>
          <w:szCs w:val="24"/>
        </w:rPr>
        <w:t>“While the popular Muslim imagination, even today, appears to hold these remnants of the Shari’a to be an authentic and genuine expression of traditional law, the fact of the matter is that this sphere of law underwent structural and fundamental changes that ultimately resulted in it being severed from the substance of classical religious law” (2009, pp, 115-116).</w:t>
      </w:r>
    </w:p>
    <w:p w14:paraId="2C113A15" w14:textId="77777777" w:rsidR="008B75CD" w:rsidRPr="004D0AEB" w:rsidRDefault="008B75CD" w:rsidP="008B75CD">
      <w:pPr>
        <w:spacing w:line="276" w:lineRule="auto"/>
        <w:ind w:left="227" w:right="340"/>
        <w:rPr>
          <w:rFonts w:cstheme="minorHAnsi"/>
          <w:sz w:val="24"/>
          <w:szCs w:val="24"/>
        </w:rPr>
      </w:pPr>
    </w:p>
    <w:p w14:paraId="7EFF78E1" w14:textId="77777777" w:rsidR="00F118E5" w:rsidRPr="004D0AEB" w:rsidRDefault="00F118E5" w:rsidP="00BD069B">
      <w:pPr>
        <w:spacing w:line="480" w:lineRule="auto"/>
        <w:rPr>
          <w:rFonts w:cstheme="minorHAnsi"/>
          <w:sz w:val="24"/>
          <w:szCs w:val="24"/>
        </w:rPr>
      </w:pPr>
      <w:r w:rsidRPr="004D0AEB">
        <w:rPr>
          <w:rFonts w:cstheme="minorHAnsi"/>
          <w:sz w:val="24"/>
          <w:szCs w:val="24"/>
        </w:rPr>
        <w:t>Thus, although the Sharia is unarguably a divine law, there is no avoiding the human influence that has been contributed to its content; offering an interesting argument to the notion of homosexuality and religion, are LGBT Muslims truly going against God’s will if the Sharia’s profanity is so evident?</w:t>
      </w:r>
    </w:p>
    <w:p w14:paraId="3955E12E" w14:textId="45F6FFEC" w:rsidR="00F118E5" w:rsidRDefault="00F118E5" w:rsidP="00BD069B">
      <w:pPr>
        <w:spacing w:line="480" w:lineRule="auto"/>
        <w:rPr>
          <w:rFonts w:cstheme="minorHAnsi"/>
          <w:sz w:val="24"/>
          <w:szCs w:val="24"/>
        </w:rPr>
      </w:pPr>
      <w:r w:rsidRPr="004D0AEB">
        <w:rPr>
          <w:rFonts w:cstheme="minorHAnsi"/>
          <w:sz w:val="24"/>
          <w:szCs w:val="24"/>
        </w:rPr>
        <w:t xml:space="preserve">Overall, as Abdu and Keshavjee maintain; in theory, Sharia is something given by God, but is something which was made by humanity (2018, p.6). There is clearly no avoiding the human input that has slowly become a part of Sharia, resulting in its divinity becoming questionable. As Kugle maintains; in the debate between profane and sacred, the only answer can be both. It is a system of norms that guides ritual behaviour </w:t>
      </w:r>
      <w:r w:rsidR="006D79D3" w:rsidRPr="004D0AEB">
        <w:rPr>
          <w:rFonts w:cstheme="minorHAnsi"/>
          <w:sz w:val="24"/>
          <w:szCs w:val="24"/>
        </w:rPr>
        <w:t>in</w:t>
      </w:r>
      <w:r w:rsidRPr="004D0AEB">
        <w:rPr>
          <w:rFonts w:cstheme="minorHAnsi"/>
          <w:sz w:val="24"/>
          <w:szCs w:val="24"/>
        </w:rPr>
        <w:t xml:space="preserve"> </w:t>
      </w:r>
      <w:r w:rsidR="0022657E" w:rsidRPr="004D0AEB">
        <w:rPr>
          <w:rFonts w:cstheme="minorHAnsi"/>
          <w:sz w:val="24"/>
          <w:szCs w:val="24"/>
        </w:rPr>
        <w:t xml:space="preserve">the </w:t>
      </w:r>
      <w:r w:rsidRPr="004D0AEB">
        <w:rPr>
          <w:rFonts w:cstheme="minorHAnsi"/>
          <w:sz w:val="24"/>
          <w:szCs w:val="24"/>
        </w:rPr>
        <w:t xml:space="preserve">‘sacred’, but </w:t>
      </w:r>
      <w:r w:rsidRPr="004D0AEB">
        <w:rPr>
          <w:rFonts w:cstheme="minorHAnsi"/>
          <w:sz w:val="24"/>
          <w:szCs w:val="24"/>
        </w:rPr>
        <w:lastRenderedPageBreak/>
        <w:t>also governs commercial behaviour in the area of ‘profane’ (2010, p.131). However, the profane element does offer a supportive perspective for homosexual Muslims to draw upon, without entirely rejecting the Sharia</w:t>
      </w:r>
      <w:r w:rsidR="0022657E" w:rsidRPr="004D0AEB">
        <w:rPr>
          <w:rFonts w:cstheme="minorHAnsi"/>
          <w:sz w:val="24"/>
          <w:szCs w:val="24"/>
        </w:rPr>
        <w:t xml:space="preserve">; offering </w:t>
      </w:r>
      <w:r w:rsidRPr="004D0AEB">
        <w:rPr>
          <w:rFonts w:cstheme="minorHAnsi"/>
          <w:sz w:val="24"/>
          <w:szCs w:val="24"/>
        </w:rPr>
        <w:t xml:space="preserve">comfort that they are not as such betraying God, but rather, the word </w:t>
      </w:r>
      <w:r w:rsidR="0022657E" w:rsidRPr="004D0AEB">
        <w:rPr>
          <w:rFonts w:cstheme="minorHAnsi"/>
          <w:sz w:val="24"/>
          <w:szCs w:val="24"/>
        </w:rPr>
        <w:t>of</w:t>
      </w:r>
      <w:r w:rsidRPr="004D0AEB">
        <w:rPr>
          <w:rFonts w:cstheme="minorHAnsi"/>
          <w:sz w:val="24"/>
          <w:szCs w:val="24"/>
        </w:rPr>
        <w:t xml:space="preserve"> human interpreters.</w:t>
      </w:r>
    </w:p>
    <w:p w14:paraId="2FC4CB24" w14:textId="77777777" w:rsidR="008B75CD" w:rsidRPr="004D0AEB" w:rsidRDefault="008B75CD" w:rsidP="00BD069B">
      <w:pPr>
        <w:spacing w:line="480" w:lineRule="auto"/>
        <w:rPr>
          <w:rFonts w:cstheme="minorHAnsi"/>
          <w:sz w:val="24"/>
          <w:szCs w:val="24"/>
        </w:rPr>
      </w:pPr>
    </w:p>
    <w:p w14:paraId="2EAC72EF" w14:textId="77777777" w:rsidR="00F118E5" w:rsidRPr="004D0AEB" w:rsidRDefault="00F118E5" w:rsidP="00BD069B">
      <w:pPr>
        <w:spacing w:line="480" w:lineRule="auto"/>
        <w:rPr>
          <w:rFonts w:cstheme="minorHAnsi"/>
          <w:b/>
          <w:bCs/>
          <w:sz w:val="24"/>
          <w:szCs w:val="24"/>
        </w:rPr>
      </w:pPr>
      <w:r w:rsidRPr="004D0AEB">
        <w:rPr>
          <w:rFonts w:cstheme="minorHAnsi"/>
          <w:b/>
          <w:bCs/>
          <w:sz w:val="24"/>
          <w:szCs w:val="24"/>
        </w:rPr>
        <w:t>Sharia and Homosexuality</w:t>
      </w:r>
    </w:p>
    <w:p w14:paraId="28C210C5" w14:textId="4BD949B6" w:rsidR="00F118E5" w:rsidRPr="004D0AEB" w:rsidRDefault="00F118E5" w:rsidP="00BD069B">
      <w:pPr>
        <w:spacing w:line="480" w:lineRule="auto"/>
        <w:rPr>
          <w:rFonts w:cstheme="minorHAnsi"/>
          <w:sz w:val="24"/>
          <w:szCs w:val="24"/>
        </w:rPr>
      </w:pPr>
      <w:r w:rsidRPr="004D0AEB">
        <w:rPr>
          <w:rFonts w:cstheme="minorHAnsi"/>
          <w:sz w:val="24"/>
          <w:szCs w:val="24"/>
        </w:rPr>
        <w:t xml:space="preserve">It is thus vital to examine Sharia in terms of homosexuality, as, under Islamic law, homosexuality is evidently considered to be sinful, based on Lot’s parable. There is no denying that in countries where Islam is the dominant religion, the approval of homosexuality is extremely unlikely to be achieved (Murray and Roscoe, 1997, p.87). As </w:t>
      </w:r>
      <w:r w:rsidR="003931BB" w:rsidRPr="004D0AEB">
        <w:rPr>
          <w:rFonts w:cstheme="minorHAnsi"/>
          <w:sz w:val="24"/>
          <w:szCs w:val="24"/>
        </w:rPr>
        <w:t xml:space="preserve">Khalid </w:t>
      </w:r>
      <w:r w:rsidRPr="004D0AEB">
        <w:rPr>
          <w:rFonts w:cstheme="minorHAnsi"/>
          <w:sz w:val="24"/>
          <w:szCs w:val="24"/>
        </w:rPr>
        <w:t xml:space="preserve">Duran points out; any secular arguments concerning the support of homosexuality in Islamic dominant countries is likely to result in backlash against what is classed as an attempt to impose values of the former colonial powers (1993, p.186). Duran argues that the best hope for homosexual Muslims is a form of theological accommodation, in which Islam is based on the development of a new Sharia; one which is entirely detached from the social climate of seventh century Arabia (1993, p.186). </w:t>
      </w:r>
    </w:p>
    <w:p w14:paraId="380A1628" w14:textId="237A93E7" w:rsidR="00F118E5" w:rsidRPr="004D0AEB" w:rsidRDefault="00FE1340" w:rsidP="00BD069B">
      <w:pPr>
        <w:spacing w:line="480" w:lineRule="auto"/>
        <w:rPr>
          <w:rFonts w:cstheme="minorHAnsi"/>
          <w:sz w:val="24"/>
          <w:szCs w:val="24"/>
        </w:rPr>
      </w:pPr>
      <w:r w:rsidRPr="004D0AEB">
        <w:rPr>
          <w:rFonts w:cstheme="minorHAnsi"/>
          <w:sz w:val="24"/>
          <w:szCs w:val="24"/>
        </w:rPr>
        <w:t>Maliki jurist</w:t>
      </w:r>
      <w:r w:rsidRPr="004D0AEB">
        <w:rPr>
          <w:rFonts w:cstheme="minorHAnsi"/>
          <w:sz w:val="24"/>
          <w:szCs w:val="24"/>
        </w:rPr>
        <w:t xml:space="preserve">, </w:t>
      </w:r>
      <w:r w:rsidR="00F118E5" w:rsidRPr="004D0AEB">
        <w:rPr>
          <w:rFonts w:cstheme="minorHAnsi"/>
          <w:sz w:val="24"/>
          <w:szCs w:val="24"/>
        </w:rPr>
        <w:t>al-Shatibi</w:t>
      </w:r>
      <w:r w:rsidRPr="004D0AEB">
        <w:rPr>
          <w:rFonts w:cstheme="minorHAnsi"/>
          <w:sz w:val="24"/>
          <w:szCs w:val="24"/>
        </w:rPr>
        <w:t>,</w:t>
      </w:r>
      <w:r w:rsidR="00F118E5" w:rsidRPr="004D0AEB">
        <w:rPr>
          <w:rFonts w:cstheme="minorHAnsi"/>
          <w:sz w:val="24"/>
          <w:szCs w:val="24"/>
        </w:rPr>
        <w:t xml:space="preserve"> argues for such a theory of Sharia which allows for adaption and change.</w:t>
      </w:r>
      <w:r w:rsidR="00F10FA0" w:rsidRPr="004D0AEB">
        <w:rPr>
          <w:rStyle w:val="FootnoteReference"/>
          <w:rFonts w:cstheme="minorHAnsi"/>
          <w:sz w:val="24"/>
          <w:szCs w:val="24"/>
        </w:rPr>
        <w:footnoteReference w:id="28"/>
      </w:r>
      <w:r w:rsidR="00F118E5" w:rsidRPr="004D0AEB">
        <w:rPr>
          <w:rFonts w:cstheme="minorHAnsi"/>
          <w:sz w:val="24"/>
          <w:szCs w:val="24"/>
        </w:rPr>
        <w:t xml:space="preserve"> Al-Shatibit’s theory has been greatly overlooked, and even ignored in the past, however long-term, he is no longer alone in his arguments, specifically attracting the attention of reform and homosexual Muslims (Kugle, 2010, p.174). As Kugle points out; “what begins as an unrealistic idea often gather momentum until, after several generations, </w:t>
      </w:r>
      <w:r w:rsidR="00F118E5" w:rsidRPr="004D0AEB">
        <w:rPr>
          <w:rFonts w:cstheme="minorHAnsi"/>
          <w:sz w:val="24"/>
          <w:szCs w:val="24"/>
        </w:rPr>
        <w:lastRenderedPageBreak/>
        <w:t xml:space="preserve">it is accepted as common sense” (2010, p.185). Al-Shatibi’s theory identifies five fundamental principles that the Sharia intends to promote </w:t>
      </w:r>
      <w:r w:rsidR="00281A08" w:rsidRPr="004D0AEB">
        <w:rPr>
          <w:rFonts w:cstheme="minorHAnsi"/>
          <w:sz w:val="24"/>
          <w:szCs w:val="24"/>
        </w:rPr>
        <w:t>to</w:t>
      </w:r>
      <w:r w:rsidR="00F118E5" w:rsidRPr="004D0AEB">
        <w:rPr>
          <w:rFonts w:cstheme="minorHAnsi"/>
          <w:sz w:val="24"/>
          <w:szCs w:val="24"/>
        </w:rPr>
        <w:t xml:space="preserve"> protect human interest: religion, life, reproduction, </w:t>
      </w:r>
      <w:r w:rsidR="00F30BCB" w:rsidRPr="004D0AEB">
        <w:rPr>
          <w:rFonts w:cstheme="minorHAnsi"/>
          <w:sz w:val="24"/>
          <w:szCs w:val="24"/>
        </w:rPr>
        <w:t>property,</w:t>
      </w:r>
      <w:r w:rsidR="00F118E5" w:rsidRPr="004D0AEB">
        <w:rPr>
          <w:rFonts w:cstheme="minorHAnsi"/>
          <w:sz w:val="24"/>
          <w:szCs w:val="24"/>
        </w:rPr>
        <w:t xml:space="preserve"> and reason (Kugle, 2010, p.173). These five interests promote both social cohesion and individual existence, whilst also embodying the essential objectives the Qur’an </w:t>
      </w:r>
      <w:r w:rsidR="00F30BCB" w:rsidRPr="004D0AEB">
        <w:rPr>
          <w:rFonts w:cstheme="minorHAnsi"/>
          <w:sz w:val="24"/>
          <w:szCs w:val="24"/>
        </w:rPr>
        <w:t>promotes.</w:t>
      </w:r>
    </w:p>
    <w:p w14:paraId="7600C608" w14:textId="084AC3B7" w:rsidR="00F118E5" w:rsidRPr="004D0AEB" w:rsidRDefault="00F118E5" w:rsidP="00BD069B">
      <w:pPr>
        <w:spacing w:line="480" w:lineRule="auto"/>
        <w:rPr>
          <w:rFonts w:cstheme="minorHAnsi"/>
          <w:sz w:val="24"/>
          <w:szCs w:val="24"/>
        </w:rPr>
      </w:pPr>
      <w:r w:rsidRPr="004D0AEB">
        <w:rPr>
          <w:rFonts w:cstheme="minorHAnsi"/>
          <w:sz w:val="24"/>
          <w:szCs w:val="24"/>
        </w:rPr>
        <w:t xml:space="preserve">I thus argue that a condemnation of homosexuality infringes all five of these focused principles, and in turn, undermines the Sharia itself. To reject homosexuality, it diminishes the core of these principles. The first principle, is Religion, in which countless LGBT Muslims are consistently turned away from their faith, secondly; Life, in which homosexual Muslims are often deprived due to alienation or even execution, thirdly; Reproduction, in which pro-creation is consistently placed as a </w:t>
      </w:r>
      <w:r w:rsidR="009D5BA8" w:rsidRPr="004D0AEB">
        <w:rPr>
          <w:rFonts w:cstheme="minorHAnsi"/>
          <w:sz w:val="24"/>
          <w:szCs w:val="24"/>
        </w:rPr>
        <w:t>method of guilt</w:t>
      </w:r>
      <w:r w:rsidRPr="004D0AEB">
        <w:rPr>
          <w:rFonts w:cstheme="minorHAnsi"/>
          <w:sz w:val="24"/>
          <w:szCs w:val="24"/>
        </w:rPr>
        <w:t xml:space="preserve"> upon LGBT Muslims, fourthly, is Property, in which homosexual Muslims </w:t>
      </w:r>
      <w:r w:rsidR="009D5BA8" w:rsidRPr="004D0AEB">
        <w:rPr>
          <w:rFonts w:cstheme="minorHAnsi"/>
          <w:sz w:val="24"/>
          <w:szCs w:val="24"/>
        </w:rPr>
        <w:t>regularly</w:t>
      </w:r>
      <w:r w:rsidRPr="004D0AEB">
        <w:rPr>
          <w:rFonts w:cstheme="minorHAnsi"/>
          <w:sz w:val="24"/>
          <w:szCs w:val="24"/>
        </w:rPr>
        <w:t xml:space="preserve"> </w:t>
      </w:r>
      <w:r w:rsidR="009D5BA8" w:rsidRPr="004D0AEB">
        <w:rPr>
          <w:rFonts w:cstheme="minorHAnsi"/>
          <w:sz w:val="24"/>
          <w:szCs w:val="24"/>
        </w:rPr>
        <w:t>have</w:t>
      </w:r>
      <w:r w:rsidRPr="004D0AEB">
        <w:rPr>
          <w:rFonts w:cstheme="minorHAnsi"/>
          <w:sz w:val="24"/>
          <w:szCs w:val="24"/>
        </w:rPr>
        <w:t xml:space="preserve"> their houses targeted, and finally; Reason, in which LGBT Muslims are denied the freedom to choose their own path of reasoning (Kugle, 2010, p.181). I th</w:t>
      </w:r>
      <w:r w:rsidR="00F441EB" w:rsidRPr="004D0AEB">
        <w:rPr>
          <w:rFonts w:cstheme="minorHAnsi"/>
          <w:sz w:val="24"/>
          <w:szCs w:val="24"/>
        </w:rPr>
        <w:t>us</w:t>
      </w:r>
      <w:r w:rsidRPr="004D0AEB">
        <w:rPr>
          <w:rFonts w:cstheme="minorHAnsi"/>
          <w:sz w:val="24"/>
          <w:szCs w:val="24"/>
        </w:rPr>
        <w:t xml:space="preserve"> argue here, that al-Shatibi’s five principles, which are universally recognised amongst all Muslim nations as central to Islamic life, are entirely broken with the condemnation of homosexuality. According to Sharia, every ruling should be just, and if not, rulings need to be changed to secure Muslim welfare, therefore, I argue that through following al-Shatibi’s theoretical reform, it would offer a supportive homosexual lens, whilst also ensuring one stays in accords with the Sharia’s core principles.</w:t>
      </w:r>
    </w:p>
    <w:p w14:paraId="16BA2861" w14:textId="7775F9B5" w:rsidR="00F118E5" w:rsidRPr="004D0AEB" w:rsidRDefault="00F118E5" w:rsidP="00BD069B">
      <w:pPr>
        <w:spacing w:line="480" w:lineRule="auto"/>
        <w:rPr>
          <w:rFonts w:cstheme="minorHAnsi"/>
          <w:sz w:val="24"/>
          <w:szCs w:val="24"/>
        </w:rPr>
      </w:pPr>
      <w:r w:rsidRPr="004D0AEB">
        <w:rPr>
          <w:rFonts w:cstheme="minorHAnsi"/>
          <w:sz w:val="24"/>
          <w:szCs w:val="24"/>
        </w:rPr>
        <w:t xml:space="preserve">It can be summarised that there are numerous possibilities in terms of a homosexually supportive interpretation of the Sharia law, therefore. Firstly, is the lens through which the Sharia is a purposefully broad pathway intended by God to be followed </w:t>
      </w:r>
      <w:r w:rsidR="00A7276D" w:rsidRPr="004D0AEB">
        <w:rPr>
          <w:rFonts w:cstheme="minorHAnsi"/>
          <w:sz w:val="24"/>
          <w:szCs w:val="24"/>
        </w:rPr>
        <w:t>diversely</w:t>
      </w:r>
      <w:r w:rsidRPr="004D0AEB">
        <w:rPr>
          <w:rFonts w:cstheme="minorHAnsi"/>
          <w:sz w:val="24"/>
          <w:szCs w:val="24"/>
        </w:rPr>
        <w:t xml:space="preserve">, secondly, is that the Sharia has unquestionably been influenced by humanity, and so holds a profane </w:t>
      </w:r>
      <w:r w:rsidRPr="004D0AEB">
        <w:rPr>
          <w:rFonts w:cstheme="minorHAnsi"/>
          <w:sz w:val="24"/>
          <w:szCs w:val="24"/>
        </w:rPr>
        <w:lastRenderedPageBreak/>
        <w:t xml:space="preserve">element, and finally, through al-Shatibi’s </w:t>
      </w:r>
      <w:r w:rsidR="00A7276D" w:rsidRPr="004D0AEB">
        <w:rPr>
          <w:rFonts w:cstheme="minorHAnsi"/>
          <w:sz w:val="24"/>
          <w:szCs w:val="24"/>
        </w:rPr>
        <w:t>adaption</w:t>
      </w:r>
      <w:r w:rsidRPr="004D0AEB">
        <w:rPr>
          <w:rFonts w:cstheme="minorHAnsi"/>
          <w:sz w:val="24"/>
          <w:szCs w:val="24"/>
        </w:rPr>
        <w:t xml:space="preserve"> interpretation </w:t>
      </w:r>
      <w:r w:rsidR="00A7276D" w:rsidRPr="004D0AEB">
        <w:rPr>
          <w:rFonts w:cstheme="minorHAnsi"/>
          <w:sz w:val="24"/>
          <w:szCs w:val="24"/>
        </w:rPr>
        <w:t>to promote</w:t>
      </w:r>
      <w:r w:rsidRPr="004D0AEB">
        <w:rPr>
          <w:rFonts w:cstheme="minorHAnsi"/>
          <w:sz w:val="24"/>
          <w:szCs w:val="24"/>
        </w:rPr>
        <w:t xml:space="preserve"> well-being</w:t>
      </w:r>
      <w:r w:rsidR="00083CB2" w:rsidRPr="004D0AEB">
        <w:rPr>
          <w:rFonts w:cstheme="minorHAnsi"/>
          <w:sz w:val="24"/>
          <w:szCs w:val="24"/>
        </w:rPr>
        <w:t>.</w:t>
      </w:r>
      <w:r w:rsidR="00CB2146" w:rsidRPr="004D0AEB">
        <w:rPr>
          <w:rFonts w:cstheme="minorHAnsi"/>
          <w:sz w:val="24"/>
          <w:szCs w:val="24"/>
        </w:rPr>
        <w:t xml:space="preserve"> I argue that</w:t>
      </w:r>
      <w:r w:rsidRPr="004D0AEB">
        <w:rPr>
          <w:rFonts w:cstheme="minorHAnsi"/>
          <w:sz w:val="24"/>
          <w:szCs w:val="24"/>
        </w:rPr>
        <w:t xml:space="preserve"> a homosexual reading of the Sharia is not only p</w:t>
      </w:r>
      <w:r w:rsidR="00CB2146" w:rsidRPr="004D0AEB">
        <w:rPr>
          <w:rFonts w:cstheme="minorHAnsi"/>
          <w:sz w:val="24"/>
          <w:szCs w:val="24"/>
        </w:rPr>
        <w:t>lausible</w:t>
      </w:r>
      <w:r w:rsidRPr="004D0AEB">
        <w:rPr>
          <w:rFonts w:cstheme="minorHAnsi"/>
          <w:sz w:val="24"/>
          <w:szCs w:val="24"/>
        </w:rPr>
        <w:t>, but one which highlights the core principles of the law</w:t>
      </w:r>
      <w:r w:rsidR="00CB2146" w:rsidRPr="004D0AEB">
        <w:rPr>
          <w:rFonts w:cstheme="minorHAnsi"/>
          <w:sz w:val="24"/>
          <w:szCs w:val="24"/>
        </w:rPr>
        <w:t>.</w:t>
      </w:r>
      <w:r w:rsidRPr="004D0AEB">
        <w:rPr>
          <w:rFonts w:cstheme="minorHAnsi"/>
          <w:sz w:val="24"/>
          <w:szCs w:val="24"/>
        </w:rPr>
        <w:t xml:space="preserve"> Thus, it is now important to analyse the central text to which the Sharia is thought to be embedded; the Qur’an, through examining how homosexuality may be supported through its tools and principles of interpretation.</w:t>
      </w:r>
    </w:p>
    <w:p w14:paraId="7EABD44C" w14:textId="77777777" w:rsidR="00F118E5" w:rsidRPr="004D0AEB" w:rsidRDefault="00F118E5" w:rsidP="00BD069B">
      <w:pPr>
        <w:spacing w:line="480" w:lineRule="auto"/>
        <w:rPr>
          <w:rFonts w:cstheme="minorHAnsi"/>
          <w:sz w:val="24"/>
          <w:szCs w:val="24"/>
        </w:rPr>
      </w:pPr>
    </w:p>
    <w:p w14:paraId="20FC5741" w14:textId="77777777" w:rsidR="00F118E5" w:rsidRPr="004D0AEB" w:rsidRDefault="00F118E5" w:rsidP="00BD069B">
      <w:pPr>
        <w:spacing w:line="480" w:lineRule="auto"/>
        <w:rPr>
          <w:rFonts w:cstheme="minorHAnsi"/>
          <w:sz w:val="24"/>
          <w:szCs w:val="24"/>
        </w:rPr>
      </w:pPr>
    </w:p>
    <w:p w14:paraId="0BAC24F8" w14:textId="77777777" w:rsidR="00F118E5" w:rsidRPr="004D0AEB" w:rsidRDefault="00F118E5" w:rsidP="00BD069B">
      <w:pPr>
        <w:spacing w:line="480" w:lineRule="auto"/>
        <w:rPr>
          <w:rFonts w:cstheme="minorHAnsi"/>
          <w:sz w:val="24"/>
          <w:szCs w:val="24"/>
        </w:rPr>
      </w:pPr>
    </w:p>
    <w:p w14:paraId="6612F517" w14:textId="77777777" w:rsidR="00F118E5" w:rsidRPr="004D0AEB" w:rsidRDefault="00F118E5" w:rsidP="00BD069B">
      <w:pPr>
        <w:spacing w:line="480" w:lineRule="auto"/>
        <w:rPr>
          <w:rFonts w:cstheme="minorHAnsi"/>
          <w:sz w:val="24"/>
          <w:szCs w:val="24"/>
        </w:rPr>
      </w:pPr>
    </w:p>
    <w:p w14:paraId="005159A3" w14:textId="77777777" w:rsidR="00F118E5" w:rsidRPr="004D0AEB" w:rsidRDefault="00F118E5" w:rsidP="00BD069B">
      <w:pPr>
        <w:spacing w:line="480" w:lineRule="auto"/>
        <w:rPr>
          <w:rFonts w:cstheme="minorHAnsi"/>
          <w:sz w:val="24"/>
          <w:szCs w:val="24"/>
        </w:rPr>
      </w:pPr>
    </w:p>
    <w:p w14:paraId="4BE8735E" w14:textId="77777777" w:rsidR="00F118E5" w:rsidRPr="004D0AEB" w:rsidRDefault="00F118E5" w:rsidP="00BD069B">
      <w:pPr>
        <w:spacing w:line="480" w:lineRule="auto"/>
        <w:rPr>
          <w:rFonts w:cstheme="minorHAnsi"/>
          <w:sz w:val="24"/>
          <w:szCs w:val="24"/>
        </w:rPr>
      </w:pPr>
    </w:p>
    <w:p w14:paraId="2F9EBCFC" w14:textId="77777777" w:rsidR="00F118E5" w:rsidRPr="004D0AEB" w:rsidRDefault="00F118E5" w:rsidP="00BD069B">
      <w:pPr>
        <w:spacing w:line="480" w:lineRule="auto"/>
        <w:rPr>
          <w:rFonts w:cstheme="minorHAnsi"/>
          <w:sz w:val="24"/>
          <w:szCs w:val="24"/>
        </w:rPr>
      </w:pPr>
    </w:p>
    <w:p w14:paraId="77C4DD9E" w14:textId="77777777" w:rsidR="00F118E5" w:rsidRPr="004D0AEB" w:rsidRDefault="00F118E5" w:rsidP="00BD069B">
      <w:pPr>
        <w:spacing w:line="480" w:lineRule="auto"/>
        <w:rPr>
          <w:rFonts w:cstheme="minorHAnsi"/>
          <w:sz w:val="24"/>
          <w:szCs w:val="24"/>
        </w:rPr>
      </w:pPr>
    </w:p>
    <w:p w14:paraId="567700F1" w14:textId="77777777" w:rsidR="00F118E5" w:rsidRPr="004D0AEB" w:rsidRDefault="00F118E5" w:rsidP="00BD069B">
      <w:pPr>
        <w:spacing w:line="480" w:lineRule="auto"/>
        <w:rPr>
          <w:rFonts w:cstheme="minorHAnsi"/>
          <w:sz w:val="24"/>
          <w:szCs w:val="24"/>
        </w:rPr>
      </w:pPr>
    </w:p>
    <w:p w14:paraId="2E6BF1D9" w14:textId="77777777" w:rsidR="00F118E5" w:rsidRPr="004D0AEB" w:rsidRDefault="00F118E5" w:rsidP="00BD069B">
      <w:pPr>
        <w:spacing w:line="480" w:lineRule="auto"/>
        <w:rPr>
          <w:rFonts w:cstheme="minorHAnsi"/>
          <w:sz w:val="24"/>
          <w:szCs w:val="24"/>
        </w:rPr>
      </w:pPr>
    </w:p>
    <w:p w14:paraId="7E29D291" w14:textId="77777777" w:rsidR="00F118E5" w:rsidRPr="004D0AEB" w:rsidRDefault="00F118E5" w:rsidP="00BD069B">
      <w:pPr>
        <w:spacing w:line="480" w:lineRule="auto"/>
        <w:rPr>
          <w:rFonts w:cstheme="minorHAnsi"/>
          <w:sz w:val="24"/>
          <w:szCs w:val="24"/>
        </w:rPr>
      </w:pPr>
    </w:p>
    <w:p w14:paraId="2580027B" w14:textId="77777777" w:rsidR="00F118E5" w:rsidRPr="004D0AEB" w:rsidRDefault="00F118E5" w:rsidP="00BD069B">
      <w:pPr>
        <w:spacing w:line="480" w:lineRule="auto"/>
        <w:rPr>
          <w:rFonts w:cstheme="minorHAnsi"/>
          <w:sz w:val="24"/>
          <w:szCs w:val="24"/>
        </w:rPr>
      </w:pPr>
    </w:p>
    <w:p w14:paraId="3AEC01A0" w14:textId="77777777" w:rsidR="00F118E5" w:rsidRPr="004D0AEB" w:rsidRDefault="00F118E5" w:rsidP="00BD069B">
      <w:pPr>
        <w:spacing w:line="480" w:lineRule="auto"/>
        <w:rPr>
          <w:rFonts w:cstheme="minorHAnsi"/>
          <w:sz w:val="24"/>
          <w:szCs w:val="24"/>
        </w:rPr>
      </w:pPr>
    </w:p>
    <w:p w14:paraId="7A7D3C2E" w14:textId="3BADAD76" w:rsidR="00F118E5" w:rsidRDefault="00F118E5" w:rsidP="00BD069B">
      <w:pPr>
        <w:spacing w:line="480" w:lineRule="auto"/>
        <w:rPr>
          <w:rFonts w:cstheme="minorHAnsi"/>
          <w:sz w:val="24"/>
          <w:szCs w:val="24"/>
        </w:rPr>
      </w:pPr>
    </w:p>
    <w:p w14:paraId="10E45160" w14:textId="77777777" w:rsidR="008B75CD" w:rsidRPr="004D0AEB" w:rsidRDefault="008B75CD" w:rsidP="00BD069B">
      <w:pPr>
        <w:spacing w:line="480" w:lineRule="auto"/>
        <w:rPr>
          <w:rFonts w:cstheme="minorHAnsi"/>
          <w:sz w:val="24"/>
          <w:szCs w:val="24"/>
        </w:rPr>
      </w:pPr>
    </w:p>
    <w:p w14:paraId="317AA24E" w14:textId="77777777" w:rsidR="00F118E5" w:rsidRPr="004D0AEB" w:rsidRDefault="00F118E5" w:rsidP="00BD069B">
      <w:pPr>
        <w:spacing w:line="480" w:lineRule="auto"/>
        <w:jc w:val="center"/>
        <w:rPr>
          <w:rFonts w:cstheme="minorHAnsi"/>
          <w:b/>
          <w:bCs/>
          <w:sz w:val="32"/>
          <w:szCs w:val="32"/>
        </w:rPr>
      </w:pPr>
      <w:r w:rsidRPr="004D0AEB">
        <w:rPr>
          <w:rFonts w:cstheme="minorHAnsi"/>
          <w:b/>
          <w:bCs/>
          <w:sz w:val="32"/>
          <w:szCs w:val="32"/>
        </w:rPr>
        <w:lastRenderedPageBreak/>
        <w:t>CHAPTER 3</w:t>
      </w:r>
    </w:p>
    <w:p w14:paraId="48B162FA" w14:textId="77777777" w:rsidR="00F118E5" w:rsidRPr="004D0AEB" w:rsidRDefault="00F118E5" w:rsidP="00BD069B">
      <w:pPr>
        <w:spacing w:line="480" w:lineRule="auto"/>
        <w:jc w:val="center"/>
        <w:rPr>
          <w:rFonts w:cstheme="minorHAnsi"/>
          <w:b/>
          <w:bCs/>
          <w:sz w:val="32"/>
          <w:szCs w:val="32"/>
        </w:rPr>
      </w:pPr>
      <w:r w:rsidRPr="004D0AEB">
        <w:rPr>
          <w:rFonts w:cstheme="minorHAnsi"/>
          <w:b/>
          <w:bCs/>
          <w:sz w:val="32"/>
          <w:szCs w:val="32"/>
        </w:rPr>
        <w:t xml:space="preserve">QURANIC PRINCIPLES OF INTERPRETATION </w:t>
      </w:r>
    </w:p>
    <w:p w14:paraId="582EE616" w14:textId="77777777" w:rsidR="00F118E5" w:rsidRPr="004D0AEB" w:rsidRDefault="00F118E5" w:rsidP="00BD069B">
      <w:pPr>
        <w:spacing w:line="480" w:lineRule="auto"/>
        <w:rPr>
          <w:rFonts w:cstheme="minorHAnsi"/>
          <w:sz w:val="24"/>
          <w:szCs w:val="24"/>
        </w:rPr>
      </w:pPr>
    </w:p>
    <w:p w14:paraId="1A3DCEF5" w14:textId="0B45CBFD" w:rsidR="00F118E5" w:rsidRPr="004D0AEB" w:rsidRDefault="00F118E5" w:rsidP="00BD069B">
      <w:pPr>
        <w:spacing w:line="480" w:lineRule="auto"/>
        <w:rPr>
          <w:rFonts w:cstheme="minorHAnsi"/>
          <w:sz w:val="24"/>
          <w:szCs w:val="24"/>
        </w:rPr>
      </w:pPr>
      <w:r w:rsidRPr="004D0AEB">
        <w:rPr>
          <w:rFonts w:cstheme="minorHAnsi"/>
          <w:sz w:val="24"/>
          <w:szCs w:val="24"/>
        </w:rPr>
        <w:t>This chapter will begin our Quranic analysis, through analysing the tools and principles of Quranic interpretation. This is vital, as before beginning to analyse our key Quranic passage of debate; The Story of Lot, it is pivotal to specifically examine how the Qur’an is understood, and what tools and principles could be interpreted to support a</w:t>
      </w:r>
      <w:r w:rsidR="00F72289" w:rsidRPr="004D0AEB">
        <w:rPr>
          <w:rFonts w:cstheme="minorHAnsi"/>
          <w:sz w:val="24"/>
          <w:szCs w:val="24"/>
        </w:rPr>
        <w:t>n affirmative</w:t>
      </w:r>
      <w:r w:rsidRPr="004D0AEB">
        <w:rPr>
          <w:rFonts w:cstheme="minorHAnsi"/>
          <w:sz w:val="24"/>
          <w:szCs w:val="24"/>
        </w:rPr>
        <w:t xml:space="preserve"> homosexual reading. The Qur’an is considered to be ‘the vehicle towards God’s consciousness’, holding the criteria to judge between what is appropriate for Islamic society, and what would be destructive (Hendricks, 2010, p.46). As Ganeri argues; the Qur’an is believed to have always existed in heaven, written in Arabic on a tablet of stone, before Muhammad carried God’s direct message to the earth</w:t>
      </w:r>
      <w:r w:rsidRPr="004D0AEB">
        <w:rPr>
          <w:rStyle w:val="FootnoteReference"/>
          <w:rFonts w:cstheme="minorHAnsi"/>
          <w:sz w:val="24"/>
          <w:szCs w:val="24"/>
        </w:rPr>
        <w:footnoteReference w:id="29"/>
      </w:r>
      <w:r w:rsidRPr="004D0AEB">
        <w:rPr>
          <w:rFonts w:cstheme="minorHAnsi"/>
          <w:sz w:val="24"/>
          <w:szCs w:val="24"/>
        </w:rPr>
        <w:t xml:space="preserve"> (2008, p.7). The Qur’anic scripture thus serves both a personal and social purpose in the everyday lives of Muslims around the world</w:t>
      </w:r>
      <w:r w:rsidRPr="004D0AEB">
        <w:rPr>
          <w:rStyle w:val="FootnoteReference"/>
          <w:rFonts w:cstheme="minorHAnsi"/>
          <w:sz w:val="24"/>
          <w:szCs w:val="24"/>
        </w:rPr>
        <w:footnoteReference w:id="30"/>
      </w:r>
      <w:r w:rsidRPr="004D0AEB">
        <w:rPr>
          <w:rFonts w:cstheme="minorHAnsi"/>
          <w:sz w:val="24"/>
          <w:szCs w:val="24"/>
        </w:rPr>
        <w:t xml:space="preserve"> (Hendricks, 2010, p.46). The Qur’an</w:t>
      </w:r>
      <w:r w:rsidRPr="004D0AEB">
        <w:rPr>
          <w:rFonts w:cstheme="minorHAnsi"/>
          <w:sz w:val="24"/>
          <w:szCs w:val="24"/>
          <w:u w:val="single"/>
        </w:rPr>
        <w:t xml:space="preserve"> </w:t>
      </w:r>
      <w:r w:rsidRPr="004D0AEB">
        <w:rPr>
          <w:rFonts w:cstheme="minorHAnsi"/>
          <w:sz w:val="24"/>
          <w:szCs w:val="24"/>
        </w:rPr>
        <w:t>is often wrongly defined and misunderstood outside of the religion Islam, specifically since September eleven where the religion Islam came under scrutiny around the world</w:t>
      </w:r>
      <w:r w:rsidRPr="004D0AEB">
        <w:rPr>
          <w:rStyle w:val="FootnoteReference"/>
          <w:rFonts w:cstheme="minorHAnsi"/>
          <w:sz w:val="24"/>
          <w:szCs w:val="24"/>
        </w:rPr>
        <w:footnoteReference w:id="31"/>
      </w:r>
      <w:r w:rsidRPr="004D0AEB">
        <w:rPr>
          <w:rFonts w:cstheme="minorHAnsi"/>
          <w:sz w:val="24"/>
          <w:szCs w:val="24"/>
        </w:rPr>
        <w:t xml:space="preserve"> (Kugle, 2010, p.22). However, although the Qur’an is considered to be God’s peaceful teaching, following the death of the Prophets and the passing of time, Quranic interpretation </w:t>
      </w:r>
      <w:r w:rsidR="00120DCD" w:rsidRPr="004D0AEB">
        <w:rPr>
          <w:rFonts w:cstheme="minorHAnsi"/>
          <w:sz w:val="24"/>
          <w:szCs w:val="24"/>
        </w:rPr>
        <w:t>fell to</w:t>
      </w:r>
      <w:r w:rsidRPr="004D0AEB">
        <w:rPr>
          <w:rFonts w:cstheme="minorHAnsi"/>
          <w:sz w:val="24"/>
          <w:szCs w:val="24"/>
        </w:rPr>
        <w:t xml:space="preserve"> humanity, resulting</w:t>
      </w:r>
      <w:r w:rsidR="00276761" w:rsidRPr="004D0AEB">
        <w:rPr>
          <w:rFonts w:cstheme="minorHAnsi"/>
          <w:sz w:val="24"/>
          <w:szCs w:val="24"/>
        </w:rPr>
        <w:t xml:space="preserve"> in</w:t>
      </w:r>
      <w:r w:rsidRPr="004D0AEB">
        <w:rPr>
          <w:rFonts w:cstheme="minorHAnsi"/>
          <w:sz w:val="24"/>
          <w:szCs w:val="24"/>
        </w:rPr>
        <w:t xml:space="preserve"> </w:t>
      </w:r>
      <w:r w:rsidR="00276761" w:rsidRPr="004D0AEB">
        <w:rPr>
          <w:rFonts w:cstheme="minorHAnsi"/>
          <w:sz w:val="24"/>
          <w:szCs w:val="24"/>
        </w:rPr>
        <w:t xml:space="preserve">varied </w:t>
      </w:r>
      <w:r w:rsidR="009F4683" w:rsidRPr="004D0AEB">
        <w:rPr>
          <w:rFonts w:cstheme="minorHAnsi"/>
          <w:sz w:val="24"/>
          <w:szCs w:val="24"/>
        </w:rPr>
        <w:t>readings</w:t>
      </w:r>
      <w:r w:rsidRPr="004D0AEB">
        <w:rPr>
          <w:rFonts w:cstheme="minorHAnsi"/>
          <w:sz w:val="24"/>
          <w:szCs w:val="24"/>
        </w:rPr>
        <w:t xml:space="preserve"> (Kugle, </w:t>
      </w:r>
      <w:r w:rsidRPr="004D0AEB">
        <w:rPr>
          <w:rFonts w:cstheme="minorHAnsi"/>
          <w:sz w:val="24"/>
          <w:szCs w:val="24"/>
        </w:rPr>
        <w:lastRenderedPageBreak/>
        <w:t>2010, p.39). This highlights our chapter focus</w:t>
      </w:r>
      <w:r w:rsidR="00276761" w:rsidRPr="004D0AEB">
        <w:rPr>
          <w:rFonts w:cstheme="minorHAnsi"/>
          <w:sz w:val="24"/>
          <w:szCs w:val="24"/>
        </w:rPr>
        <w:t>,</w:t>
      </w:r>
      <w:r w:rsidRPr="004D0AEB">
        <w:rPr>
          <w:rFonts w:cstheme="minorHAnsi"/>
          <w:sz w:val="24"/>
          <w:szCs w:val="24"/>
        </w:rPr>
        <w:t xml:space="preserve"> the tools and principles of Quranic interpretations </w:t>
      </w:r>
      <w:r w:rsidR="00276761" w:rsidRPr="004D0AEB">
        <w:rPr>
          <w:rFonts w:cstheme="minorHAnsi"/>
          <w:sz w:val="24"/>
          <w:szCs w:val="24"/>
        </w:rPr>
        <w:t>regarding</w:t>
      </w:r>
      <w:r w:rsidRPr="004D0AEB">
        <w:rPr>
          <w:rFonts w:cstheme="minorHAnsi"/>
          <w:sz w:val="24"/>
          <w:szCs w:val="24"/>
        </w:rPr>
        <w:t xml:space="preserve"> a potential homosexual reading.</w:t>
      </w:r>
    </w:p>
    <w:p w14:paraId="0FAF5BCA" w14:textId="77777777" w:rsidR="00276761" w:rsidRPr="004D0AEB" w:rsidRDefault="00276761" w:rsidP="00BD069B">
      <w:pPr>
        <w:spacing w:line="480" w:lineRule="auto"/>
        <w:rPr>
          <w:rFonts w:cstheme="minorHAnsi"/>
          <w:sz w:val="24"/>
          <w:szCs w:val="24"/>
        </w:rPr>
      </w:pPr>
    </w:p>
    <w:p w14:paraId="5039553C" w14:textId="77777777" w:rsidR="00F118E5" w:rsidRPr="004D0AEB" w:rsidRDefault="00F118E5" w:rsidP="00BD069B">
      <w:pPr>
        <w:spacing w:line="480" w:lineRule="auto"/>
        <w:rPr>
          <w:rFonts w:cstheme="minorHAnsi"/>
          <w:b/>
          <w:bCs/>
          <w:sz w:val="24"/>
          <w:szCs w:val="24"/>
        </w:rPr>
      </w:pPr>
      <w:r w:rsidRPr="004D0AEB">
        <w:rPr>
          <w:rFonts w:cstheme="minorHAnsi"/>
          <w:b/>
          <w:bCs/>
          <w:sz w:val="24"/>
          <w:szCs w:val="24"/>
        </w:rPr>
        <w:t>Significance of the Hadith</w:t>
      </w:r>
    </w:p>
    <w:p w14:paraId="4287BC88" w14:textId="1FDF17A8" w:rsidR="00F118E5" w:rsidRPr="004D0AEB" w:rsidRDefault="00F118E5" w:rsidP="00BD069B">
      <w:pPr>
        <w:spacing w:line="480" w:lineRule="auto"/>
        <w:rPr>
          <w:rFonts w:cstheme="minorHAnsi"/>
          <w:sz w:val="24"/>
          <w:szCs w:val="24"/>
          <w:u w:val="single"/>
        </w:rPr>
      </w:pPr>
      <w:r w:rsidRPr="004D0AEB">
        <w:rPr>
          <w:rFonts w:cstheme="minorHAnsi"/>
          <w:sz w:val="24"/>
          <w:szCs w:val="24"/>
        </w:rPr>
        <w:t>It is firstly significant to briefly examine the Islamic Hadith however, as it would be bias to dismiss this literature entirely. The hadith is a collection of the Prophets sayings and traditions, which emerged during the early days of Islam as a compound and remedy to the needs of the Muslim community (Brown, 2011, p.15). In the wake of the Prophet’s death, this collection of teachings began to serve as a source of guidance for the struggling community, in addition to the Qur’an, concerning how to live according</w:t>
      </w:r>
      <w:r w:rsidR="00E02AA2" w:rsidRPr="004D0AEB">
        <w:rPr>
          <w:rFonts w:cstheme="minorHAnsi"/>
          <w:sz w:val="24"/>
          <w:szCs w:val="24"/>
        </w:rPr>
        <w:t>ly</w:t>
      </w:r>
      <w:r w:rsidRPr="004D0AEB">
        <w:rPr>
          <w:rFonts w:cstheme="minorHAnsi"/>
          <w:sz w:val="24"/>
          <w:szCs w:val="24"/>
        </w:rPr>
        <w:t xml:space="preserve"> to God’s will</w:t>
      </w:r>
      <w:r w:rsidRPr="004D0AEB">
        <w:rPr>
          <w:rStyle w:val="FootnoteReference"/>
          <w:rFonts w:cstheme="minorHAnsi"/>
          <w:sz w:val="24"/>
          <w:szCs w:val="24"/>
        </w:rPr>
        <w:footnoteReference w:id="32"/>
      </w:r>
      <w:r w:rsidRPr="004D0AEB">
        <w:rPr>
          <w:rFonts w:cstheme="minorHAnsi"/>
          <w:sz w:val="24"/>
          <w:szCs w:val="24"/>
        </w:rPr>
        <w:t xml:space="preserve"> (Brown, 2011, p.15). By the end of the tenth century, the hadith had evolved to encompass a deep connection with the Prophet, with an authoritative interrelation (Brown, 2011, p.15). </w:t>
      </w:r>
    </w:p>
    <w:p w14:paraId="6C589029" w14:textId="77777777" w:rsidR="00F118E5" w:rsidRPr="008B75CD" w:rsidRDefault="00F118E5" w:rsidP="008B75CD">
      <w:pPr>
        <w:spacing w:line="276" w:lineRule="auto"/>
        <w:rPr>
          <w:rFonts w:cstheme="minorHAnsi"/>
          <w:sz w:val="24"/>
          <w:szCs w:val="24"/>
        </w:rPr>
      </w:pPr>
      <w:r w:rsidRPr="008B75CD">
        <w:rPr>
          <w:rFonts w:cstheme="minorHAnsi"/>
          <w:sz w:val="24"/>
          <w:szCs w:val="24"/>
        </w:rPr>
        <w:t>As Brown maintains:</w:t>
      </w:r>
    </w:p>
    <w:p w14:paraId="1C9F5E2C" w14:textId="6F7C5BF7" w:rsidR="00F118E5" w:rsidRDefault="00F118E5" w:rsidP="008B75CD">
      <w:pPr>
        <w:spacing w:line="276" w:lineRule="auto"/>
        <w:ind w:left="227" w:right="227"/>
        <w:rPr>
          <w:rFonts w:cstheme="minorHAnsi"/>
          <w:sz w:val="24"/>
          <w:szCs w:val="24"/>
        </w:rPr>
      </w:pPr>
      <w:r w:rsidRPr="008B75CD">
        <w:rPr>
          <w:rFonts w:cstheme="minorHAnsi"/>
          <w:sz w:val="24"/>
          <w:szCs w:val="24"/>
        </w:rPr>
        <w:t>“the development of hadith literature is thus best understood in light of the two general functions that hadiths fulfilled; that of an authoritative maxim used to elaborate Islamic law and dogman, and that of a form of connection to the Prophet’s charismatic legacy” (2011, p.15).</w:t>
      </w:r>
    </w:p>
    <w:p w14:paraId="10E10141" w14:textId="77777777" w:rsidR="008B75CD" w:rsidRPr="004D0AEB" w:rsidRDefault="008B75CD" w:rsidP="008B75CD">
      <w:pPr>
        <w:spacing w:line="276" w:lineRule="auto"/>
        <w:ind w:left="227" w:right="227"/>
        <w:rPr>
          <w:rFonts w:cstheme="minorHAnsi"/>
          <w:sz w:val="24"/>
          <w:szCs w:val="24"/>
        </w:rPr>
      </w:pPr>
    </w:p>
    <w:p w14:paraId="28EC7967" w14:textId="60FEDE7A" w:rsidR="00F118E5" w:rsidRPr="004D0AEB" w:rsidRDefault="00F118E5" w:rsidP="00BD069B">
      <w:pPr>
        <w:spacing w:line="480" w:lineRule="auto"/>
        <w:rPr>
          <w:rFonts w:cstheme="minorHAnsi"/>
          <w:sz w:val="24"/>
          <w:szCs w:val="24"/>
        </w:rPr>
      </w:pPr>
      <w:r w:rsidRPr="004D0AEB">
        <w:rPr>
          <w:rFonts w:cstheme="minorHAnsi"/>
          <w:sz w:val="24"/>
          <w:szCs w:val="24"/>
        </w:rPr>
        <w:t xml:space="preserve">In order to justify my choice on a solely Quranic focus, it is vital here to highlight a few notable issues that lie within the study and reliability of the hadith, and the reasonings behind its rejection. My core argument weighs in on </w:t>
      </w:r>
      <w:r w:rsidR="0042168C" w:rsidRPr="004D0AEB">
        <w:rPr>
          <w:rFonts w:cstheme="minorHAnsi"/>
          <w:sz w:val="24"/>
          <w:szCs w:val="24"/>
        </w:rPr>
        <w:t xml:space="preserve">an </w:t>
      </w:r>
      <w:r w:rsidRPr="004D0AEB">
        <w:rPr>
          <w:rFonts w:cstheme="minorHAnsi"/>
          <w:sz w:val="24"/>
          <w:szCs w:val="24"/>
        </w:rPr>
        <w:t xml:space="preserve">assured perspective that the Qur’an is an authentic and reliable source. Questions concerning the authenticity of the hadith however, have circled the Islamic world since the start of its collections, with hadith scholars </w:t>
      </w:r>
      <w:r w:rsidRPr="004D0AEB">
        <w:rPr>
          <w:rFonts w:cstheme="minorHAnsi"/>
          <w:sz w:val="24"/>
          <w:szCs w:val="24"/>
        </w:rPr>
        <w:lastRenderedPageBreak/>
        <w:t xml:space="preserve">consistently attempting to decipher the Prophet’s authentic statements from the inauthentic (Hamdeh, 2019, p.2). As Hamdeh argues; “this perspective implies that Muslims are commanded to follow the Prophet but that reports about him are unreliable” (2019, p.2).  </w:t>
      </w:r>
    </w:p>
    <w:p w14:paraId="12FA3FD5" w14:textId="77777777" w:rsidR="00F118E5" w:rsidRPr="004D0AEB" w:rsidRDefault="00F118E5" w:rsidP="00BD069B">
      <w:pPr>
        <w:spacing w:line="480" w:lineRule="auto"/>
        <w:rPr>
          <w:rFonts w:cstheme="minorHAnsi"/>
          <w:sz w:val="24"/>
          <w:szCs w:val="24"/>
        </w:rPr>
      </w:pPr>
      <w:r w:rsidRPr="004D0AEB">
        <w:rPr>
          <w:rFonts w:cstheme="minorHAnsi"/>
          <w:sz w:val="24"/>
          <w:szCs w:val="24"/>
        </w:rPr>
        <w:t>Not only is the hadith problematic in terms of its inauthentic statements, its questionability also lies in the issue of its oral transmission. Hadith scholars insisted on the superiority of personal and direct oral transmissions, however, as Brown argues, this leaves room for flaws, due to the complete unreliability concerning word of mouth (1996, p.88). Nevertheless, Hadith scholars believed that the purpose of writing lay only as an aid to memory; neither an essential nor a means of inflating a source in terms of trustworthiness (Brown, 1996, p.88) However, as Brown argues; “in theory then, written collections of hadith are of value only when directly attested to by living transmitters of the tradition who can vouch for their accuracy” (1996, p.88). By the beginning of the nineteenth century, a reversal of this preference quickly became evident, with the flawed transmission highlighted, however, by this time, most of the hadith literature lay corrupt</w:t>
      </w:r>
      <w:r w:rsidRPr="004D0AEB">
        <w:rPr>
          <w:rStyle w:val="FootnoteReference"/>
          <w:rFonts w:cstheme="minorHAnsi"/>
          <w:sz w:val="24"/>
          <w:szCs w:val="24"/>
        </w:rPr>
        <w:footnoteReference w:id="33"/>
      </w:r>
      <w:r w:rsidRPr="004D0AEB">
        <w:rPr>
          <w:rFonts w:cstheme="minorHAnsi"/>
          <w:sz w:val="24"/>
          <w:szCs w:val="24"/>
        </w:rPr>
        <w:t xml:space="preserve"> (Brown, 1996, p.88). </w:t>
      </w:r>
    </w:p>
    <w:p w14:paraId="256F98EF" w14:textId="19D4779B" w:rsidR="00F118E5" w:rsidRPr="004D0AEB" w:rsidRDefault="00F118E5" w:rsidP="00BD069B">
      <w:pPr>
        <w:spacing w:line="480" w:lineRule="auto"/>
        <w:rPr>
          <w:rFonts w:cstheme="minorHAnsi"/>
          <w:sz w:val="24"/>
          <w:szCs w:val="24"/>
        </w:rPr>
      </w:pPr>
      <w:r w:rsidRPr="004D0AEB">
        <w:rPr>
          <w:rFonts w:cstheme="minorHAnsi"/>
          <w:sz w:val="24"/>
          <w:szCs w:val="24"/>
        </w:rPr>
        <w:t xml:space="preserve">Nevertheless, evidently the hadith cannot be entirely dismissed. Andalusian scholar Ibn Hamz supports the hadith literature, maintaining that God himself offered the command to obey the messenger, and so, if the hadith corpus is to be dismissed, one is dismissing God’s command (1960, pp,121-122). Hamz argues that hadith dismissal results in a frame of reference in which God himself is requiring Muslims to follow that which does not exist, or, </w:t>
      </w:r>
      <w:r w:rsidRPr="004D0AEB">
        <w:rPr>
          <w:rFonts w:cstheme="minorHAnsi"/>
          <w:sz w:val="24"/>
          <w:szCs w:val="24"/>
        </w:rPr>
        <w:lastRenderedPageBreak/>
        <w:t>a falsified religion (1960, pp,123-124). This perspective holds wealth therefore, in that God would not have commanded Muslims to follow that</w:t>
      </w:r>
      <w:r w:rsidR="00186EBB" w:rsidRPr="004D0AEB">
        <w:rPr>
          <w:rFonts w:cstheme="minorHAnsi"/>
          <w:sz w:val="24"/>
          <w:szCs w:val="24"/>
        </w:rPr>
        <w:t xml:space="preserve"> which</w:t>
      </w:r>
      <w:r w:rsidRPr="004D0AEB">
        <w:rPr>
          <w:rFonts w:cstheme="minorHAnsi"/>
          <w:sz w:val="24"/>
          <w:szCs w:val="24"/>
        </w:rPr>
        <w:t xml:space="preserve"> is not accurately preserved, as He would not lead </w:t>
      </w:r>
      <w:r w:rsidR="00186EBB" w:rsidRPr="004D0AEB">
        <w:rPr>
          <w:rFonts w:cstheme="minorHAnsi"/>
          <w:sz w:val="24"/>
          <w:szCs w:val="24"/>
        </w:rPr>
        <w:t>H</w:t>
      </w:r>
      <w:r w:rsidRPr="004D0AEB">
        <w:rPr>
          <w:rFonts w:cstheme="minorHAnsi"/>
          <w:sz w:val="24"/>
          <w:szCs w:val="24"/>
        </w:rPr>
        <w:t>is people astray. Hadmeh also offers a counter-argument which must be considered; that problematic hadiths certainly exist, however, they are not always as problematic as people maintain, but rather; are merely misunderstood by the individual interpreter, as th</w:t>
      </w:r>
      <w:r w:rsidR="00D10C75" w:rsidRPr="004D0AEB">
        <w:rPr>
          <w:rFonts w:cstheme="minorHAnsi"/>
          <w:sz w:val="24"/>
          <w:szCs w:val="24"/>
        </w:rPr>
        <w:t>e individual</w:t>
      </w:r>
      <w:r w:rsidRPr="004D0AEB">
        <w:rPr>
          <w:rFonts w:cstheme="minorHAnsi"/>
          <w:sz w:val="24"/>
          <w:szCs w:val="24"/>
        </w:rPr>
        <w:t xml:space="preserve"> lack</w:t>
      </w:r>
      <w:r w:rsidR="00D10C75" w:rsidRPr="004D0AEB">
        <w:rPr>
          <w:rFonts w:cstheme="minorHAnsi"/>
          <w:sz w:val="24"/>
          <w:szCs w:val="24"/>
        </w:rPr>
        <w:t>s</w:t>
      </w:r>
      <w:r w:rsidRPr="004D0AEB">
        <w:rPr>
          <w:rFonts w:cstheme="minorHAnsi"/>
          <w:sz w:val="24"/>
          <w:szCs w:val="24"/>
        </w:rPr>
        <w:t xml:space="preserve"> </w:t>
      </w:r>
      <w:r w:rsidR="00D10C75" w:rsidRPr="004D0AEB">
        <w:rPr>
          <w:rFonts w:cstheme="minorHAnsi"/>
          <w:sz w:val="24"/>
          <w:szCs w:val="24"/>
        </w:rPr>
        <w:t xml:space="preserve">in </w:t>
      </w:r>
      <w:r w:rsidRPr="004D0AEB">
        <w:rPr>
          <w:rFonts w:cstheme="minorHAnsi"/>
          <w:sz w:val="24"/>
          <w:szCs w:val="24"/>
        </w:rPr>
        <w:t xml:space="preserve">knowledge to contextualise the hadith in question (2019, p.3). As Hamdeh argues; “Not every problematic hadith is actually problematic. It is important to keep in mind that hadith literature was compiled by scholars </w:t>
      </w:r>
      <w:r w:rsidRPr="004D0AEB">
        <w:rPr>
          <w:rFonts w:cstheme="minorHAnsi"/>
          <w:i/>
          <w:iCs/>
          <w:sz w:val="24"/>
          <w:szCs w:val="24"/>
        </w:rPr>
        <w:t xml:space="preserve">for </w:t>
      </w:r>
      <w:r w:rsidRPr="004D0AEB">
        <w:rPr>
          <w:rFonts w:cstheme="minorHAnsi"/>
          <w:sz w:val="24"/>
          <w:szCs w:val="24"/>
        </w:rPr>
        <w:t>scholars” (2019, p.3). Therefore, hadith literature could be considered as problematic as they were written to be understood by scholars, not the average layman.</w:t>
      </w:r>
    </w:p>
    <w:p w14:paraId="454AD866" w14:textId="5B4F47BA" w:rsidR="00F118E5" w:rsidRPr="004D0AEB" w:rsidRDefault="00F118E5" w:rsidP="00BD069B">
      <w:pPr>
        <w:spacing w:line="480" w:lineRule="auto"/>
        <w:rPr>
          <w:rFonts w:cstheme="minorHAnsi"/>
          <w:sz w:val="24"/>
          <w:szCs w:val="24"/>
        </w:rPr>
      </w:pPr>
      <w:r w:rsidRPr="004D0AEB">
        <w:rPr>
          <w:rFonts w:cstheme="minorHAnsi"/>
          <w:sz w:val="24"/>
          <w:szCs w:val="24"/>
        </w:rPr>
        <w:t xml:space="preserve">It cannot be denied that the Hadith remains a pivotal part of Islamic guidance, regardless of its questionable authority. However, I have chosen to focus on the Qur’an here due to its divine authenticity and its central, unquestionable role within Islam. As God’s word, the Qur’an holds the greatest status and respect to Muslims, and so, my analysis will focus primarily on the Qur’an, due to its </w:t>
      </w:r>
      <w:r w:rsidR="00A1582A" w:rsidRPr="004D0AEB">
        <w:rPr>
          <w:rFonts w:cstheme="minorHAnsi"/>
          <w:sz w:val="24"/>
          <w:szCs w:val="24"/>
        </w:rPr>
        <w:t>inconte</w:t>
      </w:r>
      <w:r w:rsidR="00EF1E99" w:rsidRPr="004D0AEB">
        <w:rPr>
          <w:rFonts w:cstheme="minorHAnsi"/>
          <w:sz w:val="24"/>
          <w:szCs w:val="24"/>
        </w:rPr>
        <w:t xml:space="preserve">stable </w:t>
      </w:r>
      <w:r w:rsidRPr="004D0AEB">
        <w:rPr>
          <w:rFonts w:cstheme="minorHAnsi"/>
          <w:sz w:val="24"/>
          <w:szCs w:val="24"/>
        </w:rPr>
        <w:t>role in Islam, for all Muslim societies.</w:t>
      </w:r>
    </w:p>
    <w:p w14:paraId="635C9725" w14:textId="77777777" w:rsidR="00F118E5" w:rsidRPr="004D0AEB" w:rsidRDefault="00F118E5" w:rsidP="00BD069B">
      <w:pPr>
        <w:spacing w:line="480" w:lineRule="auto"/>
        <w:rPr>
          <w:rFonts w:cstheme="minorHAnsi"/>
          <w:sz w:val="24"/>
          <w:szCs w:val="24"/>
        </w:rPr>
      </w:pPr>
    </w:p>
    <w:p w14:paraId="721F5B54" w14:textId="77777777" w:rsidR="00F118E5" w:rsidRPr="004D0AEB" w:rsidRDefault="00F118E5" w:rsidP="00BD069B">
      <w:pPr>
        <w:spacing w:line="480" w:lineRule="auto"/>
        <w:rPr>
          <w:rFonts w:cstheme="minorHAnsi"/>
          <w:b/>
          <w:bCs/>
          <w:sz w:val="24"/>
          <w:szCs w:val="24"/>
        </w:rPr>
      </w:pPr>
      <w:r w:rsidRPr="004D0AEB">
        <w:rPr>
          <w:rFonts w:cstheme="minorHAnsi"/>
          <w:b/>
          <w:bCs/>
          <w:sz w:val="24"/>
          <w:szCs w:val="24"/>
        </w:rPr>
        <w:t>Tools and Principles of Interpretation</w:t>
      </w:r>
    </w:p>
    <w:p w14:paraId="37FF8D24" w14:textId="77777777" w:rsidR="00F118E5" w:rsidRPr="004D0AEB" w:rsidRDefault="00F118E5" w:rsidP="00BD069B">
      <w:pPr>
        <w:spacing w:line="480" w:lineRule="auto"/>
        <w:rPr>
          <w:rFonts w:cstheme="minorHAnsi"/>
          <w:sz w:val="24"/>
          <w:szCs w:val="24"/>
        </w:rPr>
      </w:pPr>
      <w:r w:rsidRPr="004D0AEB">
        <w:rPr>
          <w:rFonts w:cstheme="minorHAnsi"/>
          <w:sz w:val="24"/>
          <w:szCs w:val="24"/>
        </w:rPr>
        <w:t xml:space="preserve">Although the Qur’an is the word of God, it does not carry one single traditional message, due to the notion of interpretation. As the fourth caliph Imam Ali argued; “the Qur’an is written in straight lines between two covers. It does not speak by itself. It needs proper interpreters, and the interpreters are human beings” (Fadl, 2001, p.24). Even the earliest Muslims were thus acknowledging the reality that humanity itself would inevitably be responsible to interpret the Qur’an (Esack, 1997, p.49). Despite this however, they were also </w:t>
      </w:r>
      <w:r w:rsidRPr="004D0AEB">
        <w:rPr>
          <w:rFonts w:cstheme="minorHAnsi"/>
          <w:sz w:val="24"/>
          <w:szCs w:val="24"/>
        </w:rPr>
        <w:lastRenderedPageBreak/>
        <w:t>aware of the unavoidable lack of certainty that would accompany this task. As Esack argues; “interpreters are people who carry the inescapable baggage and conviviality of the human condition” (1997, p.50). It is impossible for a person to approach a text in a non-bias mindset, as every individual who reads a scripture brings their own background and pre-conceived notion to the text.</w:t>
      </w:r>
    </w:p>
    <w:p w14:paraId="61D68002" w14:textId="705A6D6A" w:rsidR="00F118E5" w:rsidRPr="004D0AEB" w:rsidRDefault="00F118E5" w:rsidP="00BD069B">
      <w:pPr>
        <w:spacing w:line="480" w:lineRule="auto"/>
        <w:rPr>
          <w:rFonts w:cstheme="minorHAnsi"/>
          <w:sz w:val="24"/>
          <w:szCs w:val="24"/>
        </w:rPr>
      </w:pPr>
      <w:r w:rsidRPr="004D0AEB">
        <w:rPr>
          <w:rFonts w:cstheme="minorHAnsi"/>
          <w:sz w:val="24"/>
          <w:szCs w:val="24"/>
        </w:rPr>
        <w:t xml:space="preserve">In </w:t>
      </w:r>
      <w:r w:rsidR="00A80A73" w:rsidRPr="004D0AEB">
        <w:rPr>
          <w:rFonts w:cstheme="minorHAnsi"/>
          <w:sz w:val="24"/>
          <w:szCs w:val="24"/>
        </w:rPr>
        <w:t xml:space="preserve">this </w:t>
      </w:r>
      <w:r w:rsidRPr="004D0AEB">
        <w:rPr>
          <w:rFonts w:cstheme="minorHAnsi"/>
          <w:sz w:val="24"/>
          <w:szCs w:val="24"/>
        </w:rPr>
        <w:t>thesis I am arguing that a homosexual interpretation of the Qur’an is possible, from within the religion Islam itself. In this section, I will be examining Kugle, who argues that there are seven principles and tools which must guide Quranic interpretation, in order to truly follow God’s will and become representative as his trusted messenger (2010, p.41). I will be analysing three of these Islamic tools and principles, in terms of how they can be applied to Qur’anic interpretation to achieve a supportive homosexual reading</w:t>
      </w:r>
      <w:r w:rsidRPr="004D0AEB">
        <w:rPr>
          <w:rStyle w:val="FootnoteReference"/>
          <w:rFonts w:cstheme="minorHAnsi"/>
          <w:sz w:val="24"/>
          <w:szCs w:val="24"/>
        </w:rPr>
        <w:footnoteReference w:id="34"/>
      </w:r>
      <w:r w:rsidRPr="004D0AEB">
        <w:rPr>
          <w:rFonts w:cstheme="minorHAnsi"/>
          <w:sz w:val="24"/>
          <w:szCs w:val="24"/>
        </w:rPr>
        <w:t>.</w:t>
      </w:r>
    </w:p>
    <w:p w14:paraId="7CF9B613" w14:textId="4DF8110E" w:rsidR="00F118E5" w:rsidRPr="004D0AEB" w:rsidRDefault="00F118E5" w:rsidP="00BD069B">
      <w:pPr>
        <w:spacing w:line="480" w:lineRule="auto"/>
        <w:rPr>
          <w:rFonts w:cstheme="minorHAnsi"/>
          <w:sz w:val="24"/>
          <w:szCs w:val="24"/>
        </w:rPr>
      </w:pPr>
      <w:r w:rsidRPr="004D0AEB">
        <w:rPr>
          <w:rFonts w:cstheme="minorHAnsi"/>
          <w:sz w:val="24"/>
          <w:szCs w:val="24"/>
        </w:rPr>
        <w:t>The first Tool of interpretative guidance which is vital to discuss here is thus as follows; “Affirm its (scriptural) integrity; it should not be limited word for word, and should refer back to all meanings within the Qur’an” (Kugle, 2010, p.42). Here therefore, Kugle is arguing that one cannot interpret the Qur’an passage-by-passage, but rather, one must interpret the literature as</w:t>
      </w:r>
      <w:r w:rsidR="00CB0899" w:rsidRPr="004D0AEB">
        <w:rPr>
          <w:rFonts w:cstheme="minorHAnsi"/>
          <w:sz w:val="24"/>
          <w:szCs w:val="24"/>
        </w:rPr>
        <w:t xml:space="preserve"> one</w:t>
      </w:r>
      <w:r w:rsidRPr="004D0AEB">
        <w:rPr>
          <w:rFonts w:cstheme="minorHAnsi"/>
          <w:sz w:val="24"/>
          <w:szCs w:val="24"/>
        </w:rPr>
        <w:t xml:space="preserve"> scripture. This also ties in with his Principle of ‘pluralism’ which maintains; “an ethic of pluralism; God created diversity”. Thus, this tool and principle here argues for an overall Quranic interpretation, which consistently considers every meaning within the Qur’an, rejecting narrowly focused interpretations on certain extracts. I argue that Kugle’s interpretative tool and principle here, therefore, supports a homosexual Quranic reading. I argue this as a traditional condemnation of homosexuality lies solely on </w:t>
      </w:r>
      <w:r w:rsidRPr="004D0AEB">
        <w:rPr>
          <w:rFonts w:cstheme="minorHAnsi"/>
          <w:sz w:val="24"/>
          <w:szCs w:val="24"/>
        </w:rPr>
        <w:lastRenderedPageBreak/>
        <w:t>one singular holy passage; The Story of Lot, however, if one avoids narrowly focused passage interpretation, and ‘refer back to all meanings within’, as Kugle argues, the significance of this passage could arguably be outweighed or overridden by other prominent, consistent themes.</w:t>
      </w:r>
    </w:p>
    <w:p w14:paraId="12CADF95" w14:textId="18CE08BC" w:rsidR="00F118E5" w:rsidRPr="004D0AEB" w:rsidRDefault="00F118E5" w:rsidP="00BD069B">
      <w:pPr>
        <w:spacing w:line="480" w:lineRule="auto"/>
        <w:rPr>
          <w:rFonts w:cstheme="minorHAnsi"/>
        </w:rPr>
      </w:pPr>
      <w:r w:rsidRPr="004D0AEB">
        <w:rPr>
          <w:rFonts w:cstheme="minorHAnsi"/>
          <w:sz w:val="24"/>
          <w:szCs w:val="24"/>
        </w:rPr>
        <w:t>One of the most dominant Quranic themes which is vital to mention here is unquestionably the emphasis on Islamic diversity. We see this prominence in Surah 36:36: “</w:t>
      </w:r>
      <w:r w:rsidRPr="004D0AEB">
        <w:rPr>
          <w:rFonts w:cstheme="minorHAnsi"/>
          <w:i/>
          <w:iCs/>
          <w:sz w:val="24"/>
          <w:szCs w:val="24"/>
        </w:rPr>
        <w:t>Glory be to God who have created all the different pairs/partners from what the earth produces</w:t>
      </w:r>
      <w:r w:rsidRPr="004D0AEB">
        <w:rPr>
          <w:rFonts w:cstheme="minorHAnsi"/>
          <w:sz w:val="24"/>
          <w:szCs w:val="24"/>
        </w:rPr>
        <w:t>”. Diversity is a consistent thread which runs throughout the Qur’an, and, for example, in this Surah alone we see an emphasis on God’s diverse ‘partners’, which could be interpreted as a homosexual pairing. Hendricks also discusses the prominence of diversity within the Qur’an, maintaining that God created diversity to purposefully highlight the contrast between the nature of human beings and the divine status of God (2010, p.36). However, Hendricks maintains that the Quranic theme of diversity is certainly not limited to this reasoning, maintaining that it also includes languages, cultures, ethnicity, race and most importantly; global diversity, which, arguably, encompasses sexuality (2010, p.36). As Hendricks argues; diversity is unquestionably a divinely intended phenomenon, and so it challenges humanity to pursue a unifying trajectory (2010, p.36). Kugle’s Tool and Principle here therefore, could be used to support my argument of a homosexual Quranic interpretation, as, if one considers the Qur’an as a whole, with the prominent thread of diversity, I argue that the condemnation of homosexuality would not be as straightforward as the narrow traditionalist focus on th</w:t>
      </w:r>
      <w:r w:rsidR="005C4D43" w:rsidRPr="004D0AEB">
        <w:rPr>
          <w:rFonts w:cstheme="minorHAnsi"/>
          <w:sz w:val="24"/>
          <w:szCs w:val="24"/>
        </w:rPr>
        <w:t>e</w:t>
      </w:r>
      <w:r w:rsidRPr="004D0AEB">
        <w:rPr>
          <w:rFonts w:cstheme="minorHAnsi"/>
          <w:sz w:val="24"/>
          <w:szCs w:val="24"/>
        </w:rPr>
        <w:t xml:space="preserve"> one singular passage. </w:t>
      </w:r>
    </w:p>
    <w:p w14:paraId="0BF0012B" w14:textId="19978211" w:rsidR="00F118E5" w:rsidRPr="004D0AEB" w:rsidRDefault="00F118E5" w:rsidP="00BD069B">
      <w:pPr>
        <w:spacing w:line="480" w:lineRule="auto"/>
        <w:rPr>
          <w:rFonts w:cstheme="minorHAnsi"/>
        </w:rPr>
      </w:pPr>
      <w:r w:rsidRPr="004D0AEB">
        <w:rPr>
          <w:rFonts w:cstheme="minorHAnsi"/>
          <w:sz w:val="24"/>
          <w:szCs w:val="24"/>
        </w:rPr>
        <w:t>Another prominent Quranic theme which is pivotal to mention here, is freedom of choice and expression. This is evident in Surah 109:2-6; “</w:t>
      </w:r>
      <w:r w:rsidRPr="004D0AEB">
        <w:rPr>
          <w:rFonts w:cstheme="minorHAnsi"/>
          <w:i/>
          <w:iCs/>
          <w:sz w:val="24"/>
          <w:szCs w:val="24"/>
        </w:rPr>
        <w:t xml:space="preserve">I do not worship what you worship. Nor </w:t>
      </w:r>
      <w:r w:rsidRPr="004D0AEB">
        <w:rPr>
          <w:rFonts w:cstheme="minorHAnsi"/>
          <w:i/>
          <w:iCs/>
          <w:sz w:val="24"/>
          <w:szCs w:val="24"/>
        </w:rPr>
        <w:lastRenderedPageBreak/>
        <w:t>are you worshipers of what I worship. For you is your religion, and for me is my religion</w:t>
      </w:r>
      <w:r w:rsidRPr="004D0AEB">
        <w:rPr>
          <w:rFonts w:cstheme="minorHAnsi"/>
          <w:sz w:val="24"/>
          <w:szCs w:val="24"/>
        </w:rPr>
        <w:t xml:space="preserve">”. This Surah conveys that Islam will differ for every Muslim, </w:t>
      </w:r>
      <w:r w:rsidR="003E7F67" w:rsidRPr="004D0AEB">
        <w:rPr>
          <w:rFonts w:cstheme="minorHAnsi"/>
          <w:sz w:val="24"/>
          <w:szCs w:val="24"/>
        </w:rPr>
        <w:t xml:space="preserve">thus </w:t>
      </w:r>
      <w:r w:rsidRPr="004D0AEB">
        <w:rPr>
          <w:rFonts w:cstheme="minorHAnsi"/>
          <w:sz w:val="24"/>
          <w:szCs w:val="24"/>
        </w:rPr>
        <w:t xml:space="preserve">acknowledging religious differentiation. I argue that this </w:t>
      </w:r>
      <w:r w:rsidR="00CE531F" w:rsidRPr="004D0AEB">
        <w:rPr>
          <w:rFonts w:cstheme="minorHAnsi"/>
          <w:sz w:val="24"/>
          <w:szCs w:val="24"/>
        </w:rPr>
        <w:t>f</w:t>
      </w:r>
      <w:r w:rsidRPr="004D0AEB">
        <w:rPr>
          <w:rFonts w:cstheme="minorHAnsi"/>
          <w:sz w:val="24"/>
          <w:szCs w:val="24"/>
        </w:rPr>
        <w:t>reedom of expression here could encompass sexuality, with the freedom to express oneself through love. I can once again draw upon Hendricks to support my argument here, as he maintains that the Qur’an openly offers those with differing beliefs the freedom to responsibly express their difference, whilst also remaining loyal to Islam (2010, p.35). Hendricks also highlights a significant argument</w:t>
      </w:r>
      <w:r w:rsidR="00CE531F" w:rsidRPr="004D0AEB">
        <w:rPr>
          <w:rFonts w:cstheme="minorHAnsi"/>
          <w:sz w:val="24"/>
          <w:szCs w:val="24"/>
        </w:rPr>
        <w:t>,</w:t>
      </w:r>
      <w:r w:rsidRPr="004D0AEB">
        <w:rPr>
          <w:rFonts w:cstheme="minorHAnsi"/>
          <w:sz w:val="24"/>
          <w:szCs w:val="24"/>
        </w:rPr>
        <w:t xml:space="preserve"> maintaining that Islam itself came into existence through a struggle for freedom of expression (2010, p.36). I argue here therefore, that to deny homosexual Muslims the freedom to exist; the same freedom which enabled Muhammad to undertake his mission from God, would be to reject the Qur’an’s teachings. Thus, Kugle’s Tool and Principle her</w:t>
      </w:r>
      <w:r w:rsidR="00D25950" w:rsidRPr="004D0AEB">
        <w:rPr>
          <w:rFonts w:cstheme="minorHAnsi"/>
          <w:sz w:val="24"/>
          <w:szCs w:val="24"/>
        </w:rPr>
        <w:t xml:space="preserve">e </w:t>
      </w:r>
      <w:r w:rsidRPr="004D0AEB">
        <w:rPr>
          <w:rFonts w:cstheme="minorHAnsi"/>
          <w:sz w:val="24"/>
          <w:szCs w:val="24"/>
        </w:rPr>
        <w:t>highlights a supportive homosexual lens of interpretation, if one focuses on the Qur’an as a whole</w:t>
      </w:r>
      <w:r w:rsidR="00D25950" w:rsidRPr="004D0AEB">
        <w:rPr>
          <w:rFonts w:cstheme="minorHAnsi"/>
          <w:sz w:val="24"/>
          <w:szCs w:val="24"/>
        </w:rPr>
        <w:t xml:space="preserve"> </w:t>
      </w:r>
      <w:r w:rsidRPr="004D0AEB">
        <w:rPr>
          <w:rFonts w:cstheme="minorHAnsi"/>
          <w:sz w:val="24"/>
          <w:szCs w:val="24"/>
        </w:rPr>
        <w:t>and its prominent themes.</w:t>
      </w:r>
    </w:p>
    <w:p w14:paraId="11697E47" w14:textId="7C2516E1" w:rsidR="00F118E5" w:rsidRPr="004D0AEB" w:rsidRDefault="00F118E5" w:rsidP="00BD069B">
      <w:pPr>
        <w:spacing w:line="480" w:lineRule="auto"/>
        <w:rPr>
          <w:rFonts w:cstheme="minorHAnsi"/>
          <w:sz w:val="24"/>
          <w:szCs w:val="24"/>
        </w:rPr>
      </w:pPr>
      <w:r w:rsidRPr="004D0AEB">
        <w:rPr>
          <w:rFonts w:cstheme="minorHAnsi"/>
          <w:sz w:val="24"/>
          <w:szCs w:val="24"/>
        </w:rPr>
        <w:t xml:space="preserve">The second tool of interpretative guidance which is significant to discuss here is as follows; “clarifying the Qur’an’s context, whilst noting how the context in which it was revealed has shaped its language and form” (Kugle, 2010, p.42). This tool portrays how one must consistently consider the context through which the text was first revealed, and how society has since changed. This ties in with Kugle’s principle; “God’s message is eternal yet complex; flexibility is needed in ever-changing social circumstances” (2010, p.41). This principle argues for a consideration of the Quran’s origins, whilst also advocating for a mindfulness of a modern context, and the flexibility this will entail. I argue that this interpretive guidance certainly highlights a possible homosexual Quranic reading. This interpretive lens enables one to acknowledge the traditional origins which helped shape the language and form of the Qur’an, thus respecting its traditional development, however it also offers Muslims, </w:t>
      </w:r>
      <w:r w:rsidRPr="004D0AEB">
        <w:rPr>
          <w:rFonts w:cstheme="minorHAnsi"/>
          <w:sz w:val="24"/>
          <w:szCs w:val="24"/>
        </w:rPr>
        <w:lastRenderedPageBreak/>
        <w:t xml:space="preserve">specifically homosexual Muslims, a form through which the text can be re-interpreted to suit a modern day society, due to the emphasis on the ‘flexibility’ of God’s message. </w:t>
      </w:r>
    </w:p>
    <w:p w14:paraId="171E315A" w14:textId="6951BD17" w:rsidR="00F118E5" w:rsidRPr="004D0AEB" w:rsidRDefault="00F118E5" w:rsidP="00BD069B">
      <w:pPr>
        <w:spacing w:line="480" w:lineRule="auto"/>
        <w:rPr>
          <w:rFonts w:cstheme="minorHAnsi"/>
          <w:sz w:val="24"/>
          <w:szCs w:val="24"/>
        </w:rPr>
      </w:pPr>
      <w:r w:rsidRPr="004D0AEB">
        <w:rPr>
          <w:rFonts w:cstheme="minorHAnsi"/>
          <w:sz w:val="24"/>
          <w:szCs w:val="24"/>
        </w:rPr>
        <w:t xml:space="preserve">It is vital to draw upon Esack’s Liberation theory here, as he argues that a traditional view of the Qur’an during a modern </w:t>
      </w:r>
      <w:r w:rsidR="000E12A5" w:rsidRPr="004D0AEB">
        <w:rPr>
          <w:rFonts w:cstheme="minorHAnsi"/>
          <w:sz w:val="24"/>
          <w:szCs w:val="24"/>
        </w:rPr>
        <w:t>period</w:t>
      </w:r>
      <w:r w:rsidRPr="004D0AEB">
        <w:rPr>
          <w:rFonts w:cstheme="minorHAnsi"/>
          <w:sz w:val="24"/>
          <w:szCs w:val="24"/>
        </w:rPr>
        <w:t xml:space="preserve">, results in a juxtaposition (1997, p.100). Esack maintains that a traditional scriptural reading retains a hold over believers by reducing Islam to former rituals, and thus preventing and almost hindering Muslims to connect with the Qur’an in a modern-day society (1997, p.110). Esack maintains that a modern world is located in, and thus addresses itself, to the secular world, promoting Kugle’s principle here; that the Qur’an needs to be re-interpreted during the time it is being addressed, in order to encompass current Muslims and their situations. Esack’s </w:t>
      </w:r>
      <w:r w:rsidR="00C12C9A" w:rsidRPr="004D0AEB">
        <w:rPr>
          <w:rFonts w:cstheme="minorHAnsi"/>
          <w:sz w:val="24"/>
          <w:szCs w:val="24"/>
        </w:rPr>
        <w:t xml:space="preserve">reasoning </w:t>
      </w:r>
      <w:r w:rsidRPr="004D0AEB">
        <w:rPr>
          <w:rFonts w:cstheme="minorHAnsi"/>
          <w:sz w:val="24"/>
          <w:szCs w:val="24"/>
        </w:rPr>
        <w:t>of a flexible Quranic approach thus supports my argument here, for a homosexual reading, as, following Kugle’s principle, a traditional reading must be adapted under the social circumstances in which the Qur’an is being read (2010, p.42).</w:t>
      </w:r>
    </w:p>
    <w:p w14:paraId="7C580F13" w14:textId="463C2336" w:rsidR="00F118E5" w:rsidRPr="004D0AEB" w:rsidRDefault="00F118E5" w:rsidP="00BD069B">
      <w:pPr>
        <w:spacing w:line="480" w:lineRule="auto"/>
        <w:rPr>
          <w:rFonts w:cstheme="minorHAnsi"/>
          <w:sz w:val="24"/>
          <w:szCs w:val="24"/>
        </w:rPr>
      </w:pPr>
      <w:r w:rsidRPr="004D0AEB">
        <w:rPr>
          <w:rFonts w:cstheme="minorHAnsi"/>
          <w:sz w:val="24"/>
          <w:szCs w:val="24"/>
        </w:rPr>
        <w:t>Similarly,</w:t>
      </w:r>
      <w:r w:rsidR="0033596A" w:rsidRPr="004D0AEB">
        <w:rPr>
          <w:rFonts w:cstheme="minorHAnsi"/>
          <w:sz w:val="24"/>
          <w:szCs w:val="24"/>
        </w:rPr>
        <w:t xml:space="preserve"> Abdullah</w:t>
      </w:r>
      <w:r w:rsidRPr="004D0AEB">
        <w:rPr>
          <w:rFonts w:cstheme="minorHAnsi"/>
          <w:sz w:val="24"/>
          <w:szCs w:val="24"/>
        </w:rPr>
        <w:t xml:space="preserve"> Saeed discusses how significantly the contemporary world has changed from the one our forefathers knew, at an exceedingly fast pace (2006, p.2). Saeed maintains that a required effort is needed from all Muslims to interpret their scripture in terms of the changed perceptions and structures that have developed with the passing of time, specifically with the emphasis on human rights (2006, p.2). Saeed maintains that those who seek to retain the Quran’s scriptural development are adhering to pre-modern interpretations in the face of inexorable change (2006, p.2-3). As Saeed argues; “unless the issue of refocusing the interpretation of the Qur’an on contemporary circumstances is addressed…..Muslims will lose their connection to the Qur’an in a significant way” (2006, p.3). This once more supports Kugle’s Tool and Principle here </w:t>
      </w:r>
      <w:r w:rsidR="001C3391" w:rsidRPr="004D0AEB">
        <w:rPr>
          <w:rFonts w:cstheme="minorHAnsi"/>
          <w:sz w:val="24"/>
          <w:szCs w:val="24"/>
        </w:rPr>
        <w:t>regarding</w:t>
      </w:r>
      <w:r w:rsidRPr="004D0AEB">
        <w:rPr>
          <w:rFonts w:cstheme="minorHAnsi"/>
          <w:sz w:val="24"/>
          <w:szCs w:val="24"/>
        </w:rPr>
        <w:t xml:space="preserve"> Quranic flexibility in </w:t>
      </w:r>
      <w:r w:rsidRPr="004D0AEB">
        <w:rPr>
          <w:rFonts w:cstheme="minorHAnsi"/>
          <w:sz w:val="24"/>
          <w:szCs w:val="24"/>
        </w:rPr>
        <w:lastRenderedPageBreak/>
        <w:t>an ever-changing social world, thus supporting my argument; th</w:t>
      </w:r>
      <w:r w:rsidR="00380DB9" w:rsidRPr="004D0AEB">
        <w:rPr>
          <w:rFonts w:cstheme="minorHAnsi"/>
          <w:sz w:val="24"/>
          <w:szCs w:val="24"/>
        </w:rPr>
        <w:t>at the</w:t>
      </w:r>
      <w:r w:rsidRPr="004D0AEB">
        <w:rPr>
          <w:rFonts w:cstheme="minorHAnsi"/>
          <w:sz w:val="24"/>
          <w:szCs w:val="24"/>
        </w:rPr>
        <w:t xml:space="preserve"> recent emphasis on human equality must thus result in a religious development, offering a supportive lens for homosexuality. Through this interpretive acknowledgment, God’s message remains eternal, but one can acknowledge the flexibility of the message, which could encompass a homosexual supportive reading.</w:t>
      </w:r>
    </w:p>
    <w:p w14:paraId="594753BF" w14:textId="0AE4BA24" w:rsidR="00F118E5" w:rsidRPr="004D0AEB" w:rsidRDefault="00F118E5" w:rsidP="00BD069B">
      <w:pPr>
        <w:spacing w:line="480" w:lineRule="auto"/>
        <w:rPr>
          <w:rFonts w:cstheme="minorHAnsi"/>
          <w:sz w:val="24"/>
          <w:szCs w:val="24"/>
        </w:rPr>
      </w:pPr>
      <w:r w:rsidRPr="004D0AEB">
        <w:rPr>
          <w:rFonts w:cstheme="minorHAnsi"/>
          <w:sz w:val="24"/>
          <w:szCs w:val="24"/>
        </w:rPr>
        <w:t xml:space="preserve">The third tool of interpretative guidance to consider here is as follows; “embracing moral optimism, as our view of the Qur’an is shaped by our attitude towards life” (Kugle, p.42). This tool thus differs slightly from the two previously discussed, as it focuses on the individual itself, and their personal responsibility, rather than the holy scripture. This also ties in with two of Kugle’s principles; “all persons must pursue the highest spiritual aspiration for well-being” and “love is the goal; friendship, family or partner” (1997, p.41). I argue that this </w:t>
      </w:r>
      <w:r w:rsidR="003B675F" w:rsidRPr="004D0AEB">
        <w:rPr>
          <w:rFonts w:cstheme="minorHAnsi"/>
          <w:sz w:val="24"/>
          <w:szCs w:val="24"/>
        </w:rPr>
        <w:t>t</w:t>
      </w:r>
      <w:r w:rsidRPr="004D0AEB">
        <w:rPr>
          <w:rFonts w:cstheme="minorHAnsi"/>
          <w:sz w:val="24"/>
          <w:szCs w:val="24"/>
        </w:rPr>
        <w:t xml:space="preserve">ool and </w:t>
      </w:r>
      <w:r w:rsidR="003B675F" w:rsidRPr="004D0AEB">
        <w:rPr>
          <w:rFonts w:cstheme="minorHAnsi"/>
          <w:sz w:val="24"/>
          <w:szCs w:val="24"/>
        </w:rPr>
        <w:t>p</w:t>
      </w:r>
      <w:r w:rsidRPr="004D0AEB">
        <w:rPr>
          <w:rFonts w:cstheme="minorHAnsi"/>
          <w:sz w:val="24"/>
          <w:szCs w:val="24"/>
        </w:rPr>
        <w:t xml:space="preserve">rinciple could certainly aid a homosexual Quranic interpretation, as </w:t>
      </w:r>
      <w:r w:rsidR="003B675F" w:rsidRPr="004D0AEB">
        <w:rPr>
          <w:rFonts w:cstheme="minorHAnsi"/>
          <w:sz w:val="24"/>
          <w:szCs w:val="24"/>
        </w:rPr>
        <w:t>LGBT</w:t>
      </w:r>
      <w:r w:rsidRPr="004D0AEB">
        <w:rPr>
          <w:rFonts w:cstheme="minorHAnsi"/>
          <w:sz w:val="24"/>
          <w:szCs w:val="24"/>
        </w:rPr>
        <w:t xml:space="preserve"> Muslims could be encompassed through this lens of moral optimism, to support the well-being of all, with love being the central goal.</w:t>
      </w:r>
    </w:p>
    <w:p w14:paraId="2064AC5E" w14:textId="6D096FB5" w:rsidR="00F118E5" w:rsidRPr="004D0AEB" w:rsidRDefault="00326377" w:rsidP="00BD069B">
      <w:pPr>
        <w:spacing w:line="480" w:lineRule="auto"/>
        <w:rPr>
          <w:rFonts w:cstheme="minorHAnsi"/>
          <w:sz w:val="24"/>
          <w:szCs w:val="24"/>
        </w:rPr>
      </w:pPr>
      <w:r w:rsidRPr="004D0AEB">
        <w:rPr>
          <w:rFonts w:cstheme="minorHAnsi"/>
          <w:sz w:val="24"/>
          <w:szCs w:val="24"/>
        </w:rPr>
        <w:t xml:space="preserve">Ziauddin </w:t>
      </w:r>
      <w:r w:rsidR="00F118E5" w:rsidRPr="004D0AEB">
        <w:rPr>
          <w:rFonts w:cstheme="minorHAnsi"/>
          <w:sz w:val="24"/>
          <w:szCs w:val="24"/>
        </w:rPr>
        <w:t xml:space="preserve">Sardar also argues that the Qur’an must be interpreted in such a way which promotes well-being for all. He refers to each Muslim withholding a ‘God consciousness’, which one must use </w:t>
      </w:r>
      <w:r w:rsidRPr="004D0AEB">
        <w:rPr>
          <w:rFonts w:cstheme="minorHAnsi"/>
          <w:sz w:val="24"/>
          <w:szCs w:val="24"/>
        </w:rPr>
        <w:t>to</w:t>
      </w:r>
      <w:r w:rsidR="00F118E5" w:rsidRPr="004D0AEB">
        <w:rPr>
          <w:rFonts w:cstheme="minorHAnsi"/>
          <w:sz w:val="24"/>
          <w:szCs w:val="24"/>
        </w:rPr>
        <w:t xml:space="preserve"> promote a life based on justice (2011, p.74-75). As Sardar maintains; “God consciousness is a commitment to a way of living that is, or certainly should be, dedicated to care for justice, equity and the dignity and well-being of all” (2011, p.75). Sardar also maintains that in order for well-being to be meaningful, it must be transformative; therefore it must be lived and actively sought after, to correctly achieve the justice and dignity the Qur’an strives for and promotes (2011, p.74). Similarly, Esack argues that</w:t>
      </w:r>
      <w:r w:rsidR="006F7AC7" w:rsidRPr="004D0AEB">
        <w:rPr>
          <w:rFonts w:cstheme="minorHAnsi"/>
          <w:sz w:val="24"/>
          <w:szCs w:val="24"/>
        </w:rPr>
        <w:t xml:space="preserve"> </w:t>
      </w:r>
      <w:r w:rsidR="00F118E5" w:rsidRPr="004D0AEB">
        <w:rPr>
          <w:rFonts w:cstheme="minorHAnsi"/>
          <w:sz w:val="24"/>
          <w:szCs w:val="24"/>
        </w:rPr>
        <w:t>one arrives at belief through action, and thus, one must actively seek to promote well-</w:t>
      </w:r>
      <w:r w:rsidR="00F118E5" w:rsidRPr="004D0AEB">
        <w:rPr>
          <w:rFonts w:cstheme="minorHAnsi"/>
          <w:sz w:val="24"/>
          <w:szCs w:val="24"/>
        </w:rPr>
        <w:lastRenderedPageBreak/>
        <w:t>being for all, to liberate the oppressed (1997, p.107). I argue that Sardar and Esack enrich Kugle’s Tool and Principles here, w</w:t>
      </w:r>
      <w:r w:rsidR="006F7AC7" w:rsidRPr="004D0AEB">
        <w:rPr>
          <w:rFonts w:cstheme="minorHAnsi"/>
          <w:sz w:val="24"/>
          <w:szCs w:val="24"/>
        </w:rPr>
        <w:t>ith</w:t>
      </w:r>
      <w:r w:rsidR="00F118E5" w:rsidRPr="004D0AEB">
        <w:rPr>
          <w:rFonts w:cstheme="minorHAnsi"/>
          <w:sz w:val="24"/>
          <w:szCs w:val="24"/>
        </w:rPr>
        <w:t xml:space="preserve"> the emphasis on an active approach for justice, wh</w:t>
      </w:r>
      <w:r w:rsidR="006F7AC7" w:rsidRPr="004D0AEB">
        <w:rPr>
          <w:rFonts w:cstheme="minorHAnsi"/>
          <w:sz w:val="24"/>
          <w:szCs w:val="24"/>
        </w:rPr>
        <w:t>ilst</w:t>
      </w:r>
      <w:r w:rsidR="00F118E5" w:rsidRPr="004D0AEB">
        <w:rPr>
          <w:rFonts w:cstheme="minorHAnsi"/>
          <w:sz w:val="24"/>
          <w:szCs w:val="24"/>
        </w:rPr>
        <w:t xml:space="preserve"> also further supporting my argument; that this interpretive lens could </w:t>
      </w:r>
      <w:r w:rsidR="00311AAA" w:rsidRPr="004D0AEB">
        <w:rPr>
          <w:rFonts w:cstheme="minorHAnsi"/>
          <w:sz w:val="24"/>
          <w:szCs w:val="24"/>
        </w:rPr>
        <w:t>affirm</w:t>
      </w:r>
      <w:r w:rsidR="00F118E5" w:rsidRPr="004D0AEB">
        <w:rPr>
          <w:rFonts w:cstheme="minorHAnsi"/>
          <w:sz w:val="24"/>
          <w:szCs w:val="24"/>
        </w:rPr>
        <w:t xml:space="preserve"> a homosexual Quranic reading, as it questions the rigid traditional reading of condemnation, resulting in a more open interpretation, </w:t>
      </w:r>
      <w:r w:rsidR="00311AAA" w:rsidRPr="004D0AEB">
        <w:rPr>
          <w:rFonts w:cstheme="minorHAnsi"/>
          <w:sz w:val="24"/>
          <w:szCs w:val="24"/>
        </w:rPr>
        <w:t>centred around</w:t>
      </w:r>
      <w:r w:rsidR="00F118E5" w:rsidRPr="004D0AEB">
        <w:rPr>
          <w:rFonts w:cstheme="minorHAnsi"/>
          <w:sz w:val="24"/>
          <w:szCs w:val="24"/>
        </w:rPr>
        <w:t xml:space="preserve"> equity and love </w:t>
      </w:r>
      <w:r w:rsidR="00311AAA" w:rsidRPr="004D0AEB">
        <w:rPr>
          <w:rFonts w:cstheme="minorHAnsi"/>
          <w:sz w:val="24"/>
          <w:szCs w:val="24"/>
        </w:rPr>
        <w:t xml:space="preserve">as the </w:t>
      </w:r>
      <w:r w:rsidR="00F118E5" w:rsidRPr="004D0AEB">
        <w:rPr>
          <w:rFonts w:cstheme="minorHAnsi"/>
          <w:sz w:val="24"/>
          <w:szCs w:val="24"/>
        </w:rPr>
        <w:t>highe</w:t>
      </w:r>
      <w:r w:rsidR="00311AAA" w:rsidRPr="004D0AEB">
        <w:rPr>
          <w:rFonts w:cstheme="minorHAnsi"/>
          <w:sz w:val="24"/>
          <w:szCs w:val="24"/>
        </w:rPr>
        <w:t>st</w:t>
      </w:r>
      <w:r w:rsidR="00F118E5" w:rsidRPr="004D0AEB">
        <w:rPr>
          <w:rFonts w:cstheme="minorHAnsi"/>
          <w:sz w:val="24"/>
          <w:szCs w:val="24"/>
        </w:rPr>
        <w:t xml:space="preserve"> priority.</w:t>
      </w:r>
    </w:p>
    <w:p w14:paraId="51354DCA" w14:textId="5220623E" w:rsidR="00F118E5" w:rsidRPr="004D0AEB" w:rsidRDefault="00F118E5" w:rsidP="00BD069B">
      <w:pPr>
        <w:spacing w:line="480" w:lineRule="auto"/>
        <w:rPr>
          <w:rFonts w:cstheme="minorHAnsi"/>
          <w:sz w:val="24"/>
          <w:szCs w:val="24"/>
        </w:rPr>
      </w:pPr>
      <w:r w:rsidRPr="004D0AEB">
        <w:rPr>
          <w:rFonts w:cstheme="minorHAnsi"/>
          <w:sz w:val="24"/>
          <w:szCs w:val="24"/>
        </w:rPr>
        <w:t>Following the above analysis, I argue that these three principles and tools can certainly be applied to the Qur’an to support a possible homosexual reading</w:t>
      </w:r>
      <w:r w:rsidR="00974D6C" w:rsidRPr="004D0AEB">
        <w:rPr>
          <w:rFonts w:cstheme="minorHAnsi"/>
          <w:sz w:val="24"/>
          <w:szCs w:val="24"/>
        </w:rPr>
        <w:t>, therefore</w:t>
      </w:r>
      <w:r w:rsidRPr="004D0AEB">
        <w:rPr>
          <w:rFonts w:cstheme="minorHAnsi"/>
          <w:sz w:val="24"/>
          <w:szCs w:val="24"/>
        </w:rPr>
        <w:t>. However, I acknowledge that one could argue that I merely chose these three tools and principles of Kugle’s to purposefully support</w:t>
      </w:r>
      <w:r w:rsidR="00974D6C" w:rsidRPr="004D0AEB">
        <w:rPr>
          <w:rFonts w:cstheme="minorHAnsi"/>
          <w:sz w:val="24"/>
          <w:szCs w:val="24"/>
        </w:rPr>
        <w:t xml:space="preserve"> a </w:t>
      </w:r>
      <w:r w:rsidRPr="004D0AEB">
        <w:rPr>
          <w:rFonts w:cstheme="minorHAnsi"/>
          <w:sz w:val="24"/>
          <w:szCs w:val="24"/>
        </w:rPr>
        <w:t>potential homosexual interpretation. Therefore</w:t>
      </w:r>
      <w:r w:rsidR="00974D6C" w:rsidRPr="004D0AEB">
        <w:rPr>
          <w:rFonts w:cstheme="minorHAnsi"/>
          <w:sz w:val="24"/>
          <w:szCs w:val="24"/>
        </w:rPr>
        <w:t>,</w:t>
      </w:r>
      <w:r w:rsidRPr="004D0AEB">
        <w:rPr>
          <w:rFonts w:cstheme="minorHAnsi"/>
          <w:sz w:val="24"/>
          <w:szCs w:val="24"/>
        </w:rPr>
        <w:t xml:space="preserve"> it is </w:t>
      </w:r>
      <w:r w:rsidR="00974D6C" w:rsidRPr="004D0AEB">
        <w:rPr>
          <w:rFonts w:cstheme="minorHAnsi"/>
          <w:sz w:val="24"/>
          <w:szCs w:val="24"/>
        </w:rPr>
        <w:t>vital</w:t>
      </w:r>
      <w:r w:rsidRPr="004D0AEB">
        <w:rPr>
          <w:rFonts w:cstheme="minorHAnsi"/>
          <w:sz w:val="24"/>
          <w:szCs w:val="24"/>
        </w:rPr>
        <w:t xml:space="preserve"> to briefly examine these tools and principles in terms of a broader Quranic reading here</w:t>
      </w:r>
      <w:r w:rsidR="00911B78" w:rsidRPr="004D0AEB">
        <w:rPr>
          <w:rFonts w:cstheme="minorHAnsi"/>
          <w:sz w:val="24"/>
          <w:szCs w:val="24"/>
        </w:rPr>
        <w:t>,</w:t>
      </w:r>
      <w:r w:rsidRPr="004D0AEB">
        <w:rPr>
          <w:rFonts w:cstheme="minorHAnsi"/>
          <w:sz w:val="24"/>
          <w:szCs w:val="24"/>
        </w:rPr>
        <w:t xml:space="preserve"> as I argue that they could be applied to support any interpretive </w:t>
      </w:r>
      <w:r w:rsidR="00911B78" w:rsidRPr="004D0AEB">
        <w:rPr>
          <w:rFonts w:cstheme="minorHAnsi"/>
          <w:sz w:val="24"/>
          <w:szCs w:val="24"/>
        </w:rPr>
        <w:t>approach</w:t>
      </w:r>
      <w:r w:rsidRPr="004D0AEB">
        <w:rPr>
          <w:rFonts w:cstheme="minorHAnsi"/>
          <w:sz w:val="24"/>
          <w:szCs w:val="24"/>
        </w:rPr>
        <w:t>; not merely a homosexual one. I argue that Kugle’s tools and principles here</w:t>
      </w:r>
      <w:r w:rsidR="00911B78" w:rsidRPr="004D0AEB">
        <w:rPr>
          <w:rFonts w:cstheme="minorHAnsi"/>
          <w:sz w:val="24"/>
          <w:szCs w:val="24"/>
        </w:rPr>
        <w:t xml:space="preserve"> </w:t>
      </w:r>
      <w:r w:rsidRPr="004D0AEB">
        <w:rPr>
          <w:rFonts w:cstheme="minorHAnsi"/>
          <w:sz w:val="24"/>
          <w:szCs w:val="24"/>
        </w:rPr>
        <w:t>represent the Qur’ans core teaching</w:t>
      </w:r>
      <w:r w:rsidR="009E43C8" w:rsidRPr="004D0AEB">
        <w:rPr>
          <w:rFonts w:cstheme="minorHAnsi"/>
          <w:sz w:val="24"/>
          <w:szCs w:val="24"/>
        </w:rPr>
        <w:t>s globally</w:t>
      </w:r>
      <w:r w:rsidRPr="004D0AEB">
        <w:rPr>
          <w:rFonts w:cstheme="minorHAnsi"/>
          <w:sz w:val="24"/>
          <w:szCs w:val="24"/>
        </w:rPr>
        <w:t>, and so no matter who</w:t>
      </w:r>
      <w:r w:rsidR="009E43C8" w:rsidRPr="004D0AEB">
        <w:rPr>
          <w:rFonts w:cstheme="minorHAnsi"/>
          <w:sz w:val="24"/>
          <w:szCs w:val="24"/>
        </w:rPr>
        <w:t xml:space="preserve"> may</w:t>
      </w:r>
      <w:r w:rsidRPr="004D0AEB">
        <w:rPr>
          <w:rFonts w:cstheme="minorHAnsi"/>
          <w:sz w:val="24"/>
          <w:szCs w:val="24"/>
        </w:rPr>
        <w:t xml:space="preserve"> approach the text, these tools and principles will be applicable.</w:t>
      </w:r>
    </w:p>
    <w:p w14:paraId="04F62EB4" w14:textId="636224F7" w:rsidR="00F118E5" w:rsidRPr="004D0AEB" w:rsidRDefault="00F118E5" w:rsidP="00BD069B">
      <w:pPr>
        <w:spacing w:line="480" w:lineRule="auto"/>
        <w:rPr>
          <w:rFonts w:cstheme="minorHAnsi"/>
          <w:sz w:val="24"/>
          <w:szCs w:val="24"/>
        </w:rPr>
      </w:pPr>
      <w:r w:rsidRPr="004D0AEB">
        <w:rPr>
          <w:rFonts w:cstheme="minorHAnsi"/>
          <w:sz w:val="24"/>
          <w:szCs w:val="24"/>
        </w:rPr>
        <w:t xml:space="preserve">A key example of this is portrayed in Kugle’s third principle discussed here; the promotion of well-being and love as a central goal. This belief is undoubtably pivotal in the Qur’an, highlighted, for example in Surah 16:91; </w:t>
      </w:r>
      <w:r w:rsidRPr="004D0AEB">
        <w:rPr>
          <w:rFonts w:cstheme="minorHAnsi"/>
          <w:i/>
          <w:iCs/>
          <w:sz w:val="24"/>
          <w:szCs w:val="24"/>
        </w:rPr>
        <w:t>“Allah enjoins justice, and the doing of good to others</w:t>
      </w:r>
      <w:r w:rsidRPr="004D0AEB">
        <w:rPr>
          <w:rFonts w:cstheme="minorHAnsi"/>
          <w:sz w:val="24"/>
          <w:szCs w:val="24"/>
        </w:rPr>
        <w:t xml:space="preserve">”, Surah 16:129; </w:t>
      </w:r>
      <w:r w:rsidRPr="004D0AEB">
        <w:rPr>
          <w:rFonts w:cstheme="minorHAnsi"/>
          <w:i/>
          <w:iCs/>
          <w:sz w:val="24"/>
          <w:szCs w:val="24"/>
        </w:rPr>
        <w:t>“Allah is with those who are righteous and those who do good</w:t>
      </w:r>
      <w:r w:rsidRPr="004D0AEB">
        <w:rPr>
          <w:rFonts w:cstheme="minorHAnsi"/>
          <w:sz w:val="24"/>
          <w:szCs w:val="24"/>
        </w:rPr>
        <w:t xml:space="preserve">” and Surah 55:61; </w:t>
      </w:r>
      <w:r w:rsidRPr="004D0AEB">
        <w:rPr>
          <w:rFonts w:cstheme="minorHAnsi"/>
          <w:i/>
          <w:iCs/>
          <w:sz w:val="24"/>
          <w:szCs w:val="24"/>
        </w:rPr>
        <w:t>“the reward of goodness is nothing but goodness”.</w:t>
      </w:r>
      <w:r w:rsidRPr="004D0AEB">
        <w:rPr>
          <w:rFonts w:cstheme="minorHAnsi"/>
          <w:sz w:val="24"/>
          <w:szCs w:val="24"/>
        </w:rPr>
        <w:t xml:space="preserve"> This highlights just three examples in which </w:t>
      </w:r>
      <w:r w:rsidR="00D962C2" w:rsidRPr="004D0AEB">
        <w:rPr>
          <w:rFonts w:cstheme="minorHAnsi"/>
          <w:sz w:val="24"/>
          <w:szCs w:val="24"/>
        </w:rPr>
        <w:t>love,</w:t>
      </w:r>
      <w:r w:rsidRPr="004D0AEB">
        <w:rPr>
          <w:rFonts w:cstheme="minorHAnsi"/>
          <w:sz w:val="24"/>
          <w:szCs w:val="24"/>
        </w:rPr>
        <w:t xml:space="preserve"> and well-being is placed at the heart of Quranic teachings, supporting my argument; that Kugle’s tools and principles support </w:t>
      </w:r>
      <w:r w:rsidR="00873BD7" w:rsidRPr="004D0AEB">
        <w:rPr>
          <w:rFonts w:cstheme="minorHAnsi"/>
          <w:sz w:val="24"/>
          <w:szCs w:val="24"/>
        </w:rPr>
        <w:t xml:space="preserve">the general, </w:t>
      </w:r>
      <w:r w:rsidRPr="004D0AEB">
        <w:rPr>
          <w:rFonts w:cstheme="minorHAnsi"/>
          <w:sz w:val="24"/>
          <w:szCs w:val="24"/>
        </w:rPr>
        <w:t xml:space="preserve">core Quranic teaching. Similarly, Kugle’s ethic of pluralism appears evident as a central Quranic principle, seen in Surah 30:30; </w:t>
      </w:r>
      <w:r w:rsidRPr="004D0AEB">
        <w:rPr>
          <w:rFonts w:cstheme="minorHAnsi"/>
          <w:i/>
          <w:iCs/>
          <w:sz w:val="24"/>
          <w:szCs w:val="24"/>
        </w:rPr>
        <w:t xml:space="preserve">“According to the original nature upon which God based humanity, for </w:t>
      </w:r>
      <w:r w:rsidRPr="004D0AEB">
        <w:rPr>
          <w:rFonts w:cstheme="minorHAnsi"/>
          <w:i/>
          <w:iCs/>
          <w:sz w:val="24"/>
          <w:szCs w:val="24"/>
        </w:rPr>
        <w:lastRenderedPageBreak/>
        <w:t xml:space="preserve">there is no changing the creation of God". </w:t>
      </w:r>
      <w:r w:rsidRPr="004D0AEB">
        <w:rPr>
          <w:rFonts w:cstheme="minorHAnsi"/>
          <w:sz w:val="24"/>
          <w:szCs w:val="24"/>
        </w:rPr>
        <w:t xml:space="preserve">Here, diversity is stressed as God’s will, whilst similarly, in Surah 2:286; </w:t>
      </w:r>
      <w:r w:rsidRPr="004D0AEB">
        <w:rPr>
          <w:rFonts w:cstheme="minorHAnsi"/>
          <w:i/>
          <w:iCs/>
          <w:sz w:val="24"/>
          <w:szCs w:val="24"/>
        </w:rPr>
        <w:t>“God does not make persons responsible for what is beyond their capacity”</w:t>
      </w:r>
      <w:r w:rsidRPr="004D0AEB">
        <w:rPr>
          <w:rFonts w:cstheme="minorHAnsi"/>
          <w:sz w:val="24"/>
          <w:szCs w:val="24"/>
        </w:rPr>
        <w:t>, the concept of strength and endurance is stressed as a key feature of humanity. This once again reflects Kugle’s principles, justifying my argument; I did not purposefully choose principles that would support a homosexual reading, as arguably, they reflect a true Quranic interpretation, nevertheless.</w:t>
      </w:r>
    </w:p>
    <w:p w14:paraId="22A7D589" w14:textId="7CA5E6A4" w:rsidR="00F118E5" w:rsidRPr="004D0AEB" w:rsidRDefault="00F118E5" w:rsidP="00BD069B">
      <w:pPr>
        <w:spacing w:line="480" w:lineRule="auto"/>
        <w:rPr>
          <w:rFonts w:cstheme="minorHAnsi"/>
          <w:sz w:val="24"/>
          <w:szCs w:val="24"/>
        </w:rPr>
      </w:pPr>
      <w:r w:rsidRPr="004D0AEB">
        <w:rPr>
          <w:rFonts w:cstheme="minorHAnsi"/>
          <w:sz w:val="24"/>
          <w:szCs w:val="24"/>
        </w:rPr>
        <w:t>This brief examination highlights that although Kugle’s tools and principles may be applied to support a homosexual reading therefore,</w:t>
      </w:r>
      <w:r w:rsidR="00CA485D" w:rsidRPr="004D0AEB">
        <w:rPr>
          <w:rFonts w:cstheme="minorHAnsi"/>
          <w:sz w:val="24"/>
          <w:szCs w:val="24"/>
        </w:rPr>
        <w:t xml:space="preserve"> that was not my intended purpose</w:t>
      </w:r>
      <w:r w:rsidRPr="004D0AEB">
        <w:rPr>
          <w:rFonts w:cstheme="minorHAnsi"/>
          <w:sz w:val="24"/>
          <w:szCs w:val="24"/>
        </w:rPr>
        <w:t xml:space="preserve">. Rather, I not only argue that these interpretive tools represent a general Quranic teaching regardless, </w:t>
      </w:r>
      <w:r w:rsidR="007F6C81" w:rsidRPr="004D0AEB">
        <w:rPr>
          <w:rFonts w:cstheme="minorHAnsi"/>
          <w:sz w:val="24"/>
          <w:szCs w:val="24"/>
        </w:rPr>
        <w:t xml:space="preserve">I also maintains that </w:t>
      </w:r>
      <w:r w:rsidRPr="004D0AEB">
        <w:rPr>
          <w:rFonts w:cstheme="minorHAnsi"/>
          <w:sz w:val="24"/>
          <w:szCs w:val="24"/>
        </w:rPr>
        <w:t xml:space="preserve">it is </w:t>
      </w:r>
      <w:r w:rsidRPr="004D0AEB">
        <w:rPr>
          <w:rFonts w:cstheme="minorHAnsi"/>
          <w:i/>
          <w:iCs/>
          <w:sz w:val="24"/>
          <w:szCs w:val="24"/>
        </w:rPr>
        <w:t xml:space="preserve">how </w:t>
      </w:r>
      <w:r w:rsidRPr="004D0AEB">
        <w:rPr>
          <w:rFonts w:cstheme="minorHAnsi"/>
          <w:sz w:val="24"/>
          <w:szCs w:val="24"/>
        </w:rPr>
        <w:t xml:space="preserve">I have used these interpretive tools, and how I have applied them to </w:t>
      </w:r>
      <w:r w:rsidR="005D4088" w:rsidRPr="004D0AEB">
        <w:rPr>
          <w:rFonts w:cstheme="minorHAnsi"/>
          <w:sz w:val="24"/>
          <w:szCs w:val="24"/>
        </w:rPr>
        <w:t>my analysis.</w:t>
      </w:r>
      <w:r w:rsidRPr="004D0AEB">
        <w:rPr>
          <w:rFonts w:cstheme="minorHAnsi"/>
          <w:sz w:val="24"/>
          <w:szCs w:val="24"/>
        </w:rPr>
        <w:t xml:space="preserve"> The Quranic quotes discussed above are unquestionably core teachings, however each Muslim will have their own interpretation </w:t>
      </w:r>
      <w:r w:rsidR="005D4088" w:rsidRPr="004D0AEB">
        <w:rPr>
          <w:rFonts w:cstheme="minorHAnsi"/>
          <w:sz w:val="24"/>
          <w:szCs w:val="24"/>
        </w:rPr>
        <w:t xml:space="preserve">and application </w:t>
      </w:r>
      <w:r w:rsidRPr="004D0AEB">
        <w:rPr>
          <w:rFonts w:cstheme="minorHAnsi"/>
          <w:sz w:val="24"/>
          <w:szCs w:val="24"/>
        </w:rPr>
        <w:t>of them, resulting in a perspective</w:t>
      </w:r>
      <w:r w:rsidR="001E7EAC" w:rsidRPr="004D0AEB">
        <w:rPr>
          <w:rFonts w:cstheme="minorHAnsi"/>
          <w:sz w:val="24"/>
          <w:szCs w:val="24"/>
        </w:rPr>
        <w:t xml:space="preserve"> differentiation</w:t>
      </w:r>
      <w:r w:rsidRPr="004D0AEB">
        <w:rPr>
          <w:rFonts w:cstheme="minorHAnsi"/>
          <w:sz w:val="24"/>
          <w:szCs w:val="24"/>
        </w:rPr>
        <w:t>. As Esack maintains; every individual approaches the Qur’an with a bias mindset, and so each will inadvertently interpret the scripture based on their personal background (1997, p.82). I have applied these tools and principles to argue for a supportive homosexual reading, however these concepts are clearly open to contrasting interpretation</w:t>
      </w:r>
      <w:r w:rsidR="001E7EAC" w:rsidRPr="004D0AEB">
        <w:rPr>
          <w:rFonts w:cstheme="minorHAnsi"/>
          <w:sz w:val="24"/>
          <w:szCs w:val="24"/>
        </w:rPr>
        <w:t>s</w:t>
      </w:r>
      <w:r w:rsidRPr="004D0AEB">
        <w:rPr>
          <w:rFonts w:cstheme="minorHAnsi"/>
          <w:sz w:val="24"/>
          <w:szCs w:val="24"/>
        </w:rPr>
        <w:t>, depending on the interpreter. It cannot be contested that any interpretation will be an ambiguous and complicated task, and its complexity has certainly been highlighted here, however, overall, I argue that the three tools and principles discussed here can successfully be applied as an interpretive lens to support a homosexual reading, whilst also</w:t>
      </w:r>
      <w:r w:rsidR="00B666CE" w:rsidRPr="004D0AEB">
        <w:rPr>
          <w:rFonts w:cstheme="minorHAnsi"/>
          <w:sz w:val="24"/>
          <w:szCs w:val="24"/>
        </w:rPr>
        <w:t xml:space="preserve"> remaining</w:t>
      </w:r>
      <w:r w:rsidRPr="004D0AEB">
        <w:rPr>
          <w:rFonts w:cstheme="minorHAnsi"/>
          <w:sz w:val="24"/>
          <w:szCs w:val="24"/>
        </w:rPr>
        <w:t xml:space="preserve"> securely </w:t>
      </w:r>
      <w:r w:rsidR="00B666CE" w:rsidRPr="004D0AEB">
        <w:rPr>
          <w:rFonts w:cstheme="minorHAnsi"/>
          <w:sz w:val="24"/>
          <w:szCs w:val="24"/>
        </w:rPr>
        <w:t>within the scriptural</w:t>
      </w:r>
      <w:r w:rsidRPr="004D0AEB">
        <w:rPr>
          <w:rFonts w:cstheme="minorHAnsi"/>
          <w:sz w:val="24"/>
          <w:szCs w:val="24"/>
        </w:rPr>
        <w:t xml:space="preserve"> teachings</w:t>
      </w:r>
      <w:r w:rsidR="00B666CE" w:rsidRPr="004D0AEB">
        <w:rPr>
          <w:rFonts w:cstheme="minorHAnsi"/>
          <w:sz w:val="24"/>
          <w:szCs w:val="24"/>
        </w:rPr>
        <w:t xml:space="preserve">. </w:t>
      </w:r>
      <w:r w:rsidRPr="004D0AEB">
        <w:rPr>
          <w:rFonts w:cstheme="minorHAnsi"/>
          <w:sz w:val="24"/>
          <w:szCs w:val="24"/>
        </w:rPr>
        <w:t>This thus leads into the next chapter; an analysis and examination of Lot’s parable; the central passage of interest concerning homosexuality and Islam.</w:t>
      </w:r>
    </w:p>
    <w:p w14:paraId="1BB7A191" w14:textId="77777777" w:rsidR="00F118E5" w:rsidRPr="004D0AEB" w:rsidRDefault="00F118E5" w:rsidP="00BD069B">
      <w:pPr>
        <w:spacing w:line="480" w:lineRule="auto"/>
        <w:jc w:val="center"/>
        <w:rPr>
          <w:rFonts w:cstheme="minorHAnsi"/>
          <w:b/>
          <w:bCs/>
          <w:sz w:val="32"/>
          <w:szCs w:val="32"/>
        </w:rPr>
      </w:pPr>
      <w:r w:rsidRPr="004D0AEB">
        <w:rPr>
          <w:rFonts w:cstheme="minorHAnsi"/>
          <w:b/>
          <w:bCs/>
          <w:sz w:val="32"/>
          <w:szCs w:val="32"/>
        </w:rPr>
        <w:lastRenderedPageBreak/>
        <w:t>CHAPTER 4</w:t>
      </w:r>
    </w:p>
    <w:p w14:paraId="6EBE0560" w14:textId="77777777" w:rsidR="00F118E5" w:rsidRPr="004D0AEB" w:rsidRDefault="00F118E5" w:rsidP="00BD069B">
      <w:pPr>
        <w:spacing w:line="480" w:lineRule="auto"/>
        <w:jc w:val="center"/>
        <w:rPr>
          <w:rFonts w:cstheme="minorHAnsi"/>
          <w:b/>
          <w:bCs/>
          <w:sz w:val="32"/>
          <w:szCs w:val="32"/>
        </w:rPr>
      </w:pPr>
      <w:r w:rsidRPr="004D0AEB">
        <w:rPr>
          <w:rFonts w:cstheme="minorHAnsi"/>
          <w:b/>
          <w:bCs/>
          <w:sz w:val="32"/>
          <w:szCs w:val="32"/>
        </w:rPr>
        <w:t>ANALYSING THE STORY OF LOT</w:t>
      </w:r>
    </w:p>
    <w:p w14:paraId="0AE11B94" w14:textId="77777777" w:rsidR="00F118E5" w:rsidRPr="004D0AEB" w:rsidRDefault="00F118E5" w:rsidP="00BD069B">
      <w:pPr>
        <w:spacing w:line="480" w:lineRule="auto"/>
        <w:rPr>
          <w:rFonts w:cstheme="minorHAnsi"/>
          <w:sz w:val="24"/>
          <w:szCs w:val="24"/>
          <w:u w:val="single"/>
        </w:rPr>
      </w:pPr>
    </w:p>
    <w:p w14:paraId="78EBBF39" w14:textId="0044222B" w:rsidR="00F118E5" w:rsidRPr="004D0AEB" w:rsidRDefault="00F118E5" w:rsidP="00BD069B">
      <w:pPr>
        <w:spacing w:line="480" w:lineRule="auto"/>
        <w:rPr>
          <w:rFonts w:cstheme="minorHAnsi"/>
          <w:sz w:val="24"/>
          <w:szCs w:val="24"/>
        </w:rPr>
      </w:pPr>
      <w:r w:rsidRPr="004D0AEB">
        <w:rPr>
          <w:rFonts w:cstheme="minorHAnsi"/>
          <w:sz w:val="24"/>
          <w:szCs w:val="24"/>
        </w:rPr>
        <w:t>This thesis argues that a homosexual reading of the Qur’an can be supported and is entirely legitimate within Islam. Thus far, an examination of homosexuality throughout Islamic history has been conducted, along with an analysis of Sharia law, and the complex principles behind scriptural interpretation. This chapter proceeds to narrowly focus on one Quranic passage; the Story of Lot; in which the Islamic homosexual debate derives. Traditionally, Lot’s parable represents the Islamic condemnation of homosexuality, and is thus used to justify same-sex retribution (Murray and Roscoe, 1997, p.88). The classic interpretation stresses that Lot’s tribe were damned from the heavens due to participation in same-sex acts, resulting in the prohibition of homosexuality (Kugle, 2010, p. p.50). This chapter will thus analyse this classic interpretation, examining both its wealth and critiques, whilst also exploring an open homosexual interpretation, to support a same-sex reading. In addition, this chapter will also highlight other key concepts and the impact they have on a potential homosexual interpretive lens, such as, the Qur’ans lack of sexuality definitions</w:t>
      </w:r>
      <w:r w:rsidRPr="004D0AEB">
        <w:rPr>
          <w:rStyle w:val="FootnoteReference"/>
          <w:rFonts w:cstheme="minorHAnsi"/>
          <w:sz w:val="24"/>
          <w:szCs w:val="24"/>
        </w:rPr>
        <w:footnoteReference w:id="35"/>
      </w:r>
      <w:r w:rsidRPr="004D0AEB">
        <w:rPr>
          <w:rFonts w:cstheme="minorHAnsi"/>
          <w:sz w:val="24"/>
          <w:szCs w:val="24"/>
        </w:rPr>
        <w:t>, Lot’s Story narration</w:t>
      </w:r>
      <w:r w:rsidRPr="004D0AEB">
        <w:rPr>
          <w:rStyle w:val="FootnoteReference"/>
          <w:rFonts w:cstheme="minorHAnsi"/>
          <w:sz w:val="24"/>
          <w:szCs w:val="24"/>
        </w:rPr>
        <w:footnoteReference w:id="36"/>
      </w:r>
      <w:r w:rsidRPr="004D0AEB">
        <w:rPr>
          <w:rFonts w:cstheme="minorHAnsi"/>
          <w:sz w:val="24"/>
          <w:szCs w:val="24"/>
        </w:rPr>
        <w:t>, and the issue of lesbianism</w:t>
      </w:r>
      <w:r w:rsidRPr="004D0AEB">
        <w:rPr>
          <w:rStyle w:val="FootnoteReference"/>
          <w:rFonts w:cstheme="minorHAnsi"/>
          <w:sz w:val="24"/>
          <w:szCs w:val="24"/>
        </w:rPr>
        <w:footnoteReference w:id="37"/>
      </w:r>
      <w:r w:rsidRPr="004D0AEB">
        <w:rPr>
          <w:rFonts w:cstheme="minorHAnsi"/>
          <w:sz w:val="24"/>
          <w:szCs w:val="24"/>
        </w:rPr>
        <w:t>.</w:t>
      </w:r>
    </w:p>
    <w:p w14:paraId="0713F255" w14:textId="77777777" w:rsidR="00F118E5" w:rsidRPr="004D0AEB" w:rsidRDefault="00F118E5" w:rsidP="00BD069B">
      <w:pPr>
        <w:spacing w:line="480" w:lineRule="auto"/>
        <w:rPr>
          <w:rFonts w:cstheme="minorHAnsi"/>
          <w:sz w:val="24"/>
          <w:szCs w:val="24"/>
        </w:rPr>
      </w:pPr>
    </w:p>
    <w:p w14:paraId="23446DD7" w14:textId="77777777" w:rsidR="00F118E5" w:rsidRPr="004D0AEB" w:rsidRDefault="00F118E5" w:rsidP="00BD069B">
      <w:pPr>
        <w:spacing w:line="480" w:lineRule="auto"/>
        <w:rPr>
          <w:rFonts w:cstheme="minorHAnsi"/>
          <w:b/>
          <w:bCs/>
          <w:sz w:val="24"/>
          <w:szCs w:val="24"/>
        </w:rPr>
      </w:pPr>
      <w:r w:rsidRPr="004D0AEB">
        <w:rPr>
          <w:rFonts w:cstheme="minorHAnsi"/>
          <w:b/>
          <w:bCs/>
          <w:sz w:val="24"/>
          <w:szCs w:val="24"/>
        </w:rPr>
        <w:lastRenderedPageBreak/>
        <w:t>The Qur’an and sexuality</w:t>
      </w:r>
    </w:p>
    <w:p w14:paraId="1336851C" w14:textId="77777777" w:rsidR="00F118E5" w:rsidRPr="004D0AEB" w:rsidRDefault="00F118E5" w:rsidP="00BD069B">
      <w:pPr>
        <w:spacing w:line="480" w:lineRule="auto"/>
        <w:rPr>
          <w:rFonts w:cstheme="minorHAnsi"/>
          <w:sz w:val="24"/>
          <w:szCs w:val="24"/>
          <w:u w:val="single"/>
        </w:rPr>
      </w:pPr>
      <w:r w:rsidRPr="004D0AEB">
        <w:rPr>
          <w:rFonts w:cstheme="minorHAnsi"/>
          <w:sz w:val="24"/>
          <w:szCs w:val="24"/>
        </w:rPr>
        <w:t xml:space="preserve">It cannot be denied that the Qur’an addresses a heterosexual audience, however, logically, this can be explained (Hendricks, 2010, p.37). Firstly, during the period in which the Qur’an was relayed, heterosexual Muslims constituted most of the community, resulting in the Islamic holy text naturally addressing them specifically. Secondly, whilst heterosexual relationships are held at the utmost importance throughout Islam nowadays due to the significance of procreation, during this historical period, it can be understood that procreation was deemed as almost essential, due to the early Muslim community being so small and thus under considerable threat (Kugle, 2010, p.50). However, as, Hendricks maintains; the lack of sexual definitions within the Qur’an has had a significant influence in justifying homosexual dismissal, due to this void address (2010, p.37). </w:t>
      </w:r>
    </w:p>
    <w:p w14:paraId="2D9D38E6" w14:textId="77777777" w:rsidR="00F118E5" w:rsidRPr="004D0AEB" w:rsidRDefault="00F118E5" w:rsidP="00BD069B">
      <w:pPr>
        <w:spacing w:line="480" w:lineRule="auto"/>
        <w:rPr>
          <w:rFonts w:cstheme="minorHAnsi"/>
          <w:sz w:val="24"/>
          <w:szCs w:val="24"/>
        </w:rPr>
      </w:pPr>
      <w:r w:rsidRPr="004D0AEB">
        <w:rPr>
          <w:rFonts w:cstheme="minorHAnsi"/>
          <w:sz w:val="24"/>
          <w:szCs w:val="24"/>
        </w:rPr>
        <w:t>Nevertheless, although this general heterosexual address of the Qur’an portrays homosexuality as a non-existent concept, it must be acknowledged that the Qur’an severely lacks in terms of any sexual definition</w:t>
      </w:r>
      <w:r w:rsidRPr="004D0AEB">
        <w:rPr>
          <w:rStyle w:val="FootnoteReference"/>
          <w:rFonts w:cstheme="minorHAnsi"/>
          <w:sz w:val="24"/>
          <w:szCs w:val="24"/>
        </w:rPr>
        <w:footnoteReference w:id="38"/>
      </w:r>
      <w:r w:rsidRPr="004D0AEB">
        <w:rPr>
          <w:rFonts w:cstheme="minorHAnsi"/>
          <w:sz w:val="24"/>
          <w:szCs w:val="24"/>
        </w:rPr>
        <w:t xml:space="preserve">. The specific term ‘heterosexual’ is not used in the Qur’an, and neither are terms such as ‘bisexual’ or ‘homosexual’, or any other label which is classified under the scope of ‘human sexuality’ (Hendricks, 2010, p.37). I thus argue that although the Qur’an does address a heterosexual audience and is largely silent concerning any form of non-heterosexual sex, it cannot automatically imply condemnation of the latter. Lack of definition or form of address is not an ample stance of complete dismissal. However, arguably, this lack of definitions and address concerning sexuality has provided an instant basis for traditional interpreters to view homosexuality as a concept within which the </w:t>
      </w:r>
      <w:r w:rsidRPr="004D0AEB">
        <w:rPr>
          <w:rFonts w:cstheme="minorHAnsi"/>
          <w:sz w:val="24"/>
          <w:szCs w:val="24"/>
        </w:rPr>
        <w:lastRenderedPageBreak/>
        <w:t>Qur’an dismisses, justifying a classic interpretation of homosexual condemnation, whilst hindering a supportive same sex reading.</w:t>
      </w:r>
    </w:p>
    <w:p w14:paraId="039C8C1A" w14:textId="77777777" w:rsidR="00F118E5" w:rsidRPr="004D0AEB" w:rsidRDefault="00F118E5" w:rsidP="00BD069B">
      <w:pPr>
        <w:spacing w:line="480" w:lineRule="auto"/>
        <w:rPr>
          <w:rFonts w:cstheme="minorHAnsi"/>
          <w:sz w:val="24"/>
          <w:szCs w:val="24"/>
        </w:rPr>
      </w:pPr>
    </w:p>
    <w:p w14:paraId="27B76BEE" w14:textId="77777777" w:rsidR="00F118E5" w:rsidRPr="004D0AEB" w:rsidRDefault="00F118E5" w:rsidP="00BD069B">
      <w:pPr>
        <w:spacing w:line="480" w:lineRule="auto"/>
        <w:rPr>
          <w:rFonts w:cstheme="minorHAnsi"/>
          <w:b/>
          <w:bCs/>
          <w:sz w:val="24"/>
          <w:szCs w:val="24"/>
        </w:rPr>
      </w:pPr>
      <w:r w:rsidRPr="004D0AEB">
        <w:rPr>
          <w:rFonts w:cstheme="minorHAnsi"/>
          <w:b/>
          <w:bCs/>
          <w:sz w:val="24"/>
          <w:szCs w:val="24"/>
        </w:rPr>
        <w:t>The Story of Lot</w:t>
      </w:r>
    </w:p>
    <w:p w14:paraId="42B462ED" w14:textId="77777777" w:rsidR="00F118E5" w:rsidRPr="004D0AEB" w:rsidRDefault="00F118E5" w:rsidP="00BD069B">
      <w:pPr>
        <w:spacing w:line="480" w:lineRule="auto"/>
        <w:rPr>
          <w:rFonts w:cstheme="minorHAnsi"/>
          <w:sz w:val="24"/>
          <w:szCs w:val="24"/>
        </w:rPr>
      </w:pPr>
      <w:r w:rsidRPr="004D0AEB">
        <w:rPr>
          <w:rFonts w:cstheme="minorHAnsi"/>
          <w:sz w:val="24"/>
          <w:szCs w:val="24"/>
        </w:rPr>
        <w:t xml:space="preserve">Before delving into the analyses of Lot’s parable, it is firstly vital to highlight the tale itself, and the core interpretations this chapter will be examining. The parable of Prophet Lot, contained in both the Bible and Qur’an, is the passage in which traditionalists have drawn parallels between the sexual perversities of Lot’s people and homosexuality; thus using this extract to justify the blanket condemnation of Islamic same-sex (Hendricks, 2010, p.37). For clarification, the Prophet Lot’s tribe in the Qur’an refers to the people of Sodom and Gomorrah, as described in the Torah (Kugle, 2010, p.50). According to Surah 15:16 in the Qur’an, the city of Sodom was situated directly on the trade highway, now known as the Arava highway, and was undoubtably one of the wealthiest cities on the biblical Vale of Siddim, Babylon (Hendricks, 2010, p.38). Thus, Sodom is historically and archeologically proved to be a trading highway, and thus a necessary resting point for travellers. Following this summary however, the parable begins to differ, under contrasting interpretations. Traditional, or classic Muslim interpreters maintain that Lot extended warmth and hospitality to the passing travellers, however, in return, Lot’s men quickly become impious, rejecting Lot’s authority to the extent of demanding the use of male travellers to coercive in same-sex acts (Kugle, 2010, p.50). Due to this, it is retained that God chastised the city of Lot for their arrogance and ill deeds, by destroying their land entirely. However, although this reading is undoubtably the most prominent, other interpretations of the text exist, which include; destruction due to infidelity, male rape in contrast to willing same-sex acts, and </w:t>
      </w:r>
      <w:r w:rsidRPr="004D0AEB">
        <w:rPr>
          <w:rFonts w:cstheme="minorHAnsi"/>
          <w:sz w:val="24"/>
          <w:szCs w:val="24"/>
        </w:rPr>
        <w:lastRenderedPageBreak/>
        <w:t>other crimes or immoralities, all of which I will examine in this chapter to support my argument that a homosexual reading is possible.</w:t>
      </w:r>
    </w:p>
    <w:p w14:paraId="1D43F34B" w14:textId="77777777" w:rsidR="00F118E5" w:rsidRPr="004D0AEB" w:rsidRDefault="00F118E5" w:rsidP="00BD069B">
      <w:pPr>
        <w:spacing w:line="480" w:lineRule="auto"/>
        <w:rPr>
          <w:rFonts w:cstheme="minorHAnsi"/>
          <w:sz w:val="24"/>
          <w:szCs w:val="24"/>
        </w:rPr>
      </w:pPr>
    </w:p>
    <w:p w14:paraId="52D94BE0" w14:textId="77777777" w:rsidR="00F118E5" w:rsidRPr="004D0AEB" w:rsidRDefault="00F118E5" w:rsidP="00BD069B">
      <w:pPr>
        <w:spacing w:line="480" w:lineRule="auto"/>
        <w:rPr>
          <w:rFonts w:cstheme="minorHAnsi"/>
          <w:b/>
          <w:bCs/>
          <w:sz w:val="24"/>
          <w:szCs w:val="24"/>
        </w:rPr>
      </w:pPr>
      <w:r w:rsidRPr="004D0AEB">
        <w:rPr>
          <w:rFonts w:cstheme="minorHAnsi"/>
          <w:b/>
          <w:bCs/>
          <w:sz w:val="24"/>
          <w:szCs w:val="24"/>
        </w:rPr>
        <w:t>The Traditional Interpretation</w:t>
      </w:r>
    </w:p>
    <w:p w14:paraId="7540C316" w14:textId="77777777" w:rsidR="00F118E5" w:rsidRPr="004D0AEB" w:rsidRDefault="00F118E5" w:rsidP="00BD069B">
      <w:pPr>
        <w:spacing w:line="480" w:lineRule="auto"/>
        <w:rPr>
          <w:rFonts w:cstheme="minorHAnsi"/>
          <w:sz w:val="24"/>
          <w:szCs w:val="24"/>
        </w:rPr>
      </w:pPr>
      <w:r w:rsidRPr="004D0AEB">
        <w:rPr>
          <w:rFonts w:cstheme="minorHAnsi"/>
          <w:sz w:val="24"/>
          <w:szCs w:val="24"/>
        </w:rPr>
        <w:t xml:space="preserve">Firstly, I will examine the traditionalist, or classical, reading of Lot’s parable, analysing its wealth and critiques. The traditionalist approach stresses that the city of Sodom symbolises the first Islamic nation to ever subject powerless men to the wrath of aristocrats in terms of coercive same-sex acts (Hendricks, 2010, p.38). Traditionalist Muslims jurists thus draw a clear link between God’s destruction of Lot’s people and the same sex acts they maintain took place. The first argument which is vital to examine here is one touched upon earlier in this chapter; Qur’anic definitions. Classical Muslim jurist interpreters created a legal term; </w:t>
      </w:r>
      <w:r w:rsidRPr="004D0AEB">
        <w:rPr>
          <w:rFonts w:cstheme="minorHAnsi"/>
          <w:i/>
          <w:iCs/>
          <w:sz w:val="24"/>
          <w:szCs w:val="24"/>
        </w:rPr>
        <w:t xml:space="preserve">liwat, </w:t>
      </w:r>
      <w:r w:rsidRPr="004D0AEB">
        <w:rPr>
          <w:rFonts w:cstheme="minorHAnsi"/>
          <w:sz w:val="24"/>
          <w:szCs w:val="24"/>
        </w:rPr>
        <w:t xml:space="preserve">to represent ‘the act of the people of Lot’, otherwise translating to ‘same-sex male intercourse’ (Kugle, 2010, p.50). In English, the term </w:t>
      </w:r>
      <w:r w:rsidRPr="004D0AEB">
        <w:rPr>
          <w:rFonts w:cstheme="minorHAnsi"/>
          <w:i/>
          <w:iCs/>
          <w:sz w:val="24"/>
          <w:szCs w:val="24"/>
        </w:rPr>
        <w:t xml:space="preserve">liwat </w:t>
      </w:r>
      <w:r w:rsidRPr="004D0AEB">
        <w:rPr>
          <w:rFonts w:cstheme="minorHAnsi"/>
          <w:sz w:val="24"/>
          <w:szCs w:val="24"/>
        </w:rPr>
        <w:t xml:space="preserve">translates directly to ‘sodomy’, whilst in addition, a corresponding term was also created; </w:t>
      </w:r>
      <w:r w:rsidRPr="004D0AEB">
        <w:rPr>
          <w:rFonts w:cstheme="minorHAnsi"/>
          <w:i/>
          <w:iCs/>
          <w:sz w:val="24"/>
          <w:szCs w:val="24"/>
        </w:rPr>
        <w:t xml:space="preserve">luti, </w:t>
      </w:r>
      <w:r w:rsidRPr="004D0AEB">
        <w:rPr>
          <w:rFonts w:cstheme="minorHAnsi"/>
          <w:sz w:val="24"/>
          <w:szCs w:val="24"/>
        </w:rPr>
        <w:t>translating to ‘sodomite’. These terms therefore, do not exist in the Qur’an, and were simply created by classical Muslim jurists in order to highlight their unquestionable link between homosexuality and the Story of Lot, and most significantly; to have terms to use legally for retribution. As Kugle maintains; by creating these new terms, it definitively cements Lot’s tribe with male same-sex intercourse, inexplicably linking the two concepts (2010, p.50). These terms were thus created for legal means, under the traditional Quranic interpretive perspective.</w:t>
      </w:r>
    </w:p>
    <w:p w14:paraId="508926B7" w14:textId="77777777" w:rsidR="00F118E5" w:rsidRPr="004D0AEB" w:rsidRDefault="00F118E5" w:rsidP="00BD069B">
      <w:pPr>
        <w:spacing w:line="480" w:lineRule="auto"/>
        <w:rPr>
          <w:rFonts w:cstheme="minorHAnsi"/>
          <w:sz w:val="24"/>
          <w:szCs w:val="24"/>
        </w:rPr>
      </w:pPr>
      <w:r w:rsidRPr="004D0AEB">
        <w:rPr>
          <w:rFonts w:cstheme="minorHAnsi"/>
          <w:sz w:val="24"/>
          <w:szCs w:val="24"/>
        </w:rPr>
        <w:t xml:space="preserve">The scholar Long supports this classic interpretation, maintaining that the Qur’an is extremely explicit in its condemnation of homosexual sex, due to the Story of lot (2004, p.42). As Long maintains; “the Qur’an clearly understands the sinfulness of the men of </w:t>
      </w:r>
      <w:r w:rsidRPr="004D0AEB">
        <w:rPr>
          <w:rFonts w:cstheme="minorHAnsi"/>
          <w:sz w:val="24"/>
          <w:szCs w:val="24"/>
        </w:rPr>
        <w:lastRenderedPageBreak/>
        <w:t>Sodom, whom it calls “the people of Lot”, to have included homosexual sex” (2004, p.42). Long thus supports the creation of terms such as ‘</w:t>
      </w:r>
      <w:r w:rsidRPr="004D0AEB">
        <w:rPr>
          <w:rFonts w:cstheme="minorHAnsi"/>
          <w:i/>
          <w:iCs/>
          <w:sz w:val="24"/>
          <w:szCs w:val="24"/>
        </w:rPr>
        <w:t>liwat</w:t>
      </w:r>
      <w:r w:rsidRPr="004D0AEB">
        <w:rPr>
          <w:rFonts w:cstheme="minorHAnsi"/>
          <w:sz w:val="24"/>
          <w:szCs w:val="24"/>
        </w:rPr>
        <w:t xml:space="preserve">’, albeit their non-existence in the Qur’an, as he argues that the holy scripture purposefully avoided terms such as these, to entrust the means of retribution into the hands of its Muslim followers. As Long maintains; there are no terms or punishments specified in the Qur’an, leaving Islamic legal minds to create their own guidance (2004, p.43). Similarly, traditionalist scholar Pinhas Ben Nahum also sees the Story of Lot as applying to homosexual men, as he offered an alternative reading of the Quranic Surah 4:16 which states; </w:t>
      </w:r>
      <w:r w:rsidRPr="004D0AEB">
        <w:rPr>
          <w:rFonts w:cstheme="minorHAnsi"/>
          <w:i/>
          <w:iCs/>
          <w:sz w:val="24"/>
          <w:szCs w:val="24"/>
        </w:rPr>
        <w:t>“and as for the two of you who are guilty thereof, punish them both”,</w:t>
      </w:r>
      <w:r w:rsidRPr="004D0AEB">
        <w:rPr>
          <w:rFonts w:cstheme="minorHAnsi"/>
          <w:sz w:val="24"/>
          <w:szCs w:val="24"/>
        </w:rPr>
        <w:t xml:space="preserve"> interpreting it rather as; “if two men commit an unchastity with each other, punish them both” (1933, p.88). Ben Nahum argues that the parable of Lot conveys the Prophet’s ‘obvious’ indifference to homosexuality, and, similarly to Long, claims that jurists are certainly viable to create a punishment deemed as appropriate, due to the Qur’an’s purposeful lack of discussion (1933, p.88).</w:t>
      </w:r>
    </w:p>
    <w:p w14:paraId="389F20E9" w14:textId="77777777" w:rsidR="00F118E5" w:rsidRPr="004D0AEB" w:rsidRDefault="00F118E5" w:rsidP="00BD069B">
      <w:pPr>
        <w:spacing w:line="480" w:lineRule="auto"/>
        <w:rPr>
          <w:rFonts w:cstheme="minorHAnsi"/>
          <w:sz w:val="24"/>
          <w:szCs w:val="24"/>
        </w:rPr>
      </w:pPr>
      <w:r w:rsidRPr="004D0AEB">
        <w:rPr>
          <w:rFonts w:cstheme="minorHAnsi"/>
          <w:sz w:val="24"/>
          <w:szCs w:val="24"/>
        </w:rPr>
        <w:t>I can certainly acknowledge this traditionalist argument; that Lot’s Story refers to homosexual condemnation, with lack of punishment being purposefully void, as it is entrusted into Islamic jurist hands, justifying the creation of these terms. However, I argue against this perspective, as ultimately, neither of these terms, ‘</w:t>
      </w:r>
      <w:r w:rsidRPr="004D0AEB">
        <w:rPr>
          <w:rFonts w:cstheme="minorHAnsi"/>
          <w:i/>
          <w:iCs/>
          <w:sz w:val="24"/>
          <w:szCs w:val="24"/>
        </w:rPr>
        <w:t>liwat</w:t>
      </w:r>
      <w:r w:rsidRPr="004D0AEB">
        <w:rPr>
          <w:rFonts w:cstheme="minorHAnsi"/>
          <w:sz w:val="24"/>
          <w:szCs w:val="24"/>
        </w:rPr>
        <w:t>’ or ‘</w:t>
      </w:r>
      <w:r w:rsidRPr="004D0AEB">
        <w:rPr>
          <w:rFonts w:cstheme="minorHAnsi"/>
          <w:i/>
          <w:iCs/>
          <w:sz w:val="24"/>
          <w:szCs w:val="24"/>
        </w:rPr>
        <w:t>luti</w:t>
      </w:r>
      <w:r w:rsidRPr="004D0AEB">
        <w:rPr>
          <w:rFonts w:cstheme="minorHAnsi"/>
          <w:sz w:val="24"/>
          <w:szCs w:val="24"/>
        </w:rPr>
        <w:t xml:space="preserve">’ exist in the Qur’an, and so they are entirely man-made, under mere interpretation, and assumption that the Qur’an entrusted its followers to create a punishment. It is vital to mention Esack here and his Liberation Theology. I argue that this traditionalist approach here, along with the creation of these terms certainly highlight precisely what Esack’s theology argues; that a classical Quranic interpretation functions as an ideology, in which the interpretations are used to legitimise unjust orders (1997, p.11). Here, this could certainly be applied to the traditional interpretation of Lot’s parable, as classic jurists have created such terms, in an </w:t>
      </w:r>
      <w:r w:rsidRPr="004D0AEB">
        <w:rPr>
          <w:rFonts w:cstheme="minorHAnsi"/>
          <w:sz w:val="24"/>
          <w:szCs w:val="24"/>
        </w:rPr>
        <w:lastRenderedPageBreak/>
        <w:t>attempt to to legitimise, or justify, homosexual retribution. Esack maintains that it is always possible to extract the religious dimensions from within a situation of injustice, and to utilise them as a cause for liberation (1997, p.11). I argue that this is possible here therefore, to support a homosexual reading of the Qur’an, as, ultimately, these terms and its punishment are not a holy or divine message from God, as they exist nowhere within the holy scripture. Rather, they were created by man; classical interpreters, with the attempt to justify a certain perspective towards homosexuality, thus highlighting Esack’s argument; there is a deep nature of injustice within a classic approach, lacking a liberative perspective which extracts the unjust elements.</w:t>
      </w:r>
    </w:p>
    <w:p w14:paraId="4BBE49BC" w14:textId="77777777" w:rsidR="00F118E5" w:rsidRPr="004D0AEB" w:rsidRDefault="00F118E5" w:rsidP="00BD069B">
      <w:pPr>
        <w:spacing w:line="480" w:lineRule="auto"/>
        <w:rPr>
          <w:rFonts w:cstheme="minorHAnsi"/>
          <w:sz w:val="24"/>
          <w:szCs w:val="24"/>
        </w:rPr>
      </w:pPr>
      <w:r w:rsidRPr="004D0AEB">
        <w:rPr>
          <w:rFonts w:cstheme="minorHAnsi"/>
          <w:sz w:val="24"/>
          <w:szCs w:val="24"/>
        </w:rPr>
        <w:t>To further expand this argument, it is vital to examine the concept of essentialism verses constructionism, in terms of homosexuality and its definitions. I argue that traditionalists such as Ben Nahum, are essentialists in their thinking. Essentials argue that homosexuality is a self-evident fact which exists in the human world, with which a culture reacts with either a degree of tolerance or repression (El-Rouayheb, 2005, p.5). From this perspective, there is an assumption that the concept of homosexuality is shared across historical periods, however that which differs, is its cultural attitudes. Essentialists thus believe that the concept of homosexuality has always existed throughout history, however that the term ‘homosexuality’ is new (El-Rouayheb, 2005, p.5). For essentialists therefore, this ‘new’ term of ‘homosexuality’ corresponds with the medieval latin; s</w:t>
      </w:r>
      <w:r w:rsidRPr="004D0AEB">
        <w:rPr>
          <w:rFonts w:cstheme="minorHAnsi"/>
          <w:i/>
          <w:iCs/>
          <w:sz w:val="24"/>
          <w:szCs w:val="24"/>
        </w:rPr>
        <w:t xml:space="preserve">odomia, </w:t>
      </w:r>
      <w:r w:rsidRPr="004D0AEB">
        <w:rPr>
          <w:rFonts w:cstheme="minorHAnsi"/>
          <w:sz w:val="24"/>
          <w:szCs w:val="24"/>
        </w:rPr>
        <w:t xml:space="preserve">and the classical Arabic </w:t>
      </w:r>
      <w:r w:rsidRPr="004D0AEB">
        <w:rPr>
          <w:rFonts w:cstheme="minorHAnsi"/>
          <w:i/>
          <w:iCs/>
          <w:sz w:val="24"/>
          <w:szCs w:val="24"/>
        </w:rPr>
        <w:t xml:space="preserve">liwat, </w:t>
      </w:r>
      <w:r w:rsidRPr="004D0AEB">
        <w:rPr>
          <w:rFonts w:cstheme="minorHAnsi"/>
          <w:sz w:val="24"/>
          <w:szCs w:val="24"/>
        </w:rPr>
        <w:t>as they argue that homosexuality has existed throughout time itself (El-Rouayheb, 2005, p.6). I argue here that traditional Islamic scholars are essentialists in their interpretations therefore, as they also argue that terms such as ‘</w:t>
      </w:r>
      <w:r w:rsidRPr="004D0AEB">
        <w:rPr>
          <w:rFonts w:cstheme="minorHAnsi"/>
          <w:i/>
          <w:iCs/>
          <w:sz w:val="24"/>
          <w:szCs w:val="24"/>
        </w:rPr>
        <w:t>liwat</w:t>
      </w:r>
      <w:r w:rsidRPr="004D0AEB">
        <w:rPr>
          <w:rFonts w:cstheme="minorHAnsi"/>
          <w:sz w:val="24"/>
          <w:szCs w:val="24"/>
        </w:rPr>
        <w:t>’ represent the homosexual, and in turn; ‘the people of Lot’.</w:t>
      </w:r>
    </w:p>
    <w:p w14:paraId="5E1F88E3" w14:textId="77777777" w:rsidR="00F118E5" w:rsidRPr="004D0AEB" w:rsidRDefault="00F118E5" w:rsidP="00BD069B">
      <w:pPr>
        <w:tabs>
          <w:tab w:val="left" w:pos="2850"/>
        </w:tabs>
        <w:spacing w:line="480" w:lineRule="auto"/>
        <w:rPr>
          <w:rFonts w:cstheme="minorHAnsi"/>
          <w:sz w:val="24"/>
          <w:szCs w:val="24"/>
        </w:rPr>
      </w:pPr>
      <w:r w:rsidRPr="004D0AEB">
        <w:rPr>
          <w:rFonts w:cstheme="minorHAnsi"/>
          <w:sz w:val="24"/>
          <w:szCs w:val="24"/>
        </w:rPr>
        <w:lastRenderedPageBreak/>
        <w:t>In contrast to the essentialist argument is that of the constructionists</w:t>
      </w:r>
      <w:r w:rsidRPr="004D0AEB">
        <w:rPr>
          <w:rStyle w:val="FootnoteReference"/>
          <w:rFonts w:cstheme="minorHAnsi"/>
          <w:sz w:val="24"/>
          <w:szCs w:val="24"/>
        </w:rPr>
        <w:footnoteReference w:id="39"/>
      </w:r>
      <w:r w:rsidRPr="004D0AEB">
        <w:rPr>
          <w:rFonts w:cstheme="minorHAnsi"/>
          <w:sz w:val="24"/>
          <w:szCs w:val="24"/>
        </w:rPr>
        <w:t xml:space="preserve">, who argue for a conditioned nature of progressive sexual categories (El-Rouayheb, 2005, p.5). In contrast to essentialists, constructionists claim that the concept of homosexuality was developed in Europe during the late nineteenth century and is not a consistent historical conceptualisation. This perspective was specifically led by the late French philosopher Michael Foucault, who stressed, through a constructionist lens, that the term ‘homosexuality’ may overlap with the term ‘sodomite’ but they should never be classed as synonymous (1990, p.53). I argue that whilst the essentialist view represents a traditional interpretation therefore, this constructionist view could thus support a homosexual reading of the Qur’an. This is specifically prominent as Foucault highlights that the deeper definition of ‘sodomite’ represents a perpetrator, who was only temped to commit sodomy, but refrained and did not (1990. P.57). This would thus contrast a homosexual person, as the term ‘homosexual’ represents a being who has the inclination, as part of their nature. As El-Rouayheb argues; “on this account, homosexuality is no more a synonym for sodomy than heterosexuality is equivalent to fornication” (2005, p.5). These two contrasting perspectives have only been briefly highlighted here, however the argument remains pivotal; that the essentialist lens appears to represent a classical Muslim interpreter, with an attempt to link ‘homosexuality’ with medieval historical terms, whilst the constructionists perspective appears to support a homosexual Quranic reading, as it highlights the issues that lie within the attempt to make certain terms synonymous, regardless of their deeper definition and contextual understanding. This argument highlights how much care is needed whilst </w:t>
      </w:r>
      <w:r w:rsidRPr="004D0AEB">
        <w:rPr>
          <w:rFonts w:cstheme="minorHAnsi"/>
          <w:sz w:val="24"/>
          <w:szCs w:val="24"/>
        </w:rPr>
        <w:lastRenderedPageBreak/>
        <w:t>interpreting the Story of Lot and the questionable creation of the traditionalist terms, whilst also conveying a possible thought process being the two contrasting interpretive lenses.</w:t>
      </w:r>
    </w:p>
    <w:p w14:paraId="49E1F5F0" w14:textId="77777777" w:rsidR="008B75CD" w:rsidRDefault="00F118E5" w:rsidP="00BD069B">
      <w:pPr>
        <w:spacing w:line="480" w:lineRule="auto"/>
        <w:rPr>
          <w:rFonts w:cstheme="minorHAnsi"/>
          <w:sz w:val="24"/>
          <w:szCs w:val="24"/>
        </w:rPr>
      </w:pPr>
      <w:r w:rsidRPr="004D0AEB">
        <w:rPr>
          <w:rFonts w:cstheme="minorHAnsi"/>
          <w:sz w:val="24"/>
          <w:szCs w:val="24"/>
        </w:rPr>
        <w:t>It is vital to analyse one other traditional Islamic scholar here, who supports the condemnation of homosexuality under Lot’s parable;</w:t>
      </w:r>
      <w:r w:rsidRPr="004D0AEB">
        <w:rPr>
          <w:rFonts w:cstheme="minorHAnsi"/>
          <w:sz w:val="28"/>
          <w:szCs w:val="28"/>
        </w:rPr>
        <w:t xml:space="preserve"> </w:t>
      </w:r>
      <w:r w:rsidRPr="004D0AEB">
        <w:rPr>
          <w:rFonts w:cstheme="minorHAnsi"/>
          <w:sz w:val="24"/>
          <w:szCs w:val="24"/>
        </w:rPr>
        <w:t xml:space="preserve">al-Tabari. Early exegete al-Tabari specifically focuses on verse 7:80-81 of the Qur’an, in which Lot reprimands his men for </w:t>
      </w:r>
      <w:r w:rsidRPr="004D0AEB">
        <w:rPr>
          <w:rFonts w:cstheme="minorHAnsi"/>
          <w:i/>
          <w:iCs/>
          <w:sz w:val="24"/>
          <w:szCs w:val="24"/>
        </w:rPr>
        <w:t>“perpetrating the immorality”</w:t>
      </w:r>
      <w:r w:rsidRPr="004D0AEB">
        <w:rPr>
          <w:rFonts w:cstheme="minorHAnsi"/>
          <w:sz w:val="24"/>
          <w:szCs w:val="24"/>
        </w:rPr>
        <w:t xml:space="preserve">. Here, al-Tabari argues that this ‘immorality’, for which the men are being divinely punished, is unquestionably sex amongst males. </w:t>
      </w:r>
    </w:p>
    <w:p w14:paraId="7AD35343" w14:textId="4532D353" w:rsidR="00F118E5" w:rsidRPr="004D0AEB" w:rsidRDefault="00F118E5" w:rsidP="00BD069B">
      <w:pPr>
        <w:spacing w:line="480" w:lineRule="auto"/>
        <w:rPr>
          <w:rFonts w:cstheme="minorHAnsi"/>
          <w:sz w:val="24"/>
          <w:szCs w:val="24"/>
        </w:rPr>
      </w:pPr>
      <w:r w:rsidRPr="004D0AEB">
        <w:rPr>
          <w:rFonts w:cstheme="minorHAnsi"/>
          <w:sz w:val="24"/>
          <w:szCs w:val="24"/>
        </w:rPr>
        <w:t xml:space="preserve">As he argues: </w:t>
      </w:r>
    </w:p>
    <w:p w14:paraId="182E39A3" w14:textId="13CA41DF" w:rsidR="00F118E5" w:rsidRDefault="00F118E5" w:rsidP="008B75CD">
      <w:pPr>
        <w:spacing w:line="276" w:lineRule="auto"/>
        <w:ind w:left="227" w:right="397"/>
        <w:rPr>
          <w:rFonts w:cstheme="minorHAnsi"/>
          <w:sz w:val="24"/>
          <w:szCs w:val="24"/>
        </w:rPr>
      </w:pPr>
      <w:r w:rsidRPr="008B75CD">
        <w:rPr>
          <w:rFonts w:cstheme="minorHAnsi"/>
          <w:sz w:val="24"/>
          <w:szCs w:val="24"/>
        </w:rPr>
        <w:t>“The meaning is this: it is as if Lot were saying “you are, all of you, you nation of people coming to men in their rears, rather than coming to those whom God has approved for you and made permissible to you of women” (1991, p.163).</w:t>
      </w:r>
      <w:r w:rsidRPr="004D0AEB">
        <w:rPr>
          <w:rFonts w:cstheme="minorHAnsi"/>
          <w:sz w:val="24"/>
          <w:szCs w:val="24"/>
        </w:rPr>
        <w:t xml:space="preserve"> </w:t>
      </w:r>
    </w:p>
    <w:p w14:paraId="514DCB85" w14:textId="77777777" w:rsidR="008B75CD" w:rsidRPr="004D0AEB" w:rsidRDefault="008B75CD" w:rsidP="008B75CD">
      <w:pPr>
        <w:spacing w:line="276" w:lineRule="auto"/>
        <w:ind w:left="227" w:right="397"/>
        <w:rPr>
          <w:rFonts w:cstheme="minorHAnsi"/>
          <w:sz w:val="24"/>
          <w:szCs w:val="24"/>
        </w:rPr>
      </w:pPr>
    </w:p>
    <w:p w14:paraId="4065E547" w14:textId="77777777" w:rsidR="00F118E5" w:rsidRPr="004D0AEB" w:rsidRDefault="00F118E5" w:rsidP="00BD069B">
      <w:pPr>
        <w:spacing w:line="480" w:lineRule="auto"/>
        <w:rPr>
          <w:rFonts w:cstheme="minorHAnsi"/>
          <w:sz w:val="24"/>
          <w:szCs w:val="24"/>
        </w:rPr>
      </w:pPr>
      <w:r w:rsidRPr="004D0AEB">
        <w:rPr>
          <w:rFonts w:cstheme="minorHAnsi"/>
          <w:sz w:val="24"/>
          <w:szCs w:val="24"/>
        </w:rPr>
        <w:t>Firstly here, I argue that this is problematic as al-Tabari has clearly linked the ‘immorality’ which the Qur’an speaks of, with homosexuality. This is controversial, as clearly the term ‘immorality’ does reflect a certain wickedness, or mis-deed, however it encompasses a great range of sins, which indeed, could include sexual acts, however it must be acknowledged that it may not, as it is a general term. I argue that al-Tabari has interpreted the term ‘immorality’ as synonymous with ‘homosexuality’, with little evidence or support. He even goes as far as to rewrite the verse himself, through stating “It is as if Lot were saying…”, highlighting that this definition is integral to the passage, when likewise, it represents a false and thus unjustifiable argument.</w:t>
      </w:r>
    </w:p>
    <w:p w14:paraId="20199E13" w14:textId="77777777" w:rsidR="00F118E5" w:rsidRPr="004D0AEB" w:rsidRDefault="00F118E5" w:rsidP="00BD069B">
      <w:pPr>
        <w:spacing w:line="480" w:lineRule="auto"/>
        <w:rPr>
          <w:rFonts w:cstheme="minorHAnsi"/>
          <w:sz w:val="24"/>
          <w:szCs w:val="24"/>
        </w:rPr>
      </w:pPr>
      <w:r w:rsidRPr="004D0AEB">
        <w:rPr>
          <w:rFonts w:cstheme="minorHAnsi"/>
          <w:sz w:val="24"/>
          <w:szCs w:val="24"/>
        </w:rPr>
        <w:t xml:space="preserve">Secondly, I argue that, similarly to Long and Ben Nahum, al-Tabari has taken a jurist approach whilst interpreting this passage. Through this traditional scholarly focus on the verse of ‘punishment’, it can be argued that he is specifically seeking a verse which can be </w:t>
      </w:r>
      <w:r w:rsidRPr="004D0AEB">
        <w:rPr>
          <w:rFonts w:cstheme="minorHAnsi"/>
          <w:sz w:val="24"/>
          <w:szCs w:val="24"/>
        </w:rPr>
        <w:lastRenderedPageBreak/>
        <w:t>interpreted from a jurist perspective, to justify retribution for homosexuality. The scholar Kugle also supports my argument here, as he maintains that al-Tabari; “wanted to link jurists’ rulings about male-on-male sex to the Qur’an, to claim that the Qur’an itself justifies these legal rulings” (2010, p. 53-54). I argue that al-Tabari is interpreting primarily as a jurist and is not pursuing a broader reading of the Qur’an, in terms of its deeper themes or context. Similarly, he has not examined other passages of the Qur’an in which the term ‘immorality’ has been used, of which the term still has no connections to same-sex, thus resulting in a narrow-minded interpretation of ‘immorality’, falsely used to justify punishment for homosexuality.</w:t>
      </w:r>
    </w:p>
    <w:p w14:paraId="11D20B1C" w14:textId="77777777" w:rsidR="00F118E5" w:rsidRPr="004D0AEB" w:rsidRDefault="00F118E5" w:rsidP="00BD069B">
      <w:pPr>
        <w:spacing w:line="480" w:lineRule="auto"/>
        <w:rPr>
          <w:rFonts w:cstheme="minorHAnsi"/>
          <w:sz w:val="24"/>
          <w:szCs w:val="24"/>
        </w:rPr>
      </w:pPr>
      <w:r w:rsidRPr="004D0AEB">
        <w:rPr>
          <w:rFonts w:cstheme="minorHAnsi"/>
          <w:sz w:val="24"/>
          <w:szCs w:val="24"/>
        </w:rPr>
        <w:t xml:space="preserve">It is once again vital to highlight Esack’s argument here, as he argues that oppressed Muslims are often disempowered by the traditional religious systems that rule them (1997, p.84). This is clearly reflected here, as homosexual Muslims are being suppressed by this traditional, narrowly focused interpretation of certain Quranic terms, along with the creation of legal terms, that have no explicable Quranic justification, but are still openly used to oppress homosexuality within Islam. Esack highlights that a community is often oppressed by a traditional approach due to scholars placing their own terms into the Qur’an in an attempt to support their own argument (1997, p.85). I argue that this is prominent here, with a strategy of mis-defining and severe ambiguity taking place. Kugle also argues this, as he maintains that al-Tabari has merely substituted the term ‘immorality’ as paradoxical to ‘homosexuality’, and then substituted this back into the Qur’an, to argue a futile point (2010, p.53). However, as Esack argues, through a liberative and open-minded approach, one can acknowledge and dismiss these narrow-minded approaches, as an oppressed interpretation eternally extracts justice (1997, p.86). This thus support a possible </w:t>
      </w:r>
      <w:r w:rsidRPr="004D0AEB">
        <w:rPr>
          <w:rFonts w:cstheme="minorHAnsi"/>
          <w:sz w:val="24"/>
          <w:szCs w:val="24"/>
        </w:rPr>
        <w:lastRenderedPageBreak/>
        <w:t xml:space="preserve">homosexual reading, whilst highlighting the flaws of al-Tabari’s argument, as narrowly focused and ambiguous. </w:t>
      </w:r>
    </w:p>
    <w:p w14:paraId="4200DA3C" w14:textId="77777777" w:rsidR="00F118E5" w:rsidRPr="004D0AEB" w:rsidRDefault="00F118E5" w:rsidP="00BD069B">
      <w:pPr>
        <w:spacing w:line="480" w:lineRule="auto"/>
        <w:rPr>
          <w:rFonts w:cstheme="minorHAnsi"/>
          <w:sz w:val="24"/>
          <w:szCs w:val="24"/>
        </w:rPr>
      </w:pPr>
    </w:p>
    <w:p w14:paraId="35C0F7F4" w14:textId="77777777" w:rsidR="00F118E5" w:rsidRPr="004D0AEB" w:rsidRDefault="00F118E5" w:rsidP="00BD069B">
      <w:pPr>
        <w:spacing w:line="480" w:lineRule="auto"/>
        <w:rPr>
          <w:rFonts w:cstheme="minorHAnsi"/>
          <w:b/>
          <w:bCs/>
          <w:sz w:val="24"/>
          <w:szCs w:val="24"/>
        </w:rPr>
      </w:pPr>
      <w:r w:rsidRPr="004D0AEB">
        <w:rPr>
          <w:rFonts w:cstheme="minorHAnsi"/>
          <w:b/>
          <w:bCs/>
          <w:sz w:val="24"/>
          <w:szCs w:val="24"/>
        </w:rPr>
        <w:t>A Homosexually Supportive Interpretation</w:t>
      </w:r>
    </w:p>
    <w:p w14:paraId="46F52268" w14:textId="77777777" w:rsidR="00F118E5" w:rsidRPr="004D0AEB" w:rsidRDefault="00F118E5" w:rsidP="00BD069B">
      <w:pPr>
        <w:spacing w:line="480" w:lineRule="auto"/>
        <w:rPr>
          <w:rFonts w:cstheme="minorHAnsi"/>
          <w:sz w:val="24"/>
          <w:szCs w:val="24"/>
        </w:rPr>
      </w:pPr>
      <w:r w:rsidRPr="004D0AEB">
        <w:rPr>
          <w:rFonts w:cstheme="minorHAnsi"/>
          <w:sz w:val="24"/>
          <w:szCs w:val="24"/>
        </w:rPr>
        <w:t xml:space="preserve">I will now examine interpretations of Lot’s parable which could be used to support homosexuality within Islam, rather than condemn it. Firstly, I argue that the Story of Lot could be interpreted to represent the sin of infidelity. The pivotal aspect of my argument here focuses on Lot’s wife; an embodiment that is often overlooked whilst analysis of the parable takes place. If, following the traditionalist argument, Lot’s tribe were destroyed purely due to male same sex, one must question how Lot’s wife was also destroyed by God’s divine punishment. Through looking at this passage, we see the Qur’an states: </w:t>
      </w:r>
      <w:r w:rsidRPr="004D0AEB">
        <w:rPr>
          <w:rFonts w:cstheme="minorHAnsi"/>
          <w:i/>
          <w:iCs/>
          <w:sz w:val="24"/>
          <w:szCs w:val="24"/>
        </w:rPr>
        <w:t>“God strikes an example of those who reject belief in the wife of Noah and the wife of Lot. Both of you enter the fire with those condemned!”</w:t>
      </w:r>
      <w:r w:rsidRPr="004D0AEB">
        <w:rPr>
          <w:rFonts w:cstheme="minorHAnsi"/>
          <w:sz w:val="24"/>
          <w:szCs w:val="24"/>
        </w:rPr>
        <w:t xml:space="preserve"> (66:10). Here therefore, it could be interpreted that Lot’s wife was also guilty of rejecting Lot’s authority, as were his tribe, and so, was subject to God’s wrath. But how can this be if the sin were male homosexuality? The passage also maintains that God stated: “</w:t>
      </w:r>
      <w:r w:rsidRPr="004D0AEB">
        <w:rPr>
          <w:rFonts w:cstheme="minorHAnsi"/>
          <w:i/>
          <w:iCs/>
          <w:sz w:val="24"/>
          <w:szCs w:val="24"/>
        </w:rPr>
        <w:t>we are rescuing you and your family, all expect your wife, for she is one of those left behind</w:t>
      </w:r>
      <w:r w:rsidRPr="004D0AEB">
        <w:rPr>
          <w:rFonts w:cstheme="minorHAnsi"/>
          <w:sz w:val="24"/>
          <w:szCs w:val="24"/>
        </w:rPr>
        <w:t xml:space="preserve">” (29:33). This once more highlights that the classical argument concerning the destruction of Sodom due to male homosexuality is almost unfeasible, when taking these verses into account concerning Lot’s wife. The scholar Kugle also supports my argument here, as he argues that; “Lot’s wife was guilty of infidelity and betrayal for denying her husband’s role as Prophet, just as the men in her community were guilty, and so she was destroyed with them” (2010, p. 53). Thus, through this interpretive </w:t>
      </w:r>
      <w:r w:rsidRPr="004D0AEB">
        <w:rPr>
          <w:rFonts w:cstheme="minorHAnsi"/>
          <w:sz w:val="24"/>
          <w:szCs w:val="24"/>
        </w:rPr>
        <w:lastRenderedPageBreak/>
        <w:t>lens, the destruction of Lot’s tribe due to homosexuality is questionable, with the mutual destruction of Lot’s wife offering the potential for a supportive homosexual reading.</w:t>
      </w:r>
    </w:p>
    <w:p w14:paraId="4535D6A8" w14:textId="77777777" w:rsidR="00F118E5" w:rsidRPr="004D0AEB" w:rsidRDefault="00F118E5" w:rsidP="00BD069B">
      <w:pPr>
        <w:spacing w:line="480" w:lineRule="auto"/>
        <w:rPr>
          <w:rFonts w:cstheme="minorHAnsi"/>
          <w:sz w:val="24"/>
          <w:szCs w:val="24"/>
        </w:rPr>
      </w:pPr>
      <w:r w:rsidRPr="004D0AEB">
        <w:rPr>
          <w:rFonts w:cstheme="minorHAnsi"/>
          <w:sz w:val="24"/>
          <w:szCs w:val="24"/>
        </w:rPr>
        <w:t xml:space="preserve">My second argument to support a supportive homosexual reading of Lot’s parable draws upon the previous traditional discussion concerning the concept of ‘immorality’, and what precisely this encompasses. As previously argued, it is evident that ‘immorality’ cannot be synonymous with ‘homosexuality’, as the term itself covers a wide range of sinful behaviour. I argue that there is one concept in particular that this ‘immorality’ could represent: a rejection of Prophethood. As the Qur’an states, </w:t>
      </w:r>
      <w:r w:rsidRPr="004D0AEB">
        <w:rPr>
          <w:rFonts w:cstheme="minorHAnsi"/>
          <w:i/>
          <w:iCs/>
          <w:sz w:val="24"/>
          <w:szCs w:val="24"/>
        </w:rPr>
        <w:t>“Lot warned them of our violent retribution but they obstinately denied their warning. They strived to alienate his guests from him”</w:t>
      </w:r>
      <w:r w:rsidRPr="004D0AEB">
        <w:rPr>
          <w:rFonts w:cstheme="minorHAnsi"/>
          <w:sz w:val="24"/>
          <w:szCs w:val="24"/>
        </w:rPr>
        <w:t xml:space="preserve"> (54:33-35). I argue, that in this verse, God is stating that Lot’s tribe has disbelieved in his Prophethood, resulting in a storm of stones being sent upon them, which would result in God’s divine punishment being based on prophetic rejection, not homosexuality.</w:t>
      </w:r>
    </w:p>
    <w:p w14:paraId="3D78D3EE" w14:textId="77777777" w:rsidR="00F118E5" w:rsidRPr="004D0AEB" w:rsidRDefault="00F118E5" w:rsidP="00BD069B">
      <w:pPr>
        <w:spacing w:line="480" w:lineRule="auto"/>
        <w:rPr>
          <w:rFonts w:cstheme="minorHAnsi"/>
          <w:sz w:val="24"/>
          <w:szCs w:val="24"/>
        </w:rPr>
      </w:pPr>
      <w:r w:rsidRPr="004D0AEB">
        <w:rPr>
          <w:rFonts w:cstheme="minorHAnsi"/>
          <w:sz w:val="24"/>
          <w:szCs w:val="24"/>
        </w:rPr>
        <w:t xml:space="preserve">The scholar and Islamic jurist Ibn Hamz supports my argument here, as he also maintains that the Tribe of Lot was destroyed due to their attitude of rejection. As Kugle maintains: the scholar Hamz was no gay activist, however he may certainly have been the first ‘sexually sensitive’ Quranic interpreter, and so he is pivotal to this analysis (2010, p.52). Hamz argues that God’s retribution against Lot’s tribe cannot possibly be due to their homosexual acts, as the punishment was not for one type of immorality, and so, rather, was caused by rejection of the prophet (2017, p.393). Hamz maintains that those who stone others as a punishment for homosexuality, are actually going against God, and are not following His wishes, except in a circumstance in which the guilty person is a rejector of God’s Prophet, as ultimately, that is the sin which lies at the heart of Lot’s parable (2017, p.393). This interpretation interestingly portrays an opposing stance on homosexuality; therefore, that punishing same </w:t>
      </w:r>
      <w:r w:rsidRPr="004D0AEB">
        <w:rPr>
          <w:rFonts w:cstheme="minorHAnsi"/>
          <w:sz w:val="24"/>
          <w:szCs w:val="24"/>
        </w:rPr>
        <w:lastRenderedPageBreak/>
        <w:t xml:space="preserve">sex relations is, alternatively going against the Qur’an, rather than following its wishes. As Hamz argues; “the claim that the Qur’an justifies the punishment of stoning [for same-sex acts] is null and void, since their action contradicts the explicit meaning of His words” (2017, p.393). I thus argue that if read and interpreted from this rejection perspective, it would assume that stoning does not refer to homosexuality, and so should not be a viable punishment. Here, unlike al-Tabari, Hamz has thus attempted to find the ethical principle which Lot’s tribe violated, and were punished for, rather than merely offering an ambiguous argument. Hamz differs from the traditional jurists previously discussed therefore, as, rather than creating terms and definitions to support one’s argument, Hamz focuses on the Qur’an’s explicit language to securely argue his perspective. </w:t>
      </w:r>
    </w:p>
    <w:p w14:paraId="5F6736B0" w14:textId="6389355F" w:rsidR="00F118E5" w:rsidRPr="004D0AEB" w:rsidRDefault="00F118E5" w:rsidP="00BD069B">
      <w:pPr>
        <w:spacing w:line="480" w:lineRule="auto"/>
        <w:rPr>
          <w:rFonts w:cstheme="minorHAnsi"/>
          <w:sz w:val="24"/>
          <w:szCs w:val="24"/>
        </w:rPr>
      </w:pPr>
      <w:r w:rsidRPr="004D0AEB">
        <w:rPr>
          <w:rFonts w:cstheme="minorHAnsi"/>
          <w:sz w:val="24"/>
          <w:szCs w:val="24"/>
        </w:rPr>
        <w:t>It must be acknowledged here however, that if the principle were indeed a rejection of the Prophet and his guidance, it would encompass rejection in a variety of ways. It would be thus bias and incorrect to merely assume that same-sex acts were not included in this. However, even if we consider the assumption that same-sex acts were a part of this rejection, it can be argued that homosexuality was certainly not the core reasoning, or only reason, as traditional Muslims argue. Rather, it would be one expression amongst many, thus, still offering a supportive homosexual interpretation. I argue this with the use of Esack’s theology, specifically, with his argument on liberative hermeneutical keys. Esack maintains that the location of each interpreter offers the pivotal hermeneutical key, in what is referred to as ‘interpreter location theology’ (1997, p.82). Esack argues that a</w:t>
      </w:r>
      <w:r w:rsidR="00D4686B" w:rsidRPr="004D0AEB">
        <w:rPr>
          <w:rFonts w:cstheme="minorHAnsi"/>
          <w:sz w:val="24"/>
          <w:szCs w:val="24"/>
        </w:rPr>
        <w:t>n oppressed</w:t>
      </w:r>
      <w:r w:rsidRPr="004D0AEB">
        <w:rPr>
          <w:rFonts w:cstheme="minorHAnsi"/>
          <w:sz w:val="24"/>
          <w:szCs w:val="24"/>
        </w:rPr>
        <w:t xml:space="preserve"> Muslim is able to gain a truer reading of the Qur’an, as they are consistently able to extract justice (1997, p.82). This could certainly be applied to support my argument here therefore, as through this acknowledgment that indeed, Lot’s parable could have included some same sex acts, but is not solely laden down with condemnation, it is offering an extraction of </w:t>
      </w:r>
      <w:r w:rsidRPr="004D0AEB">
        <w:rPr>
          <w:rFonts w:cstheme="minorHAnsi"/>
          <w:sz w:val="24"/>
          <w:szCs w:val="24"/>
        </w:rPr>
        <w:lastRenderedPageBreak/>
        <w:t>justice, and thus a supportive interpretation for an oppressed group of Muslims; LGBT. This interpretive lens certainly extracts justice from the passage, as it portrays a reading devoid of oppression, promoting well-being for all, whilst also still acknowledging the traditional perspective. As Kugle argues; “though he [Hamz] accepted that anal sex between men was a crime and was forbidden by Islamic law, he cautioned that it not be exaggerated in importance by homophobic hysteria” (2010, p.52). Following Esack’s theology, a liberative perspective is that which offers the best possible interpretation for all of humanity (1997, p.83). I thus argue that this ‘rejection’ interpretation on the Story of Lot certainly sets a precedent for homosexual Muslims. Through this interpretation homosexual Muslims are neither blindly distorting the reading of Lot’s parable nor rejecting it’s traditional reading, as it still offers an acknowledgment that same-sex acts could indeed be a part of the passage, however, it renews the traditional passage by fuelling a debate, whilst also offering an acceptance into Islam.</w:t>
      </w:r>
    </w:p>
    <w:p w14:paraId="15A9E6FD" w14:textId="77777777" w:rsidR="00F118E5" w:rsidRPr="004D0AEB" w:rsidRDefault="00F118E5" w:rsidP="00BD069B">
      <w:pPr>
        <w:spacing w:line="480" w:lineRule="auto"/>
        <w:rPr>
          <w:rFonts w:cstheme="minorHAnsi"/>
          <w:sz w:val="24"/>
          <w:szCs w:val="24"/>
        </w:rPr>
      </w:pPr>
      <w:r w:rsidRPr="004D0AEB">
        <w:rPr>
          <w:rFonts w:cstheme="minorHAnsi"/>
          <w:sz w:val="24"/>
          <w:szCs w:val="24"/>
        </w:rPr>
        <w:t xml:space="preserve">Another possible passage interpretation which I argue could support a homosexual reading within Islam, lies with the Story of Lot representing the sin of male rape, rather than male same sex. I argue this through an analysis of the Quran’s language during this passage. One prominent verse which supports this argument is seen in Surah 26: 165-166, which states; </w:t>
      </w:r>
      <w:r w:rsidRPr="004D0AEB">
        <w:rPr>
          <w:rFonts w:cstheme="minorHAnsi"/>
          <w:i/>
          <w:iCs/>
          <w:sz w:val="24"/>
          <w:szCs w:val="24"/>
        </w:rPr>
        <w:t>“Do you do males from this wide world, leaving the mates God has created for you? Indeed you are a people exceeding in aggression!”.</w:t>
      </w:r>
      <w:r w:rsidRPr="004D0AEB">
        <w:rPr>
          <w:rFonts w:cstheme="minorHAnsi"/>
          <w:sz w:val="24"/>
          <w:szCs w:val="24"/>
        </w:rPr>
        <w:t xml:space="preserve"> Firstly, the term ‘aggression’ could be interpreted as a sexual attack here, rather than an act of same-sex love or compassion. Secondly, Lot appears to be stating that the men here already have wives, whom ‘God has created for them’, suggesting that they already have their loving spouses. Therefore, I argue that they are dismissing their wives, to ‘aggressively’ attack, or rape, the male travellers. </w:t>
      </w:r>
    </w:p>
    <w:p w14:paraId="320F44B6" w14:textId="77777777" w:rsidR="00F118E5" w:rsidRPr="004D0AEB" w:rsidRDefault="00F118E5" w:rsidP="00BD069B">
      <w:pPr>
        <w:spacing w:line="480" w:lineRule="auto"/>
        <w:rPr>
          <w:rFonts w:cstheme="minorHAnsi"/>
          <w:sz w:val="24"/>
          <w:szCs w:val="24"/>
        </w:rPr>
      </w:pPr>
      <w:r w:rsidRPr="004D0AEB">
        <w:rPr>
          <w:rFonts w:cstheme="minorHAnsi"/>
          <w:sz w:val="24"/>
          <w:szCs w:val="24"/>
        </w:rPr>
        <w:lastRenderedPageBreak/>
        <w:t xml:space="preserve">The scholar Kugle also supports this argument of male rape, maintaining that the men of Lot’s tribe were actually heterosexual by nature, however they aggressively asserted power against the vulnerable men in terms of sexually forcing themselves upon the people (2010, p. 54). Kugle argues that the vulnerable men whom Lot offered hospitality to, were actually angels, and so the mob’s rape was driven by their wish to reject the Prophetic authority of Lot (2010. P.54). This interpretation links closely to that of Ibn Hamz previously discussed therefore, as he also focused on the notion of Prophetic rejection being the core ‘immorality’ within Lot’s parable. Another quote from this passage which is vital to mention here is; </w:t>
      </w:r>
      <w:r w:rsidRPr="004D0AEB">
        <w:rPr>
          <w:rFonts w:cstheme="minorHAnsi"/>
          <w:i/>
          <w:iCs/>
          <w:sz w:val="24"/>
          <w:szCs w:val="24"/>
        </w:rPr>
        <w:t>“do the men in lust beside the women”</w:t>
      </w:r>
      <w:r w:rsidRPr="004D0AEB">
        <w:rPr>
          <w:rFonts w:cstheme="minorHAnsi"/>
          <w:sz w:val="24"/>
          <w:szCs w:val="24"/>
        </w:rPr>
        <w:t xml:space="preserve"> (27:55). I argue that the language here also highlights the concept of male rape, as is states that the tribe are forcing themselves upon ‘the men’ beside ‘the women’ whom, as previously relayed, are their wives. Kugle also analyses this verse, supporting my argument here through maintaining “that the Qur’an makes these nouns definite, alerts the attentive reader to the specificity of Lot’s condemnation” (2010, p.55). </w:t>
      </w:r>
    </w:p>
    <w:p w14:paraId="0ECBDAEE" w14:textId="77777777" w:rsidR="00F118E5" w:rsidRPr="004D0AEB" w:rsidRDefault="00F118E5" w:rsidP="00BD069B">
      <w:pPr>
        <w:spacing w:line="480" w:lineRule="auto"/>
        <w:rPr>
          <w:rFonts w:cstheme="minorHAnsi"/>
          <w:sz w:val="24"/>
          <w:szCs w:val="24"/>
        </w:rPr>
      </w:pPr>
      <w:r w:rsidRPr="004D0AEB">
        <w:rPr>
          <w:rFonts w:cstheme="minorHAnsi"/>
          <w:sz w:val="24"/>
          <w:szCs w:val="24"/>
        </w:rPr>
        <w:t>Duane Olson also plays focus to this verse and the notion of male rape in accordance with the Story of Lot (2011). Olson not only examines this story from a Quranic perspective, but also from a biblical point of view. Similarly, to Kugle, Olson argues that Lot’s story represents the sexually violation of angels, and that the story’s primary focus lies on that of homosexual rape (2011, p.208). This scholar argues that to condemn homosexuality through a narrow-minded reading of this parable would be absurd, specifically due to the argument that in other parts of the Bible</w:t>
      </w:r>
      <w:r w:rsidRPr="004D0AEB">
        <w:rPr>
          <w:rStyle w:val="FootnoteReference"/>
          <w:rFonts w:cstheme="minorHAnsi"/>
          <w:sz w:val="24"/>
          <w:szCs w:val="24"/>
        </w:rPr>
        <w:footnoteReference w:id="40"/>
      </w:r>
      <w:r w:rsidRPr="004D0AEB">
        <w:rPr>
          <w:rFonts w:cstheme="minorHAnsi"/>
          <w:sz w:val="24"/>
          <w:szCs w:val="24"/>
        </w:rPr>
        <w:t xml:space="preserve">, the city of Sodom is specifically highlighted for its failure to show any hospitality, and for its hostility (2011, p.208). I argue here therefore, that this </w:t>
      </w:r>
      <w:r w:rsidRPr="004D0AEB">
        <w:rPr>
          <w:rFonts w:cstheme="minorHAnsi"/>
          <w:sz w:val="24"/>
          <w:szCs w:val="24"/>
        </w:rPr>
        <w:lastRenderedPageBreak/>
        <w:t xml:space="preserve">hostility in these passages could also reflect the sexual ‘aggression’ we see evident in Surah 26: 165-166, supporting a thread of male-rape throughout. As Olson argues; viewing the Story of Lot as a condemnation of homosexuality; “would be like building a case for condemning heterosexual sex on the basis of a story that critiques heterosexual rape” (2011. P.208). </w:t>
      </w:r>
    </w:p>
    <w:p w14:paraId="3D9A83A6" w14:textId="77777777" w:rsidR="00F118E5" w:rsidRPr="004D0AEB" w:rsidRDefault="00F118E5" w:rsidP="00BD069B">
      <w:pPr>
        <w:spacing w:line="480" w:lineRule="auto"/>
        <w:rPr>
          <w:rFonts w:cstheme="minorHAnsi"/>
          <w:sz w:val="24"/>
          <w:szCs w:val="24"/>
        </w:rPr>
      </w:pPr>
      <w:r w:rsidRPr="004D0AEB">
        <w:rPr>
          <w:rFonts w:cstheme="minorHAnsi"/>
          <w:sz w:val="24"/>
          <w:szCs w:val="24"/>
        </w:rPr>
        <w:t xml:space="preserve">It is vital to examine the possible counterargument here however, as to not merely analyse the verses which purposefully fit my argument. One such verse which could certainly be seen as opposing this interpretation would be Surah 29:28 which states; </w:t>
      </w:r>
      <w:r w:rsidRPr="004D0AEB">
        <w:rPr>
          <w:rFonts w:cstheme="minorHAnsi"/>
          <w:i/>
          <w:iCs/>
          <w:sz w:val="24"/>
          <w:szCs w:val="24"/>
        </w:rPr>
        <w:t>“committing evil in their gatherings”.</w:t>
      </w:r>
      <w:r w:rsidRPr="004D0AEB">
        <w:rPr>
          <w:rFonts w:cstheme="minorHAnsi"/>
          <w:sz w:val="24"/>
          <w:szCs w:val="24"/>
        </w:rPr>
        <w:t xml:space="preserve"> This verse appears prominently problematic here due to its placement chronologically. It appears prior to and separate from the intended ‘violation’ of Lot’s people, and so it leads one to question whether the story could focus on rape, as this act of ‘evil’ took place before the tribe aggressively asserted themselves onto the people. Tilo Beckers also focuses on this verse, and stresses that the word ‘gatherings’ here does portray an almost orgiastic undertone, resulting in the possibility of rape become questionable and, rather, conjuring up a scene of same-sex consensual debauchery (2010, p.285). Beckers also highlights another significant point; that the rape thesis is difficult to maintain due to the fact that the same-sex segments of the story do not appear in an accidental light, but rather, is repeatedly stressed throughout (2010, p.285). This holds great wealth, as one would assume that male same sex would be something which is conveyed in an entirely purposeful light, rather than male rape, however, arguably this could also merely be due to one’s personal moral feelings.</w:t>
      </w:r>
    </w:p>
    <w:p w14:paraId="6BB95111" w14:textId="77777777" w:rsidR="00F118E5" w:rsidRPr="004D0AEB" w:rsidRDefault="00F118E5" w:rsidP="00BD069B">
      <w:pPr>
        <w:tabs>
          <w:tab w:val="left" w:pos="2850"/>
        </w:tabs>
        <w:spacing w:line="480" w:lineRule="auto"/>
        <w:rPr>
          <w:rFonts w:cstheme="minorHAnsi"/>
          <w:sz w:val="24"/>
          <w:szCs w:val="24"/>
        </w:rPr>
      </w:pPr>
      <w:r w:rsidRPr="004D0AEB">
        <w:rPr>
          <w:rFonts w:cstheme="minorHAnsi"/>
          <w:sz w:val="24"/>
          <w:szCs w:val="24"/>
        </w:rPr>
        <w:t xml:space="preserve">Overall, this interpretive lens concerning male-rape over consensual same sex, certainly offers a supportive homosexual reading of Lot’s parable. If indeed the crime here is not </w:t>
      </w:r>
      <w:r w:rsidRPr="004D0AEB">
        <w:rPr>
          <w:rFonts w:cstheme="minorHAnsi"/>
          <w:sz w:val="24"/>
          <w:szCs w:val="24"/>
        </w:rPr>
        <w:lastRenderedPageBreak/>
        <w:t>homosexuality itself but rather, the evil intention by which this homosexuality was expressed, through the means of sexual assault, it offers a supportive interpretive lens for LGBT Muslims; that the sin was not homosexuality, but rather, the evil intention by which the homosexuality was expressed (Kugle, 2010, p.55). As Kugle maintains; “one can imagine the same story with guests who are female and it would exert the same force and convey the same moral message” (2010, p.56).</w:t>
      </w:r>
    </w:p>
    <w:p w14:paraId="3F67EA3E" w14:textId="77777777" w:rsidR="00F118E5" w:rsidRPr="004D0AEB" w:rsidRDefault="00F118E5" w:rsidP="00BD069B">
      <w:pPr>
        <w:tabs>
          <w:tab w:val="left" w:pos="2850"/>
        </w:tabs>
        <w:spacing w:line="480" w:lineRule="auto"/>
        <w:rPr>
          <w:rFonts w:cstheme="minorHAnsi"/>
          <w:b/>
          <w:bCs/>
          <w:sz w:val="24"/>
          <w:szCs w:val="24"/>
        </w:rPr>
      </w:pPr>
      <w:r w:rsidRPr="004D0AEB">
        <w:rPr>
          <w:rFonts w:cstheme="minorHAnsi"/>
          <w:b/>
          <w:bCs/>
          <w:sz w:val="24"/>
          <w:szCs w:val="24"/>
        </w:rPr>
        <w:br/>
        <w:t xml:space="preserve">The Story’s Narration </w:t>
      </w:r>
    </w:p>
    <w:p w14:paraId="10922A1D" w14:textId="77777777" w:rsidR="00F118E5" w:rsidRPr="004D0AEB" w:rsidRDefault="00F118E5" w:rsidP="00BD069B">
      <w:pPr>
        <w:tabs>
          <w:tab w:val="left" w:pos="2850"/>
        </w:tabs>
        <w:spacing w:line="480" w:lineRule="auto"/>
        <w:rPr>
          <w:rFonts w:cstheme="minorHAnsi"/>
          <w:sz w:val="24"/>
          <w:szCs w:val="24"/>
        </w:rPr>
      </w:pPr>
      <w:r w:rsidRPr="004D0AEB">
        <w:rPr>
          <w:rFonts w:cstheme="minorHAnsi"/>
          <w:sz w:val="24"/>
          <w:szCs w:val="24"/>
        </w:rPr>
        <w:t>Following an examination of these contrasting interpretations, it is pivotal to discuss the parable’s narrative. It is vital to highlight here that the narrative of Lot is not told in one piece. I therefore argue that this fragmented narrative supports the alternative interpretation of Prophetic rejection and male rape. I argue this, as firstly, the Qur’an refers to Lot’s tribe in various chapters, not merely one, and so there are numerous incidents throughout the scripture where the tribe’s crimes are highlighted, including Prophetic rejection, idolatry and the journey of the angels (Murray and Roscoe, 1997, p.88). Significantly here is Lot’s first mention within the Qur’an, which states; “</w:t>
      </w:r>
      <w:r w:rsidRPr="004D0AEB">
        <w:rPr>
          <w:rFonts w:cstheme="minorHAnsi"/>
          <w:i/>
          <w:iCs/>
          <w:sz w:val="24"/>
          <w:szCs w:val="24"/>
        </w:rPr>
        <w:t xml:space="preserve">the people of Lot treated the warning as a lie…..they accosted his guests but we blinded them” </w:t>
      </w:r>
      <w:r w:rsidRPr="004D0AEB">
        <w:rPr>
          <w:rFonts w:cstheme="minorHAnsi"/>
          <w:sz w:val="24"/>
          <w:szCs w:val="24"/>
        </w:rPr>
        <w:t>(54:33-37). If we translate the key word here; ‘accosted’, it offers no meaning of any sexual or physical acts, but merely aggressively asserting themselves through their address and words. I argue that this first revelation of Lot’s is therefore purposeful, to introduce the meaning behind the parable; that Lot’s tribe were punished for their aggression and prophetic rejection.</w:t>
      </w:r>
    </w:p>
    <w:p w14:paraId="526648FD" w14:textId="77777777" w:rsidR="00F118E5" w:rsidRPr="004D0AEB" w:rsidRDefault="00F118E5" w:rsidP="00BD069B">
      <w:pPr>
        <w:tabs>
          <w:tab w:val="left" w:pos="2850"/>
        </w:tabs>
        <w:spacing w:line="480" w:lineRule="auto"/>
        <w:rPr>
          <w:rFonts w:cstheme="minorHAnsi"/>
          <w:sz w:val="24"/>
          <w:szCs w:val="24"/>
        </w:rPr>
      </w:pPr>
      <w:r w:rsidRPr="004D0AEB">
        <w:rPr>
          <w:rFonts w:cstheme="minorHAnsi"/>
          <w:sz w:val="24"/>
          <w:szCs w:val="24"/>
        </w:rPr>
        <w:t xml:space="preserve">Kugle also supports my argument here, as he maintains that “the way it [Qur’an] fragments the narratives of past prophets, like Lot, is part of its beauty and power” (2010, p.57). Kugle </w:t>
      </w:r>
      <w:r w:rsidRPr="004D0AEB">
        <w:rPr>
          <w:rFonts w:cstheme="minorHAnsi"/>
          <w:sz w:val="24"/>
          <w:szCs w:val="24"/>
        </w:rPr>
        <w:lastRenderedPageBreak/>
        <w:t>discusses how the Qur’an tells of Lot’s story through the context of other Qur’anic stories and passages, specifically; tales of other prophets with similar missions</w:t>
      </w:r>
      <w:r w:rsidRPr="004D0AEB">
        <w:rPr>
          <w:rStyle w:val="FootnoteReference"/>
          <w:rFonts w:cstheme="minorHAnsi"/>
          <w:sz w:val="24"/>
          <w:szCs w:val="24"/>
        </w:rPr>
        <w:footnoteReference w:id="41"/>
      </w:r>
      <w:r w:rsidRPr="004D0AEB">
        <w:rPr>
          <w:rFonts w:cstheme="minorHAnsi"/>
          <w:sz w:val="24"/>
          <w:szCs w:val="24"/>
        </w:rPr>
        <w:t>. (2010, p.57). As Kugle argues; the intention to reject their Prophet is what the Tribe of Lot has in common with all the other Prophetic tales (2010, p.57).  This raises another possible argument therefore, if Kugle’s analysis here rings true; that any mention of Lot and his tribe is consistently embedded within another prophet’s tale with the same underlying intention, then this would support a homosexual reading of Lot’s tale, as, even traditionalist scholars maintain that Lot’s parable is the singular passage which discusses same-sex within the entirety of the Qur’an. This leads one to question how Lot’s tale may be embedded throughout the Qur’an, in amongst other similar prophetic tales, if its sole meaning were to condemn homosexuality? If Lot’s tale is only relayed amongst other Prophet’s due to their similar underlying narratives, if we interpret Lot’s narrative as prophetic rejection, homosexual condemnation here becomes questionable, and a LGBT supportive lens opens.</w:t>
      </w:r>
    </w:p>
    <w:p w14:paraId="390B036D" w14:textId="77777777" w:rsidR="00F118E5" w:rsidRPr="004D0AEB" w:rsidRDefault="00F118E5" w:rsidP="00BD069B">
      <w:pPr>
        <w:tabs>
          <w:tab w:val="left" w:pos="2850"/>
        </w:tabs>
        <w:spacing w:line="480" w:lineRule="auto"/>
        <w:rPr>
          <w:rFonts w:cstheme="minorHAnsi"/>
          <w:sz w:val="24"/>
          <w:szCs w:val="24"/>
        </w:rPr>
      </w:pPr>
      <w:r w:rsidRPr="004D0AEB">
        <w:rPr>
          <w:rFonts w:cstheme="minorHAnsi"/>
          <w:sz w:val="24"/>
          <w:szCs w:val="24"/>
        </w:rPr>
        <w:t>I argue that the Qur’an purposefully interrelates the Story of Lot into the stories of past Prophets to make a resounding point; to portray how societies opposed their Prophetic messages, thus leading them to re-evaluate their moral insights and to stay conscious of God (2010, p.60). As Kugle argues; “the narratives purpose is not to legislate about same sex acts but to dramatize an ethical principle – that the powerful in society twist religion to justify their status” (2010, p.57). Thus, I argue that a contextually wider reading of Lot’s parable, and a recognition of its fragmented narrative, offers another supportive lens for homosexual Muslims.</w:t>
      </w:r>
    </w:p>
    <w:p w14:paraId="768F4D8D" w14:textId="77777777" w:rsidR="00F118E5" w:rsidRPr="004D0AEB" w:rsidRDefault="00F118E5" w:rsidP="00BD069B">
      <w:pPr>
        <w:tabs>
          <w:tab w:val="left" w:pos="2850"/>
        </w:tabs>
        <w:spacing w:line="480" w:lineRule="auto"/>
        <w:rPr>
          <w:rFonts w:cstheme="minorHAnsi"/>
          <w:sz w:val="24"/>
          <w:szCs w:val="24"/>
        </w:rPr>
      </w:pPr>
    </w:p>
    <w:p w14:paraId="729F1C12" w14:textId="77777777" w:rsidR="00F118E5" w:rsidRPr="004D0AEB" w:rsidRDefault="00F118E5" w:rsidP="00BD069B">
      <w:pPr>
        <w:tabs>
          <w:tab w:val="left" w:pos="2850"/>
        </w:tabs>
        <w:spacing w:line="480" w:lineRule="auto"/>
        <w:rPr>
          <w:rFonts w:cstheme="minorHAnsi"/>
          <w:b/>
          <w:bCs/>
          <w:sz w:val="24"/>
          <w:szCs w:val="24"/>
        </w:rPr>
      </w:pPr>
      <w:r w:rsidRPr="004D0AEB">
        <w:rPr>
          <w:rFonts w:cstheme="minorHAnsi"/>
          <w:b/>
          <w:bCs/>
          <w:sz w:val="24"/>
          <w:szCs w:val="24"/>
        </w:rPr>
        <w:lastRenderedPageBreak/>
        <w:t>The issue of Lesbianism</w:t>
      </w:r>
    </w:p>
    <w:p w14:paraId="5D04D67F" w14:textId="77777777" w:rsidR="00F118E5" w:rsidRPr="004D0AEB" w:rsidRDefault="00F118E5" w:rsidP="00BD069B">
      <w:pPr>
        <w:tabs>
          <w:tab w:val="left" w:pos="2850"/>
        </w:tabs>
        <w:spacing w:line="480" w:lineRule="auto"/>
        <w:rPr>
          <w:rFonts w:cstheme="minorHAnsi"/>
          <w:sz w:val="24"/>
          <w:szCs w:val="24"/>
        </w:rPr>
      </w:pPr>
      <w:r w:rsidRPr="004D0AEB">
        <w:rPr>
          <w:rFonts w:cstheme="minorHAnsi"/>
          <w:sz w:val="24"/>
          <w:szCs w:val="24"/>
        </w:rPr>
        <w:t>The final issue which is vital to discuss during this analysis of Lot’s tale, is the issue of lesbianism. The traditionalist Islamic interpreters discussed in this chapter have all defined the same sex acts in Lot’s tale as principally male, due to their emphasis on the sexual act being that of male penetration (Kugle, 2010, p.64). I argue that this traditionalist argument therefore raises an extremely questionable flaw; if the Story of Lot truly symbolises the condemnation of homosexuality, where do Lesbian Muslims stand? It leads one to question the classical interpretation, as, if the purpose of Lot’s parable were to truly condemn homosexuality within Islam, surely female homosexuality would also be discussed? Holly Toensing supports my argument here, in her article dedicated to the ‘Forgotten Women of Sodom and Gomorrah’ (2005). Toensing refers to these women as “collateral damage” in the Islamic war against homosexuality (2005, p.60). She supports my argument here, by questioning how the dangerous ‘sin’ of Sodom could rest upon the concept of homosexuality, with the complete absence of women mentioned in the passage, besides Lot’s wife (Toensing, 2005, p.62). Similarly to Kugle, Toensing argues that the wickedness of Sodom lies within the complete inhospitable attitude of Lot’s tribe, and more specifically, male rape, whilst also, similarly to Hendricks, focuses her argument on the complete fabrication of the traditionalist terms such as ‘sodomite’, which do not exist in any part of the Qur’an (Toensing, 2005, p.63). As Toensing argues; “I further assent that the sexual orientation of the men and women of Sodom and Gomorrah is heterosexual rather than homosexual” (2005, p.62).</w:t>
      </w:r>
    </w:p>
    <w:p w14:paraId="1DA5BF00" w14:textId="77777777" w:rsidR="00F118E5" w:rsidRPr="004D0AEB" w:rsidRDefault="00F118E5" w:rsidP="00BD069B">
      <w:pPr>
        <w:tabs>
          <w:tab w:val="left" w:pos="2850"/>
        </w:tabs>
        <w:spacing w:line="480" w:lineRule="auto"/>
        <w:rPr>
          <w:rFonts w:cstheme="minorHAnsi"/>
          <w:sz w:val="24"/>
          <w:szCs w:val="24"/>
        </w:rPr>
      </w:pPr>
      <w:r w:rsidRPr="004D0AEB">
        <w:rPr>
          <w:rFonts w:cstheme="minorHAnsi"/>
          <w:sz w:val="24"/>
          <w:szCs w:val="24"/>
        </w:rPr>
        <w:t xml:space="preserve">To further support this argument, it is important to highlight that there appears to be only one verse within the Qur’an which could possibly allude to lesbianism; and this itself is </w:t>
      </w:r>
      <w:r w:rsidRPr="004D0AEB">
        <w:rPr>
          <w:rFonts w:cstheme="minorHAnsi"/>
          <w:sz w:val="24"/>
          <w:szCs w:val="24"/>
        </w:rPr>
        <w:lastRenderedPageBreak/>
        <w:t>questionable. It is Surah 4:15-16, which states; “</w:t>
      </w:r>
      <w:r w:rsidRPr="004D0AEB">
        <w:rPr>
          <w:rFonts w:cstheme="minorHAnsi"/>
          <w:i/>
          <w:iCs/>
          <w:sz w:val="24"/>
          <w:szCs w:val="24"/>
        </w:rPr>
        <w:t xml:space="preserve">as for those of your women who commit the immorality, have four from among yourself bear witness against them”. </w:t>
      </w:r>
      <w:r w:rsidRPr="004D0AEB">
        <w:rPr>
          <w:rFonts w:cstheme="minorHAnsi"/>
          <w:sz w:val="24"/>
          <w:szCs w:val="24"/>
        </w:rPr>
        <w:t xml:space="preserve">Once again, similarly to al-Tabari’s perspective, the term ‘immorality’ is being interpreted to represent a sexual act. It is Abu al-Faraj al-Isfahani, a tenth century interpreter that appears to have been the first scholar to argue that this verse of ‘immorality’ did indeed represent sexual acts between women (2016, p.42). This interpretation is due to the mention of the ‘four witnesses’, as it is four eyewitnesses that are required by Islamic law to legally punish heterosexual intercourse without a contract (Kugle, 2010, p.64). However, as Kugle argues, this argument is still ‘rather flimsy’ in retrospect (2010, p.65). As I previously argued; this Quranic ‘immorality’ is never specifically defined within the Qur’an, and the holy scripture in fact uses this term throughout its passages to refer to numerous types of dishonour, including, adultery, thieving, idolatry and ignorance. Therefore, although al-Isfahani’s eye-witness argument must be considered, I argue that ultimately, he has interpreted this Quranic term, and simply re-inserted it back into the holy text, to justify the argument. As Kugle maintains; “their efforts illustrate how far interpreters with prejudice will go to find ideas in the Qur’an that are not there in its language and context” (2010, p.65). </w:t>
      </w:r>
    </w:p>
    <w:p w14:paraId="7A9D15F3" w14:textId="0A737612" w:rsidR="00F118E5" w:rsidRPr="004D0AEB" w:rsidRDefault="00F118E5" w:rsidP="00BD069B">
      <w:pPr>
        <w:tabs>
          <w:tab w:val="left" w:pos="2850"/>
        </w:tabs>
        <w:spacing w:line="480" w:lineRule="auto"/>
        <w:rPr>
          <w:rFonts w:cstheme="minorHAnsi"/>
          <w:sz w:val="24"/>
          <w:szCs w:val="24"/>
        </w:rPr>
      </w:pPr>
      <w:r w:rsidRPr="004D0AEB">
        <w:rPr>
          <w:rFonts w:cstheme="minorHAnsi"/>
          <w:sz w:val="24"/>
          <w:szCs w:val="24"/>
        </w:rPr>
        <w:t xml:space="preserve">To summarise, this chapter has portrayed the density which exists in terms of Quranic interpretation, though analysing contrasting perspectives of Lot’s parable. A complete rejection of the traditionalist argument concerning homosexual condemnation is certainly not plausible, as elements of homosexuality must be acknowledged in terms of Lot’s parable, nevertheless, a supportive homosexual lens can also be viewed as plausible, specifically through an interpretive lens regarding infidelity, male-rape and a possible rejection of prophethood. In addition, a broader analysis concerning the wider Quranic context of Lot’s tribe, dinstinctly evident in the fragmented narrative of the tale, along with </w:t>
      </w:r>
      <w:r w:rsidRPr="004D0AEB">
        <w:rPr>
          <w:rFonts w:cstheme="minorHAnsi"/>
          <w:sz w:val="24"/>
          <w:szCs w:val="24"/>
        </w:rPr>
        <w:lastRenderedPageBreak/>
        <w:t>the general ignorance concerning lesbianism can also be used to affirm a p</w:t>
      </w:r>
      <w:r w:rsidR="003E22D8" w:rsidRPr="004D0AEB">
        <w:rPr>
          <w:rFonts w:cstheme="minorHAnsi"/>
          <w:sz w:val="24"/>
          <w:szCs w:val="24"/>
        </w:rPr>
        <w:t>ossible</w:t>
      </w:r>
      <w:r w:rsidRPr="004D0AEB">
        <w:rPr>
          <w:rFonts w:cstheme="minorHAnsi"/>
          <w:sz w:val="24"/>
          <w:szCs w:val="24"/>
        </w:rPr>
        <w:t xml:space="preserve"> homosexual parable reading. This leads into our conclusion therefore, in which I will assess the overall analysis, concluding whether a supportive homosexual lens is indeed justifiable</w:t>
      </w:r>
      <w:r w:rsidR="00B246CF" w:rsidRPr="004D0AEB">
        <w:rPr>
          <w:rFonts w:cstheme="minorHAnsi"/>
          <w:sz w:val="24"/>
          <w:szCs w:val="24"/>
        </w:rPr>
        <w:t xml:space="preserve"> </w:t>
      </w:r>
      <w:r w:rsidRPr="004D0AEB">
        <w:rPr>
          <w:rFonts w:cstheme="minorHAnsi"/>
          <w:sz w:val="24"/>
          <w:szCs w:val="24"/>
        </w:rPr>
        <w:t>with</w:t>
      </w:r>
      <w:r w:rsidR="00B246CF" w:rsidRPr="004D0AEB">
        <w:rPr>
          <w:rFonts w:cstheme="minorHAnsi"/>
          <w:sz w:val="24"/>
          <w:szCs w:val="24"/>
        </w:rPr>
        <w:t xml:space="preserve">in </w:t>
      </w:r>
      <w:r w:rsidRPr="004D0AEB">
        <w:rPr>
          <w:rFonts w:cstheme="minorHAnsi"/>
          <w:sz w:val="24"/>
          <w:szCs w:val="24"/>
        </w:rPr>
        <w:t>the religion Islam.</w:t>
      </w:r>
    </w:p>
    <w:p w14:paraId="775FF8E5" w14:textId="77777777" w:rsidR="00F118E5" w:rsidRPr="004D0AEB" w:rsidRDefault="00F118E5" w:rsidP="00BD069B">
      <w:pPr>
        <w:tabs>
          <w:tab w:val="left" w:pos="2850"/>
        </w:tabs>
        <w:spacing w:line="480" w:lineRule="auto"/>
        <w:rPr>
          <w:rFonts w:cstheme="minorHAnsi"/>
          <w:sz w:val="24"/>
          <w:szCs w:val="24"/>
        </w:rPr>
      </w:pPr>
    </w:p>
    <w:p w14:paraId="37DC5F81" w14:textId="77777777" w:rsidR="00F118E5" w:rsidRPr="004D0AEB" w:rsidRDefault="00F118E5" w:rsidP="00BD069B">
      <w:pPr>
        <w:tabs>
          <w:tab w:val="left" w:pos="2850"/>
        </w:tabs>
        <w:spacing w:line="480" w:lineRule="auto"/>
        <w:rPr>
          <w:rFonts w:cstheme="minorHAnsi"/>
          <w:sz w:val="24"/>
          <w:szCs w:val="24"/>
        </w:rPr>
      </w:pPr>
    </w:p>
    <w:p w14:paraId="1C48AA83" w14:textId="77777777" w:rsidR="00F118E5" w:rsidRPr="004D0AEB" w:rsidRDefault="00F118E5" w:rsidP="00BD069B">
      <w:pPr>
        <w:tabs>
          <w:tab w:val="left" w:pos="2850"/>
        </w:tabs>
        <w:spacing w:line="480" w:lineRule="auto"/>
        <w:rPr>
          <w:rFonts w:cstheme="minorHAnsi"/>
          <w:sz w:val="24"/>
          <w:szCs w:val="24"/>
        </w:rPr>
      </w:pPr>
    </w:p>
    <w:p w14:paraId="2AC2247B" w14:textId="3085A068" w:rsidR="00F118E5" w:rsidRDefault="00F118E5" w:rsidP="00BD069B">
      <w:pPr>
        <w:tabs>
          <w:tab w:val="left" w:pos="2850"/>
        </w:tabs>
        <w:spacing w:line="480" w:lineRule="auto"/>
        <w:rPr>
          <w:rFonts w:cstheme="minorHAnsi"/>
          <w:sz w:val="24"/>
          <w:szCs w:val="24"/>
        </w:rPr>
      </w:pPr>
    </w:p>
    <w:p w14:paraId="11678FA0" w14:textId="4CFD986F" w:rsidR="008B75CD" w:rsidRDefault="008B75CD" w:rsidP="00BD069B">
      <w:pPr>
        <w:tabs>
          <w:tab w:val="left" w:pos="2850"/>
        </w:tabs>
        <w:spacing w:line="480" w:lineRule="auto"/>
        <w:rPr>
          <w:rFonts w:cstheme="minorHAnsi"/>
          <w:sz w:val="24"/>
          <w:szCs w:val="24"/>
        </w:rPr>
      </w:pPr>
    </w:p>
    <w:p w14:paraId="37CDB3B7" w14:textId="697441B4" w:rsidR="008B75CD" w:rsidRDefault="008B75CD" w:rsidP="00BD069B">
      <w:pPr>
        <w:tabs>
          <w:tab w:val="left" w:pos="2850"/>
        </w:tabs>
        <w:spacing w:line="480" w:lineRule="auto"/>
        <w:rPr>
          <w:rFonts w:cstheme="minorHAnsi"/>
          <w:sz w:val="24"/>
          <w:szCs w:val="24"/>
        </w:rPr>
      </w:pPr>
    </w:p>
    <w:p w14:paraId="2C098882" w14:textId="04C6AF35" w:rsidR="008B75CD" w:rsidRDefault="008B75CD" w:rsidP="00BD069B">
      <w:pPr>
        <w:tabs>
          <w:tab w:val="left" w:pos="2850"/>
        </w:tabs>
        <w:spacing w:line="480" w:lineRule="auto"/>
        <w:rPr>
          <w:rFonts w:cstheme="minorHAnsi"/>
          <w:sz w:val="24"/>
          <w:szCs w:val="24"/>
        </w:rPr>
      </w:pPr>
    </w:p>
    <w:p w14:paraId="553C3EC6" w14:textId="03410674" w:rsidR="008B75CD" w:rsidRDefault="008B75CD" w:rsidP="00BD069B">
      <w:pPr>
        <w:tabs>
          <w:tab w:val="left" w:pos="2850"/>
        </w:tabs>
        <w:spacing w:line="480" w:lineRule="auto"/>
        <w:rPr>
          <w:rFonts w:cstheme="minorHAnsi"/>
          <w:sz w:val="24"/>
          <w:szCs w:val="24"/>
        </w:rPr>
      </w:pPr>
    </w:p>
    <w:p w14:paraId="70A13F6B" w14:textId="750ADD50" w:rsidR="008B75CD" w:rsidRDefault="008B75CD" w:rsidP="00BD069B">
      <w:pPr>
        <w:tabs>
          <w:tab w:val="left" w:pos="2850"/>
        </w:tabs>
        <w:spacing w:line="480" w:lineRule="auto"/>
        <w:rPr>
          <w:rFonts w:cstheme="minorHAnsi"/>
          <w:sz w:val="24"/>
          <w:szCs w:val="24"/>
        </w:rPr>
      </w:pPr>
    </w:p>
    <w:p w14:paraId="3CD93721" w14:textId="7424CA92" w:rsidR="008B75CD" w:rsidRDefault="008B75CD" w:rsidP="00BD069B">
      <w:pPr>
        <w:tabs>
          <w:tab w:val="left" w:pos="2850"/>
        </w:tabs>
        <w:spacing w:line="480" w:lineRule="auto"/>
        <w:rPr>
          <w:rFonts w:cstheme="minorHAnsi"/>
          <w:sz w:val="24"/>
          <w:szCs w:val="24"/>
        </w:rPr>
      </w:pPr>
    </w:p>
    <w:p w14:paraId="427C3E39" w14:textId="336BDBDC" w:rsidR="008B75CD" w:rsidRDefault="008B75CD" w:rsidP="00BD069B">
      <w:pPr>
        <w:tabs>
          <w:tab w:val="left" w:pos="2850"/>
        </w:tabs>
        <w:spacing w:line="480" w:lineRule="auto"/>
        <w:rPr>
          <w:rFonts w:cstheme="minorHAnsi"/>
          <w:sz w:val="24"/>
          <w:szCs w:val="24"/>
        </w:rPr>
      </w:pPr>
    </w:p>
    <w:p w14:paraId="4BDE67E1" w14:textId="2E43FE3A" w:rsidR="008B75CD" w:rsidRDefault="008B75CD" w:rsidP="00BD069B">
      <w:pPr>
        <w:tabs>
          <w:tab w:val="left" w:pos="2850"/>
        </w:tabs>
        <w:spacing w:line="480" w:lineRule="auto"/>
        <w:rPr>
          <w:rFonts w:cstheme="minorHAnsi"/>
          <w:sz w:val="24"/>
          <w:szCs w:val="24"/>
        </w:rPr>
      </w:pPr>
    </w:p>
    <w:p w14:paraId="017CC899" w14:textId="2B283AAC" w:rsidR="008B75CD" w:rsidRDefault="008B75CD" w:rsidP="00BD069B">
      <w:pPr>
        <w:tabs>
          <w:tab w:val="left" w:pos="2850"/>
        </w:tabs>
        <w:spacing w:line="480" w:lineRule="auto"/>
        <w:rPr>
          <w:rFonts w:cstheme="minorHAnsi"/>
          <w:sz w:val="24"/>
          <w:szCs w:val="24"/>
        </w:rPr>
      </w:pPr>
    </w:p>
    <w:p w14:paraId="19B95EAC" w14:textId="77777777" w:rsidR="008B75CD" w:rsidRPr="004D0AEB" w:rsidRDefault="008B75CD" w:rsidP="00BD069B">
      <w:pPr>
        <w:tabs>
          <w:tab w:val="left" w:pos="2850"/>
        </w:tabs>
        <w:spacing w:line="480" w:lineRule="auto"/>
        <w:rPr>
          <w:rFonts w:cstheme="minorHAnsi"/>
          <w:sz w:val="24"/>
          <w:szCs w:val="24"/>
        </w:rPr>
      </w:pPr>
    </w:p>
    <w:p w14:paraId="74FE41B2" w14:textId="77777777" w:rsidR="00F118E5" w:rsidRPr="004D0AEB" w:rsidRDefault="00F118E5" w:rsidP="00BD069B">
      <w:pPr>
        <w:tabs>
          <w:tab w:val="left" w:pos="2850"/>
        </w:tabs>
        <w:spacing w:line="480" w:lineRule="auto"/>
        <w:rPr>
          <w:rFonts w:cstheme="minorHAnsi"/>
          <w:sz w:val="24"/>
          <w:szCs w:val="24"/>
        </w:rPr>
      </w:pPr>
    </w:p>
    <w:p w14:paraId="592B40A6" w14:textId="77777777" w:rsidR="00F118E5" w:rsidRPr="004D0AEB" w:rsidRDefault="00F118E5" w:rsidP="00BD069B">
      <w:pPr>
        <w:spacing w:line="480" w:lineRule="auto"/>
        <w:jc w:val="center"/>
        <w:rPr>
          <w:rFonts w:cstheme="minorHAnsi"/>
          <w:b/>
          <w:bCs/>
          <w:sz w:val="32"/>
          <w:szCs w:val="32"/>
        </w:rPr>
      </w:pPr>
      <w:r w:rsidRPr="004D0AEB">
        <w:rPr>
          <w:rFonts w:cstheme="minorHAnsi"/>
          <w:b/>
          <w:bCs/>
          <w:sz w:val="32"/>
          <w:szCs w:val="32"/>
        </w:rPr>
        <w:lastRenderedPageBreak/>
        <w:t>CONCLUSION</w:t>
      </w:r>
    </w:p>
    <w:p w14:paraId="6B5C0B3A" w14:textId="3AA201A5" w:rsidR="00F118E5" w:rsidRPr="004D0AEB" w:rsidRDefault="00F118E5" w:rsidP="00BD069B">
      <w:pPr>
        <w:spacing w:line="480" w:lineRule="auto"/>
        <w:rPr>
          <w:rFonts w:cstheme="minorHAnsi"/>
          <w:sz w:val="24"/>
          <w:szCs w:val="24"/>
        </w:rPr>
      </w:pPr>
      <w:r w:rsidRPr="004D0AEB">
        <w:rPr>
          <w:rFonts w:cstheme="minorHAnsi"/>
          <w:sz w:val="24"/>
          <w:szCs w:val="24"/>
        </w:rPr>
        <w:t xml:space="preserve">The purpose of this research was to argue for a supportive homosexual reading of the Quranic Story of Lot, with the intent to internally legitimise </w:t>
      </w:r>
      <w:r w:rsidR="00A56E74" w:rsidRPr="004D0AEB">
        <w:rPr>
          <w:rFonts w:cstheme="minorHAnsi"/>
          <w:sz w:val="24"/>
          <w:szCs w:val="24"/>
        </w:rPr>
        <w:t>a homosexual interpretive lens.</w:t>
      </w:r>
      <w:r w:rsidRPr="004D0AEB">
        <w:rPr>
          <w:rFonts w:cstheme="minorHAnsi"/>
          <w:sz w:val="24"/>
          <w:szCs w:val="24"/>
        </w:rPr>
        <w:t xml:space="preserve"> Through drawing upon Esack’s Liberation Theology, this thesis has considered homosexuality throughout Islamic history, a re-evaluation of Sharia Law in accordance to an LGBT perspective, the complex tools and principles concerning Quranic interpretation and most significantly, analysed the key Story of Lot, along with an evaluation of its traditional interpretation in accordance to a homosexually support</w:t>
      </w:r>
      <w:r w:rsidR="003756D0" w:rsidRPr="004D0AEB">
        <w:rPr>
          <w:rFonts w:cstheme="minorHAnsi"/>
          <w:sz w:val="24"/>
          <w:szCs w:val="24"/>
        </w:rPr>
        <w:t>ed</w:t>
      </w:r>
      <w:r w:rsidRPr="004D0AEB">
        <w:rPr>
          <w:rFonts w:cstheme="minorHAnsi"/>
          <w:sz w:val="24"/>
          <w:szCs w:val="24"/>
        </w:rPr>
        <w:t xml:space="preserve"> perspective. It is now </w:t>
      </w:r>
      <w:r w:rsidR="003756D0" w:rsidRPr="004D0AEB">
        <w:rPr>
          <w:rFonts w:cstheme="minorHAnsi"/>
          <w:sz w:val="24"/>
          <w:szCs w:val="24"/>
        </w:rPr>
        <w:t>crucial</w:t>
      </w:r>
      <w:r w:rsidRPr="004D0AEB">
        <w:rPr>
          <w:rFonts w:cstheme="minorHAnsi"/>
          <w:sz w:val="24"/>
          <w:szCs w:val="24"/>
        </w:rPr>
        <w:t xml:space="preserve"> to summarise these key findings, t</w:t>
      </w:r>
      <w:r w:rsidR="003756D0" w:rsidRPr="004D0AEB">
        <w:rPr>
          <w:rFonts w:cstheme="minorHAnsi"/>
          <w:sz w:val="24"/>
          <w:szCs w:val="24"/>
        </w:rPr>
        <w:t>o assess</w:t>
      </w:r>
      <w:r w:rsidRPr="004D0AEB">
        <w:rPr>
          <w:rFonts w:cstheme="minorHAnsi"/>
          <w:sz w:val="24"/>
          <w:szCs w:val="24"/>
        </w:rPr>
        <w:t xml:space="preserve"> whether my research aim was successful.</w:t>
      </w:r>
    </w:p>
    <w:p w14:paraId="452791A1" w14:textId="104C9F83" w:rsidR="00F118E5" w:rsidRPr="004D0AEB" w:rsidRDefault="00F118E5" w:rsidP="00BD069B">
      <w:pPr>
        <w:spacing w:line="480" w:lineRule="auto"/>
        <w:rPr>
          <w:rFonts w:cstheme="minorHAnsi"/>
          <w:sz w:val="24"/>
          <w:szCs w:val="24"/>
        </w:rPr>
      </w:pPr>
      <w:r w:rsidRPr="004D0AEB">
        <w:rPr>
          <w:rFonts w:cstheme="minorHAnsi"/>
          <w:sz w:val="24"/>
          <w:szCs w:val="24"/>
        </w:rPr>
        <w:t xml:space="preserve">Having examined the attitudinal development of homosexuality throughout Islamic history, specifically, during The Golden Age, it can be concluded that there has been a significant shift in perspective regarding homosexuality. It was vital to firstly examine homosexuality throughout Islamic history to evaluate its developments to the present day, whilst also offering a background to the reader, explaining how and why this shift in attitude evolved. It can be surmised that it was certainly plausible to be homosexual and Muslim during </w:t>
      </w:r>
      <w:r w:rsidR="002B7AB1" w:rsidRPr="004D0AEB">
        <w:rPr>
          <w:rFonts w:cstheme="minorHAnsi"/>
          <w:sz w:val="24"/>
          <w:szCs w:val="24"/>
        </w:rPr>
        <w:t>The Golden Age</w:t>
      </w:r>
      <w:r w:rsidRPr="004D0AEB">
        <w:rPr>
          <w:rFonts w:cstheme="minorHAnsi"/>
          <w:sz w:val="24"/>
          <w:szCs w:val="24"/>
        </w:rPr>
        <w:t>, as homosexuality was an accepted part of life</w:t>
      </w:r>
      <w:r w:rsidR="006A165C" w:rsidRPr="004D0AEB">
        <w:rPr>
          <w:rFonts w:cstheme="minorHAnsi"/>
          <w:sz w:val="24"/>
          <w:szCs w:val="24"/>
        </w:rPr>
        <w:t>,</w:t>
      </w:r>
      <w:r w:rsidRPr="004D0AEB">
        <w:rPr>
          <w:rFonts w:cstheme="minorHAnsi"/>
          <w:sz w:val="24"/>
          <w:szCs w:val="24"/>
        </w:rPr>
        <w:t xml:space="preserve"> evident through elements such as literature and poetry</w:t>
      </w:r>
      <w:r w:rsidR="006A165C" w:rsidRPr="004D0AEB">
        <w:rPr>
          <w:rFonts w:cstheme="minorHAnsi"/>
          <w:sz w:val="24"/>
          <w:szCs w:val="24"/>
        </w:rPr>
        <w:t>.</w:t>
      </w:r>
      <w:r w:rsidRPr="004D0AEB">
        <w:rPr>
          <w:rFonts w:cstheme="minorHAnsi"/>
          <w:sz w:val="24"/>
          <w:szCs w:val="24"/>
        </w:rPr>
        <w:t xml:space="preserve"> </w:t>
      </w:r>
      <w:r w:rsidR="006A165C" w:rsidRPr="004D0AEB">
        <w:rPr>
          <w:rFonts w:cstheme="minorHAnsi"/>
          <w:sz w:val="24"/>
          <w:szCs w:val="24"/>
        </w:rPr>
        <w:t>It</w:t>
      </w:r>
      <w:r w:rsidRPr="004D0AEB">
        <w:rPr>
          <w:rFonts w:cstheme="minorHAnsi"/>
          <w:sz w:val="24"/>
          <w:szCs w:val="24"/>
        </w:rPr>
        <w:t xml:space="preserve"> must be surmised that although homosexuality was indeed accepted, it did not advance or flourish amongst society, resulting in its influence on the current Islamic homosexual perspective, being weak. With the nineteenth century, and developments such as the concept of colonialization, the Golden Age’s historic influence upon homosexuality was simply surpassed, resulting in a current lack of acknowledgment, and an historic period that alone, cannot justify for an Islamic homosexual approach.</w:t>
      </w:r>
    </w:p>
    <w:p w14:paraId="1A0A9426" w14:textId="5EEC29B1" w:rsidR="00F118E5" w:rsidRPr="004D0AEB" w:rsidRDefault="00F118E5" w:rsidP="00BD069B">
      <w:pPr>
        <w:spacing w:line="480" w:lineRule="auto"/>
        <w:rPr>
          <w:rFonts w:cstheme="minorHAnsi"/>
          <w:sz w:val="24"/>
          <w:szCs w:val="24"/>
        </w:rPr>
      </w:pPr>
      <w:r w:rsidRPr="004D0AEB">
        <w:rPr>
          <w:rFonts w:cstheme="minorHAnsi"/>
          <w:sz w:val="24"/>
          <w:szCs w:val="24"/>
        </w:rPr>
        <w:lastRenderedPageBreak/>
        <w:t xml:space="preserve">Having evaluated the Sharia Law in relation to Islamic homosexuality, it can be concluded that a supportive perspective is attainable. I chose to draw upon the Sharia due to its centrality in Islamic life, and its foundation as a consistent pathway towards God’s will. It accentuates and outlines the ethical bases of </w:t>
      </w:r>
      <w:r w:rsidR="001838CB" w:rsidRPr="004D0AEB">
        <w:rPr>
          <w:rFonts w:cstheme="minorHAnsi"/>
          <w:sz w:val="24"/>
          <w:szCs w:val="24"/>
        </w:rPr>
        <w:t>Islam;</w:t>
      </w:r>
      <w:r w:rsidRPr="004D0AEB">
        <w:rPr>
          <w:rFonts w:cstheme="minorHAnsi"/>
          <w:sz w:val="24"/>
          <w:szCs w:val="24"/>
        </w:rPr>
        <w:t xml:space="preserve"> however, it can be determined that the Sharia has been influenced by humanity, adding an unavoidable profane element to its divinity. There is no denying the input that scholars have had on the Sharia, thus offering a supportive perspective for homosexual Muslims to draw upon, </w:t>
      </w:r>
      <w:r w:rsidR="00C02226" w:rsidRPr="004D0AEB">
        <w:rPr>
          <w:rFonts w:cstheme="minorHAnsi"/>
          <w:sz w:val="24"/>
          <w:szCs w:val="24"/>
        </w:rPr>
        <w:t>regarding</w:t>
      </w:r>
      <w:r w:rsidRPr="004D0AEB">
        <w:rPr>
          <w:rFonts w:cstheme="minorHAnsi"/>
          <w:sz w:val="24"/>
          <w:szCs w:val="24"/>
        </w:rPr>
        <w:t xml:space="preserve"> </w:t>
      </w:r>
      <w:r w:rsidR="00870F7C" w:rsidRPr="004D0AEB">
        <w:rPr>
          <w:rFonts w:cstheme="minorHAnsi"/>
          <w:sz w:val="24"/>
          <w:szCs w:val="24"/>
        </w:rPr>
        <w:t>the rejection of</w:t>
      </w:r>
      <w:r w:rsidRPr="004D0AEB">
        <w:rPr>
          <w:rFonts w:cstheme="minorHAnsi"/>
          <w:sz w:val="24"/>
          <w:szCs w:val="24"/>
        </w:rPr>
        <w:t xml:space="preserve"> human influence, rather than a purely divine authority. In addition, in can be surmised that al-Shatibi’s framework for a Sharia </w:t>
      </w:r>
      <w:r w:rsidR="00C02226" w:rsidRPr="004D0AEB">
        <w:rPr>
          <w:rFonts w:cstheme="minorHAnsi"/>
          <w:sz w:val="24"/>
          <w:szCs w:val="24"/>
        </w:rPr>
        <w:t>adaption</w:t>
      </w:r>
      <w:r w:rsidRPr="004D0AEB">
        <w:rPr>
          <w:rFonts w:cstheme="minorHAnsi"/>
          <w:sz w:val="24"/>
          <w:szCs w:val="24"/>
        </w:rPr>
        <w:t xml:space="preserve"> can also be used to support a homosexual approach, as it offers a pathway through which one can securely remain within the Sharia’s accord and principles, whilst also expressing </w:t>
      </w:r>
      <w:r w:rsidR="00C02226" w:rsidRPr="004D0AEB">
        <w:rPr>
          <w:rFonts w:cstheme="minorHAnsi"/>
          <w:sz w:val="24"/>
          <w:szCs w:val="24"/>
        </w:rPr>
        <w:t>oneself</w:t>
      </w:r>
      <w:r w:rsidRPr="004D0AEB">
        <w:rPr>
          <w:rFonts w:cstheme="minorHAnsi"/>
          <w:sz w:val="24"/>
          <w:szCs w:val="24"/>
        </w:rPr>
        <w:t xml:space="preserve"> as homosexual.</w:t>
      </w:r>
    </w:p>
    <w:p w14:paraId="22E2344C" w14:textId="58B34963" w:rsidR="00F118E5" w:rsidRPr="004D0AEB" w:rsidRDefault="00F118E5" w:rsidP="00BD069B">
      <w:pPr>
        <w:spacing w:line="480" w:lineRule="auto"/>
        <w:rPr>
          <w:rFonts w:cstheme="minorHAnsi"/>
          <w:sz w:val="24"/>
          <w:szCs w:val="24"/>
        </w:rPr>
      </w:pPr>
      <w:r w:rsidRPr="004D0AEB">
        <w:rPr>
          <w:rFonts w:cstheme="minorHAnsi"/>
          <w:sz w:val="24"/>
          <w:szCs w:val="24"/>
        </w:rPr>
        <w:t xml:space="preserve">It can be determined that Kugle’s three Principles and Tools may be applied to a Quranic interpretation, to support a possible homosexual reading, specifically regarding the ethic of pluralism, or diversity, the emphasis on a flexible reading </w:t>
      </w:r>
      <w:r w:rsidR="005974C0" w:rsidRPr="004D0AEB">
        <w:rPr>
          <w:rFonts w:cstheme="minorHAnsi"/>
          <w:sz w:val="24"/>
          <w:szCs w:val="24"/>
        </w:rPr>
        <w:t>due to</w:t>
      </w:r>
      <w:r w:rsidRPr="004D0AEB">
        <w:rPr>
          <w:rFonts w:cstheme="minorHAnsi"/>
          <w:sz w:val="24"/>
          <w:szCs w:val="24"/>
        </w:rPr>
        <w:t xml:space="preserve"> the passing of time, and the emphasis on well-being for all. Although this examination highlighted the complexity of Quranic interpretation, regarding </w:t>
      </w:r>
      <w:r w:rsidRPr="004D0AEB">
        <w:rPr>
          <w:rFonts w:cstheme="minorHAnsi"/>
          <w:i/>
          <w:iCs/>
          <w:sz w:val="24"/>
          <w:szCs w:val="24"/>
        </w:rPr>
        <w:t xml:space="preserve">how </w:t>
      </w:r>
      <w:r w:rsidRPr="004D0AEB">
        <w:rPr>
          <w:rFonts w:cstheme="minorHAnsi"/>
          <w:sz w:val="24"/>
          <w:szCs w:val="24"/>
        </w:rPr>
        <w:t>each individual applies these tools differently, it can be concluded that a homosexual application of these tools is both valid and plausible, to support a sexually diverse Quranic reading. Before delving into an analysis of Lot’s parable, it was significant to examine the</w:t>
      </w:r>
      <w:r w:rsidR="007D6BB8" w:rsidRPr="004D0AEB">
        <w:rPr>
          <w:rFonts w:cstheme="minorHAnsi"/>
          <w:sz w:val="24"/>
          <w:szCs w:val="24"/>
        </w:rPr>
        <w:t>se</w:t>
      </w:r>
      <w:r w:rsidRPr="004D0AEB">
        <w:rPr>
          <w:rFonts w:cstheme="minorHAnsi"/>
          <w:sz w:val="24"/>
          <w:szCs w:val="24"/>
        </w:rPr>
        <w:t xml:space="preserve"> tools and principals involved in the practice of interpretation, to highlight </w:t>
      </w:r>
      <w:r w:rsidR="007D6BB8" w:rsidRPr="004D0AEB">
        <w:rPr>
          <w:rFonts w:cstheme="minorHAnsi"/>
          <w:sz w:val="24"/>
          <w:szCs w:val="24"/>
        </w:rPr>
        <w:t>the</w:t>
      </w:r>
      <w:r w:rsidRPr="004D0AEB">
        <w:rPr>
          <w:rFonts w:cstheme="minorHAnsi"/>
          <w:sz w:val="24"/>
          <w:szCs w:val="24"/>
        </w:rPr>
        <w:t xml:space="preserve"> depth, and to thus consider this density when conducting and analysing the primary passage.</w:t>
      </w:r>
    </w:p>
    <w:p w14:paraId="3907EC55" w14:textId="0FF4D75E" w:rsidR="00F118E5" w:rsidRPr="004D0AEB" w:rsidRDefault="00F118E5" w:rsidP="00BD069B">
      <w:pPr>
        <w:spacing w:line="480" w:lineRule="auto"/>
        <w:rPr>
          <w:rFonts w:cstheme="minorHAnsi"/>
          <w:sz w:val="24"/>
          <w:szCs w:val="24"/>
        </w:rPr>
      </w:pPr>
      <w:r w:rsidRPr="004D0AEB">
        <w:rPr>
          <w:rFonts w:cstheme="minorHAnsi"/>
          <w:sz w:val="24"/>
          <w:szCs w:val="24"/>
        </w:rPr>
        <w:t xml:space="preserve">Having examined the core parable of Lot’s tale, it can be concluded that the traditional argument can be critiqued, specifically regarding the human creation of terms such as </w:t>
      </w:r>
      <w:r w:rsidRPr="004D0AEB">
        <w:rPr>
          <w:rFonts w:cstheme="minorHAnsi"/>
          <w:i/>
          <w:iCs/>
          <w:sz w:val="24"/>
          <w:szCs w:val="24"/>
        </w:rPr>
        <w:t xml:space="preserve">liwat, </w:t>
      </w:r>
      <w:r w:rsidRPr="004D0AEB">
        <w:rPr>
          <w:rFonts w:cstheme="minorHAnsi"/>
          <w:sz w:val="24"/>
          <w:szCs w:val="24"/>
        </w:rPr>
        <w:lastRenderedPageBreak/>
        <w:t>to purposefully link Lot’s parable to homosexuality, regardless of their non-existence in the Qur’an itself. Nevertheless, it must be determined that a traditional reading cannot be rejected entirely, although, a supportive homosexual reading is also possible, through contrasting interpretations such as infidelity, male-</w:t>
      </w:r>
      <w:r w:rsidR="00EE585F" w:rsidRPr="004D0AEB">
        <w:rPr>
          <w:rFonts w:cstheme="minorHAnsi"/>
          <w:sz w:val="24"/>
          <w:szCs w:val="24"/>
        </w:rPr>
        <w:t>rape,</w:t>
      </w:r>
      <w:r w:rsidRPr="004D0AEB">
        <w:rPr>
          <w:rFonts w:cstheme="minorHAnsi"/>
          <w:sz w:val="24"/>
          <w:szCs w:val="24"/>
        </w:rPr>
        <w:t xml:space="preserve"> and the rejection of prophethood. Having examined the narration of Lot’s tale, the fragmentation can also be used to support a homosexual reading, as it suggests a thematic link between other prophetic tales, thus resulting in a core homosexual condemnation becoming questionable. The issue of lesbianism also remains a pivotal supportive </w:t>
      </w:r>
      <w:r w:rsidR="00532ED0" w:rsidRPr="004D0AEB">
        <w:rPr>
          <w:rFonts w:cstheme="minorHAnsi"/>
          <w:sz w:val="24"/>
          <w:szCs w:val="24"/>
        </w:rPr>
        <w:t>concept</w:t>
      </w:r>
      <w:r w:rsidRPr="004D0AEB">
        <w:rPr>
          <w:rFonts w:cstheme="minorHAnsi"/>
          <w:sz w:val="24"/>
          <w:szCs w:val="24"/>
        </w:rPr>
        <w:t>, as it questions the classic interpretation, whilst supporting a homosexual interpretation regarding a male-rape perspective. Lot’s parable was unquestionably the core</w:t>
      </w:r>
      <w:r w:rsidR="00D41AB4" w:rsidRPr="004D0AEB">
        <w:rPr>
          <w:rFonts w:cstheme="minorHAnsi"/>
          <w:sz w:val="24"/>
          <w:szCs w:val="24"/>
        </w:rPr>
        <w:t xml:space="preserve"> analytical</w:t>
      </w:r>
      <w:r w:rsidRPr="004D0AEB">
        <w:rPr>
          <w:rFonts w:cstheme="minorHAnsi"/>
          <w:sz w:val="24"/>
          <w:szCs w:val="24"/>
        </w:rPr>
        <w:t xml:space="preserve"> choice whilst considering an affirmative LGBT narrative, as it lies at the centre of Islamic homosexual attitudes and controversy. </w:t>
      </w:r>
    </w:p>
    <w:p w14:paraId="000257D1" w14:textId="36CDD554" w:rsidR="00F118E5" w:rsidRPr="004D0AEB" w:rsidRDefault="00F118E5" w:rsidP="00BD069B">
      <w:pPr>
        <w:spacing w:line="480" w:lineRule="auto"/>
        <w:rPr>
          <w:rFonts w:cstheme="minorHAnsi"/>
          <w:sz w:val="24"/>
          <w:szCs w:val="24"/>
        </w:rPr>
      </w:pPr>
      <w:r w:rsidRPr="004D0AEB">
        <w:rPr>
          <w:rFonts w:cstheme="minorHAnsi"/>
          <w:sz w:val="24"/>
          <w:szCs w:val="24"/>
        </w:rPr>
        <w:t xml:space="preserve">In addition, it can be surmised that Esack’s Liberation Theology can be successfully applied to support a possible homosexual reading of Lot’s parable. This is evident in terms of a flexible Quranic approach, that abides by the social circumstances in which the Qur’an is being addressed, rather than hindering Muslims </w:t>
      </w:r>
      <w:r w:rsidR="008B377B" w:rsidRPr="004D0AEB">
        <w:rPr>
          <w:rFonts w:cstheme="minorHAnsi"/>
          <w:sz w:val="24"/>
          <w:szCs w:val="24"/>
        </w:rPr>
        <w:t xml:space="preserve">with </w:t>
      </w:r>
      <w:r w:rsidRPr="004D0AEB">
        <w:rPr>
          <w:rFonts w:cstheme="minorHAnsi"/>
          <w:sz w:val="24"/>
          <w:szCs w:val="24"/>
        </w:rPr>
        <w:t>a traditional reading. Esack’s ‘location theology’ can also be concluded as supporting a homosexual reading, as Muslims who stand within a location of oppression are able to extract justice from the text, to support their approach. It can also be surmised that Esack’s theology supports a homosexual approach through the evaluation of a classic Quranic interpretation functioning as an ideology, hindering justice</w:t>
      </w:r>
      <w:r w:rsidR="00D47E9D" w:rsidRPr="004D0AEB">
        <w:rPr>
          <w:rFonts w:cstheme="minorHAnsi"/>
          <w:sz w:val="24"/>
          <w:szCs w:val="24"/>
        </w:rPr>
        <w:t>,</w:t>
      </w:r>
      <w:r w:rsidRPr="004D0AEB">
        <w:rPr>
          <w:rFonts w:cstheme="minorHAnsi"/>
          <w:sz w:val="24"/>
          <w:szCs w:val="24"/>
        </w:rPr>
        <w:t xml:space="preserve"> and legitimising unjust orders. My findings supported Esack’s theory that a liberative Quranic interpretation can extract justice from the holy scripture, resulting in the liberation of an oppressed and marginalised community. An application of a liberative theoretical framework was thus crucial whilst considering a possible LGBT Quranic reading, </w:t>
      </w:r>
      <w:r w:rsidRPr="004D0AEB">
        <w:rPr>
          <w:rFonts w:cstheme="minorHAnsi"/>
          <w:sz w:val="24"/>
          <w:szCs w:val="24"/>
        </w:rPr>
        <w:lastRenderedPageBreak/>
        <w:t xml:space="preserve">due to its emphasis on the </w:t>
      </w:r>
      <w:r w:rsidR="00872516" w:rsidRPr="004D0AEB">
        <w:rPr>
          <w:rFonts w:cstheme="minorHAnsi"/>
          <w:sz w:val="24"/>
          <w:szCs w:val="24"/>
        </w:rPr>
        <w:t>liberation and well-being of the marginalised</w:t>
      </w:r>
      <w:r w:rsidRPr="004D0AEB">
        <w:rPr>
          <w:rFonts w:cstheme="minorHAnsi"/>
          <w:sz w:val="24"/>
          <w:szCs w:val="24"/>
        </w:rPr>
        <w:t xml:space="preserve">, through a legitimised scriptural application. </w:t>
      </w:r>
    </w:p>
    <w:p w14:paraId="74EFA5B8" w14:textId="0E022E85" w:rsidR="00F118E5" w:rsidRPr="004D0AEB" w:rsidRDefault="00F118E5" w:rsidP="00BD069B">
      <w:pPr>
        <w:spacing w:line="480" w:lineRule="auto"/>
        <w:rPr>
          <w:rFonts w:cstheme="minorHAnsi"/>
          <w:sz w:val="24"/>
          <w:szCs w:val="24"/>
        </w:rPr>
      </w:pPr>
      <w:r w:rsidRPr="004D0AEB">
        <w:rPr>
          <w:rFonts w:cstheme="minorHAnsi"/>
          <w:sz w:val="24"/>
          <w:szCs w:val="24"/>
        </w:rPr>
        <w:t xml:space="preserve">It can be concluded that a homosexually supportive interpretation of Lot’s parable is thus possible within the Islamic faith, with the concept of homosexuality being internally legitimate through the process of liberative interpretation. This thesis has added to the field of research through contributing a theological approach to the developing field of religion and sexuality, in opposed to the prominent ethnographic works which currently pervade the field. This thesis has also contributed a narrowly focused study of analytical debate, successfully re-evaluating a traditional Islamic approach, whilst conclusively supporting an oppressed community, through a liberative theological framework. Overall, a supportive contribution has been made to an emergent </w:t>
      </w:r>
      <w:r w:rsidR="006D0B25" w:rsidRPr="004D0AEB">
        <w:rPr>
          <w:rFonts w:cstheme="minorHAnsi"/>
          <w:sz w:val="24"/>
          <w:szCs w:val="24"/>
        </w:rPr>
        <w:t>group,</w:t>
      </w:r>
      <w:r w:rsidRPr="004D0AEB">
        <w:rPr>
          <w:rFonts w:cstheme="minorHAnsi"/>
          <w:sz w:val="24"/>
          <w:szCs w:val="24"/>
        </w:rPr>
        <w:t xml:space="preserve"> LGBT, in </w:t>
      </w:r>
      <w:r w:rsidR="00E8730C" w:rsidRPr="004D0AEB">
        <w:rPr>
          <w:rFonts w:cstheme="minorHAnsi"/>
          <w:sz w:val="24"/>
          <w:szCs w:val="24"/>
        </w:rPr>
        <w:t>the</w:t>
      </w:r>
      <w:r w:rsidRPr="004D0AEB">
        <w:rPr>
          <w:rFonts w:cstheme="minorHAnsi"/>
          <w:sz w:val="24"/>
          <w:szCs w:val="24"/>
        </w:rPr>
        <w:t xml:space="preserve"> developing field of sexual diversity. </w:t>
      </w:r>
    </w:p>
    <w:p w14:paraId="715DF4C2" w14:textId="18828D02" w:rsidR="00F118E5" w:rsidRDefault="00F118E5" w:rsidP="00BD069B">
      <w:pPr>
        <w:spacing w:line="480" w:lineRule="auto"/>
        <w:rPr>
          <w:rFonts w:cstheme="minorHAnsi"/>
          <w:sz w:val="24"/>
          <w:szCs w:val="24"/>
        </w:rPr>
      </w:pPr>
      <w:r w:rsidRPr="004D0AEB">
        <w:rPr>
          <w:rFonts w:cstheme="minorHAnsi"/>
          <w:sz w:val="24"/>
          <w:szCs w:val="24"/>
        </w:rPr>
        <w:t xml:space="preserve">Regarding the future study of this field, this research could be extended upon in terms of a larger sample </w:t>
      </w:r>
      <w:r w:rsidR="008B75CD" w:rsidRPr="004D0AEB">
        <w:rPr>
          <w:rFonts w:cstheme="minorHAnsi"/>
          <w:sz w:val="24"/>
          <w:szCs w:val="24"/>
        </w:rPr>
        <w:t>size,</w:t>
      </w:r>
      <w:r w:rsidR="00E8730C" w:rsidRPr="004D0AEB">
        <w:rPr>
          <w:rFonts w:cstheme="minorHAnsi"/>
          <w:sz w:val="24"/>
          <w:szCs w:val="24"/>
        </w:rPr>
        <w:t xml:space="preserve"> regarding a</w:t>
      </w:r>
      <w:r w:rsidRPr="004D0AEB">
        <w:rPr>
          <w:rFonts w:cstheme="minorHAnsi"/>
          <w:sz w:val="24"/>
          <w:szCs w:val="24"/>
        </w:rPr>
        <w:t xml:space="preserve"> broader Quranic examination. This research is narrowly focused on the key Story of Lot, and although it touches upon other aspects of the Qur’an, for example in terms of the parable’s fragmented narration, further research would enable a more detailed analysis, in terms of Lot’s placement amongst the tales of other Prophets. Another recommendation for further research would be an analysis of homosexuality in the Hadith or Sunnah, expanding beyond a Quranic evaluation. Although these texts are not as central to Islam in comparison to the Qur’an, they are still pivotal holy scripture</w:t>
      </w:r>
      <w:r w:rsidR="00367843" w:rsidRPr="004D0AEB">
        <w:rPr>
          <w:rFonts w:cstheme="minorHAnsi"/>
          <w:sz w:val="24"/>
          <w:szCs w:val="24"/>
        </w:rPr>
        <w:t>s</w:t>
      </w:r>
      <w:r w:rsidRPr="004D0AEB">
        <w:rPr>
          <w:rFonts w:cstheme="minorHAnsi"/>
          <w:sz w:val="24"/>
          <w:szCs w:val="24"/>
        </w:rPr>
        <w:t xml:space="preserve"> for Muslims, and would offer a distinct and significant perspective from the viewpoint of the Prophet Muhammad.</w:t>
      </w:r>
    </w:p>
    <w:p w14:paraId="636833A8" w14:textId="77777777" w:rsidR="008B75CD" w:rsidRPr="004D0AEB" w:rsidRDefault="008B75CD" w:rsidP="00BD069B">
      <w:pPr>
        <w:spacing w:line="480" w:lineRule="auto"/>
        <w:rPr>
          <w:rFonts w:cstheme="minorHAnsi"/>
          <w:sz w:val="24"/>
          <w:szCs w:val="24"/>
        </w:rPr>
      </w:pPr>
    </w:p>
    <w:p w14:paraId="3C839C3B" w14:textId="77777777" w:rsidR="00F118E5" w:rsidRPr="004D0AEB" w:rsidRDefault="00F118E5" w:rsidP="00B36D6F">
      <w:pPr>
        <w:spacing w:line="360" w:lineRule="auto"/>
        <w:jc w:val="center"/>
        <w:rPr>
          <w:rFonts w:cstheme="minorHAnsi"/>
          <w:b/>
          <w:bCs/>
          <w:sz w:val="32"/>
          <w:szCs w:val="32"/>
        </w:rPr>
      </w:pPr>
      <w:r w:rsidRPr="004D0AEB">
        <w:rPr>
          <w:rFonts w:cstheme="minorHAnsi"/>
          <w:b/>
          <w:bCs/>
          <w:sz w:val="32"/>
          <w:szCs w:val="32"/>
        </w:rPr>
        <w:lastRenderedPageBreak/>
        <w:t>BIBLIOGRAPHY</w:t>
      </w:r>
    </w:p>
    <w:p w14:paraId="200D50B0" w14:textId="77777777" w:rsidR="00F118E5" w:rsidRPr="004D0AEB" w:rsidRDefault="00F118E5" w:rsidP="00B36D6F">
      <w:pPr>
        <w:spacing w:line="360" w:lineRule="auto"/>
        <w:rPr>
          <w:rFonts w:cstheme="minorHAnsi"/>
          <w:sz w:val="24"/>
          <w:szCs w:val="24"/>
        </w:rPr>
      </w:pPr>
      <w:r w:rsidRPr="004D0AEB">
        <w:rPr>
          <w:rFonts w:cstheme="minorHAnsi"/>
          <w:sz w:val="24"/>
          <w:szCs w:val="24"/>
        </w:rPr>
        <w:t xml:space="preserve">Abdulla, R, and Keshavjee, M.M. (2018) </w:t>
      </w:r>
      <w:r w:rsidRPr="004D0AEB">
        <w:rPr>
          <w:rFonts w:cstheme="minorHAnsi"/>
          <w:i/>
          <w:iCs/>
          <w:sz w:val="24"/>
          <w:szCs w:val="24"/>
        </w:rPr>
        <w:t xml:space="preserve">Understanding Sharia: Islamic Law in a Globalised World. </w:t>
      </w:r>
      <w:r w:rsidRPr="004D0AEB">
        <w:rPr>
          <w:rFonts w:cstheme="minorHAnsi"/>
          <w:sz w:val="24"/>
          <w:szCs w:val="24"/>
        </w:rPr>
        <w:t>London and New York: I.B. Tauris, pp xx and 2-7.</w:t>
      </w:r>
    </w:p>
    <w:p w14:paraId="39DD2DD4" w14:textId="77777777" w:rsidR="00F118E5" w:rsidRPr="004D0AEB" w:rsidRDefault="00F118E5" w:rsidP="00B36D6F">
      <w:pPr>
        <w:spacing w:line="360" w:lineRule="auto"/>
        <w:rPr>
          <w:rFonts w:cstheme="minorHAnsi"/>
          <w:sz w:val="24"/>
          <w:szCs w:val="24"/>
        </w:rPr>
      </w:pPr>
      <w:r w:rsidRPr="004D0AEB">
        <w:rPr>
          <w:rFonts w:cstheme="minorHAnsi"/>
          <w:sz w:val="24"/>
          <w:szCs w:val="24"/>
        </w:rPr>
        <w:t xml:space="preserve">Abubakar, M.U. (2018) </w:t>
      </w:r>
      <w:r w:rsidRPr="004D0AEB">
        <w:rPr>
          <w:rFonts w:cstheme="minorHAnsi"/>
          <w:i/>
          <w:iCs/>
          <w:sz w:val="24"/>
          <w:szCs w:val="24"/>
        </w:rPr>
        <w:t xml:space="preserve">Gender Justice in Islamic Law: Homicide and Bodily Injuries. </w:t>
      </w:r>
      <w:r w:rsidRPr="004D0AEB">
        <w:rPr>
          <w:rFonts w:cstheme="minorHAnsi"/>
          <w:sz w:val="24"/>
          <w:szCs w:val="24"/>
        </w:rPr>
        <w:t>Oxford: Hart, p.9.</w:t>
      </w:r>
    </w:p>
    <w:p w14:paraId="7533F933" w14:textId="77777777" w:rsidR="00F118E5" w:rsidRPr="004D0AEB" w:rsidRDefault="00F118E5" w:rsidP="00B36D6F">
      <w:pPr>
        <w:spacing w:line="360" w:lineRule="auto"/>
        <w:rPr>
          <w:rFonts w:cstheme="minorHAnsi"/>
          <w:sz w:val="24"/>
          <w:szCs w:val="24"/>
        </w:rPr>
      </w:pPr>
      <w:r w:rsidRPr="004D0AEB">
        <w:rPr>
          <w:rFonts w:cstheme="minorHAnsi"/>
          <w:sz w:val="24"/>
          <w:szCs w:val="24"/>
        </w:rPr>
        <w:t xml:space="preserve">Al-Isfahani, A.A. (2016) </w:t>
      </w:r>
      <w:r w:rsidRPr="004D0AEB">
        <w:rPr>
          <w:rFonts w:cstheme="minorHAnsi"/>
          <w:i/>
          <w:iCs/>
          <w:sz w:val="24"/>
          <w:szCs w:val="24"/>
        </w:rPr>
        <w:t xml:space="preserve">Erotica, Love and Humour in Arabia: Spicy Stories from The Book of Songs. </w:t>
      </w:r>
      <w:r w:rsidRPr="004D0AEB">
        <w:rPr>
          <w:rFonts w:cstheme="minorHAnsi"/>
          <w:sz w:val="24"/>
          <w:szCs w:val="24"/>
        </w:rPr>
        <w:t>In Sawa, G.D. (ed. and trans.) North Carolina: McFarland &amp; Company Inc, p.42.</w:t>
      </w:r>
    </w:p>
    <w:p w14:paraId="65EC1BE7" w14:textId="77777777" w:rsidR="00F118E5" w:rsidRPr="004D0AEB" w:rsidRDefault="00F118E5" w:rsidP="00B36D6F">
      <w:pPr>
        <w:spacing w:line="360" w:lineRule="auto"/>
        <w:rPr>
          <w:rFonts w:cstheme="minorHAnsi"/>
          <w:iCs/>
          <w:sz w:val="24"/>
          <w:szCs w:val="24"/>
        </w:rPr>
      </w:pPr>
      <w:r w:rsidRPr="004D0AEB">
        <w:rPr>
          <w:rFonts w:cstheme="minorHAnsi"/>
          <w:sz w:val="24"/>
          <w:szCs w:val="24"/>
        </w:rPr>
        <w:t xml:space="preserve">Al-Tabari, M.I.J. (1991) </w:t>
      </w:r>
      <w:r w:rsidRPr="004D0AEB">
        <w:rPr>
          <w:rFonts w:cstheme="minorHAnsi"/>
          <w:i/>
          <w:iCs/>
          <w:sz w:val="24"/>
          <w:szCs w:val="24"/>
        </w:rPr>
        <w:t xml:space="preserve">The History of Al-Tabari, Volume 3. </w:t>
      </w:r>
      <w:r w:rsidRPr="004D0AEB">
        <w:rPr>
          <w:rFonts w:cstheme="minorHAnsi"/>
          <w:iCs/>
          <w:sz w:val="24"/>
          <w:szCs w:val="24"/>
        </w:rPr>
        <w:t>In Brinner, W.M (trans.) New York: New York Press, p.163.</w:t>
      </w:r>
    </w:p>
    <w:p w14:paraId="2DF748DB" w14:textId="77777777" w:rsidR="00F118E5" w:rsidRPr="004D0AEB" w:rsidRDefault="00F118E5" w:rsidP="00B36D6F">
      <w:pPr>
        <w:spacing w:line="360" w:lineRule="auto"/>
        <w:rPr>
          <w:rFonts w:cstheme="minorHAnsi"/>
          <w:sz w:val="24"/>
          <w:szCs w:val="24"/>
        </w:rPr>
      </w:pPr>
      <w:r w:rsidRPr="004D0AEB">
        <w:rPr>
          <w:rFonts w:cstheme="minorHAnsi"/>
          <w:sz w:val="24"/>
          <w:szCs w:val="24"/>
        </w:rPr>
        <w:t xml:space="preserve">Beckers, T. (2010) ‘Islam and the Acceptance of Homosexuality: The Shortage of Socio-economic Well-Being and Responsive Democracy’. In Habib, Samar’s </w:t>
      </w:r>
      <w:r w:rsidRPr="004D0AEB">
        <w:rPr>
          <w:rFonts w:cstheme="minorHAnsi"/>
          <w:i/>
          <w:iCs/>
          <w:sz w:val="24"/>
          <w:szCs w:val="24"/>
        </w:rPr>
        <w:t xml:space="preserve">Islam and Homosexuality (Vol.2) </w:t>
      </w:r>
      <w:r w:rsidRPr="004D0AEB">
        <w:rPr>
          <w:rFonts w:cstheme="minorHAnsi"/>
          <w:sz w:val="24"/>
          <w:szCs w:val="24"/>
        </w:rPr>
        <w:t>(ed.) Oxford and California: ABC-CLIO, p.285.</w:t>
      </w:r>
    </w:p>
    <w:p w14:paraId="02B2CE88" w14:textId="77777777" w:rsidR="00F118E5" w:rsidRPr="004D0AEB" w:rsidRDefault="00F118E5" w:rsidP="00B36D6F">
      <w:pPr>
        <w:spacing w:line="360" w:lineRule="auto"/>
        <w:rPr>
          <w:rFonts w:cstheme="minorHAnsi"/>
          <w:sz w:val="24"/>
          <w:szCs w:val="24"/>
          <w:u w:val="single"/>
        </w:rPr>
      </w:pPr>
      <w:r w:rsidRPr="004D0AEB">
        <w:rPr>
          <w:rFonts w:cstheme="minorHAnsi"/>
          <w:iCs/>
          <w:sz w:val="24"/>
          <w:szCs w:val="24"/>
        </w:rPr>
        <w:t xml:space="preserve">Ben Nahum, P. (1933) </w:t>
      </w:r>
      <w:r w:rsidRPr="004D0AEB">
        <w:rPr>
          <w:rFonts w:cstheme="minorHAnsi"/>
          <w:i/>
          <w:sz w:val="24"/>
          <w:szCs w:val="24"/>
        </w:rPr>
        <w:t xml:space="preserve">The Turkish Art of Love. </w:t>
      </w:r>
      <w:r w:rsidRPr="004D0AEB">
        <w:rPr>
          <w:rFonts w:cstheme="minorHAnsi"/>
          <w:iCs/>
          <w:sz w:val="24"/>
          <w:szCs w:val="24"/>
        </w:rPr>
        <w:t>New York: Panurge Press, p.88.</w:t>
      </w:r>
    </w:p>
    <w:p w14:paraId="20A9EA23" w14:textId="77777777" w:rsidR="00F118E5" w:rsidRPr="004D0AEB" w:rsidRDefault="00F118E5" w:rsidP="00B36D6F">
      <w:pPr>
        <w:spacing w:line="360" w:lineRule="auto"/>
        <w:rPr>
          <w:rFonts w:cstheme="minorHAnsi"/>
          <w:sz w:val="24"/>
          <w:szCs w:val="24"/>
        </w:rPr>
      </w:pPr>
      <w:r w:rsidRPr="004D0AEB">
        <w:rPr>
          <w:rFonts w:cstheme="minorHAnsi"/>
          <w:sz w:val="24"/>
          <w:szCs w:val="24"/>
        </w:rPr>
        <w:t xml:space="preserve">Boellstorff, T. (2005) ‘Between Religion and Desire; Being Muslim and Gay in Indonesia’. </w:t>
      </w:r>
      <w:r w:rsidRPr="004D0AEB">
        <w:rPr>
          <w:rFonts w:cstheme="minorHAnsi"/>
          <w:i/>
          <w:iCs/>
          <w:sz w:val="24"/>
          <w:szCs w:val="24"/>
        </w:rPr>
        <w:t xml:space="preserve">American Anthropologist. </w:t>
      </w:r>
      <w:r w:rsidRPr="004D0AEB">
        <w:rPr>
          <w:rFonts w:cstheme="minorHAnsi"/>
          <w:sz w:val="24"/>
          <w:szCs w:val="24"/>
        </w:rPr>
        <w:t xml:space="preserve">107(4) [Online]. Available at: </w:t>
      </w:r>
      <w:hyperlink r:id="rId9" w:history="1">
        <w:r w:rsidRPr="004D0AEB">
          <w:rPr>
            <w:rStyle w:val="Hyperlink"/>
            <w:rFonts w:cstheme="minorHAnsi"/>
            <w:sz w:val="24"/>
            <w:szCs w:val="24"/>
          </w:rPr>
          <w:t>http://www.sjsu.edu/people/james.lee/courses/soci172/s0/10GayMuslim.pdf</w:t>
        </w:r>
      </w:hyperlink>
      <w:r w:rsidRPr="004D0AEB">
        <w:rPr>
          <w:rFonts w:cstheme="minorHAnsi"/>
          <w:sz w:val="24"/>
          <w:szCs w:val="24"/>
        </w:rPr>
        <w:t xml:space="preserve"> (Last accessed: 26</w:t>
      </w:r>
      <w:r w:rsidRPr="004D0AEB">
        <w:rPr>
          <w:rFonts w:cstheme="minorHAnsi"/>
          <w:sz w:val="24"/>
          <w:szCs w:val="24"/>
          <w:vertAlign w:val="superscript"/>
        </w:rPr>
        <w:t>th</w:t>
      </w:r>
      <w:r w:rsidRPr="004D0AEB">
        <w:rPr>
          <w:rFonts w:cstheme="minorHAnsi"/>
          <w:sz w:val="24"/>
          <w:szCs w:val="24"/>
        </w:rPr>
        <w:t xml:space="preserve"> of August 2019). </w:t>
      </w:r>
    </w:p>
    <w:p w14:paraId="3187F312" w14:textId="77777777" w:rsidR="00F118E5" w:rsidRPr="004D0AEB" w:rsidRDefault="00F118E5" w:rsidP="00B36D6F">
      <w:pPr>
        <w:spacing w:line="360" w:lineRule="auto"/>
        <w:rPr>
          <w:rFonts w:cstheme="minorHAnsi"/>
          <w:sz w:val="24"/>
          <w:szCs w:val="24"/>
        </w:rPr>
      </w:pPr>
      <w:r w:rsidRPr="004D0AEB">
        <w:rPr>
          <w:rFonts w:cstheme="minorHAnsi"/>
          <w:sz w:val="24"/>
          <w:szCs w:val="24"/>
        </w:rPr>
        <w:t xml:space="preserve">Brown, D.W. (1996) </w:t>
      </w:r>
      <w:r w:rsidRPr="004D0AEB">
        <w:rPr>
          <w:rFonts w:cstheme="minorHAnsi"/>
          <w:i/>
          <w:iCs/>
          <w:sz w:val="24"/>
          <w:szCs w:val="24"/>
        </w:rPr>
        <w:t xml:space="preserve">Rethinking Tradition in Modern Islamic Thought. </w:t>
      </w:r>
      <w:r w:rsidRPr="004D0AEB">
        <w:rPr>
          <w:rFonts w:cstheme="minorHAnsi"/>
          <w:sz w:val="24"/>
          <w:szCs w:val="24"/>
        </w:rPr>
        <w:t>Cambridge, Cambridge University Press, p.88.</w:t>
      </w:r>
    </w:p>
    <w:p w14:paraId="4784C66A" w14:textId="77777777" w:rsidR="00F118E5" w:rsidRPr="004D0AEB" w:rsidRDefault="00F118E5" w:rsidP="00B36D6F">
      <w:pPr>
        <w:spacing w:line="360" w:lineRule="auto"/>
        <w:rPr>
          <w:rFonts w:cstheme="minorHAnsi"/>
          <w:sz w:val="24"/>
          <w:szCs w:val="24"/>
        </w:rPr>
      </w:pPr>
      <w:r w:rsidRPr="004D0AEB">
        <w:rPr>
          <w:rFonts w:cstheme="minorHAnsi"/>
          <w:sz w:val="24"/>
          <w:szCs w:val="24"/>
        </w:rPr>
        <w:t xml:space="preserve">Brown, J.A.C. (2011) </w:t>
      </w:r>
      <w:r w:rsidRPr="004D0AEB">
        <w:rPr>
          <w:rFonts w:cstheme="minorHAnsi"/>
          <w:i/>
          <w:iCs/>
          <w:sz w:val="24"/>
          <w:szCs w:val="24"/>
        </w:rPr>
        <w:t xml:space="preserve">Hadith: Muhammad’s Legacy in the Medieval and Modern World. </w:t>
      </w:r>
      <w:r w:rsidRPr="004D0AEB">
        <w:rPr>
          <w:rFonts w:cstheme="minorHAnsi"/>
          <w:sz w:val="24"/>
          <w:szCs w:val="24"/>
        </w:rPr>
        <w:t>Oxford: Oneworld Publications, p.15.</w:t>
      </w:r>
    </w:p>
    <w:p w14:paraId="4BBCB848" w14:textId="77777777" w:rsidR="00F118E5" w:rsidRPr="004D0AEB" w:rsidRDefault="00F118E5" w:rsidP="00B36D6F">
      <w:pPr>
        <w:spacing w:line="360" w:lineRule="auto"/>
        <w:rPr>
          <w:rFonts w:cstheme="minorHAnsi"/>
          <w:iCs/>
          <w:sz w:val="24"/>
          <w:szCs w:val="24"/>
        </w:rPr>
      </w:pPr>
      <w:r w:rsidRPr="004D0AEB">
        <w:rPr>
          <w:rFonts w:cstheme="minorHAnsi"/>
          <w:sz w:val="24"/>
          <w:szCs w:val="24"/>
        </w:rPr>
        <w:t xml:space="preserve">Daniyal, S. (2018) ‘Orlando Shooting: It’s different now, but Muslims have a long history of accepting homosexuality’. </w:t>
      </w:r>
      <w:r w:rsidRPr="004D0AEB">
        <w:rPr>
          <w:rFonts w:cstheme="minorHAnsi"/>
          <w:i/>
          <w:sz w:val="24"/>
          <w:szCs w:val="24"/>
        </w:rPr>
        <w:t xml:space="preserve">Scroll.in. </w:t>
      </w:r>
      <w:r w:rsidRPr="004D0AEB">
        <w:rPr>
          <w:rFonts w:cstheme="minorHAnsi"/>
          <w:iCs/>
          <w:sz w:val="24"/>
          <w:szCs w:val="24"/>
        </w:rPr>
        <w:t xml:space="preserve">June 18. [Online]. Available at: </w:t>
      </w:r>
      <w:hyperlink r:id="rId10" w:history="1">
        <w:r w:rsidRPr="004D0AEB">
          <w:rPr>
            <w:rStyle w:val="Hyperlink"/>
            <w:rFonts w:cstheme="minorHAnsi"/>
            <w:sz w:val="24"/>
            <w:szCs w:val="24"/>
          </w:rPr>
          <w:t>https://libcom.org/history/historical-look-attitudes-homosexuality-islamic-world</w:t>
        </w:r>
      </w:hyperlink>
      <w:r w:rsidRPr="004D0AEB">
        <w:rPr>
          <w:rFonts w:cstheme="minorHAnsi"/>
          <w:iCs/>
          <w:sz w:val="24"/>
          <w:szCs w:val="24"/>
        </w:rPr>
        <w:t xml:space="preserve">  (Last accessed: 10</w:t>
      </w:r>
      <w:r w:rsidRPr="004D0AEB">
        <w:rPr>
          <w:rFonts w:cstheme="minorHAnsi"/>
          <w:iCs/>
          <w:sz w:val="24"/>
          <w:szCs w:val="24"/>
          <w:vertAlign w:val="superscript"/>
        </w:rPr>
        <w:t>th</w:t>
      </w:r>
      <w:r w:rsidRPr="004D0AEB">
        <w:rPr>
          <w:rFonts w:cstheme="minorHAnsi"/>
          <w:iCs/>
          <w:sz w:val="24"/>
          <w:szCs w:val="24"/>
        </w:rPr>
        <w:t xml:space="preserve"> of May 2020) </w:t>
      </w:r>
    </w:p>
    <w:p w14:paraId="21F691F4" w14:textId="77777777" w:rsidR="00F118E5" w:rsidRPr="004D0AEB" w:rsidRDefault="00F118E5" w:rsidP="00B36D6F">
      <w:pPr>
        <w:spacing w:line="360" w:lineRule="auto"/>
        <w:rPr>
          <w:rFonts w:cstheme="minorHAnsi"/>
          <w:iCs/>
          <w:sz w:val="24"/>
          <w:szCs w:val="24"/>
        </w:rPr>
      </w:pPr>
      <w:r w:rsidRPr="004D0AEB">
        <w:rPr>
          <w:rFonts w:cstheme="minorHAnsi"/>
          <w:iCs/>
          <w:sz w:val="24"/>
          <w:szCs w:val="24"/>
        </w:rPr>
        <w:t xml:space="preserve">Duderija, A. (2017) </w:t>
      </w:r>
      <w:r w:rsidRPr="004D0AEB">
        <w:rPr>
          <w:rFonts w:cstheme="minorHAnsi"/>
          <w:i/>
          <w:sz w:val="24"/>
          <w:szCs w:val="24"/>
        </w:rPr>
        <w:t xml:space="preserve">The Imperatives of Progressive Islam. </w:t>
      </w:r>
      <w:r w:rsidRPr="004D0AEB">
        <w:rPr>
          <w:rFonts w:cstheme="minorHAnsi"/>
          <w:iCs/>
          <w:sz w:val="24"/>
          <w:szCs w:val="24"/>
        </w:rPr>
        <w:t>New York: Routledge, pp 83 – 90.</w:t>
      </w:r>
    </w:p>
    <w:p w14:paraId="0B49F16B" w14:textId="77777777" w:rsidR="00F118E5" w:rsidRPr="004D0AEB" w:rsidRDefault="00F118E5" w:rsidP="00B36D6F">
      <w:pPr>
        <w:spacing w:line="360" w:lineRule="auto"/>
        <w:rPr>
          <w:rFonts w:cstheme="minorHAnsi"/>
          <w:iCs/>
          <w:sz w:val="24"/>
          <w:szCs w:val="24"/>
        </w:rPr>
      </w:pPr>
      <w:r w:rsidRPr="004D0AEB">
        <w:rPr>
          <w:rFonts w:cstheme="minorHAnsi"/>
          <w:iCs/>
          <w:sz w:val="24"/>
          <w:szCs w:val="24"/>
        </w:rPr>
        <w:lastRenderedPageBreak/>
        <w:t xml:space="preserve">Duran, K. (1993) ‘Homosexuality and Islam’, in Swidler, A. (ed.) </w:t>
      </w:r>
      <w:r w:rsidRPr="004D0AEB">
        <w:rPr>
          <w:rFonts w:cstheme="minorHAnsi"/>
          <w:i/>
          <w:sz w:val="24"/>
          <w:szCs w:val="24"/>
        </w:rPr>
        <w:t xml:space="preserve">Homosexuality and World Religions. </w:t>
      </w:r>
      <w:r w:rsidRPr="004D0AEB">
        <w:rPr>
          <w:rFonts w:cstheme="minorHAnsi"/>
          <w:iCs/>
          <w:sz w:val="24"/>
          <w:szCs w:val="24"/>
        </w:rPr>
        <w:t>Valley Forge PA: Trinity Press International, p.186.</w:t>
      </w:r>
    </w:p>
    <w:p w14:paraId="2EBF5D0E" w14:textId="77777777" w:rsidR="00F118E5" w:rsidRPr="004D0AEB" w:rsidRDefault="00F118E5" w:rsidP="00B36D6F">
      <w:pPr>
        <w:spacing w:line="360" w:lineRule="auto"/>
        <w:rPr>
          <w:rFonts w:cstheme="minorHAnsi"/>
          <w:sz w:val="24"/>
          <w:szCs w:val="24"/>
        </w:rPr>
      </w:pPr>
      <w:r w:rsidRPr="004D0AEB">
        <w:rPr>
          <w:rFonts w:cstheme="minorHAnsi"/>
          <w:sz w:val="24"/>
          <w:szCs w:val="24"/>
        </w:rPr>
        <w:t xml:space="preserve">El-Rouayheb, K. (2005) </w:t>
      </w:r>
      <w:r w:rsidRPr="004D0AEB">
        <w:rPr>
          <w:rFonts w:cstheme="minorHAnsi"/>
          <w:i/>
          <w:iCs/>
          <w:sz w:val="24"/>
          <w:szCs w:val="24"/>
        </w:rPr>
        <w:t xml:space="preserve">Before Homosexuality in the Arab-Islamic World 1500-1800. </w:t>
      </w:r>
      <w:r w:rsidRPr="004D0AEB">
        <w:rPr>
          <w:rFonts w:cstheme="minorHAnsi"/>
          <w:sz w:val="24"/>
          <w:szCs w:val="24"/>
        </w:rPr>
        <w:t>Chicago and London; The University of Chicago Press, pp, 1-6.</w:t>
      </w:r>
    </w:p>
    <w:p w14:paraId="7E61AAFD" w14:textId="77777777" w:rsidR="00F118E5" w:rsidRPr="004D0AEB" w:rsidRDefault="00F118E5" w:rsidP="00B36D6F">
      <w:pPr>
        <w:spacing w:line="360" w:lineRule="auto"/>
        <w:rPr>
          <w:rFonts w:cstheme="minorHAnsi"/>
          <w:sz w:val="24"/>
          <w:szCs w:val="24"/>
        </w:rPr>
      </w:pPr>
      <w:r w:rsidRPr="004D0AEB">
        <w:rPr>
          <w:rFonts w:cstheme="minorHAnsi"/>
          <w:sz w:val="24"/>
          <w:szCs w:val="24"/>
        </w:rPr>
        <w:t xml:space="preserve">Esack, F. (1997) </w:t>
      </w:r>
      <w:r w:rsidRPr="004D0AEB">
        <w:rPr>
          <w:rFonts w:cstheme="minorHAnsi"/>
          <w:i/>
          <w:iCs/>
          <w:sz w:val="24"/>
          <w:szCs w:val="24"/>
        </w:rPr>
        <w:t xml:space="preserve">Qur’an, Liberation and Pluralism. </w:t>
      </w:r>
      <w:r w:rsidRPr="004D0AEB">
        <w:rPr>
          <w:rFonts w:cstheme="minorHAnsi"/>
          <w:sz w:val="24"/>
          <w:szCs w:val="24"/>
        </w:rPr>
        <w:t>Oxford; Oneworld Publications, pp 11-21, 42-50, 82-100 and 107-110.</w:t>
      </w:r>
    </w:p>
    <w:p w14:paraId="03E9A200" w14:textId="77777777" w:rsidR="00F118E5" w:rsidRPr="004D0AEB" w:rsidRDefault="00F118E5" w:rsidP="00B36D6F">
      <w:pPr>
        <w:spacing w:line="360" w:lineRule="auto"/>
        <w:rPr>
          <w:rFonts w:cstheme="minorHAnsi"/>
          <w:iCs/>
          <w:sz w:val="24"/>
          <w:szCs w:val="24"/>
        </w:rPr>
      </w:pPr>
      <w:r w:rsidRPr="004D0AEB">
        <w:rPr>
          <w:rFonts w:cstheme="minorHAnsi"/>
          <w:sz w:val="24"/>
          <w:szCs w:val="24"/>
        </w:rPr>
        <w:t xml:space="preserve">Fadl, K.A.E. (2001) </w:t>
      </w:r>
      <w:r w:rsidRPr="004D0AEB">
        <w:rPr>
          <w:rFonts w:cstheme="minorHAnsi"/>
          <w:i/>
          <w:sz w:val="24"/>
          <w:szCs w:val="24"/>
        </w:rPr>
        <w:t xml:space="preserve">Speaking in God’s Name: Islamic Law, Authority and Women. </w:t>
      </w:r>
      <w:r w:rsidRPr="004D0AEB">
        <w:rPr>
          <w:rFonts w:cstheme="minorHAnsi"/>
          <w:iCs/>
          <w:sz w:val="24"/>
          <w:szCs w:val="24"/>
        </w:rPr>
        <w:t>London: Oneworld Publication, 12-24.</w:t>
      </w:r>
    </w:p>
    <w:p w14:paraId="34F897AB" w14:textId="77777777" w:rsidR="00F118E5" w:rsidRPr="004D0AEB" w:rsidRDefault="00F118E5" w:rsidP="00B36D6F">
      <w:pPr>
        <w:spacing w:line="360" w:lineRule="auto"/>
        <w:rPr>
          <w:rFonts w:cstheme="minorHAnsi"/>
          <w:sz w:val="24"/>
          <w:szCs w:val="24"/>
        </w:rPr>
      </w:pPr>
      <w:r w:rsidRPr="004D0AEB">
        <w:rPr>
          <w:rFonts w:cstheme="minorHAnsi"/>
          <w:sz w:val="24"/>
          <w:szCs w:val="24"/>
        </w:rPr>
        <w:t xml:space="preserve">Foucault, M (1990) </w:t>
      </w:r>
      <w:r w:rsidRPr="004D0AEB">
        <w:rPr>
          <w:rFonts w:cstheme="minorHAnsi"/>
          <w:i/>
          <w:iCs/>
          <w:sz w:val="24"/>
          <w:szCs w:val="24"/>
        </w:rPr>
        <w:t xml:space="preserve">A History of Sexuality: An Introduction. </w:t>
      </w:r>
      <w:r w:rsidRPr="004D0AEB">
        <w:rPr>
          <w:rFonts w:cstheme="minorHAnsi"/>
          <w:sz w:val="24"/>
          <w:szCs w:val="24"/>
        </w:rPr>
        <w:t>New York: Vintage Books, pp 53-57.</w:t>
      </w:r>
    </w:p>
    <w:p w14:paraId="3FDF4167" w14:textId="77777777" w:rsidR="00F118E5" w:rsidRPr="004D0AEB" w:rsidRDefault="00F118E5" w:rsidP="00B36D6F">
      <w:pPr>
        <w:spacing w:line="360" w:lineRule="auto"/>
        <w:rPr>
          <w:rFonts w:cstheme="minorHAnsi"/>
          <w:sz w:val="24"/>
          <w:szCs w:val="24"/>
        </w:rPr>
      </w:pPr>
      <w:r w:rsidRPr="004D0AEB">
        <w:rPr>
          <w:rFonts w:cstheme="minorHAnsi"/>
          <w:sz w:val="24"/>
          <w:szCs w:val="24"/>
        </w:rPr>
        <w:t xml:space="preserve">Ganeri, A. (2008) </w:t>
      </w:r>
      <w:r w:rsidRPr="004D0AEB">
        <w:rPr>
          <w:rFonts w:cstheme="minorHAnsi"/>
          <w:i/>
          <w:iCs/>
          <w:sz w:val="24"/>
          <w:szCs w:val="24"/>
        </w:rPr>
        <w:t xml:space="preserve">The Qur’an and Islam. </w:t>
      </w:r>
      <w:r w:rsidRPr="004D0AEB">
        <w:rPr>
          <w:rFonts w:cstheme="minorHAnsi"/>
          <w:sz w:val="24"/>
          <w:szCs w:val="24"/>
        </w:rPr>
        <w:t>London: Evans Brothers Limited, p.7.</w:t>
      </w:r>
    </w:p>
    <w:p w14:paraId="72DCF4CA" w14:textId="77777777" w:rsidR="00F118E5" w:rsidRPr="004D0AEB" w:rsidRDefault="00F118E5" w:rsidP="00B36D6F">
      <w:pPr>
        <w:spacing w:line="360" w:lineRule="auto"/>
        <w:rPr>
          <w:rFonts w:cstheme="minorHAnsi"/>
          <w:sz w:val="24"/>
          <w:szCs w:val="24"/>
        </w:rPr>
      </w:pPr>
      <w:r w:rsidRPr="004D0AEB">
        <w:rPr>
          <w:rFonts w:cstheme="minorHAnsi"/>
          <w:sz w:val="24"/>
          <w:szCs w:val="24"/>
        </w:rPr>
        <w:t xml:space="preserve">Hallaq, W.B. (2009) </w:t>
      </w:r>
      <w:r w:rsidRPr="004D0AEB">
        <w:rPr>
          <w:rFonts w:cstheme="minorHAnsi"/>
          <w:i/>
          <w:iCs/>
          <w:sz w:val="24"/>
          <w:szCs w:val="24"/>
        </w:rPr>
        <w:t xml:space="preserve">An Introduction to Islamic Law. </w:t>
      </w:r>
      <w:r w:rsidRPr="004D0AEB">
        <w:rPr>
          <w:rFonts w:cstheme="minorHAnsi"/>
          <w:sz w:val="24"/>
          <w:szCs w:val="24"/>
        </w:rPr>
        <w:t>New York: Cambridge University Press, pp 115-116.</w:t>
      </w:r>
    </w:p>
    <w:p w14:paraId="21A7EA90" w14:textId="77777777" w:rsidR="00F118E5" w:rsidRPr="004D0AEB" w:rsidRDefault="00F118E5" w:rsidP="00B36D6F">
      <w:pPr>
        <w:spacing w:line="360" w:lineRule="auto"/>
        <w:rPr>
          <w:rFonts w:cstheme="minorHAnsi"/>
          <w:sz w:val="24"/>
          <w:szCs w:val="24"/>
        </w:rPr>
      </w:pPr>
      <w:r w:rsidRPr="004D0AEB">
        <w:rPr>
          <w:rFonts w:cstheme="minorHAnsi"/>
          <w:sz w:val="24"/>
          <w:szCs w:val="24"/>
        </w:rPr>
        <w:t xml:space="preserve">Hamdeh E. (2019) ‘Are Hadith Necessary? An Examination of the Authority of Hadith in Islam’. </w:t>
      </w:r>
      <w:r w:rsidRPr="004D0AEB">
        <w:rPr>
          <w:rFonts w:cstheme="minorHAnsi"/>
          <w:i/>
          <w:iCs/>
          <w:sz w:val="24"/>
          <w:szCs w:val="24"/>
        </w:rPr>
        <w:t xml:space="preserve">Hadith Series. </w:t>
      </w:r>
      <w:r w:rsidRPr="004D0AEB">
        <w:rPr>
          <w:rFonts w:cstheme="minorHAnsi"/>
          <w:sz w:val="24"/>
          <w:szCs w:val="24"/>
        </w:rPr>
        <w:t>October 25</w:t>
      </w:r>
      <w:r w:rsidRPr="004D0AEB">
        <w:rPr>
          <w:rFonts w:cstheme="minorHAnsi"/>
          <w:sz w:val="24"/>
          <w:szCs w:val="24"/>
          <w:vertAlign w:val="superscript"/>
        </w:rPr>
        <w:t>th</w:t>
      </w:r>
      <w:r w:rsidRPr="004D0AEB">
        <w:rPr>
          <w:rFonts w:cstheme="minorHAnsi"/>
          <w:sz w:val="24"/>
          <w:szCs w:val="24"/>
        </w:rPr>
        <w:t xml:space="preserve">, pp 2-3. [Online]. Available at: </w:t>
      </w:r>
      <w:hyperlink r:id="rId11" w:anchor=".XjYLlm52vIU" w:history="1">
        <w:r w:rsidRPr="004D0AEB">
          <w:rPr>
            <w:rStyle w:val="Hyperlink"/>
            <w:rFonts w:cstheme="minorHAnsi"/>
            <w:sz w:val="24"/>
            <w:szCs w:val="24"/>
          </w:rPr>
          <w:t>https://yaqeeninstitute.org/emadhamdeh/are-hadith-necessary/#.XjYLlm52vIU</w:t>
        </w:r>
      </w:hyperlink>
      <w:r w:rsidRPr="004D0AEB">
        <w:rPr>
          <w:rFonts w:cstheme="minorHAnsi"/>
          <w:sz w:val="24"/>
          <w:szCs w:val="24"/>
        </w:rPr>
        <w:t xml:space="preserve"> (Last accessed: 1</w:t>
      </w:r>
      <w:r w:rsidRPr="004D0AEB">
        <w:rPr>
          <w:rFonts w:cstheme="minorHAnsi"/>
          <w:sz w:val="24"/>
          <w:szCs w:val="24"/>
          <w:vertAlign w:val="superscript"/>
        </w:rPr>
        <w:t>st</w:t>
      </w:r>
      <w:r w:rsidRPr="004D0AEB">
        <w:rPr>
          <w:rFonts w:cstheme="minorHAnsi"/>
          <w:sz w:val="24"/>
          <w:szCs w:val="24"/>
        </w:rPr>
        <w:t xml:space="preserve"> of May 2020). </w:t>
      </w:r>
    </w:p>
    <w:p w14:paraId="41DE4F7C" w14:textId="77777777" w:rsidR="00F118E5" w:rsidRPr="004D0AEB" w:rsidRDefault="00F118E5" w:rsidP="00B36D6F">
      <w:pPr>
        <w:spacing w:line="360" w:lineRule="auto"/>
        <w:rPr>
          <w:rStyle w:val="c9"/>
          <w:rFonts w:cstheme="minorHAnsi"/>
          <w:sz w:val="24"/>
          <w:szCs w:val="24"/>
          <w:shd w:val="clear" w:color="auto" w:fill="FFFFFF"/>
        </w:rPr>
      </w:pPr>
      <w:r w:rsidRPr="004D0AEB">
        <w:rPr>
          <w:rFonts w:cstheme="minorHAnsi"/>
          <w:sz w:val="24"/>
          <w:szCs w:val="24"/>
        </w:rPr>
        <w:t xml:space="preserve">Hamz, I. (1960) </w:t>
      </w:r>
      <w:r w:rsidRPr="004D0AEB">
        <w:rPr>
          <w:rStyle w:val="c9"/>
          <w:rFonts w:cstheme="minorHAnsi"/>
          <w:i/>
          <w:iCs/>
          <w:sz w:val="24"/>
          <w:szCs w:val="24"/>
          <w:shd w:val="clear" w:color="auto" w:fill="FFFFFF"/>
        </w:rPr>
        <w:t xml:space="preserve">Al-Iḥkām fī Uṣūl al-Aḥkām. </w:t>
      </w:r>
      <w:r w:rsidRPr="004D0AEB">
        <w:rPr>
          <w:rStyle w:val="c9"/>
          <w:rFonts w:cstheme="minorHAnsi"/>
          <w:sz w:val="24"/>
          <w:szCs w:val="24"/>
          <w:shd w:val="clear" w:color="auto" w:fill="FFFFFF"/>
        </w:rPr>
        <w:t>Pp 121-124.</w:t>
      </w:r>
    </w:p>
    <w:p w14:paraId="089C123B" w14:textId="77777777" w:rsidR="00F118E5" w:rsidRPr="004D0AEB" w:rsidRDefault="00F118E5" w:rsidP="00B36D6F">
      <w:pPr>
        <w:spacing w:line="360" w:lineRule="auto"/>
        <w:rPr>
          <w:rFonts w:cstheme="minorHAnsi"/>
          <w:sz w:val="24"/>
          <w:szCs w:val="24"/>
        </w:rPr>
      </w:pPr>
      <w:r w:rsidRPr="004D0AEB">
        <w:rPr>
          <w:rFonts w:cstheme="minorHAnsi"/>
          <w:sz w:val="24"/>
          <w:szCs w:val="24"/>
        </w:rPr>
        <w:t xml:space="preserve">Hamz, I. (2017) </w:t>
      </w:r>
      <w:r w:rsidRPr="004D0AEB">
        <w:rPr>
          <w:rFonts w:cstheme="minorHAnsi"/>
          <w:i/>
          <w:iCs/>
          <w:sz w:val="24"/>
          <w:szCs w:val="24"/>
        </w:rPr>
        <w:t xml:space="preserve">Al-Muhalla. </w:t>
      </w:r>
      <w:r w:rsidRPr="004D0AEB">
        <w:rPr>
          <w:rFonts w:cstheme="minorHAnsi"/>
          <w:sz w:val="24"/>
          <w:szCs w:val="24"/>
        </w:rPr>
        <w:t xml:space="preserve">Vol.1. Part 12. P.393. [Online]. Available at: </w:t>
      </w:r>
      <w:hyperlink r:id="rId12" w:history="1">
        <w:r w:rsidRPr="004D0AEB">
          <w:rPr>
            <w:rStyle w:val="Hyperlink"/>
            <w:rFonts w:cstheme="minorHAnsi"/>
            <w:sz w:val="24"/>
            <w:szCs w:val="24"/>
          </w:rPr>
          <w:t>https://www.hasbunallah.com.au/al-muhalla-imam-ibn-hazm/</w:t>
        </w:r>
      </w:hyperlink>
      <w:r w:rsidRPr="004D0AEB">
        <w:rPr>
          <w:rFonts w:cstheme="minorHAnsi"/>
          <w:sz w:val="24"/>
          <w:szCs w:val="24"/>
        </w:rPr>
        <w:t xml:space="preserve"> (Last accessed: 21</w:t>
      </w:r>
      <w:r w:rsidRPr="004D0AEB">
        <w:rPr>
          <w:rFonts w:cstheme="minorHAnsi"/>
          <w:sz w:val="24"/>
          <w:szCs w:val="24"/>
          <w:vertAlign w:val="superscript"/>
        </w:rPr>
        <w:t>st</w:t>
      </w:r>
      <w:r w:rsidRPr="004D0AEB">
        <w:rPr>
          <w:rFonts w:cstheme="minorHAnsi"/>
          <w:sz w:val="24"/>
          <w:szCs w:val="24"/>
        </w:rPr>
        <w:t xml:space="preserve"> of April 2020).</w:t>
      </w:r>
    </w:p>
    <w:p w14:paraId="66740E2A" w14:textId="77777777" w:rsidR="00F118E5" w:rsidRPr="004D0AEB" w:rsidRDefault="00F118E5" w:rsidP="00B36D6F">
      <w:pPr>
        <w:spacing w:line="360" w:lineRule="auto"/>
        <w:rPr>
          <w:rFonts w:cstheme="minorHAnsi"/>
          <w:iCs/>
          <w:sz w:val="24"/>
          <w:szCs w:val="24"/>
        </w:rPr>
      </w:pPr>
      <w:r w:rsidRPr="004D0AEB">
        <w:rPr>
          <w:rFonts w:cstheme="minorHAnsi"/>
          <w:iCs/>
          <w:sz w:val="24"/>
          <w:szCs w:val="24"/>
        </w:rPr>
        <w:t xml:space="preserve">Hendricks, M. (2010) ‘Islamic Texts; A Source of Acceptance of Queer Individuals into Mainstream Muslim Society’. </w:t>
      </w:r>
      <w:r w:rsidRPr="004D0AEB">
        <w:rPr>
          <w:rFonts w:cstheme="minorHAnsi"/>
          <w:i/>
          <w:sz w:val="24"/>
          <w:szCs w:val="24"/>
        </w:rPr>
        <w:t xml:space="preserve">The Equal Rights Review. </w:t>
      </w:r>
      <w:r w:rsidRPr="004D0AEB">
        <w:rPr>
          <w:rFonts w:cstheme="minorHAnsi"/>
          <w:iCs/>
          <w:sz w:val="24"/>
          <w:szCs w:val="24"/>
        </w:rPr>
        <w:t xml:space="preserve">Vol.5. pp, 31-38 and 46. [Online] Available at: </w:t>
      </w:r>
      <w:hyperlink r:id="rId13" w:history="1">
        <w:r w:rsidRPr="004D0AEB">
          <w:rPr>
            <w:rStyle w:val="Hyperlink"/>
            <w:rFonts w:cstheme="minorHAnsi"/>
            <w:iCs/>
            <w:sz w:val="24"/>
            <w:szCs w:val="24"/>
          </w:rPr>
          <w:t>https://www.equalrightstrust.org/ertdocumentbank/muhsin.pdf</w:t>
        </w:r>
      </w:hyperlink>
      <w:r w:rsidRPr="004D0AEB">
        <w:rPr>
          <w:rFonts w:cstheme="minorHAnsi"/>
          <w:iCs/>
          <w:sz w:val="24"/>
          <w:szCs w:val="24"/>
        </w:rPr>
        <w:t xml:space="preserve"> (Last accessed: 26</w:t>
      </w:r>
      <w:r w:rsidRPr="004D0AEB">
        <w:rPr>
          <w:rFonts w:cstheme="minorHAnsi"/>
          <w:iCs/>
          <w:sz w:val="24"/>
          <w:szCs w:val="24"/>
          <w:vertAlign w:val="superscript"/>
        </w:rPr>
        <w:t>th</w:t>
      </w:r>
      <w:r w:rsidRPr="004D0AEB">
        <w:rPr>
          <w:rFonts w:cstheme="minorHAnsi"/>
          <w:iCs/>
          <w:sz w:val="24"/>
          <w:szCs w:val="24"/>
        </w:rPr>
        <w:t xml:space="preserve"> of August 2019). </w:t>
      </w:r>
    </w:p>
    <w:p w14:paraId="0D504BF6" w14:textId="77777777" w:rsidR="00F118E5" w:rsidRPr="004D0AEB" w:rsidRDefault="00F118E5" w:rsidP="00B36D6F">
      <w:pPr>
        <w:spacing w:line="360" w:lineRule="auto"/>
        <w:rPr>
          <w:rFonts w:cstheme="minorHAnsi"/>
          <w:iCs/>
          <w:sz w:val="24"/>
          <w:szCs w:val="24"/>
        </w:rPr>
      </w:pPr>
      <w:r w:rsidRPr="004D0AEB">
        <w:rPr>
          <w:rFonts w:cstheme="minorHAnsi"/>
          <w:sz w:val="24"/>
          <w:szCs w:val="24"/>
        </w:rPr>
        <w:t xml:space="preserve">Hunt, R, and Valentine, G. (2006). ‘Love Thy Neighbour; What People of Faith Really Think About Homosexuality’. </w:t>
      </w:r>
      <w:r w:rsidRPr="004D0AEB">
        <w:rPr>
          <w:rFonts w:cstheme="minorHAnsi"/>
          <w:i/>
          <w:sz w:val="24"/>
          <w:szCs w:val="24"/>
        </w:rPr>
        <w:t xml:space="preserve">Stonewall. </w:t>
      </w:r>
      <w:r w:rsidRPr="004D0AEB">
        <w:rPr>
          <w:rFonts w:cstheme="minorHAnsi"/>
          <w:iCs/>
          <w:sz w:val="24"/>
          <w:szCs w:val="24"/>
        </w:rPr>
        <w:t xml:space="preserve">[Online] Available at: </w:t>
      </w:r>
      <w:hyperlink r:id="rId14" w:history="1">
        <w:r w:rsidRPr="004D0AEB">
          <w:rPr>
            <w:rStyle w:val="Hyperlink"/>
            <w:rFonts w:cstheme="minorHAnsi"/>
            <w:iCs/>
            <w:sz w:val="24"/>
            <w:szCs w:val="24"/>
          </w:rPr>
          <w:t>https://www.stonewall.org.uk/system/files/Love_Thy_Neighbour__2008_.pdf</w:t>
        </w:r>
      </w:hyperlink>
      <w:r w:rsidRPr="004D0AEB">
        <w:rPr>
          <w:rFonts w:cstheme="minorHAnsi"/>
          <w:iCs/>
          <w:sz w:val="24"/>
          <w:szCs w:val="24"/>
        </w:rPr>
        <w:t xml:space="preserve"> (Last accessed: 26</w:t>
      </w:r>
      <w:r w:rsidRPr="004D0AEB">
        <w:rPr>
          <w:rFonts w:cstheme="minorHAnsi"/>
          <w:iCs/>
          <w:sz w:val="24"/>
          <w:szCs w:val="24"/>
          <w:vertAlign w:val="superscript"/>
        </w:rPr>
        <w:t>th</w:t>
      </w:r>
      <w:r w:rsidRPr="004D0AEB">
        <w:rPr>
          <w:rFonts w:cstheme="minorHAnsi"/>
          <w:iCs/>
          <w:sz w:val="24"/>
          <w:szCs w:val="24"/>
        </w:rPr>
        <w:t xml:space="preserve"> of August 2019). </w:t>
      </w:r>
    </w:p>
    <w:p w14:paraId="5C7EC2A7" w14:textId="77777777" w:rsidR="00F118E5" w:rsidRPr="004D0AEB" w:rsidRDefault="00F118E5" w:rsidP="00B36D6F">
      <w:pPr>
        <w:spacing w:line="360" w:lineRule="auto"/>
        <w:rPr>
          <w:rFonts w:cstheme="minorHAnsi"/>
          <w:sz w:val="24"/>
          <w:szCs w:val="24"/>
        </w:rPr>
      </w:pPr>
      <w:r w:rsidRPr="004D0AEB">
        <w:rPr>
          <w:rFonts w:cstheme="minorHAnsi"/>
          <w:sz w:val="24"/>
          <w:szCs w:val="24"/>
        </w:rPr>
        <w:t xml:space="preserve">Institute of Medicine. (2001) </w:t>
      </w:r>
      <w:r w:rsidRPr="004D0AEB">
        <w:rPr>
          <w:rFonts w:cstheme="minorHAnsi"/>
          <w:i/>
          <w:iCs/>
          <w:sz w:val="24"/>
          <w:szCs w:val="24"/>
        </w:rPr>
        <w:t xml:space="preserve">The Health of Lesbian, Gay, Bisexual, and Transgender People. Building a Foundation For Better Understanding. </w:t>
      </w:r>
      <w:r w:rsidRPr="004D0AEB">
        <w:rPr>
          <w:rFonts w:cstheme="minorHAnsi"/>
          <w:sz w:val="24"/>
          <w:szCs w:val="24"/>
        </w:rPr>
        <w:t xml:space="preserve">Washington: The National Academics Press, p.10. </w:t>
      </w:r>
    </w:p>
    <w:p w14:paraId="05FE79E8" w14:textId="77777777" w:rsidR="00F118E5" w:rsidRPr="004D0AEB" w:rsidRDefault="00F118E5" w:rsidP="00B36D6F">
      <w:pPr>
        <w:spacing w:line="360" w:lineRule="auto"/>
        <w:rPr>
          <w:rFonts w:cstheme="minorHAnsi"/>
          <w:iCs/>
          <w:sz w:val="24"/>
          <w:szCs w:val="24"/>
        </w:rPr>
      </w:pPr>
      <w:r w:rsidRPr="004D0AEB">
        <w:rPr>
          <w:rFonts w:cstheme="minorHAnsi"/>
          <w:sz w:val="24"/>
          <w:szCs w:val="24"/>
        </w:rPr>
        <w:t xml:space="preserve">Kugle, S.S.H. (2010) </w:t>
      </w:r>
      <w:r w:rsidRPr="004D0AEB">
        <w:rPr>
          <w:rFonts w:cstheme="minorHAnsi"/>
          <w:i/>
          <w:sz w:val="24"/>
          <w:szCs w:val="24"/>
        </w:rPr>
        <w:t xml:space="preserve">Homosexuality in Islam; Critical Reflection on Gay, Lesbian, and Transgender Muslims. </w:t>
      </w:r>
      <w:r w:rsidRPr="004D0AEB">
        <w:rPr>
          <w:rFonts w:cstheme="minorHAnsi"/>
          <w:iCs/>
          <w:sz w:val="24"/>
          <w:szCs w:val="24"/>
        </w:rPr>
        <w:t>London; Oneworld Publications, pp 22, 35-39, 41-42, 50-57, 64-65, 131-133 and 173-185.</w:t>
      </w:r>
    </w:p>
    <w:p w14:paraId="0E9768B7" w14:textId="77777777" w:rsidR="00F118E5" w:rsidRPr="004D0AEB" w:rsidRDefault="00F118E5" w:rsidP="00B36D6F">
      <w:pPr>
        <w:spacing w:line="360" w:lineRule="auto"/>
        <w:rPr>
          <w:rFonts w:cstheme="minorHAnsi"/>
          <w:iCs/>
          <w:sz w:val="24"/>
          <w:szCs w:val="24"/>
        </w:rPr>
      </w:pPr>
      <w:r w:rsidRPr="004D0AEB">
        <w:rPr>
          <w:rFonts w:cstheme="minorHAnsi"/>
          <w:iCs/>
          <w:sz w:val="24"/>
          <w:szCs w:val="24"/>
        </w:rPr>
        <w:t xml:space="preserve">Lewis, B. (2001) </w:t>
      </w:r>
      <w:r w:rsidRPr="004D0AEB">
        <w:rPr>
          <w:rFonts w:cstheme="minorHAnsi"/>
          <w:i/>
          <w:sz w:val="24"/>
          <w:szCs w:val="24"/>
        </w:rPr>
        <w:t xml:space="preserve">Music From a Distant Dream: Classical Arabic, Persian, Turkish and Hebrew Poems. </w:t>
      </w:r>
      <w:r w:rsidRPr="004D0AEB">
        <w:rPr>
          <w:rFonts w:cstheme="minorHAnsi"/>
          <w:iCs/>
          <w:sz w:val="24"/>
          <w:szCs w:val="24"/>
        </w:rPr>
        <w:t>Princeton, p.26.</w:t>
      </w:r>
    </w:p>
    <w:p w14:paraId="6198E721" w14:textId="77777777" w:rsidR="00F118E5" w:rsidRPr="004D0AEB" w:rsidRDefault="00F118E5" w:rsidP="00B36D6F">
      <w:pPr>
        <w:spacing w:line="360" w:lineRule="auto"/>
        <w:rPr>
          <w:rFonts w:cstheme="minorHAnsi"/>
          <w:sz w:val="24"/>
          <w:szCs w:val="24"/>
        </w:rPr>
      </w:pPr>
      <w:r w:rsidRPr="004D0AEB">
        <w:rPr>
          <w:rFonts w:cstheme="minorHAnsi"/>
          <w:sz w:val="24"/>
          <w:szCs w:val="24"/>
        </w:rPr>
        <w:t xml:space="preserve">Long, R.E. (2004) </w:t>
      </w:r>
      <w:r w:rsidRPr="004D0AEB">
        <w:rPr>
          <w:rFonts w:cstheme="minorHAnsi"/>
          <w:i/>
          <w:iCs/>
          <w:sz w:val="24"/>
          <w:szCs w:val="24"/>
        </w:rPr>
        <w:t xml:space="preserve">Men, Homosexuality, and the Gods: An Exploration into the Religious Significance of Male Homosexuality in World Perspective. </w:t>
      </w:r>
      <w:r w:rsidRPr="004D0AEB">
        <w:rPr>
          <w:rFonts w:cstheme="minorHAnsi"/>
          <w:sz w:val="24"/>
          <w:szCs w:val="24"/>
        </w:rPr>
        <w:t>New York, London and Oxford: Harrington Park Press, pp 42-43.</w:t>
      </w:r>
    </w:p>
    <w:p w14:paraId="41E7D519" w14:textId="77777777" w:rsidR="00F118E5" w:rsidRPr="004D0AEB" w:rsidRDefault="00F118E5" w:rsidP="00B36D6F">
      <w:pPr>
        <w:spacing w:line="360" w:lineRule="auto"/>
        <w:rPr>
          <w:rFonts w:cstheme="minorHAnsi"/>
          <w:sz w:val="24"/>
          <w:szCs w:val="24"/>
        </w:rPr>
      </w:pPr>
      <w:r w:rsidRPr="004D0AEB">
        <w:rPr>
          <w:rFonts w:cstheme="minorHAnsi"/>
          <w:sz w:val="24"/>
          <w:szCs w:val="24"/>
        </w:rPr>
        <w:t xml:space="preserve">Mardell, A. (2016) </w:t>
      </w:r>
      <w:r w:rsidRPr="004D0AEB">
        <w:rPr>
          <w:rFonts w:cstheme="minorHAnsi"/>
          <w:i/>
          <w:iCs/>
          <w:sz w:val="24"/>
          <w:szCs w:val="24"/>
        </w:rPr>
        <w:t xml:space="preserve">The ABC’s of LGBT+. </w:t>
      </w:r>
      <w:r w:rsidRPr="004D0AEB">
        <w:rPr>
          <w:rFonts w:cstheme="minorHAnsi"/>
          <w:sz w:val="24"/>
          <w:szCs w:val="24"/>
        </w:rPr>
        <w:t>London: Mango Media, p.170.</w:t>
      </w:r>
    </w:p>
    <w:p w14:paraId="75E70070" w14:textId="77777777" w:rsidR="00F118E5" w:rsidRPr="004D0AEB" w:rsidRDefault="00F118E5" w:rsidP="00B36D6F">
      <w:pPr>
        <w:spacing w:line="360" w:lineRule="auto"/>
        <w:rPr>
          <w:rFonts w:cstheme="minorHAnsi"/>
          <w:sz w:val="24"/>
          <w:szCs w:val="24"/>
        </w:rPr>
      </w:pPr>
      <w:r w:rsidRPr="004D0AEB">
        <w:rPr>
          <w:rFonts w:cstheme="minorHAnsi"/>
          <w:sz w:val="24"/>
          <w:szCs w:val="24"/>
        </w:rPr>
        <w:t xml:space="preserve">Murray, S.O, and Roscoe, W. (1997) </w:t>
      </w:r>
      <w:r w:rsidRPr="004D0AEB">
        <w:rPr>
          <w:rFonts w:cstheme="minorHAnsi"/>
          <w:i/>
          <w:iCs/>
          <w:sz w:val="24"/>
          <w:szCs w:val="24"/>
        </w:rPr>
        <w:t xml:space="preserve">Islamic Homosexualities; Culture, History and Literature. </w:t>
      </w:r>
      <w:r w:rsidRPr="004D0AEB">
        <w:rPr>
          <w:rFonts w:cstheme="minorHAnsi"/>
          <w:sz w:val="24"/>
          <w:szCs w:val="24"/>
        </w:rPr>
        <w:t>New York and London; New York University Press, pp 3 and 87-88.</w:t>
      </w:r>
    </w:p>
    <w:p w14:paraId="3A08B928" w14:textId="3C52B264" w:rsidR="00F118E5" w:rsidRPr="004D0AEB" w:rsidRDefault="00F118E5" w:rsidP="00B36D6F">
      <w:pPr>
        <w:spacing w:line="360" w:lineRule="auto"/>
        <w:rPr>
          <w:rFonts w:cstheme="minorHAnsi"/>
          <w:sz w:val="24"/>
          <w:szCs w:val="24"/>
        </w:rPr>
      </w:pPr>
      <w:r w:rsidRPr="004D0AEB">
        <w:rPr>
          <w:rFonts w:cstheme="minorHAnsi"/>
          <w:sz w:val="24"/>
          <w:szCs w:val="24"/>
        </w:rPr>
        <w:t xml:space="preserve">Olson, D. (2011) </w:t>
      </w:r>
      <w:r w:rsidRPr="004D0AEB">
        <w:rPr>
          <w:rFonts w:cstheme="minorHAnsi"/>
          <w:i/>
          <w:iCs/>
          <w:sz w:val="24"/>
          <w:szCs w:val="24"/>
        </w:rPr>
        <w:t xml:space="preserve">Issues in Contemporary Christian Thought: A Fortress Introduction. </w:t>
      </w:r>
      <w:r w:rsidRPr="004D0AEB">
        <w:rPr>
          <w:rFonts w:cstheme="minorHAnsi"/>
          <w:sz w:val="24"/>
          <w:szCs w:val="24"/>
        </w:rPr>
        <w:t>Minneapolis: Fortress Press, p.208.</w:t>
      </w:r>
    </w:p>
    <w:p w14:paraId="7BB3FFBB" w14:textId="77777777" w:rsidR="00F118E5" w:rsidRPr="004D0AEB" w:rsidRDefault="00F118E5" w:rsidP="00B36D6F">
      <w:pPr>
        <w:spacing w:line="360" w:lineRule="auto"/>
        <w:rPr>
          <w:rFonts w:cstheme="minorHAnsi"/>
          <w:iCs/>
          <w:sz w:val="24"/>
          <w:szCs w:val="24"/>
        </w:rPr>
      </w:pPr>
      <w:r w:rsidRPr="004D0AEB">
        <w:rPr>
          <w:rFonts w:cstheme="minorHAnsi"/>
          <w:iCs/>
          <w:sz w:val="24"/>
          <w:szCs w:val="24"/>
        </w:rPr>
        <w:t xml:space="preserve">Rahemtulla, S. (2017) </w:t>
      </w:r>
      <w:r w:rsidRPr="004D0AEB">
        <w:rPr>
          <w:rFonts w:cstheme="minorHAnsi"/>
          <w:i/>
          <w:sz w:val="24"/>
          <w:szCs w:val="24"/>
        </w:rPr>
        <w:t xml:space="preserve">Qur’an of the Oppressed: Liberation Theology and Gender Justice in Islam. </w:t>
      </w:r>
      <w:r w:rsidRPr="004D0AEB">
        <w:rPr>
          <w:rFonts w:cstheme="minorHAnsi"/>
          <w:iCs/>
          <w:sz w:val="24"/>
          <w:szCs w:val="24"/>
        </w:rPr>
        <w:t>Oxford: Oxford University Press, p.10.</w:t>
      </w:r>
    </w:p>
    <w:p w14:paraId="43669EB9" w14:textId="77777777" w:rsidR="00F118E5" w:rsidRPr="004D0AEB" w:rsidRDefault="00F118E5" w:rsidP="00B36D6F">
      <w:pPr>
        <w:spacing w:line="360" w:lineRule="auto"/>
        <w:rPr>
          <w:rFonts w:cstheme="minorHAnsi"/>
          <w:sz w:val="24"/>
          <w:szCs w:val="24"/>
        </w:rPr>
      </w:pPr>
      <w:r w:rsidRPr="004D0AEB">
        <w:rPr>
          <w:rFonts w:cstheme="minorHAnsi"/>
          <w:sz w:val="24"/>
          <w:szCs w:val="24"/>
        </w:rPr>
        <w:t xml:space="preserve">Rohe, M. (2015) </w:t>
      </w:r>
      <w:r w:rsidRPr="004D0AEB">
        <w:rPr>
          <w:rFonts w:cstheme="minorHAnsi"/>
          <w:i/>
          <w:iCs/>
          <w:sz w:val="24"/>
          <w:szCs w:val="24"/>
        </w:rPr>
        <w:t xml:space="preserve">Islamic Law in Past and Present. </w:t>
      </w:r>
      <w:r w:rsidRPr="004D0AEB">
        <w:rPr>
          <w:rFonts w:cstheme="minorHAnsi"/>
          <w:sz w:val="24"/>
          <w:szCs w:val="24"/>
        </w:rPr>
        <w:t>In</w:t>
      </w:r>
      <w:r w:rsidRPr="004D0AEB">
        <w:rPr>
          <w:rFonts w:cstheme="minorHAnsi"/>
          <w:i/>
          <w:iCs/>
          <w:sz w:val="24"/>
          <w:szCs w:val="24"/>
        </w:rPr>
        <w:t xml:space="preserve"> </w:t>
      </w:r>
      <w:r w:rsidRPr="004D0AEB">
        <w:rPr>
          <w:rFonts w:cstheme="minorHAnsi"/>
          <w:sz w:val="24"/>
          <w:szCs w:val="24"/>
        </w:rPr>
        <w:t>Goldbloom, G. (trans.)</w:t>
      </w:r>
      <w:r w:rsidRPr="004D0AEB">
        <w:rPr>
          <w:rFonts w:cstheme="minorHAnsi"/>
          <w:i/>
          <w:iCs/>
          <w:sz w:val="24"/>
          <w:szCs w:val="24"/>
        </w:rPr>
        <w:t xml:space="preserve"> </w:t>
      </w:r>
      <w:r w:rsidRPr="004D0AEB">
        <w:rPr>
          <w:rFonts w:cstheme="minorHAnsi"/>
          <w:sz w:val="24"/>
          <w:szCs w:val="24"/>
        </w:rPr>
        <w:t>Leiden and Boston: Brill, p.10.</w:t>
      </w:r>
    </w:p>
    <w:p w14:paraId="52E3E75D" w14:textId="77777777" w:rsidR="00F118E5" w:rsidRPr="004D0AEB" w:rsidRDefault="00F118E5" w:rsidP="00B36D6F">
      <w:pPr>
        <w:spacing w:line="360" w:lineRule="auto"/>
        <w:rPr>
          <w:rFonts w:cstheme="minorHAnsi"/>
          <w:sz w:val="24"/>
          <w:szCs w:val="24"/>
        </w:rPr>
      </w:pPr>
      <w:r w:rsidRPr="004D0AEB">
        <w:rPr>
          <w:rFonts w:cstheme="minorHAnsi"/>
          <w:sz w:val="24"/>
          <w:szCs w:val="24"/>
        </w:rPr>
        <w:t xml:space="preserve">Saeed, A. (2006) </w:t>
      </w:r>
      <w:r w:rsidRPr="004D0AEB">
        <w:rPr>
          <w:rFonts w:cstheme="minorHAnsi"/>
          <w:i/>
          <w:iCs/>
          <w:sz w:val="24"/>
          <w:szCs w:val="24"/>
        </w:rPr>
        <w:t xml:space="preserve">Interpreting the Qur’an towards a contemporary approach. </w:t>
      </w:r>
      <w:r w:rsidRPr="004D0AEB">
        <w:rPr>
          <w:rFonts w:cstheme="minorHAnsi"/>
          <w:sz w:val="24"/>
          <w:szCs w:val="24"/>
        </w:rPr>
        <w:t>London and New York: Routledge, pp 2-3.</w:t>
      </w:r>
    </w:p>
    <w:p w14:paraId="0C2FB18E" w14:textId="77777777" w:rsidR="00F118E5" w:rsidRPr="004D0AEB" w:rsidRDefault="00F118E5" w:rsidP="00B36D6F">
      <w:pPr>
        <w:spacing w:line="360" w:lineRule="auto"/>
        <w:rPr>
          <w:rFonts w:cstheme="minorHAnsi"/>
          <w:sz w:val="24"/>
          <w:szCs w:val="24"/>
        </w:rPr>
      </w:pPr>
      <w:r w:rsidRPr="004D0AEB">
        <w:rPr>
          <w:rFonts w:cstheme="minorHAnsi"/>
          <w:sz w:val="24"/>
          <w:szCs w:val="24"/>
        </w:rPr>
        <w:t xml:space="preserve">Sardar, Z. (2011) </w:t>
      </w:r>
      <w:r w:rsidRPr="004D0AEB">
        <w:rPr>
          <w:rFonts w:cstheme="minorHAnsi"/>
          <w:i/>
          <w:iCs/>
          <w:sz w:val="24"/>
          <w:szCs w:val="24"/>
        </w:rPr>
        <w:t xml:space="preserve">Reading the Qur’an: The Contemporary Relevance of the Sacred Text of Islam. </w:t>
      </w:r>
      <w:r w:rsidRPr="004D0AEB">
        <w:rPr>
          <w:rFonts w:cstheme="minorHAnsi"/>
          <w:sz w:val="24"/>
          <w:szCs w:val="24"/>
        </w:rPr>
        <w:t>Oxford and New York: Oxford University Press, pp 74-75.</w:t>
      </w:r>
    </w:p>
    <w:p w14:paraId="1CBB551A" w14:textId="77777777" w:rsidR="00F118E5" w:rsidRPr="004D0AEB" w:rsidRDefault="00F118E5" w:rsidP="00B36D6F">
      <w:pPr>
        <w:spacing w:line="360" w:lineRule="auto"/>
        <w:rPr>
          <w:rFonts w:cstheme="minorHAnsi"/>
          <w:sz w:val="24"/>
          <w:szCs w:val="24"/>
        </w:rPr>
      </w:pPr>
      <w:r w:rsidRPr="004D0AEB">
        <w:rPr>
          <w:rFonts w:cstheme="minorHAnsi"/>
          <w:sz w:val="24"/>
          <w:szCs w:val="24"/>
        </w:rPr>
        <w:lastRenderedPageBreak/>
        <w:t xml:space="preserve">Shah, S. (2018) </w:t>
      </w:r>
      <w:r w:rsidRPr="004D0AEB">
        <w:rPr>
          <w:rFonts w:cstheme="minorHAnsi"/>
          <w:i/>
          <w:iCs/>
          <w:sz w:val="24"/>
          <w:szCs w:val="24"/>
        </w:rPr>
        <w:t xml:space="preserve">The Making of a Gay Muslim: Religion, Sexuality and Identity in Malaysia and Britain. </w:t>
      </w:r>
      <w:r w:rsidRPr="004D0AEB">
        <w:rPr>
          <w:rFonts w:cstheme="minorHAnsi"/>
          <w:sz w:val="24"/>
          <w:szCs w:val="24"/>
        </w:rPr>
        <w:t>London: Palgrave Macmillan.</w:t>
      </w:r>
    </w:p>
    <w:p w14:paraId="59BC88FB" w14:textId="77777777" w:rsidR="00F118E5" w:rsidRPr="004D0AEB" w:rsidRDefault="00F118E5" w:rsidP="00B36D6F">
      <w:pPr>
        <w:spacing w:line="360" w:lineRule="auto"/>
        <w:rPr>
          <w:rFonts w:cstheme="minorHAnsi"/>
          <w:sz w:val="24"/>
          <w:szCs w:val="24"/>
        </w:rPr>
      </w:pPr>
      <w:r w:rsidRPr="004D0AEB">
        <w:rPr>
          <w:rFonts w:cstheme="minorHAnsi"/>
          <w:sz w:val="24"/>
          <w:szCs w:val="24"/>
        </w:rPr>
        <w:t xml:space="preserve">Sharma, P. (2017) </w:t>
      </w:r>
      <w:r w:rsidRPr="004D0AEB">
        <w:rPr>
          <w:rFonts w:cstheme="minorHAnsi"/>
          <w:i/>
          <w:iCs/>
          <w:sz w:val="24"/>
          <w:szCs w:val="24"/>
        </w:rPr>
        <w:t xml:space="preserve">A Sinner in Mecca: A Gay Muslim’s Hajj of Defiance. </w:t>
      </w:r>
      <w:r w:rsidRPr="004D0AEB">
        <w:rPr>
          <w:rFonts w:cstheme="minorHAnsi"/>
          <w:sz w:val="24"/>
          <w:szCs w:val="24"/>
        </w:rPr>
        <w:t>Dallas: Benbella Books.</w:t>
      </w:r>
    </w:p>
    <w:p w14:paraId="30DFEA6A" w14:textId="77777777" w:rsidR="00F118E5" w:rsidRPr="004D0AEB" w:rsidRDefault="00F118E5" w:rsidP="00B36D6F">
      <w:pPr>
        <w:spacing w:line="360" w:lineRule="auto"/>
        <w:rPr>
          <w:rFonts w:cstheme="minorHAnsi"/>
          <w:sz w:val="24"/>
          <w:szCs w:val="24"/>
        </w:rPr>
      </w:pPr>
      <w:r w:rsidRPr="004D0AEB">
        <w:rPr>
          <w:rFonts w:cstheme="minorHAnsi"/>
          <w:sz w:val="24"/>
          <w:szCs w:val="24"/>
        </w:rPr>
        <w:t>The Qur’an, (2011). Translated by: Saheeh International. Al-Muntada Al-Islami: London.</w:t>
      </w:r>
    </w:p>
    <w:p w14:paraId="1930A732" w14:textId="77777777" w:rsidR="00F118E5" w:rsidRPr="004D0AEB" w:rsidRDefault="00F118E5" w:rsidP="00B36D6F">
      <w:pPr>
        <w:spacing w:line="360" w:lineRule="auto"/>
        <w:rPr>
          <w:rFonts w:cstheme="minorHAnsi"/>
          <w:sz w:val="24"/>
          <w:szCs w:val="24"/>
        </w:rPr>
      </w:pPr>
      <w:r w:rsidRPr="004D0AEB">
        <w:rPr>
          <w:rFonts w:cstheme="minorHAnsi"/>
          <w:sz w:val="24"/>
          <w:szCs w:val="24"/>
        </w:rPr>
        <w:t xml:space="preserve">Thin, N. (2014) ‘On the Primary Importance of Secondary Research’, in, Konopinski, N. (ed.) </w:t>
      </w:r>
      <w:r w:rsidRPr="004D0AEB">
        <w:rPr>
          <w:rFonts w:cstheme="minorHAnsi"/>
          <w:i/>
          <w:iCs/>
          <w:sz w:val="24"/>
          <w:szCs w:val="24"/>
        </w:rPr>
        <w:t xml:space="preserve">Doing Anthropological Research; A Practical Guide. </w:t>
      </w:r>
      <w:r w:rsidRPr="004D0AEB">
        <w:rPr>
          <w:rFonts w:cstheme="minorHAnsi"/>
          <w:sz w:val="24"/>
          <w:szCs w:val="24"/>
        </w:rPr>
        <w:t>New York; Routledge, p.40.</w:t>
      </w:r>
    </w:p>
    <w:p w14:paraId="7A8AF5F6" w14:textId="77777777" w:rsidR="00F118E5" w:rsidRPr="004D0AEB" w:rsidRDefault="00F118E5" w:rsidP="00B36D6F">
      <w:pPr>
        <w:spacing w:line="360" w:lineRule="auto"/>
        <w:rPr>
          <w:rFonts w:cstheme="minorHAnsi"/>
          <w:sz w:val="24"/>
          <w:szCs w:val="24"/>
        </w:rPr>
      </w:pPr>
      <w:r w:rsidRPr="004D0AEB">
        <w:rPr>
          <w:rFonts w:cstheme="minorHAnsi"/>
          <w:sz w:val="24"/>
          <w:szCs w:val="24"/>
        </w:rPr>
        <w:t xml:space="preserve">Toensing, H.J. (2005) ‘Women of Sodom and Gomorrah: Collateral Damage in the War against Homosexuality?’. </w:t>
      </w:r>
      <w:r w:rsidRPr="004D0AEB">
        <w:rPr>
          <w:rFonts w:cstheme="minorHAnsi"/>
          <w:i/>
          <w:iCs/>
          <w:sz w:val="24"/>
          <w:szCs w:val="24"/>
        </w:rPr>
        <w:t xml:space="preserve">Journal of Feminist Studies in Religion. </w:t>
      </w:r>
      <w:r w:rsidRPr="004D0AEB">
        <w:rPr>
          <w:rFonts w:cstheme="minorHAnsi"/>
          <w:sz w:val="24"/>
          <w:szCs w:val="24"/>
        </w:rPr>
        <w:t xml:space="preserve">Vol.21. No.2 (Fall). Pp 60-63. [Online]. Available at: </w:t>
      </w:r>
      <w:hyperlink r:id="rId15" w:history="1">
        <w:r w:rsidRPr="004D0AEB">
          <w:rPr>
            <w:rStyle w:val="Hyperlink"/>
            <w:rFonts w:cstheme="minorHAnsi"/>
            <w:sz w:val="24"/>
            <w:szCs w:val="24"/>
          </w:rPr>
          <w:t>https://www.jstor.org/stable/25002533?seq=1</w:t>
        </w:r>
      </w:hyperlink>
      <w:r w:rsidRPr="004D0AEB">
        <w:rPr>
          <w:rFonts w:cstheme="minorHAnsi"/>
          <w:sz w:val="24"/>
          <w:szCs w:val="24"/>
        </w:rPr>
        <w:t xml:space="preserve"> (Last accessed: 20</w:t>
      </w:r>
      <w:r w:rsidRPr="004D0AEB">
        <w:rPr>
          <w:rFonts w:cstheme="minorHAnsi"/>
          <w:sz w:val="24"/>
          <w:szCs w:val="24"/>
          <w:vertAlign w:val="superscript"/>
        </w:rPr>
        <w:t>th</w:t>
      </w:r>
      <w:r w:rsidRPr="004D0AEB">
        <w:rPr>
          <w:rFonts w:cstheme="minorHAnsi"/>
          <w:sz w:val="24"/>
          <w:szCs w:val="24"/>
        </w:rPr>
        <w:t xml:space="preserve"> of April 2020).</w:t>
      </w:r>
    </w:p>
    <w:p w14:paraId="400AE58A" w14:textId="77777777" w:rsidR="00F118E5" w:rsidRPr="004D0AEB" w:rsidRDefault="00F118E5" w:rsidP="00B36D6F">
      <w:pPr>
        <w:spacing w:line="360" w:lineRule="auto"/>
        <w:rPr>
          <w:rFonts w:cstheme="minorHAnsi"/>
          <w:sz w:val="24"/>
          <w:szCs w:val="24"/>
        </w:rPr>
      </w:pPr>
      <w:r w:rsidRPr="004D0AEB">
        <w:rPr>
          <w:rFonts w:cstheme="minorHAnsi"/>
          <w:iCs/>
          <w:sz w:val="24"/>
          <w:szCs w:val="24"/>
        </w:rPr>
        <w:t xml:space="preserve">Vanita, R and Kidwai, S. (2000) </w:t>
      </w:r>
      <w:r w:rsidRPr="004D0AEB">
        <w:rPr>
          <w:rFonts w:cstheme="minorHAnsi"/>
          <w:i/>
          <w:iCs/>
          <w:sz w:val="24"/>
          <w:szCs w:val="24"/>
        </w:rPr>
        <w:t xml:space="preserve">Same-Sex Love in India. </w:t>
      </w:r>
      <w:r w:rsidRPr="004D0AEB">
        <w:rPr>
          <w:rFonts w:cstheme="minorHAnsi"/>
          <w:sz w:val="24"/>
          <w:szCs w:val="24"/>
        </w:rPr>
        <w:t>New York: St Martin’s Press, p.107.</w:t>
      </w:r>
    </w:p>
    <w:p w14:paraId="7D14ACAE" w14:textId="77777777" w:rsidR="00F118E5" w:rsidRPr="004D0AEB" w:rsidRDefault="00F118E5" w:rsidP="00BD069B">
      <w:pPr>
        <w:spacing w:line="480" w:lineRule="auto"/>
        <w:jc w:val="center"/>
        <w:rPr>
          <w:rFonts w:cstheme="minorHAnsi"/>
          <w:b/>
          <w:bCs/>
          <w:sz w:val="32"/>
          <w:szCs w:val="32"/>
        </w:rPr>
      </w:pPr>
    </w:p>
    <w:p w14:paraId="3A9EB606" w14:textId="77777777" w:rsidR="00F118E5" w:rsidRPr="004D0AEB" w:rsidRDefault="00F118E5" w:rsidP="00BD069B">
      <w:pPr>
        <w:spacing w:line="480" w:lineRule="auto"/>
        <w:rPr>
          <w:rFonts w:cstheme="minorHAnsi"/>
          <w:sz w:val="28"/>
          <w:szCs w:val="28"/>
        </w:rPr>
      </w:pPr>
    </w:p>
    <w:sectPr w:rsidR="00F118E5" w:rsidRPr="004D0AEB" w:rsidSect="00F71BC9">
      <w:footerReference w:type="default" r:id="rId16"/>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854A7EC" w14:textId="77777777" w:rsidR="00F118E5" w:rsidRDefault="00F118E5" w:rsidP="00F118E5">
      <w:pPr>
        <w:spacing w:after="0" w:line="240" w:lineRule="auto"/>
      </w:pPr>
      <w:r>
        <w:separator/>
      </w:r>
    </w:p>
  </w:endnote>
  <w:endnote w:type="continuationSeparator" w:id="0">
    <w:p w14:paraId="4C722B84" w14:textId="77777777" w:rsidR="00F118E5" w:rsidRDefault="00F118E5" w:rsidP="00F118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98174268"/>
      <w:docPartObj>
        <w:docPartGallery w:val="Page Numbers (Bottom of Page)"/>
        <w:docPartUnique/>
      </w:docPartObj>
    </w:sdtPr>
    <w:sdtEndPr>
      <w:rPr>
        <w:noProof/>
      </w:rPr>
    </w:sdtEndPr>
    <w:sdtContent>
      <w:p w14:paraId="58E90142" w14:textId="678765F2" w:rsidR="001E5A5E" w:rsidRDefault="001E5A5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15371B1" w14:textId="77777777" w:rsidR="001E5A5E" w:rsidRDefault="001E5A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093F26F" w14:textId="77777777" w:rsidR="00F118E5" w:rsidRDefault="00F118E5" w:rsidP="00F118E5">
      <w:pPr>
        <w:spacing w:after="0" w:line="240" w:lineRule="auto"/>
      </w:pPr>
      <w:r>
        <w:separator/>
      </w:r>
    </w:p>
  </w:footnote>
  <w:footnote w:type="continuationSeparator" w:id="0">
    <w:p w14:paraId="51F8203A" w14:textId="77777777" w:rsidR="00F118E5" w:rsidRDefault="00F118E5" w:rsidP="00F118E5">
      <w:pPr>
        <w:spacing w:after="0" w:line="240" w:lineRule="auto"/>
      </w:pPr>
      <w:r>
        <w:continuationSeparator/>
      </w:r>
    </w:p>
  </w:footnote>
  <w:footnote w:id="1">
    <w:p w14:paraId="1D318F57" w14:textId="77777777" w:rsidR="00F118E5" w:rsidRDefault="00F118E5" w:rsidP="00F118E5">
      <w:pPr>
        <w:pStyle w:val="FootnoteText"/>
      </w:pPr>
      <w:r>
        <w:rPr>
          <w:rStyle w:val="FootnoteReference"/>
        </w:rPr>
        <w:footnoteRef/>
      </w:r>
      <w:r>
        <w:t xml:space="preserve"> For definition, the term ‘Homosexual’ or ‘Homosexuality’ here encompasses an individual who is sexually attracted to another individual of the same sex. The Institute of Medicine defines the term ‘homosexuality’ as an individual who also identifies as ‘gay’ or ‘lesbian’, with whom one’s attraction and behaviours focus exclusively on members of the same sex (2001, p.10).</w:t>
      </w:r>
    </w:p>
  </w:footnote>
  <w:footnote w:id="2">
    <w:p w14:paraId="1154C776" w14:textId="77777777" w:rsidR="00F118E5" w:rsidRDefault="00F118E5" w:rsidP="00F118E5">
      <w:pPr>
        <w:pStyle w:val="FootnoteText"/>
      </w:pPr>
      <w:r>
        <w:rPr>
          <w:rStyle w:val="FootnoteReference"/>
        </w:rPr>
        <w:footnoteRef/>
      </w:r>
      <w:r>
        <w:t xml:space="preserve"> For definition, the ‘Story of Lot’ represents a holy passage within the Islamic scripture; the Qur’an, which has traditionally come to represent the condemnation of homosexuality within the religion. During the parable, the destruction of the people of Lot is considered to be explicitly associated with their homosexual practices, thus forbidding same sex within Islam (Murray and Roscoe, 1997, p.88).</w:t>
      </w:r>
    </w:p>
  </w:footnote>
  <w:footnote w:id="3">
    <w:p w14:paraId="7C74BEF3" w14:textId="77777777" w:rsidR="00F118E5" w:rsidRDefault="00F118E5" w:rsidP="00F118E5">
      <w:pPr>
        <w:pStyle w:val="FootnoteText"/>
      </w:pPr>
      <w:r>
        <w:rPr>
          <w:rStyle w:val="FootnoteReference"/>
        </w:rPr>
        <w:footnoteRef/>
      </w:r>
      <w:r>
        <w:t xml:space="preserve"> For definition, Sharia law represents the religious law of Islam. Mathias Rohe defines the term as the entirety of all religious and legal norms, along with the Islamic rules of interpretation on prayer, fasting, food, drink, pilgrimage, family and inheritance laws (2015, p.10). Abdulla and Keshavjee define the term further as: Islamic law which is the revealed will of God, and the symbol of permanent divine dispensation (2018, p.xx). </w:t>
      </w:r>
    </w:p>
  </w:footnote>
  <w:footnote w:id="4">
    <w:p w14:paraId="25CE5C40" w14:textId="77777777" w:rsidR="00F118E5" w:rsidRDefault="00F118E5" w:rsidP="00F118E5">
      <w:pPr>
        <w:pStyle w:val="FootnoteText"/>
      </w:pPr>
      <w:r>
        <w:rPr>
          <w:rStyle w:val="FootnoteReference"/>
        </w:rPr>
        <w:footnoteRef/>
      </w:r>
      <w:r>
        <w:t xml:space="preserve"> For definition, the term LGBT here refers to ‘homosexuality’, and will be used throughout to represent individuals of ‘homosexual’ nature. Ashley Mardell defines LGBT as a newly developed term to represent ‘homosexuals’, which emerged due to the expression ‘homosexuality’ becoming dated and medicalized during developments of the past decade (2016, p.170).</w:t>
      </w:r>
    </w:p>
  </w:footnote>
  <w:footnote w:id="5">
    <w:p w14:paraId="78B5D358" w14:textId="77777777" w:rsidR="00F118E5" w:rsidRDefault="00F118E5" w:rsidP="00F118E5">
      <w:pPr>
        <w:pStyle w:val="FootnoteText"/>
      </w:pPr>
      <w:r>
        <w:rPr>
          <w:rStyle w:val="FootnoteReference"/>
        </w:rPr>
        <w:footnoteRef/>
      </w:r>
      <w:r>
        <w:t xml:space="preserve"> (1993) </w:t>
      </w:r>
      <w:r w:rsidRPr="0017311B">
        <w:rPr>
          <w:i/>
        </w:rPr>
        <w:t>The Turkish Art of Love.</w:t>
      </w:r>
    </w:p>
  </w:footnote>
  <w:footnote w:id="6">
    <w:p w14:paraId="7279DDD6" w14:textId="77777777" w:rsidR="00F118E5" w:rsidRDefault="00F118E5" w:rsidP="00F118E5">
      <w:pPr>
        <w:pStyle w:val="FootnoteText"/>
      </w:pPr>
      <w:r w:rsidRPr="00E26266">
        <w:rPr>
          <w:rStyle w:val="FootnoteReference"/>
          <w:sz w:val="16"/>
          <w:szCs w:val="16"/>
        </w:rPr>
        <w:footnoteRef/>
      </w:r>
      <w:r w:rsidRPr="00E26266">
        <w:rPr>
          <w:sz w:val="16"/>
          <w:szCs w:val="16"/>
        </w:rPr>
        <w:t xml:space="preserve"> </w:t>
      </w:r>
      <w:r w:rsidRPr="00E26266">
        <w:t xml:space="preserve">(1991) </w:t>
      </w:r>
      <w:r w:rsidRPr="00E26266">
        <w:rPr>
          <w:i/>
          <w:iCs/>
        </w:rPr>
        <w:t>The History of Al-Tabari, Volume 3.</w:t>
      </w:r>
    </w:p>
  </w:footnote>
  <w:footnote w:id="7">
    <w:p w14:paraId="48405925" w14:textId="77777777" w:rsidR="00F118E5" w:rsidRDefault="00F118E5" w:rsidP="00F118E5">
      <w:pPr>
        <w:pStyle w:val="FootnoteText"/>
      </w:pPr>
      <w:r>
        <w:rPr>
          <w:rStyle w:val="FootnoteReference"/>
        </w:rPr>
        <w:footnoteRef/>
      </w:r>
      <w:r>
        <w:t xml:space="preserve"> </w:t>
      </w:r>
      <w:r w:rsidRPr="00330CE7">
        <w:t xml:space="preserve">(2017) </w:t>
      </w:r>
      <w:r w:rsidRPr="00330CE7">
        <w:rPr>
          <w:i/>
          <w:iCs/>
        </w:rPr>
        <w:t xml:space="preserve">Al-Muhalla. </w:t>
      </w:r>
      <w:r w:rsidRPr="00330CE7">
        <w:t>Vol.1. Part 12</w:t>
      </w:r>
      <w:r>
        <w:t>.</w:t>
      </w:r>
    </w:p>
  </w:footnote>
  <w:footnote w:id="8">
    <w:p w14:paraId="67A8CAC3" w14:textId="77777777" w:rsidR="00F118E5" w:rsidRDefault="00F118E5" w:rsidP="00F118E5">
      <w:pPr>
        <w:pStyle w:val="FootnoteText"/>
      </w:pPr>
      <w:r w:rsidRPr="0047139D">
        <w:rPr>
          <w:rStyle w:val="FootnoteReference"/>
          <w:sz w:val="16"/>
          <w:szCs w:val="16"/>
        </w:rPr>
        <w:footnoteRef/>
      </w:r>
      <w:r w:rsidRPr="0047139D">
        <w:rPr>
          <w:sz w:val="16"/>
          <w:szCs w:val="16"/>
        </w:rPr>
        <w:t xml:space="preserve"> </w:t>
      </w:r>
      <w:r w:rsidRPr="0047139D">
        <w:t>(2005) ‘Women of Sodom and Gomorrah: Collateral Damage in the War against Homosexuality?’</w:t>
      </w:r>
    </w:p>
  </w:footnote>
  <w:footnote w:id="9">
    <w:p w14:paraId="51779160" w14:textId="77777777" w:rsidR="00F118E5" w:rsidRDefault="00F118E5" w:rsidP="00F118E5">
      <w:pPr>
        <w:pStyle w:val="FootnoteText"/>
      </w:pPr>
      <w:r w:rsidRPr="0009343F">
        <w:rPr>
          <w:rStyle w:val="FootnoteReference"/>
          <w:sz w:val="16"/>
          <w:szCs w:val="16"/>
        </w:rPr>
        <w:footnoteRef/>
      </w:r>
      <w:r w:rsidRPr="0009343F">
        <w:rPr>
          <w:sz w:val="16"/>
          <w:szCs w:val="16"/>
        </w:rPr>
        <w:t xml:space="preserve"> </w:t>
      </w:r>
      <w:r w:rsidRPr="0009343F">
        <w:t xml:space="preserve">(2010) </w:t>
      </w:r>
      <w:r w:rsidRPr="0009343F">
        <w:rPr>
          <w:i/>
        </w:rPr>
        <w:t>Homosexuality in Islam; Critical Reflection on Gay, Lesbian, and Transgender Muslims.</w:t>
      </w:r>
    </w:p>
  </w:footnote>
  <w:footnote w:id="10">
    <w:p w14:paraId="7310F759" w14:textId="77777777" w:rsidR="00F118E5" w:rsidRDefault="00F118E5" w:rsidP="00F118E5">
      <w:pPr>
        <w:pStyle w:val="FootnoteText"/>
      </w:pPr>
      <w:r w:rsidRPr="0046387C">
        <w:rPr>
          <w:rStyle w:val="FootnoteReference"/>
          <w:sz w:val="16"/>
          <w:szCs w:val="16"/>
        </w:rPr>
        <w:footnoteRef/>
      </w:r>
      <w:r w:rsidRPr="0046387C">
        <w:rPr>
          <w:sz w:val="16"/>
          <w:szCs w:val="16"/>
        </w:rPr>
        <w:t xml:space="preserve"> </w:t>
      </w:r>
      <w:r w:rsidRPr="0046387C">
        <w:t>(2018) ‘Orlando Shooting: It’s different now, but Muslims have a long history of accepting homosexuality’</w:t>
      </w:r>
      <w:r>
        <w:t>.</w:t>
      </w:r>
    </w:p>
  </w:footnote>
  <w:footnote w:id="11">
    <w:p w14:paraId="6CEE0B9D" w14:textId="77777777" w:rsidR="00F118E5" w:rsidRDefault="00F118E5" w:rsidP="00F118E5">
      <w:pPr>
        <w:pStyle w:val="FootnoteText"/>
      </w:pPr>
      <w:r>
        <w:rPr>
          <w:rStyle w:val="FootnoteReference"/>
        </w:rPr>
        <w:footnoteRef/>
      </w:r>
      <w:r>
        <w:t xml:space="preserve"> For definition, </w:t>
      </w:r>
      <w:r w:rsidRPr="00E9751D">
        <w:t>The Golden Age dates from the mid-8</w:t>
      </w:r>
      <w:r w:rsidRPr="00E9751D">
        <w:rPr>
          <w:vertAlign w:val="superscript"/>
        </w:rPr>
        <w:t>th</w:t>
      </w:r>
      <w:r w:rsidRPr="00E9751D">
        <w:t xml:space="preserve"> century to the mid-13</w:t>
      </w:r>
      <w:r w:rsidRPr="00E9751D">
        <w:rPr>
          <w:vertAlign w:val="superscript"/>
        </w:rPr>
        <w:t>th</w:t>
      </w:r>
      <w:r w:rsidRPr="00E9751D">
        <w:t xml:space="preserve"> century, </w:t>
      </w:r>
      <w:r>
        <w:t xml:space="preserve">representing a period where homosexuality is believed to have been widespread amongst Islamic society </w:t>
      </w:r>
      <w:r w:rsidRPr="00E9751D">
        <w:rPr>
          <w:rStyle w:val="FootnoteReference"/>
        </w:rPr>
        <w:footnoteRef/>
      </w:r>
      <w:r w:rsidRPr="00E9751D">
        <w:t xml:space="preserve"> (Daniyal, 2016).</w:t>
      </w:r>
    </w:p>
  </w:footnote>
  <w:footnote w:id="12">
    <w:p w14:paraId="034070AA" w14:textId="77777777" w:rsidR="00F118E5" w:rsidRDefault="00F118E5" w:rsidP="00F118E5">
      <w:pPr>
        <w:pStyle w:val="FootnoteText"/>
      </w:pPr>
      <w:r>
        <w:rPr>
          <w:rStyle w:val="FootnoteReference"/>
        </w:rPr>
        <w:footnoteRef/>
      </w:r>
      <w:r>
        <w:t xml:space="preserve"> See Kugle (2010)</w:t>
      </w:r>
    </w:p>
  </w:footnote>
  <w:footnote w:id="13">
    <w:p w14:paraId="5A2EC927" w14:textId="77777777" w:rsidR="00F118E5" w:rsidRDefault="00F118E5" w:rsidP="00F118E5">
      <w:pPr>
        <w:pStyle w:val="FootnoteText"/>
      </w:pPr>
      <w:r w:rsidRPr="00307C27">
        <w:rPr>
          <w:rStyle w:val="FootnoteReference"/>
          <w:sz w:val="16"/>
          <w:szCs w:val="16"/>
        </w:rPr>
        <w:footnoteRef/>
      </w:r>
      <w:r w:rsidRPr="00307C27">
        <w:rPr>
          <w:sz w:val="16"/>
          <w:szCs w:val="16"/>
        </w:rPr>
        <w:t xml:space="preserve"> </w:t>
      </w:r>
      <w:r w:rsidRPr="00307C27">
        <w:t xml:space="preserve">(1997) </w:t>
      </w:r>
      <w:r w:rsidRPr="00307C27">
        <w:rPr>
          <w:i/>
          <w:iCs/>
        </w:rPr>
        <w:t>Qur’an, Liberation and Pluralism.</w:t>
      </w:r>
    </w:p>
  </w:footnote>
  <w:footnote w:id="14">
    <w:p w14:paraId="4FE7BB21" w14:textId="77777777" w:rsidR="00F118E5" w:rsidRPr="002F48D2" w:rsidRDefault="00F118E5" w:rsidP="00F118E5">
      <w:pPr>
        <w:pStyle w:val="FootnoteText"/>
      </w:pPr>
      <w:r>
        <w:rPr>
          <w:rStyle w:val="FootnoteReference"/>
        </w:rPr>
        <w:footnoteRef/>
      </w:r>
      <w:r>
        <w:t xml:space="preserve"> Such as </w:t>
      </w:r>
      <w:r w:rsidRPr="00874CFB">
        <w:t>Hunt, R, and Valentine, G. (2006). ‘Love Thy Neighbour; What People of Faith Really Think About Homosexuality’</w:t>
      </w:r>
      <w:r>
        <w:t xml:space="preserve">, </w:t>
      </w:r>
      <w:r w:rsidRPr="00B614B0">
        <w:t>Boellstorff, T. (2005) ‘Between Religion and Desire; Being Muslim and Gay in Indonesia’</w:t>
      </w:r>
      <w:r>
        <w:t xml:space="preserve">, </w:t>
      </w:r>
      <w:r w:rsidRPr="002F48D2">
        <w:t xml:space="preserve">Shah, S. (2018) </w:t>
      </w:r>
      <w:r w:rsidRPr="002F48D2">
        <w:rPr>
          <w:i/>
          <w:iCs/>
        </w:rPr>
        <w:t>The Making of a Gay Muslim: Religion, Sexuality and Identity in Malaysia and Britain</w:t>
      </w:r>
      <w:r>
        <w:rPr>
          <w:i/>
          <w:iCs/>
        </w:rPr>
        <w:t xml:space="preserve"> </w:t>
      </w:r>
      <w:r>
        <w:t xml:space="preserve">and </w:t>
      </w:r>
      <w:r w:rsidRPr="005E2409">
        <w:t xml:space="preserve">Sharma, P. (2017) </w:t>
      </w:r>
      <w:r w:rsidRPr="005E2409">
        <w:rPr>
          <w:i/>
          <w:iCs/>
        </w:rPr>
        <w:t>A Sinner in Mecca: A Gay Muslim’s Hajj of Defiance.</w:t>
      </w:r>
    </w:p>
  </w:footnote>
  <w:footnote w:id="15">
    <w:p w14:paraId="0802C94B" w14:textId="77777777" w:rsidR="00F118E5" w:rsidRDefault="00F118E5" w:rsidP="00F118E5">
      <w:pPr>
        <w:pStyle w:val="FootnoteText"/>
      </w:pPr>
      <w:r>
        <w:rPr>
          <w:rStyle w:val="FootnoteReference"/>
        </w:rPr>
        <w:footnoteRef/>
      </w:r>
      <w:r>
        <w:t xml:space="preserve"> </w:t>
      </w:r>
      <w:r w:rsidRPr="001F1947">
        <w:t>The majority of literature concerning homosexuality within Islam appears to be published quite recently, within the past decade or so, as the field remains a rather new and developing area.</w:t>
      </w:r>
      <w:r>
        <w:t xml:space="preserve"> </w:t>
      </w:r>
      <w:r w:rsidRPr="001F1947">
        <w:t>Nevertheless, there are a sufficient number of sources available which are easily accessible</w:t>
      </w:r>
      <w:r>
        <w:t xml:space="preserve">; the most </w:t>
      </w:r>
      <w:r w:rsidRPr="001F1947">
        <w:t>prolific type of material</w:t>
      </w:r>
      <w:r>
        <w:t xml:space="preserve"> </w:t>
      </w:r>
      <w:r w:rsidRPr="001F1947">
        <w:t>indisputably</w:t>
      </w:r>
      <w:r>
        <w:t xml:space="preserve"> being</w:t>
      </w:r>
      <w:r w:rsidRPr="001F1947">
        <w:t xml:space="preserve"> chapters within academic books and journal articles, as discussed above.</w:t>
      </w:r>
    </w:p>
  </w:footnote>
  <w:footnote w:id="16">
    <w:p w14:paraId="6DF0EFBA" w14:textId="77777777" w:rsidR="00F118E5" w:rsidRPr="000F0D6B" w:rsidRDefault="00F118E5" w:rsidP="00F118E5">
      <w:pPr>
        <w:pStyle w:val="FootnoteText"/>
      </w:pPr>
      <w:r w:rsidRPr="000F0D6B">
        <w:rPr>
          <w:rStyle w:val="FootnoteReference"/>
        </w:rPr>
        <w:footnoteRef/>
      </w:r>
      <w:r w:rsidRPr="000F0D6B">
        <w:t xml:space="preserve"> The first stream of Muslims arrived either with, or shortly after, the first colonialists at the Cape in sixteen fifty-two (Esack, 1997, p.20). These Muslims came from various parts of the East, consisting of prisoners, slaves, labourers and political exiles. In the Cape, they formed a sub-group, which quickly and commonly began to be referred to as the ‘coloured community’ (Esack, 1997, p.20). The second stream of Muslims arrived in eighteen-sixty, consisting of indentured laborers from India, along with some Hindus</w:t>
      </w:r>
      <w:r>
        <w:t xml:space="preserve"> (Esack, 1997, p.20).</w:t>
      </w:r>
    </w:p>
  </w:footnote>
  <w:footnote w:id="17">
    <w:p w14:paraId="4F299639" w14:textId="77777777" w:rsidR="00F118E5" w:rsidRDefault="00F118E5" w:rsidP="00F118E5">
      <w:pPr>
        <w:pStyle w:val="FootnoteText"/>
      </w:pPr>
      <w:r>
        <w:rPr>
          <w:rStyle w:val="FootnoteReference"/>
        </w:rPr>
        <w:footnoteRef/>
      </w:r>
      <w:r>
        <w:t xml:space="preserve"> </w:t>
      </w:r>
      <w:r w:rsidRPr="00CD2B8C">
        <w:t>Bhagdad also became the cultural capital of the world during this time, the height of significance, peaking interest globally; comparable to New York city in present time (Daniyal, 2016).</w:t>
      </w:r>
    </w:p>
  </w:footnote>
  <w:footnote w:id="18">
    <w:p w14:paraId="0974F907" w14:textId="77777777" w:rsidR="00F118E5" w:rsidRDefault="00F118E5" w:rsidP="00F118E5">
      <w:pPr>
        <w:pStyle w:val="FootnoteText"/>
      </w:pPr>
      <w:r>
        <w:rPr>
          <w:rStyle w:val="FootnoteReference"/>
        </w:rPr>
        <w:footnoteRef/>
      </w:r>
      <w:r>
        <w:t xml:space="preserve"> </w:t>
      </w:r>
      <w:r w:rsidRPr="00A707AD">
        <w:t>Nuwas became a respected figure, as his poetry quickly came to represent the height of Bhagdad culture, influencing other Muslim societies and communities to also embrace the notion of homosexuality (Daniyal, 2016).</w:t>
      </w:r>
    </w:p>
  </w:footnote>
  <w:footnote w:id="19">
    <w:p w14:paraId="67823FBB" w14:textId="77777777" w:rsidR="00F118E5" w:rsidRDefault="00F118E5" w:rsidP="00F118E5">
      <w:pPr>
        <w:pStyle w:val="FootnoteText"/>
      </w:pPr>
      <w:r w:rsidRPr="00784311">
        <w:rPr>
          <w:rStyle w:val="FootnoteReference"/>
          <w:sz w:val="16"/>
          <w:szCs w:val="16"/>
        </w:rPr>
        <w:footnoteRef/>
      </w:r>
      <w:r w:rsidRPr="00784311">
        <w:rPr>
          <w:sz w:val="16"/>
          <w:szCs w:val="16"/>
        </w:rPr>
        <w:t xml:space="preserve"> </w:t>
      </w:r>
      <w:r w:rsidRPr="00784311">
        <w:t>It was only as late as two thousand-and-one that Arabs began to question, and blush upon Nuwas’s homoerotism. Extreme extents began to take place, including the Egyptian Ministry of Culture, under severe pressure from Islamic fundamentalists, burning six thousand copies of the poetry (Daniyal, 2016).</w:t>
      </w:r>
    </w:p>
  </w:footnote>
  <w:footnote w:id="20">
    <w:p w14:paraId="0AD3E000" w14:textId="79EEAEA1" w:rsidR="00F118E5" w:rsidRDefault="00F118E5" w:rsidP="00F118E5">
      <w:pPr>
        <w:pStyle w:val="FootnoteText"/>
      </w:pPr>
      <w:r w:rsidRPr="002A3A56">
        <w:rPr>
          <w:rStyle w:val="FootnoteReference"/>
          <w:sz w:val="16"/>
          <w:szCs w:val="16"/>
        </w:rPr>
        <w:footnoteRef/>
      </w:r>
      <w:r w:rsidRPr="002A3A56">
        <w:rPr>
          <w:sz w:val="16"/>
          <w:szCs w:val="16"/>
        </w:rPr>
        <w:t xml:space="preserve"> </w:t>
      </w:r>
      <w:r w:rsidRPr="002A3A56">
        <w:t>This literature became a celebrated work of art in the Medieval Muslim world, with its homosexual prominence being pivotal to its success</w:t>
      </w:r>
      <w:r w:rsidR="00F200A4">
        <w:t xml:space="preserve"> (Daniyal, 2016).</w:t>
      </w:r>
    </w:p>
  </w:footnote>
  <w:footnote w:id="21">
    <w:p w14:paraId="7D450529" w14:textId="77777777" w:rsidR="00F118E5" w:rsidRDefault="00F118E5" w:rsidP="00F118E5">
      <w:pPr>
        <w:pStyle w:val="FootnoteText"/>
      </w:pPr>
      <w:r w:rsidRPr="003E50BB">
        <w:rPr>
          <w:rStyle w:val="FootnoteReference"/>
          <w:sz w:val="16"/>
          <w:szCs w:val="16"/>
        </w:rPr>
        <w:footnoteRef/>
      </w:r>
      <w:r w:rsidRPr="003E50BB">
        <w:rPr>
          <w:sz w:val="16"/>
          <w:szCs w:val="16"/>
        </w:rPr>
        <w:t xml:space="preserve"> </w:t>
      </w:r>
      <w:r w:rsidRPr="003E50BB">
        <w:t>Islamic scholars and students were even exposed to romantic stories of homosexual love, as Arabic literature became so commonly replete with homosexual references (El-Rouayheb, 2005, p.1).</w:t>
      </w:r>
    </w:p>
  </w:footnote>
  <w:footnote w:id="22">
    <w:p w14:paraId="5BE3F9B1" w14:textId="49204E9E" w:rsidR="00F118E5" w:rsidRDefault="00F118E5" w:rsidP="00F118E5">
      <w:pPr>
        <w:pStyle w:val="FootnoteText"/>
      </w:pPr>
      <w:r w:rsidRPr="00331E38">
        <w:rPr>
          <w:rStyle w:val="FootnoteReference"/>
          <w:sz w:val="16"/>
          <w:szCs w:val="16"/>
        </w:rPr>
        <w:footnoteRef/>
      </w:r>
      <w:r w:rsidRPr="00331E38">
        <w:rPr>
          <w:sz w:val="16"/>
          <w:szCs w:val="16"/>
        </w:rPr>
        <w:t xml:space="preserve"> </w:t>
      </w:r>
      <w:r w:rsidRPr="00331E38">
        <w:t>This Penal Code has impacted so greatly in India, that conservative Hindus continue to hold homosexuality to be immoral today</w:t>
      </w:r>
      <w:r w:rsidR="00F200A4">
        <w:t xml:space="preserve"> (Daniyal, 2016).</w:t>
      </w:r>
    </w:p>
  </w:footnote>
  <w:footnote w:id="23">
    <w:p w14:paraId="53EEE89F" w14:textId="77777777" w:rsidR="00F118E5" w:rsidRDefault="00F118E5" w:rsidP="00F118E5">
      <w:pPr>
        <w:pStyle w:val="FootnoteText"/>
      </w:pPr>
      <w:r w:rsidRPr="00087E3B">
        <w:rPr>
          <w:rStyle w:val="FootnoteReference"/>
          <w:sz w:val="16"/>
          <w:szCs w:val="16"/>
        </w:rPr>
        <w:footnoteRef/>
      </w:r>
      <w:r w:rsidRPr="00087E3B">
        <w:rPr>
          <w:sz w:val="16"/>
          <w:szCs w:val="16"/>
        </w:rPr>
        <w:t xml:space="preserve"> </w:t>
      </w:r>
      <w:r w:rsidRPr="00087E3B">
        <w:t>Sharia law demands from all Muslims proper action and correct belief, that accords with the precepts sent down during the Revelation (Abdulla and Keshavjee, 2018, p.2).</w:t>
      </w:r>
    </w:p>
  </w:footnote>
  <w:footnote w:id="24">
    <w:p w14:paraId="0F5EF621" w14:textId="77777777" w:rsidR="00F118E5" w:rsidRPr="00B87F36" w:rsidRDefault="00F118E5" w:rsidP="00F118E5">
      <w:pPr>
        <w:pStyle w:val="FootnoteText"/>
      </w:pPr>
      <w:r>
        <w:rPr>
          <w:rStyle w:val="FootnoteReference"/>
        </w:rPr>
        <w:footnoteRef/>
      </w:r>
      <w:r>
        <w:t xml:space="preserve"> In terms of battles, broke treaties and clashing clans. The first </w:t>
      </w:r>
      <w:r>
        <w:rPr>
          <w:i/>
          <w:iCs/>
        </w:rPr>
        <w:t xml:space="preserve">Fitna </w:t>
      </w:r>
      <w:r>
        <w:t>took place; a civil war against the Rashidun Caliphate, followed by a period of internecine wars within early Islam, with issues of succession and power resulting in a difficult irruption for this new faith (Abdulla and Keshavhee, 2018, p.6).</w:t>
      </w:r>
    </w:p>
  </w:footnote>
  <w:footnote w:id="25">
    <w:p w14:paraId="491505B6" w14:textId="77777777" w:rsidR="00F118E5" w:rsidRDefault="00F118E5" w:rsidP="00F118E5">
      <w:pPr>
        <w:pStyle w:val="FootnoteText"/>
      </w:pPr>
      <w:r w:rsidRPr="00FD19B2">
        <w:rPr>
          <w:rStyle w:val="FootnoteReference"/>
          <w:sz w:val="16"/>
          <w:szCs w:val="16"/>
        </w:rPr>
        <w:footnoteRef/>
      </w:r>
      <w:r w:rsidRPr="00FD19B2">
        <w:rPr>
          <w:sz w:val="16"/>
          <w:szCs w:val="16"/>
        </w:rPr>
        <w:t xml:space="preserve"> </w:t>
      </w:r>
      <w:r w:rsidRPr="00FD19B2">
        <w:t>The extraordinary emission of a new faith began to expand by ways of conquest into new territories within a short time span of a few years. The old Sasanian and Byzantine empires were quickly overrun by a new and vibrant society of Arabs, who produced valour, martial skills and a political shrewdness (Abdulla and Keshavjee, 2018, p.6).</w:t>
      </w:r>
    </w:p>
  </w:footnote>
  <w:footnote w:id="26">
    <w:p w14:paraId="4688FA06" w14:textId="77777777" w:rsidR="00F118E5" w:rsidRDefault="00F118E5" w:rsidP="00F118E5">
      <w:pPr>
        <w:pStyle w:val="FootnoteText"/>
      </w:pPr>
      <w:r w:rsidRPr="00B40CDD">
        <w:rPr>
          <w:rStyle w:val="FootnoteReference"/>
          <w:sz w:val="16"/>
          <w:szCs w:val="16"/>
        </w:rPr>
        <w:footnoteRef/>
      </w:r>
      <w:r w:rsidRPr="00B40CDD">
        <w:rPr>
          <w:sz w:val="16"/>
          <w:szCs w:val="16"/>
        </w:rPr>
        <w:t xml:space="preserve"> </w:t>
      </w:r>
      <w:r w:rsidRPr="00B40CDD">
        <w:t>With the number of Muslims joining Islam growing daily, along with the expansion of territories, evidently, new issues arose, and thus new principles of</w:t>
      </w:r>
      <w:r>
        <w:t xml:space="preserve"> religious</w:t>
      </w:r>
      <w:r w:rsidRPr="00B40CDD">
        <w:t xml:space="preserve"> governance were required</w:t>
      </w:r>
      <w:r>
        <w:t>.</w:t>
      </w:r>
    </w:p>
  </w:footnote>
  <w:footnote w:id="27">
    <w:p w14:paraId="0FEC8908" w14:textId="77777777" w:rsidR="00F118E5" w:rsidRDefault="00F118E5" w:rsidP="00F118E5">
      <w:pPr>
        <w:pStyle w:val="FootnoteText"/>
      </w:pPr>
      <w:r>
        <w:rPr>
          <w:rStyle w:val="FootnoteReference"/>
        </w:rPr>
        <w:footnoteRef/>
      </w:r>
      <w:r>
        <w:t xml:space="preserve"> </w:t>
      </w:r>
      <w:r w:rsidRPr="00B23A06">
        <w:t xml:space="preserve">The </w:t>
      </w:r>
      <w:r w:rsidRPr="00B23A06">
        <w:rPr>
          <w:i/>
          <w:iCs/>
        </w:rPr>
        <w:t xml:space="preserve">fuqaha </w:t>
      </w:r>
      <w:r w:rsidRPr="00B23A06">
        <w:t>could assuredly be seen as bold, as they assert that every possible human act is governed by God’s will, whilst they could also be considered as audacious, through claiming that they can use reason to interpret scripture, in order to comprehend God’s will in practical terms</w:t>
      </w:r>
      <w:r>
        <w:t>.</w:t>
      </w:r>
    </w:p>
  </w:footnote>
  <w:footnote w:id="28">
    <w:p w14:paraId="3088C26F" w14:textId="05AC1CC3" w:rsidR="00F10FA0" w:rsidRDefault="00F10FA0">
      <w:pPr>
        <w:pStyle w:val="FootnoteText"/>
      </w:pPr>
      <w:r>
        <w:rPr>
          <w:rStyle w:val="FootnoteReference"/>
        </w:rPr>
        <w:footnoteRef/>
      </w:r>
      <w:r>
        <w:t xml:space="preserve"> Due to word count limit</w:t>
      </w:r>
      <w:r w:rsidR="00E861E2">
        <w:t xml:space="preserve">s </w:t>
      </w:r>
      <w:r>
        <w:t>o</w:t>
      </w:r>
      <w:r w:rsidR="00FC0061">
        <w:t xml:space="preserve">nly one </w:t>
      </w:r>
      <w:r w:rsidR="00E861E2">
        <w:t xml:space="preserve">prominent </w:t>
      </w:r>
      <w:r>
        <w:t xml:space="preserve">theory could be discussed in terms of </w:t>
      </w:r>
      <w:r w:rsidR="00FC0061">
        <w:t xml:space="preserve">a Sharia adaption, therefore one of the most </w:t>
      </w:r>
      <w:r w:rsidR="00E861E2">
        <w:t xml:space="preserve">historically eminent </w:t>
      </w:r>
      <w:r w:rsidR="00FC0061">
        <w:t>scholars were selected.</w:t>
      </w:r>
    </w:p>
  </w:footnote>
  <w:footnote w:id="29">
    <w:p w14:paraId="0051AB03" w14:textId="77777777" w:rsidR="00F118E5" w:rsidRDefault="00F118E5" w:rsidP="00F118E5">
      <w:pPr>
        <w:pStyle w:val="FootnoteText"/>
      </w:pPr>
      <w:r w:rsidRPr="00CB25FE">
        <w:rPr>
          <w:rStyle w:val="FootnoteReference"/>
          <w:sz w:val="16"/>
          <w:szCs w:val="16"/>
        </w:rPr>
        <w:footnoteRef/>
      </w:r>
      <w:r w:rsidRPr="00CB25FE">
        <w:rPr>
          <w:sz w:val="16"/>
          <w:szCs w:val="16"/>
        </w:rPr>
        <w:t xml:space="preserve"> </w:t>
      </w:r>
      <w:r w:rsidRPr="00CB25FE">
        <w:t xml:space="preserve">In terms of definition, the Qur’an is a scriptural particle derived from the Arabic root </w:t>
      </w:r>
      <w:r w:rsidRPr="00CB25FE">
        <w:rPr>
          <w:i/>
          <w:iCs/>
        </w:rPr>
        <w:t xml:space="preserve">qara’a, </w:t>
      </w:r>
      <w:r w:rsidRPr="00CB25FE">
        <w:t>which literally translated to; ‘he read’ (Esack, 1997, p.52).</w:t>
      </w:r>
    </w:p>
  </w:footnote>
  <w:footnote w:id="30">
    <w:p w14:paraId="581A40EB" w14:textId="77777777" w:rsidR="00F118E5" w:rsidRDefault="00F118E5" w:rsidP="00F118E5">
      <w:pPr>
        <w:pStyle w:val="FootnoteText"/>
      </w:pPr>
      <w:r w:rsidRPr="00A5542F">
        <w:rPr>
          <w:rStyle w:val="FootnoteReference"/>
          <w:sz w:val="16"/>
          <w:szCs w:val="16"/>
        </w:rPr>
        <w:footnoteRef/>
      </w:r>
      <w:r w:rsidRPr="00A5542F">
        <w:rPr>
          <w:sz w:val="16"/>
          <w:szCs w:val="16"/>
        </w:rPr>
        <w:t xml:space="preserve"> </w:t>
      </w:r>
      <w:r w:rsidRPr="00A5542F">
        <w:t>The Islamic family, often referred to as the ‘Ummah’, represent the total billion Muslims who exist throughout the world. No matter where each Muslim is situated, and regardless of the language they may speak, the Qur’an is the central aspect which unites all of Islam (Ganeri, 2008, p.7).</w:t>
      </w:r>
    </w:p>
  </w:footnote>
  <w:footnote w:id="31">
    <w:p w14:paraId="0239655F" w14:textId="77777777" w:rsidR="00F118E5" w:rsidRDefault="00F118E5" w:rsidP="00F118E5">
      <w:pPr>
        <w:pStyle w:val="FootnoteText"/>
      </w:pPr>
      <w:r>
        <w:rPr>
          <w:rStyle w:val="FootnoteReference"/>
        </w:rPr>
        <w:footnoteRef/>
      </w:r>
      <w:r>
        <w:t xml:space="preserve"> Following the September 11 terrorist attack on the World Trade Centre, the Qur’an came under scrutiny, often portrayed as promoting ‘evil’ acts. I</w:t>
      </w:r>
      <w:r w:rsidRPr="00A33BFC">
        <w:t>t is vital to note that the holy scripture does not portray or encourage acts of destruction or harm towards society (Kugle, 2010, p.22). In reality, the scripture promotes the opposite; how to live a life of peace, with well-being central for all (Ganeri, 2008, p.7).</w:t>
      </w:r>
    </w:p>
  </w:footnote>
  <w:footnote w:id="32">
    <w:p w14:paraId="6EF2A1E2" w14:textId="77777777" w:rsidR="00F118E5" w:rsidRDefault="00F118E5" w:rsidP="00F118E5">
      <w:pPr>
        <w:pStyle w:val="FootnoteText"/>
      </w:pPr>
      <w:r>
        <w:rPr>
          <w:rStyle w:val="FootnoteReference"/>
        </w:rPr>
        <w:footnoteRef/>
      </w:r>
      <w:r>
        <w:t xml:space="preserve"> In summary, the</w:t>
      </w:r>
      <w:r w:rsidRPr="00000F06">
        <w:t xml:space="preserve"> collection of hadiths involved the gathering and organisation of authoritative statements, along with behavioural practicalities attributed to the Prophet himself.</w:t>
      </w:r>
    </w:p>
  </w:footnote>
  <w:footnote w:id="33">
    <w:p w14:paraId="6D395A08" w14:textId="0D37DB1F" w:rsidR="00F118E5" w:rsidRDefault="00F118E5" w:rsidP="00F118E5">
      <w:pPr>
        <w:pStyle w:val="FootnoteText"/>
      </w:pPr>
      <w:r>
        <w:rPr>
          <w:rStyle w:val="FootnoteReference"/>
        </w:rPr>
        <w:footnoteRef/>
      </w:r>
      <w:r>
        <w:t xml:space="preserve"> By the beginning of the nineteenth century, oral transmission </w:t>
      </w:r>
      <w:r w:rsidR="001F0830">
        <w:t>was</w:t>
      </w:r>
      <w:r>
        <w:t xml:space="preserve"> rejected entirely as a reliable source of religious documentation. Rather, manual written recordings became favourable, however, many hadiths were corrupt by this point (Brown, 1996, p.88). </w:t>
      </w:r>
    </w:p>
  </w:footnote>
  <w:footnote w:id="34">
    <w:p w14:paraId="4C3FCA49" w14:textId="73181AC4" w:rsidR="00F118E5" w:rsidRDefault="00F118E5" w:rsidP="00F118E5">
      <w:pPr>
        <w:pStyle w:val="FootnoteText"/>
      </w:pPr>
      <w:r>
        <w:rPr>
          <w:rStyle w:val="FootnoteReference"/>
        </w:rPr>
        <w:footnoteRef/>
      </w:r>
      <w:r>
        <w:t xml:space="preserve"> I will not be examining all seven tools and principles due to lack of word count. I have chosen the three most prominent to discuss in terms of significanc</w:t>
      </w:r>
      <w:r w:rsidR="006E3D0F">
        <w:t xml:space="preserve">e and applicability, however I </w:t>
      </w:r>
      <w:r w:rsidR="00240BCD">
        <w:t>justify this choice further on in the chapter.</w:t>
      </w:r>
    </w:p>
  </w:footnote>
  <w:footnote w:id="35">
    <w:p w14:paraId="2593E6E0" w14:textId="77777777" w:rsidR="00F118E5" w:rsidRDefault="00F118E5" w:rsidP="00F118E5">
      <w:pPr>
        <w:pStyle w:val="FootnoteText"/>
      </w:pPr>
      <w:r>
        <w:rPr>
          <w:rStyle w:val="FootnoteReference"/>
        </w:rPr>
        <w:footnoteRef/>
      </w:r>
      <w:r>
        <w:t xml:space="preserve"> The Qur’ans lack of sexuality clarifications will be examined, and the effect this has on homosexual Muslims, as the Qur’an’s language specifically addressed a heterosexual audience. </w:t>
      </w:r>
    </w:p>
  </w:footnote>
  <w:footnote w:id="36">
    <w:p w14:paraId="360CD673" w14:textId="77777777" w:rsidR="00F118E5" w:rsidRDefault="00F118E5" w:rsidP="00F118E5">
      <w:pPr>
        <w:pStyle w:val="FootnoteText"/>
      </w:pPr>
      <w:r>
        <w:rPr>
          <w:rStyle w:val="FootnoteReference"/>
        </w:rPr>
        <w:footnoteRef/>
      </w:r>
      <w:r>
        <w:t xml:space="preserve"> An analysis concerning the fragmentation of Lot’s parable will be examined, and how this fractured structure can be used to support a homosexual Quranic reading.</w:t>
      </w:r>
    </w:p>
  </w:footnote>
  <w:footnote w:id="37">
    <w:p w14:paraId="258BC0A9" w14:textId="77777777" w:rsidR="00F118E5" w:rsidRDefault="00F118E5" w:rsidP="00F118E5">
      <w:pPr>
        <w:pStyle w:val="FootnoteText"/>
      </w:pPr>
      <w:r>
        <w:rPr>
          <w:rStyle w:val="FootnoteReference"/>
        </w:rPr>
        <w:footnoteRef/>
      </w:r>
      <w:r>
        <w:t xml:space="preserve"> Lesbianism is often overlooked during studies of Islamic homosexuality, as male same sex remains the core focus, therefore this chapter will analyse Lot’s parable in terms of lesbianism.</w:t>
      </w:r>
    </w:p>
  </w:footnote>
  <w:footnote w:id="38">
    <w:p w14:paraId="7D6AE6C9" w14:textId="77777777" w:rsidR="00F118E5" w:rsidRDefault="00F118E5" w:rsidP="00F118E5">
      <w:pPr>
        <w:pStyle w:val="FootnoteText"/>
      </w:pPr>
      <w:r>
        <w:rPr>
          <w:rStyle w:val="FootnoteReference"/>
        </w:rPr>
        <w:footnoteRef/>
      </w:r>
      <w:r>
        <w:t xml:space="preserve"> It must be noted that themes of sexuality are prominent in the Qur’an, however not specific definitions </w:t>
      </w:r>
      <w:r w:rsidRPr="004A7FC2">
        <w:rPr>
          <w:sz w:val="16"/>
          <w:szCs w:val="16"/>
        </w:rPr>
        <w:t>(</w:t>
      </w:r>
      <w:r w:rsidRPr="004A7FC2">
        <w:t>Hendricks, 2010, p.37).</w:t>
      </w:r>
    </w:p>
  </w:footnote>
  <w:footnote w:id="39">
    <w:p w14:paraId="0924B398" w14:textId="77777777" w:rsidR="00F118E5" w:rsidRDefault="00F118E5" w:rsidP="00F118E5">
      <w:pPr>
        <w:pStyle w:val="FootnoteText"/>
      </w:pPr>
      <w:r>
        <w:rPr>
          <w:rStyle w:val="FootnoteReference"/>
        </w:rPr>
        <w:footnoteRef/>
      </w:r>
      <w:r>
        <w:t xml:space="preserve"> Constructionists mainly consist of anthropologists, sociologists and historians however they are not limited to </w:t>
      </w:r>
      <w:r w:rsidRPr="00792A85">
        <w:t>these categories (El-Rouayheb, 2005, p.5).</w:t>
      </w:r>
    </w:p>
  </w:footnote>
  <w:footnote w:id="40">
    <w:p w14:paraId="600A8A62" w14:textId="77777777" w:rsidR="00F118E5" w:rsidRDefault="00F118E5" w:rsidP="00F118E5">
      <w:pPr>
        <w:pStyle w:val="FootnoteText"/>
      </w:pPr>
      <w:r>
        <w:rPr>
          <w:rStyle w:val="FootnoteReference"/>
        </w:rPr>
        <w:footnoteRef/>
      </w:r>
      <w:r>
        <w:t xml:space="preserve"> </w:t>
      </w:r>
      <w:r w:rsidRPr="00E37F59">
        <w:t>For example, see Matt 10:12-15 and Ezek 16:49.</w:t>
      </w:r>
    </w:p>
  </w:footnote>
  <w:footnote w:id="41">
    <w:p w14:paraId="0F6BCC56" w14:textId="77777777" w:rsidR="00F118E5" w:rsidRDefault="00F118E5" w:rsidP="00F118E5">
      <w:pPr>
        <w:pStyle w:val="FootnoteText"/>
      </w:pPr>
      <w:r>
        <w:rPr>
          <w:rStyle w:val="FootnoteReference"/>
        </w:rPr>
        <w:footnoteRef/>
      </w:r>
      <w:r>
        <w:t xml:space="preserve"> </w:t>
      </w:r>
      <w:r w:rsidRPr="001F691C">
        <w:t>For example, Prophets such as Noah, Moses, Salih and Hud.</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0077"/>
    <w:rsid w:val="000009F4"/>
    <w:rsid w:val="00004C48"/>
    <w:rsid w:val="00017F5E"/>
    <w:rsid w:val="0003363A"/>
    <w:rsid w:val="00034DED"/>
    <w:rsid w:val="00036937"/>
    <w:rsid w:val="00065E7B"/>
    <w:rsid w:val="00066A6B"/>
    <w:rsid w:val="00075EA6"/>
    <w:rsid w:val="00083CB2"/>
    <w:rsid w:val="000B7F14"/>
    <w:rsid w:val="000D13D2"/>
    <w:rsid w:val="000E12A5"/>
    <w:rsid w:val="000F1945"/>
    <w:rsid w:val="001035EB"/>
    <w:rsid w:val="00105B86"/>
    <w:rsid w:val="00111A93"/>
    <w:rsid w:val="001130E1"/>
    <w:rsid w:val="001163F2"/>
    <w:rsid w:val="00120DCD"/>
    <w:rsid w:val="00167765"/>
    <w:rsid w:val="00177A17"/>
    <w:rsid w:val="001838CB"/>
    <w:rsid w:val="00186EBB"/>
    <w:rsid w:val="00187FE6"/>
    <w:rsid w:val="001A42EB"/>
    <w:rsid w:val="001A4978"/>
    <w:rsid w:val="001B73AE"/>
    <w:rsid w:val="001B7CAC"/>
    <w:rsid w:val="001C3391"/>
    <w:rsid w:val="001C7141"/>
    <w:rsid w:val="001E0F08"/>
    <w:rsid w:val="001E5A5E"/>
    <w:rsid w:val="001E7EAC"/>
    <w:rsid w:val="001F0830"/>
    <w:rsid w:val="001F3295"/>
    <w:rsid w:val="001F52DD"/>
    <w:rsid w:val="0022657E"/>
    <w:rsid w:val="00240BCD"/>
    <w:rsid w:val="00276761"/>
    <w:rsid w:val="00281A08"/>
    <w:rsid w:val="00297F19"/>
    <w:rsid w:val="002A261F"/>
    <w:rsid w:val="002B7AB1"/>
    <w:rsid w:val="002B7CF3"/>
    <w:rsid w:val="002D4BD8"/>
    <w:rsid w:val="002E4AFC"/>
    <w:rsid w:val="00310EBC"/>
    <w:rsid w:val="003113AC"/>
    <w:rsid w:val="00311AAA"/>
    <w:rsid w:val="00325675"/>
    <w:rsid w:val="00326377"/>
    <w:rsid w:val="00327BB8"/>
    <w:rsid w:val="00334246"/>
    <w:rsid w:val="0033596A"/>
    <w:rsid w:val="00340CA1"/>
    <w:rsid w:val="003414E8"/>
    <w:rsid w:val="00367843"/>
    <w:rsid w:val="003756D0"/>
    <w:rsid w:val="00380DB9"/>
    <w:rsid w:val="00393001"/>
    <w:rsid w:val="003931BB"/>
    <w:rsid w:val="003938F6"/>
    <w:rsid w:val="003969E4"/>
    <w:rsid w:val="00397D66"/>
    <w:rsid w:val="003A0F93"/>
    <w:rsid w:val="003A4846"/>
    <w:rsid w:val="003B675F"/>
    <w:rsid w:val="003C1A31"/>
    <w:rsid w:val="003C7772"/>
    <w:rsid w:val="003E22D8"/>
    <w:rsid w:val="003E540C"/>
    <w:rsid w:val="003E73C8"/>
    <w:rsid w:val="003E7F67"/>
    <w:rsid w:val="003F7642"/>
    <w:rsid w:val="0042168C"/>
    <w:rsid w:val="00434D84"/>
    <w:rsid w:val="00440804"/>
    <w:rsid w:val="00451732"/>
    <w:rsid w:val="00452C1B"/>
    <w:rsid w:val="00473951"/>
    <w:rsid w:val="00485304"/>
    <w:rsid w:val="004B4791"/>
    <w:rsid w:val="004C3B3D"/>
    <w:rsid w:val="004D0AEB"/>
    <w:rsid w:val="004E55C4"/>
    <w:rsid w:val="004F6725"/>
    <w:rsid w:val="00532ED0"/>
    <w:rsid w:val="00533DEB"/>
    <w:rsid w:val="00541FDE"/>
    <w:rsid w:val="005553BB"/>
    <w:rsid w:val="00571F9E"/>
    <w:rsid w:val="005908AE"/>
    <w:rsid w:val="005974C0"/>
    <w:rsid w:val="005B1316"/>
    <w:rsid w:val="005C4D43"/>
    <w:rsid w:val="005C6157"/>
    <w:rsid w:val="005D4088"/>
    <w:rsid w:val="005E4F09"/>
    <w:rsid w:val="005F4544"/>
    <w:rsid w:val="006049A4"/>
    <w:rsid w:val="00610218"/>
    <w:rsid w:val="00610907"/>
    <w:rsid w:val="006124C5"/>
    <w:rsid w:val="00612744"/>
    <w:rsid w:val="00616640"/>
    <w:rsid w:val="00640922"/>
    <w:rsid w:val="00640F18"/>
    <w:rsid w:val="00643110"/>
    <w:rsid w:val="00646914"/>
    <w:rsid w:val="00664E60"/>
    <w:rsid w:val="006715A3"/>
    <w:rsid w:val="00684634"/>
    <w:rsid w:val="006A165C"/>
    <w:rsid w:val="006B4D26"/>
    <w:rsid w:val="006C19C1"/>
    <w:rsid w:val="006D0B25"/>
    <w:rsid w:val="006D1E5E"/>
    <w:rsid w:val="006D79D3"/>
    <w:rsid w:val="006E3D0F"/>
    <w:rsid w:val="006F7AC7"/>
    <w:rsid w:val="007108B6"/>
    <w:rsid w:val="0073613A"/>
    <w:rsid w:val="007607A8"/>
    <w:rsid w:val="00794E2A"/>
    <w:rsid w:val="007A5DD7"/>
    <w:rsid w:val="007B06A4"/>
    <w:rsid w:val="007C6632"/>
    <w:rsid w:val="007D1FB0"/>
    <w:rsid w:val="007D6BB8"/>
    <w:rsid w:val="007E1214"/>
    <w:rsid w:val="007F3558"/>
    <w:rsid w:val="007F5CD0"/>
    <w:rsid w:val="007F6C81"/>
    <w:rsid w:val="00815B83"/>
    <w:rsid w:val="008449E5"/>
    <w:rsid w:val="00851ACB"/>
    <w:rsid w:val="00852F6C"/>
    <w:rsid w:val="008534AD"/>
    <w:rsid w:val="00870F7C"/>
    <w:rsid w:val="00872406"/>
    <w:rsid w:val="00872516"/>
    <w:rsid w:val="00873BD7"/>
    <w:rsid w:val="00882524"/>
    <w:rsid w:val="008B24D0"/>
    <w:rsid w:val="008B377B"/>
    <w:rsid w:val="008B51AE"/>
    <w:rsid w:val="008B75CD"/>
    <w:rsid w:val="008C27C2"/>
    <w:rsid w:val="008F42EF"/>
    <w:rsid w:val="00911B78"/>
    <w:rsid w:val="00917D8D"/>
    <w:rsid w:val="009613F2"/>
    <w:rsid w:val="00961EDE"/>
    <w:rsid w:val="00974D6C"/>
    <w:rsid w:val="00991FB0"/>
    <w:rsid w:val="009A5152"/>
    <w:rsid w:val="009D1B4A"/>
    <w:rsid w:val="009D5BA8"/>
    <w:rsid w:val="009E43C8"/>
    <w:rsid w:val="009F4683"/>
    <w:rsid w:val="00A1582A"/>
    <w:rsid w:val="00A31999"/>
    <w:rsid w:val="00A350AC"/>
    <w:rsid w:val="00A418A9"/>
    <w:rsid w:val="00A56E74"/>
    <w:rsid w:val="00A6166B"/>
    <w:rsid w:val="00A62D18"/>
    <w:rsid w:val="00A7276D"/>
    <w:rsid w:val="00A73279"/>
    <w:rsid w:val="00A80A73"/>
    <w:rsid w:val="00A87A5F"/>
    <w:rsid w:val="00AD2962"/>
    <w:rsid w:val="00AE2753"/>
    <w:rsid w:val="00B03BD3"/>
    <w:rsid w:val="00B12E0F"/>
    <w:rsid w:val="00B22916"/>
    <w:rsid w:val="00B246CF"/>
    <w:rsid w:val="00B26D02"/>
    <w:rsid w:val="00B36D6F"/>
    <w:rsid w:val="00B4715A"/>
    <w:rsid w:val="00B56CE8"/>
    <w:rsid w:val="00B666CE"/>
    <w:rsid w:val="00B72C0F"/>
    <w:rsid w:val="00B764F5"/>
    <w:rsid w:val="00B85AE8"/>
    <w:rsid w:val="00B8622B"/>
    <w:rsid w:val="00BA0077"/>
    <w:rsid w:val="00BC5BD3"/>
    <w:rsid w:val="00BC6A28"/>
    <w:rsid w:val="00BD069B"/>
    <w:rsid w:val="00BE7C49"/>
    <w:rsid w:val="00BF359C"/>
    <w:rsid w:val="00C00CB1"/>
    <w:rsid w:val="00C02226"/>
    <w:rsid w:val="00C12C9A"/>
    <w:rsid w:val="00C14997"/>
    <w:rsid w:val="00C24207"/>
    <w:rsid w:val="00C2612E"/>
    <w:rsid w:val="00C47ED0"/>
    <w:rsid w:val="00C74D79"/>
    <w:rsid w:val="00CA485D"/>
    <w:rsid w:val="00CB0899"/>
    <w:rsid w:val="00CB2146"/>
    <w:rsid w:val="00CE531F"/>
    <w:rsid w:val="00CF619B"/>
    <w:rsid w:val="00D00D4E"/>
    <w:rsid w:val="00D10555"/>
    <w:rsid w:val="00D10C75"/>
    <w:rsid w:val="00D25950"/>
    <w:rsid w:val="00D30A34"/>
    <w:rsid w:val="00D41AB4"/>
    <w:rsid w:val="00D457B1"/>
    <w:rsid w:val="00D4686B"/>
    <w:rsid w:val="00D47E9D"/>
    <w:rsid w:val="00D530B3"/>
    <w:rsid w:val="00D75F6C"/>
    <w:rsid w:val="00D82B80"/>
    <w:rsid w:val="00D91F7E"/>
    <w:rsid w:val="00D962C2"/>
    <w:rsid w:val="00DA13AC"/>
    <w:rsid w:val="00DA1E3E"/>
    <w:rsid w:val="00DA2A7A"/>
    <w:rsid w:val="00DA7CA6"/>
    <w:rsid w:val="00DB0925"/>
    <w:rsid w:val="00DB25A6"/>
    <w:rsid w:val="00DB4E52"/>
    <w:rsid w:val="00DD0D37"/>
    <w:rsid w:val="00DD366F"/>
    <w:rsid w:val="00DE28B0"/>
    <w:rsid w:val="00DF5587"/>
    <w:rsid w:val="00E02AA2"/>
    <w:rsid w:val="00E14235"/>
    <w:rsid w:val="00E15DEA"/>
    <w:rsid w:val="00E17DC8"/>
    <w:rsid w:val="00E4050B"/>
    <w:rsid w:val="00E6397E"/>
    <w:rsid w:val="00E665D3"/>
    <w:rsid w:val="00E678A6"/>
    <w:rsid w:val="00E7455B"/>
    <w:rsid w:val="00E861E2"/>
    <w:rsid w:val="00E8730C"/>
    <w:rsid w:val="00E90028"/>
    <w:rsid w:val="00E92915"/>
    <w:rsid w:val="00EC7707"/>
    <w:rsid w:val="00ED7227"/>
    <w:rsid w:val="00ED75C3"/>
    <w:rsid w:val="00EE585F"/>
    <w:rsid w:val="00EF1E99"/>
    <w:rsid w:val="00F063BE"/>
    <w:rsid w:val="00F10FA0"/>
    <w:rsid w:val="00F118E5"/>
    <w:rsid w:val="00F200A4"/>
    <w:rsid w:val="00F220E5"/>
    <w:rsid w:val="00F30BCB"/>
    <w:rsid w:val="00F441EB"/>
    <w:rsid w:val="00F44493"/>
    <w:rsid w:val="00F54D73"/>
    <w:rsid w:val="00F71BC9"/>
    <w:rsid w:val="00F72289"/>
    <w:rsid w:val="00FA3538"/>
    <w:rsid w:val="00FB1E25"/>
    <w:rsid w:val="00FC0061"/>
    <w:rsid w:val="00FE13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758D96"/>
  <w15:chartTrackingRefBased/>
  <w15:docId w15:val="{399348D8-DFDF-4162-A0AB-61A5CD256E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F118E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118E5"/>
    <w:rPr>
      <w:sz w:val="20"/>
      <w:szCs w:val="20"/>
    </w:rPr>
  </w:style>
  <w:style w:type="character" w:styleId="FootnoteReference">
    <w:name w:val="footnote reference"/>
    <w:basedOn w:val="DefaultParagraphFont"/>
    <w:uiPriority w:val="99"/>
    <w:semiHidden/>
    <w:unhideWhenUsed/>
    <w:rsid w:val="00F118E5"/>
    <w:rPr>
      <w:vertAlign w:val="superscript"/>
    </w:rPr>
  </w:style>
  <w:style w:type="paragraph" w:styleId="ListParagraph">
    <w:name w:val="List Paragraph"/>
    <w:basedOn w:val="Normal"/>
    <w:uiPriority w:val="34"/>
    <w:qFormat/>
    <w:rsid w:val="00F118E5"/>
    <w:pPr>
      <w:ind w:left="720"/>
      <w:contextualSpacing/>
    </w:pPr>
  </w:style>
  <w:style w:type="character" w:styleId="Hyperlink">
    <w:name w:val="Hyperlink"/>
    <w:basedOn w:val="DefaultParagraphFont"/>
    <w:uiPriority w:val="99"/>
    <w:unhideWhenUsed/>
    <w:rsid w:val="00F118E5"/>
    <w:rPr>
      <w:color w:val="0563C1" w:themeColor="hyperlink"/>
      <w:u w:val="single"/>
    </w:rPr>
  </w:style>
  <w:style w:type="character" w:customStyle="1" w:styleId="c9">
    <w:name w:val="c9"/>
    <w:basedOn w:val="DefaultParagraphFont"/>
    <w:rsid w:val="00F118E5"/>
  </w:style>
  <w:style w:type="paragraph" w:styleId="Header">
    <w:name w:val="header"/>
    <w:basedOn w:val="Normal"/>
    <w:link w:val="HeaderChar"/>
    <w:uiPriority w:val="99"/>
    <w:unhideWhenUsed/>
    <w:rsid w:val="001E5A5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5A5E"/>
  </w:style>
  <w:style w:type="paragraph" w:styleId="Footer">
    <w:name w:val="footer"/>
    <w:basedOn w:val="Normal"/>
    <w:link w:val="FooterChar"/>
    <w:uiPriority w:val="99"/>
    <w:unhideWhenUsed/>
    <w:rsid w:val="001E5A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5A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yperlink" Target="https://www.equalrightstrust.org/ertdocumentbank/muhsin.pdf"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hasbunallah.com.au/al-muhalla-imam-ibn-hazm/"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yaqeeninstitute.org/emadhamdeh/are-hadith-necessary/" TargetMode="External"/><Relationship Id="rId5" Type="http://schemas.openxmlformats.org/officeDocument/2006/relationships/footnotes" Target="footnotes.xml"/><Relationship Id="rId15" Type="http://schemas.openxmlformats.org/officeDocument/2006/relationships/hyperlink" Target="https://www.jstor.org/stable/25002533?seq=1" TargetMode="External"/><Relationship Id="rId10" Type="http://schemas.openxmlformats.org/officeDocument/2006/relationships/hyperlink" Target="https://libcom.org/history/historical-look-attitudes-homosexuality-islamic-world" TargetMode="External"/><Relationship Id="rId4" Type="http://schemas.openxmlformats.org/officeDocument/2006/relationships/webSettings" Target="webSettings.xml"/><Relationship Id="rId9" Type="http://schemas.openxmlformats.org/officeDocument/2006/relationships/hyperlink" Target="http://www.sjsu.edu/people/james.lee/courses/soci172/s0/10GayMuslim.pdf" TargetMode="External"/><Relationship Id="rId14" Type="http://schemas.openxmlformats.org/officeDocument/2006/relationships/hyperlink" Target="https://www.stonewall.org.uk/system/files/Love_Thy_Neighbour__2008_.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7BAFFC-EDEC-48D9-AF28-2774B5C0FC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2473</TotalTime>
  <Pages>69</Pages>
  <Words>17547</Words>
  <Characters>100024</Characters>
  <Application>Microsoft Office Word</Application>
  <DocSecurity>0</DocSecurity>
  <Lines>833</Lines>
  <Paragraphs>234</Paragraphs>
  <ScaleCrop>false</ScaleCrop>
  <Company/>
  <LinksUpToDate>false</LinksUpToDate>
  <CharactersWithSpaces>117337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Rhiannon Welsh</dc:creator>
  <cp:keywords/>
  <dc:description/>
  <cp:lastModifiedBy>Rhiannon Welsh</cp:lastModifiedBy>
  <cp:revision>263</cp:revision>
  <dcterms:created xsi:type="dcterms:W3CDTF">2020-05-11T23:43:00Z</dcterms:created>
  <dcterms:modified xsi:type="dcterms:W3CDTF">2020-05-15T00:55:00Z</dcterms:modified>
</cp:coreProperties>
</file>