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9C2C4" w14:textId="77777777" w:rsidR="00D226E5" w:rsidRDefault="00D226E5" w:rsidP="00765CBC">
      <w:pPr>
        <w:ind w:left="0"/>
        <w:jc w:val="center"/>
        <w:rPr>
          <w:rFonts w:ascii="Times New Roman" w:hAnsi="Times New Roman" w:cs="Times New Roman"/>
          <w:b/>
          <w:bCs/>
          <w:sz w:val="24"/>
          <w:szCs w:val="24"/>
        </w:rPr>
      </w:pPr>
    </w:p>
    <w:p w14:paraId="0879BDBC" w14:textId="77777777" w:rsidR="00D226E5" w:rsidRPr="00D226E5" w:rsidRDefault="00D226E5" w:rsidP="00D226E5">
      <w:pPr>
        <w:ind w:left="0"/>
        <w:jc w:val="center"/>
        <w:rPr>
          <w:rFonts w:ascii="Times New Roman" w:hAnsi="Times New Roman" w:cs="Times New Roman"/>
          <w:b/>
          <w:bCs/>
          <w:sz w:val="24"/>
          <w:szCs w:val="24"/>
        </w:rPr>
      </w:pPr>
      <w:r w:rsidRPr="00D226E5">
        <w:rPr>
          <w:rFonts w:ascii="Times New Roman" w:hAnsi="Times New Roman" w:cs="Times New Roman"/>
          <w:b/>
          <w:bCs/>
          <w:sz w:val="24"/>
          <w:szCs w:val="24"/>
        </w:rPr>
        <w:t xml:space="preserve">Marian Ionut </w:t>
      </w:r>
      <w:proofErr w:type="spellStart"/>
      <w:r w:rsidRPr="00D226E5">
        <w:rPr>
          <w:rFonts w:ascii="Times New Roman" w:hAnsi="Times New Roman" w:cs="Times New Roman"/>
          <w:b/>
          <w:bCs/>
          <w:sz w:val="24"/>
          <w:szCs w:val="24"/>
        </w:rPr>
        <w:t>Malasincu</w:t>
      </w:r>
      <w:proofErr w:type="spellEnd"/>
    </w:p>
    <w:p w14:paraId="207164B1" w14:textId="5E4015F1" w:rsidR="00D226E5" w:rsidRDefault="00D226E5" w:rsidP="00D226E5">
      <w:pPr>
        <w:ind w:left="0"/>
        <w:jc w:val="center"/>
        <w:rPr>
          <w:rFonts w:ascii="Times New Roman" w:hAnsi="Times New Roman" w:cs="Times New Roman"/>
          <w:b/>
          <w:bCs/>
          <w:sz w:val="24"/>
          <w:szCs w:val="24"/>
        </w:rPr>
      </w:pPr>
      <w:r w:rsidRPr="00D226E5">
        <w:rPr>
          <w:rFonts w:ascii="Times New Roman" w:hAnsi="Times New Roman" w:cs="Times New Roman"/>
          <w:b/>
          <w:bCs/>
          <w:sz w:val="24"/>
          <w:szCs w:val="24"/>
        </w:rPr>
        <w:t>Student number 2312613</w:t>
      </w:r>
    </w:p>
    <w:p w14:paraId="5F4E2505" w14:textId="6D819D03" w:rsidR="001775B3" w:rsidRPr="001775B3" w:rsidRDefault="001775B3" w:rsidP="00765CBC">
      <w:pPr>
        <w:ind w:left="0"/>
        <w:jc w:val="center"/>
        <w:rPr>
          <w:rFonts w:ascii="Times New Roman" w:hAnsi="Times New Roman" w:cs="Times New Roman"/>
          <w:b/>
          <w:bCs/>
          <w:sz w:val="24"/>
          <w:szCs w:val="24"/>
        </w:rPr>
      </w:pPr>
      <w:r w:rsidRPr="001775B3">
        <w:rPr>
          <w:rFonts w:ascii="Times New Roman" w:hAnsi="Times New Roman" w:cs="Times New Roman"/>
          <w:b/>
          <w:bCs/>
          <w:sz w:val="24"/>
          <w:szCs w:val="24"/>
        </w:rPr>
        <w:t>Concept of Dishonesty and the Role it Plays in Offences of Theft in the UK</w:t>
      </w:r>
    </w:p>
    <w:p w14:paraId="49E6C980" w14:textId="6E160F19" w:rsidR="00765CBC" w:rsidRPr="001775B3" w:rsidRDefault="00765CBC" w:rsidP="00765CBC">
      <w:pPr>
        <w:ind w:left="0"/>
        <w:jc w:val="center"/>
        <w:rPr>
          <w:rFonts w:ascii="Times New Roman" w:hAnsi="Times New Roman" w:cs="Times New Roman"/>
          <w:b/>
          <w:bCs/>
          <w:sz w:val="24"/>
          <w:szCs w:val="24"/>
        </w:rPr>
      </w:pPr>
      <w:r w:rsidRPr="001775B3">
        <w:rPr>
          <w:rFonts w:ascii="Times New Roman" w:hAnsi="Times New Roman" w:cs="Times New Roman"/>
          <w:b/>
          <w:bCs/>
          <w:sz w:val="24"/>
          <w:szCs w:val="24"/>
        </w:rPr>
        <w:t>Introduction</w:t>
      </w:r>
    </w:p>
    <w:p w14:paraId="4DEFD40D" w14:textId="77777777" w:rsidR="00871E06" w:rsidRDefault="00871E06" w:rsidP="00871E06">
      <w:pPr>
        <w:ind w:left="0"/>
        <w:rPr>
          <w:rFonts w:ascii="Times New Roman" w:hAnsi="Times New Roman" w:cs="Times New Roman"/>
          <w:sz w:val="24"/>
          <w:szCs w:val="24"/>
        </w:rPr>
      </w:pPr>
      <w:r w:rsidRPr="00871E06">
        <w:rPr>
          <w:rFonts w:ascii="Times New Roman" w:hAnsi="Times New Roman" w:cs="Times New Roman"/>
          <w:sz w:val="24"/>
          <w:szCs w:val="24"/>
        </w:rPr>
        <w:t xml:space="preserve">According to the Theft Act 1968, which has a stolen property definition, theft is when a person intentionally deprives an owner permanently of one's property through dishonest or false means. The legal definition of dishonesty has undergone intense modifications due to landmark court rulings. Both the judgements of R v Ghosh (1982) and Ivey v Genting Casinos UK Ltd (2017) are given great credit for leading a fundamental change in the sentiment of the judiciary, which offends against honest </w:t>
      </w:r>
      <w:proofErr w:type="spellStart"/>
      <w:r w:rsidRPr="00871E06">
        <w:rPr>
          <w:rFonts w:ascii="Times New Roman" w:hAnsi="Times New Roman" w:cs="Times New Roman"/>
          <w:sz w:val="24"/>
          <w:szCs w:val="24"/>
        </w:rPr>
        <w:t>ehavior</w:t>
      </w:r>
      <w:proofErr w:type="spellEnd"/>
      <w:r w:rsidRPr="00871E06">
        <w:rPr>
          <w:rFonts w:ascii="Times New Roman" w:hAnsi="Times New Roman" w:cs="Times New Roman"/>
          <w:sz w:val="24"/>
          <w:szCs w:val="24"/>
        </w:rPr>
        <w:t>. First of all, the cases demonstrated that the courts not only redefined legal definitions, but also changed their judicial system's thinking about what was considered a crime.</w:t>
      </w:r>
    </w:p>
    <w:p w14:paraId="3B51457D" w14:textId="37D3A864" w:rsidR="001775B3" w:rsidRPr="001775B3" w:rsidRDefault="001775B3" w:rsidP="001775B3">
      <w:pPr>
        <w:ind w:left="0"/>
        <w:jc w:val="center"/>
        <w:rPr>
          <w:rFonts w:ascii="Times New Roman" w:hAnsi="Times New Roman" w:cs="Times New Roman"/>
          <w:b/>
          <w:bCs/>
          <w:sz w:val="24"/>
          <w:szCs w:val="24"/>
        </w:rPr>
      </w:pPr>
      <w:r w:rsidRPr="001775B3">
        <w:rPr>
          <w:rFonts w:ascii="Times New Roman" w:hAnsi="Times New Roman" w:cs="Times New Roman"/>
          <w:b/>
          <w:bCs/>
          <w:sz w:val="24"/>
          <w:szCs w:val="24"/>
        </w:rPr>
        <w:t>Ghos</w:t>
      </w:r>
      <w:r w:rsidR="00897887">
        <w:rPr>
          <w:rFonts w:ascii="Times New Roman" w:hAnsi="Times New Roman" w:cs="Times New Roman"/>
          <w:b/>
          <w:bCs/>
          <w:sz w:val="24"/>
          <w:szCs w:val="24"/>
        </w:rPr>
        <w:t>h</w:t>
      </w:r>
      <w:r w:rsidRPr="001775B3">
        <w:rPr>
          <w:rFonts w:ascii="Times New Roman" w:hAnsi="Times New Roman" w:cs="Times New Roman"/>
          <w:b/>
          <w:bCs/>
          <w:sz w:val="24"/>
          <w:szCs w:val="24"/>
        </w:rPr>
        <w:t xml:space="preserve"> Test</w:t>
      </w:r>
    </w:p>
    <w:p w14:paraId="50CE836F" w14:textId="77777777" w:rsidR="00871E06" w:rsidRDefault="00871E06" w:rsidP="00871E06">
      <w:pPr>
        <w:ind w:left="0"/>
        <w:rPr>
          <w:rFonts w:ascii="Times New Roman" w:hAnsi="Times New Roman" w:cs="Times New Roman"/>
          <w:sz w:val="24"/>
          <w:szCs w:val="24"/>
        </w:rPr>
      </w:pPr>
      <w:r w:rsidRPr="00871E06">
        <w:rPr>
          <w:rFonts w:ascii="Times New Roman" w:hAnsi="Times New Roman" w:cs="Times New Roman"/>
          <w:sz w:val="24"/>
          <w:szCs w:val="24"/>
        </w:rPr>
        <w:t>The Ghosh test, set in R v Ghosh (1982), is a two-level benchmark used in criminal law about dishonesty. First of all, the jury should look at whether the defendant's action was considered dishonest concerning the standard of reasonable and honest people (the objective standard). This being affirmed, the jury will then proceed to decide whether the defendant was himself cognizant of the illicit nature of his actions by these criteria (the subjective standard) (Campbell, 1984). The introduction of this test was essential since it attempted to reconcile society's external norms with the individual's understanding and intent, which are so essential in criminal law that the mental state of the defendant plays a significant role in determining culpability (Campbell, 1984).</w:t>
      </w:r>
    </w:p>
    <w:p w14:paraId="3D1002D9" w14:textId="77777777" w:rsidR="00871E06" w:rsidRDefault="00871E06" w:rsidP="00871E06">
      <w:pPr>
        <w:ind w:left="0"/>
        <w:rPr>
          <w:rFonts w:ascii="Times New Roman" w:hAnsi="Times New Roman" w:cs="Times New Roman"/>
          <w:sz w:val="24"/>
          <w:szCs w:val="24"/>
        </w:rPr>
      </w:pPr>
      <w:r w:rsidRPr="00871E06">
        <w:rPr>
          <w:rFonts w:ascii="Times New Roman" w:hAnsi="Times New Roman" w:cs="Times New Roman"/>
          <w:sz w:val="24"/>
          <w:szCs w:val="24"/>
        </w:rPr>
        <w:lastRenderedPageBreak/>
        <w:t xml:space="preserve">Nonetheless, many objections to the Ghosh test have been formulated. </w:t>
      </w:r>
      <w:proofErr w:type="spellStart"/>
      <w:r w:rsidRPr="00871E06">
        <w:rPr>
          <w:rFonts w:ascii="Times New Roman" w:hAnsi="Times New Roman" w:cs="Times New Roman"/>
          <w:sz w:val="24"/>
          <w:szCs w:val="24"/>
        </w:rPr>
        <w:t>Criticise</w:t>
      </w:r>
      <w:proofErr w:type="spellEnd"/>
      <w:r w:rsidRPr="00871E06">
        <w:rPr>
          <w:rFonts w:ascii="Times New Roman" w:hAnsi="Times New Roman" w:cs="Times New Roman"/>
          <w:sz w:val="24"/>
          <w:szCs w:val="24"/>
        </w:rPr>
        <w:t xml:space="preserve"> the fact that the inclusion of subjective elements gives individuals the chance to go unpunished for their mistakes because they misinterpret societal norms or lack legal knowledge. This could create a space for defendants to fake ignorance or, honestly, misinterpret what dishonesty is. This might, in turn, weaken the implementation of the law (Herring, 2021). It weakens the effectiveness of the Ghosh test in instances where defendants could be perceived as dishonest, although their </w:t>
      </w:r>
      <w:proofErr w:type="spellStart"/>
      <w:r w:rsidRPr="00871E06">
        <w:rPr>
          <w:rFonts w:ascii="Times New Roman" w:hAnsi="Times New Roman" w:cs="Times New Roman"/>
          <w:sz w:val="24"/>
          <w:szCs w:val="24"/>
        </w:rPr>
        <w:t>behaviour</w:t>
      </w:r>
      <w:proofErr w:type="spellEnd"/>
      <w:r w:rsidRPr="00871E06">
        <w:rPr>
          <w:rFonts w:ascii="Times New Roman" w:hAnsi="Times New Roman" w:cs="Times New Roman"/>
          <w:sz w:val="24"/>
          <w:szCs w:val="24"/>
        </w:rPr>
        <w:t xml:space="preserve"> might be consistent with social norms, thus raising the question of legal applicability and fairness in court proceedings. (Smith, 2020).</w:t>
      </w:r>
    </w:p>
    <w:p w14:paraId="5013B916" w14:textId="77777777" w:rsidR="00871E06" w:rsidRDefault="00871E06" w:rsidP="00871E06">
      <w:pPr>
        <w:ind w:left="0"/>
        <w:rPr>
          <w:rFonts w:ascii="Times New Roman" w:hAnsi="Times New Roman" w:cs="Times New Roman"/>
          <w:sz w:val="24"/>
          <w:szCs w:val="24"/>
        </w:rPr>
      </w:pPr>
      <w:r w:rsidRPr="00871E06">
        <w:rPr>
          <w:rFonts w:ascii="Times New Roman" w:hAnsi="Times New Roman" w:cs="Times New Roman"/>
          <w:sz w:val="24"/>
          <w:szCs w:val="24"/>
        </w:rPr>
        <w:t>As a response to these criticisms and as a result of a change in judicial standpoint regarding the appropriateness of considering the defendant's viewpoint in the establishment of dishonesty, the test was subsequently overruled in the case of Ivey v Genting Casinos (UK) Ltd (2017). The Supreme Court replaced the Ghosh test with an objectively oriented standard that strives to remove the subjective element. Under the new standard, the focus is solely on whether the conduct would be labelled as dishonest by the standards of a reasonable person, regardless of the defendant's own beliefs or knowledge (Ivey v. Genting Casinos, 2017). This change is aimed at making the honesty determination process simpler and ensuring equal justice for all individuals, which means taking cognitive science to consider societal norms instead of individual attitudes within the broader trend in criminal jurisprudence.</w:t>
      </w:r>
    </w:p>
    <w:p w14:paraId="46807BE8" w14:textId="5194AF3E" w:rsidR="00FF3E47" w:rsidRPr="001775B3" w:rsidRDefault="00FF3E47" w:rsidP="00CB122B">
      <w:pPr>
        <w:ind w:left="0"/>
        <w:jc w:val="center"/>
        <w:rPr>
          <w:rFonts w:ascii="Times New Roman" w:hAnsi="Times New Roman" w:cs="Times New Roman"/>
          <w:b/>
          <w:bCs/>
          <w:sz w:val="24"/>
          <w:szCs w:val="24"/>
        </w:rPr>
      </w:pPr>
      <w:r w:rsidRPr="001775B3">
        <w:rPr>
          <w:rFonts w:ascii="Times New Roman" w:hAnsi="Times New Roman" w:cs="Times New Roman"/>
          <w:b/>
          <w:bCs/>
          <w:sz w:val="24"/>
          <w:szCs w:val="24"/>
        </w:rPr>
        <w:t>The Ivey Test</w:t>
      </w:r>
    </w:p>
    <w:p w14:paraId="773CA530" w14:textId="77777777" w:rsidR="00871E06" w:rsidRDefault="00871E06" w:rsidP="00871E06">
      <w:pPr>
        <w:ind w:left="0"/>
        <w:rPr>
          <w:rFonts w:ascii="Times New Roman" w:hAnsi="Times New Roman" w:cs="Times New Roman"/>
          <w:sz w:val="24"/>
          <w:szCs w:val="24"/>
        </w:rPr>
      </w:pPr>
      <w:r w:rsidRPr="00871E06">
        <w:rPr>
          <w:rFonts w:ascii="Times New Roman" w:hAnsi="Times New Roman" w:cs="Times New Roman"/>
          <w:sz w:val="24"/>
          <w:szCs w:val="24"/>
        </w:rPr>
        <w:t xml:space="preserve">The Ivey v Genting Casinos UK Ltd (2017) case brought about substantial changes in the law concerning the examination of dishonesty in England and Wales. The shift of the Supreme Court from the subjective criteria of the Ghosh test, which dealt with what the defendant himself thought about his actions, towards a completely objective standard was significant. This unique </w:t>
      </w:r>
      <w:r w:rsidRPr="00871E06">
        <w:rPr>
          <w:rFonts w:ascii="Times New Roman" w:hAnsi="Times New Roman" w:cs="Times New Roman"/>
          <w:sz w:val="24"/>
          <w:szCs w:val="24"/>
        </w:rPr>
        <w:lastRenderedPageBreak/>
        <w:t>examination, typically named the Ivey test, judges dishonesty by what a reasonable man would say about the defendant’s conduct. This concession was a result of inherent flaws associated with the previous system, where some subjective assessments could lead to inconsistent and unpredictable outcomes in convicting the offenders of dishonesty (Roberts, 2022).</w:t>
      </w:r>
    </w:p>
    <w:p w14:paraId="78A7A47B" w14:textId="77777777" w:rsidR="000750F6" w:rsidRPr="000750F6" w:rsidRDefault="000750F6" w:rsidP="000750F6">
      <w:pPr>
        <w:ind w:left="0"/>
        <w:rPr>
          <w:rFonts w:ascii="Times New Roman" w:hAnsi="Times New Roman" w:cs="Times New Roman"/>
          <w:sz w:val="24"/>
          <w:szCs w:val="24"/>
          <w:lang w:val="ro-RO"/>
        </w:rPr>
      </w:pPr>
      <w:r w:rsidRPr="000750F6">
        <w:rPr>
          <w:rFonts w:ascii="Times New Roman" w:hAnsi="Times New Roman" w:cs="Times New Roman"/>
          <w:sz w:val="24"/>
          <w:szCs w:val="24"/>
          <w:lang w:val="ro-RO"/>
        </w:rPr>
        <w:t>Lord Hughes, in his judgement, has offered a strong reason for this switch. He faulted the subjective element of the Ghosh test for giving defendants the option of civil liability based on their beliefs and understanding that their actions were honest. Thus, Lord Hughes' decisions here unfairly allowed individuals to choose their own good and bad, which may be very different from societal standards and expectations. On the contrary, the Ivey test emphasises the point of view of a reasonable person as it seeks to implement a more impartial and universal standard, which reduces the opportunity for personal prejudice (Ivey v. Genting Casinos, 2017).</w:t>
      </w:r>
    </w:p>
    <w:p w14:paraId="084CE15B" w14:textId="77777777" w:rsidR="000750F6" w:rsidRPr="000750F6" w:rsidRDefault="000750F6" w:rsidP="000750F6">
      <w:pPr>
        <w:ind w:left="0"/>
        <w:rPr>
          <w:rFonts w:ascii="Times New Roman" w:hAnsi="Times New Roman" w:cs="Times New Roman"/>
          <w:sz w:val="24"/>
          <w:szCs w:val="24"/>
          <w:lang w:val="ro-RO"/>
        </w:rPr>
      </w:pPr>
      <w:r w:rsidRPr="000750F6">
        <w:rPr>
          <w:rFonts w:ascii="Times New Roman" w:hAnsi="Times New Roman" w:cs="Times New Roman"/>
          <w:sz w:val="24"/>
          <w:szCs w:val="24"/>
          <w:lang w:val="ro-RO"/>
        </w:rPr>
        <w:t>The re-interpretation of the test on honesty in the Ivey decision reflects ethical and philosophical notions of criminal law that place value on societal norms and the reasonable expectations of individuals within society (Duff, 2018). This alteration emphasises the shift from an interpretation of dishonesty that could be subjective and centred on an individual to one that is based on a universal understanding of behaviour deemed acceptable or dishonest by society at large. A system such as this is often thought of as better expressing what is considered moral and ethical standards in our society. It also saves the defence from defining honesty in idiosyncratic or self-serving ways (Ashworth, 2013).</w:t>
      </w:r>
    </w:p>
    <w:p w14:paraId="74023E5E" w14:textId="77777777" w:rsidR="000750F6" w:rsidRPr="000750F6" w:rsidRDefault="000750F6" w:rsidP="000750F6">
      <w:pPr>
        <w:ind w:left="0"/>
        <w:rPr>
          <w:rFonts w:ascii="Times New Roman" w:hAnsi="Times New Roman" w:cs="Times New Roman"/>
          <w:sz w:val="24"/>
          <w:szCs w:val="24"/>
          <w:lang w:val="ro-RO"/>
        </w:rPr>
      </w:pPr>
      <w:r w:rsidRPr="000750F6">
        <w:rPr>
          <w:rFonts w:ascii="Times New Roman" w:hAnsi="Times New Roman" w:cs="Times New Roman"/>
          <w:sz w:val="24"/>
          <w:szCs w:val="24"/>
          <w:lang w:val="ro-RO"/>
        </w:rPr>
        <w:t xml:space="preserve">This development has far-reaching ramifications that affect not only the practice of law but also cases dealing with fraud, theft, and any other dishonesty-related matters. The goal of the Ivey test is to measure defendants against the standard objective of a wholly reasonable person, regardless of their actual knowledge or belief (Ashworth, 2013). This approach, theoretically, </w:t>
      </w:r>
      <w:r w:rsidRPr="000750F6">
        <w:rPr>
          <w:rFonts w:ascii="Times New Roman" w:hAnsi="Times New Roman" w:cs="Times New Roman"/>
          <w:sz w:val="24"/>
          <w:szCs w:val="24"/>
          <w:lang w:val="ro-RO"/>
        </w:rPr>
        <w:lastRenderedPageBreak/>
        <w:t>results in more consistent legal judgement and thus aligns the legal definition of dishonesty more closely with the common moral perception, leading to increased predictability and fairness in the legal proceedings surrounding the evaluation of dishonest behaviour.</w:t>
      </w:r>
    </w:p>
    <w:p w14:paraId="2A80C5F0" w14:textId="77777777" w:rsidR="000750F6" w:rsidRPr="000750F6" w:rsidRDefault="000750F6" w:rsidP="000750F6">
      <w:pPr>
        <w:ind w:left="0"/>
        <w:rPr>
          <w:rFonts w:ascii="Times New Roman" w:hAnsi="Times New Roman" w:cs="Times New Roman"/>
          <w:sz w:val="24"/>
          <w:szCs w:val="24"/>
          <w:lang w:val="ro-RO"/>
        </w:rPr>
      </w:pPr>
      <w:r w:rsidRPr="000750F6">
        <w:rPr>
          <w:rFonts w:ascii="Times New Roman" w:hAnsi="Times New Roman" w:cs="Times New Roman"/>
          <w:sz w:val="24"/>
          <w:szCs w:val="24"/>
          <w:lang w:val="ro-RO"/>
        </w:rPr>
        <w:t>Ivey v Genting Casinos UK Ltd (2017) is a key case in changing the mindset of legal criteria for dishonesty, especially for theft and other property crimes. The subjective component of the Ghosh test, which means the subject has to realise their dishonesty, has been thrown away by the Ivey decision, making it purely an objective standard. This significantly simplifies the prosecutor's workload. The new framework only requires a decision from the court as to whether the defendant’s actions were comparable to the accepted rules of a reasonable person. This alteration clarifies the lengthy and uncertain process of determining the mental state of the accused, advancing the judicial process while relieving the cognitive load of juries (Allen, 2013).</w:t>
      </w:r>
    </w:p>
    <w:p w14:paraId="6009FD15" w14:textId="77777777" w:rsidR="000750F6" w:rsidRPr="000750F6" w:rsidRDefault="000750F6" w:rsidP="000750F6">
      <w:pPr>
        <w:ind w:left="0"/>
        <w:rPr>
          <w:rFonts w:ascii="Times New Roman" w:hAnsi="Times New Roman" w:cs="Times New Roman"/>
          <w:sz w:val="24"/>
          <w:szCs w:val="24"/>
          <w:lang w:val="ro-RO"/>
        </w:rPr>
      </w:pPr>
      <w:r w:rsidRPr="000750F6">
        <w:rPr>
          <w:rFonts w:ascii="Times New Roman" w:hAnsi="Times New Roman" w:cs="Times New Roman"/>
          <w:sz w:val="24"/>
          <w:szCs w:val="24"/>
          <w:lang w:val="ro-RO"/>
        </w:rPr>
        <w:t>Remarkably, Ivey standardisation leads to the elimination of various legal disparities in different outcomes. Before the Ghosh test, defendants might be subject to different rulings based on their respective perceptions and declarations of what they considered to be dishonest, regardless of the similarity of their actions (Ormerod, 2020). This could result in the perception of injustice and inconsistent application of the law, especially in complex or considered cases. Ivey’s standard of objectivity implies that all individuals will be scrutinised through the application of the same standard, irrespective of their private beliefs about the dishonesty of their deeds (Virgo, 2018). This uniformity is the basis for fairness in court and the growth of public trust in the legal system.</w:t>
      </w:r>
    </w:p>
    <w:p w14:paraId="66EC54CF" w14:textId="77777777" w:rsidR="000750F6" w:rsidRPr="000750F6" w:rsidRDefault="000750F6" w:rsidP="000750F6">
      <w:pPr>
        <w:ind w:left="0"/>
        <w:rPr>
          <w:rFonts w:ascii="Times New Roman" w:hAnsi="Times New Roman" w:cs="Times New Roman"/>
          <w:sz w:val="24"/>
          <w:szCs w:val="24"/>
          <w:lang w:val="ro-RO"/>
        </w:rPr>
      </w:pPr>
      <w:r w:rsidRPr="000750F6">
        <w:rPr>
          <w:rFonts w:ascii="Times New Roman" w:hAnsi="Times New Roman" w:cs="Times New Roman"/>
          <w:sz w:val="24"/>
          <w:szCs w:val="24"/>
          <w:lang w:val="ro-RO"/>
        </w:rPr>
        <w:t xml:space="preserve">Secondly, the test complements the growing tendency in criminal law towards objectivity and away from subjective considerations of the defendant's state of mind, which is often speculative and hard to prove (Smith, 2020). This approach not only simplifies legal processes but also reinforces the rule of law by making it clear that the law's application is predictable and </w:t>
      </w:r>
      <w:r w:rsidRPr="000750F6">
        <w:rPr>
          <w:rFonts w:ascii="Times New Roman" w:hAnsi="Times New Roman" w:cs="Times New Roman"/>
          <w:sz w:val="24"/>
          <w:szCs w:val="24"/>
          <w:lang w:val="ro-RO"/>
        </w:rPr>
        <w:lastRenderedPageBreak/>
        <w:t>comprehensible to the public. It emphasizes the prevalence of community standards over individual ethical variations in moral judgement, which is critical in upholding society's legal and ethical systems. In the future, as legal systems continue to evolve, the Ivey decision will probably remain the benchmark for upcoming changes in how criminal law treats dishonesty and other subjective aspects as compared to other offences.</w:t>
      </w:r>
    </w:p>
    <w:p w14:paraId="6A251F50" w14:textId="390B01A9" w:rsidR="00CB122B" w:rsidRPr="001775B3" w:rsidRDefault="00CB122B" w:rsidP="00CB122B">
      <w:pPr>
        <w:ind w:left="0"/>
        <w:jc w:val="center"/>
        <w:rPr>
          <w:rFonts w:ascii="Times New Roman" w:hAnsi="Times New Roman" w:cs="Times New Roman"/>
          <w:b/>
          <w:bCs/>
          <w:sz w:val="24"/>
          <w:szCs w:val="24"/>
        </w:rPr>
      </w:pPr>
      <w:r w:rsidRPr="001775B3">
        <w:rPr>
          <w:rFonts w:ascii="Times New Roman" w:hAnsi="Times New Roman" w:cs="Times New Roman"/>
          <w:b/>
          <w:bCs/>
          <w:sz w:val="24"/>
          <w:szCs w:val="24"/>
        </w:rPr>
        <w:t>Conclusion</w:t>
      </w:r>
    </w:p>
    <w:p w14:paraId="491A0752" w14:textId="77777777" w:rsidR="000750F6" w:rsidRPr="000750F6" w:rsidRDefault="000750F6" w:rsidP="000750F6">
      <w:pPr>
        <w:ind w:left="0"/>
        <w:rPr>
          <w:rFonts w:ascii="Times New Roman" w:hAnsi="Times New Roman" w:cs="Times New Roman"/>
          <w:sz w:val="24"/>
          <w:szCs w:val="24"/>
          <w:lang w:val="ro-RO"/>
        </w:rPr>
      </w:pPr>
      <w:r w:rsidRPr="000750F6">
        <w:rPr>
          <w:rFonts w:ascii="Times New Roman" w:hAnsi="Times New Roman" w:cs="Times New Roman"/>
          <w:sz w:val="24"/>
          <w:szCs w:val="24"/>
          <w:lang w:val="ro-RO"/>
        </w:rPr>
        <w:t>The legal interpretation of dishonesty through landmark cases, including R v Ghosh (1982) and Ivey v Genting Casinos UK Ltd (2017), has a substantial impact on the criminal law within the UK, particularly theft offences. The replacement of the subjective Ghosh test with the purely objective standard based on the Ivey ruling significantly shows the law tuning up with the culture at large and the equal application of the justice system. This transition promotes a fair and predictable legal system that focuses on the overall moral fibre instead of subjective interpretations of disgrace and dishonesty. This revolution will make the prosecution's work much easier since the clarity and fairness of the judicial process in cases of dishonesty are also ensured, so that the law will continue to be in tune with society as it evolves with time.</w:t>
      </w:r>
    </w:p>
    <w:p w14:paraId="4BC388CE" w14:textId="77777777" w:rsidR="00CB122B" w:rsidRPr="001775B3" w:rsidRDefault="00CB122B" w:rsidP="00A61FA4">
      <w:pPr>
        <w:ind w:left="0"/>
        <w:rPr>
          <w:rFonts w:ascii="Times New Roman" w:hAnsi="Times New Roman" w:cs="Times New Roman"/>
          <w:sz w:val="24"/>
          <w:szCs w:val="24"/>
        </w:rPr>
      </w:pPr>
    </w:p>
    <w:p w14:paraId="4615AC3A" w14:textId="77777777" w:rsidR="00CB122B" w:rsidRPr="001775B3" w:rsidRDefault="00CB122B" w:rsidP="00A61FA4">
      <w:pPr>
        <w:ind w:left="0"/>
        <w:rPr>
          <w:rFonts w:ascii="Times New Roman" w:hAnsi="Times New Roman" w:cs="Times New Roman"/>
          <w:sz w:val="24"/>
          <w:szCs w:val="24"/>
        </w:rPr>
      </w:pPr>
    </w:p>
    <w:p w14:paraId="46222292" w14:textId="77777777" w:rsidR="00CB122B" w:rsidRPr="001775B3" w:rsidRDefault="00CB122B" w:rsidP="00CB122B">
      <w:pPr>
        <w:ind w:left="0" w:firstLine="0"/>
        <w:rPr>
          <w:rFonts w:ascii="Times New Roman" w:hAnsi="Times New Roman" w:cs="Times New Roman"/>
          <w:sz w:val="24"/>
          <w:szCs w:val="24"/>
        </w:rPr>
      </w:pPr>
    </w:p>
    <w:p w14:paraId="0E36C3E5" w14:textId="77777777" w:rsidR="00CB122B" w:rsidRPr="001775B3" w:rsidRDefault="00CB122B" w:rsidP="00CB122B">
      <w:pPr>
        <w:ind w:left="0" w:firstLine="0"/>
        <w:rPr>
          <w:rFonts w:ascii="Times New Roman" w:hAnsi="Times New Roman" w:cs="Times New Roman"/>
          <w:b/>
          <w:bCs/>
          <w:sz w:val="24"/>
          <w:szCs w:val="24"/>
        </w:rPr>
      </w:pPr>
    </w:p>
    <w:p w14:paraId="5C1B8F5E" w14:textId="77777777" w:rsidR="00CE7DA2" w:rsidRDefault="00CE7DA2" w:rsidP="00CB122B">
      <w:pPr>
        <w:ind w:left="0"/>
        <w:jc w:val="center"/>
        <w:rPr>
          <w:rFonts w:ascii="Times New Roman" w:hAnsi="Times New Roman" w:cs="Times New Roman"/>
          <w:b/>
          <w:bCs/>
          <w:sz w:val="24"/>
          <w:szCs w:val="24"/>
        </w:rPr>
      </w:pPr>
    </w:p>
    <w:p w14:paraId="52FE83CA" w14:textId="77777777" w:rsidR="00CE7DA2" w:rsidRDefault="00CE7DA2" w:rsidP="00CB122B">
      <w:pPr>
        <w:ind w:left="0"/>
        <w:jc w:val="center"/>
        <w:rPr>
          <w:rFonts w:ascii="Times New Roman" w:hAnsi="Times New Roman" w:cs="Times New Roman"/>
          <w:b/>
          <w:bCs/>
          <w:sz w:val="24"/>
          <w:szCs w:val="24"/>
        </w:rPr>
      </w:pPr>
    </w:p>
    <w:p w14:paraId="3185F09C" w14:textId="77777777" w:rsidR="00CE7DA2" w:rsidRDefault="00CE7DA2" w:rsidP="00CB122B">
      <w:pPr>
        <w:ind w:left="0"/>
        <w:jc w:val="center"/>
        <w:rPr>
          <w:rFonts w:ascii="Times New Roman" w:hAnsi="Times New Roman" w:cs="Times New Roman"/>
          <w:b/>
          <w:bCs/>
          <w:sz w:val="24"/>
          <w:szCs w:val="24"/>
        </w:rPr>
      </w:pPr>
    </w:p>
    <w:p w14:paraId="282B8435" w14:textId="77777777" w:rsidR="00CE7DA2" w:rsidRDefault="00CE7DA2" w:rsidP="00CB122B">
      <w:pPr>
        <w:ind w:left="0"/>
        <w:jc w:val="center"/>
        <w:rPr>
          <w:rFonts w:ascii="Times New Roman" w:hAnsi="Times New Roman" w:cs="Times New Roman"/>
          <w:b/>
          <w:bCs/>
          <w:sz w:val="24"/>
          <w:szCs w:val="24"/>
        </w:rPr>
      </w:pPr>
    </w:p>
    <w:p w14:paraId="2E47CE6D" w14:textId="77777777" w:rsidR="00CE7DA2" w:rsidRDefault="00CE7DA2" w:rsidP="00CB122B">
      <w:pPr>
        <w:ind w:left="0"/>
        <w:jc w:val="center"/>
        <w:rPr>
          <w:rFonts w:ascii="Times New Roman" w:hAnsi="Times New Roman" w:cs="Times New Roman"/>
          <w:b/>
          <w:bCs/>
          <w:sz w:val="24"/>
          <w:szCs w:val="24"/>
        </w:rPr>
      </w:pPr>
    </w:p>
    <w:p w14:paraId="15F5DFCE" w14:textId="77777777" w:rsidR="00F42F18" w:rsidRDefault="00F42F18" w:rsidP="00F42F18">
      <w:pPr>
        <w:ind w:left="0" w:firstLine="0"/>
        <w:rPr>
          <w:rFonts w:ascii="Times New Roman" w:hAnsi="Times New Roman" w:cs="Times New Roman"/>
          <w:b/>
          <w:bCs/>
          <w:sz w:val="24"/>
          <w:szCs w:val="24"/>
        </w:rPr>
      </w:pPr>
    </w:p>
    <w:p w14:paraId="23A86B56" w14:textId="44AC02D8" w:rsidR="00A61FA4" w:rsidRPr="001775B3" w:rsidRDefault="00A61FA4" w:rsidP="00CB122B">
      <w:pPr>
        <w:ind w:left="0"/>
        <w:jc w:val="center"/>
        <w:rPr>
          <w:rFonts w:ascii="Times New Roman" w:hAnsi="Times New Roman" w:cs="Times New Roman"/>
          <w:b/>
          <w:bCs/>
          <w:sz w:val="24"/>
          <w:szCs w:val="24"/>
        </w:rPr>
      </w:pPr>
      <w:r w:rsidRPr="001775B3">
        <w:rPr>
          <w:rFonts w:ascii="Times New Roman" w:hAnsi="Times New Roman" w:cs="Times New Roman"/>
          <w:b/>
          <w:bCs/>
          <w:sz w:val="24"/>
          <w:szCs w:val="24"/>
        </w:rPr>
        <w:t>References</w:t>
      </w:r>
    </w:p>
    <w:p w14:paraId="47C90A49" w14:textId="77777777" w:rsidR="00F42F18" w:rsidRPr="001775B3"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Allen, M. J. (2013). Textbook on Criminal Law. Oxford University Press.</w:t>
      </w:r>
    </w:p>
    <w:p w14:paraId="069C5CC7" w14:textId="77777777" w:rsidR="00F42F18"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 xml:space="preserve">Ashworth, A., &amp; </w:t>
      </w:r>
      <w:proofErr w:type="spellStart"/>
      <w:r w:rsidRPr="001775B3">
        <w:rPr>
          <w:rFonts w:ascii="Times New Roman" w:hAnsi="Times New Roman" w:cs="Times New Roman"/>
          <w:sz w:val="24"/>
          <w:szCs w:val="24"/>
        </w:rPr>
        <w:t>Horder</w:t>
      </w:r>
      <w:proofErr w:type="spellEnd"/>
      <w:r w:rsidRPr="001775B3">
        <w:rPr>
          <w:rFonts w:ascii="Times New Roman" w:hAnsi="Times New Roman" w:cs="Times New Roman"/>
          <w:sz w:val="24"/>
          <w:szCs w:val="24"/>
        </w:rPr>
        <w:t>, J. (2013). Principles of Criminal Law. Oxford University Press.</w:t>
      </w:r>
    </w:p>
    <w:p w14:paraId="5BD06E08" w14:textId="298DB39C" w:rsidR="00F42F18" w:rsidRPr="001775B3" w:rsidRDefault="00F42F18" w:rsidP="00CB122B">
      <w:pPr>
        <w:ind w:hanging="720"/>
        <w:rPr>
          <w:rFonts w:ascii="Times New Roman" w:hAnsi="Times New Roman" w:cs="Times New Roman"/>
          <w:sz w:val="24"/>
          <w:szCs w:val="24"/>
        </w:rPr>
      </w:pPr>
      <w:r w:rsidRPr="00F42F18">
        <w:rPr>
          <w:rFonts w:ascii="Times New Roman" w:hAnsi="Times New Roman" w:cs="Times New Roman"/>
          <w:sz w:val="24"/>
          <w:szCs w:val="24"/>
        </w:rPr>
        <w:t>Campbell, K. (1984). The Test of Dishonesty in R. v. Ghosh. The Cambridge Law Journal, 43(2), 349-360.</w:t>
      </w:r>
    </w:p>
    <w:p w14:paraId="379FF1FF" w14:textId="77777777" w:rsidR="00F42F18" w:rsidRPr="001775B3"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Duff, R. A. (2018). The World of Criminal Law. Oxford University Press.</w:t>
      </w:r>
    </w:p>
    <w:p w14:paraId="0E1383DB" w14:textId="77777777" w:rsidR="00F42F18" w:rsidRPr="001775B3"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Herring, J. (2021). Criminal Law: Text, Cases, and Materials. Oxford University Press.</w:t>
      </w:r>
    </w:p>
    <w:p w14:paraId="1DB60F39" w14:textId="77777777" w:rsidR="00F42F18" w:rsidRPr="001775B3"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Ho, H. L. (2008). A Philosophy of Evidence Law: Justice in Search of the Truth. Oxford University Press.</w:t>
      </w:r>
    </w:p>
    <w:p w14:paraId="6C72CD0E" w14:textId="77777777" w:rsidR="00F42F18" w:rsidRPr="001775B3"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Ivey v Genting Casinos (UK) Ltd (2017). UKSC 67.</w:t>
      </w:r>
    </w:p>
    <w:p w14:paraId="0B3179A4" w14:textId="77777777" w:rsidR="00F42F18"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Ivey v Genting Casinos (UK) Ltd (2020). UKSC 67.</w:t>
      </w:r>
    </w:p>
    <w:p w14:paraId="11B910EB" w14:textId="5C971FFD" w:rsidR="00F42F18" w:rsidRPr="001775B3" w:rsidRDefault="00F42F18" w:rsidP="00CB122B">
      <w:pPr>
        <w:ind w:hanging="720"/>
        <w:rPr>
          <w:rFonts w:ascii="Times New Roman" w:hAnsi="Times New Roman" w:cs="Times New Roman"/>
          <w:sz w:val="24"/>
          <w:szCs w:val="24"/>
        </w:rPr>
      </w:pPr>
      <w:r w:rsidRPr="00F42F18">
        <w:rPr>
          <w:rFonts w:ascii="Times New Roman" w:hAnsi="Times New Roman" w:cs="Times New Roman"/>
          <w:sz w:val="24"/>
          <w:szCs w:val="24"/>
        </w:rPr>
        <w:t>Ormerod, D., &amp; Laird, K. (2020). The Future of Dishonesty-Some Practical Considerations. Archbold Review, 2020(6), 8-10.</w:t>
      </w:r>
    </w:p>
    <w:p w14:paraId="04143D42" w14:textId="77777777" w:rsidR="00F42F18" w:rsidRPr="001775B3"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Roberts, P., and Zuckerman, A. (2022). Criminal Evidence. Oxford University Press.</w:t>
      </w:r>
    </w:p>
    <w:p w14:paraId="177EB4B1" w14:textId="77777777" w:rsidR="00F42F18" w:rsidRPr="001775B3"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Smith, J. C., Hogan, B., &amp; Ormerod, D. (2015). Smith and Hogan's Criminal Law. Oxford University Press.</w:t>
      </w:r>
    </w:p>
    <w:p w14:paraId="72E6A81D" w14:textId="77777777" w:rsidR="00F42F18" w:rsidRDefault="00F42F18" w:rsidP="00CB122B">
      <w:pPr>
        <w:ind w:hanging="720"/>
        <w:rPr>
          <w:rFonts w:ascii="Times New Roman" w:hAnsi="Times New Roman" w:cs="Times New Roman"/>
          <w:sz w:val="24"/>
          <w:szCs w:val="24"/>
        </w:rPr>
      </w:pPr>
      <w:r w:rsidRPr="001775B3">
        <w:rPr>
          <w:rFonts w:ascii="Times New Roman" w:hAnsi="Times New Roman" w:cs="Times New Roman"/>
          <w:sz w:val="24"/>
          <w:szCs w:val="24"/>
        </w:rPr>
        <w:t>Smith, J. C., Hogan, B., &amp; Ormerod, D. (2020). Smith, Hogan, and Ormerod's Criminal Law. Oxford University Press.</w:t>
      </w:r>
    </w:p>
    <w:p w14:paraId="1E430CD8" w14:textId="3B4B7598" w:rsidR="00F42F18" w:rsidRPr="001775B3" w:rsidRDefault="00F42F18" w:rsidP="00CB122B">
      <w:pPr>
        <w:ind w:hanging="720"/>
        <w:rPr>
          <w:rFonts w:ascii="Times New Roman" w:hAnsi="Times New Roman" w:cs="Times New Roman"/>
          <w:sz w:val="24"/>
          <w:szCs w:val="24"/>
        </w:rPr>
      </w:pPr>
      <w:r w:rsidRPr="00F42F18">
        <w:rPr>
          <w:rFonts w:ascii="Times New Roman" w:hAnsi="Times New Roman" w:cs="Times New Roman"/>
          <w:sz w:val="24"/>
          <w:szCs w:val="24"/>
        </w:rPr>
        <w:t>Virgo, G. (2018). Cheating and Dishonesty. The Cambridge Law Journal, 77(1), 18-22.</w:t>
      </w:r>
    </w:p>
    <w:sectPr w:rsidR="00F42F18" w:rsidRPr="001775B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356"/>
    <w:rsid w:val="0005727B"/>
    <w:rsid w:val="000750F6"/>
    <w:rsid w:val="001119B0"/>
    <w:rsid w:val="001775B3"/>
    <w:rsid w:val="00186D75"/>
    <w:rsid w:val="00765CBC"/>
    <w:rsid w:val="0081107F"/>
    <w:rsid w:val="00871E06"/>
    <w:rsid w:val="00891356"/>
    <w:rsid w:val="00897887"/>
    <w:rsid w:val="00A12262"/>
    <w:rsid w:val="00A61FA4"/>
    <w:rsid w:val="00CB122B"/>
    <w:rsid w:val="00CE7DA2"/>
    <w:rsid w:val="00D226E5"/>
    <w:rsid w:val="00F42F18"/>
    <w:rsid w:val="00FF3E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8C35F5A"/>
  <w15:chartTrackingRefBased/>
  <w15:docId w15:val="{85D604A2-F5C5-429A-984D-59260CBA18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line="480" w:lineRule="auto"/>
        <w:ind w:left="720"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19B0"/>
    <w:pPr>
      <w:keepNext/>
      <w:keepLines/>
      <w:spacing w:before="240"/>
      <w:outlineLvl w:val="0"/>
    </w:pPr>
    <w:rPr>
      <w:rFonts w:ascii="Arial" w:eastAsiaTheme="majorEastAsia" w:hAnsi="Arial" w:cstheme="majorBidi"/>
      <w:sz w:val="24"/>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19B0"/>
    <w:rPr>
      <w:rFonts w:ascii="Arial" w:eastAsiaTheme="majorEastAsia" w:hAnsi="Arial" w:cstheme="majorBidi"/>
      <w:sz w:val="24"/>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44583">
      <w:bodyDiv w:val="1"/>
      <w:marLeft w:val="0"/>
      <w:marRight w:val="0"/>
      <w:marTop w:val="0"/>
      <w:marBottom w:val="0"/>
      <w:divBdr>
        <w:top w:val="none" w:sz="0" w:space="0" w:color="auto"/>
        <w:left w:val="none" w:sz="0" w:space="0" w:color="auto"/>
        <w:bottom w:val="none" w:sz="0" w:space="0" w:color="auto"/>
        <w:right w:val="none" w:sz="0" w:space="0" w:color="auto"/>
      </w:divBdr>
    </w:div>
    <w:div w:id="334386604">
      <w:bodyDiv w:val="1"/>
      <w:marLeft w:val="0"/>
      <w:marRight w:val="0"/>
      <w:marTop w:val="0"/>
      <w:marBottom w:val="0"/>
      <w:divBdr>
        <w:top w:val="none" w:sz="0" w:space="0" w:color="auto"/>
        <w:left w:val="none" w:sz="0" w:space="0" w:color="auto"/>
        <w:bottom w:val="none" w:sz="0" w:space="0" w:color="auto"/>
        <w:right w:val="none" w:sz="0" w:space="0" w:color="auto"/>
      </w:divBdr>
      <w:divsChild>
        <w:div w:id="1572345723">
          <w:marLeft w:val="0"/>
          <w:marRight w:val="0"/>
          <w:marTop w:val="0"/>
          <w:marBottom w:val="0"/>
          <w:divBdr>
            <w:top w:val="single" w:sz="2" w:space="0" w:color="E3E3E3"/>
            <w:left w:val="single" w:sz="2" w:space="0" w:color="E3E3E3"/>
            <w:bottom w:val="single" w:sz="2" w:space="0" w:color="E3E3E3"/>
            <w:right w:val="single" w:sz="2" w:space="0" w:color="E3E3E3"/>
          </w:divBdr>
          <w:divsChild>
            <w:div w:id="1900746499">
              <w:marLeft w:val="0"/>
              <w:marRight w:val="0"/>
              <w:marTop w:val="0"/>
              <w:marBottom w:val="0"/>
              <w:divBdr>
                <w:top w:val="single" w:sz="2" w:space="0" w:color="E3E3E3"/>
                <w:left w:val="single" w:sz="2" w:space="0" w:color="E3E3E3"/>
                <w:bottom w:val="single" w:sz="2" w:space="0" w:color="E3E3E3"/>
                <w:right w:val="single" w:sz="2" w:space="0" w:color="E3E3E3"/>
              </w:divBdr>
              <w:divsChild>
                <w:div w:id="1913848615">
                  <w:marLeft w:val="0"/>
                  <w:marRight w:val="0"/>
                  <w:marTop w:val="0"/>
                  <w:marBottom w:val="0"/>
                  <w:divBdr>
                    <w:top w:val="single" w:sz="2" w:space="0" w:color="E3E3E3"/>
                    <w:left w:val="single" w:sz="2" w:space="0" w:color="E3E3E3"/>
                    <w:bottom w:val="single" w:sz="2" w:space="0" w:color="E3E3E3"/>
                    <w:right w:val="single" w:sz="2" w:space="0" w:color="E3E3E3"/>
                  </w:divBdr>
                  <w:divsChild>
                    <w:div w:id="1584071386">
                      <w:marLeft w:val="0"/>
                      <w:marRight w:val="0"/>
                      <w:marTop w:val="0"/>
                      <w:marBottom w:val="0"/>
                      <w:divBdr>
                        <w:top w:val="single" w:sz="2" w:space="0" w:color="E3E3E3"/>
                        <w:left w:val="single" w:sz="2" w:space="0" w:color="E3E3E3"/>
                        <w:bottom w:val="single" w:sz="2" w:space="0" w:color="E3E3E3"/>
                        <w:right w:val="single" w:sz="2" w:space="0" w:color="E3E3E3"/>
                      </w:divBdr>
                      <w:divsChild>
                        <w:div w:id="2100053476">
                          <w:marLeft w:val="0"/>
                          <w:marRight w:val="0"/>
                          <w:marTop w:val="0"/>
                          <w:marBottom w:val="0"/>
                          <w:divBdr>
                            <w:top w:val="single" w:sz="2" w:space="0" w:color="E3E3E3"/>
                            <w:left w:val="single" w:sz="2" w:space="0" w:color="E3E3E3"/>
                            <w:bottom w:val="single" w:sz="2" w:space="0" w:color="E3E3E3"/>
                            <w:right w:val="single" w:sz="2" w:space="0" w:color="E3E3E3"/>
                          </w:divBdr>
                          <w:divsChild>
                            <w:div w:id="779373596">
                              <w:marLeft w:val="0"/>
                              <w:marRight w:val="0"/>
                              <w:marTop w:val="0"/>
                              <w:marBottom w:val="0"/>
                              <w:divBdr>
                                <w:top w:val="single" w:sz="2" w:space="0" w:color="E3E3E3"/>
                                <w:left w:val="single" w:sz="2" w:space="0" w:color="E3E3E3"/>
                                <w:bottom w:val="single" w:sz="2" w:space="0" w:color="E3E3E3"/>
                                <w:right w:val="single" w:sz="2" w:space="0" w:color="E3E3E3"/>
                              </w:divBdr>
                              <w:divsChild>
                                <w:div w:id="1202667205">
                                  <w:marLeft w:val="0"/>
                                  <w:marRight w:val="0"/>
                                  <w:marTop w:val="100"/>
                                  <w:marBottom w:val="100"/>
                                  <w:divBdr>
                                    <w:top w:val="single" w:sz="2" w:space="0" w:color="E3E3E3"/>
                                    <w:left w:val="single" w:sz="2" w:space="0" w:color="E3E3E3"/>
                                    <w:bottom w:val="single" w:sz="2" w:space="0" w:color="E3E3E3"/>
                                    <w:right w:val="single" w:sz="2" w:space="0" w:color="E3E3E3"/>
                                  </w:divBdr>
                                  <w:divsChild>
                                    <w:div w:id="1583683280">
                                      <w:marLeft w:val="0"/>
                                      <w:marRight w:val="0"/>
                                      <w:marTop w:val="0"/>
                                      <w:marBottom w:val="0"/>
                                      <w:divBdr>
                                        <w:top w:val="single" w:sz="2" w:space="0" w:color="E3E3E3"/>
                                        <w:left w:val="single" w:sz="2" w:space="0" w:color="E3E3E3"/>
                                        <w:bottom w:val="single" w:sz="2" w:space="0" w:color="E3E3E3"/>
                                        <w:right w:val="single" w:sz="2" w:space="0" w:color="E3E3E3"/>
                                      </w:divBdr>
                                      <w:divsChild>
                                        <w:div w:id="1148284568">
                                          <w:marLeft w:val="0"/>
                                          <w:marRight w:val="0"/>
                                          <w:marTop w:val="0"/>
                                          <w:marBottom w:val="0"/>
                                          <w:divBdr>
                                            <w:top w:val="single" w:sz="2" w:space="0" w:color="E3E3E3"/>
                                            <w:left w:val="single" w:sz="2" w:space="0" w:color="E3E3E3"/>
                                            <w:bottom w:val="single" w:sz="2" w:space="0" w:color="E3E3E3"/>
                                            <w:right w:val="single" w:sz="2" w:space="0" w:color="E3E3E3"/>
                                          </w:divBdr>
                                          <w:divsChild>
                                            <w:div w:id="629094312">
                                              <w:marLeft w:val="0"/>
                                              <w:marRight w:val="0"/>
                                              <w:marTop w:val="0"/>
                                              <w:marBottom w:val="0"/>
                                              <w:divBdr>
                                                <w:top w:val="single" w:sz="2" w:space="0" w:color="E3E3E3"/>
                                                <w:left w:val="single" w:sz="2" w:space="0" w:color="E3E3E3"/>
                                                <w:bottom w:val="single" w:sz="2" w:space="0" w:color="E3E3E3"/>
                                                <w:right w:val="single" w:sz="2" w:space="0" w:color="E3E3E3"/>
                                              </w:divBdr>
                                              <w:divsChild>
                                                <w:div w:id="1745759296">
                                                  <w:marLeft w:val="0"/>
                                                  <w:marRight w:val="0"/>
                                                  <w:marTop w:val="0"/>
                                                  <w:marBottom w:val="0"/>
                                                  <w:divBdr>
                                                    <w:top w:val="single" w:sz="2" w:space="0" w:color="E3E3E3"/>
                                                    <w:left w:val="single" w:sz="2" w:space="0" w:color="E3E3E3"/>
                                                    <w:bottom w:val="single" w:sz="2" w:space="0" w:color="E3E3E3"/>
                                                    <w:right w:val="single" w:sz="2" w:space="0" w:color="E3E3E3"/>
                                                  </w:divBdr>
                                                  <w:divsChild>
                                                    <w:div w:id="1672222784">
                                                      <w:marLeft w:val="0"/>
                                                      <w:marRight w:val="0"/>
                                                      <w:marTop w:val="0"/>
                                                      <w:marBottom w:val="0"/>
                                                      <w:divBdr>
                                                        <w:top w:val="single" w:sz="2" w:space="0" w:color="E3E3E3"/>
                                                        <w:left w:val="single" w:sz="2" w:space="0" w:color="E3E3E3"/>
                                                        <w:bottom w:val="single" w:sz="2" w:space="0" w:color="E3E3E3"/>
                                                        <w:right w:val="single" w:sz="2" w:space="0" w:color="E3E3E3"/>
                                                      </w:divBdr>
                                                      <w:divsChild>
                                                        <w:div w:id="10358071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30132942">
          <w:marLeft w:val="0"/>
          <w:marRight w:val="0"/>
          <w:marTop w:val="0"/>
          <w:marBottom w:val="0"/>
          <w:divBdr>
            <w:top w:val="none" w:sz="0" w:space="0" w:color="auto"/>
            <w:left w:val="none" w:sz="0" w:space="0" w:color="auto"/>
            <w:bottom w:val="none" w:sz="0" w:space="0" w:color="auto"/>
            <w:right w:val="none" w:sz="0" w:space="0" w:color="auto"/>
          </w:divBdr>
        </w:div>
      </w:divsChild>
    </w:div>
    <w:div w:id="340158194">
      <w:bodyDiv w:val="1"/>
      <w:marLeft w:val="0"/>
      <w:marRight w:val="0"/>
      <w:marTop w:val="0"/>
      <w:marBottom w:val="0"/>
      <w:divBdr>
        <w:top w:val="none" w:sz="0" w:space="0" w:color="auto"/>
        <w:left w:val="none" w:sz="0" w:space="0" w:color="auto"/>
        <w:bottom w:val="none" w:sz="0" w:space="0" w:color="auto"/>
        <w:right w:val="none" w:sz="0" w:space="0" w:color="auto"/>
      </w:divBdr>
      <w:divsChild>
        <w:div w:id="1892841244">
          <w:marLeft w:val="0"/>
          <w:marRight w:val="0"/>
          <w:marTop w:val="0"/>
          <w:marBottom w:val="0"/>
          <w:divBdr>
            <w:top w:val="single" w:sz="2" w:space="0" w:color="E3E3E3"/>
            <w:left w:val="single" w:sz="2" w:space="0" w:color="E3E3E3"/>
            <w:bottom w:val="single" w:sz="2" w:space="0" w:color="E3E3E3"/>
            <w:right w:val="single" w:sz="2" w:space="0" w:color="E3E3E3"/>
          </w:divBdr>
          <w:divsChild>
            <w:div w:id="703823527">
              <w:marLeft w:val="0"/>
              <w:marRight w:val="0"/>
              <w:marTop w:val="0"/>
              <w:marBottom w:val="0"/>
              <w:divBdr>
                <w:top w:val="single" w:sz="2" w:space="0" w:color="E3E3E3"/>
                <w:left w:val="single" w:sz="2" w:space="0" w:color="E3E3E3"/>
                <w:bottom w:val="single" w:sz="2" w:space="0" w:color="E3E3E3"/>
                <w:right w:val="single" w:sz="2" w:space="0" w:color="E3E3E3"/>
              </w:divBdr>
              <w:divsChild>
                <w:div w:id="343097710">
                  <w:marLeft w:val="0"/>
                  <w:marRight w:val="0"/>
                  <w:marTop w:val="0"/>
                  <w:marBottom w:val="0"/>
                  <w:divBdr>
                    <w:top w:val="single" w:sz="2" w:space="0" w:color="E3E3E3"/>
                    <w:left w:val="single" w:sz="2" w:space="0" w:color="E3E3E3"/>
                    <w:bottom w:val="single" w:sz="2" w:space="0" w:color="E3E3E3"/>
                    <w:right w:val="single" w:sz="2" w:space="0" w:color="E3E3E3"/>
                  </w:divBdr>
                  <w:divsChild>
                    <w:div w:id="1570388223">
                      <w:marLeft w:val="0"/>
                      <w:marRight w:val="0"/>
                      <w:marTop w:val="0"/>
                      <w:marBottom w:val="0"/>
                      <w:divBdr>
                        <w:top w:val="single" w:sz="2" w:space="0" w:color="E3E3E3"/>
                        <w:left w:val="single" w:sz="2" w:space="0" w:color="E3E3E3"/>
                        <w:bottom w:val="single" w:sz="2" w:space="0" w:color="E3E3E3"/>
                        <w:right w:val="single" w:sz="2" w:space="0" w:color="E3E3E3"/>
                      </w:divBdr>
                      <w:divsChild>
                        <w:div w:id="1394310195">
                          <w:marLeft w:val="0"/>
                          <w:marRight w:val="0"/>
                          <w:marTop w:val="0"/>
                          <w:marBottom w:val="0"/>
                          <w:divBdr>
                            <w:top w:val="single" w:sz="2" w:space="0" w:color="E3E3E3"/>
                            <w:left w:val="single" w:sz="2" w:space="0" w:color="E3E3E3"/>
                            <w:bottom w:val="single" w:sz="2" w:space="0" w:color="E3E3E3"/>
                            <w:right w:val="single" w:sz="2" w:space="0" w:color="E3E3E3"/>
                          </w:divBdr>
                          <w:divsChild>
                            <w:div w:id="1347050608">
                              <w:marLeft w:val="0"/>
                              <w:marRight w:val="0"/>
                              <w:marTop w:val="0"/>
                              <w:marBottom w:val="0"/>
                              <w:divBdr>
                                <w:top w:val="single" w:sz="2" w:space="0" w:color="E3E3E3"/>
                                <w:left w:val="single" w:sz="2" w:space="0" w:color="E3E3E3"/>
                                <w:bottom w:val="single" w:sz="2" w:space="0" w:color="E3E3E3"/>
                                <w:right w:val="single" w:sz="2" w:space="0" w:color="E3E3E3"/>
                              </w:divBdr>
                              <w:divsChild>
                                <w:div w:id="1521697882">
                                  <w:marLeft w:val="0"/>
                                  <w:marRight w:val="0"/>
                                  <w:marTop w:val="100"/>
                                  <w:marBottom w:val="100"/>
                                  <w:divBdr>
                                    <w:top w:val="single" w:sz="2" w:space="0" w:color="E3E3E3"/>
                                    <w:left w:val="single" w:sz="2" w:space="0" w:color="E3E3E3"/>
                                    <w:bottom w:val="single" w:sz="2" w:space="0" w:color="E3E3E3"/>
                                    <w:right w:val="single" w:sz="2" w:space="0" w:color="E3E3E3"/>
                                  </w:divBdr>
                                  <w:divsChild>
                                    <w:div w:id="927738635">
                                      <w:marLeft w:val="0"/>
                                      <w:marRight w:val="0"/>
                                      <w:marTop w:val="0"/>
                                      <w:marBottom w:val="0"/>
                                      <w:divBdr>
                                        <w:top w:val="single" w:sz="2" w:space="0" w:color="E3E3E3"/>
                                        <w:left w:val="single" w:sz="2" w:space="0" w:color="E3E3E3"/>
                                        <w:bottom w:val="single" w:sz="2" w:space="0" w:color="E3E3E3"/>
                                        <w:right w:val="single" w:sz="2" w:space="0" w:color="E3E3E3"/>
                                      </w:divBdr>
                                      <w:divsChild>
                                        <w:div w:id="2080125683">
                                          <w:marLeft w:val="0"/>
                                          <w:marRight w:val="0"/>
                                          <w:marTop w:val="0"/>
                                          <w:marBottom w:val="0"/>
                                          <w:divBdr>
                                            <w:top w:val="single" w:sz="2" w:space="0" w:color="E3E3E3"/>
                                            <w:left w:val="single" w:sz="2" w:space="0" w:color="E3E3E3"/>
                                            <w:bottom w:val="single" w:sz="2" w:space="0" w:color="E3E3E3"/>
                                            <w:right w:val="single" w:sz="2" w:space="0" w:color="E3E3E3"/>
                                          </w:divBdr>
                                          <w:divsChild>
                                            <w:div w:id="485127870">
                                              <w:marLeft w:val="0"/>
                                              <w:marRight w:val="0"/>
                                              <w:marTop w:val="0"/>
                                              <w:marBottom w:val="0"/>
                                              <w:divBdr>
                                                <w:top w:val="single" w:sz="2" w:space="0" w:color="E3E3E3"/>
                                                <w:left w:val="single" w:sz="2" w:space="0" w:color="E3E3E3"/>
                                                <w:bottom w:val="single" w:sz="2" w:space="0" w:color="E3E3E3"/>
                                                <w:right w:val="single" w:sz="2" w:space="0" w:color="E3E3E3"/>
                                              </w:divBdr>
                                              <w:divsChild>
                                                <w:div w:id="400103680">
                                                  <w:marLeft w:val="0"/>
                                                  <w:marRight w:val="0"/>
                                                  <w:marTop w:val="0"/>
                                                  <w:marBottom w:val="0"/>
                                                  <w:divBdr>
                                                    <w:top w:val="single" w:sz="2" w:space="0" w:color="E3E3E3"/>
                                                    <w:left w:val="single" w:sz="2" w:space="0" w:color="E3E3E3"/>
                                                    <w:bottom w:val="single" w:sz="2" w:space="0" w:color="E3E3E3"/>
                                                    <w:right w:val="single" w:sz="2" w:space="0" w:color="E3E3E3"/>
                                                  </w:divBdr>
                                                  <w:divsChild>
                                                    <w:div w:id="474104083">
                                                      <w:marLeft w:val="0"/>
                                                      <w:marRight w:val="0"/>
                                                      <w:marTop w:val="0"/>
                                                      <w:marBottom w:val="0"/>
                                                      <w:divBdr>
                                                        <w:top w:val="single" w:sz="2" w:space="0" w:color="E3E3E3"/>
                                                        <w:left w:val="single" w:sz="2" w:space="0" w:color="E3E3E3"/>
                                                        <w:bottom w:val="single" w:sz="2" w:space="0" w:color="E3E3E3"/>
                                                        <w:right w:val="single" w:sz="2" w:space="0" w:color="E3E3E3"/>
                                                      </w:divBdr>
                                                      <w:divsChild>
                                                        <w:div w:id="2140446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52462097">
          <w:marLeft w:val="0"/>
          <w:marRight w:val="0"/>
          <w:marTop w:val="0"/>
          <w:marBottom w:val="0"/>
          <w:divBdr>
            <w:top w:val="none" w:sz="0" w:space="0" w:color="auto"/>
            <w:left w:val="none" w:sz="0" w:space="0" w:color="auto"/>
            <w:bottom w:val="none" w:sz="0" w:space="0" w:color="auto"/>
            <w:right w:val="none" w:sz="0" w:space="0" w:color="auto"/>
          </w:divBdr>
        </w:div>
      </w:divsChild>
    </w:div>
    <w:div w:id="490633399">
      <w:bodyDiv w:val="1"/>
      <w:marLeft w:val="0"/>
      <w:marRight w:val="0"/>
      <w:marTop w:val="0"/>
      <w:marBottom w:val="0"/>
      <w:divBdr>
        <w:top w:val="none" w:sz="0" w:space="0" w:color="auto"/>
        <w:left w:val="none" w:sz="0" w:space="0" w:color="auto"/>
        <w:bottom w:val="none" w:sz="0" w:space="0" w:color="auto"/>
        <w:right w:val="none" w:sz="0" w:space="0" w:color="auto"/>
      </w:divBdr>
    </w:div>
    <w:div w:id="496531068">
      <w:bodyDiv w:val="1"/>
      <w:marLeft w:val="0"/>
      <w:marRight w:val="0"/>
      <w:marTop w:val="0"/>
      <w:marBottom w:val="0"/>
      <w:divBdr>
        <w:top w:val="none" w:sz="0" w:space="0" w:color="auto"/>
        <w:left w:val="none" w:sz="0" w:space="0" w:color="auto"/>
        <w:bottom w:val="none" w:sz="0" w:space="0" w:color="auto"/>
        <w:right w:val="none" w:sz="0" w:space="0" w:color="auto"/>
      </w:divBdr>
      <w:divsChild>
        <w:div w:id="620377762">
          <w:marLeft w:val="0"/>
          <w:marRight w:val="0"/>
          <w:marTop w:val="0"/>
          <w:marBottom w:val="0"/>
          <w:divBdr>
            <w:top w:val="none" w:sz="0" w:space="0" w:color="auto"/>
            <w:left w:val="none" w:sz="0" w:space="0" w:color="auto"/>
            <w:bottom w:val="none" w:sz="0" w:space="0" w:color="auto"/>
            <w:right w:val="none" w:sz="0" w:space="0" w:color="auto"/>
          </w:divBdr>
          <w:divsChild>
            <w:div w:id="1908874583">
              <w:marLeft w:val="0"/>
              <w:marRight w:val="0"/>
              <w:marTop w:val="0"/>
              <w:marBottom w:val="0"/>
              <w:divBdr>
                <w:top w:val="none" w:sz="0" w:space="0" w:color="auto"/>
                <w:left w:val="none" w:sz="0" w:space="0" w:color="auto"/>
                <w:bottom w:val="none" w:sz="0" w:space="0" w:color="auto"/>
                <w:right w:val="none" w:sz="0" w:space="0" w:color="auto"/>
              </w:divBdr>
              <w:divsChild>
                <w:div w:id="1910846417">
                  <w:marLeft w:val="0"/>
                  <w:marRight w:val="0"/>
                  <w:marTop w:val="0"/>
                  <w:marBottom w:val="0"/>
                  <w:divBdr>
                    <w:top w:val="none" w:sz="0" w:space="0" w:color="auto"/>
                    <w:left w:val="none" w:sz="0" w:space="0" w:color="auto"/>
                    <w:bottom w:val="none" w:sz="0" w:space="0" w:color="auto"/>
                    <w:right w:val="none" w:sz="0" w:space="0" w:color="auto"/>
                  </w:divBdr>
                  <w:divsChild>
                    <w:div w:id="1348169295">
                      <w:marLeft w:val="0"/>
                      <w:marRight w:val="0"/>
                      <w:marTop w:val="0"/>
                      <w:marBottom w:val="0"/>
                      <w:divBdr>
                        <w:top w:val="none" w:sz="0" w:space="0" w:color="auto"/>
                        <w:left w:val="none" w:sz="0" w:space="0" w:color="auto"/>
                        <w:bottom w:val="none" w:sz="0" w:space="0" w:color="auto"/>
                        <w:right w:val="none" w:sz="0" w:space="0" w:color="auto"/>
                      </w:divBdr>
                      <w:divsChild>
                        <w:div w:id="605625805">
                          <w:marLeft w:val="0"/>
                          <w:marRight w:val="0"/>
                          <w:marTop w:val="0"/>
                          <w:marBottom w:val="0"/>
                          <w:divBdr>
                            <w:top w:val="none" w:sz="0" w:space="0" w:color="auto"/>
                            <w:left w:val="none" w:sz="0" w:space="0" w:color="auto"/>
                            <w:bottom w:val="none" w:sz="0" w:space="0" w:color="auto"/>
                            <w:right w:val="none" w:sz="0" w:space="0" w:color="auto"/>
                          </w:divBdr>
                          <w:divsChild>
                            <w:div w:id="450327247">
                              <w:marLeft w:val="0"/>
                              <w:marRight w:val="0"/>
                              <w:marTop w:val="0"/>
                              <w:marBottom w:val="0"/>
                              <w:divBdr>
                                <w:top w:val="none" w:sz="0" w:space="0" w:color="auto"/>
                                <w:left w:val="none" w:sz="0" w:space="0" w:color="auto"/>
                                <w:bottom w:val="none" w:sz="0" w:space="0" w:color="auto"/>
                                <w:right w:val="none" w:sz="0" w:space="0" w:color="auto"/>
                              </w:divBdr>
                              <w:divsChild>
                                <w:div w:id="1576236051">
                                  <w:marLeft w:val="0"/>
                                  <w:marRight w:val="0"/>
                                  <w:marTop w:val="0"/>
                                  <w:marBottom w:val="0"/>
                                  <w:divBdr>
                                    <w:top w:val="none" w:sz="0" w:space="0" w:color="auto"/>
                                    <w:left w:val="none" w:sz="0" w:space="0" w:color="auto"/>
                                    <w:bottom w:val="none" w:sz="0" w:space="0" w:color="auto"/>
                                    <w:right w:val="none" w:sz="0" w:space="0" w:color="auto"/>
                                  </w:divBdr>
                                  <w:divsChild>
                                    <w:div w:id="1340233243">
                                      <w:marLeft w:val="0"/>
                                      <w:marRight w:val="0"/>
                                      <w:marTop w:val="0"/>
                                      <w:marBottom w:val="0"/>
                                      <w:divBdr>
                                        <w:top w:val="none" w:sz="0" w:space="0" w:color="auto"/>
                                        <w:left w:val="none" w:sz="0" w:space="0" w:color="auto"/>
                                        <w:bottom w:val="none" w:sz="0" w:space="0" w:color="auto"/>
                                        <w:right w:val="none" w:sz="0" w:space="0" w:color="auto"/>
                                      </w:divBdr>
                                      <w:divsChild>
                                        <w:div w:id="3646943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0937243">
          <w:marLeft w:val="0"/>
          <w:marRight w:val="0"/>
          <w:marTop w:val="0"/>
          <w:marBottom w:val="0"/>
          <w:divBdr>
            <w:top w:val="none" w:sz="0" w:space="0" w:color="auto"/>
            <w:left w:val="none" w:sz="0" w:space="0" w:color="auto"/>
            <w:bottom w:val="none" w:sz="0" w:space="0" w:color="auto"/>
            <w:right w:val="none" w:sz="0" w:space="0" w:color="auto"/>
          </w:divBdr>
          <w:divsChild>
            <w:div w:id="1027099923">
              <w:marLeft w:val="0"/>
              <w:marRight w:val="0"/>
              <w:marTop w:val="0"/>
              <w:marBottom w:val="0"/>
              <w:divBdr>
                <w:top w:val="none" w:sz="0" w:space="0" w:color="auto"/>
                <w:left w:val="none" w:sz="0" w:space="0" w:color="auto"/>
                <w:bottom w:val="none" w:sz="0" w:space="0" w:color="auto"/>
                <w:right w:val="none" w:sz="0" w:space="0" w:color="auto"/>
              </w:divBdr>
              <w:divsChild>
                <w:div w:id="1126847155">
                  <w:marLeft w:val="0"/>
                  <w:marRight w:val="0"/>
                  <w:marTop w:val="0"/>
                  <w:marBottom w:val="0"/>
                  <w:divBdr>
                    <w:top w:val="none" w:sz="0" w:space="0" w:color="auto"/>
                    <w:left w:val="none" w:sz="0" w:space="0" w:color="auto"/>
                    <w:bottom w:val="none" w:sz="0" w:space="0" w:color="auto"/>
                    <w:right w:val="none" w:sz="0" w:space="0" w:color="auto"/>
                  </w:divBdr>
                  <w:divsChild>
                    <w:div w:id="276185381">
                      <w:marLeft w:val="0"/>
                      <w:marRight w:val="0"/>
                      <w:marTop w:val="0"/>
                      <w:marBottom w:val="0"/>
                      <w:divBdr>
                        <w:top w:val="none" w:sz="0" w:space="0" w:color="auto"/>
                        <w:left w:val="none" w:sz="0" w:space="0" w:color="auto"/>
                        <w:bottom w:val="none" w:sz="0" w:space="0" w:color="auto"/>
                        <w:right w:val="none" w:sz="0" w:space="0" w:color="auto"/>
                      </w:divBdr>
                      <w:divsChild>
                        <w:div w:id="1035428160">
                          <w:marLeft w:val="0"/>
                          <w:marRight w:val="0"/>
                          <w:marTop w:val="0"/>
                          <w:marBottom w:val="0"/>
                          <w:divBdr>
                            <w:top w:val="none" w:sz="0" w:space="0" w:color="auto"/>
                            <w:left w:val="none" w:sz="0" w:space="0" w:color="auto"/>
                            <w:bottom w:val="none" w:sz="0" w:space="0" w:color="auto"/>
                            <w:right w:val="none" w:sz="0" w:space="0" w:color="auto"/>
                          </w:divBdr>
                          <w:divsChild>
                            <w:div w:id="1837110574">
                              <w:marLeft w:val="0"/>
                              <w:marRight w:val="0"/>
                              <w:marTop w:val="0"/>
                              <w:marBottom w:val="0"/>
                              <w:divBdr>
                                <w:top w:val="none" w:sz="0" w:space="0" w:color="auto"/>
                                <w:left w:val="none" w:sz="0" w:space="0" w:color="auto"/>
                                <w:bottom w:val="none" w:sz="0" w:space="0" w:color="auto"/>
                                <w:right w:val="none" w:sz="0" w:space="0" w:color="auto"/>
                              </w:divBdr>
                            </w:div>
                            <w:div w:id="388110784">
                              <w:marLeft w:val="0"/>
                              <w:marRight w:val="0"/>
                              <w:marTop w:val="0"/>
                              <w:marBottom w:val="0"/>
                              <w:divBdr>
                                <w:top w:val="none" w:sz="0" w:space="0" w:color="auto"/>
                                <w:left w:val="none" w:sz="0" w:space="0" w:color="auto"/>
                                <w:bottom w:val="none" w:sz="0" w:space="0" w:color="auto"/>
                                <w:right w:val="none" w:sz="0" w:space="0" w:color="auto"/>
                              </w:divBdr>
                            </w:div>
                            <w:div w:id="1770857796">
                              <w:marLeft w:val="0"/>
                              <w:marRight w:val="0"/>
                              <w:marTop w:val="0"/>
                              <w:marBottom w:val="0"/>
                              <w:divBdr>
                                <w:top w:val="none" w:sz="0" w:space="0" w:color="auto"/>
                                <w:left w:val="none" w:sz="0" w:space="0" w:color="auto"/>
                                <w:bottom w:val="none" w:sz="0" w:space="0" w:color="auto"/>
                                <w:right w:val="none" w:sz="0" w:space="0" w:color="auto"/>
                              </w:divBdr>
                            </w:div>
                          </w:divsChild>
                        </w:div>
                        <w:div w:id="104490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1420805">
      <w:bodyDiv w:val="1"/>
      <w:marLeft w:val="0"/>
      <w:marRight w:val="0"/>
      <w:marTop w:val="0"/>
      <w:marBottom w:val="0"/>
      <w:divBdr>
        <w:top w:val="none" w:sz="0" w:space="0" w:color="auto"/>
        <w:left w:val="none" w:sz="0" w:space="0" w:color="auto"/>
        <w:bottom w:val="none" w:sz="0" w:space="0" w:color="auto"/>
        <w:right w:val="none" w:sz="0" w:space="0" w:color="auto"/>
      </w:divBdr>
    </w:div>
    <w:div w:id="1057315198">
      <w:bodyDiv w:val="1"/>
      <w:marLeft w:val="0"/>
      <w:marRight w:val="0"/>
      <w:marTop w:val="0"/>
      <w:marBottom w:val="0"/>
      <w:divBdr>
        <w:top w:val="none" w:sz="0" w:space="0" w:color="auto"/>
        <w:left w:val="none" w:sz="0" w:space="0" w:color="auto"/>
        <w:bottom w:val="none" w:sz="0" w:space="0" w:color="auto"/>
        <w:right w:val="none" w:sz="0" w:space="0" w:color="auto"/>
      </w:divBdr>
    </w:div>
    <w:div w:id="1253008765">
      <w:bodyDiv w:val="1"/>
      <w:marLeft w:val="0"/>
      <w:marRight w:val="0"/>
      <w:marTop w:val="0"/>
      <w:marBottom w:val="0"/>
      <w:divBdr>
        <w:top w:val="none" w:sz="0" w:space="0" w:color="auto"/>
        <w:left w:val="none" w:sz="0" w:space="0" w:color="auto"/>
        <w:bottom w:val="none" w:sz="0" w:space="0" w:color="auto"/>
        <w:right w:val="none" w:sz="0" w:space="0" w:color="auto"/>
      </w:divBdr>
    </w:div>
    <w:div w:id="1266575073">
      <w:bodyDiv w:val="1"/>
      <w:marLeft w:val="0"/>
      <w:marRight w:val="0"/>
      <w:marTop w:val="0"/>
      <w:marBottom w:val="0"/>
      <w:divBdr>
        <w:top w:val="none" w:sz="0" w:space="0" w:color="auto"/>
        <w:left w:val="none" w:sz="0" w:space="0" w:color="auto"/>
        <w:bottom w:val="none" w:sz="0" w:space="0" w:color="auto"/>
        <w:right w:val="none" w:sz="0" w:space="0" w:color="auto"/>
      </w:divBdr>
    </w:div>
    <w:div w:id="1658730302">
      <w:bodyDiv w:val="1"/>
      <w:marLeft w:val="0"/>
      <w:marRight w:val="0"/>
      <w:marTop w:val="0"/>
      <w:marBottom w:val="0"/>
      <w:divBdr>
        <w:top w:val="none" w:sz="0" w:space="0" w:color="auto"/>
        <w:left w:val="none" w:sz="0" w:space="0" w:color="auto"/>
        <w:bottom w:val="none" w:sz="0" w:space="0" w:color="auto"/>
        <w:right w:val="none" w:sz="0" w:space="0" w:color="auto"/>
      </w:divBdr>
    </w:div>
    <w:div w:id="1801607161">
      <w:bodyDiv w:val="1"/>
      <w:marLeft w:val="0"/>
      <w:marRight w:val="0"/>
      <w:marTop w:val="0"/>
      <w:marBottom w:val="0"/>
      <w:divBdr>
        <w:top w:val="none" w:sz="0" w:space="0" w:color="auto"/>
        <w:left w:val="none" w:sz="0" w:space="0" w:color="auto"/>
        <w:bottom w:val="none" w:sz="0" w:space="0" w:color="auto"/>
        <w:right w:val="none" w:sz="0" w:space="0" w:color="auto"/>
      </w:divBdr>
    </w:div>
    <w:div w:id="1818768141">
      <w:bodyDiv w:val="1"/>
      <w:marLeft w:val="0"/>
      <w:marRight w:val="0"/>
      <w:marTop w:val="0"/>
      <w:marBottom w:val="0"/>
      <w:divBdr>
        <w:top w:val="none" w:sz="0" w:space="0" w:color="auto"/>
        <w:left w:val="none" w:sz="0" w:space="0" w:color="auto"/>
        <w:bottom w:val="none" w:sz="0" w:space="0" w:color="auto"/>
        <w:right w:val="none" w:sz="0" w:space="0" w:color="auto"/>
      </w:divBdr>
      <w:divsChild>
        <w:div w:id="67845428">
          <w:marLeft w:val="0"/>
          <w:marRight w:val="0"/>
          <w:marTop w:val="0"/>
          <w:marBottom w:val="0"/>
          <w:divBdr>
            <w:top w:val="single" w:sz="2" w:space="0" w:color="E3E3E3"/>
            <w:left w:val="single" w:sz="2" w:space="0" w:color="E3E3E3"/>
            <w:bottom w:val="single" w:sz="2" w:space="0" w:color="E3E3E3"/>
            <w:right w:val="single" w:sz="2" w:space="0" w:color="E3E3E3"/>
          </w:divBdr>
          <w:divsChild>
            <w:div w:id="1290356734">
              <w:marLeft w:val="0"/>
              <w:marRight w:val="0"/>
              <w:marTop w:val="0"/>
              <w:marBottom w:val="0"/>
              <w:divBdr>
                <w:top w:val="single" w:sz="2" w:space="0" w:color="E3E3E3"/>
                <w:left w:val="single" w:sz="2" w:space="0" w:color="E3E3E3"/>
                <w:bottom w:val="single" w:sz="2" w:space="0" w:color="E3E3E3"/>
                <w:right w:val="single" w:sz="2" w:space="0" w:color="E3E3E3"/>
              </w:divBdr>
              <w:divsChild>
                <w:div w:id="1663771482">
                  <w:marLeft w:val="0"/>
                  <w:marRight w:val="0"/>
                  <w:marTop w:val="0"/>
                  <w:marBottom w:val="0"/>
                  <w:divBdr>
                    <w:top w:val="single" w:sz="2" w:space="0" w:color="E3E3E3"/>
                    <w:left w:val="single" w:sz="2" w:space="0" w:color="E3E3E3"/>
                    <w:bottom w:val="single" w:sz="2" w:space="0" w:color="E3E3E3"/>
                    <w:right w:val="single" w:sz="2" w:space="0" w:color="E3E3E3"/>
                  </w:divBdr>
                  <w:divsChild>
                    <w:div w:id="2036152373">
                      <w:marLeft w:val="0"/>
                      <w:marRight w:val="0"/>
                      <w:marTop w:val="0"/>
                      <w:marBottom w:val="0"/>
                      <w:divBdr>
                        <w:top w:val="single" w:sz="2" w:space="0" w:color="E3E3E3"/>
                        <w:left w:val="single" w:sz="2" w:space="0" w:color="E3E3E3"/>
                        <w:bottom w:val="single" w:sz="2" w:space="0" w:color="E3E3E3"/>
                        <w:right w:val="single" w:sz="2" w:space="0" w:color="E3E3E3"/>
                      </w:divBdr>
                      <w:divsChild>
                        <w:div w:id="350227547">
                          <w:marLeft w:val="0"/>
                          <w:marRight w:val="0"/>
                          <w:marTop w:val="0"/>
                          <w:marBottom w:val="0"/>
                          <w:divBdr>
                            <w:top w:val="single" w:sz="2" w:space="0" w:color="E3E3E3"/>
                            <w:left w:val="single" w:sz="2" w:space="0" w:color="E3E3E3"/>
                            <w:bottom w:val="single" w:sz="2" w:space="0" w:color="E3E3E3"/>
                            <w:right w:val="single" w:sz="2" w:space="0" w:color="E3E3E3"/>
                          </w:divBdr>
                          <w:divsChild>
                            <w:div w:id="1273173234">
                              <w:marLeft w:val="0"/>
                              <w:marRight w:val="0"/>
                              <w:marTop w:val="0"/>
                              <w:marBottom w:val="0"/>
                              <w:divBdr>
                                <w:top w:val="single" w:sz="2" w:space="0" w:color="E3E3E3"/>
                                <w:left w:val="single" w:sz="2" w:space="0" w:color="E3E3E3"/>
                                <w:bottom w:val="single" w:sz="2" w:space="0" w:color="E3E3E3"/>
                                <w:right w:val="single" w:sz="2" w:space="0" w:color="E3E3E3"/>
                              </w:divBdr>
                              <w:divsChild>
                                <w:div w:id="1603760448">
                                  <w:marLeft w:val="0"/>
                                  <w:marRight w:val="0"/>
                                  <w:marTop w:val="100"/>
                                  <w:marBottom w:val="100"/>
                                  <w:divBdr>
                                    <w:top w:val="single" w:sz="2" w:space="0" w:color="E3E3E3"/>
                                    <w:left w:val="single" w:sz="2" w:space="0" w:color="E3E3E3"/>
                                    <w:bottom w:val="single" w:sz="2" w:space="0" w:color="E3E3E3"/>
                                    <w:right w:val="single" w:sz="2" w:space="0" w:color="E3E3E3"/>
                                  </w:divBdr>
                                  <w:divsChild>
                                    <w:div w:id="281423117">
                                      <w:marLeft w:val="0"/>
                                      <w:marRight w:val="0"/>
                                      <w:marTop w:val="0"/>
                                      <w:marBottom w:val="0"/>
                                      <w:divBdr>
                                        <w:top w:val="single" w:sz="2" w:space="0" w:color="E3E3E3"/>
                                        <w:left w:val="single" w:sz="2" w:space="0" w:color="E3E3E3"/>
                                        <w:bottom w:val="single" w:sz="2" w:space="0" w:color="E3E3E3"/>
                                        <w:right w:val="single" w:sz="2" w:space="0" w:color="E3E3E3"/>
                                      </w:divBdr>
                                      <w:divsChild>
                                        <w:div w:id="1125613073">
                                          <w:marLeft w:val="0"/>
                                          <w:marRight w:val="0"/>
                                          <w:marTop w:val="0"/>
                                          <w:marBottom w:val="0"/>
                                          <w:divBdr>
                                            <w:top w:val="single" w:sz="2" w:space="0" w:color="E3E3E3"/>
                                            <w:left w:val="single" w:sz="2" w:space="0" w:color="E3E3E3"/>
                                            <w:bottom w:val="single" w:sz="2" w:space="0" w:color="E3E3E3"/>
                                            <w:right w:val="single" w:sz="2" w:space="0" w:color="E3E3E3"/>
                                          </w:divBdr>
                                          <w:divsChild>
                                            <w:div w:id="502162774">
                                              <w:marLeft w:val="0"/>
                                              <w:marRight w:val="0"/>
                                              <w:marTop w:val="0"/>
                                              <w:marBottom w:val="0"/>
                                              <w:divBdr>
                                                <w:top w:val="single" w:sz="2" w:space="0" w:color="E3E3E3"/>
                                                <w:left w:val="single" w:sz="2" w:space="0" w:color="E3E3E3"/>
                                                <w:bottom w:val="single" w:sz="2" w:space="0" w:color="E3E3E3"/>
                                                <w:right w:val="single" w:sz="2" w:space="0" w:color="E3E3E3"/>
                                              </w:divBdr>
                                              <w:divsChild>
                                                <w:div w:id="20254682">
                                                  <w:marLeft w:val="0"/>
                                                  <w:marRight w:val="0"/>
                                                  <w:marTop w:val="0"/>
                                                  <w:marBottom w:val="0"/>
                                                  <w:divBdr>
                                                    <w:top w:val="single" w:sz="2" w:space="0" w:color="E3E3E3"/>
                                                    <w:left w:val="single" w:sz="2" w:space="0" w:color="E3E3E3"/>
                                                    <w:bottom w:val="single" w:sz="2" w:space="0" w:color="E3E3E3"/>
                                                    <w:right w:val="single" w:sz="2" w:space="0" w:color="E3E3E3"/>
                                                  </w:divBdr>
                                                  <w:divsChild>
                                                    <w:div w:id="1188103528">
                                                      <w:marLeft w:val="0"/>
                                                      <w:marRight w:val="0"/>
                                                      <w:marTop w:val="0"/>
                                                      <w:marBottom w:val="0"/>
                                                      <w:divBdr>
                                                        <w:top w:val="single" w:sz="2" w:space="0" w:color="E3E3E3"/>
                                                        <w:left w:val="single" w:sz="2" w:space="0" w:color="E3E3E3"/>
                                                        <w:bottom w:val="single" w:sz="2" w:space="0" w:color="E3E3E3"/>
                                                        <w:right w:val="single" w:sz="2" w:space="0" w:color="E3E3E3"/>
                                                      </w:divBdr>
                                                      <w:divsChild>
                                                        <w:div w:id="21160527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93511225">
          <w:marLeft w:val="0"/>
          <w:marRight w:val="0"/>
          <w:marTop w:val="0"/>
          <w:marBottom w:val="0"/>
          <w:divBdr>
            <w:top w:val="none" w:sz="0" w:space="0" w:color="auto"/>
            <w:left w:val="none" w:sz="0" w:space="0" w:color="auto"/>
            <w:bottom w:val="none" w:sz="0" w:space="0" w:color="auto"/>
            <w:right w:val="none" w:sz="0" w:space="0" w:color="auto"/>
          </w:divBdr>
        </w:div>
      </w:divsChild>
    </w:div>
    <w:div w:id="1831552744">
      <w:bodyDiv w:val="1"/>
      <w:marLeft w:val="0"/>
      <w:marRight w:val="0"/>
      <w:marTop w:val="0"/>
      <w:marBottom w:val="0"/>
      <w:divBdr>
        <w:top w:val="none" w:sz="0" w:space="0" w:color="auto"/>
        <w:left w:val="none" w:sz="0" w:space="0" w:color="auto"/>
        <w:bottom w:val="none" w:sz="0" w:space="0" w:color="auto"/>
        <w:right w:val="none" w:sz="0" w:space="0" w:color="auto"/>
      </w:divBdr>
    </w:div>
    <w:div w:id="2025404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Pages>
  <Words>1520</Words>
  <Characters>8820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254792976070</dc:creator>
  <cp:keywords/>
  <dc:description/>
  <cp:lastModifiedBy>GOGU</cp:lastModifiedBy>
  <cp:revision>8</cp:revision>
  <dcterms:created xsi:type="dcterms:W3CDTF">2024-04-19T05:06:00Z</dcterms:created>
  <dcterms:modified xsi:type="dcterms:W3CDTF">2024-04-24T19:40:00Z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0e21d03b-0cee-4f58-95cf-b9873a94feef</vt:lpwstr>
  </property>
</Properties>
</file>