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F76379" w14:textId="246AE532" w:rsidR="00DA29AF" w:rsidRDefault="00F178B7" w:rsidP="00F178B7">
      <w:pPr>
        <w:jc w:val="right"/>
        <w:rPr>
          <w:u w:val="single"/>
        </w:rPr>
      </w:pPr>
      <w:r>
        <w:rPr>
          <w:u w:val="single"/>
        </w:rPr>
        <w:t xml:space="preserve">Laura Evans 1400299. </w:t>
      </w:r>
    </w:p>
    <w:p w14:paraId="33E76CD5" w14:textId="00720B93" w:rsidR="00F178B7" w:rsidRDefault="00F178B7" w:rsidP="00F178B7">
      <w:pPr>
        <w:jc w:val="right"/>
        <w:rPr>
          <w:u w:val="single"/>
        </w:rPr>
      </w:pPr>
      <w:r>
        <w:rPr>
          <w:u w:val="single"/>
        </w:rPr>
        <w:t xml:space="preserve">HPAH6058. </w:t>
      </w:r>
    </w:p>
    <w:p w14:paraId="3232C39F" w14:textId="4D146972" w:rsidR="00F178B7" w:rsidRDefault="00F178B7" w:rsidP="00F178B7">
      <w:pPr>
        <w:jc w:val="right"/>
        <w:rPr>
          <w:u w:val="single"/>
        </w:rPr>
      </w:pPr>
      <w:r>
        <w:rPr>
          <w:u w:val="single"/>
        </w:rPr>
        <w:t xml:space="preserve">Assignment 2. </w:t>
      </w:r>
    </w:p>
    <w:p w14:paraId="231E2A82" w14:textId="57518CE0" w:rsidR="00F178B7" w:rsidRDefault="00F178B7" w:rsidP="00F178B7">
      <w:pPr>
        <w:jc w:val="right"/>
      </w:pPr>
    </w:p>
    <w:p w14:paraId="1BFD9E0E" w14:textId="56021548" w:rsidR="002F0EBE" w:rsidRDefault="004D3873">
      <w:r>
        <w:t xml:space="preserve">This essay will be analysing </w:t>
      </w:r>
      <w:r w:rsidR="007D1691">
        <w:t>lines 51 to 95</w:t>
      </w:r>
      <w:r>
        <w:t xml:space="preserve"> of the </w:t>
      </w:r>
      <w:r>
        <w:rPr>
          <w:i/>
          <w:iCs/>
        </w:rPr>
        <w:t xml:space="preserve">Deidamia </w:t>
      </w:r>
      <w:proofErr w:type="spellStart"/>
      <w:r>
        <w:rPr>
          <w:i/>
          <w:iCs/>
        </w:rPr>
        <w:t>Achilli</w:t>
      </w:r>
      <w:proofErr w:type="spellEnd"/>
      <w:r>
        <w:t>, written in the eleventh century by an anonymous author and is a letter from Deidamia to her husband Achilles.</w:t>
      </w:r>
      <w:r>
        <w:rPr>
          <w:rStyle w:val="FootnoteReference"/>
        </w:rPr>
        <w:footnoteReference w:id="1"/>
      </w:r>
      <w:r w:rsidR="00DF4C32">
        <w:t xml:space="preserve"> </w:t>
      </w:r>
      <w:r w:rsidR="00CE572D">
        <w:t xml:space="preserve">Following in the tradition of Ovid’s </w:t>
      </w:r>
      <w:proofErr w:type="spellStart"/>
      <w:r w:rsidR="00CE572D">
        <w:rPr>
          <w:i/>
          <w:iCs/>
        </w:rPr>
        <w:t>Heroides</w:t>
      </w:r>
      <w:proofErr w:type="spellEnd"/>
      <w:r w:rsidR="00CE572D">
        <w:t>, Deidamia writes a letter to her beloved Achilles after hearing rumour that he has a new woman, Briseis, and is pleading with him to abandon her and return home. Ovid’s work is interesting as he choses character that are often in the background and are silent on matters.</w:t>
      </w:r>
      <w:r w:rsidR="00CE572D">
        <w:rPr>
          <w:rStyle w:val="FootnoteReference"/>
        </w:rPr>
        <w:footnoteReference w:id="2"/>
      </w:r>
      <w:r w:rsidR="00DF7735">
        <w:t xml:space="preserve"> By giving voices to characters neglected by the classical authors, the author is able to explore a narrative effected by hindsight, irony and dramatic tension that the reader will have prior knowledge of. Medieval readers would have also had prior knowledge as they had access to various classical myths and stories.</w:t>
      </w:r>
      <w:r w:rsidR="00DF7735">
        <w:rPr>
          <w:rStyle w:val="FootnoteReference"/>
        </w:rPr>
        <w:footnoteReference w:id="3"/>
      </w:r>
      <w:r w:rsidR="00DF7735">
        <w:t xml:space="preserve"> The author </w:t>
      </w:r>
      <w:r w:rsidR="002F0EBE">
        <w:t xml:space="preserve">draws inspiration from two of the most popular sources in the Middle Ages, Ovid’s </w:t>
      </w:r>
      <w:proofErr w:type="spellStart"/>
      <w:r w:rsidR="002F0EBE">
        <w:rPr>
          <w:i/>
          <w:iCs/>
        </w:rPr>
        <w:t>Heroides</w:t>
      </w:r>
      <w:proofErr w:type="spellEnd"/>
      <w:r w:rsidR="002F0EBE">
        <w:rPr>
          <w:i/>
          <w:iCs/>
        </w:rPr>
        <w:t xml:space="preserve"> </w:t>
      </w:r>
      <w:r w:rsidR="002F0EBE">
        <w:t xml:space="preserve">and Statius’ </w:t>
      </w:r>
      <w:proofErr w:type="spellStart"/>
      <w:r w:rsidR="002F0EBE">
        <w:rPr>
          <w:i/>
          <w:iCs/>
        </w:rPr>
        <w:t>Achilleid</w:t>
      </w:r>
      <w:proofErr w:type="spellEnd"/>
      <w:r w:rsidR="002F0EBE">
        <w:t>.</w:t>
      </w:r>
      <w:r w:rsidR="002F0EBE">
        <w:rPr>
          <w:rStyle w:val="FootnoteReference"/>
        </w:rPr>
        <w:footnoteReference w:id="4"/>
      </w:r>
      <w:r w:rsidR="002F0EBE">
        <w:t xml:space="preserve"> </w:t>
      </w:r>
    </w:p>
    <w:p w14:paraId="5300FEA6" w14:textId="77777777" w:rsidR="00094C43" w:rsidRDefault="002F0EBE">
      <w:r>
        <w:tab/>
      </w:r>
      <w:r w:rsidR="005F0529">
        <w:t>In lines 51-52 Deidamia questions Achilles faith whilst referring to Achilles as her ‘bull’, “But if your faith were true, you would have a tractable heart, nor would a foreign cow seize my bull”.</w:t>
      </w:r>
      <w:r w:rsidR="005F0529">
        <w:rPr>
          <w:rStyle w:val="FootnoteReference"/>
        </w:rPr>
        <w:footnoteReference w:id="5"/>
      </w:r>
      <w:r w:rsidR="009120DC">
        <w:t xml:space="preserve"> The author may be playing on the simile used in the </w:t>
      </w:r>
      <w:proofErr w:type="spellStart"/>
      <w:r w:rsidR="009120DC">
        <w:rPr>
          <w:i/>
          <w:iCs/>
        </w:rPr>
        <w:t>Achillied</w:t>
      </w:r>
      <w:proofErr w:type="spellEnd"/>
      <w:r w:rsidR="009120DC">
        <w:rPr>
          <w:i/>
          <w:iCs/>
        </w:rPr>
        <w:t xml:space="preserve"> </w:t>
      </w:r>
      <w:r w:rsidR="009120DC">
        <w:t>describing Achilles reaction to meeting Deidamia for the first time. “As when he will soon be the father and the leader of the herd, whose horns have not yet come full circle, perceives the comrade of his pasture, a heifer of snowy whiteness, his spirit takes fire, and he foams at the mouth with his first passion; the herdsmen, glad at heart, watch him and obstruct him”.</w:t>
      </w:r>
      <w:r w:rsidR="009120DC">
        <w:rPr>
          <w:rStyle w:val="FootnoteReference"/>
        </w:rPr>
        <w:footnoteReference w:id="6"/>
      </w:r>
      <w:r w:rsidR="009120DC">
        <w:t xml:space="preserve"> This could give the reader a sense of history repeating itself as both women in Achilles life have been associated with cow imagery. </w:t>
      </w:r>
      <w:r w:rsidR="00094C43">
        <w:t xml:space="preserve">It is also interesting that Deidamia does not only change the word from heifer to cow but also refers to Briseis as a ‘foreign cow’, drawing attention to the notion that Briseis is not ‘from their herd’ so to speak. </w:t>
      </w:r>
    </w:p>
    <w:p w14:paraId="2C3508A9" w14:textId="77777777" w:rsidR="00FD05FD" w:rsidRDefault="00094C43">
      <w:r>
        <w:tab/>
        <w:t xml:space="preserve">Deidamia </w:t>
      </w:r>
      <w:r w:rsidR="00DD0808">
        <w:t xml:space="preserve">plays on imagery </w:t>
      </w:r>
      <w:r>
        <w:t xml:space="preserve">relating </w:t>
      </w:r>
      <w:r w:rsidR="00DD0808">
        <w:t xml:space="preserve">to </w:t>
      </w:r>
      <w:r>
        <w:t>ships and the sea, such as the lines 53-54, “and favouring winds have deserted me and in the middle of the seas shipwrecked sails drink”.</w:t>
      </w:r>
      <w:r w:rsidR="00DD0808">
        <w:rPr>
          <w:rStyle w:val="FootnoteReference"/>
        </w:rPr>
        <w:footnoteReference w:id="7"/>
      </w:r>
      <w:r w:rsidR="00DD0808">
        <w:t xml:space="preserve"> This could be interpreted as the sea representing fate and how fickle it is. The use of the word ‘favouring’ suggests that Deidamia believed that the gods were on her side and have suddenly deserted her along with her husband. This is further reinforced by Deidamia when she states that Achilles is also as fickle, “O, descendant of </w:t>
      </w:r>
      <w:proofErr w:type="spellStart"/>
      <w:r w:rsidR="00DD0808">
        <w:t>Aeacus</w:t>
      </w:r>
      <w:proofErr w:type="spellEnd"/>
      <w:r w:rsidR="00DD0808">
        <w:t>, you are far lighter than a falling leaf, lighter than the wind and the swelling sea”.</w:t>
      </w:r>
      <w:r w:rsidR="00DD0808">
        <w:rPr>
          <w:rStyle w:val="FootnoteReference"/>
        </w:rPr>
        <w:footnoteReference w:id="8"/>
      </w:r>
      <w:r w:rsidR="00DD0808">
        <w:t xml:space="preserve"> </w:t>
      </w:r>
      <w:r w:rsidR="003F5CEB">
        <w:t>Hagedorn points out that Statius associates the wind with a fickle lover, giving the reader a deeper understanding of the imagery.</w:t>
      </w:r>
      <w:r w:rsidR="003F5CEB">
        <w:rPr>
          <w:rStyle w:val="FootnoteReference"/>
        </w:rPr>
        <w:footnoteReference w:id="9"/>
      </w:r>
      <w:r w:rsidR="00731403">
        <w:t xml:space="preserve"> The wind and sea imager is used again in line 62.</w:t>
      </w:r>
      <w:r w:rsidR="00731403">
        <w:rPr>
          <w:rStyle w:val="FootnoteReference"/>
        </w:rPr>
        <w:footnoteReference w:id="10"/>
      </w:r>
      <w:r w:rsidR="00AE3382">
        <w:t xml:space="preserve"> </w:t>
      </w:r>
      <w:r w:rsidR="00731403">
        <w:lastRenderedPageBreak/>
        <w:t>Certain lines allow us to place the letter in the timeline of the Iliad</w:t>
      </w:r>
      <w:r w:rsidR="00AE3382">
        <w:rPr>
          <w:rStyle w:val="FootnoteReference"/>
        </w:rPr>
        <w:footnoteReference w:id="11"/>
      </w:r>
      <w:r w:rsidR="00731403">
        <w:t>, stating in line 65 that Deidamia has learnt of Briseis through a rumour and that Briseis has caused conflict between Achilles and Agamemnon.</w:t>
      </w:r>
      <w:r w:rsidR="00731403">
        <w:rPr>
          <w:rStyle w:val="FootnoteReference"/>
        </w:rPr>
        <w:footnoteReference w:id="12"/>
      </w:r>
      <w:r w:rsidR="00731403">
        <w:t xml:space="preserve"> </w:t>
      </w:r>
      <w:r w:rsidR="00FD05FD">
        <w:t xml:space="preserve">Establishing the time line of these events and the timing of the letter, the audience is aware of the unfortunate events that are still to come and how Deidamia’s fears over Achilles infidelity seem insignificant in the grand scheme of the story. </w:t>
      </w:r>
      <w:proofErr w:type="spellStart"/>
      <w:r w:rsidR="00FD05FD">
        <w:t>Barchiesi</w:t>
      </w:r>
      <w:proofErr w:type="spellEnd"/>
      <w:r w:rsidR="00FD05FD">
        <w:t xml:space="preserve"> explores this aspect of the letters, “Each letter is meant to occur at a precise temporal intersection, a ‘pregnant moment’ taking its place in a narrative continuum guaranteed by the recall of known models, of literary and (more generally) mythological texts”.</w:t>
      </w:r>
      <w:r w:rsidR="00FD05FD">
        <w:rPr>
          <w:rStyle w:val="FootnoteReference"/>
        </w:rPr>
        <w:footnoteReference w:id="13"/>
      </w:r>
      <w:r w:rsidR="00FD05FD">
        <w:t xml:space="preserve"> </w:t>
      </w:r>
    </w:p>
    <w:p w14:paraId="10C40DF2" w14:textId="77777777" w:rsidR="00637520" w:rsidRDefault="00FD05FD">
      <w:r>
        <w:tab/>
        <w:t xml:space="preserve">Deidamia plays with the roles associated with Achilles and Briseis </w:t>
      </w:r>
      <w:proofErr w:type="gramStart"/>
      <w:r>
        <w:t>in an attempt to</w:t>
      </w:r>
      <w:proofErr w:type="gramEnd"/>
      <w:r>
        <w:t xml:space="preserve"> dissuade him from continuing their affair. “Saying that you, the master, have submitted to your slave”,</w:t>
      </w:r>
      <w:r>
        <w:rPr>
          <w:rStyle w:val="FootnoteReference"/>
        </w:rPr>
        <w:footnoteReference w:id="14"/>
      </w:r>
      <w:r>
        <w:t xml:space="preserve"> Deidamia is trying to manipulate Achilles by </w:t>
      </w:r>
      <w:r w:rsidR="00A760F9">
        <w:t>suggesting that everyone is talking about his submissiveness. This is reinforced by the line, “you are said to have been captured by your maidservant”.</w:t>
      </w:r>
      <w:r w:rsidR="00A760F9">
        <w:rPr>
          <w:rStyle w:val="FootnoteReference"/>
        </w:rPr>
        <w:footnoteReference w:id="15"/>
      </w:r>
      <w:r w:rsidR="00A760F9">
        <w:t xml:space="preserve"> By repeating the words ‘said’ or ‘saying’ she is suggesting that the rumours are not just about the affair but that Achilles is being mocked, he is the slave in this instance. Briseis is making a disgrace of Achilles.</w:t>
      </w:r>
      <w:r w:rsidR="00A760F9">
        <w:rPr>
          <w:rStyle w:val="FootnoteReference"/>
        </w:rPr>
        <w:footnoteReference w:id="16"/>
      </w:r>
      <w:r w:rsidR="00A760F9">
        <w:t xml:space="preserve"> By switching the roles between Achilles and Briseis, Deidamia is appealing to his sense of pride as a warrior and not just as her husband. She explicitly accuses him of being conquered and that Briseis is destroying his reputation, “The slave girl Briseis tarnishes the distinctions of Achilles and a mistress conquers the conqueror of Phrygian men”.</w:t>
      </w:r>
      <w:r w:rsidR="00A760F9">
        <w:rPr>
          <w:rStyle w:val="FootnoteReference"/>
        </w:rPr>
        <w:footnoteReference w:id="17"/>
      </w:r>
      <w:r w:rsidR="00262990">
        <w:t xml:space="preserve"> Deidamia repeats this imager in line</w:t>
      </w:r>
      <w:r w:rsidR="006E2AA5">
        <w:t xml:space="preserve"> 81, “You, more of a captive, now enjoy a captive mistress”.</w:t>
      </w:r>
      <w:r w:rsidR="006E2AA5">
        <w:rPr>
          <w:rStyle w:val="FootnoteReference"/>
        </w:rPr>
        <w:footnoteReference w:id="18"/>
      </w:r>
      <w:r w:rsidR="006E2AA5">
        <w:t xml:space="preserve"> However, her accusations and insults add to the irony of the situation as she is unaware of the fact that she will never see Achilles again.</w:t>
      </w:r>
      <w:r w:rsidR="006E2AA5">
        <w:rPr>
          <w:rStyle w:val="FootnoteReference"/>
        </w:rPr>
        <w:footnoteReference w:id="19"/>
      </w:r>
      <w:r w:rsidR="006E2AA5">
        <w:t xml:space="preserve"> The line, “and Deidamia lies in a widowed bed”,</w:t>
      </w:r>
      <w:r w:rsidR="006E2AA5">
        <w:rPr>
          <w:rStyle w:val="FootnoteReference"/>
        </w:rPr>
        <w:footnoteReference w:id="20"/>
      </w:r>
      <w:r w:rsidR="006E2AA5">
        <w:t xml:space="preserve"> foreshadows the events to come that are known to the reader.</w:t>
      </w:r>
      <w:r w:rsidR="006E2AA5">
        <w:rPr>
          <w:rStyle w:val="FootnoteReference"/>
        </w:rPr>
        <w:footnoteReference w:id="21"/>
      </w:r>
      <w:r w:rsidR="006E2AA5">
        <w:t xml:space="preserve"> Had Achilles remembered his promise to Deidamia, “I swear to you by yourself, be joined to me only, I ask, may I be joined to you Deidamia, only!”</w:t>
      </w:r>
      <w:r w:rsidR="00637520">
        <w:t>,</w:t>
      </w:r>
      <w:r w:rsidR="00637520">
        <w:rPr>
          <w:rStyle w:val="FootnoteReference"/>
        </w:rPr>
        <w:footnoteReference w:id="22"/>
      </w:r>
      <w:r w:rsidR="00637520">
        <w:t xml:space="preserve"> and returned to Deidamia he would still be alive and would be able to raise his son. </w:t>
      </w:r>
    </w:p>
    <w:p w14:paraId="22C8001E" w14:textId="77777777" w:rsidR="00DA0056" w:rsidRDefault="00637520">
      <w:r>
        <w:tab/>
      </w:r>
      <w:r w:rsidR="00516401">
        <w:t>Deidamia is desperate to emphasis her position as the legitimate wife but makes no little to no reference to their history.</w:t>
      </w:r>
      <w:r w:rsidR="00516401">
        <w:rPr>
          <w:rStyle w:val="FootnoteReference"/>
        </w:rPr>
        <w:footnoteReference w:id="23"/>
      </w:r>
      <w:r w:rsidR="00FA006B">
        <w:t xml:space="preserve"> The author would have been aware of the audiences’ knowledge of their union through the </w:t>
      </w:r>
      <w:proofErr w:type="spellStart"/>
      <w:r w:rsidR="00FA006B">
        <w:rPr>
          <w:i/>
          <w:iCs/>
        </w:rPr>
        <w:t>Achilleid</w:t>
      </w:r>
      <w:proofErr w:type="spellEnd"/>
      <w:r w:rsidR="00FA006B">
        <w:t xml:space="preserve">, </w:t>
      </w:r>
      <w:r w:rsidR="008D1853">
        <w:t>Deidamia’s role as wife is short lived as she was his mistress until Achilles is forced to reveal himself and marry her the night before he leaves.</w:t>
      </w:r>
      <w:r w:rsidR="008D1853">
        <w:rPr>
          <w:rStyle w:val="FootnoteReference"/>
        </w:rPr>
        <w:footnoteReference w:id="24"/>
      </w:r>
      <w:r w:rsidR="008D1853">
        <w:t xml:space="preserve"> The conflicting roles presented by Deidamia and Achilles relationship create an interesting contrast between Briseis and Deidamia. Deidamia does not explicitly recount the way Achilles consummated their relationship</w:t>
      </w:r>
      <w:r w:rsidR="00DA0056">
        <w:t>.</w:t>
      </w:r>
      <w:r w:rsidR="008D1853">
        <w:t xml:space="preserve"> </w:t>
      </w:r>
      <w:r w:rsidR="00DA0056">
        <w:t>T</w:t>
      </w:r>
      <w:r w:rsidR="008D1853">
        <w:t>he fact that Achilles forced himself on Deidamia and that Briseis is being forced to be a slave</w:t>
      </w:r>
      <w:r w:rsidR="00DA0056">
        <w:t xml:space="preserve">, being taken from Achilles by Agamemnon, could be perceived as a common factor between the two. Both are initially forced to share their bed with Achilles and then eventually both come to love him. </w:t>
      </w:r>
    </w:p>
    <w:p w14:paraId="2DBD4375" w14:textId="4A8DCF33" w:rsidR="00F178B7" w:rsidRPr="004D3873" w:rsidRDefault="00DA0056">
      <w:r>
        <w:lastRenderedPageBreak/>
        <w:tab/>
        <w:t xml:space="preserve">The conflicting theme of marriage and virtue did not go unnoticed by its medieval audience. A twelfth century commentator writes </w:t>
      </w:r>
      <w:proofErr w:type="gramStart"/>
      <w:r>
        <w:t>in regards to</w:t>
      </w:r>
      <w:proofErr w:type="gramEnd"/>
      <w:r>
        <w:t xml:space="preserve"> the </w:t>
      </w:r>
      <w:proofErr w:type="spellStart"/>
      <w:r>
        <w:rPr>
          <w:i/>
          <w:iCs/>
        </w:rPr>
        <w:t>Heroides</w:t>
      </w:r>
      <w:proofErr w:type="spellEnd"/>
      <w:r>
        <w:t>: “His intentions is to commend legitimate marriage or love, namely legitimate love, illicit love, and foolish love”.</w:t>
      </w:r>
      <w:r>
        <w:rPr>
          <w:rStyle w:val="FootnoteReference"/>
        </w:rPr>
        <w:footnoteReference w:id="25"/>
      </w:r>
      <w:r w:rsidR="005B2B76">
        <w:t xml:space="preserve"> </w:t>
      </w:r>
      <w:proofErr w:type="spellStart"/>
      <w:r w:rsidR="005B2B76">
        <w:t>Hexter</w:t>
      </w:r>
      <w:proofErr w:type="spellEnd"/>
      <w:r w:rsidR="005B2B76">
        <w:t xml:space="preserve"> inquires about the lifestyle of the audience, suggesting that readers of commentaries were more than likely clerics or were ordained and therefore would be celibate.</w:t>
      </w:r>
      <w:r w:rsidR="005B2B76">
        <w:rPr>
          <w:rStyle w:val="FootnoteReference"/>
        </w:rPr>
        <w:footnoteReference w:id="26"/>
      </w:r>
      <w:r w:rsidR="005B2B76">
        <w:t xml:space="preserve"> </w:t>
      </w:r>
      <w:r w:rsidR="000B0D73">
        <w:t>With this in mind, the lines 83 to 86 are interesting as they call upon God three times, “And we believe that mortal matters are of concern to God, since God quietly sees wicked deeds. O God and whatever powers favoured the wretched, no one keeps faith, no one loves day by day!”</w:t>
      </w:r>
      <w:r w:rsidR="000B0D73">
        <w:rPr>
          <w:rStyle w:val="FootnoteReference"/>
        </w:rPr>
        <w:footnoteReference w:id="27"/>
      </w:r>
      <w:r w:rsidR="000B0D73">
        <w:t xml:space="preserve"> It can be interpreted that the author using the voice of Deidamia to warn its Christian authors of the punishments that await those that aren’t celibate. It is implied that when Achilles decides to seek revenge against Hector his fate is sealed, however, </w:t>
      </w:r>
      <w:r w:rsidR="00BA1627">
        <w:t xml:space="preserve">it could be suggested that Briseis is the catalyst for future events. Had Achilles not taken her as his captive then the events leading to Patroclus death would have been different, he would not have gone in search for revenge or sated his lust with a ‘slave girl’ and would have fulfilled his promise to his wife Deidamia. “God quietly sees wicked deeds” suggests that Achilles death may have been willed by God and therefore a warning to others. </w:t>
      </w:r>
      <w:proofErr w:type="spellStart"/>
      <w:r w:rsidR="005B2B76">
        <w:rPr>
          <w:i/>
          <w:iCs/>
        </w:rPr>
        <w:t>Heroides</w:t>
      </w:r>
      <w:proofErr w:type="spellEnd"/>
      <w:r w:rsidR="005B2B76">
        <w:rPr>
          <w:i/>
          <w:iCs/>
        </w:rPr>
        <w:t xml:space="preserve"> </w:t>
      </w:r>
      <w:r w:rsidR="005B2B76">
        <w:t xml:space="preserve">3 is used as a reference in </w:t>
      </w:r>
      <w:r w:rsidR="005B2B76">
        <w:rPr>
          <w:i/>
          <w:iCs/>
        </w:rPr>
        <w:t xml:space="preserve">Deidamia </w:t>
      </w:r>
      <w:proofErr w:type="spellStart"/>
      <w:r w:rsidR="005B2B76">
        <w:rPr>
          <w:i/>
          <w:iCs/>
        </w:rPr>
        <w:t>Achilli</w:t>
      </w:r>
      <w:proofErr w:type="spellEnd"/>
      <w:r w:rsidR="005B2B76">
        <w:t xml:space="preserve"> as one of the themes is based around the ambiguous definition of </w:t>
      </w:r>
      <w:r w:rsidR="005B2B76">
        <w:rPr>
          <w:i/>
          <w:iCs/>
        </w:rPr>
        <w:t>uxor/</w:t>
      </w:r>
      <w:proofErr w:type="spellStart"/>
      <w:r w:rsidR="005B2B76">
        <w:rPr>
          <w:i/>
          <w:iCs/>
        </w:rPr>
        <w:t>nupta</w:t>
      </w:r>
      <w:proofErr w:type="spellEnd"/>
      <w:r w:rsidR="005B2B76">
        <w:rPr>
          <w:i/>
          <w:iCs/>
        </w:rPr>
        <w:t xml:space="preserve"> </w:t>
      </w:r>
      <w:r w:rsidR="005B2B76">
        <w:t xml:space="preserve">(wife/bride) and </w:t>
      </w:r>
      <w:proofErr w:type="spellStart"/>
      <w:r w:rsidR="005B2B76">
        <w:rPr>
          <w:i/>
          <w:iCs/>
        </w:rPr>
        <w:t>amica</w:t>
      </w:r>
      <w:proofErr w:type="spellEnd"/>
      <w:r w:rsidR="005B2B76">
        <w:rPr>
          <w:i/>
          <w:iCs/>
        </w:rPr>
        <w:t xml:space="preserve"> </w:t>
      </w:r>
      <w:r w:rsidR="005B2B76">
        <w:t>(girlfriend).</w:t>
      </w:r>
      <w:r w:rsidR="005B2B76">
        <w:rPr>
          <w:rStyle w:val="FootnoteReference"/>
        </w:rPr>
        <w:footnoteReference w:id="28"/>
      </w:r>
      <w:r w:rsidR="005B2B76">
        <w:t xml:space="preserve"> </w:t>
      </w:r>
      <w:r w:rsidR="00A36FDB">
        <w:t>Deidamia aims to solidify her relationship and claim to Achilles by stating that her role as wife and mother to his child is superior to her status as mistress, however the lines 93 to 94 give a sense of an underlying anxiety, “Certainly Briseis is not a goddess, brave Achilles, shake your neck free from the shameful yoke!”.</w:t>
      </w:r>
      <w:r w:rsidR="00A36FDB">
        <w:rPr>
          <w:rStyle w:val="FootnoteReference"/>
        </w:rPr>
        <w:footnoteReference w:id="29"/>
      </w:r>
      <w:r w:rsidR="00A36FDB">
        <w:t xml:space="preserve"> She has appealed to his sense of pride, his dignity and his prowess as a warrior but it can be suggested that her attempts are futile as their fates are fixed and no wise words would change the outcome. </w:t>
      </w:r>
      <w:bookmarkStart w:id="0" w:name="_GoBack"/>
      <w:bookmarkEnd w:id="0"/>
      <w:r w:rsidR="00F178B7">
        <w:rPr>
          <w:b/>
          <w:bCs/>
        </w:rPr>
        <w:br w:type="page"/>
      </w:r>
    </w:p>
    <w:p w14:paraId="25A3D41B" w14:textId="50D1A855" w:rsidR="00F178B7" w:rsidRDefault="00F178B7" w:rsidP="00F178B7">
      <w:bookmarkStart w:id="1" w:name="_Hlk30443752"/>
      <w:r>
        <w:rPr>
          <w:b/>
          <w:bCs/>
        </w:rPr>
        <w:lastRenderedPageBreak/>
        <w:t xml:space="preserve">Bibliography. </w:t>
      </w:r>
    </w:p>
    <w:p w14:paraId="6A786C88" w14:textId="69168DB4" w:rsidR="00F178B7" w:rsidRDefault="00F178B7" w:rsidP="00F178B7">
      <w:r>
        <w:rPr>
          <w:u w:val="single"/>
        </w:rPr>
        <w:t xml:space="preserve">Primary Sources. </w:t>
      </w:r>
    </w:p>
    <w:p w14:paraId="4660197B" w14:textId="4D9942E2" w:rsidR="00D346E0" w:rsidRDefault="00D346E0" w:rsidP="00F178B7">
      <w:pPr>
        <w:pStyle w:val="ListParagraph"/>
        <w:numPr>
          <w:ilvl w:val="0"/>
          <w:numId w:val="2"/>
        </w:numPr>
      </w:pPr>
      <w:r w:rsidRPr="009120DC">
        <w:rPr>
          <w:i/>
          <w:iCs/>
        </w:rPr>
        <w:t>Deidami</w:t>
      </w:r>
      <w:r w:rsidR="009120DC" w:rsidRPr="009120DC">
        <w:rPr>
          <w:i/>
          <w:iCs/>
        </w:rPr>
        <w:t>a</w:t>
      </w:r>
      <w:r w:rsidRPr="009120DC">
        <w:rPr>
          <w:i/>
          <w:iCs/>
        </w:rPr>
        <w:t xml:space="preserve"> </w:t>
      </w:r>
      <w:proofErr w:type="spellStart"/>
      <w:r w:rsidRPr="009120DC">
        <w:rPr>
          <w:i/>
          <w:iCs/>
        </w:rPr>
        <w:t>Achilli</w:t>
      </w:r>
      <w:proofErr w:type="spellEnd"/>
      <w:r>
        <w:t xml:space="preserve">. (Translation taken from ‘The </w:t>
      </w:r>
      <w:r>
        <w:rPr>
          <w:i/>
          <w:iCs/>
        </w:rPr>
        <w:t xml:space="preserve">Deidamia </w:t>
      </w:r>
      <w:proofErr w:type="spellStart"/>
      <w:r>
        <w:rPr>
          <w:i/>
          <w:iCs/>
        </w:rPr>
        <w:t>Achilli</w:t>
      </w:r>
      <w:proofErr w:type="spellEnd"/>
      <w:r>
        <w:rPr>
          <w:i/>
          <w:iCs/>
        </w:rPr>
        <w:t xml:space="preserve">: </w:t>
      </w:r>
      <w:r>
        <w:t xml:space="preserve">An Eleventh Century </w:t>
      </w:r>
      <w:proofErr w:type="spellStart"/>
      <w:r>
        <w:t>Statian</w:t>
      </w:r>
      <w:proofErr w:type="spellEnd"/>
      <w:r>
        <w:t xml:space="preserve">-Ovidian </w:t>
      </w:r>
      <w:proofErr w:type="spellStart"/>
      <w:r>
        <w:t>Epsitle</w:t>
      </w:r>
      <w:proofErr w:type="spellEnd"/>
      <w:r>
        <w:t>’).</w:t>
      </w:r>
    </w:p>
    <w:p w14:paraId="214716A6" w14:textId="31EC03F2" w:rsidR="00F178B7" w:rsidRDefault="00EB0719" w:rsidP="00F178B7">
      <w:pPr>
        <w:pStyle w:val="ListParagraph"/>
        <w:numPr>
          <w:ilvl w:val="0"/>
          <w:numId w:val="2"/>
        </w:numPr>
      </w:pPr>
      <w:r>
        <w:t xml:space="preserve">Statius, P. </w:t>
      </w:r>
      <w:proofErr w:type="spellStart"/>
      <w:r>
        <w:t>Papinius</w:t>
      </w:r>
      <w:proofErr w:type="spellEnd"/>
      <w:r>
        <w:t xml:space="preserve"> &amp; Shackleton Bailey, </w:t>
      </w:r>
      <w:proofErr w:type="spellStart"/>
      <w:r>
        <w:rPr>
          <w:i/>
          <w:iCs/>
        </w:rPr>
        <w:t>Thebaid</w:t>
      </w:r>
      <w:proofErr w:type="spellEnd"/>
      <w:r>
        <w:rPr>
          <w:i/>
          <w:iCs/>
        </w:rPr>
        <w:t xml:space="preserve">, books VIII-XII; </w:t>
      </w:r>
      <w:proofErr w:type="spellStart"/>
      <w:r>
        <w:rPr>
          <w:i/>
          <w:iCs/>
        </w:rPr>
        <w:t>Achilleid</w:t>
      </w:r>
      <w:proofErr w:type="spellEnd"/>
      <w:r>
        <w:rPr>
          <w:i/>
          <w:iCs/>
        </w:rPr>
        <w:t xml:space="preserve">. </w:t>
      </w:r>
      <w:r>
        <w:t xml:space="preserve">(Harvard University Press, 2003). </w:t>
      </w:r>
    </w:p>
    <w:p w14:paraId="77E5DB9C" w14:textId="1D24CA41" w:rsidR="00EB0719" w:rsidRDefault="00D346E0" w:rsidP="00D346E0">
      <w:pPr>
        <w:pStyle w:val="ListParagraph"/>
        <w:numPr>
          <w:ilvl w:val="0"/>
          <w:numId w:val="2"/>
        </w:numPr>
      </w:pPr>
      <w:r>
        <w:t xml:space="preserve">Ovid. </w:t>
      </w:r>
      <w:proofErr w:type="spellStart"/>
      <w:r>
        <w:rPr>
          <w:i/>
          <w:iCs/>
        </w:rPr>
        <w:t>Heroides</w:t>
      </w:r>
      <w:proofErr w:type="spellEnd"/>
      <w:r>
        <w:rPr>
          <w:i/>
          <w:iCs/>
        </w:rPr>
        <w:t xml:space="preserve">, Amor. </w:t>
      </w:r>
      <w:r>
        <w:t>Trans. Grant Showerman</w:t>
      </w:r>
      <w:r w:rsidR="001B1A0B">
        <w:t xml:space="preserve">. Loeb Classical Library 41. Cambridge, MA: Harvard University Press, 1914. </w:t>
      </w:r>
    </w:p>
    <w:p w14:paraId="08C5C5A6" w14:textId="0E6F8A34" w:rsidR="00F178B7" w:rsidRDefault="00F178B7" w:rsidP="00F178B7">
      <w:r>
        <w:rPr>
          <w:u w:val="single"/>
        </w:rPr>
        <w:t xml:space="preserve">Secondary Sources. </w:t>
      </w:r>
    </w:p>
    <w:p w14:paraId="6DF39EB1" w14:textId="5A738960" w:rsidR="00DF05C6" w:rsidRDefault="00DF05C6" w:rsidP="00F178B7">
      <w:pPr>
        <w:pStyle w:val="ListParagraph"/>
        <w:numPr>
          <w:ilvl w:val="0"/>
          <w:numId w:val="2"/>
        </w:numPr>
      </w:pPr>
      <w:r>
        <w:t xml:space="preserve">Hagedorn, S. C. </w:t>
      </w:r>
      <w:r>
        <w:rPr>
          <w:i/>
          <w:iCs/>
        </w:rPr>
        <w:t xml:space="preserve">Abandoned Women: Rewriting the Classics in Dante, Boccaccio, &amp; Chaucer. </w:t>
      </w:r>
      <w:r>
        <w:t>(Michigan: University of Michigan, 2004).</w:t>
      </w:r>
    </w:p>
    <w:p w14:paraId="6815AF80" w14:textId="5AB2DF69" w:rsidR="00F178B7" w:rsidRDefault="00BD25A2" w:rsidP="00F178B7">
      <w:pPr>
        <w:pStyle w:val="ListParagraph"/>
        <w:numPr>
          <w:ilvl w:val="0"/>
          <w:numId w:val="2"/>
        </w:numPr>
      </w:pPr>
      <w:r>
        <w:t xml:space="preserve">Parkes, R. ‘The </w:t>
      </w:r>
      <w:r>
        <w:rPr>
          <w:i/>
          <w:iCs/>
        </w:rPr>
        <w:t xml:space="preserve">Deidamia </w:t>
      </w:r>
      <w:proofErr w:type="spellStart"/>
      <w:r>
        <w:rPr>
          <w:i/>
          <w:iCs/>
        </w:rPr>
        <w:t>Achilli</w:t>
      </w:r>
      <w:proofErr w:type="spellEnd"/>
      <w:r>
        <w:rPr>
          <w:i/>
          <w:iCs/>
        </w:rPr>
        <w:t xml:space="preserve">: </w:t>
      </w:r>
      <w:r>
        <w:t xml:space="preserve">An Eleventh Century </w:t>
      </w:r>
      <w:proofErr w:type="spellStart"/>
      <w:r>
        <w:t>Statian</w:t>
      </w:r>
      <w:proofErr w:type="spellEnd"/>
      <w:r>
        <w:t xml:space="preserve">-Ovidian Epistle’, </w:t>
      </w:r>
      <w:r>
        <w:rPr>
          <w:i/>
          <w:iCs/>
        </w:rPr>
        <w:t xml:space="preserve">International Journal of the Classical Tradition, </w:t>
      </w:r>
      <w:r>
        <w:t>18(1) (2011), pp. 19-35.</w:t>
      </w:r>
    </w:p>
    <w:p w14:paraId="1BD31049" w14:textId="487B0AB9" w:rsidR="00EA2478" w:rsidRPr="00F178B7" w:rsidRDefault="00E80D86" w:rsidP="00F178B7">
      <w:pPr>
        <w:pStyle w:val="ListParagraph"/>
        <w:numPr>
          <w:ilvl w:val="0"/>
          <w:numId w:val="2"/>
        </w:numPr>
      </w:pPr>
      <w:r>
        <w:rPr>
          <w:i/>
          <w:iCs/>
        </w:rPr>
        <w:t xml:space="preserve">The Cambridge Companion to Latin Love Elegy. </w:t>
      </w:r>
      <w:r>
        <w:t xml:space="preserve">Edited. Thea S. Thorsen, (Cambridge: Cambridge University Press, 2013). </w:t>
      </w:r>
      <w:bookmarkEnd w:id="1"/>
    </w:p>
    <w:sectPr w:rsidR="00EA2478" w:rsidRPr="00F178B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CBFD20" w14:textId="77777777" w:rsidR="005838FE" w:rsidRDefault="005838FE" w:rsidP="004D3873">
      <w:pPr>
        <w:spacing w:after="0" w:line="240" w:lineRule="auto"/>
      </w:pPr>
      <w:r>
        <w:separator/>
      </w:r>
    </w:p>
  </w:endnote>
  <w:endnote w:type="continuationSeparator" w:id="0">
    <w:p w14:paraId="4BB26675" w14:textId="77777777" w:rsidR="005838FE" w:rsidRDefault="005838FE" w:rsidP="004D3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92CCF6" w14:textId="77777777" w:rsidR="005838FE" w:rsidRDefault="005838FE" w:rsidP="004D3873">
      <w:pPr>
        <w:spacing w:after="0" w:line="240" w:lineRule="auto"/>
      </w:pPr>
      <w:r>
        <w:separator/>
      </w:r>
    </w:p>
  </w:footnote>
  <w:footnote w:type="continuationSeparator" w:id="0">
    <w:p w14:paraId="3BED5848" w14:textId="77777777" w:rsidR="005838FE" w:rsidRDefault="005838FE" w:rsidP="004D3873">
      <w:pPr>
        <w:spacing w:after="0" w:line="240" w:lineRule="auto"/>
      </w:pPr>
      <w:r>
        <w:continuationSeparator/>
      </w:r>
    </w:p>
  </w:footnote>
  <w:footnote w:id="1">
    <w:p w14:paraId="167B2EEE" w14:textId="0931C5C1" w:rsidR="005B2B76" w:rsidRPr="004D3873"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t xml:space="preserve">: An Eleventh Century </w:t>
      </w:r>
      <w:proofErr w:type="spellStart"/>
      <w:r>
        <w:t>Statian</w:t>
      </w:r>
      <w:proofErr w:type="spellEnd"/>
      <w:r>
        <w:t xml:space="preserve">-Ovidian Epistle’, </w:t>
      </w:r>
      <w:r>
        <w:rPr>
          <w:i/>
          <w:iCs/>
        </w:rPr>
        <w:t xml:space="preserve">International Journal of the Classical Tradition, </w:t>
      </w:r>
      <w:r>
        <w:t xml:space="preserve">18(1) (2011), 19-35 (p. 19). </w:t>
      </w:r>
    </w:p>
  </w:footnote>
  <w:footnote w:id="2">
    <w:p w14:paraId="51AD549B" w14:textId="31160DFA" w:rsidR="005B2B76" w:rsidRPr="00CE572D" w:rsidRDefault="005B2B76">
      <w:pPr>
        <w:pStyle w:val="FootnoteText"/>
      </w:pPr>
      <w:r>
        <w:rPr>
          <w:rStyle w:val="FootnoteReference"/>
        </w:rPr>
        <w:footnoteRef/>
      </w:r>
      <w:r>
        <w:t xml:space="preserve"> Suzanne C. Hagedorn, </w:t>
      </w:r>
      <w:r>
        <w:rPr>
          <w:i/>
          <w:iCs/>
        </w:rPr>
        <w:t xml:space="preserve">Abandoned Women: Rewriting the Classics in Dante, Boccaccio &amp; Chaucer. </w:t>
      </w:r>
      <w:r>
        <w:t xml:space="preserve">(Michigan: University of Michigan, 2004) p. 22. </w:t>
      </w:r>
    </w:p>
  </w:footnote>
  <w:footnote w:id="3">
    <w:p w14:paraId="709D3385" w14:textId="4A5784E0" w:rsidR="005B2B76" w:rsidRPr="00DF7735" w:rsidRDefault="005B2B76">
      <w:pPr>
        <w:pStyle w:val="FootnoteText"/>
      </w:pPr>
      <w:r>
        <w:rPr>
          <w:rStyle w:val="FootnoteReference"/>
        </w:rPr>
        <w:footnoteRef/>
      </w:r>
      <w:r>
        <w:t xml:space="preserve"> Hagedorn, </w:t>
      </w:r>
      <w:r>
        <w:rPr>
          <w:i/>
          <w:iCs/>
        </w:rPr>
        <w:t xml:space="preserve">Abandoned Women, </w:t>
      </w:r>
      <w:r>
        <w:t xml:space="preserve">p. 27. </w:t>
      </w:r>
    </w:p>
  </w:footnote>
  <w:footnote w:id="4">
    <w:p w14:paraId="112887F7" w14:textId="1012CEDA" w:rsidR="005B2B76" w:rsidRPr="002F0EBE"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t xml:space="preserve">’, p. 19. </w:t>
      </w:r>
    </w:p>
  </w:footnote>
  <w:footnote w:id="5">
    <w:p w14:paraId="1F59E054" w14:textId="42537F27" w:rsidR="005B2B76" w:rsidRPr="009120DC" w:rsidRDefault="005B2B76">
      <w:pPr>
        <w:pStyle w:val="FootnoteText"/>
      </w:pPr>
      <w:r>
        <w:rPr>
          <w:rStyle w:val="FootnoteReference"/>
        </w:rPr>
        <w:footnoteRef/>
      </w:r>
      <w:r>
        <w:t xml:space="preserve"> </w:t>
      </w:r>
      <w:r>
        <w:rPr>
          <w:i/>
          <w:iCs/>
        </w:rPr>
        <w:t xml:space="preserve">Deidamia </w:t>
      </w:r>
      <w:proofErr w:type="spellStart"/>
      <w:r>
        <w:rPr>
          <w:i/>
          <w:iCs/>
        </w:rPr>
        <w:t>Achilli</w:t>
      </w:r>
      <w:proofErr w:type="spellEnd"/>
      <w:r>
        <w:rPr>
          <w:i/>
          <w:iCs/>
        </w:rPr>
        <w:t xml:space="preserve">, </w:t>
      </w:r>
      <w:r>
        <w:t xml:space="preserve">lines 51-52. </w:t>
      </w:r>
    </w:p>
  </w:footnote>
  <w:footnote w:id="6">
    <w:p w14:paraId="0AACF57C" w14:textId="6214C0FA" w:rsidR="005B2B76" w:rsidRPr="009120DC" w:rsidRDefault="005B2B76">
      <w:pPr>
        <w:pStyle w:val="FootnoteText"/>
      </w:pPr>
      <w:r>
        <w:rPr>
          <w:rStyle w:val="FootnoteReference"/>
        </w:rPr>
        <w:footnoteRef/>
      </w:r>
      <w:r>
        <w:t xml:space="preserve"> Hagedorn, </w:t>
      </w:r>
      <w:r>
        <w:rPr>
          <w:i/>
          <w:iCs/>
        </w:rPr>
        <w:t>Abandoned Women</w:t>
      </w:r>
      <w:r>
        <w:t xml:space="preserve">, p. 42. </w:t>
      </w:r>
    </w:p>
  </w:footnote>
  <w:footnote w:id="7">
    <w:p w14:paraId="2B2D4984" w14:textId="4A28582E" w:rsidR="005B2B76" w:rsidRDefault="005B2B76">
      <w:pPr>
        <w:pStyle w:val="FootnoteText"/>
      </w:pPr>
      <w:r>
        <w:rPr>
          <w:rStyle w:val="FootnoteReference"/>
        </w:rPr>
        <w:footnoteRef/>
      </w:r>
      <w:r>
        <w:t xml:space="preserve"> D.A. 53-54. </w:t>
      </w:r>
    </w:p>
  </w:footnote>
  <w:footnote w:id="8">
    <w:p w14:paraId="6D1A70A2" w14:textId="28E6FBBF" w:rsidR="005B2B76" w:rsidRDefault="005B2B76">
      <w:pPr>
        <w:pStyle w:val="FootnoteText"/>
      </w:pPr>
      <w:r>
        <w:rPr>
          <w:rStyle w:val="FootnoteReference"/>
        </w:rPr>
        <w:footnoteRef/>
      </w:r>
      <w:r>
        <w:t xml:space="preserve"> D.A. 89-90. </w:t>
      </w:r>
    </w:p>
  </w:footnote>
  <w:footnote w:id="9">
    <w:p w14:paraId="1E0D498B" w14:textId="3F61BF58" w:rsidR="005B2B76" w:rsidRPr="003F5CEB" w:rsidRDefault="005B2B76">
      <w:pPr>
        <w:pStyle w:val="FootnoteText"/>
      </w:pPr>
      <w:r>
        <w:rPr>
          <w:rStyle w:val="FootnoteReference"/>
        </w:rPr>
        <w:footnoteRef/>
      </w:r>
      <w:r>
        <w:t xml:space="preserve"> Hagedorn, </w:t>
      </w:r>
      <w:r>
        <w:rPr>
          <w:i/>
          <w:iCs/>
        </w:rPr>
        <w:t xml:space="preserve">Abandoned Women, </w:t>
      </w:r>
      <w:r>
        <w:t xml:space="preserve">p. 41. </w:t>
      </w:r>
    </w:p>
  </w:footnote>
  <w:footnote w:id="10">
    <w:p w14:paraId="15E157CE" w14:textId="6206478C" w:rsidR="005B2B76" w:rsidRDefault="005B2B76">
      <w:pPr>
        <w:pStyle w:val="FootnoteText"/>
      </w:pPr>
      <w:r>
        <w:rPr>
          <w:rStyle w:val="FootnoteReference"/>
        </w:rPr>
        <w:footnoteRef/>
      </w:r>
      <w:r>
        <w:t xml:space="preserve"> D.A. 62. </w:t>
      </w:r>
    </w:p>
  </w:footnote>
  <w:footnote w:id="11">
    <w:p w14:paraId="41191E36" w14:textId="193C96C3" w:rsidR="005B2B76" w:rsidRPr="00AE3382"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rPr>
          <w:i/>
          <w:iCs/>
        </w:rPr>
        <w:t xml:space="preserve">, </w:t>
      </w:r>
      <w:r>
        <w:t xml:space="preserve">p. 25. </w:t>
      </w:r>
    </w:p>
  </w:footnote>
  <w:footnote w:id="12">
    <w:p w14:paraId="535CEAE5" w14:textId="671ACB99" w:rsidR="005B2B76" w:rsidRDefault="005B2B76">
      <w:pPr>
        <w:pStyle w:val="FootnoteText"/>
      </w:pPr>
      <w:r>
        <w:rPr>
          <w:rStyle w:val="FootnoteReference"/>
        </w:rPr>
        <w:footnoteRef/>
      </w:r>
      <w:r>
        <w:t xml:space="preserve"> D.A. 65-70, D.A. 71-72. </w:t>
      </w:r>
    </w:p>
  </w:footnote>
  <w:footnote w:id="13">
    <w:p w14:paraId="01E0C1A7" w14:textId="572D8ABF" w:rsidR="005B2B76" w:rsidRPr="00FD05FD"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rPr>
          <w:i/>
          <w:iCs/>
        </w:rPr>
        <w:t xml:space="preserve">’, </w:t>
      </w:r>
      <w:r>
        <w:t xml:space="preserve">p. 24. </w:t>
      </w:r>
    </w:p>
  </w:footnote>
  <w:footnote w:id="14">
    <w:p w14:paraId="03FAD242" w14:textId="188773EC" w:rsidR="005B2B76" w:rsidRDefault="005B2B76">
      <w:pPr>
        <w:pStyle w:val="FootnoteText"/>
      </w:pPr>
      <w:r>
        <w:rPr>
          <w:rStyle w:val="FootnoteReference"/>
        </w:rPr>
        <w:footnoteRef/>
      </w:r>
      <w:r>
        <w:t xml:space="preserve"> D.A. 66. </w:t>
      </w:r>
    </w:p>
  </w:footnote>
  <w:footnote w:id="15">
    <w:p w14:paraId="453702F2" w14:textId="0C18A856" w:rsidR="005B2B76" w:rsidRDefault="005B2B76">
      <w:pPr>
        <w:pStyle w:val="FootnoteText"/>
      </w:pPr>
      <w:r>
        <w:rPr>
          <w:rStyle w:val="FootnoteReference"/>
        </w:rPr>
        <w:footnoteRef/>
      </w:r>
      <w:r>
        <w:t xml:space="preserve"> D.A. 68. </w:t>
      </w:r>
    </w:p>
  </w:footnote>
  <w:footnote w:id="16">
    <w:p w14:paraId="4F6FFEEE" w14:textId="122B157D" w:rsidR="005B2B76" w:rsidRPr="00A760F9"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rPr>
          <w:i/>
          <w:iCs/>
        </w:rPr>
        <w:t>,’</w:t>
      </w:r>
      <w:r>
        <w:t xml:space="preserve"> p. 26. </w:t>
      </w:r>
    </w:p>
  </w:footnote>
  <w:footnote w:id="17">
    <w:p w14:paraId="0860C733" w14:textId="526AB10A" w:rsidR="005B2B76" w:rsidRDefault="005B2B76">
      <w:pPr>
        <w:pStyle w:val="FootnoteText"/>
      </w:pPr>
      <w:r>
        <w:rPr>
          <w:rStyle w:val="FootnoteReference"/>
        </w:rPr>
        <w:footnoteRef/>
      </w:r>
      <w:r>
        <w:t xml:space="preserve"> D.A. 69-70. </w:t>
      </w:r>
    </w:p>
  </w:footnote>
  <w:footnote w:id="18">
    <w:p w14:paraId="3DEAD4ED" w14:textId="499ACB01" w:rsidR="005B2B76" w:rsidRDefault="005B2B76">
      <w:pPr>
        <w:pStyle w:val="FootnoteText"/>
      </w:pPr>
      <w:r>
        <w:rPr>
          <w:rStyle w:val="FootnoteReference"/>
        </w:rPr>
        <w:footnoteRef/>
      </w:r>
      <w:r>
        <w:t xml:space="preserve"> D.A. 81</w:t>
      </w:r>
    </w:p>
  </w:footnote>
  <w:footnote w:id="19">
    <w:p w14:paraId="0770E98D" w14:textId="2EE2FE43" w:rsidR="005B2B76" w:rsidRPr="006E2AA5"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t xml:space="preserve">’, p. 26. </w:t>
      </w:r>
    </w:p>
  </w:footnote>
  <w:footnote w:id="20">
    <w:p w14:paraId="058DDD7C" w14:textId="7D44FE90" w:rsidR="005B2B76" w:rsidRDefault="005B2B76">
      <w:pPr>
        <w:pStyle w:val="FootnoteText"/>
      </w:pPr>
      <w:r>
        <w:rPr>
          <w:rStyle w:val="FootnoteReference"/>
        </w:rPr>
        <w:footnoteRef/>
      </w:r>
      <w:r>
        <w:t xml:space="preserve"> D.A. 82. </w:t>
      </w:r>
    </w:p>
  </w:footnote>
  <w:footnote w:id="21">
    <w:p w14:paraId="73D0451A" w14:textId="458E9750" w:rsidR="005B2B76" w:rsidRPr="006E2AA5" w:rsidRDefault="005B2B76">
      <w:pPr>
        <w:pStyle w:val="FootnoteText"/>
      </w:pPr>
      <w:r>
        <w:rPr>
          <w:rStyle w:val="FootnoteReference"/>
        </w:rPr>
        <w:footnoteRef/>
      </w:r>
      <w:r>
        <w:t xml:space="preserve"> Hagedorn, </w:t>
      </w:r>
      <w:r>
        <w:rPr>
          <w:i/>
          <w:iCs/>
        </w:rPr>
        <w:t xml:space="preserve">Abandoned Women, </w:t>
      </w:r>
      <w:r>
        <w:t xml:space="preserve">p. 44. </w:t>
      </w:r>
    </w:p>
  </w:footnote>
  <w:footnote w:id="22">
    <w:p w14:paraId="290B7DA0" w14:textId="415B0333" w:rsidR="005B2B76" w:rsidRDefault="005B2B76">
      <w:pPr>
        <w:pStyle w:val="FootnoteText"/>
      </w:pPr>
      <w:r>
        <w:rPr>
          <w:rStyle w:val="FootnoteReference"/>
        </w:rPr>
        <w:footnoteRef/>
      </w:r>
      <w:r>
        <w:t xml:space="preserve"> D.A. 75-76. </w:t>
      </w:r>
    </w:p>
  </w:footnote>
  <w:footnote w:id="23">
    <w:p w14:paraId="574A2A27" w14:textId="23B8109A" w:rsidR="005B2B76" w:rsidRPr="00516401" w:rsidRDefault="005B2B76">
      <w:pPr>
        <w:pStyle w:val="FootnoteText"/>
      </w:pPr>
      <w:r>
        <w:rPr>
          <w:rStyle w:val="FootnoteReference"/>
        </w:rPr>
        <w:footnoteRef/>
      </w:r>
      <w:r>
        <w:t xml:space="preserve"> Ruth Parkes, ‘The </w:t>
      </w:r>
      <w:r>
        <w:rPr>
          <w:i/>
          <w:iCs/>
        </w:rPr>
        <w:t xml:space="preserve">Deidamia </w:t>
      </w:r>
      <w:proofErr w:type="spellStart"/>
      <w:r>
        <w:rPr>
          <w:i/>
          <w:iCs/>
        </w:rPr>
        <w:t>Achilli</w:t>
      </w:r>
      <w:proofErr w:type="spellEnd"/>
      <w:r>
        <w:t>’, p. 26.</w:t>
      </w:r>
    </w:p>
  </w:footnote>
  <w:footnote w:id="24">
    <w:p w14:paraId="5DD303A5" w14:textId="5362C06B" w:rsidR="005B2B76" w:rsidRDefault="005B2B76">
      <w:pPr>
        <w:pStyle w:val="FootnoteText"/>
      </w:pPr>
      <w:r>
        <w:rPr>
          <w:rStyle w:val="FootnoteReference"/>
        </w:rPr>
        <w:footnoteRef/>
      </w:r>
      <w:r>
        <w:t xml:space="preserve"> Ibid. </w:t>
      </w:r>
    </w:p>
  </w:footnote>
  <w:footnote w:id="25">
    <w:p w14:paraId="28C7718F" w14:textId="30795B4B" w:rsidR="005B2B76" w:rsidRPr="00DA0056" w:rsidRDefault="005B2B76">
      <w:pPr>
        <w:pStyle w:val="FootnoteText"/>
      </w:pPr>
      <w:r>
        <w:rPr>
          <w:rStyle w:val="FootnoteReference"/>
        </w:rPr>
        <w:footnoteRef/>
      </w:r>
      <w:r>
        <w:t xml:space="preserve"> Hagedorn, </w:t>
      </w:r>
      <w:r>
        <w:rPr>
          <w:i/>
          <w:iCs/>
        </w:rPr>
        <w:t xml:space="preserve">Abandoned Women, </w:t>
      </w:r>
      <w:r>
        <w:t xml:space="preserve">p. 29. </w:t>
      </w:r>
    </w:p>
  </w:footnote>
  <w:footnote w:id="26">
    <w:p w14:paraId="291E62CC" w14:textId="090BB0B1" w:rsidR="005B2B76" w:rsidRDefault="005B2B76">
      <w:pPr>
        <w:pStyle w:val="FootnoteText"/>
      </w:pPr>
      <w:r>
        <w:rPr>
          <w:rStyle w:val="FootnoteReference"/>
        </w:rPr>
        <w:footnoteRef/>
      </w:r>
      <w:r>
        <w:t xml:space="preserve"> Ibid, p. 30. </w:t>
      </w:r>
    </w:p>
  </w:footnote>
  <w:footnote w:id="27">
    <w:p w14:paraId="046441F1" w14:textId="1E0860C4" w:rsidR="000B0D73" w:rsidRDefault="000B0D73">
      <w:pPr>
        <w:pStyle w:val="FootnoteText"/>
      </w:pPr>
      <w:r>
        <w:rPr>
          <w:rStyle w:val="FootnoteReference"/>
        </w:rPr>
        <w:footnoteRef/>
      </w:r>
      <w:r>
        <w:t xml:space="preserve"> D.A. 83-86.</w:t>
      </w:r>
    </w:p>
  </w:footnote>
  <w:footnote w:id="28">
    <w:p w14:paraId="62B4EFF8" w14:textId="27960B62" w:rsidR="005B2B76" w:rsidRPr="005B2B76" w:rsidRDefault="005B2B76">
      <w:pPr>
        <w:pStyle w:val="FootnoteText"/>
      </w:pPr>
      <w:r>
        <w:rPr>
          <w:rStyle w:val="FootnoteReference"/>
        </w:rPr>
        <w:footnoteRef/>
      </w:r>
      <w:r>
        <w:t xml:space="preserve"> </w:t>
      </w:r>
      <w:r>
        <w:rPr>
          <w:i/>
          <w:iCs/>
        </w:rPr>
        <w:t xml:space="preserve">The Cambridge Companion to Latin Love Elegy. </w:t>
      </w:r>
      <w:r>
        <w:t xml:space="preserve">Edited. Thea S. Thorsen, (Cambridge: Cambridge University Press, 2013) p. 281. </w:t>
      </w:r>
    </w:p>
  </w:footnote>
  <w:footnote w:id="29">
    <w:p w14:paraId="4EA39858" w14:textId="538468AB" w:rsidR="00A36FDB" w:rsidRDefault="00A36FDB">
      <w:pPr>
        <w:pStyle w:val="FootnoteText"/>
      </w:pPr>
      <w:r>
        <w:rPr>
          <w:rStyle w:val="FootnoteReference"/>
        </w:rPr>
        <w:footnoteRef/>
      </w:r>
      <w:r>
        <w:t xml:space="preserve"> D.A. 93-94.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2212A0"/>
    <w:multiLevelType w:val="hybridMultilevel"/>
    <w:tmpl w:val="45F40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3C11E5"/>
    <w:multiLevelType w:val="hybridMultilevel"/>
    <w:tmpl w:val="425C4E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B7"/>
    <w:rsid w:val="00094C43"/>
    <w:rsid w:val="000B0D73"/>
    <w:rsid w:val="001B1A0B"/>
    <w:rsid w:val="00262990"/>
    <w:rsid w:val="002F0EBE"/>
    <w:rsid w:val="003F5CEB"/>
    <w:rsid w:val="004D3873"/>
    <w:rsid w:val="00516401"/>
    <w:rsid w:val="005838FE"/>
    <w:rsid w:val="005B2B76"/>
    <w:rsid w:val="005F0529"/>
    <w:rsid w:val="00637520"/>
    <w:rsid w:val="006E2AA5"/>
    <w:rsid w:val="00731403"/>
    <w:rsid w:val="007D1691"/>
    <w:rsid w:val="008D1853"/>
    <w:rsid w:val="009120DC"/>
    <w:rsid w:val="00A36FDB"/>
    <w:rsid w:val="00A760F9"/>
    <w:rsid w:val="00AE3382"/>
    <w:rsid w:val="00BA1627"/>
    <w:rsid w:val="00BD25A2"/>
    <w:rsid w:val="00CE572D"/>
    <w:rsid w:val="00D346E0"/>
    <w:rsid w:val="00DA0056"/>
    <w:rsid w:val="00DA29AF"/>
    <w:rsid w:val="00DD0808"/>
    <w:rsid w:val="00DF05C6"/>
    <w:rsid w:val="00DF4C32"/>
    <w:rsid w:val="00DF7735"/>
    <w:rsid w:val="00E80D86"/>
    <w:rsid w:val="00EA2478"/>
    <w:rsid w:val="00EB0719"/>
    <w:rsid w:val="00F178B7"/>
    <w:rsid w:val="00F826D4"/>
    <w:rsid w:val="00FA006B"/>
    <w:rsid w:val="00FD05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330013"/>
  <w15:chartTrackingRefBased/>
  <w15:docId w15:val="{BED4CF0B-B20D-445E-AD3F-18416F467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8B7"/>
    <w:pPr>
      <w:ind w:left="720"/>
      <w:contextualSpacing/>
    </w:pPr>
  </w:style>
  <w:style w:type="paragraph" w:styleId="FootnoteText">
    <w:name w:val="footnote text"/>
    <w:basedOn w:val="Normal"/>
    <w:link w:val="FootnoteTextChar"/>
    <w:uiPriority w:val="99"/>
    <w:semiHidden/>
    <w:unhideWhenUsed/>
    <w:rsid w:val="004D38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D3873"/>
    <w:rPr>
      <w:sz w:val="20"/>
      <w:szCs w:val="20"/>
    </w:rPr>
  </w:style>
  <w:style w:type="character" w:styleId="FootnoteReference">
    <w:name w:val="footnote reference"/>
    <w:basedOn w:val="DefaultParagraphFont"/>
    <w:uiPriority w:val="99"/>
    <w:semiHidden/>
    <w:unhideWhenUsed/>
    <w:rsid w:val="004D387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290</TotalTime>
  <Pages>4</Pages>
  <Words>1280</Words>
  <Characters>7594</Characters>
  <Application>Microsoft Office Word</Application>
  <DocSecurity>0</DocSecurity>
  <Lines>158</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15</cp:revision>
  <dcterms:created xsi:type="dcterms:W3CDTF">2020-01-20T15:18:00Z</dcterms:created>
  <dcterms:modified xsi:type="dcterms:W3CDTF">2020-01-20T23:06:00Z</dcterms:modified>
</cp:coreProperties>
</file>