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F01F7" w14:textId="77777777" w:rsidR="00E21364" w:rsidRDefault="00E21364" w:rsidP="0086301C">
      <w:pPr>
        <w:pStyle w:val="Title"/>
        <w:jc w:val="center"/>
        <w:rPr>
          <w:rFonts w:ascii="Times New Roman" w:hAnsi="Times New Roman" w:cs="Times New Roman"/>
          <w:b/>
        </w:rPr>
      </w:pPr>
    </w:p>
    <w:p w14:paraId="1A341880" w14:textId="77777777" w:rsidR="00E21364" w:rsidRDefault="00E21364" w:rsidP="00E21364">
      <w:pPr>
        <w:pStyle w:val="paragraph"/>
        <w:spacing w:before="0" w:beforeAutospacing="0" w:after="0" w:afterAutospacing="0"/>
        <w:textAlignment w:val="baseline"/>
        <w:rPr>
          <w:rStyle w:val="normaltextrun"/>
          <w:b/>
          <w:bCs/>
          <w:sz w:val="56"/>
          <w:szCs w:val="56"/>
        </w:rPr>
      </w:pPr>
      <w:r>
        <w:rPr>
          <w:rStyle w:val="normaltextrun"/>
          <w:b/>
          <w:bCs/>
          <w:sz w:val="56"/>
          <w:szCs w:val="56"/>
        </w:rPr>
        <w:t xml:space="preserve">        </w:t>
      </w:r>
      <w:r>
        <w:rPr>
          <w:rStyle w:val="normaltextrun"/>
          <w:b/>
          <w:bCs/>
          <w:sz w:val="56"/>
          <w:szCs w:val="56"/>
        </w:rPr>
        <w:t>UNIVERSITY OF WALES</w:t>
      </w:r>
    </w:p>
    <w:p w14:paraId="786BEB03" w14:textId="6D8C0673"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b/>
          <w:bCs/>
          <w:sz w:val="56"/>
          <w:szCs w:val="56"/>
        </w:rPr>
        <w:t xml:space="preserve">         </w:t>
      </w:r>
      <w:r>
        <w:rPr>
          <w:rStyle w:val="normaltextrun"/>
          <w:b/>
          <w:bCs/>
          <w:sz w:val="56"/>
          <w:szCs w:val="56"/>
        </w:rPr>
        <w:t>TRINITY SAINT DAVID</w:t>
      </w:r>
      <w:r>
        <w:rPr>
          <w:rStyle w:val="eop"/>
          <w:sz w:val="56"/>
          <w:szCs w:val="56"/>
        </w:rPr>
        <w:t> </w:t>
      </w:r>
    </w:p>
    <w:p w14:paraId="5F23D896" w14:textId="77777777" w:rsidR="00E21364" w:rsidRDefault="00E21364" w:rsidP="00E21364">
      <w:pPr>
        <w:pStyle w:val="paragraph"/>
        <w:spacing w:before="0" w:beforeAutospacing="0" w:after="0" w:afterAutospacing="0"/>
        <w:jc w:val="center"/>
        <w:textAlignment w:val="baseline"/>
        <w:rPr>
          <w:rFonts w:ascii="Segoe UI" w:hAnsi="Segoe UI" w:cs="Segoe UI"/>
          <w:sz w:val="18"/>
          <w:szCs w:val="18"/>
        </w:rPr>
      </w:pPr>
      <w:r>
        <w:rPr>
          <w:rStyle w:val="eop"/>
          <w:sz w:val="56"/>
          <w:szCs w:val="56"/>
        </w:rPr>
        <w:t> </w:t>
      </w:r>
    </w:p>
    <w:p w14:paraId="7D38CE20" w14:textId="3D835FE3"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b/>
          <w:bCs/>
          <w:sz w:val="44"/>
          <w:szCs w:val="44"/>
        </w:rPr>
        <w:t xml:space="preserve">                </w:t>
      </w:r>
      <w:r>
        <w:rPr>
          <w:rStyle w:val="normaltextrun"/>
          <w:b/>
          <w:bCs/>
          <w:sz w:val="44"/>
          <w:szCs w:val="44"/>
        </w:rPr>
        <w:t xml:space="preserve">Student </w:t>
      </w:r>
      <w:proofErr w:type="gramStart"/>
      <w:r>
        <w:rPr>
          <w:rStyle w:val="normaltextrun"/>
          <w:b/>
          <w:bCs/>
          <w:sz w:val="44"/>
          <w:szCs w:val="44"/>
        </w:rPr>
        <w:t>name :</w:t>
      </w:r>
      <w:proofErr w:type="gramEnd"/>
      <w:r>
        <w:rPr>
          <w:rStyle w:val="normaltextrun"/>
          <w:b/>
          <w:bCs/>
          <w:sz w:val="44"/>
          <w:szCs w:val="44"/>
        </w:rPr>
        <w:t xml:space="preserve"> Diana Tincul</w:t>
      </w:r>
      <w:r>
        <w:rPr>
          <w:rStyle w:val="eop"/>
          <w:sz w:val="44"/>
          <w:szCs w:val="44"/>
        </w:rPr>
        <w:t> </w:t>
      </w:r>
    </w:p>
    <w:p w14:paraId="0748A773" w14:textId="77777777"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4"/>
          <w:szCs w:val="44"/>
        </w:rPr>
        <w:t>                             </w:t>
      </w:r>
      <w:r>
        <w:rPr>
          <w:rStyle w:val="eop"/>
          <w:rFonts w:ascii="Calibri" w:hAnsi="Calibri" w:cs="Calibri"/>
          <w:sz w:val="44"/>
          <w:szCs w:val="44"/>
        </w:rPr>
        <w:t> </w:t>
      </w:r>
    </w:p>
    <w:p w14:paraId="094CAA24" w14:textId="21123009"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4"/>
          <w:szCs w:val="44"/>
        </w:rPr>
        <w:t xml:space="preserve">                 </w:t>
      </w:r>
      <w:r>
        <w:rPr>
          <w:rStyle w:val="normaltextrun"/>
          <w:rFonts w:ascii="Calibri" w:hAnsi="Calibri" w:cs="Calibri"/>
          <w:b/>
          <w:bCs/>
          <w:sz w:val="44"/>
          <w:szCs w:val="44"/>
        </w:rPr>
        <w:t>Student ID: 2028613</w:t>
      </w:r>
      <w:r>
        <w:rPr>
          <w:rStyle w:val="eop"/>
          <w:rFonts w:ascii="Calibri" w:hAnsi="Calibri" w:cs="Calibri"/>
          <w:sz w:val="44"/>
          <w:szCs w:val="44"/>
        </w:rPr>
        <w:t> </w:t>
      </w:r>
    </w:p>
    <w:p w14:paraId="5D27E5DE" w14:textId="77777777"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4"/>
          <w:szCs w:val="44"/>
        </w:rPr>
        <w:t> </w:t>
      </w:r>
    </w:p>
    <w:p w14:paraId="5EAA57BA" w14:textId="1647E911"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b/>
          <w:bCs/>
          <w:sz w:val="44"/>
          <w:szCs w:val="44"/>
        </w:rPr>
        <w:t xml:space="preserve">               Module </w:t>
      </w:r>
      <w:proofErr w:type="gramStart"/>
      <w:r>
        <w:rPr>
          <w:rStyle w:val="normaltextrun"/>
          <w:b/>
          <w:bCs/>
          <w:sz w:val="44"/>
          <w:szCs w:val="44"/>
        </w:rPr>
        <w:t>code :</w:t>
      </w:r>
      <w:proofErr w:type="gramEnd"/>
      <w:r>
        <w:rPr>
          <w:rStyle w:val="normaltextrun"/>
          <w:b/>
          <w:bCs/>
          <w:sz w:val="44"/>
          <w:szCs w:val="44"/>
        </w:rPr>
        <w:t xml:space="preserve"> LCBB6000</w:t>
      </w:r>
      <w:r>
        <w:rPr>
          <w:rStyle w:val="eop"/>
          <w:sz w:val="44"/>
          <w:szCs w:val="44"/>
        </w:rPr>
        <w:t> </w:t>
      </w:r>
    </w:p>
    <w:p w14:paraId="47F471DB" w14:textId="77777777"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4"/>
          <w:szCs w:val="44"/>
        </w:rPr>
        <w:t>                              </w:t>
      </w:r>
      <w:r>
        <w:rPr>
          <w:rStyle w:val="eop"/>
          <w:rFonts w:ascii="Calibri" w:hAnsi="Calibri" w:cs="Calibri"/>
          <w:sz w:val="44"/>
          <w:szCs w:val="44"/>
        </w:rPr>
        <w:t> </w:t>
      </w:r>
    </w:p>
    <w:p w14:paraId="07C0BEFF" w14:textId="406FA634" w:rsidR="00E21364" w:rsidRDefault="00E21364" w:rsidP="00E2136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4"/>
          <w:szCs w:val="44"/>
        </w:rPr>
        <w:t>                </w:t>
      </w:r>
      <w:r>
        <w:rPr>
          <w:rStyle w:val="normaltextrun"/>
          <w:rFonts w:ascii="Calibri" w:hAnsi="Calibri" w:cs="Calibri"/>
          <w:sz w:val="44"/>
          <w:szCs w:val="44"/>
        </w:rPr>
        <w:t xml:space="preserve"> </w:t>
      </w:r>
      <w:r>
        <w:rPr>
          <w:rStyle w:val="normaltextrun"/>
          <w:rFonts w:ascii="Calibri" w:hAnsi="Calibri" w:cs="Calibri"/>
          <w:b/>
          <w:bCs/>
          <w:sz w:val="44"/>
          <w:szCs w:val="44"/>
        </w:rPr>
        <w:t xml:space="preserve">Supervisor name: Prof. </w:t>
      </w:r>
      <w:r>
        <w:rPr>
          <w:rStyle w:val="normaltextrun"/>
          <w:rFonts w:ascii="Calibri" w:hAnsi="Calibri" w:cs="Calibri"/>
          <w:b/>
          <w:bCs/>
          <w:sz w:val="44"/>
          <w:szCs w:val="44"/>
        </w:rPr>
        <w:t>Amare Desta </w:t>
      </w:r>
      <w:r>
        <w:rPr>
          <w:rStyle w:val="eop"/>
          <w:rFonts w:ascii="Calibri" w:hAnsi="Calibri" w:cs="Calibri"/>
          <w:sz w:val="44"/>
          <w:szCs w:val="44"/>
        </w:rPr>
        <w:t> </w:t>
      </w:r>
    </w:p>
    <w:p w14:paraId="086BE759" w14:textId="77777777" w:rsidR="00E21364" w:rsidRDefault="00E21364" w:rsidP="00E21364">
      <w:pPr>
        <w:pStyle w:val="paragraph"/>
        <w:spacing w:before="0" w:beforeAutospacing="0" w:after="0" w:afterAutospacing="0"/>
        <w:jc w:val="center"/>
        <w:textAlignment w:val="baseline"/>
        <w:rPr>
          <w:rFonts w:ascii="Segoe UI" w:hAnsi="Segoe UI" w:cs="Segoe UI"/>
          <w:sz w:val="18"/>
          <w:szCs w:val="18"/>
        </w:rPr>
      </w:pPr>
      <w:r>
        <w:rPr>
          <w:rStyle w:val="eop"/>
          <w:sz w:val="56"/>
          <w:szCs w:val="56"/>
        </w:rPr>
        <w:t> </w:t>
      </w:r>
    </w:p>
    <w:p w14:paraId="2E970957" w14:textId="77777777" w:rsidR="00E21364" w:rsidRDefault="00E21364" w:rsidP="00E21364">
      <w:pPr>
        <w:pStyle w:val="paragraph"/>
        <w:spacing w:before="0" w:beforeAutospacing="0" w:after="0" w:afterAutospacing="0"/>
        <w:jc w:val="center"/>
        <w:textAlignment w:val="baseline"/>
        <w:rPr>
          <w:rFonts w:ascii="Segoe UI" w:hAnsi="Segoe UI" w:cs="Segoe UI"/>
          <w:sz w:val="18"/>
          <w:szCs w:val="18"/>
        </w:rPr>
      </w:pPr>
      <w:r>
        <w:rPr>
          <w:rStyle w:val="eop"/>
          <w:sz w:val="56"/>
          <w:szCs w:val="56"/>
        </w:rPr>
        <w:t> </w:t>
      </w:r>
    </w:p>
    <w:p w14:paraId="30AC9347" w14:textId="4040304E" w:rsidR="00E21364" w:rsidRDefault="00E21364" w:rsidP="00E21364">
      <w:pPr>
        <w:pStyle w:val="paragraph"/>
        <w:spacing w:before="0" w:beforeAutospacing="0" w:after="0" w:afterAutospacing="0"/>
        <w:jc w:val="center"/>
        <w:textAlignment w:val="baseline"/>
        <w:rPr>
          <w:rFonts w:ascii="Segoe UI" w:hAnsi="Segoe UI" w:cs="Segoe UI"/>
          <w:sz w:val="18"/>
          <w:szCs w:val="18"/>
        </w:rPr>
      </w:pPr>
      <w:r>
        <w:rPr>
          <w:rStyle w:val="eop"/>
          <w:sz w:val="56"/>
          <w:szCs w:val="56"/>
        </w:rPr>
        <w:t> </w:t>
      </w:r>
      <w:r>
        <w:rPr>
          <w:rStyle w:val="eop"/>
          <w:sz w:val="32"/>
          <w:szCs w:val="32"/>
        </w:rPr>
        <w:t>I</w:t>
      </w:r>
      <w:r w:rsidRPr="00E21364">
        <w:rPr>
          <w:rStyle w:val="normaltextrun"/>
          <w:sz w:val="32"/>
          <w:szCs w:val="32"/>
        </w:rPr>
        <w:t xml:space="preserve">nvestigating the </w:t>
      </w:r>
      <w:r w:rsidRPr="00E21364">
        <w:rPr>
          <w:rStyle w:val="normaltextrun"/>
          <w:sz w:val="32"/>
          <w:szCs w:val="32"/>
        </w:rPr>
        <w:t>challenges</w:t>
      </w:r>
      <w:r w:rsidRPr="00E21364">
        <w:rPr>
          <w:rStyle w:val="normaltextrun"/>
          <w:sz w:val="32"/>
          <w:szCs w:val="32"/>
        </w:rPr>
        <w:t xml:space="preserve"> and </w:t>
      </w:r>
      <w:r w:rsidRPr="00E21364">
        <w:rPr>
          <w:rStyle w:val="normaltextrun"/>
          <w:sz w:val="32"/>
          <w:szCs w:val="32"/>
        </w:rPr>
        <w:t>opportunities</w:t>
      </w:r>
      <w:r w:rsidRPr="00E21364">
        <w:rPr>
          <w:rStyle w:val="normaltextrun"/>
          <w:sz w:val="32"/>
          <w:szCs w:val="32"/>
        </w:rPr>
        <w:t xml:space="preserve"> in </w:t>
      </w:r>
      <w:r w:rsidRPr="00E21364">
        <w:rPr>
          <w:rStyle w:val="normaltextrun"/>
          <w:sz w:val="32"/>
          <w:szCs w:val="32"/>
        </w:rPr>
        <w:t>maintaining</w:t>
      </w:r>
      <w:r w:rsidRPr="00E21364">
        <w:rPr>
          <w:rStyle w:val="normaltextrun"/>
          <w:sz w:val="32"/>
          <w:szCs w:val="32"/>
        </w:rPr>
        <w:t xml:space="preserve"> work-life and studying balance </w:t>
      </w:r>
      <w:r w:rsidRPr="00E21364">
        <w:rPr>
          <w:rStyle w:val="normaltextrun"/>
          <w:sz w:val="32"/>
          <w:szCs w:val="32"/>
        </w:rPr>
        <w:t>with</w:t>
      </w:r>
      <w:r w:rsidRPr="00E21364">
        <w:rPr>
          <w:rStyle w:val="normaltextrun"/>
          <w:sz w:val="32"/>
          <w:szCs w:val="32"/>
        </w:rPr>
        <w:t xml:space="preserve"> the education sector in the </w:t>
      </w:r>
      <w:r w:rsidRPr="00E21364">
        <w:rPr>
          <w:rStyle w:val="normaltextrun"/>
          <w:sz w:val="32"/>
          <w:szCs w:val="32"/>
        </w:rPr>
        <w:t>UK</w:t>
      </w:r>
      <w:r w:rsidRPr="00E21364">
        <w:rPr>
          <w:rStyle w:val="normaltextrun"/>
          <w:sz w:val="32"/>
          <w:szCs w:val="32"/>
        </w:rPr>
        <w:t xml:space="preserve">:  the case of University of Wales Trinity St </w:t>
      </w:r>
      <w:proofErr w:type="gramStart"/>
      <w:r w:rsidRPr="00E21364">
        <w:rPr>
          <w:rStyle w:val="normaltextrun"/>
          <w:sz w:val="32"/>
          <w:szCs w:val="32"/>
        </w:rPr>
        <w:t>David  (</w:t>
      </w:r>
      <w:proofErr w:type="gramEnd"/>
      <w:r w:rsidRPr="00E21364">
        <w:rPr>
          <w:rStyle w:val="normaltextrun"/>
          <w:sz w:val="32"/>
          <w:szCs w:val="32"/>
        </w:rPr>
        <w:t>UWTSD) in London</w:t>
      </w:r>
      <w:r w:rsidRPr="00E21364">
        <w:rPr>
          <w:rStyle w:val="eop"/>
          <w:sz w:val="32"/>
          <w:szCs w:val="32"/>
        </w:rPr>
        <w:t> </w:t>
      </w:r>
    </w:p>
    <w:p w14:paraId="39F4F633" w14:textId="77777777" w:rsidR="00E21364" w:rsidRDefault="00E21364" w:rsidP="00E21364">
      <w:pPr>
        <w:pStyle w:val="paragraph"/>
        <w:spacing w:before="0" w:beforeAutospacing="0" w:after="0" w:afterAutospacing="0"/>
        <w:jc w:val="center"/>
        <w:textAlignment w:val="baseline"/>
        <w:rPr>
          <w:rStyle w:val="normaltextrun"/>
          <w:b/>
          <w:bCs/>
          <w:sz w:val="56"/>
          <w:szCs w:val="56"/>
        </w:rPr>
      </w:pPr>
    </w:p>
    <w:p w14:paraId="679AD7AB" w14:textId="36D58FA8" w:rsidR="00E21364" w:rsidRPr="00E21364" w:rsidRDefault="00E21364" w:rsidP="00E21364">
      <w:pPr>
        <w:pStyle w:val="paragraph"/>
        <w:spacing w:before="0" w:beforeAutospacing="0" w:after="0" w:afterAutospacing="0"/>
        <w:jc w:val="center"/>
        <w:textAlignment w:val="baseline"/>
        <w:rPr>
          <w:rFonts w:ascii="Segoe UI" w:hAnsi="Segoe UI" w:cs="Segoe UI"/>
          <w:sz w:val="18"/>
          <w:szCs w:val="18"/>
        </w:rPr>
      </w:pPr>
      <w:r>
        <w:rPr>
          <w:rStyle w:val="normaltextrun"/>
          <w:b/>
          <w:bCs/>
          <w:sz w:val="56"/>
          <w:szCs w:val="56"/>
        </w:rPr>
        <w:t xml:space="preserve">Impact of Hybrid Work on Job Satisfaction and Work-Life Balance in the UK </w:t>
      </w:r>
      <w:proofErr w:type="gramStart"/>
      <w:r>
        <w:rPr>
          <w:rStyle w:val="normaltextrun"/>
          <w:b/>
          <w:bCs/>
          <w:sz w:val="56"/>
          <w:szCs w:val="56"/>
        </w:rPr>
        <w:t>Education</w:t>
      </w:r>
      <w:r>
        <w:rPr>
          <w:rStyle w:val="normaltextrun"/>
          <w:b/>
          <w:bCs/>
          <w:color w:val="D13438"/>
          <w:sz w:val="56"/>
          <w:szCs w:val="56"/>
        </w:rPr>
        <w:t xml:space="preserve"> </w:t>
      </w:r>
      <w:r>
        <w:rPr>
          <w:rStyle w:val="normaltextrun"/>
          <w:b/>
          <w:bCs/>
          <w:sz w:val="56"/>
          <w:szCs w:val="56"/>
        </w:rPr>
        <w:t>:</w:t>
      </w:r>
      <w:proofErr w:type="gramEnd"/>
      <w:r>
        <w:rPr>
          <w:rStyle w:val="normaltextrun"/>
          <w:b/>
          <w:bCs/>
          <w:sz w:val="56"/>
          <w:szCs w:val="56"/>
        </w:rPr>
        <w:t xml:space="preserve"> the case of sector </w:t>
      </w:r>
    </w:p>
    <w:p w14:paraId="2D233FB5" w14:textId="77777777" w:rsidR="00E21364" w:rsidRDefault="00E21364" w:rsidP="0086301C">
      <w:pPr>
        <w:pStyle w:val="Title"/>
        <w:jc w:val="center"/>
        <w:rPr>
          <w:rFonts w:ascii="Times New Roman" w:hAnsi="Times New Roman" w:cs="Times New Roman"/>
          <w:b/>
        </w:rPr>
      </w:pPr>
    </w:p>
    <w:p w14:paraId="5BE60662" w14:textId="77777777" w:rsidR="00E21364" w:rsidRDefault="00E21364" w:rsidP="0086301C">
      <w:pPr>
        <w:pStyle w:val="Title"/>
        <w:jc w:val="center"/>
        <w:rPr>
          <w:rFonts w:ascii="Times New Roman" w:hAnsi="Times New Roman" w:cs="Times New Roman"/>
          <w:b/>
        </w:rPr>
      </w:pPr>
    </w:p>
    <w:p w14:paraId="4F8E86FD" w14:textId="304B240F" w:rsidR="0086301C" w:rsidRPr="0086301C" w:rsidRDefault="0086301C" w:rsidP="00E21364">
      <w:pPr>
        <w:pStyle w:val="Title"/>
        <w:rPr>
          <w:rFonts w:ascii="Times New Roman" w:eastAsia="Times New Roman" w:hAnsi="Times New Roman" w:cs="Times New Roman"/>
          <w:b/>
        </w:rPr>
      </w:pPr>
    </w:p>
    <w:p w14:paraId="29DD76D9" w14:textId="77777777" w:rsidR="0086301C" w:rsidRPr="0086301C" w:rsidRDefault="0086301C" w:rsidP="00C85E2F">
      <w:pPr>
        <w:pStyle w:val="Heading1"/>
        <w:spacing w:before="0" w:line="360" w:lineRule="auto"/>
        <w:jc w:val="center"/>
        <w:rPr>
          <w:rFonts w:ascii="Times New Roman" w:hAnsi="Times New Roman" w:cs="Times New Roman"/>
          <w:b/>
          <w:color w:val="000000" w:themeColor="text1"/>
          <w:sz w:val="24"/>
          <w:szCs w:val="24"/>
        </w:rPr>
      </w:pPr>
    </w:p>
    <w:p w14:paraId="302532A2" w14:textId="77777777" w:rsidR="003B6C59" w:rsidRPr="0086301C" w:rsidRDefault="003B6C59" w:rsidP="00C85E2F">
      <w:pPr>
        <w:pStyle w:val="Heading1"/>
        <w:spacing w:before="0" w:line="360" w:lineRule="auto"/>
        <w:jc w:val="center"/>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Chapter 1: Introduction</w:t>
      </w:r>
    </w:p>
    <w:p w14:paraId="1E14357D" w14:textId="77777777" w:rsidR="003B6C59" w:rsidRPr="0086301C" w:rsidRDefault="003B6C59"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1.1: Introduction </w:t>
      </w:r>
    </w:p>
    <w:p w14:paraId="0854BE93" w14:textId="77777777" w:rsidR="00F92B82" w:rsidRPr="0086301C" w:rsidRDefault="00F92B82" w:rsidP="00C85E2F">
      <w:pPr>
        <w:spacing w:line="360" w:lineRule="auto"/>
        <w:ind w:firstLine="720"/>
        <w:rPr>
          <w:rFonts w:ascii="Times New Roman" w:hAnsi="Times New Roman" w:cs="Times New Roman"/>
          <w:sz w:val="24"/>
          <w:szCs w:val="24"/>
        </w:rPr>
      </w:pPr>
      <w:r w:rsidRPr="0086301C">
        <w:rPr>
          <w:rFonts w:ascii="Times New Roman" w:hAnsi="Times New Roman" w:cs="Times New Roman"/>
          <w:sz w:val="24"/>
          <w:szCs w:val="24"/>
        </w:rPr>
        <w:t>The education system in the United Kingdom has undergone drastic changes spurred by the unexpected challenges brought upon us by the COVID-19 pandemic. This study explores the complex realities that have evolved in education by adopting hybrid work models. We investigate the short-term adjustments made by the UK education sector and the enduring implications on students’ job satisfaction and work-life balance</w:t>
      </w:r>
      <w:r w:rsidR="008847CD" w:rsidRPr="0086301C">
        <w:rPr>
          <w:rFonts w:ascii="Times New Roman" w:hAnsi="Times New Roman" w:cs="Times New Roman"/>
          <w:sz w:val="24"/>
          <w:szCs w:val="24"/>
        </w:rPr>
        <w:t xml:space="preserve"> (</w:t>
      </w:r>
      <w:r w:rsidR="008847CD" w:rsidRPr="0086301C">
        <w:rPr>
          <w:rFonts w:ascii="Times New Roman" w:hAnsi="Times New Roman" w:cs="Times New Roman"/>
          <w:color w:val="222222"/>
          <w:sz w:val="24"/>
          <w:szCs w:val="24"/>
          <w:shd w:val="clear" w:color="auto" w:fill="FFFFFF"/>
        </w:rPr>
        <w:t xml:space="preserve">Haubrich and </w:t>
      </w:r>
      <w:proofErr w:type="spellStart"/>
      <w:r w:rsidR="008847CD" w:rsidRPr="0086301C">
        <w:rPr>
          <w:rFonts w:ascii="Times New Roman" w:hAnsi="Times New Roman" w:cs="Times New Roman"/>
          <w:color w:val="222222"/>
          <w:sz w:val="24"/>
          <w:szCs w:val="24"/>
          <w:shd w:val="clear" w:color="auto" w:fill="FFFFFF"/>
        </w:rPr>
        <w:t>Hafermalz</w:t>
      </w:r>
      <w:proofErr w:type="spellEnd"/>
      <w:r w:rsidR="008847CD" w:rsidRPr="0086301C">
        <w:rPr>
          <w:rFonts w:ascii="Times New Roman" w:hAnsi="Times New Roman" w:cs="Times New Roman"/>
          <w:color w:val="222222"/>
          <w:sz w:val="24"/>
          <w:szCs w:val="24"/>
          <w:shd w:val="clear" w:color="auto" w:fill="FFFFFF"/>
        </w:rPr>
        <w:t>, 2022)</w:t>
      </w:r>
      <w:r w:rsidRPr="0086301C">
        <w:rPr>
          <w:rFonts w:ascii="Times New Roman" w:hAnsi="Times New Roman" w:cs="Times New Roman"/>
          <w:sz w:val="24"/>
          <w:szCs w:val="24"/>
        </w:rPr>
        <w:t>. The study aims to provide relevant findings to foster current practices in the dynamic educational setting by exploring the multi-layered aspects of this shift.</w:t>
      </w:r>
    </w:p>
    <w:p w14:paraId="361FCFCA" w14:textId="77777777" w:rsidR="003B6C59" w:rsidRPr="0086301C" w:rsidRDefault="003B6C59"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1.2: Background of the study </w:t>
      </w:r>
    </w:p>
    <w:p w14:paraId="7D734FAC" w14:textId="77777777" w:rsidR="00F92B82" w:rsidRPr="0086301C" w:rsidRDefault="00F92B82" w:rsidP="00C85E2F">
      <w:pPr>
        <w:spacing w:line="360" w:lineRule="auto"/>
        <w:ind w:firstLine="720"/>
        <w:rPr>
          <w:rFonts w:ascii="Times New Roman" w:hAnsi="Times New Roman" w:cs="Times New Roman"/>
          <w:sz w:val="24"/>
          <w:szCs w:val="24"/>
        </w:rPr>
      </w:pPr>
      <w:r w:rsidRPr="0086301C">
        <w:rPr>
          <w:rFonts w:ascii="Times New Roman" w:hAnsi="Times New Roman" w:cs="Times New Roman"/>
          <w:sz w:val="24"/>
          <w:szCs w:val="24"/>
        </w:rPr>
        <w:t>The COVID-19 pandemic, which has caused significant impacts worldwide, has mostly affected the field of education. Schools and universities in the UK felt compelled to stick to the changing reality, reflected by the rapid adoption of hybrid work and study models</w:t>
      </w:r>
      <w:r w:rsidR="008847CD" w:rsidRPr="0086301C">
        <w:rPr>
          <w:rFonts w:ascii="Times New Roman" w:hAnsi="Times New Roman" w:cs="Times New Roman"/>
          <w:sz w:val="24"/>
          <w:szCs w:val="24"/>
        </w:rPr>
        <w:t xml:space="preserve"> (</w:t>
      </w:r>
      <w:r w:rsidR="008847CD" w:rsidRPr="0086301C">
        <w:rPr>
          <w:rFonts w:ascii="Times New Roman" w:hAnsi="Times New Roman" w:cs="Times New Roman"/>
          <w:color w:val="222222"/>
          <w:sz w:val="24"/>
          <w:szCs w:val="24"/>
          <w:shd w:val="clear" w:color="auto" w:fill="FFFFFF"/>
        </w:rPr>
        <w:t xml:space="preserve">Haubrich and </w:t>
      </w:r>
      <w:proofErr w:type="spellStart"/>
      <w:r w:rsidR="008847CD" w:rsidRPr="0086301C">
        <w:rPr>
          <w:rFonts w:ascii="Times New Roman" w:hAnsi="Times New Roman" w:cs="Times New Roman"/>
          <w:color w:val="222222"/>
          <w:sz w:val="24"/>
          <w:szCs w:val="24"/>
          <w:shd w:val="clear" w:color="auto" w:fill="FFFFFF"/>
        </w:rPr>
        <w:t>Hafermalz</w:t>
      </w:r>
      <w:proofErr w:type="spellEnd"/>
      <w:r w:rsidR="008847CD" w:rsidRPr="0086301C">
        <w:rPr>
          <w:rFonts w:ascii="Times New Roman" w:hAnsi="Times New Roman" w:cs="Times New Roman"/>
          <w:color w:val="222222"/>
          <w:sz w:val="24"/>
          <w:szCs w:val="24"/>
          <w:shd w:val="clear" w:color="auto" w:fill="FFFFFF"/>
        </w:rPr>
        <w:t>, 2022)</w:t>
      </w:r>
      <w:r w:rsidRPr="0086301C">
        <w:rPr>
          <w:rFonts w:ascii="Times New Roman" w:hAnsi="Times New Roman" w:cs="Times New Roman"/>
          <w:sz w:val="24"/>
          <w:szCs w:val="24"/>
        </w:rPr>
        <w:t>. While this innovative method that combines both hands-on and online learning methods offered a solution to the current crisis, it exposed new opportunities and difficulties for students and educators. The introduction of technology, which proved to be an important aspect of the continuity of education, raised various queries regarding its impacts. For this reason, examining the context of this paradigmatic change is crucial for carrying out the latter investigation.</w:t>
      </w:r>
    </w:p>
    <w:p w14:paraId="4BC46AC7" w14:textId="77777777" w:rsidR="00F92B82" w:rsidRPr="0086301C" w:rsidRDefault="00F92B82" w:rsidP="00C85E2F">
      <w:pPr>
        <w:pStyle w:val="Heading2"/>
        <w:spacing w:before="0" w:line="360" w:lineRule="auto"/>
        <w:jc w:val="center"/>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1.4 Aims, Objectives, Research Questions</w:t>
      </w:r>
    </w:p>
    <w:p w14:paraId="49412058" w14:textId="77777777" w:rsidR="00F92B82" w:rsidRPr="0086301C" w:rsidRDefault="00F92B82" w:rsidP="00C85E2F">
      <w:pPr>
        <w:pStyle w:val="Heading3"/>
        <w:spacing w:before="0" w:line="360" w:lineRule="auto"/>
        <w:rPr>
          <w:rFonts w:ascii="Times New Roman" w:hAnsi="Times New Roman" w:cs="Times New Roman"/>
          <w:b/>
          <w:color w:val="000000" w:themeColor="text1"/>
        </w:rPr>
      </w:pPr>
      <w:r w:rsidRPr="0086301C">
        <w:rPr>
          <w:rFonts w:ascii="Times New Roman" w:hAnsi="Times New Roman" w:cs="Times New Roman"/>
          <w:b/>
          <w:color w:val="000000" w:themeColor="text1"/>
        </w:rPr>
        <w:t>1.4.1 Research Aim</w:t>
      </w:r>
    </w:p>
    <w:p w14:paraId="6282B7D1"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This study aims to investigate the influence of hybrid work and learning on student satisfaction and work-learning equilibrium in the UK education sector.</w:t>
      </w:r>
    </w:p>
    <w:p w14:paraId="4BD2C3B0" w14:textId="77777777" w:rsidR="00F92B82" w:rsidRPr="0086301C" w:rsidRDefault="00F92B82" w:rsidP="00C85E2F">
      <w:pPr>
        <w:pStyle w:val="Heading3"/>
        <w:spacing w:before="0" w:line="360" w:lineRule="auto"/>
        <w:rPr>
          <w:rFonts w:ascii="Times New Roman" w:hAnsi="Times New Roman" w:cs="Times New Roman"/>
          <w:b/>
          <w:color w:val="000000" w:themeColor="text1"/>
        </w:rPr>
      </w:pPr>
      <w:r w:rsidRPr="0086301C">
        <w:rPr>
          <w:rFonts w:ascii="Times New Roman" w:hAnsi="Times New Roman" w:cs="Times New Roman"/>
          <w:b/>
          <w:color w:val="000000" w:themeColor="text1"/>
        </w:rPr>
        <w:t>1.4.2 Objectives</w:t>
      </w:r>
    </w:p>
    <w:p w14:paraId="6FAA0CF4"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1. To assess the satisfaction and work-education balance levels among students in hybrid models.</w:t>
      </w:r>
    </w:p>
    <w:p w14:paraId="69BFDA8F"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2. To recognise factors that may lead to student satisfaction and work-learning balance among students who work and study simultaneously.</w:t>
      </w:r>
    </w:p>
    <w:p w14:paraId="00308BC6"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lastRenderedPageBreak/>
        <w:t>3. To measure the effectiveness of teaching strategies and policies in blended learning to promote and maintain positive behaviour, performance, and learning habits.</w:t>
      </w:r>
    </w:p>
    <w:p w14:paraId="616EED04"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4. To formulate suggestions to enhance student satisfaction and work-learning balance among hybrid work learners.</w:t>
      </w:r>
    </w:p>
    <w:p w14:paraId="7787943C" w14:textId="77777777" w:rsidR="00F92B82" w:rsidRPr="0086301C" w:rsidRDefault="00F92B82" w:rsidP="00C85E2F">
      <w:pPr>
        <w:pStyle w:val="Heading3"/>
        <w:spacing w:before="0" w:line="360" w:lineRule="auto"/>
        <w:rPr>
          <w:rFonts w:ascii="Times New Roman" w:hAnsi="Times New Roman" w:cs="Times New Roman"/>
          <w:b/>
          <w:color w:val="000000" w:themeColor="text1"/>
        </w:rPr>
      </w:pPr>
      <w:r w:rsidRPr="0086301C">
        <w:rPr>
          <w:rFonts w:ascii="Times New Roman" w:hAnsi="Times New Roman" w:cs="Times New Roman"/>
          <w:b/>
          <w:color w:val="000000" w:themeColor="text1"/>
        </w:rPr>
        <w:t>1.4.3 Research Questions</w:t>
      </w:r>
    </w:p>
    <w:p w14:paraId="274EAB99"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1. What variables affect student satisfaction differences, work-life balance, and academic performance while studying and working simultaneously?</w:t>
      </w:r>
    </w:p>
    <w:p w14:paraId="1019D258" w14:textId="77777777" w:rsidR="00F92B82" w:rsidRPr="0086301C" w:rsidRDefault="00F92B82"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2. How do the individual teaching policies and practices in the hybrid learning environments affect students' satisfaction, work-life balance, and the cultivation of the appropriate study practices among students combining education with employment?</w:t>
      </w:r>
    </w:p>
    <w:p w14:paraId="49A73191" w14:textId="77777777" w:rsidR="003B6C59" w:rsidRPr="0086301C" w:rsidRDefault="003B6C59"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1.5 Rationale/Importance of the Research</w:t>
      </w:r>
    </w:p>
    <w:p w14:paraId="2E2558F9" w14:textId="77777777" w:rsidR="003B6C59" w:rsidRPr="0086301C" w:rsidRDefault="003B6C59" w:rsidP="00C85E2F">
      <w:pPr>
        <w:spacing w:line="360" w:lineRule="auto"/>
        <w:ind w:firstLine="720"/>
        <w:rPr>
          <w:rFonts w:ascii="Times New Roman" w:hAnsi="Times New Roman" w:cs="Times New Roman"/>
          <w:sz w:val="24"/>
          <w:szCs w:val="24"/>
        </w:rPr>
      </w:pPr>
      <w:r w:rsidRPr="0086301C">
        <w:rPr>
          <w:rFonts w:ascii="Times New Roman" w:hAnsi="Times New Roman" w:cs="Times New Roman"/>
          <w:sz w:val="24"/>
          <w:szCs w:val="24"/>
        </w:rPr>
        <w:t>The COVID-19 pandemic has triggered an unprecedented transition in the education environment, forcing institutions to hastily adopt a hybrid work and learning model to manage increasingly complicated situations. In this regard, understanding the far-reaching consequences of mixed work on student satisfaction and work-learning balance is of primary concern for the UK's education sector</w:t>
      </w:r>
      <w:r w:rsidR="008847CD" w:rsidRPr="0086301C">
        <w:rPr>
          <w:rFonts w:ascii="Times New Roman" w:hAnsi="Times New Roman" w:cs="Times New Roman"/>
          <w:sz w:val="24"/>
          <w:szCs w:val="24"/>
        </w:rPr>
        <w:t xml:space="preserve"> (Mutebi and Hobbs, 2022)</w:t>
      </w:r>
      <w:r w:rsidRPr="0086301C">
        <w:rPr>
          <w:rFonts w:ascii="Times New Roman" w:hAnsi="Times New Roman" w:cs="Times New Roman"/>
          <w:sz w:val="24"/>
          <w:szCs w:val="24"/>
        </w:rPr>
        <w:t>. This study aims to explain the importance of its investigation. One important component is adapting to the "new normal" in education. The pandemic-related switch to hybrid models that combine classroom and remote instruction requires more thorough comprehension. Thus, analysing the effects of this transition is imperative for educational institutions that need to adapt and survive in the changing academic environment. Additionally, the study focuses on student's whole-person wellness</w:t>
      </w:r>
      <w:r w:rsidR="008847CD" w:rsidRPr="0086301C">
        <w:rPr>
          <w:rFonts w:ascii="Times New Roman" w:hAnsi="Times New Roman" w:cs="Times New Roman"/>
          <w:sz w:val="24"/>
          <w:szCs w:val="24"/>
        </w:rPr>
        <w:t xml:space="preserve"> (Mutebi and Hobbs, 2022)</w:t>
      </w:r>
      <w:r w:rsidRPr="0086301C">
        <w:rPr>
          <w:rFonts w:ascii="Times New Roman" w:hAnsi="Times New Roman" w:cs="Times New Roman"/>
          <w:sz w:val="24"/>
          <w:szCs w:val="24"/>
        </w:rPr>
        <w:t>. Commitment to student satisfaction and work-learning balance are key components of their mental health and overall academic success. To do so, this study examines the possible stressors and benefits related to hybrid work in terms of the factors impacting student well-being.</w:t>
      </w:r>
    </w:p>
    <w:p w14:paraId="69D3255E" w14:textId="77777777" w:rsidR="003B6C59" w:rsidRPr="0086301C" w:rsidRDefault="003B6C59" w:rsidP="00C85E2F">
      <w:pPr>
        <w:pStyle w:val="Heading2"/>
        <w:spacing w:before="0" w:line="360" w:lineRule="auto"/>
        <w:jc w:val="center"/>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1.6 Methodology</w:t>
      </w:r>
    </w:p>
    <w:p w14:paraId="644D69FA" w14:textId="77777777" w:rsidR="003B6C59" w:rsidRPr="0086301C" w:rsidRDefault="003B6C59"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The research will use a mixture of primary and secondary sources. Primary sources will be the data gained directly from the participants through surveys and questionnaires. Secondary sources will include a critical analysis of the current literature, scholarly articles, and reports about hybrid work and learning in UK education.</w:t>
      </w:r>
    </w:p>
    <w:p w14:paraId="08E78C11" w14:textId="77777777" w:rsidR="00B34827" w:rsidRPr="0086301C" w:rsidRDefault="00B34827" w:rsidP="00C85E2F">
      <w:pPr>
        <w:pStyle w:val="Heading2"/>
        <w:spacing w:before="0" w:line="360" w:lineRule="auto"/>
        <w:jc w:val="center"/>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lastRenderedPageBreak/>
        <w:t>1.7 Scope of the Study/Demarcation</w:t>
      </w:r>
    </w:p>
    <w:p w14:paraId="35F51F66" w14:textId="77777777" w:rsidR="00B34827" w:rsidRPr="0086301C" w:rsidRDefault="00B34827"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This section will outline the boundaries and limitations on which this research operates by defining the specific context and scope.</w:t>
      </w:r>
      <w:r w:rsidR="005A6A5B">
        <w:rPr>
          <w:rFonts w:ascii="Times New Roman" w:hAnsi="Times New Roman" w:cs="Times New Roman"/>
          <w:sz w:val="24"/>
          <w:szCs w:val="24"/>
        </w:rPr>
        <w:t xml:space="preserve"> </w:t>
      </w:r>
      <w:r w:rsidRPr="0086301C">
        <w:rPr>
          <w:rFonts w:ascii="Times New Roman" w:hAnsi="Times New Roman" w:cs="Times New Roman"/>
          <w:sz w:val="24"/>
          <w:szCs w:val="24"/>
        </w:rPr>
        <w:t xml:space="preserve">The study is entirely dedicated to the UK, with the UK’s education sector being the </w:t>
      </w:r>
      <w:proofErr w:type="gramStart"/>
      <w:r w:rsidRPr="0086301C">
        <w:rPr>
          <w:rFonts w:ascii="Times New Roman" w:hAnsi="Times New Roman" w:cs="Times New Roman"/>
          <w:sz w:val="24"/>
          <w:szCs w:val="24"/>
        </w:rPr>
        <w:t>particular area</w:t>
      </w:r>
      <w:proofErr w:type="gramEnd"/>
      <w:r w:rsidRPr="0086301C">
        <w:rPr>
          <w:rFonts w:ascii="Times New Roman" w:hAnsi="Times New Roman" w:cs="Times New Roman"/>
          <w:sz w:val="24"/>
          <w:szCs w:val="24"/>
        </w:rPr>
        <w:t xml:space="preserve"> of focus. The major scope is on higher education settings </w:t>
      </w:r>
      <w:r w:rsidR="009847D5" w:rsidRPr="0086301C">
        <w:rPr>
          <w:rFonts w:ascii="Times New Roman" w:hAnsi="Times New Roman" w:cs="Times New Roman"/>
          <w:sz w:val="24"/>
          <w:szCs w:val="24"/>
        </w:rPr>
        <w:t>given</w:t>
      </w:r>
      <w:r w:rsidRPr="0086301C">
        <w:rPr>
          <w:rFonts w:ascii="Times New Roman" w:hAnsi="Times New Roman" w:cs="Times New Roman"/>
          <w:sz w:val="24"/>
          <w:szCs w:val="24"/>
        </w:rPr>
        <w:t xml:space="preserve"> the specific challenges and opportunities of hybrid work and learning in this area.</w:t>
      </w:r>
    </w:p>
    <w:p w14:paraId="17C260E0" w14:textId="77777777" w:rsidR="009847D5" w:rsidRPr="0086301C" w:rsidRDefault="009847D5" w:rsidP="00C85E2F">
      <w:pPr>
        <w:pStyle w:val="Heading2"/>
        <w:spacing w:before="0" w:line="360" w:lineRule="auto"/>
        <w:jc w:val="center"/>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1.8 Structure of the Dissertation</w:t>
      </w:r>
    </w:p>
    <w:p w14:paraId="170B3C88" w14:textId="77777777" w:rsidR="001D3DB9" w:rsidRDefault="009847D5"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 xml:space="preserve">The introduction serves as the base of the dissertation, commencing with a concise summary and the general context of the research. </w:t>
      </w:r>
      <w:r w:rsidR="006F2050">
        <w:rPr>
          <w:rFonts w:ascii="Times New Roman" w:hAnsi="Times New Roman" w:cs="Times New Roman"/>
          <w:sz w:val="24"/>
          <w:szCs w:val="24"/>
        </w:rPr>
        <w:t xml:space="preserve">The second </w:t>
      </w:r>
      <w:r w:rsidRPr="0086301C">
        <w:rPr>
          <w:rFonts w:ascii="Times New Roman" w:hAnsi="Times New Roman" w:cs="Times New Roman"/>
          <w:sz w:val="24"/>
          <w:szCs w:val="24"/>
        </w:rPr>
        <w:t>chapter does a comprehensive literature review of the hybrid practice and learning in the UK teaching sector</w:t>
      </w:r>
      <w:r w:rsidR="006F2050">
        <w:rPr>
          <w:rFonts w:ascii="Times New Roman" w:hAnsi="Times New Roman" w:cs="Times New Roman"/>
          <w:sz w:val="24"/>
          <w:szCs w:val="24"/>
        </w:rPr>
        <w:t xml:space="preserve">. </w:t>
      </w:r>
      <w:r w:rsidRPr="0086301C">
        <w:rPr>
          <w:rFonts w:ascii="Times New Roman" w:hAnsi="Times New Roman" w:cs="Times New Roman"/>
          <w:sz w:val="24"/>
          <w:szCs w:val="24"/>
        </w:rPr>
        <w:t xml:space="preserve">Chapter 3 describes the research methods and methodology used in the study. </w:t>
      </w:r>
      <w:r w:rsidR="003F4C2F" w:rsidRPr="0086301C">
        <w:rPr>
          <w:rFonts w:ascii="Times New Roman" w:hAnsi="Times New Roman" w:cs="Times New Roman"/>
          <w:sz w:val="24"/>
          <w:szCs w:val="24"/>
        </w:rPr>
        <w:t xml:space="preserve">Chapter 4 is based on the quantitative and qualitative data gathered through the survey. The final chapter (Chapter 5) draws the main conclusions, considers implications beyond the UK, and suggests recommendations for the UK education sector. </w:t>
      </w:r>
    </w:p>
    <w:p w14:paraId="251DE801" w14:textId="77777777" w:rsidR="003F4C2F" w:rsidRPr="001D3DB9" w:rsidRDefault="001D3DB9" w:rsidP="001D3DB9">
      <w:r>
        <w:br w:type="page"/>
      </w:r>
    </w:p>
    <w:p w14:paraId="075A237E" w14:textId="77777777" w:rsidR="00630A4A" w:rsidRPr="0086301C" w:rsidRDefault="00473AF4" w:rsidP="00C85E2F">
      <w:pPr>
        <w:pStyle w:val="Heading1"/>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lastRenderedPageBreak/>
        <w:t xml:space="preserve">Chapter 2: </w:t>
      </w:r>
      <w:r w:rsidR="00630A4A" w:rsidRPr="0086301C">
        <w:rPr>
          <w:rFonts w:ascii="Times New Roman" w:hAnsi="Times New Roman" w:cs="Times New Roman"/>
          <w:b/>
          <w:color w:val="000000" w:themeColor="text1"/>
          <w:sz w:val="24"/>
          <w:szCs w:val="24"/>
        </w:rPr>
        <w:t>Literature Review</w:t>
      </w:r>
    </w:p>
    <w:p w14:paraId="281043EF" w14:textId="77777777" w:rsidR="00630A4A" w:rsidRPr="0086301C" w:rsidRDefault="00473AF4"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2.1 </w:t>
      </w:r>
      <w:r w:rsidR="00630A4A" w:rsidRPr="0086301C">
        <w:rPr>
          <w:rFonts w:ascii="Times New Roman" w:hAnsi="Times New Roman" w:cs="Times New Roman"/>
          <w:b/>
          <w:color w:val="000000" w:themeColor="text1"/>
          <w:sz w:val="24"/>
          <w:szCs w:val="24"/>
        </w:rPr>
        <w:t>Introduction</w:t>
      </w:r>
    </w:p>
    <w:p w14:paraId="130AF348" w14:textId="77777777" w:rsidR="00630A4A" w:rsidRPr="0086301C" w:rsidRDefault="00630A4A" w:rsidP="00FB11C9">
      <w:pPr>
        <w:spacing w:line="360" w:lineRule="auto"/>
        <w:ind w:firstLine="720"/>
        <w:rPr>
          <w:rFonts w:ascii="Times New Roman" w:hAnsi="Times New Roman" w:cs="Times New Roman"/>
          <w:sz w:val="24"/>
          <w:szCs w:val="24"/>
        </w:rPr>
      </w:pPr>
      <w:r w:rsidRPr="0086301C">
        <w:rPr>
          <w:rFonts w:ascii="Times New Roman" w:eastAsia="system-ui" w:hAnsi="Times New Roman" w:cs="Times New Roman"/>
          <w:sz w:val="24"/>
          <w:szCs w:val="24"/>
        </w:rPr>
        <w:t>The constantly changing digitalisation map has brought about significant shifts in the organisational space, including universities and colleges. Confronted with growing complexity and uncertainty, whether social or technological, they aim to find novel approaches to survive and be successful. The COVID-19 pandemic was one of the most significant stimuli speeding up the development of flexible and hybrid work arrangements. As many organisations made remote work an essential part of all their operations, hybrid workplaces became a norm.</w:t>
      </w:r>
    </w:p>
    <w:p w14:paraId="2623C143" w14:textId="77777777" w:rsidR="00630A4A" w:rsidRPr="0086301C" w:rsidRDefault="00473AF4" w:rsidP="00C85E2F">
      <w:pPr>
        <w:pStyle w:val="Heading1"/>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2.3 </w:t>
      </w:r>
      <w:r w:rsidR="00630A4A" w:rsidRPr="0086301C">
        <w:rPr>
          <w:rFonts w:ascii="Times New Roman" w:hAnsi="Times New Roman" w:cs="Times New Roman"/>
          <w:b/>
          <w:color w:val="000000" w:themeColor="text1"/>
          <w:sz w:val="24"/>
          <w:szCs w:val="24"/>
        </w:rPr>
        <w:t>Theoretical Frameworks and Models</w:t>
      </w:r>
    </w:p>
    <w:p w14:paraId="44B9F258" w14:textId="77777777" w:rsidR="00630A4A" w:rsidRPr="0086301C" w:rsidRDefault="00473AF4" w:rsidP="00C85E2F">
      <w:pPr>
        <w:pStyle w:val="Heading2"/>
        <w:spacing w:before="0" w:line="360" w:lineRule="auto"/>
        <w:rPr>
          <w:rFonts w:ascii="Times New Roman" w:hAnsi="Times New Roman" w:cs="Times New Roman"/>
          <w:sz w:val="24"/>
          <w:szCs w:val="24"/>
        </w:rPr>
      </w:pPr>
      <w:r w:rsidRPr="0086301C">
        <w:rPr>
          <w:rFonts w:ascii="Times New Roman" w:eastAsia="system-ui" w:hAnsi="Times New Roman" w:cs="Times New Roman"/>
          <w:b/>
          <w:bCs/>
          <w:color w:val="1F1F1F"/>
          <w:sz w:val="24"/>
          <w:szCs w:val="24"/>
        </w:rPr>
        <w:t xml:space="preserve">2.4 </w:t>
      </w:r>
      <w:r w:rsidR="00630A4A" w:rsidRPr="0086301C">
        <w:rPr>
          <w:rFonts w:ascii="Times New Roman" w:eastAsia="system-ui" w:hAnsi="Times New Roman" w:cs="Times New Roman"/>
          <w:b/>
          <w:bCs/>
          <w:color w:val="1F1F1F"/>
          <w:sz w:val="24"/>
          <w:szCs w:val="24"/>
        </w:rPr>
        <w:t>The Job Demands and Resources (JD-R) Model</w:t>
      </w:r>
    </w:p>
    <w:p w14:paraId="2C92ECFE" w14:textId="77777777" w:rsidR="000E368F" w:rsidRPr="0086301C" w:rsidRDefault="00630A4A" w:rsidP="00C85E2F">
      <w:pPr>
        <w:spacing w:after="0" w:line="360" w:lineRule="auto"/>
        <w:rPr>
          <w:rFonts w:ascii="Times New Roman" w:eastAsia="system-ui" w:hAnsi="Times New Roman" w:cs="Times New Roman"/>
          <w:sz w:val="24"/>
          <w:szCs w:val="24"/>
        </w:rPr>
      </w:pPr>
      <w:r w:rsidRPr="0086301C">
        <w:rPr>
          <w:rFonts w:ascii="Times New Roman" w:eastAsia="system-ui" w:hAnsi="Times New Roman" w:cs="Times New Roman"/>
          <w:sz w:val="24"/>
          <w:szCs w:val="24"/>
        </w:rPr>
        <w:t>Studies of hybrid learning’s effect on student satisfaction, work-life balance, and academic performance are intricate and require a deep comprehension of how numerous factors interact. The Job Demands-Resources (JD-R) Model proposed by Demerouti et al. (2001) is a valuable framework for understanding this interplay.</w:t>
      </w:r>
      <w:r w:rsidRPr="0086301C">
        <w:rPr>
          <w:rFonts w:ascii="Times New Roman" w:hAnsi="Times New Roman" w:cs="Times New Roman"/>
          <w:sz w:val="24"/>
          <w:szCs w:val="24"/>
        </w:rPr>
        <w:t xml:space="preserve"> </w:t>
      </w:r>
      <w:r w:rsidRPr="0086301C">
        <w:rPr>
          <w:rFonts w:ascii="Times New Roman" w:eastAsia="system-ui" w:hAnsi="Times New Roman" w:cs="Times New Roman"/>
          <w:sz w:val="24"/>
          <w:szCs w:val="24"/>
        </w:rPr>
        <w:t xml:space="preserve">The model proposes that demanding jobs – for example, work pressure and role ambiguity – may cause frustrations, exhaustion, and finally, impair well-being and negatively affect performance (Naqshbandi et al., 2023). </w:t>
      </w:r>
    </w:p>
    <w:p w14:paraId="1B9A89A4" w14:textId="77777777" w:rsidR="000E368F" w:rsidRPr="0086301C" w:rsidRDefault="000E368F" w:rsidP="000E368F">
      <w:pPr>
        <w:keepNext/>
        <w:spacing w:after="0" w:line="360" w:lineRule="auto"/>
        <w:rPr>
          <w:rFonts w:ascii="Times New Roman" w:hAnsi="Times New Roman" w:cs="Times New Roman"/>
        </w:rPr>
      </w:pPr>
      <w:r w:rsidRPr="0086301C">
        <w:rPr>
          <w:rFonts w:ascii="Times New Roman" w:hAnsi="Times New Roman" w:cs="Times New Roman"/>
          <w:noProof/>
          <w:sz w:val="24"/>
          <w:szCs w:val="24"/>
          <w:lang w:val="en-US"/>
        </w:rPr>
        <w:drawing>
          <wp:inline distT="0" distB="0" distL="0" distR="0" wp14:anchorId="43F60157" wp14:editId="4F9E331B">
            <wp:extent cx="5684520" cy="3398520"/>
            <wp:effectExtent l="0" t="0" r="0" b="0"/>
            <wp:docPr id="918337289" name="Picture 1" descr="PDF] The Job Demands-Resources model: challenges for future research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37289" name="Picture 1" descr="PDF] The Job Demands-Resources model: challenges for future research |  Semantic Scholar"/>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684520" cy="3398520"/>
                    </a:xfrm>
                    <a:prstGeom prst="rect">
                      <a:avLst/>
                    </a:prstGeom>
                    <a:noFill/>
                    <a:ln>
                      <a:noFill/>
                    </a:ln>
                    <a:extLst>
                      <a:ext uri="{53640926-AAD7-44D8-BBD7-CCE9431645EC}">
                        <a14:shadowObscured xmlns:a14="http://schemas.microsoft.com/office/drawing/2010/main"/>
                      </a:ext>
                    </a:extLst>
                  </pic:spPr>
                </pic:pic>
              </a:graphicData>
            </a:graphic>
          </wp:inline>
        </w:drawing>
      </w:r>
    </w:p>
    <w:p w14:paraId="129F295B" w14:textId="77777777" w:rsidR="000E368F" w:rsidRPr="0086301C" w:rsidRDefault="000E368F" w:rsidP="000E368F">
      <w:pPr>
        <w:pStyle w:val="Caption"/>
        <w:rPr>
          <w:rFonts w:ascii="Times New Roman" w:eastAsia="system-ui" w:hAnsi="Times New Roman" w:cs="Times New Roman"/>
          <w:sz w:val="24"/>
          <w:szCs w:val="24"/>
        </w:rPr>
      </w:pPr>
      <w:r w:rsidRPr="0086301C">
        <w:rPr>
          <w:rFonts w:ascii="Times New Roman" w:hAnsi="Times New Roman" w:cs="Times New Roman"/>
        </w:rPr>
        <w:t xml:space="preserve">Figure </w:t>
      </w:r>
      <w:r w:rsidRPr="0086301C">
        <w:rPr>
          <w:rFonts w:ascii="Times New Roman" w:hAnsi="Times New Roman" w:cs="Times New Roman"/>
        </w:rPr>
        <w:fldChar w:fldCharType="begin"/>
      </w:r>
      <w:r w:rsidRPr="0086301C">
        <w:rPr>
          <w:rFonts w:ascii="Times New Roman" w:hAnsi="Times New Roman" w:cs="Times New Roman"/>
        </w:rPr>
        <w:instrText xml:space="preserve"> SEQ Figure \* ARABIC </w:instrText>
      </w:r>
      <w:r w:rsidRPr="0086301C">
        <w:rPr>
          <w:rFonts w:ascii="Times New Roman" w:hAnsi="Times New Roman" w:cs="Times New Roman"/>
        </w:rPr>
        <w:fldChar w:fldCharType="separate"/>
      </w:r>
      <w:r w:rsidRPr="0086301C">
        <w:rPr>
          <w:rFonts w:ascii="Times New Roman" w:hAnsi="Times New Roman" w:cs="Times New Roman"/>
          <w:noProof/>
        </w:rPr>
        <w:t>1</w:t>
      </w:r>
      <w:r w:rsidRPr="0086301C">
        <w:rPr>
          <w:rFonts w:ascii="Times New Roman" w:hAnsi="Times New Roman" w:cs="Times New Roman"/>
        </w:rPr>
        <w:fldChar w:fldCharType="end"/>
      </w:r>
      <w:r w:rsidRPr="0086301C">
        <w:rPr>
          <w:rFonts w:ascii="Times New Roman" w:hAnsi="Times New Roman" w:cs="Times New Roman"/>
        </w:rPr>
        <w:t xml:space="preserve">: The JD-R Model </w:t>
      </w:r>
      <w:r w:rsidRPr="0086301C">
        <w:rPr>
          <w:rFonts w:ascii="Times New Roman" w:eastAsia="system-ui" w:hAnsi="Times New Roman" w:cs="Times New Roman"/>
          <w:sz w:val="24"/>
          <w:szCs w:val="24"/>
        </w:rPr>
        <w:t>proposed by Demerouti et al. (2001)</w:t>
      </w:r>
    </w:p>
    <w:p w14:paraId="7F023430" w14:textId="77777777" w:rsidR="00630A4A" w:rsidRPr="0086301C" w:rsidRDefault="00630A4A" w:rsidP="00C85E2F">
      <w:pPr>
        <w:spacing w:after="0" w:line="360" w:lineRule="auto"/>
        <w:rPr>
          <w:rFonts w:ascii="Times New Roman" w:hAnsi="Times New Roman" w:cs="Times New Roman"/>
          <w:sz w:val="24"/>
          <w:szCs w:val="24"/>
        </w:rPr>
      </w:pPr>
      <w:r w:rsidRPr="0086301C">
        <w:rPr>
          <w:rFonts w:ascii="Times New Roman" w:eastAsia="system-ui" w:hAnsi="Times New Roman" w:cs="Times New Roman"/>
          <w:sz w:val="24"/>
          <w:szCs w:val="24"/>
        </w:rPr>
        <w:t xml:space="preserve">In hybrid learning, students face several potential demands, such as adapting to blended learning since, understandably, balancing both online and offline facets and their unique </w:t>
      </w:r>
      <w:r w:rsidRPr="0086301C">
        <w:rPr>
          <w:rFonts w:ascii="Times New Roman" w:eastAsia="system-ui" w:hAnsi="Times New Roman" w:cs="Times New Roman"/>
          <w:sz w:val="24"/>
          <w:szCs w:val="24"/>
        </w:rPr>
        <w:lastRenderedPageBreak/>
        <w:t>requirements and patterns of learning can be daunting. Also,</w:t>
      </w:r>
      <w:r w:rsidR="000E368F" w:rsidRPr="0086301C">
        <w:rPr>
          <w:rFonts w:ascii="Times New Roman" w:hAnsi="Times New Roman" w:cs="Times New Roman"/>
          <w:sz w:val="24"/>
          <w:szCs w:val="24"/>
        </w:rPr>
        <w:t xml:space="preserve"> </w:t>
      </w:r>
      <w:r w:rsidRPr="0086301C">
        <w:rPr>
          <w:rFonts w:ascii="Times New Roman" w:eastAsia="system-ui" w:hAnsi="Times New Roman" w:cs="Times New Roman"/>
          <w:sz w:val="24"/>
          <w:szCs w:val="24"/>
        </w:rPr>
        <w:t>technological complexity can be a significant demand since it can be challenging to catch up with technology trends and use new online platforms, leading to stress and frustration.</w:t>
      </w:r>
      <w:r w:rsidRPr="0086301C">
        <w:rPr>
          <w:rFonts w:ascii="Times New Roman" w:hAnsi="Times New Roman" w:cs="Times New Roman"/>
          <w:sz w:val="24"/>
          <w:szCs w:val="24"/>
        </w:rPr>
        <w:t xml:space="preserve"> </w:t>
      </w:r>
      <w:r w:rsidRPr="0086301C">
        <w:rPr>
          <w:rFonts w:ascii="Times New Roman" w:eastAsia="system-ui" w:hAnsi="Times New Roman" w:cs="Times New Roman"/>
          <w:sz w:val="24"/>
          <w:szCs w:val="24"/>
        </w:rPr>
        <w:t>At the same time, handling all commitments while on a hybrid schedule becomes problematic, which causes time management issues and feeling overburdened.</w:t>
      </w:r>
    </w:p>
    <w:p w14:paraId="1299151E" w14:textId="77777777" w:rsidR="00630A4A" w:rsidRPr="0086301C" w:rsidRDefault="002F2F91"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2.5 </w:t>
      </w:r>
      <w:r w:rsidR="00630A4A" w:rsidRPr="0086301C">
        <w:rPr>
          <w:rFonts w:ascii="Times New Roman" w:hAnsi="Times New Roman" w:cs="Times New Roman"/>
          <w:b/>
          <w:color w:val="000000" w:themeColor="text1"/>
          <w:sz w:val="24"/>
          <w:szCs w:val="24"/>
        </w:rPr>
        <w:t>Student Satisfaction: Tinto's Model of Institutional Departure</w:t>
      </w:r>
    </w:p>
    <w:p w14:paraId="15CBE728" w14:textId="77777777" w:rsidR="00630A4A" w:rsidRPr="0086301C" w:rsidRDefault="00630A4A" w:rsidP="00C85E2F">
      <w:pPr>
        <w:spacing w:line="360" w:lineRule="auto"/>
        <w:rPr>
          <w:rFonts w:ascii="Times New Roman" w:eastAsia="system-ui" w:hAnsi="Times New Roman" w:cs="Times New Roman"/>
          <w:sz w:val="24"/>
          <w:szCs w:val="24"/>
        </w:rPr>
      </w:pPr>
      <w:r w:rsidRPr="0086301C">
        <w:rPr>
          <w:rFonts w:ascii="Times New Roman" w:eastAsia="system-ui" w:hAnsi="Times New Roman" w:cs="Times New Roman"/>
          <w:sz w:val="24"/>
          <w:szCs w:val="24"/>
        </w:rPr>
        <w:t xml:space="preserve">Tinto's Model of Institutional Departure (1975) suggests that student integration and commitment are the main factors responsible for their persistence and satisfaction. This model gives an insight into the hybrid learning context. Integration involves both academic and social sides. If students experience difficulties finding their way around the online part or feel distanced from their peers, hybrid models may challenge academic integration. </w:t>
      </w:r>
    </w:p>
    <w:p w14:paraId="4A6FB968" w14:textId="77777777" w:rsidR="00630A4A" w:rsidRPr="0086301C" w:rsidRDefault="002F2F91" w:rsidP="00C85E2F">
      <w:pPr>
        <w:pStyle w:val="Heading2"/>
        <w:spacing w:before="0" w:line="360" w:lineRule="auto"/>
        <w:rPr>
          <w:rFonts w:ascii="Times New Roman" w:hAnsi="Times New Roman" w:cs="Times New Roman"/>
          <w:b/>
          <w:sz w:val="24"/>
          <w:szCs w:val="24"/>
        </w:rPr>
      </w:pPr>
      <w:r w:rsidRPr="0086301C">
        <w:rPr>
          <w:rFonts w:ascii="Times New Roman" w:hAnsi="Times New Roman" w:cs="Times New Roman"/>
          <w:b/>
          <w:color w:val="000000" w:themeColor="text1"/>
          <w:sz w:val="24"/>
          <w:szCs w:val="24"/>
        </w:rPr>
        <w:t xml:space="preserve">2.6 </w:t>
      </w:r>
      <w:r w:rsidR="00630A4A" w:rsidRPr="0086301C">
        <w:rPr>
          <w:rFonts w:ascii="Times New Roman" w:hAnsi="Times New Roman" w:cs="Times New Roman"/>
          <w:b/>
          <w:color w:val="000000" w:themeColor="text1"/>
          <w:sz w:val="24"/>
          <w:szCs w:val="24"/>
        </w:rPr>
        <w:t>Work-Life Balance: Conservation of Resources Theory</w:t>
      </w:r>
    </w:p>
    <w:p w14:paraId="3B289662" w14:textId="77777777" w:rsidR="00630A4A" w:rsidRPr="0086301C" w:rsidRDefault="00630A4A" w:rsidP="00C85E2F">
      <w:pPr>
        <w:spacing w:line="360" w:lineRule="auto"/>
        <w:rPr>
          <w:rFonts w:ascii="Times New Roman" w:hAnsi="Times New Roman" w:cs="Times New Roman"/>
          <w:sz w:val="24"/>
          <w:szCs w:val="24"/>
        </w:rPr>
      </w:pPr>
      <w:r w:rsidRPr="0086301C">
        <w:rPr>
          <w:rFonts w:ascii="Times New Roman" w:eastAsia="system-ui" w:hAnsi="Times New Roman" w:cs="Times New Roman"/>
          <w:sz w:val="24"/>
          <w:szCs w:val="24"/>
        </w:rPr>
        <w:t>The Conservation of Resources Theory (</w:t>
      </w:r>
      <w:proofErr w:type="spellStart"/>
      <w:r w:rsidRPr="0086301C">
        <w:rPr>
          <w:rFonts w:ascii="Times New Roman" w:eastAsia="system-ui" w:hAnsi="Times New Roman" w:cs="Times New Roman"/>
          <w:sz w:val="24"/>
          <w:szCs w:val="24"/>
        </w:rPr>
        <w:t>Hobfoll</w:t>
      </w:r>
      <w:proofErr w:type="spellEnd"/>
      <w:r w:rsidRPr="0086301C">
        <w:rPr>
          <w:rFonts w:ascii="Times New Roman" w:eastAsia="system-ui" w:hAnsi="Times New Roman" w:cs="Times New Roman"/>
          <w:sz w:val="24"/>
          <w:szCs w:val="24"/>
        </w:rPr>
        <w:t xml:space="preserve">, 1989) posits that people endeavour to accumulate and retain resources necessary for their well-being. Such resources may be tangible (e.g., money, time) or intangible (e.g., energy, knowledge). Students juggling work and study encounter demands on both sides, which deplete these resources. Academic concerns, as well as managing workload, can deplete resources, leading to stress and dissatisfaction. </w:t>
      </w:r>
    </w:p>
    <w:p w14:paraId="1F1E1202" w14:textId="77777777" w:rsidR="00630A4A" w:rsidRPr="0086301C" w:rsidRDefault="002F2F91" w:rsidP="00C85E2F">
      <w:pPr>
        <w:pStyle w:val="Heading2"/>
        <w:spacing w:before="0" w:line="360" w:lineRule="auto"/>
        <w:rPr>
          <w:rFonts w:ascii="Times New Roman" w:hAnsi="Times New Roman" w:cs="Times New Roman"/>
          <w:b/>
          <w:sz w:val="24"/>
          <w:szCs w:val="24"/>
        </w:rPr>
      </w:pPr>
      <w:r w:rsidRPr="0086301C">
        <w:rPr>
          <w:rFonts w:ascii="Times New Roman" w:hAnsi="Times New Roman" w:cs="Times New Roman"/>
          <w:b/>
          <w:color w:val="000000" w:themeColor="text1"/>
          <w:sz w:val="24"/>
          <w:szCs w:val="24"/>
        </w:rPr>
        <w:t xml:space="preserve">2.7 </w:t>
      </w:r>
      <w:r w:rsidR="00630A4A" w:rsidRPr="0086301C">
        <w:rPr>
          <w:rFonts w:ascii="Times New Roman" w:hAnsi="Times New Roman" w:cs="Times New Roman"/>
          <w:b/>
          <w:color w:val="000000" w:themeColor="text1"/>
          <w:sz w:val="24"/>
          <w:szCs w:val="24"/>
        </w:rPr>
        <w:t>Factors Influencing Academic Performance: Expectancy-Value Theory</w:t>
      </w:r>
    </w:p>
    <w:p w14:paraId="5FA5997C" w14:textId="77777777" w:rsidR="00630A4A" w:rsidRPr="0086301C" w:rsidRDefault="00630A4A" w:rsidP="00C85E2F">
      <w:pPr>
        <w:spacing w:line="360" w:lineRule="auto"/>
        <w:rPr>
          <w:rFonts w:ascii="Times New Roman" w:hAnsi="Times New Roman" w:cs="Times New Roman"/>
          <w:sz w:val="24"/>
          <w:szCs w:val="24"/>
        </w:rPr>
      </w:pPr>
      <w:r w:rsidRPr="0086301C">
        <w:rPr>
          <w:rFonts w:ascii="Times New Roman" w:eastAsia="system-ui" w:hAnsi="Times New Roman" w:cs="Times New Roman"/>
          <w:sz w:val="24"/>
          <w:szCs w:val="24"/>
        </w:rPr>
        <w:t xml:space="preserve">Expectancy-value theory (Eccles et al., 1983) proposes that academic performance is shaped by two key factors: perceived expectancy of success and subjective task value. Subjective task value is the perceived relevance and importance of learning. Hybrid models that integrate real-world cases or flexible scheduling could increase the task taxonomy for some learners. However, other students might fail with online components or suffer from a lack of internal motivation. </w:t>
      </w:r>
    </w:p>
    <w:p w14:paraId="6EFE242D" w14:textId="77777777" w:rsidR="00630A4A" w:rsidRPr="0086301C" w:rsidRDefault="002F2F91" w:rsidP="00C85E2F">
      <w:pPr>
        <w:pStyle w:val="Heading1"/>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2.9 </w:t>
      </w:r>
      <w:r w:rsidR="00630A4A" w:rsidRPr="0086301C">
        <w:rPr>
          <w:rFonts w:ascii="Times New Roman" w:hAnsi="Times New Roman" w:cs="Times New Roman"/>
          <w:b/>
          <w:color w:val="000000" w:themeColor="text1"/>
          <w:sz w:val="24"/>
          <w:szCs w:val="24"/>
        </w:rPr>
        <w:t>Student Satisfaction in Hybrid Learning: A UK and Global Perspective</w:t>
      </w:r>
    </w:p>
    <w:p w14:paraId="26BED566" w14:textId="77777777" w:rsidR="00630A4A" w:rsidRPr="0086301C" w:rsidRDefault="00630A4A" w:rsidP="00C85E2F">
      <w:pPr>
        <w:spacing w:line="360" w:lineRule="auto"/>
        <w:ind w:firstLine="720"/>
        <w:rPr>
          <w:rFonts w:ascii="Times New Roman" w:eastAsia="system-ui" w:hAnsi="Times New Roman" w:cs="Times New Roman"/>
          <w:sz w:val="24"/>
          <w:szCs w:val="24"/>
        </w:rPr>
      </w:pPr>
      <w:r w:rsidRPr="0086301C">
        <w:rPr>
          <w:rFonts w:ascii="Times New Roman" w:eastAsia="system-ui" w:hAnsi="Times New Roman" w:cs="Times New Roman"/>
          <w:sz w:val="24"/>
          <w:szCs w:val="24"/>
        </w:rPr>
        <w:t xml:space="preserve">Interaction with the faculty is an essential factor that influences satisfaction levels. A blended health education program for UK students with benefits was shown by Darker et al. (2022) study. The students appreciated the frequent online communication and collaborative activities. Nevertheless, Callaghan et al. (2021), in their study of the Canadian hybrid STEM courses, noted the decreased interaction and feelings of loneliness, which affected satisfaction negatively. Similar challenges facing such studies as those by Al-Qahtani (2020) in Saudi </w:t>
      </w:r>
      <w:r w:rsidRPr="0086301C">
        <w:rPr>
          <w:rFonts w:ascii="Times New Roman" w:eastAsia="system-ui" w:hAnsi="Times New Roman" w:cs="Times New Roman"/>
          <w:sz w:val="24"/>
          <w:szCs w:val="24"/>
        </w:rPr>
        <w:lastRenderedPageBreak/>
        <w:t xml:space="preserve">Arabia and Lee (2021) in Korea were reported. These challenges were the interactive nature of the online study through well-designed activities. Suitable materials and classes are what students require most. Talwar (2023), a UK-based researcher on language program integration, reported that clear standards, structured materials, and online-based activities increased students’ satisfaction. Similar findings were also made in US research by Szopinski and </w:t>
      </w:r>
      <w:proofErr w:type="spellStart"/>
      <w:r w:rsidRPr="0086301C">
        <w:rPr>
          <w:rFonts w:ascii="Times New Roman" w:eastAsia="system-ui" w:hAnsi="Times New Roman" w:cs="Times New Roman"/>
          <w:sz w:val="24"/>
          <w:szCs w:val="24"/>
        </w:rPr>
        <w:t>Bachnik</w:t>
      </w:r>
      <w:proofErr w:type="spellEnd"/>
      <w:r w:rsidRPr="0086301C">
        <w:rPr>
          <w:rFonts w:ascii="Times New Roman" w:eastAsia="system-ui" w:hAnsi="Times New Roman" w:cs="Times New Roman"/>
          <w:sz w:val="24"/>
          <w:szCs w:val="24"/>
        </w:rPr>
        <w:t xml:space="preserve"> (2022) about online versions of face-to-face business courses, which showed that students appreciated the interactive online components and the faculty feedback. However, </w:t>
      </w:r>
      <w:proofErr w:type="spellStart"/>
      <w:r w:rsidRPr="0086301C">
        <w:rPr>
          <w:rFonts w:ascii="Times New Roman" w:eastAsia="system-ui" w:hAnsi="Times New Roman" w:cs="Times New Roman"/>
          <w:sz w:val="24"/>
          <w:szCs w:val="24"/>
        </w:rPr>
        <w:t>Karacok</w:t>
      </w:r>
      <w:proofErr w:type="spellEnd"/>
      <w:r w:rsidRPr="0086301C">
        <w:rPr>
          <w:rFonts w:ascii="Times New Roman" w:eastAsia="system-ui" w:hAnsi="Times New Roman" w:cs="Times New Roman"/>
          <w:sz w:val="24"/>
          <w:szCs w:val="24"/>
        </w:rPr>
        <w:t xml:space="preserve"> Ozturk (2024) in Turkey also found that poorly designed online components with limited faculty support adversely affected the students' satisfaction.</w:t>
      </w:r>
    </w:p>
    <w:p w14:paraId="020D780F" w14:textId="77777777" w:rsidR="00630A4A" w:rsidRPr="0086301C" w:rsidRDefault="00630A4A" w:rsidP="00C85E2F">
      <w:pPr>
        <w:spacing w:line="360" w:lineRule="auto"/>
        <w:ind w:firstLine="720"/>
        <w:rPr>
          <w:rFonts w:ascii="Times New Roman" w:hAnsi="Times New Roman" w:cs="Times New Roman"/>
          <w:sz w:val="24"/>
          <w:szCs w:val="24"/>
        </w:rPr>
      </w:pPr>
      <w:r w:rsidRPr="0086301C">
        <w:rPr>
          <w:rFonts w:ascii="Times New Roman" w:eastAsia="system-ui" w:hAnsi="Times New Roman" w:cs="Times New Roman"/>
          <w:sz w:val="24"/>
          <w:szCs w:val="24"/>
        </w:rPr>
        <w:t>Technology access and assistance are necessary for a positive experience in hybrid learning. In an Australian study by Porter et al. (2020), blended nursing courses conducted by them found that sufficient technological resources and timely technical support for students resulted in a good student experience. Nevertheless, studies such as those conducted by Lee (2021) in Korea have described encounters with restricted access to technology and lack of support associated with a lower-than-expected level of satisfaction.</w:t>
      </w:r>
      <w:r w:rsidRPr="0086301C">
        <w:rPr>
          <w:rFonts w:ascii="Times New Roman" w:hAnsi="Times New Roman" w:cs="Times New Roman"/>
          <w:sz w:val="24"/>
          <w:szCs w:val="24"/>
        </w:rPr>
        <w:t xml:space="preserve"> </w:t>
      </w:r>
      <w:r w:rsidRPr="0086301C">
        <w:rPr>
          <w:rFonts w:ascii="Times New Roman" w:eastAsia="system-ui" w:hAnsi="Times New Roman" w:cs="Times New Roman"/>
          <w:sz w:val="24"/>
          <w:szCs w:val="24"/>
        </w:rPr>
        <w:t>However</w:t>
      </w:r>
      <w:r w:rsidR="008C64DB">
        <w:rPr>
          <w:rFonts w:ascii="Times New Roman" w:eastAsia="system-ui" w:hAnsi="Times New Roman" w:cs="Times New Roman"/>
          <w:sz w:val="24"/>
          <w:szCs w:val="24"/>
        </w:rPr>
        <w:t>,</w:t>
      </w:r>
      <w:r w:rsidRPr="0086301C">
        <w:rPr>
          <w:rFonts w:ascii="Times New Roman" w:eastAsia="system-ui" w:hAnsi="Times New Roman" w:cs="Times New Roman"/>
          <w:sz w:val="24"/>
          <w:szCs w:val="24"/>
        </w:rPr>
        <w:t xml:space="preserve"> Smith et al. (2021) established that a reduced amount of face-to-face interaction can result in feelings of solitude and loneliness and, thus, impact satisfaction. Mourao et al. (2023) found that technological difficulties such as accessibility issues, limited hardware capabilities, and software problems can hamper learning and make it </w:t>
      </w:r>
      <w:proofErr w:type="gramStart"/>
      <w:r w:rsidRPr="0086301C">
        <w:rPr>
          <w:rFonts w:ascii="Times New Roman" w:eastAsia="system-ui" w:hAnsi="Times New Roman" w:cs="Times New Roman"/>
          <w:sz w:val="24"/>
          <w:szCs w:val="24"/>
        </w:rPr>
        <w:t>demotivating</w:t>
      </w:r>
      <w:proofErr w:type="gramEnd"/>
      <w:r w:rsidRPr="0086301C">
        <w:rPr>
          <w:rFonts w:ascii="Times New Roman" w:eastAsia="system-ui" w:hAnsi="Times New Roman" w:cs="Times New Roman"/>
          <w:sz w:val="24"/>
          <w:szCs w:val="24"/>
        </w:rPr>
        <w:t xml:space="preserve">, thus </w:t>
      </w:r>
      <w:r w:rsidR="002D2716">
        <w:rPr>
          <w:rFonts w:ascii="Times New Roman" w:eastAsia="system-ui" w:hAnsi="Times New Roman" w:cs="Times New Roman"/>
          <w:sz w:val="24"/>
          <w:szCs w:val="24"/>
        </w:rPr>
        <w:t>decreasing learner satisfaction</w:t>
      </w:r>
      <w:r w:rsidRPr="0086301C">
        <w:rPr>
          <w:rFonts w:ascii="Times New Roman" w:eastAsia="system-ui" w:hAnsi="Times New Roman" w:cs="Times New Roman"/>
          <w:sz w:val="24"/>
          <w:szCs w:val="24"/>
        </w:rPr>
        <w:t>.</w:t>
      </w:r>
      <w:r w:rsidRPr="0086301C">
        <w:rPr>
          <w:rFonts w:ascii="Times New Roman" w:hAnsi="Times New Roman" w:cs="Times New Roman"/>
          <w:sz w:val="24"/>
          <w:szCs w:val="24"/>
        </w:rPr>
        <w:t xml:space="preserve"> </w:t>
      </w:r>
    </w:p>
    <w:p w14:paraId="59C38E4C" w14:textId="77777777" w:rsidR="00630A4A" w:rsidRPr="0086301C" w:rsidRDefault="002F2F91" w:rsidP="00C85E2F">
      <w:pPr>
        <w:pStyle w:val="Heading1"/>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2.10 </w:t>
      </w:r>
      <w:r w:rsidR="00630A4A" w:rsidRPr="0086301C">
        <w:rPr>
          <w:rFonts w:ascii="Times New Roman" w:hAnsi="Times New Roman" w:cs="Times New Roman"/>
          <w:b/>
          <w:color w:val="000000" w:themeColor="text1"/>
          <w:sz w:val="24"/>
          <w:szCs w:val="24"/>
        </w:rPr>
        <w:t>Work-Learning Balance in Hybrid Models</w:t>
      </w:r>
    </w:p>
    <w:p w14:paraId="3E36D1F4" w14:textId="77777777" w:rsidR="00630A4A" w:rsidRPr="0086301C" w:rsidRDefault="00630A4A"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Course Workload and Scheduling</w:t>
      </w:r>
    </w:p>
    <w:p w14:paraId="58214E0A" w14:textId="77777777" w:rsidR="00630A4A" w:rsidRPr="0086301C" w:rsidRDefault="00630A4A" w:rsidP="00C85E2F">
      <w:pPr>
        <w:spacing w:line="360" w:lineRule="auto"/>
        <w:rPr>
          <w:rFonts w:ascii="Times New Roman" w:eastAsia="system-ui" w:hAnsi="Times New Roman" w:cs="Times New Roman"/>
          <w:sz w:val="24"/>
          <w:szCs w:val="24"/>
        </w:rPr>
      </w:pPr>
      <w:r w:rsidRPr="0086301C">
        <w:rPr>
          <w:rFonts w:ascii="Times New Roman" w:eastAsia="system-ui" w:hAnsi="Times New Roman" w:cs="Times New Roman"/>
          <w:sz w:val="24"/>
          <w:szCs w:val="24"/>
        </w:rPr>
        <w:t>The workload and scheduling of courses have an essential impact on the work-learning balance. The imposition of hefty workloads and inflexible e-elements often creates unwarranted pressure. It blocks the realisation of balance, as suggested by the UK study of blended social work initiatives by Gates et al. (2022). Canadian researchers such as Stevens et al. (2020), who studied hybrid nursing courses, noted that students experienced challenges when the online content was too rigid and increased the stress levels of working students. In contrast, studies such as Cui (2023) in China emphasise the adequate performance of well-structured hybrid models with moderate workloads and alternative scheduling procedures. These models allowed students to anchor their learning to their work commitments and, thus, achieve balance and resolve conflicts.</w:t>
      </w:r>
    </w:p>
    <w:p w14:paraId="10BBABA7" w14:textId="77777777" w:rsidR="00630A4A" w:rsidRPr="0086301C" w:rsidRDefault="00630A4A" w:rsidP="00C85E2F">
      <w:pPr>
        <w:pStyle w:val="Heading2"/>
        <w:spacing w:before="0"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lastRenderedPageBreak/>
        <w:t>University Support Services and Policies</w:t>
      </w:r>
    </w:p>
    <w:p w14:paraId="0AB4ED3A" w14:textId="77777777" w:rsidR="00630A4A" w:rsidRPr="0086301C" w:rsidRDefault="00630A4A" w:rsidP="00C85E2F">
      <w:pPr>
        <w:spacing w:line="360" w:lineRule="auto"/>
        <w:rPr>
          <w:rFonts w:ascii="Times New Roman" w:eastAsia="system-ui" w:hAnsi="Times New Roman" w:cs="Times New Roman"/>
          <w:sz w:val="24"/>
          <w:szCs w:val="24"/>
        </w:rPr>
      </w:pPr>
      <w:r w:rsidRPr="0086301C">
        <w:rPr>
          <w:rFonts w:ascii="Times New Roman" w:eastAsia="system-ui" w:hAnsi="Times New Roman" w:cs="Times New Roman"/>
          <w:sz w:val="24"/>
          <w:szCs w:val="24"/>
        </w:rPr>
        <w:t xml:space="preserve">The character of university services and policies profoundly affect the work-learning balance. A UK-based research study by Lawn et al. (2022) on blended healthcare care programs found that access to e-learning resources, counsellor services, and financial aid improved students' management of work and studies. Similarly, Evans et al. (2023), in their Canadian research about hybrid STEM courses, highlighted the role of flexible deadlines, dedicated study spaces on campus, and career counselling services in fostering student balance. Research by Lee (2022) in Korea found that limited support services and inflexible university policies are significant barriers to achieving balance, increasing </w:t>
      </w:r>
      <w:proofErr w:type="gramStart"/>
      <w:r w:rsidRPr="0086301C">
        <w:rPr>
          <w:rFonts w:ascii="Times New Roman" w:eastAsia="system-ui" w:hAnsi="Times New Roman" w:cs="Times New Roman"/>
          <w:sz w:val="24"/>
          <w:szCs w:val="24"/>
        </w:rPr>
        <w:t>stress</w:t>
      </w:r>
      <w:proofErr w:type="gramEnd"/>
      <w:r w:rsidRPr="0086301C">
        <w:rPr>
          <w:rFonts w:ascii="Times New Roman" w:eastAsia="system-ui" w:hAnsi="Times New Roman" w:cs="Times New Roman"/>
          <w:sz w:val="24"/>
          <w:szCs w:val="24"/>
        </w:rPr>
        <w:t xml:space="preserve"> and eventually making them feel isolated. With emerging hybrid learning, inquiry into powerful pedagogies and associated policies to maximise student engagement, learning outcomes, and study habit development becomes necessary. This section examines research studying various strategies and their role in student progress in hybrid classes.</w:t>
      </w:r>
    </w:p>
    <w:p w14:paraId="59FD8F74" w14:textId="77777777" w:rsidR="00630A4A" w:rsidRPr="0086301C" w:rsidRDefault="00FC6FCB" w:rsidP="00C85E2F">
      <w:pPr>
        <w:pStyle w:val="Heading2"/>
        <w:spacing w:before="0" w:line="360" w:lineRule="auto"/>
        <w:rPr>
          <w:rFonts w:ascii="Times New Roman" w:hAnsi="Times New Roman" w:cs="Times New Roman"/>
          <w:sz w:val="24"/>
          <w:szCs w:val="24"/>
        </w:rPr>
      </w:pPr>
      <w:r>
        <w:rPr>
          <w:rFonts w:ascii="Times New Roman" w:hAnsi="Times New Roman" w:cs="Times New Roman"/>
          <w:b/>
          <w:color w:val="000000" w:themeColor="text1"/>
          <w:sz w:val="24"/>
          <w:szCs w:val="24"/>
        </w:rPr>
        <w:t xml:space="preserve"> </w:t>
      </w:r>
      <w:r w:rsidR="00F01A1B">
        <w:rPr>
          <w:rFonts w:ascii="Times New Roman" w:hAnsi="Times New Roman" w:cs="Times New Roman"/>
          <w:b/>
          <w:color w:val="000000" w:themeColor="text1"/>
          <w:sz w:val="24"/>
          <w:szCs w:val="24"/>
        </w:rPr>
        <w:t>2.11</w:t>
      </w:r>
      <w:r w:rsidR="002F2F91" w:rsidRPr="0086301C">
        <w:rPr>
          <w:rFonts w:ascii="Times New Roman" w:hAnsi="Times New Roman" w:cs="Times New Roman"/>
          <w:b/>
          <w:color w:val="000000" w:themeColor="text1"/>
          <w:sz w:val="24"/>
          <w:szCs w:val="24"/>
        </w:rPr>
        <w:t xml:space="preserve"> </w:t>
      </w:r>
      <w:r w:rsidR="00630A4A" w:rsidRPr="0086301C">
        <w:rPr>
          <w:rFonts w:ascii="Times New Roman" w:hAnsi="Times New Roman" w:cs="Times New Roman"/>
          <w:b/>
          <w:color w:val="000000" w:themeColor="text1"/>
          <w:sz w:val="24"/>
          <w:szCs w:val="24"/>
        </w:rPr>
        <w:t>Gaps in Literature</w:t>
      </w:r>
    </w:p>
    <w:p w14:paraId="6F75369F" w14:textId="77777777" w:rsidR="00630A4A" w:rsidRPr="0086301C" w:rsidRDefault="00630A4A"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 xml:space="preserve">Despite the progress made in the study of blended learning, significant misunderstandings about the concept persist. One important focus area is research with discipline-specific orientation. Although general patterns might be present, hybrid learning’s effect is likely tailored across the disciplines, given the differences in content needs, learning styles, and assessment methods. Finally, long-term investigations are required. While initial studies provide snapshots, how the hybrid models impact student formation, career perspectives, and lifelong learning skills long term is yet unclear. Eventually, the current research scene ignores the student diversity perspective. </w:t>
      </w:r>
    </w:p>
    <w:p w14:paraId="7EBD57A9" w14:textId="77777777" w:rsidR="00630A4A" w:rsidRPr="0086301C" w:rsidRDefault="002F2F91" w:rsidP="00C85E2F">
      <w:pPr>
        <w:pStyle w:val="Heading2"/>
        <w:spacing w:before="0" w:line="360" w:lineRule="auto"/>
        <w:rPr>
          <w:rFonts w:ascii="Times New Roman" w:hAnsi="Times New Roman" w:cs="Times New Roman"/>
          <w:b/>
          <w:sz w:val="24"/>
          <w:szCs w:val="24"/>
        </w:rPr>
      </w:pPr>
      <w:r w:rsidRPr="0086301C">
        <w:rPr>
          <w:rFonts w:ascii="Times New Roman" w:hAnsi="Times New Roman" w:cs="Times New Roman"/>
          <w:b/>
          <w:color w:val="000000" w:themeColor="text1"/>
          <w:sz w:val="24"/>
          <w:szCs w:val="24"/>
        </w:rPr>
        <w:t xml:space="preserve">2.13 </w:t>
      </w:r>
      <w:r w:rsidR="00630A4A" w:rsidRPr="0086301C">
        <w:rPr>
          <w:rFonts w:ascii="Times New Roman" w:hAnsi="Times New Roman" w:cs="Times New Roman"/>
          <w:b/>
          <w:color w:val="000000" w:themeColor="text1"/>
          <w:sz w:val="24"/>
          <w:szCs w:val="24"/>
        </w:rPr>
        <w:t>Summary</w:t>
      </w:r>
      <w:r w:rsidR="00317278" w:rsidRPr="0086301C">
        <w:rPr>
          <w:rFonts w:ascii="Times New Roman" w:hAnsi="Times New Roman" w:cs="Times New Roman"/>
          <w:b/>
          <w:color w:val="000000" w:themeColor="text1"/>
          <w:sz w:val="24"/>
          <w:szCs w:val="24"/>
        </w:rPr>
        <w:t xml:space="preserve"> of Chapter 2</w:t>
      </w:r>
    </w:p>
    <w:p w14:paraId="40D8EFCC" w14:textId="77777777" w:rsidR="00317278" w:rsidRPr="0086301C" w:rsidRDefault="00630A4A" w:rsidP="00F55076">
      <w:pPr>
        <w:spacing w:line="360" w:lineRule="auto"/>
        <w:rPr>
          <w:rFonts w:ascii="Times New Roman" w:hAnsi="Times New Roman" w:cs="Times New Roman"/>
          <w:sz w:val="24"/>
          <w:szCs w:val="24"/>
        </w:rPr>
      </w:pPr>
      <w:r w:rsidRPr="0086301C">
        <w:rPr>
          <w:rFonts w:ascii="Times New Roman" w:eastAsia="system-ui" w:hAnsi="Times New Roman" w:cs="Times New Roman"/>
          <w:sz w:val="24"/>
          <w:szCs w:val="24"/>
        </w:rPr>
        <w:t xml:space="preserve">Chapter 2 explores the complexity and the beauty of hybrid learning and its aspects of flexibility, time management, and high-quality teaching and how they contribute to student satisfaction. Nevertheless, isolation, technology problems, and self-regulation issues lie in their crosshairs. Also, work-life balance depends on factors such as workload, class workload, and personal skills, whereas the contribution of the university is critical. Some studies prove no significance in academic achievement, while others suggest that poorly designed models and lack of support can be detrimental. </w:t>
      </w:r>
    </w:p>
    <w:p w14:paraId="5D743342" w14:textId="77777777" w:rsidR="00317278" w:rsidRPr="0086301C" w:rsidRDefault="00317278" w:rsidP="00C85E2F">
      <w:pPr>
        <w:pStyle w:val="Heading1"/>
        <w:spacing w:line="360" w:lineRule="auto"/>
        <w:jc w:val="center"/>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lastRenderedPageBreak/>
        <w:t>Chapter 3: Research Methods and Methodologies</w:t>
      </w:r>
    </w:p>
    <w:p w14:paraId="4DDF5620"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3.1 Introduction</w:t>
      </w:r>
    </w:p>
    <w:p w14:paraId="0BF7D9BA"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Chapter 3 focuses on the in-depth analysis of the chosen research methods and methodologies, comprehensively analysing the philosophical and paradigmatic foundations underpinning the study. This section is about the underlying rules that dictate the research framework</w:t>
      </w:r>
      <w:r w:rsidR="000E368F" w:rsidRPr="0086301C">
        <w:rPr>
          <w:rFonts w:ascii="Times New Roman" w:hAnsi="Times New Roman" w:cs="Times New Roman"/>
          <w:sz w:val="24"/>
          <w:szCs w:val="24"/>
        </w:rPr>
        <w:t xml:space="preserve"> based on the research onion by Saunders (2019).</w:t>
      </w:r>
    </w:p>
    <w:p w14:paraId="3E686EB7" w14:textId="77777777" w:rsidR="000E368F" w:rsidRPr="0086301C" w:rsidRDefault="000E368F" w:rsidP="000E368F">
      <w:pPr>
        <w:keepNext/>
        <w:spacing w:line="360" w:lineRule="auto"/>
        <w:rPr>
          <w:rFonts w:ascii="Times New Roman" w:hAnsi="Times New Roman" w:cs="Times New Roman"/>
        </w:rPr>
      </w:pPr>
      <w:r w:rsidRPr="0086301C">
        <w:rPr>
          <w:rFonts w:ascii="Times New Roman" w:hAnsi="Times New Roman" w:cs="Times New Roman"/>
          <w:noProof/>
          <w:sz w:val="24"/>
          <w:szCs w:val="24"/>
          <w:lang w:val="en-US"/>
        </w:rPr>
        <w:drawing>
          <wp:inline distT="0" distB="0" distL="0" distR="0" wp14:anchorId="031B7E1C" wp14:editId="50C1AFD8">
            <wp:extent cx="4983480" cy="3817620"/>
            <wp:effectExtent l="0" t="0" r="0" b="0"/>
            <wp:docPr id="1800021604" name="Picture 2" descr="Research Onion (Saunders, Lewis and Thornhill, 2019, p13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21604" name="Picture 3" descr="Research Onion (Saunders, Lewis and Thornhill, 2019, p130)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983480" cy="3817620"/>
                    </a:xfrm>
                    <a:prstGeom prst="rect">
                      <a:avLst/>
                    </a:prstGeom>
                    <a:noFill/>
                    <a:ln>
                      <a:noFill/>
                    </a:ln>
                  </pic:spPr>
                </pic:pic>
              </a:graphicData>
            </a:graphic>
          </wp:inline>
        </w:drawing>
      </w:r>
    </w:p>
    <w:p w14:paraId="476C3A85" w14:textId="77777777" w:rsidR="000E368F" w:rsidRPr="0086301C" w:rsidRDefault="000E368F" w:rsidP="000E368F">
      <w:pPr>
        <w:pStyle w:val="Caption"/>
        <w:rPr>
          <w:rFonts w:ascii="Times New Roman" w:hAnsi="Times New Roman" w:cs="Times New Roman"/>
          <w:sz w:val="24"/>
          <w:szCs w:val="24"/>
        </w:rPr>
      </w:pPr>
      <w:r w:rsidRPr="0086301C">
        <w:rPr>
          <w:rFonts w:ascii="Times New Roman" w:hAnsi="Times New Roman" w:cs="Times New Roman"/>
        </w:rPr>
        <w:t xml:space="preserve">Figure </w:t>
      </w:r>
      <w:r w:rsidRPr="0086301C">
        <w:rPr>
          <w:rFonts w:ascii="Times New Roman" w:hAnsi="Times New Roman" w:cs="Times New Roman"/>
        </w:rPr>
        <w:fldChar w:fldCharType="begin"/>
      </w:r>
      <w:r w:rsidRPr="0086301C">
        <w:rPr>
          <w:rFonts w:ascii="Times New Roman" w:hAnsi="Times New Roman" w:cs="Times New Roman"/>
        </w:rPr>
        <w:instrText xml:space="preserve"> SEQ Figure \* ARABIC </w:instrText>
      </w:r>
      <w:r w:rsidRPr="0086301C">
        <w:rPr>
          <w:rFonts w:ascii="Times New Roman" w:hAnsi="Times New Roman" w:cs="Times New Roman"/>
        </w:rPr>
        <w:fldChar w:fldCharType="separate"/>
      </w:r>
      <w:r w:rsidRPr="0086301C">
        <w:rPr>
          <w:rFonts w:ascii="Times New Roman" w:hAnsi="Times New Roman" w:cs="Times New Roman"/>
          <w:noProof/>
        </w:rPr>
        <w:t>2</w:t>
      </w:r>
      <w:r w:rsidRPr="0086301C">
        <w:rPr>
          <w:rFonts w:ascii="Times New Roman" w:hAnsi="Times New Roman" w:cs="Times New Roman"/>
        </w:rPr>
        <w:fldChar w:fldCharType="end"/>
      </w:r>
      <w:r w:rsidRPr="0086301C">
        <w:rPr>
          <w:rFonts w:ascii="Times New Roman" w:hAnsi="Times New Roman" w:cs="Times New Roman"/>
        </w:rPr>
        <w:t>: Research Onion by Saunders (2019)</w:t>
      </w:r>
    </w:p>
    <w:p w14:paraId="1E0DEA91"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3.2 Research Philosophy</w:t>
      </w:r>
    </w:p>
    <w:p w14:paraId="16EC85E2"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The philosophical stand that informs this research is positivism. Positivism is associated with views that observable reality can be systematically studied to achieve general findings (Saunders, 2019). The choice is influenced by research objectives that require studying the effect of hybrid work and learning on the level of student satisfaction and work-learning balance to be measured quantitatively (Saunders, 2019). Positivist methodology ensures a systematic and objective treatment, leading to</w:t>
      </w:r>
    </w:p>
    <w:p w14:paraId="0AD8F457"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3.3 Research Paradigm </w:t>
      </w:r>
    </w:p>
    <w:p w14:paraId="40225ACA"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 xml:space="preserve">The research conforms to a positivist paradigm, seeking to discover causal patterns and relationships in a controlled and measurable setting. The positivist paradigm is relevant to </w:t>
      </w:r>
      <w:r w:rsidRPr="0086301C">
        <w:rPr>
          <w:rFonts w:ascii="Times New Roman" w:hAnsi="Times New Roman" w:cs="Times New Roman"/>
          <w:sz w:val="24"/>
          <w:szCs w:val="24"/>
        </w:rPr>
        <w:lastRenderedPageBreak/>
        <w:t>this study because it places importance on empirical observation and the testing of hypotheses (Saunders, 2019). The study uses a positivist paradigm to achieve objectivity and replicability, which helps advance the body of knowledge on hybrid work and learning in the UK.</w:t>
      </w:r>
    </w:p>
    <w:p w14:paraId="0101BF2B"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3.4 Research Approach </w:t>
      </w:r>
    </w:p>
    <w:p w14:paraId="3B0F888C"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The chosen research approach is deductive (Saunders, 2019). The deductive approach is built on a theoretical framework, and hypotheses deduced from other theories. In the scope of this study, the reasoned approach is appropriate because it considers the explanatory basis of the Job Demand-Resources (JD-R) Model (Saunders, 2019). This model constitutes the basis for investigating how demands and resources in the hybrid ecosystems impact student satisfaction and work-learning balance. The deductive approach enables testing of the specific propositions developed from the JD-R Model, contributing to the comprehensive comprehension of the intricate dynamic between hybrid work and learning.</w:t>
      </w:r>
    </w:p>
    <w:p w14:paraId="5DF637FA"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3.5 Research Methodology</w:t>
      </w:r>
    </w:p>
    <w:p w14:paraId="49CE644F"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The methodological approach for this research is quantitative but supplemented by qualitative hints. Using quantitative methods allows the systematic gathering and processing of numerical data, thus helping to statistically understand the effects of hybrid work and learning on student satisfaction and work-study balance (Saunders, 2019). This strategy is used to produce measurable and generalizable results, thus contributing to a more extensive research topic. Adding qualitative aspects to the study gives an in-depth analysis, capturing the unique insights and perceptions of the study phenomenon.</w:t>
      </w:r>
    </w:p>
    <w:p w14:paraId="0DEB1986"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 xml:space="preserve">3.6 Research Strategy </w:t>
      </w:r>
      <w:proofErr w:type="gramStart"/>
      <w:r w:rsidRPr="0086301C">
        <w:rPr>
          <w:rFonts w:ascii="Times New Roman" w:hAnsi="Times New Roman" w:cs="Times New Roman"/>
          <w:b/>
          <w:color w:val="000000" w:themeColor="text1"/>
          <w:sz w:val="24"/>
          <w:szCs w:val="24"/>
        </w:rPr>
        <w:t>And</w:t>
      </w:r>
      <w:proofErr w:type="gramEnd"/>
      <w:r w:rsidRPr="0086301C">
        <w:rPr>
          <w:rFonts w:ascii="Times New Roman" w:hAnsi="Times New Roman" w:cs="Times New Roman"/>
          <w:b/>
          <w:color w:val="000000" w:themeColor="text1"/>
          <w:sz w:val="24"/>
          <w:szCs w:val="24"/>
        </w:rPr>
        <w:t xml:space="preserve"> Design</w:t>
      </w:r>
    </w:p>
    <w:p w14:paraId="0F3ECF99"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This research employs a mixed-method strategy that integrates quantitative and qualitative approaches (Saunders, 2019). This design offers a holistic view of the research process that allows for the triangulation of data and a more refined understanding of the research questions. Quantitative measures involve a survey with structured questionnaires, which help collect numerical data for statistical analysis (Saunders, 2019). The qualitative part includes open-ended questions that let participants narrate their experiences in their own words. This mixed model approach capitalizes on the strengths of each method, thus providing an integrated and detailed analysis of the impact of hybrid working and learning.</w:t>
      </w:r>
    </w:p>
    <w:p w14:paraId="77AED09C"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lastRenderedPageBreak/>
        <w:t>3.7. Research Sample and Population</w:t>
      </w:r>
    </w:p>
    <w:p w14:paraId="0885DB13"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This study's population is UWTSD students enrolled at the University of Wales Trinity Saint David (UWTSD). The sample will consist of 30 UWTSD students, selected through convenience sampling because of accessibility limits. Convenience sampling provides a practical and manageable method of participant recruitment within the boundaries of the research. Included in the sample are students who participate in both face-to-face and remote learning at the same time. Applying this purposeful approach allows a specific exploration of students' journeys in hybrid learning and working in the designated educational setting.</w:t>
      </w:r>
    </w:p>
    <w:p w14:paraId="123218AF"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3.8.1 Data Collection</w:t>
      </w:r>
    </w:p>
    <w:p w14:paraId="26E9AE91"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This survey research will utilize Google Docs to collect data through an online multi-lingual survey. The survey will be administered to the University of Wales Trinity Saint David (UWTSD) students and includes undergraduates working remotely and in class. The survey has two sections: one examining work experiences and another examining education and studying. The instrument will use closed-ended questions, such as 5-point Likert scales and above, and open-ended questions. The presence of both kinds of questions facilitates an in-depth investigation of both quantitative and qualitative variables.</w:t>
      </w:r>
    </w:p>
    <w:p w14:paraId="6DDAC4F8"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The survey will be structured to be completed in 20 minutes, achieving thoroughness while keeping participants engaged. Internet surveys increase accessibility and allow responses from various student groups.</w:t>
      </w:r>
    </w:p>
    <w:p w14:paraId="7CC34531" w14:textId="77777777" w:rsidR="00317278" w:rsidRPr="0086301C" w:rsidRDefault="00317278" w:rsidP="00C85E2F">
      <w:pPr>
        <w:pStyle w:val="Heading3"/>
        <w:spacing w:line="360" w:lineRule="auto"/>
        <w:rPr>
          <w:rFonts w:ascii="Times New Roman" w:hAnsi="Times New Roman" w:cs="Times New Roman"/>
          <w:b/>
          <w:color w:val="000000" w:themeColor="text1"/>
        </w:rPr>
      </w:pPr>
      <w:r w:rsidRPr="0086301C">
        <w:rPr>
          <w:rFonts w:ascii="Times New Roman" w:hAnsi="Times New Roman" w:cs="Times New Roman"/>
          <w:b/>
          <w:color w:val="000000" w:themeColor="text1"/>
        </w:rPr>
        <w:t>3.8.2 Data Analysis Tools/Techniques</w:t>
      </w:r>
    </w:p>
    <w:p w14:paraId="6A42669A"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The collected data will be subjected to a double analysis using quantitative and qualitative techniques. Quantitatively, Microsoft Excel will be used for data generation that will be used to perform statistical analyses like descriptive statistics, correlations, and inferential statistics. This method guarantees a scrutiny of the numerical parts of the research questions. The thematic analysis of the qualitative data obtained from open-ended questions will be carried out following the approach explained by Braun and Clarke (2006). Thematic analysis will help identify and interpret patterns and themes that emerge from qualitative data, providing a detailed and nuanced meaning of participants' interpretations.</w:t>
      </w:r>
    </w:p>
    <w:p w14:paraId="10672140"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3.9 Ethical Considerations of the Research</w:t>
      </w:r>
    </w:p>
    <w:p w14:paraId="5F735F07"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sz w:val="24"/>
          <w:szCs w:val="24"/>
        </w:rPr>
        <w:t>Ethics in human research are critically important for protecting the interests and rights of human participants. undefined</w:t>
      </w:r>
    </w:p>
    <w:p w14:paraId="68117405"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b/>
          <w:sz w:val="24"/>
          <w:szCs w:val="24"/>
        </w:rPr>
        <w:lastRenderedPageBreak/>
        <w:t>• Informed Consent.</w:t>
      </w:r>
      <w:r w:rsidRPr="0086301C">
        <w:rPr>
          <w:rFonts w:ascii="Times New Roman" w:hAnsi="Times New Roman" w:cs="Times New Roman"/>
          <w:sz w:val="24"/>
          <w:szCs w:val="24"/>
        </w:rPr>
        <w:t xml:space="preserve"> The participants will be given a consent form detailing the study's purpose, procedures, and potential risks. Their agreement to participate will be confirmed through signed consent.</w:t>
      </w:r>
    </w:p>
    <w:p w14:paraId="009CD3EA"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b/>
          <w:sz w:val="24"/>
          <w:szCs w:val="24"/>
        </w:rPr>
        <w:t>• Confidentiality</w:t>
      </w:r>
      <w:r w:rsidRPr="0086301C">
        <w:rPr>
          <w:rFonts w:ascii="Times New Roman" w:hAnsi="Times New Roman" w:cs="Times New Roman"/>
          <w:sz w:val="24"/>
          <w:szCs w:val="24"/>
        </w:rPr>
        <w:t>. Personal information will be encoded, substituting names with letters or numbers to assure the participants' anonymity. Responses will be maintained confidential; access will be given to the researcher only to protect privacy.</w:t>
      </w:r>
    </w:p>
    <w:p w14:paraId="1B7A614C"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b/>
          <w:sz w:val="24"/>
          <w:szCs w:val="24"/>
        </w:rPr>
        <w:t>• Transparency.</w:t>
      </w:r>
      <w:r w:rsidRPr="0086301C">
        <w:rPr>
          <w:rFonts w:ascii="Times New Roman" w:hAnsi="Times New Roman" w:cs="Times New Roman"/>
          <w:sz w:val="24"/>
          <w:szCs w:val="24"/>
        </w:rPr>
        <w:t xml:space="preserve"> The research process will be conducted openly, with study participants knowing the study's aims, methods, and possible outcomes. All the inquiries and concerns will be dealt with effectively.</w:t>
      </w:r>
    </w:p>
    <w:p w14:paraId="40F3574F" w14:textId="77777777" w:rsidR="00317278" w:rsidRPr="0086301C" w:rsidRDefault="00317278" w:rsidP="00C85E2F">
      <w:pPr>
        <w:spacing w:line="360" w:lineRule="auto"/>
        <w:rPr>
          <w:rFonts w:ascii="Times New Roman" w:hAnsi="Times New Roman" w:cs="Times New Roman"/>
          <w:sz w:val="24"/>
          <w:szCs w:val="24"/>
        </w:rPr>
      </w:pPr>
      <w:r w:rsidRPr="0086301C">
        <w:rPr>
          <w:rFonts w:ascii="Times New Roman" w:hAnsi="Times New Roman" w:cs="Times New Roman"/>
          <w:b/>
          <w:sz w:val="24"/>
          <w:szCs w:val="24"/>
        </w:rPr>
        <w:t>• Respect for Participants.</w:t>
      </w:r>
      <w:r w:rsidRPr="0086301C">
        <w:rPr>
          <w:rFonts w:ascii="Times New Roman" w:hAnsi="Times New Roman" w:cs="Times New Roman"/>
          <w:sz w:val="24"/>
          <w:szCs w:val="24"/>
        </w:rPr>
        <w:t xml:space="preserve"> The participants' autonomy and right to withdraw independently from the study without any consequences will be respected. Their views and experiences will be seen with careful consideration and without prejudice.</w:t>
      </w:r>
    </w:p>
    <w:p w14:paraId="5269479B" w14:textId="77777777" w:rsidR="00317278" w:rsidRPr="0086301C" w:rsidRDefault="00317278" w:rsidP="00C85E2F">
      <w:pPr>
        <w:pStyle w:val="Heading2"/>
        <w:spacing w:line="360" w:lineRule="auto"/>
        <w:rPr>
          <w:rFonts w:ascii="Times New Roman" w:hAnsi="Times New Roman" w:cs="Times New Roman"/>
          <w:b/>
          <w:color w:val="000000" w:themeColor="text1"/>
          <w:sz w:val="24"/>
          <w:szCs w:val="24"/>
        </w:rPr>
      </w:pPr>
      <w:r w:rsidRPr="0086301C">
        <w:rPr>
          <w:rFonts w:ascii="Times New Roman" w:hAnsi="Times New Roman" w:cs="Times New Roman"/>
          <w:b/>
          <w:color w:val="000000" w:themeColor="text1"/>
          <w:sz w:val="24"/>
          <w:szCs w:val="24"/>
        </w:rPr>
        <w:t>3.10 Summary of Chapter 3.</w:t>
      </w:r>
    </w:p>
    <w:p w14:paraId="2BECD5A2" w14:textId="77777777" w:rsidR="00317278" w:rsidRDefault="00317278" w:rsidP="00C85E2F">
      <w:pPr>
        <w:spacing w:line="360" w:lineRule="auto"/>
        <w:ind w:firstLine="720"/>
        <w:rPr>
          <w:rFonts w:ascii="Times New Roman" w:hAnsi="Times New Roman" w:cs="Times New Roman"/>
          <w:sz w:val="24"/>
          <w:szCs w:val="24"/>
        </w:rPr>
      </w:pPr>
      <w:r w:rsidRPr="0086301C">
        <w:rPr>
          <w:rFonts w:ascii="Times New Roman" w:hAnsi="Times New Roman" w:cs="Times New Roman"/>
          <w:sz w:val="24"/>
          <w:szCs w:val="24"/>
        </w:rPr>
        <w:t>Chapter 3 presents a detailed description of the research methods and methodologies used in the study, thus leaving room for transparency and clarity in the process of research used to investigate the impact of hybrid work and learning on student satisfaction and work-learning balance in the UK education sector (Saunders, 2019). The philosophical position of positivism was chosen, consistent with the notion that observable reality can be scientifically studied to produce generalizable output. This choice is appropriate as it corresponds to the research objectives, which include quantitative measurement of the research questions. The theoretical approach based on the logical starting point within positivism is the inductive one (Saunders, 2019). It provides for a structured study of the interdependencies of both issues. The approach is mainly quantitative, with a quantitative/qualitative mix.</w:t>
      </w:r>
    </w:p>
    <w:p w14:paraId="37CC76E7" w14:textId="77777777" w:rsidR="00D567F8" w:rsidRDefault="00D567F8" w:rsidP="00C85E2F">
      <w:pPr>
        <w:spacing w:line="360" w:lineRule="auto"/>
        <w:ind w:firstLine="720"/>
        <w:rPr>
          <w:rFonts w:ascii="Times New Roman" w:hAnsi="Times New Roman" w:cs="Times New Roman"/>
          <w:sz w:val="24"/>
          <w:szCs w:val="24"/>
        </w:rPr>
      </w:pPr>
    </w:p>
    <w:p w14:paraId="39FA4799" w14:textId="77777777" w:rsidR="00D567F8" w:rsidRPr="007152DF" w:rsidRDefault="00D567F8" w:rsidP="00D567F8">
      <w:pPr>
        <w:pStyle w:val="Heading1"/>
        <w:spacing w:before="0" w:line="480" w:lineRule="auto"/>
        <w:jc w:val="center"/>
        <w:rPr>
          <w:rFonts w:ascii="Times New Roman" w:hAnsi="Times New Roman" w:cs="Times New Roman"/>
          <w:b/>
          <w:color w:val="auto"/>
          <w:sz w:val="24"/>
          <w:szCs w:val="24"/>
        </w:rPr>
      </w:pPr>
      <w:r w:rsidRPr="007152DF">
        <w:rPr>
          <w:rFonts w:ascii="Times New Roman" w:hAnsi="Times New Roman" w:cs="Times New Roman"/>
          <w:b/>
          <w:color w:val="auto"/>
          <w:sz w:val="24"/>
          <w:szCs w:val="24"/>
        </w:rPr>
        <w:t>Chapter 4: Data Analysis and Discussions</w:t>
      </w:r>
    </w:p>
    <w:p w14:paraId="51997D97" w14:textId="77777777" w:rsidR="00D567F8" w:rsidRPr="007152DF" w:rsidRDefault="00D567F8" w:rsidP="00D567F8">
      <w:pPr>
        <w:pStyle w:val="Heading2"/>
        <w:spacing w:before="0" w:line="480" w:lineRule="auto"/>
        <w:rPr>
          <w:rFonts w:ascii="Times New Roman" w:hAnsi="Times New Roman" w:cs="Times New Roman"/>
          <w:b/>
          <w:color w:val="auto"/>
          <w:sz w:val="24"/>
          <w:szCs w:val="24"/>
        </w:rPr>
      </w:pPr>
      <w:r w:rsidRPr="007152DF">
        <w:rPr>
          <w:rFonts w:ascii="Times New Roman" w:hAnsi="Times New Roman" w:cs="Times New Roman"/>
          <w:b/>
          <w:color w:val="auto"/>
          <w:sz w:val="24"/>
          <w:szCs w:val="24"/>
        </w:rPr>
        <w:t>Introduction</w:t>
      </w:r>
    </w:p>
    <w:p w14:paraId="0873EEDD"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 xml:space="preserve">This chapter provides a presentation of the findings derived from the data collection process and advances toward a detailed discussion of the data about the research problem. The chapter begins with a description of the demographic backgrounds of the participants that gives a context for the following data analysis. Next, it advances to the qualitative part, which </w:t>
      </w:r>
      <w:r w:rsidRPr="007152DF">
        <w:rPr>
          <w:rFonts w:ascii="Times New Roman" w:hAnsi="Times New Roman" w:cs="Times New Roman"/>
          <w:sz w:val="24"/>
          <w:szCs w:val="24"/>
        </w:rPr>
        <w:lastRenderedPageBreak/>
        <w:t xml:space="preserve">focuses on metrics like student satisfaction, work-life balance (perceived), and academic performance. Statistical methods like descriptive statistics, correlations, and inferential statistics are used to unveil such relationships and to build models that can predict hybrid learning and working needs and preferences. This stage is then followed by qualitative data acquired from </w:t>
      </w:r>
      <w:r w:rsidR="004B70ED">
        <w:rPr>
          <w:rFonts w:ascii="Times New Roman" w:hAnsi="Times New Roman" w:cs="Times New Roman"/>
          <w:sz w:val="24"/>
          <w:szCs w:val="24"/>
        </w:rPr>
        <w:t>open-ended</w:t>
      </w:r>
      <w:r w:rsidRPr="007152DF">
        <w:rPr>
          <w:rFonts w:ascii="Times New Roman" w:hAnsi="Times New Roman" w:cs="Times New Roman"/>
          <w:sz w:val="24"/>
          <w:szCs w:val="24"/>
        </w:rPr>
        <w:t xml:space="preserve"> survey questions after the quantitative analysis. With the help of the thematic analysis, shared themes are derived and analysed enabling extra perspective on students' and teachers' lives with mixed work and learning. The qualitative data gives more detail and information to what the quantitative analysis has got, deepening the comprehension of the challenges and opportunities of blended education models.</w:t>
      </w:r>
    </w:p>
    <w:p w14:paraId="629F4211" w14:textId="77777777" w:rsidR="00D567F8" w:rsidRDefault="00D567F8" w:rsidP="00D567F8">
      <w:pPr>
        <w:pStyle w:val="Heading2"/>
        <w:spacing w:before="0" w:line="480" w:lineRule="auto"/>
        <w:rPr>
          <w:rFonts w:ascii="Times New Roman" w:hAnsi="Times New Roman" w:cs="Times New Roman"/>
          <w:b/>
          <w:color w:val="auto"/>
          <w:sz w:val="24"/>
          <w:szCs w:val="24"/>
        </w:rPr>
      </w:pPr>
      <w:r w:rsidRPr="00D567F8">
        <w:rPr>
          <w:rFonts w:ascii="Times New Roman" w:hAnsi="Times New Roman" w:cs="Times New Roman"/>
          <w:b/>
          <w:color w:val="auto"/>
          <w:sz w:val="24"/>
          <w:szCs w:val="24"/>
        </w:rPr>
        <w:t>4.2</w:t>
      </w:r>
      <w:r w:rsidRPr="007152DF">
        <w:rPr>
          <w:rFonts w:ascii="Times New Roman" w:hAnsi="Times New Roman" w:cs="Times New Roman"/>
          <w:color w:val="auto"/>
          <w:sz w:val="24"/>
          <w:szCs w:val="24"/>
        </w:rPr>
        <w:t xml:space="preserve"> </w:t>
      </w:r>
      <w:r w:rsidRPr="00D567F8">
        <w:rPr>
          <w:rFonts w:ascii="Times New Roman" w:hAnsi="Times New Roman" w:cs="Times New Roman"/>
          <w:b/>
          <w:color w:val="auto"/>
          <w:sz w:val="24"/>
          <w:szCs w:val="24"/>
        </w:rPr>
        <w:t>Data Analysis</w:t>
      </w:r>
    </w:p>
    <w:p w14:paraId="12B65F58" w14:textId="77777777" w:rsidR="003A5013" w:rsidRPr="003A5013" w:rsidRDefault="003A5013" w:rsidP="003A5013"/>
    <w:p w14:paraId="79746C49" w14:textId="77777777" w:rsidR="00D567F8" w:rsidRPr="007152DF" w:rsidRDefault="00D567F8" w:rsidP="00D567F8">
      <w:pPr>
        <w:pStyle w:val="Heading3"/>
        <w:spacing w:before="0" w:line="480" w:lineRule="auto"/>
        <w:rPr>
          <w:rFonts w:ascii="Times New Roman" w:hAnsi="Times New Roman" w:cs="Times New Roman"/>
          <w:b/>
          <w:color w:val="auto"/>
        </w:rPr>
      </w:pPr>
      <w:r w:rsidRPr="007152DF">
        <w:rPr>
          <w:rFonts w:ascii="Times New Roman" w:hAnsi="Times New Roman" w:cs="Times New Roman"/>
          <w:b/>
          <w:color w:val="auto"/>
        </w:rPr>
        <w:t xml:space="preserve">4.2.1 </w:t>
      </w:r>
      <w:r w:rsidR="00EF4AC9">
        <w:rPr>
          <w:rFonts w:ascii="Times New Roman" w:hAnsi="Times New Roman" w:cs="Times New Roman"/>
          <w:b/>
          <w:color w:val="auto"/>
        </w:rPr>
        <w:t>Participants</w:t>
      </w:r>
      <w:r w:rsidR="00D70282">
        <w:rPr>
          <w:rFonts w:ascii="Times New Roman" w:hAnsi="Times New Roman" w:cs="Times New Roman"/>
          <w:b/>
          <w:color w:val="auto"/>
        </w:rPr>
        <w:t xml:space="preserve"> </w:t>
      </w:r>
      <w:r w:rsidRPr="007152DF">
        <w:rPr>
          <w:rFonts w:ascii="Times New Roman" w:hAnsi="Times New Roman" w:cs="Times New Roman"/>
          <w:b/>
          <w:color w:val="auto"/>
        </w:rPr>
        <w:t>Demographic Characteristics</w:t>
      </w:r>
    </w:p>
    <w:p w14:paraId="026B2B01" w14:textId="77777777" w:rsidR="00D567F8"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 xml:space="preserve">The specific characteristics of the surveyed students attending the </w:t>
      </w:r>
      <w:r w:rsidR="00981EF8" w:rsidRPr="007152DF">
        <w:rPr>
          <w:rFonts w:ascii="Times New Roman" w:hAnsi="Times New Roman" w:cs="Times New Roman"/>
          <w:sz w:val="24"/>
          <w:szCs w:val="24"/>
        </w:rPr>
        <w:t>University</w:t>
      </w:r>
      <w:r w:rsidRPr="007152DF">
        <w:rPr>
          <w:rFonts w:ascii="Times New Roman" w:hAnsi="Times New Roman" w:cs="Times New Roman"/>
          <w:sz w:val="24"/>
          <w:szCs w:val="24"/>
        </w:rPr>
        <w:t xml:space="preserve"> of Wales Trinity St </w:t>
      </w:r>
      <w:r w:rsidR="00981EF8" w:rsidRPr="007152DF">
        <w:rPr>
          <w:rFonts w:ascii="Times New Roman" w:hAnsi="Times New Roman" w:cs="Times New Roman"/>
          <w:sz w:val="24"/>
          <w:szCs w:val="24"/>
        </w:rPr>
        <w:t>David</w:t>
      </w:r>
      <w:r w:rsidRPr="007152DF">
        <w:rPr>
          <w:rFonts w:ascii="Times New Roman" w:hAnsi="Times New Roman" w:cs="Times New Roman"/>
          <w:sz w:val="24"/>
          <w:szCs w:val="24"/>
        </w:rPr>
        <w:t xml:space="preserve"> (UWTSD) were identified with the help of demographic analysis. The prime focus was on investigating the age structure, gender distribution, educational level, and employment situation to know more about our </w:t>
      </w:r>
      <w:proofErr w:type="gramStart"/>
      <w:r w:rsidRPr="007152DF">
        <w:rPr>
          <w:rFonts w:ascii="Times New Roman" w:hAnsi="Times New Roman" w:cs="Times New Roman"/>
          <w:sz w:val="24"/>
          <w:szCs w:val="24"/>
        </w:rPr>
        <w:t>particular sample</w:t>
      </w:r>
      <w:proofErr w:type="gramEnd"/>
      <w:r w:rsidRPr="007152DF">
        <w:rPr>
          <w:rFonts w:ascii="Times New Roman" w:hAnsi="Times New Roman" w:cs="Times New Roman"/>
          <w:sz w:val="24"/>
          <w:szCs w:val="24"/>
        </w:rPr>
        <w:t>. The findings conclude that the category will be multitude with members of different ages, genders, and academic positions. Furthermore, many students disclosed their enrolment in employment opportunities along with their studies which could suggest reasonably the use of hybrid work with a learning environment for UWTSD students. This overview of the student demographic is vital for the exposition of student workload-learning balance and satisfaction in later analysis.</w:t>
      </w:r>
    </w:p>
    <w:p w14:paraId="645D69DA" w14:textId="77777777" w:rsidR="00AE5D44" w:rsidRDefault="00AE5D44" w:rsidP="00AE5D44">
      <w:r>
        <w:rPr>
          <w:noProof/>
        </w:rPr>
        <w:lastRenderedPageBreak/>
        <w:drawing>
          <wp:inline distT="0" distB="0" distL="0" distR="0" wp14:anchorId="3183C9BD" wp14:editId="27DF2117">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B2BBA4" w14:textId="77777777" w:rsidR="00AE5D44" w:rsidRPr="009454FB" w:rsidRDefault="00AE5D44" w:rsidP="00AE5D44">
      <w:pPr>
        <w:rPr>
          <w:rFonts w:ascii="Times New Roman" w:hAnsi="Times New Roman" w:cs="Times New Roman"/>
          <w:b/>
          <w:sz w:val="24"/>
          <w:szCs w:val="24"/>
        </w:rPr>
      </w:pPr>
      <w:r w:rsidRPr="009454FB">
        <w:rPr>
          <w:rFonts w:ascii="Times New Roman" w:hAnsi="Times New Roman" w:cs="Times New Roman"/>
          <w:b/>
          <w:sz w:val="24"/>
          <w:szCs w:val="24"/>
        </w:rPr>
        <w:t>KEY</w:t>
      </w:r>
    </w:p>
    <w:p w14:paraId="59D5858D" w14:textId="77777777" w:rsidR="00AE5D44" w:rsidRPr="009454FB" w:rsidRDefault="00AE5D44" w:rsidP="00AE5D44">
      <w:pPr>
        <w:rPr>
          <w:rFonts w:ascii="Times New Roman" w:hAnsi="Times New Roman" w:cs="Times New Roman"/>
          <w:sz w:val="24"/>
          <w:szCs w:val="24"/>
        </w:rPr>
      </w:pPr>
      <w:r w:rsidRPr="009454FB">
        <w:rPr>
          <w:rFonts w:ascii="Times New Roman" w:hAnsi="Times New Roman" w:cs="Times New Roman"/>
          <w:sz w:val="24"/>
          <w:szCs w:val="24"/>
        </w:rPr>
        <w:t>N=6 Participants</w:t>
      </w:r>
    </w:p>
    <w:p w14:paraId="6F715F8A" w14:textId="77777777" w:rsidR="00AE5D44" w:rsidRPr="009454FB" w:rsidRDefault="00AE5D44" w:rsidP="00AE5D44">
      <w:pPr>
        <w:rPr>
          <w:rFonts w:ascii="Times New Roman" w:hAnsi="Times New Roman" w:cs="Times New Roman"/>
          <w:sz w:val="24"/>
          <w:szCs w:val="24"/>
        </w:rPr>
      </w:pPr>
      <w:r w:rsidRPr="009454FB">
        <w:rPr>
          <w:rFonts w:ascii="Times New Roman" w:hAnsi="Times New Roman" w:cs="Times New Roman"/>
          <w:b/>
          <w:sz w:val="24"/>
          <w:szCs w:val="24"/>
        </w:rPr>
        <w:t>Gender</w:t>
      </w:r>
      <w:r w:rsidRPr="009454FB">
        <w:rPr>
          <w:rFonts w:ascii="Times New Roman" w:hAnsi="Times New Roman" w:cs="Times New Roman"/>
          <w:sz w:val="24"/>
          <w:szCs w:val="24"/>
        </w:rPr>
        <w:t>= [3 participants- females] [2 participants- males], [1 participant- prefers not to disclose</w:t>
      </w:r>
      <w:r w:rsidR="003F7BC5">
        <w:rPr>
          <w:rFonts w:ascii="Times New Roman" w:hAnsi="Times New Roman" w:cs="Times New Roman"/>
          <w:sz w:val="24"/>
          <w:szCs w:val="24"/>
        </w:rPr>
        <w:t xml:space="preserve"> gender</w:t>
      </w:r>
      <w:r w:rsidRPr="009454FB">
        <w:rPr>
          <w:rFonts w:ascii="Times New Roman" w:hAnsi="Times New Roman" w:cs="Times New Roman"/>
          <w:sz w:val="24"/>
          <w:szCs w:val="24"/>
        </w:rPr>
        <w:t>]</w:t>
      </w:r>
    </w:p>
    <w:p w14:paraId="6B6B31DB" w14:textId="77777777" w:rsidR="00AE5D44" w:rsidRPr="009454FB" w:rsidRDefault="00AE5D44" w:rsidP="00AE5D44">
      <w:pPr>
        <w:rPr>
          <w:rFonts w:ascii="Times New Roman" w:hAnsi="Times New Roman" w:cs="Times New Roman"/>
          <w:sz w:val="24"/>
          <w:szCs w:val="24"/>
        </w:rPr>
      </w:pPr>
      <w:r w:rsidRPr="009454FB">
        <w:rPr>
          <w:rFonts w:ascii="Times New Roman" w:hAnsi="Times New Roman" w:cs="Times New Roman"/>
          <w:b/>
          <w:sz w:val="24"/>
          <w:szCs w:val="24"/>
        </w:rPr>
        <w:t>Age</w:t>
      </w:r>
      <w:r w:rsidRPr="009454FB">
        <w:rPr>
          <w:rFonts w:ascii="Times New Roman" w:hAnsi="Times New Roman" w:cs="Times New Roman"/>
          <w:sz w:val="24"/>
          <w:szCs w:val="24"/>
        </w:rPr>
        <w:t>= [3 participants: 20-25</w:t>
      </w:r>
      <w:proofErr w:type="gramStart"/>
      <w:r w:rsidRPr="009454FB">
        <w:rPr>
          <w:rFonts w:ascii="Times New Roman" w:hAnsi="Times New Roman" w:cs="Times New Roman"/>
          <w:sz w:val="24"/>
          <w:szCs w:val="24"/>
        </w:rPr>
        <w:t>years]  [</w:t>
      </w:r>
      <w:proofErr w:type="gramEnd"/>
      <w:r w:rsidRPr="009454FB">
        <w:rPr>
          <w:rFonts w:ascii="Times New Roman" w:hAnsi="Times New Roman" w:cs="Times New Roman"/>
          <w:sz w:val="24"/>
          <w:szCs w:val="24"/>
        </w:rPr>
        <w:t>2 participants: 35-44 years]  [1 participant:45-54 years]</w:t>
      </w:r>
    </w:p>
    <w:p w14:paraId="0A64A12A" w14:textId="77777777" w:rsidR="00AE5D44" w:rsidRPr="009454FB" w:rsidRDefault="00AE5D44" w:rsidP="00AE5D44">
      <w:pPr>
        <w:rPr>
          <w:rFonts w:ascii="Times New Roman" w:hAnsi="Times New Roman" w:cs="Times New Roman"/>
          <w:sz w:val="24"/>
          <w:szCs w:val="24"/>
        </w:rPr>
      </w:pPr>
      <w:r w:rsidRPr="009454FB">
        <w:rPr>
          <w:rFonts w:ascii="Times New Roman" w:hAnsi="Times New Roman" w:cs="Times New Roman"/>
          <w:b/>
          <w:sz w:val="24"/>
          <w:szCs w:val="24"/>
        </w:rPr>
        <w:t>Role</w:t>
      </w:r>
      <w:r w:rsidRPr="009454FB">
        <w:rPr>
          <w:rFonts w:ascii="Times New Roman" w:hAnsi="Times New Roman" w:cs="Times New Roman"/>
          <w:sz w:val="24"/>
          <w:szCs w:val="24"/>
        </w:rPr>
        <w:t>: [3 participants: Students] [3 participants: Lecturers]</w:t>
      </w:r>
    </w:p>
    <w:p w14:paraId="51876C73" w14:textId="77777777" w:rsidR="00AE5D44" w:rsidRPr="009454FB" w:rsidRDefault="00AE5D44" w:rsidP="00AE5D44">
      <w:pPr>
        <w:rPr>
          <w:rFonts w:ascii="Times New Roman" w:hAnsi="Times New Roman" w:cs="Times New Roman"/>
          <w:sz w:val="24"/>
          <w:szCs w:val="24"/>
        </w:rPr>
      </w:pPr>
      <w:r w:rsidRPr="009454FB">
        <w:rPr>
          <w:rFonts w:ascii="Times New Roman" w:hAnsi="Times New Roman" w:cs="Times New Roman"/>
          <w:b/>
          <w:sz w:val="24"/>
          <w:szCs w:val="24"/>
        </w:rPr>
        <w:t>Years on the role</w:t>
      </w:r>
      <w:r w:rsidRPr="009454FB">
        <w:rPr>
          <w:rFonts w:ascii="Times New Roman" w:hAnsi="Times New Roman" w:cs="Times New Roman"/>
          <w:sz w:val="24"/>
          <w:szCs w:val="24"/>
        </w:rPr>
        <w:t xml:space="preserve">: [≤1 years= 2 </w:t>
      </w:r>
      <w:proofErr w:type="gramStart"/>
      <w:r w:rsidRPr="009454FB">
        <w:rPr>
          <w:rFonts w:ascii="Times New Roman" w:hAnsi="Times New Roman" w:cs="Times New Roman"/>
          <w:sz w:val="24"/>
          <w:szCs w:val="24"/>
        </w:rPr>
        <w:t xml:space="preserve">participants]   </w:t>
      </w:r>
      <w:proofErr w:type="gramEnd"/>
      <w:r w:rsidRPr="009454FB">
        <w:rPr>
          <w:rFonts w:ascii="Times New Roman" w:hAnsi="Times New Roman" w:cs="Times New Roman"/>
          <w:sz w:val="24"/>
          <w:szCs w:val="24"/>
        </w:rPr>
        <w:t>[≥2 years=1 participant]    [≥5 years=3 participants]</w:t>
      </w:r>
    </w:p>
    <w:p w14:paraId="5358475A" w14:textId="77777777" w:rsidR="00AE5D44" w:rsidRPr="009454FB" w:rsidRDefault="00AE5D44" w:rsidP="00AE5D44">
      <w:pPr>
        <w:rPr>
          <w:rFonts w:ascii="Times New Roman" w:hAnsi="Times New Roman" w:cs="Times New Roman"/>
          <w:sz w:val="24"/>
          <w:szCs w:val="24"/>
        </w:rPr>
      </w:pPr>
      <w:r w:rsidRPr="009454FB">
        <w:rPr>
          <w:rFonts w:ascii="Times New Roman" w:hAnsi="Times New Roman" w:cs="Times New Roman"/>
          <w:b/>
          <w:sz w:val="24"/>
          <w:szCs w:val="24"/>
        </w:rPr>
        <w:t>Responsibility</w:t>
      </w:r>
      <w:r w:rsidRPr="009454FB">
        <w:rPr>
          <w:rFonts w:ascii="Times New Roman" w:hAnsi="Times New Roman" w:cs="Times New Roman"/>
          <w:sz w:val="24"/>
          <w:szCs w:val="24"/>
        </w:rPr>
        <w:t>: [6 participants: Yes]</w:t>
      </w:r>
    </w:p>
    <w:p w14:paraId="7CB61DC9" w14:textId="77777777" w:rsidR="00D70282" w:rsidRPr="009454FB" w:rsidRDefault="00AE5D44" w:rsidP="009454FB">
      <w:pPr>
        <w:rPr>
          <w:rFonts w:ascii="Times New Roman" w:hAnsi="Times New Roman" w:cs="Times New Roman"/>
          <w:sz w:val="24"/>
          <w:szCs w:val="24"/>
        </w:rPr>
      </w:pPr>
      <w:r w:rsidRPr="009454FB">
        <w:rPr>
          <w:rFonts w:ascii="Times New Roman" w:hAnsi="Times New Roman" w:cs="Times New Roman"/>
          <w:b/>
          <w:sz w:val="24"/>
          <w:szCs w:val="24"/>
        </w:rPr>
        <w:t>Employer</w:t>
      </w:r>
      <w:r w:rsidRPr="009454FB">
        <w:rPr>
          <w:rFonts w:ascii="Times New Roman" w:hAnsi="Times New Roman" w:cs="Times New Roman"/>
          <w:sz w:val="24"/>
          <w:szCs w:val="24"/>
        </w:rPr>
        <w:t>: [1 participant- Retail], [1 participant -Local Restaurant], [4 participants- University of Wales Trinity Saint David]</w:t>
      </w:r>
    </w:p>
    <w:p w14:paraId="71A19CE8" w14:textId="77777777" w:rsidR="00D567F8" w:rsidRPr="007152DF" w:rsidRDefault="00D567F8" w:rsidP="00D567F8">
      <w:pPr>
        <w:pStyle w:val="Heading3"/>
        <w:spacing w:before="0" w:line="480" w:lineRule="auto"/>
        <w:rPr>
          <w:rFonts w:ascii="Times New Roman" w:hAnsi="Times New Roman" w:cs="Times New Roman"/>
          <w:b/>
          <w:color w:val="auto"/>
        </w:rPr>
      </w:pPr>
      <w:r w:rsidRPr="007152DF">
        <w:rPr>
          <w:rFonts w:ascii="Times New Roman" w:hAnsi="Times New Roman" w:cs="Times New Roman"/>
          <w:b/>
          <w:color w:val="auto"/>
        </w:rPr>
        <w:t>4.2.2 Quantitative Analysis: Descriptive Statistics</w:t>
      </w:r>
    </w:p>
    <w:p w14:paraId="600D57E8"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The data analysis is designed to measure what students are satisfied with, their work-life balance, and their academic performances in the reality of the hybrid model of work and studying. The descriptive statistics presented the picture of how the values ​​of reactions were distributed, and how the correlations between different variables were established</w:t>
      </w:r>
      <w:r>
        <w:rPr>
          <w:rFonts w:ascii="Times New Roman" w:hAnsi="Times New Roman" w:cs="Times New Roman"/>
          <w:sz w:val="24"/>
          <w:szCs w:val="24"/>
        </w:rPr>
        <w:t xml:space="preserve"> (Saunders, 2019)</w:t>
      </w:r>
      <w:r w:rsidRPr="007152DF">
        <w:rPr>
          <w:rFonts w:ascii="Times New Roman" w:hAnsi="Times New Roman" w:cs="Times New Roman"/>
          <w:sz w:val="24"/>
          <w:szCs w:val="24"/>
        </w:rPr>
        <w:t xml:space="preserve">. Overall, the survey results illustrated that students had a moderate to high degree of satisfaction as a hybrid learning system provided students with flexibility as they reported it to be the most satisfying aspect of the hybrid learning system. On the other hand, levels of </w:t>
      </w:r>
      <w:r w:rsidRPr="007152DF">
        <w:rPr>
          <w:rFonts w:ascii="Times New Roman" w:hAnsi="Times New Roman" w:cs="Times New Roman"/>
          <w:sz w:val="24"/>
          <w:szCs w:val="24"/>
        </w:rPr>
        <w:lastRenderedPageBreak/>
        <w:t>satisfaction turned out to differ at the point where heavy workloads or insufficient access to support services appeared to be experienced. Moreover, correlations demonstrated significant relationships between satisfaction grades, the harmony of work and personal life, and academic performance, typifying the intra-relations among the variables within the hybrid education environment.</w:t>
      </w:r>
    </w:p>
    <w:p w14:paraId="7AF24136" w14:textId="77777777" w:rsidR="00D567F8" w:rsidRPr="007152DF" w:rsidRDefault="00D567F8" w:rsidP="00D567F8">
      <w:pPr>
        <w:spacing w:line="480" w:lineRule="auto"/>
        <w:jc w:val="center"/>
        <w:rPr>
          <w:rFonts w:ascii="Times New Roman" w:hAnsi="Times New Roman" w:cs="Times New Roman"/>
          <w:b/>
          <w:sz w:val="24"/>
          <w:szCs w:val="24"/>
        </w:rPr>
      </w:pPr>
      <w:r w:rsidRPr="007152DF">
        <w:rPr>
          <w:rFonts w:ascii="Times New Roman" w:hAnsi="Times New Roman" w:cs="Times New Roman"/>
          <w:b/>
          <w:sz w:val="24"/>
          <w:szCs w:val="24"/>
        </w:rPr>
        <w:t>Mean and Median</w:t>
      </w:r>
    </w:p>
    <w:p w14:paraId="3ABC9DF8"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Mean</w:t>
      </w:r>
    </w:p>
    <w:p w14:paraId="7104F58D"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 xml:space="preserve">Formula: x̄ = </w:t>
      </w:r>
      <w:proofErr w:type="spellStart"/>
      <w:r w:rsidRPr="007152DF">
        <w:rPr>
          <w:rFonts w:ascii="Times New Roman" w:hAnsi="Times New Roman" w:cs="Times New Roman"/>
          <w:sz w:val="24"/>
          <w:szCs w:val="24"/>
        </w:rPr>
        <w:t>Σxi</w:t>
      </w:r>
      <w:proofErr w:type="spellEnd"/>
      <w:r w:rsidRPr="007152DF">
        <w:rPr>
          <w:rFonts w:ascii="Times New Roman" w:hAnsi="Times New Roman" w:cs="Times New Roman"/>
          <w:sz w:val="24"/>
          <w:szCs w:val="24"/>
        </w:rPr>
        <w:t xml:space="preserve">/n (or) x̄ = </w:t>
      </w:r>
      <w:proofErr w:type="spellStart"/>
      <w:r w:rsidRPr="007152DF">
        <w:rPr>
          <w:rFonts w:ascii="Times New Roman" w:hAnsi="Times New Roman" w:cs="Times New Roman"/>
          <w:sz w:val="24"/>
          <w:szCs w:val="24"/>
        </w:rPr>
        <w:t>Σfixi</w:t>
      </w:r>
      <w:proofErr w:type="spellEnd"/>
      <w:r w:rsidRPr="007152DF">
        <w:rPr>
          <w:rFonts w:ascii="Times New Roman" w:hAnsi="Times New Roman" w:cs="Times New Roman"/>
          <w:sz w:val="24"/>
          <w:szCs w:val="24"/>
        </w:rPr>
        <w:t xml:space="preserve"> / </w:t>
      </w:r>
      <w:proofErr w:type="spellStart"/>
      <w:r w:rsidRPr="007152DF">
        <w:rPr>
          <w:rFonts w:ascii="Times New Roman" w:hAnsi="Times New Roman" w:cs="Times New Roman"/>
          <w:sz w:val="24"/>
          <w:szCs w:val="24"/>
        </w:rPr>
        <w:t>Σfi</w:t>
      </w:r>
      <w:proofErr w:type="spellEnd"/>
      <w:r w:rsidRPr="007152DF">
        <w:rPr>
          <w:rFonts w:ascii="Times New Roman" w:hAnsi="Times New Roman" w:cs="Times New Roman"/>
          <w:sz w:val="24"/>
          <w:szCs w:val="24"/>
        </w:rPr>
        <w:t>.</w:t>
      </w:r>
    </w:p>
    <w:p w14:paraId="664D26D8" w14:textId="77777777" w:rsidR="00D567F8" w:rsidRPr="007152DF" w:rsidRDefault="00D567F8" w:rsidP="00D567F8">
      <w:pPr>
        <w:spacing w:line="480" w:lineRule="auto"/>
        <w:rPr>
          <w:rFonts w:ascii="Times New Roman" w:hAnsi="Times New Roman" w:cs="Times New Roman"/>
          <w:sz w:val="24"/>
          <w:szCs w:val="24"/>
        </w:rPr>
      </w:pPr>
      <w:proofErr w:type="gramStart"/>
      <w:r w:rsidRPr="007152DF">
        <w:rPr>
          <w:rFonts w:ascii="Times New Roman" w:hAnsi="Times New Roman" w:cs="Times New Roman"/>
          <w:sz w:val="24"/>
          <w:szCs w:val="24"/>
        </w:rPr>
        <w:t>where</w:t>
      </w:r>
      <w:proofErr w:type="gramEnd"/>
      <w:r w:rsidRPr="007152DF">
        <w:rPr>
          <w:rFonts w:ascii="Times New Roman" w:hAnsi="Times New Roman" w:cs="Times New Roman"/>
          <w:sz w:val="24"/>
          <w:szCs w:val="24"/>
        </w:rPr>
        <w:t>,</w:t>
      </w:r>
    </w:p>
    <w:p w14:paraId="38D819CA"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x̄ = the mean value of the set of given data.</w:t>
      </w:r>
    </w:p>
    <w:p w14:paraId="556234BF"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xi = data value</w:t>
      </w:r>
    </w:p>
    <w:p w14:paraId="338E5F7A"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fi = corresponding frequency</w:t>
      </w:r>
    </w:p>
    <w:p w14:paraId="77F187DC"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n = total number of data values</w:t>
      </w:r>
    </w:p>
    <w:p w14:paraId="07F5FA23" w14:textId="77777777" w:rsidR="00D567F8" w:rsidRPr="007152DF" w:rsidRDefault="00D567F8" w:rsidP="00D567F8">
      <w:pPr>
        <w:spacing w:line="480" w:lineRule="auto"/>
        <w:jc w:val="center"/>
        <w:rPr>
          <w:rFonts w:ascii="Times New Roman" w:hAnsi="Times New Roman" w:cs="Times New Roman"/>
          <w:b/>
          <w:sz w:val="24"/>
          <w:szCs w:val="24"/>
        </w:rPr>
      </w:pPr>
      <w:r w:rsidRPr="007152DF">
        <w:rPr>
          <w:rFonts w:ascii="Times New Roman" w:hAnsi="Times New Roman" w:cs="Times New Roman"/>
          <w:b/>
          <w:sz w:val="24"/>
          <w:szCs w:val="24"/>
        </w:rPr>
        <w:t>Student Participants</w:t>
      </w:r>
    </w:p>
    <w:p w14:paraId="0289C3E5" w14:textId="77777777" w:rsidR="00D567F8" w:rsidRPr="007152DF" w:rsidRDefault="00D567F8" w:rsidP="00D567F8">
      <w:pPr>
        <w:pStyle w:val="ListParagraph"/>
        <w:numPr>
          <w:ilvl w:val="0"/>
          <w:numId w:val="1"/>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Overall job satisfaction: [4 + 6 + 7] / 3 = 17</w:t>
      </w:r>
    </w:p>
    <w:p w14:paraId="7A2CDDFD" w14:textId="77777777" w:rsidR="00D567F8" w:rsidRPr="007152DF" w:rsidRDefault="00D567F8" w:rsidP="00D567F8">
      <w:pPr>
        <w:pStyle w:val="ListParagraph"/>
        <w:spacing w:line="480" w:lineRule="auto"/>
        <w:ind w:left="2160" w:firstLine="720"/>
        <w:jc w:val="center"/>
        <w:rPr>
          <w:rFonts w:ascii="Times New Roman" w:hAnsi="Times New Roman" w:cs="Times New Roman"/>
          <w:sz w:val="24"/>
          <w:szCs w:val="24"/>
        </w:rPr>
      </w:pPr>
      <w:r w:rsidRPr="007152DF">
        <w:rPr>
          <w:rFonts w:ascii="Times New Roman" w:hAnsi="Times New Roman" w:cs="Times New Roman"/>
          <w:sz w:val="24"/>
          <w:szCs w:val="24"/>
        </w:rPr>
        <w:t>17/ 3 ≈ 5.67</w:t>
      </w:r>
    </w:p>
    <w:p w14:paraId="264D1CCA" w14:textId="77777777" w:rsidR="00D567F8" w:rsidRPr="007152DF" w:rsidRDefault="00D567F8" w:rsidP="00D567F8">
      <w:pPr>
        <w:pStyle w:val="ListParagraph"/>
        <w:numPr>
          <w:ilvl w:val="0"/>
          <w:numId w:val="1"/>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Satisfaction with work-life balance: [3 + 5 + 6] / 3 = 14</w:t>
      </w:r>
    </w:p>
    <w:p w14:paraId="77562EBF" w14:textId="77777777" w:rsidR="00D567F8" w:rsidRPr="007152DF" w:rsidRDefault="00D567F8" w:rsidP="00D567F8">
      <w:pPr>
        <w:pStyle w:val="ListParagraph"/>
        <w:spacing w:line="480" w:lineRule="auto"/>
        <w:ind w:left="3600"/>
        <w:jc w:val="center"/>
        <w:rPr>
          <w:rFonts w:ascii="Times New Roman" w:hAnsi="Times New Roman" w:cs="Times New Roman"/>
          <w:sz w:val="24"/>
          <w:szCs w:val="24"/>
        </w:rPr>
      </w:pPr>
      <w:r w:rsidRPr="007152DF">
        <w:rPr>
          <w:rFonts w:ascii="Times New Roman" w:hAnsi="Times New Roman" w:cs="Times New Roman"/>
          <w:sz w:val="24"/>
          <w:szCs w:val="24"/>
        </w:rPr>
        <w:t>14/ 3 ≈ 4.67</w:t>
      </w:r>
    </w:p>
    <w:p w14:paraId="404C4C86" w14:textId="77777777" w:rsidR="00D567F8" w:rsidRPr="007152DF" w:rsidRDefault="00D567F8" w:rsidP="00D567F8">
      <w:pPr>
        <w:pStyle w:val="ListParagraph"/>
        <w:numPr>
          <w:ilvl w:val="0"/>
          <w:numId w:val="1"/>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Time dedicated to studying per week: [3 + 4 + 5] / 3 = 12</w:t>
      </w:r>
    </w:p>
    <w:p w14:paraId="4A208353" w14:textId="77777777" w:rsidR="00D567F8" w:rsidRPr="007152DF" w:rsidRDefault="00D567F8" w:rsidP="00D567F8">
      <w:pPr>
        <w:pStyle w:val="ListParagraph"/>
        <w:spacing w:line="480" w:lineRule="auto"/>
        <w:ind w:left="3600" w:firstLine="720"/>
        <w:jc w:val="center"/>
        <w:rPr>
          <w:rFonts w:ascii="Times New Roman" w:hAnsi="Times New Roman" w:cs="Times New Roman"/>
          <w:sz w:val="24"/>
          <w:szCs w:val="24"/>
        </w:rPr>
      </w:pPr>
      <w:r w:rsidRPr="007152DF">
        <w:rPr>
          <w:rFonts w:ascii="Times New Roman" w:hAnsi="Times New Roman" w:cs="Times New Roman"/>
          <w:sz w:val="24"/>
          <w:szCs w:val="24"/>
        </w:rPr>
        <w:t>12/ 3 = 4</w:t>
      </w:r>
    </w:p>
    <w:p w14:paraId="5C5AEE67" w14:textId="77777777" w:rsidR="00D567F8" w:rsidRPr="007152DF" w:rsidRDefault="00D567F8" w:rsidP="00D567F8">
      <w:pPr>
        <w:spacing w:line="480" w:lineRule="auto"/>
        <w:jc w:val="center"/>
        <w:rPr>
          <w:rFonts w:ascii="Times New Roman" w:hAnsi="Times New Roman" w:cs="Times New Roman"/>
          <w:b/>
          <w:sz w:val="24"/>
          <w:szCs w:val="24"/>
        </w:rPr>
      </w:pPr>
      <w:r w:rsidRPr="007152DF">
        <w:rPr>
          <w:rFonts w:ascii="Times New Roman" w:hAnsi="Times New Roman" w:cs="Times New Roman"/>
          <w:b/>
          <w:sz w:val="24"/>
          <w:szCs w:val="24"/>
        </w:rPr>
        <w:t>Teachers</w:t>
      </w:r>
    </w:p>
    <w:p w14:paraId="2778CACC" w14:textId="77777777" w:rsidR="00D567F8" w:rsidRPr="007152DF" w:rsidRDefault="00D567F8" w:rsidP="00D567F8">
      <w:pPr>
        <w:pStyle w:val="ListParagraph"/>
        <w:numPr>
          <w:ilvl w:val="0"/>
          <w:numId w:val="1"/>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 xml:space="preserve">Overall job satisfaction: </w:t>
      </w:r>
      <w:r w:rsidRPr="007152DF">
        <w:rPr>
          <w:rFonts w:ascii="Times New Roman" w:hAnsi="Times New Roman" w:cs="Times New Roman"/>
          <w:b/>
          <w:sz w:val="24"/>
          <w:szCs w:val="24"/>
        </w:rPr>
        <w:t>(6 + 7 + 6) / 3 = 19</w:t>
      </w:r>
    </w:p>
    <w:p w14:paraId="6008C4BB" w14:textId="77777777" w:rsidR="00D567F8" w:rsidRPr="007152DF" w:rsidRDefault="00D567F8" w:rsidP="00D567F8">
      <w:pPr>
        <w:pStyle w:val="ListParagraph"/>
        <w:spacing w:line="480" w:lineRule="auto"/>
        <w:jc w:val="center"/>
        <w:rPr>
          <w:rFonts w:ascii="Times New Roman" w:hAnsi="Times New Roman" w:cs="Times New Roman"/>
          <w:sz w:val="24"/>
          <w:szCs w:val="24"/>
        </w:rPr>
      </w:pPr>
      <w:r w:rsidRPr="007152DF">
        <w:rPr>
          <w:rFonts w:ascii="Times New Roman" w:hAnsi="Times New Roman" w:cs="Times New Roman"/>
          <w:b/>
          <w:sz w:val="24"/>
          <w:szCs w:val="24"/>
        </w:rPr>
        <w:lastRenderedPageBreak/>
        <w:t>`</w:t>
      </w:r>
      <w:r w:rsidRPr="007152DF">
        <w:rPr>
          <w:rFonts w:ascii="Times New Roman" w:hAnsi="Times New Roman" w:cs="Times New Roman"/>
          <w:b/>
          <w:sz w:val="24"/>
          <w:szCs w:val="24"/>
        </w:rPr>
        <w:tab/>
      </w:r>
      <w:r w:rsidRPr="007152DF">
        <w:rPr>
          <w:rFonts w:ascii="Times New Roman" w:hAnsi="Times New Roman" w:cs="Times New Roman"/>
          <w:b/>
          <w:sz w:val="24"/>
          <w:szCs w:val="24"/>
        </w:rPr>
        <w:tab/>
      </w:r>
      <w:r w:rsidRPr="007152DF">
        <w:rPr>
          <w:rFonts w:ascii="Times New Roman" w:hAnsi="Times New Roman" w:cs="Times New Roman"/>
          <w:b/>
          <w:sz w:val="24"/>
          <w:szCs w:val="24"/>
        </w:rPr>
        <w:tab/>
        <w:t>119 / 3 ≈ 6.33</w:t>
      </w:r>
    </w:p>
    <w:p w14:paraId="4B7024DB" w14:textId="77777777" w:rsidR="00D567F8" w:rsidRPr="007152DF" w:rsidRDefault="00D567F8" w:rsidP="00D567F8">
      <w:pPr>
        <w:pStyle w:val="ListParagraph"/>
        <w:numPr>
          <w:ilvl w:val="0"/>
          <w:numId w:val="1"/>
        </w:numPr>
        <w:spacing w:line="480" w:lineRule="auto"/>
        <w:jc w:val="center"/>
        <w:rPr>
          <w:rFonts w:ascii="Times New Roman" w:hAnsi="Times New Roman" w:cs="Times New Roman"/>
          <w:b/>
          <w:sz w:val="24"/>
          <w:szCs w:val="24"/>
        </w:rPr>
      </w:pPr>
      <w:r w:rsidRPr="007152DF">
        <w:rPr>
          <w:rFonts w:ascii="Times New Roman" w:hAnsi="Times New Roman" w:cs="Times New Roman"/>
          <w:sz w:val="24"/>
          <w:szCs w:val="24"/>
        </w:rPr>
        <w:t xml:space="preserve">Satisfaction with work-life balance: </w:t>
      </w:r>
      <w:r w:rsidRPr="007152DF">
        <w:rPr>
          <w:rFonts w:ascii="Times New Roman" w:hAnsi="Times New Roman" w:cs="Times New Roman"/>
          <w:b/>
          <w:sz w:val="24"/>
          <w:szCs w:val="24"/>
        </w:rPr>
        <w:t>(5 + 6 + 5) / 3 = 16</w:t>
      </w:r>
    </w:p>
    <w:p w14:paraId="2842C71E" w14:textId="77777777" w:rsidR="00D567F8" w:rsidRPr="007152DF" w:rsidRDefault="00D567F8" w:rsidP="00D567F8">
      <w:pPr>
        <w:spacing w:line="480" w:lineRule="auto"/>
        <w:ind w:left="3600" w:firstLine="720"/>
        <w:jc w:val="center"/>
        <w:rPr>
          <w:rFonts w:ascii="Times New Roman" w:hAnsi="Times New Roman" w:cs="Times New Roman"/>
          <w:b/>
          <w:sz w:val="24"/>
          <w:szCs w:val="24"/>
        </w:rPr>
      </w:pPr>
      <w:r w:rsidRPr="007152DF">
        <w:rPr>
          <w:rFonts w:ascii="Times New Roman" w:hAnsi="Times New Roman" w:cs="Times New Roman"/>
          <w:b/>
          <w:sz w:val="24"/>
          <w:szCs w:val="24"/>
        </w:rPr>
        <w:t>16/ 3 ≈ 5.33</w:t>
      </w:r>
    </w:p>
    <w:p w14:paraId="24DD9068"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Median</w:t>
      </w:r>
    </w:p>
    <w:p w14:paraId="62F9BCB2"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 Median = {(n/2) + (n/2 + 1)}/2</w:t>
      </w:r>
    </w:p>
    <w:p w14:paraId="21C8ED7B" w14:textId="77777777" w:rsidR="00D567F8" w:rsidRPr="007152DF" w:rsidRDefault="00D567F8" w:rsidP="00D567F8">
      <w:pPr>
        <w:spacing w:line="480" w:lineRule="auto"/>
        <w:jc w:val="center"/>
        <w:rPr>
          <w:rFonts w:ascii="Times New Roman" w:hAnsi="Times New Roman" w:cs="Times New Roman"/>
          <w:b/>
          <w:sz w:val="24"/>
          <w:szCs w:val="24"/>
        </w:rPr>
      </w:pPr>
      <w:r w:rsidRPr="007152DF">
        <w:rPr>
          <w:rFonts w:ascii="Times New Roman" w:hAnsi="Times New Roman" w:cs="Times New Roman"/>
          <w:b/>
          <w:sz w:val="24"/>
          <w:szCs w:val="24"/>
        </w:rPr>
        <w:t>Students</w:t>
      </w:r>
    </w:p>
    <w:p w14:paraId="344B41FB" w14:textId="77777777" w:rsidR="00D567F8" w:rsidRPr="007152DF" w:rsidRDefault="00D567F8" w:rsidP="00D567F8">
      <w:pPr>
        <w:pStyle w:val="ListParagraph"/>
        <w:numPr>
          <w:ilvl w:val="0"/>
          <w:numId w:val="2"/>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Overall job satisfaction: Median = 6</w:t>
      </w:r>
    </w:p>
    <w:p w14:paraId="462EF9CC" w14:textId="77777777" w:rsidR="00D567F8" w:rsidRPr="007152DF" w:rsidRDefault="00D567F8" w:rsidP="00D567F8">
      <w:pPr>
        <w:pStyle w:val="ListParagraph"/>
        <w:numPr>
          <w:ilvl w:val="0"/>
          <w:numId w:val="2"/>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Satisfaction with work-life balance: Median = 5</w:t>
      </w:r>
    </w:p>
    <w:p w14:paraId="1331E91E" w14:textId="77777777" w:rsidR="00D567F8" w:rsidRPr="007152DF" w:rsidRDefault="00D567F8" w:rsidP="00D567F8">
      <w:pPr>
        <w:pStyle w:val="ListParagraph"/>
        <w:numPr>
          <w:ilvl w:val="0"/>
          <w:numId w:val="2"/>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Time dedicated to studying per week: Median = 4</w:t>
      </w:r>
    </w:p>
    <w:p w14:paraId="7CC8EDD9" w14:textId="77777777" w:rsidR="00D567F8" w:rsidRPr="007152DF" w:rsidRDefault="00D567F8" w:rsidP="00D567F8">
      <w:pPr>
        <w:spacing w:line="480" w:lineRule="auto"/>
        <w:jc w:val="center"/>
        <w:rPr>
          <w:rFonts w:ascii="Times New Roman" w:hAnsi="Times New Roman" w:cs="Times New Roman"/>
          <w:b/>
          <w:sz w:val="24"/>
          <w:szCs w:val="24"/>
        </w:rPr>
      </w:pPr>
      <w:r w:rsidRPr="007152DF">
        <w:rPr>
          <w:rFonts w:ascii="Times New Roman" w:hAnsi="Times New Roman" w:cs="Times New Roman"/>
          <w:b/>
          <w:sz w:val="24"/>
          <w:szCs w:val="24"/>
        </w:rPr>
        <w:t>Teachers</w:t>
      </w:r>
    </w:p>
    <w:p w14:paraId="4359A8C0" w14:textId="77777777" w:rsidR="00D567F8" w:rsidRPr="007152DF" w:rsidRDefault="00D567F8" w:rsidP="00D567F8">
      <w:pPr>
        <w:pStyle w:val="ListParagraph"/>
        <w:numPr>
          <w:ilvl w:val="0"/>
          <w:numId w:val="3"/>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Overall job satisfaction: Median = 6</w:t>
      </w:r>
    </w:p>
    <w:p w14:paraId="61AB9E99" w14:textId="77777777" w:rsidR="00D567F8" w:rsidRDefault="00D567F8" w:rsidP="00D567F8">
      <w:pPr>
        <w:pStyle w:val="ListParagraph"/>
        <w:numPr>
          <w:ilvl w:val="0"/>
          <w:numId w:val="3"/>
        </w:numPr>
        <w:spacing w:line="480" w:lineRule="auto"/>
        <w:jc w:val="center"/>
        <w:rPr>
          <w:rFonts w:ascii="Times New Roman" w:hAnsi="Times New Roman" w:cs="Times New Roman"/>
          <w:sz w:val="24"/>
          <w:szCs w:val="24"/>
        </w:rPr>
      </w:pPr>
      <w:r w:rsidRPr="007152DF">
        <w:rPr>
          <w:rFonts w:ascii="Times New Roman" w:hAnsi="Times New Roman" w:cs="Times New Roman"/>
          <w:sz w:val="24"/>
          <w:szCs w:val="24"/>
        </w:rPr>
        <w:t>Satisfaction with work-life balance: Median = 5</w:t>
      </w:r>
    </w:p>
    <w:p w14:paraId="0FF02D0D" w14:textId="77777777" w:rsidR="00D567F8" w:rsidRPr="007152DF" w:rsidRDefault="00D567F8" w:rsidP="00D567F8">
      <w:pPr>
        <w:pStyle w:val="ListParagraph"/>
        <w:numPr>
          <w:ilvl w:val="0"/>
          <w:numId w:val="3"/>
        </w:numPr>
        <w:spacing w:line="480" w:lineRule="auto"/>
        <w:jc w:val="center"/>
        <w:rPr>
          <w:rFonts w:ascii="Times New Roman" w:hAnsi="Times New Roman" w:cs="Times New Roman"/>
          <w:sz w:val="24"/>
          <w:szCs w:val="24"/>
        </w:rPr>
      </w:pPr>
    </w:p>
    <w:p w14:paraId="0BFCFA8E"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w:t>
      </w:r>
    </w:p>
    <w:p w14:paraId="0324E139"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Descriptive statistics were referred to when calculations of correlations between variables were done, to understand the dynamics within the data</w:t>
      </w:r>
      <w:r>
        <w:rPr>
          <w:rFonts w:ascii="Times New Roman" w:hAnsi="Times New Roman" w:cs="Times New Roman"/>
          <w:sz w:val="24"/>
          <w:szCs w:val="24"/>
        </w:rPr>
        <w:t xml:space="preserve"> (Saunders, 2019)</w:t>
      </w:r>
      <w:r w:rsidRPr="007152DF">
        <w:rPr>
          <w:rFonts w:ascii="Times New Roman" w:hAnsi="Times New Roman" w:cs="Times New Roman"/>
          <w:sz w:val="24"/>
          <w:szCs w:val="24"/>
        </w:rPr>
        <w:t>. As a case study, I researched the connection between job satisfaction and work-life balance, time allocated studying, and job performance, and the relationship between satisfaction with professional opportunities and overall job satisfaction. I used correlation coefficients to show the strength and direction of these relationships.</w:t>
      </w:r>
    </w:p>
    <w:p w14:paraId="38E0EDB2"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Student Participants</w:t>
      </w:r>
    </w:p>
    <w:p w14:paraId="280BA307"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 between Overall Job Satisfaction and Satisfaction with Work-Life Balance:</w:t>
      </w:r>
    </w:p>
    <w:p w14:paraId="617A1A75" w14:textId="77777777" w:rsidR="00D567F8" w:rsidRPr="007152DF" w:rsidRDefault="00D567F8" w:rsidP="00D567F8">
      <w:pPr>
        <w:pStyle w:val="ListParagraph"/>
        <w:numPr>
          <w:ilvl w:val="0"/>
          <w:numId w:val="4"/>
        </w:numPr>
        <w:spacing w:line="480" w:lineRule="auto"/>
        <w:rPr>
          <w:rFonts w:ascii="Times New Roman" w:hAnsi="Times New Roman" w:cs="Times New Roman"/>
          <w:sz w:val="24"/>
          <w:szCs w:val="24"/>
        </w:rPr>
      </w:pPr>
      <w:r w:rsidRPr="007152DF">
        <w:rPr>
          <w:rFonts w:ascii="Times New Roman" w:hAnsi="Times New Roman" w:cs="Times New Roman"/>
          <w:sz w:val="24"/>
          <w:szCs w:val="24"/>
        </w:rPr>
        <w:lastRenderedPageBreak/>
        <w:t>Participant S1: Job satisfaction (4), Work-life balance (3)</w:t>
      </w:r>
    </w:p>
    <w:p w14:paraId="2455EF52" w14:textId="77777777" w:rsidR="00D567F8" w:rsidRPr="007152DF" w:rsidRDefault="00D567F8" w:rsidP="00D567F8">
      <w:pPr>
        <w:pStyle w:val="ListParagraph"/>
        <w:numPr>
          <w:ilvl w:val="0"/>
          <w:numId w:val="4"/>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S2: Job satisfaction (6), Work-life balance (5)</w:t>
      </w:r>
    </w:p>
    <w:p w14:paraId="0FCAD716" w14:textId="77777777" w:rsidR="00D567F8" w:rsidRPr="007152DF" w:rsidRDefault="00D567F8" w:rsidP="00D567F8">
      <w:pPr>
        <w:pStyle w:val="ListParagraph"/>
        <w:numPr>
          <w:ilvl w:val="0"/>
          <w:numId w:val="4"/>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S3: Job satisfaction (7), Work-life balance (6)</w:t>
      </w:r>
    </w:p>
    <w:p w14:paraId="73AA269A" w14:textId="77777777" w:rsidR="00D567F8" w:rsidRPr="007152DF" w:rsidRDefault="00D567F8" w:rsidP="00D567F8">
      <w:pPr>
        <w:spacing w:line="480" w:lineRule="auto"/>
        <w:ind w:left="360"/>
        <w:jc w:val="center"/>
        <w:rPr>
          <w:rFonts w:ascii="Times New Roman" w:hAnsi="Times New Roman" w:cs="Times New Roman"/>
          <w:sz w:val="24"/>
          <w:szCs w:val="24"/>
        </w:rPr>
      </w:pPr>
      <w:r w:rsidRPr="007152DF">
        <w:rPr>
          <w:rFonts w:ascii="Times New Roman" w:hAnsi="Times New Roman" w:cs="Times New Roman"/>
          <w:noProof/>
          <w:sz w:val="24"/>
          <w:szCs w:val="24"/>
        </w:rPr>
        <w:drawing>
          <wp:inline distT="0" distB="0" distL="0" distR="0" wp14:anchorId="3605497F" wp14:editId="03E1545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97EA50"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 between Overall Job Satisfaction and Time Dedicated to Studying per Week:</w:t>
      </w:r>
    </w:p>
    <w:p w14:paraId="1C04EF62" w14:textId="77777777" w:rsidR="00D567F8" w:rsidRPr="007152DF" w:rsidRDefault="00D567F8" w:rsidP="00D567F8">
      <w:pPr>
        <w:pStyle w:val="ListParagraph"/>
        <w:numPr>
          <w:ilvl w:val="0"/>
          <w:numId w:val="5"/>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S1: Job satisfaction (4), Time studying per week (3)</w:t>
      </w:r>
    </w:p>
    <w:p w14:paraId="046040CC" w14:textId="77777777" w:rsidR="00D567F8" w:rsidRPr="007152DF" w:rsidRDefault="00D567F8" w:rsidP="00D567F8">
      <w:pPr>
        <w:pStyle w:val="ListParagraph"/>
        <w:numPr>
          <w:ilvl w:val="0"/>
          <w:numId w:val="5"/>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S2: Job satisfaction (6), Time studying per week (4)</w:t>
      </w:r>
    </w:p>
    <w:p w14:paraId="7BA27C71" w14:textId="77777777" w:rsidR="00D567F8" w:rsidRPr="007152DF" w:rsidRDefault="00D567F8" w:rsidP="00D567F8">
      <w:pPr>
        <w:pStyle w:val="ListParagraph"/>
        <w:numPr>
          <w:ilvl w:val="0"/>
          <w:numId w:val="5"/>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S3: Job satisfaction (7), Time studying per week (5)</w:t>
      </w:r>
    </w:p>
    <w:p w14:paraId="238CECF2"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noProof/>
          <w:sz w:val="24"/>
          <w:szCs w:val="24"/>
        </w:rPr>
        <w:lastRenderedPageBreak/>
        <w:drawing>
          <wp:inline distT="0" distB="0" distL="0" distR="0" wp14:anchorId="766C96B1" wp14:editId="3EDDFA63">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6AB6FC"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 between Satisfaction with Work-Life Balance and Time Dedicated to Studying per Week:</w:t>
      </w:r>
    </w:p>
    <w:p w14:paraId="48FACECB" w14:textId="77777777" w:rsidR="00D567F8" w:rsidRPr="007152DF" w:rsidRDefault="00D567F8" w:rsidP="00D567F8">
      <w:pPr>
        <w:pStyle w:val="ListParagraph"/>
        <w:numPr>
          <w:ilvl w:val="0"/>
          <w:numId w:val="6"/>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S1: Work-life balance (3), Time studying per week (3)</w:t>
      </w:r>
    </w:p>
    <w:p w14:paraId="58DC154A" w14:textId="77777777" w:rsidR="00D567F8" w:rsidRPr="007152DF" w:rsidRDefault="00D567F8" w:rsidP="00D567F8">
      <w:pPr>
        <w:pStyle w:val="ListParagraph"/>
        <w:numPr>
          <w:ilvl w:val="0"/>
          <w:numId w:val="6"/>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S2: Work-life balance (5), Time studying per week (4)</w:t>
      </w:r>
    </w:p>
    <w:p w14:paraId="0E29A608" w14:textId="77777777" w:rsidR="00D567F8" w:rsidRPr="007152DF" w:rsidRDefault="00D567F8" w:rsidP="00D567F8">
      <w:pPr>
        <w:pStyle w:val="ListParagraph"/>
        <w:numPr>
          <w:ilvl w:val="0"/>
          <w:numId w:val="6"/>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S3: Work-life balance (6), Time studying per week (5)</w:t>
      </w:r>
    </w:p>
    <w:p w14:paraId="6ED334D4"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noProof/>
          <w:sz w:val="24"/>
          <w:szCs w:val="24"/>
        </w:rPr>
        <w:drawing>
          <wp:inline distT="0" distB="0" distL="0" distR="0" wp14:anchorId="64DB8BFE" wp14:editId="55967BEB">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79EA480"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lastRenderedPageBreak/>
        <w:t>Correlations for Teachers</w:t>
      </w:r>
    </w:p>
    <w:p w14:paraId="5C198329"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 between Overall Job Satisfaction and Satisfaction with Work-Life Balance:</w:t>
      </w:r>
    </w:p>
    <w:p w14:paraId="59C9B2BB" w14:textId="77777777" w:rsidR="00D567F8" w:rsidRPr="007152DF" w:rsidRDefault="00D567F8" w:rsidP="00D567F8">
      <w:pPr>
        <w:pStyle w:val="ListParagraph"/>
        <w:numPr>
          <w:ilvl w:val="0"/>
          <w:numId w:val="7"/>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T1: Job satisfaction (6), Work-life balance (5)</w:t>
      </w:r>
    </w:p>
    <w:p w14:paraId="29DA8CEC" w14:textId="77777777" w:rsidR="00D567F8" w:rsidRPr="007152DF" w:rsidRDefault="00D567F8" w:rsidP="00D567F8">
      <w:pPr>
        <w:pStyle w:val="ListParagraph"/>
        <w:numPr>
          <w:ilvl w:val="0"/>
          <w:numId w:val="7"/>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T2: Job satisfaction (7), Work-life balance (6)</w:t>
      </w:r>
    </w:p>
    <w:p w14:paraId="405CFD2C" w14:textId="77777777" w:rsidR="00D567F8" w:rsidRPr="007152DF" w:rsidRDefault="00D567F8" w:rsidP="00D567F8">
      <w:pPr>
        <w:pStyle w:val="ListParagraph"/>
        <w:numPr>
          <w:ilvl w:val="0"/>
          <w:numId w:val="7"/>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T3: Job satisfaction (6), Work-life balance (5)</w:t>
      </w:r>
    </w:p>
    <w:p w14:paraId="4A6946BE"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noProof/>
          <w:sz w:val="24"/>
          <w:szCs w:val="24"/>
        </w:rPr>
        <w:drawing>
          <wp:inline distT="0" distB="0" distL="0" distR="0" wp14:anchorId="091CCEC0" wp14:editId="31345033">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CBC4FC"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 between Overall Job Satisfaction and Years in Current Role:</w:t>
      </w:r>
    </w:p>
    <w:p w14:paraId="7B50C8D7" w14:textId="77777777" w:rsidR="00D567F8" w:rsidRPr="007152DF" w:rsidRDefault="00D567F8" w:rsidP="00D567F8">
      <w:pPr>
        <w:pStyle w:val="ListParagraph"/>
        <w:numPr>
          <w:ilvl w:val="0"/>
          <w:numId w:val="8"/>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T1: Job satisfaction (7), Years in current role (8)</w:t>
      </w:r>
    </w:p>
    <w:p w14:paraId="6535E361" w14:textId="77777777" w:rsidR="00D567F8" w:rsidRPr="007152DF" w:rsidRDefault="00D567F8" w:rsidP="00D567F8">
      <w:pPr>
        <w:pStyle w:val="ListParagraph"/>
        <w:numPr>
          <w:ilvl w:val="0"/>
          <w:numId w:val="8"/>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T2: Job satisfaction (7), Years in current role (8)</w:t>
      </w:r>
    </w:p>
    <w:p w14:paraId="5F60E311" w14:textId="77777777" w:rsidR="00D567F8" w:rsidRPr="007152DF" w:rsidRDefault="00D567F8" w:rsidP="00D567F8">
      <w:pPr>
        <w:pStyle w:val="ListParagraph"/>
        <w:numPr>
          <w:ilvl w:val="0"/>
          <w:numId w:val="8"/>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T3: Job satisfaction (6), Years in current role (5)</w:t>
      </w:r>
    </w:p>
    <w:p w14:paraId="22F3F36C" w14:textId="77777777" w:rsidR="00D567F8" w:rsidRPr="007152DF" w:rsidRDefault="00D567F8" w:rsidP="00D567F8">
      <w:pPr>
        <w:spacing w:line="480" w:lineRule="auto"/>
        <w:ind w:left="360"/>
        <w:rPr>
          <w:rFonts w:ascii="Times New Roman" w:hAnsi="Times New Roman" w:cs="Times New Roman"/>
          <w:sz w:val="24"/>
          <w:szCs w:val="24"/>
        </w:rPr>
      </w:pPr>
      <w:r w:rsidRPr="007152DF">
        <w:rPr>
          <w:rFonts w:ascii="Times New Roman" w:hAnsi="Times New Roman" w:cs="Times New Roman"/>
          <w:noProof/>
          <w:sz w:val="24"/>
          <w:szCs w:val="24"/>
        </w:rPr>
        <w:lastRenderedPageBreak/>
        <w:drawing>
          <wp:inline distT="0" distB="0" distL="0" distR="0" wp14:anchorId="3EF59410" wp14:editId="6E3DF3FD">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3CE2D76"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Correlation between Satisfaction with Work-Life Balance and Years in Current Role:</w:t>
      </w:r>
    </w:p>
    <w:p w14:paraId="17B2B653" w14:textId="77777777" w:rsidR="00D567F8" w:rsidRPr="007152DF" w:rsidRDefault="00D567F8" w:rsidP="00D567F8">
      <w:pPr>
        <w:pStyle w:val="ListParagraph"/>
        <w:numPr>
          <w:ilvl w:val="0"/>
          <w:numId w:val="9"/>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T1: Work-life balance (6), Years in current role (8)</w:t>
      </w:r>
    </w:p>
    <w:p w14:paraId="3E09594E" w14:textId="77777777" w:rsidR="00D567F8" w:rsidRPr="007152DF" w:rsidRDefault="00D567F8" w:rsidP="00D567F8">
      <w:pPr>
        <w:pStyle w:val="ListParagraph"/>
        <w:numPr>
          <w:ilvl w:val="0"/>
          <w:numId w:val="9"/>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T2: Work-life balance (6), Years in current role (8)</w:t>
      </w:r>
    </w:p>
    <w:p w14:paraId="07B3E64C" w14:textId="77777777" w:rsidR="00D567F8" w:rsidRPr="007152DF" w:rsidRDefault="00D567F8" w:rsidP="00D567F8">
      <w:pPr>
        <w:pStyle w:val="ListParagraph"/>
        <w:numPr>
          <w:ilvl w:val="0"/>
          <w:numId w:val="9"/>
        </w:numPr>
        <w:spacing w:line="480" w:lineRule="auto"/>
        <w:rPr>
          <w:rFonts w:ascii="Times New Roman" w:hAnsi="Times New Roman" w:cs="Times New Roman"/>
          <w:sz w:val="24"/>
          <w:szCs w:val="24"/>
        </w:rPr>
      </w:pPr>
      <w:r w:rsidRPr="007152DF">
        <w:rPr>
          <w:rFonts w:ascii="Times New Roman" w:hAnsi="Times New Roman" w:cs="Times New Roman"/>
          <w:sz w:val="24"/>
          <w:szCs w:val="24"/>
        </w:rPr>
        <w:t>Participant T3: Work-life balance (5), Years in current role (5)</w:t>
      </w:r>
    </w:p>
    <w:p w14:paraId="1B96A6BC"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noProof/>
          <w:sz w:val="24"/>
          <w:szCs w:val="24"/>
        </w:rPr>
        <w:drawing>
          <wp:inline distT="0" distB="0" distL="0" distR="0" wp14:anchorId="59C62A5E" wp14:editId="225442EC">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874BD1"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lastRenderedPageBreak/>
        <w:br/>
        <w:t xml:space="preserve">The findings provide evidence of ties among different elements from both students and teachers, therefore, the enrichment of the more intricate dynamics among job satisfaction, work-life balance, and academic commitments is exposed. there is a striking and positive correlation between the general level of job happiness and the level of job and personal satisfaction of the student employees. The main observation is that almost all participants present higher job satisfaction where there is a better alignment between their professional and personal lives. While this association between job satisfaction and the time devoted to studying does not have a clear direction, there is still a positive relationship between these two variables. The longer they remain satisfied with their jobs, the more they enjoy studying, so the time they spend doing so gradually increases. Moreover, a positive correlation is seen between the period of studying every week and the work-life balance at a moderate level which insinuates that students with that kind of </w:t>
      </w:r>
      <w:r>
        <w:rPr>
          <w:rFonts w:ascii="Times New Roman" w:hAnsi="Times New Roman" w:cs="Times New Roman"/>
          <w:sz w:val="24"/>
          <w:szCs w:val="24"/>
        </w:rPr>
        <w:t>balance</w:t>
      </w:r>
      <w:r w:rsidRPr="007152DF">
        <w:rPr>
          <w:rFonts w:ascii="Times New Roman" w:hAnsi="Times New Roman" w:cs="Times New Roman"/>
          <w:sz w:val="24"/>
          <w:szCs w:val="24"/>
        </w:rPr>
        <w:t xml:space="preserve"> in their occupational and personal lives typically reserve more time for completing their academics.</w:t>
      </w:r>
    </w:p>
    <w:p w14:paraId="4A7482BE" w14:textId="77777777" w:rsidR="00D567F8" w:rsidRPr="007152DF" w:rsidRDefault="00D567F8" w:rsidP="00D567F8">
      <w:pPr>
        <w:spacing w:line="480" w:lineRule="auto"/>
        <w:rPr>
          <w:rFonts w:ascii="Times New Roman" w:eastAsia="Times New Roman" w:hAnsi="Times New Roman" w:cs="Times New Roman"/>
          <w:sz w:val="24"/>
          <w:szCs w:val="24"/>
          <w:lang/>
        </w:rPr>
      </w:pPr>
      <w:r w:rsidRPr="007152DF">
        <w:rPr>
          <w:rFonts w:ascii="Times New Roman" w:hAnsi="Times New Roman" w:cs="Times New Roman"/>
          <w:sz w:val="24"/>
          <w:szCs w:val="24"/>
        </w:rPr>
        <w:t>For teachers, also the role of the workplace-life balance correlation to job satisfaction is observed. Positive teacher job satisfaction, as a rule, coincides with an impression of balance between work and personal life. Besides, the level of job satisfaction and the years in their current role seem to be interlinked. This indicates that the teachers who have been in their current roles for longer periods, seem to be reporting higher job satisfaction. Similarly, a positive relation can be observed between the number of years spent in their current role and satisfaction with work-life balance. Teachers who have already worked for a long time also indicate that they have improved work-life balance.</w:t>
      </w:r>
      <w:r w:rsidRPr="007152DF">
        <w:rPr>
          <w:rFonts w:ascii="Times New Roman" w:hAnsi="Times New Roman" w:cs="Times New Roman"/>
          <w:sz w:val="24"/>
          <w:szCs w:val="24"/>
        </w:rPr>
        <w:br/>
      </w:r>
      <w:r w:rsidRPr="007152DF">
        <w:rPr>
          <w:rFonts w:ascii="Times New Roman" w:hAnsi="Times New Roman" w:cs="Times New Roman"/>
          <w:sz w:val="24"/>
          <w:szCs w:val="24"/>
        </w:rPr>
        <w:br/>
        <w:t xml:space="preserve">These relationships stress the importance of staying balanced between the two ends of teacher and student life. The different examples highlight the value of job </w:t>
      </w:r>
      <w:r w:rsidR="00981EF8" w:rsidRPr="007152DF">
        <w:rPr>
          <w:rFonts w:ascii="Times New Roman" w:hAnsi="Times New Roman" w:cs="Times New Roman"/>
          <w:sz w:val="24"/>
          <w:szCs w:val="24"/>
        </w:rPr>
        <w:t>fulfilment</w:t>
      </w:r>
      <w:r w:rsidRPr="007152DF">
        <w:rPr>
          <w:rFonts w:ascii="Times New Roman" w:hAnsi="Times New Roman" w:cs="Times New Roman"/>
          <w:sz w:val="24"/>
          <w:szCs w:val="24"/>
        </w:rPr>
        <w:t xml:space="preserve"> in shaping the </w:t>
      </w:r>
      <w:r w:rsidRPr="007152DF">
        <w:rPr>
          <w:rFonts w:ascii="Times New Roman" w:hAnsi="Times New Roman" w:cs="Times New Roman"/>
          <w:sz w:val="24"/>
          <w:szCs w:val="24"/>
        </w:rPr>
        <w:lastRenderedPageBreak/>
        <w:t>employee's different academic and professional issues. Additional exploration and analysis can go into the depths of the relationships between job satisfaction and education, to come up with more informative tactics to increase job satisfaction and overall well-being in the hybrid learning environment.</w:t>
      </w:r>
    </w:p>
    <w:p w14:paraId="72C88990" w14:textId="77777777" w:rsidR="00D567F8" w:rsidRPr="007152DF" w:rsidRDefault="00D567F8" w:rsidP="00D567F8">
      <w:pPr>
        <w:pStyle w:val="Heading3"/>
        <w:spacing w:before="0" w:line="480" w:lineRule="auto"/>
        <w:rPr>
          <w:rFonts w:ascii="Times New Roman" w:hAnsi="Times New Roman" w:cs="Times New Roman"/>
          <w:b/>
          <w:color w:val="auto"/>
        </w:rPr>
      </w:pPr>
      <w:r w:rsidRPr="007152DF">
        <w:rPr>
          <w:rFonts w:ascii="Times New Roman" w:hAnsi="Times New Roman" w:cs="Times New Roman"/>
          <w:b/>
          <w:color w:val="auto"/>
        </w:rPr>
        <w:t>4.2.3 Qualitative Analysis: Thematic Analysis</w:t>
      </w:r>
    </w:p>
    <w:p w14:paraId="125251A7" w14:textId="77777777" w:rsidR="00D567F8" w:rsidRPr="009D48CA"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This section involved the coding and categori</w:t>
      </w:r>
      <w:r w:rsidR="003B1FFD">
        <w:rPr>
          <w:rFonts w:ascii="Times New Roman" w:hAnsi="Times New Roman" w:cs="Times New Roman"/>
          <w:sz w:val="24"/>
          <w:szCs w:val="24"/>
        </w:rPr>
        <w:t>s</w:t>
      </w:r>
      <w:r w:rsidRPr="007152DF">
        <w:rPr>
          <w:rFonts w:ascii="Times New Roman" w:hAnsi="Times New Roman" w:cs="Times New Roman"/>
          <w:sz w:val="24"/>
          <w:szCs w:val="24"/>
        </w:rPr>
        <w:t>ation of open-ended survey responses from students' feelings about a hybrid work and education system regarding themes and specific positive or negative aspects</w:t>
      </w:r>
      <w:r>
        <w:rPr>
          <w:rFonts w:ascii="Times New Roman" w:hAnsi="Times New Roman" w:cs="Times New Roman"/>
          <w:sz w:val="24"/>
          <w:szCs w:val="24"/>
        </w:rPr>
        <w:t xml:space="preserve"> (Saunders, 2019)</w:t>
      </w:r>
      <w:r w:rsidRPr="007152DF">
        <w:rPr>
          <w:rFonts w:ascii="Times New Roman" w:hAnsi="Times New Roman" w:cs="Times New Roman"/>
          <w:sz w:val="24"/>
          <w:szCs w:val="24"/>
        </w:rPr>
        <w:t xml:space="preserve">. Thematic categories including work-life balance issues, educational issues, and teaching or learning methods adjustments were identified </w:t>
      </w:r>
      <w:proofErr w:type="gramStart"/>
      <w:r w:rsidRPr="007152DF">
        <w:rPr>
          <w:rFonts w:ascii="Times New Roman" w:hAnsi="Times New Roman" w:cs="Times New Roman"/>
          <w:sz w:val="24"/>
          <w:szCs w:val="24"/>
        </w:rPr>
        <w:t>in the course of</w:t>
      </w:r>
      <w:proofErr w:type="gramEnd"/>
      <w:r w:rsidRPr="007152DF">
        <w:rPr>
          <w:rFonts w:ascii="Times New Roman" w:hAnsi="Times New Roman" w:cs="Times New Roman"/>
          <w:sz w:val="24"/>
          <w:szCs w:val="24"/>
        </w:rPr>
        <w:t xml:space="preserve"> the investigation, which revealed the factors that affect student work-learning balance as well as student satisfaction. One of the efficiency issues was for example pointed out by students in technical support and getting enough flexibility in setting the deadlines. Moreover, codes about social interaction and student cooperation, such as the need for more chances of collective learning and discussions in hybrid learning settings, were also highlighted by the students.</w:t>
      </w:r>
      <w:r w:rsidRPr="007152DF">
        <w:rPr>
          <w:rFonts w:ascii="Times New Roman" w:hAnsi="Times New Roman" w:cs="Times New Roman"/>
          <w:sz w:val="24"/>
          <w:szCs w:val="24"/>
        </w:rPr>
        <w:br/>
      </w:r>
      <w:r w:rsidRPr="007152DF">
        <w:rPr>
          <w:rFonts w:ascii="Times New Roman" w:hAnsi="Times New Roman" w:cs="Times New Roman"/>
          <w:b/>
          <w:sz w:val="24"/>
          <w:szCs w:val="24"/>
        </w:rPr>
        <w:t xml:space="preserve">Theme </w:t>
      </w:r>
      <w:r w:rsidR="00ED597B" w:rsidRPr="007152DF">
        <w:rPr>
          <w:rFonts w:ascii="Times New Roman" w:hAnsi="Times New Roman" w:cs="Times New Roman"/>
          <w:b/>
          <w:sz w:val="24"/>
          <w:szCs w:val="24"/>
        </w:rPr>
        <w:t>1: Work</w:t>
      </w:r>
      <w:r w:rsidRPr="007152DF">
        <w:rPr>
          <w:rFonts w:ascii="Times New Roman" w:hAnsi="Times New Roman" w:cs="Times New Roman"/>
          <w:b/>
          <w:sz w:val="24"/>
          <w:szCs w:val="24"/>
        </w:rPr>
        <w:t>-Life Balance Struggles</w:t>
      </w:r>
      <w:r w:rsidRPr="007152DF">
        <w:rPr>
          <w:rFonts w:ascii="Times New Roman" w:hAnsi="Times New Roman" w:cs="Times New Roman"/>
          <w:sz w:val="24"/>
          <w:szCs w:val="24"/>
        </w:rPr>
        <w:br/>
        <w:t>This theme was continuously highlighted through both student and teacher responses, therefore it ended up being among the most well-presented. Learners claimed difficulty in managing work shifts as well as studies and personal issues leading to experiences of stress and unhappiness at leisure moments. Just as teachers observed, it was shown that managing the workload during hybrid teaching was quite a challenge and it was difficult for them to disconnect the work from their lives and have enough personal time</w:t>
      </w:r>
      <w:r>
        <w:rPr>
          <w:rFonts w:ascii="Times New Roman" w:hAnsi="Times New Roman" w:cs="Times New Roman"/>
          <w:sz w:val="24"/>
          <w:szCs w:val="24"/>
        </w:rPr>
        <w:t xml:space="preserve"> (Porter et al., 2020)</w:t>
      </w:r>
      <w:r w:rsidRPr="007152DF">
        <w:rPr>
          <w:rFonts w:ascii="Times New Roman" w:hAnsi="Times New Roman" w:cs="Times New Roman"/>
          <w:sz w:val="24"/>
          <w:szCs w:val="24"/>
        </w:rPr>
        <w:t>. In addition to the recurring difficulty of combining work with personal life, it is obvious that this problem affects both students and their teachers, as the conventional work and learning environment tends to get hybridi</w:t>
      </w:r>
      <w:r w:rsidR="003B1FFD">
        <w:rPr>
          <w:rFonts w:ascii="Times New Roman" w:hAnsi="Times New Roman" w:cs="Times New Roman"/>
          <w:sz w:val="24"/>
          <w:szCs w:val="24"/>
        </w:rPr>
        <w:t>s</w:t>
      </w:r>
      <w:r w:rsidRPr="007152DF">
        <w:rPr>
          <w:rFonts w:ascii="Times New Roman" w:hAnsi="Times New Roman" w:cs="Times New Roman"/>
          <w:sz w:val="24"/>
          <w:szCs w:val="24"/>
        </w:rPr>
        <w:t>ed.</w:t>
      </w:r>
    </w:p>
    <w:p w14:paraId="7B131C5A"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b/>
          <w:sz w:val="24"/>
          <w:szCs w:val="24"/>
        </w:rPr>
        <w:lastRenderedPageBreak/>
        <w:t>Theme 2: Educational Challenges</w:t>
      </w:r>
      <w:r>
        <w:rPr>
          <w:rFonts w:ascii="Times New Roman" w:hAnsi="Times New Roman" w:cs="Times New Roman"/>
          <w:b/>
          <w:sz w:val="24"/>
          <w:szCs w:val="24"/>
        </w:rPr>
        <w:t xml:space="preserve"> in Workload</w:t>
      </w:r>
      <w:r w:rsidRPr="007152DF">
        <w:rPr>
          <w:rFonts w:ascii="Times New Roman" w:hAnsi="Times New Roman" w:cs="Times New Roman"/>
          <w:b/>
          <w:sz w:val="24"/>
          <w:szCs w:val="24"/>
        </w:rPr>
        <w:t xml:space="preserve"> and Adaptations </w:t>
      </w:r>
      <w:r w:rsidRPr="007152DF">
        <w:rPr>
          <w:rFonts w:ascii="Times New Roman" w:hAnsi="Times New Roman" w:cs="Times New Roman"/>
          <w:sz w:val="24"/>
          <w:szCs w:val="24"/>
        </w:rPr>
        <w:br/>
        <w:t>The study showed a variety of educational issues that students or teachers in blended settings faced. Students reported the effects of destructive distractions during studies, low levels of motivation, and maintaining academic focus under challenges presented by work during hybrid mode. On the contrary, the teachers brought up the issue of how hard it was to engage the students to the expected extent amid the occurrence of almost simultaneous virtual and in-class learning</w:t>
      </w:r>
      <w:r>
        <w:rPr>
          <w:rFonts w:ascii="Times New Roman" w:hAnsi="Times New Roman" w:cs="Times New Roman"/>
          <w:sz w:val="24"/>
          <w:szCs w:val="24"/>
        </w:rPr>
        <w:t xml:space="preserve"> (Gates et al., 2022; Lee, 2022)</w:t>
      </w:r>
      <w:r w:rsidRPr="007152DF">
        <w:rPr>
          <w:rFonts w:ascii="Times New Roman" w:hAnsi="Times New Roman" w:cs="Times New Roman"/>
          <w:sz w:val="24"/>
          <w:szCs w:val="24"/>
        </w:rPr>
        <w:t>. Enhancing student success in a blended scenario would require both parties to put in more effort and support to conduct the tasks more efficiently. Educational challenges and adjustments that are impacted by hybrid learning are an indication of the complexity and describe why one needs to work on this issue to achieve positive outcomes for both students and their teachers.</w:t>
      </w:r>
      <w:r w:rsidRPr="007152DF">
        <w:rPr>
          <w:rFonts w:ascii="Times New Roman" w:hAnsi="Times New Roman" w:cs="Times New Roman"/>
          <w:sz w:val="24"/>
          <w:szCs w:val="24"/>
        </w:rPr>
        <w:br/>
      </w:r>
      <w:r w:rsidRPr="007152DF">
        <w:rPr>
          <w:rFonts w:ascii="Times New Roman" w:hAnsi="Times New Roman" w:cs="Times New Roman"/>
          <w:b/>
          <w:sz w:val="24"/>
          <w:szCs w:val="24"/>
        </w:rPr>
        <w:t>Theme 3: Impact on Teaching Practices and Student Performance</w:t>
      </w:r>
    </w:p>
    <w:p w14:paraId="27339ABD" w14:textId="77777777" w:rsidR="00D567F8" w:rsidRPr="007152DF" w:rsidRDefault="00D567F8" w:rsidP="00D567F8">
      <w:pPr>
        <w:spacing w:line="480" w:lineRule="auto"/>
        <w:rPr>
          <w:rFonts w:ascii="Times New Roman" w:hAnsi="Times New Roman" w:cs="Times New Roman"/>
          <w:sz w:val="24"/>
          <w:szCs w:val="24"/>
          <w:lang/>
        </w:rPr>
      </w:pPr>
      <w:r w:rsidRPr="007152DF">
        <w:rPr>
          <w:rFonts w:ascii="Times New Roman" w:hAnsi="Times New Roman" w:cs="Times New Roman"/>
          <w:sz w:val="24"/>
          <w:szCs w:val="24"/>
        </w:rPr>
        <w:t xml:space="preserve"> One of the most important elements of the research that has ensured research is the theme regarding the impact of hybrid work structures on the education process and academic performance in students. Teachers showed the ability to redesign the old methods through the increased use of technology and the modification of teaching plans to stabili</w:t>
      </w:r>
      <w:r w:rsidR="003B1FFD">
        <w:rPr>
          <w:rFonts w:ascii="Times New Roman" w:hAnsi="Times New Roman" w:cs="Times New Roman"/>
          <w:sz w:val="24"/>
          <w:szCs w:val="24"/>
        </w:rPr>
        <w:t>s</w:t>
      </w:r>
      <w:r w:rsidRPr="007152DF">
        <w:rPr>
          <w:rFonts w:ascii="Times New Roman" w:hAnsi="Times New Roman" w:cs="Times New Roman"/>
          <w:sz w:val="24"/>
          <w:szCs w:val="24"/>
        </w:rPr>
        <w:t xml:space="preserve">e the teaching </w:t>
      </w:r>
      <w:r w:rsidR="00ED597B" w:rsidRPr="007152DF">
        <w:rPr>
          <w:rFonts w:ascii="Times New Roman" w:hAnsi="Times New Roman" w:cs="Times New Roman"/>
          <w:sz w:val="24"/>
          <w:szCs w:val="24"/>
        </w:rPr>
        <w:t>adult’s</w:t>
      </w:r>
      <w:r w:rsidRPr="007152DF">
        <w:rPr>
          <w:rFonts w:ascii="Times New Roman" w:hAnsi="Times New Roman" w:cs="Times New Roman"/>
          <w:sz w:val="24"/>
          <w:szCs w:val="24"/>
        </w:rPr>
        <w:t xml:space="preserve"> situation in the hybrid environment</w:t>
      </w:r>
      <w:r>
        <w:rPr>
          <w:rFonts w:ascii="Times New Roman" w:hAnsi="Times New Roman" w:cs="Times New Roman"/>
          <w:sz w:val="24"/>
          <w:szCs w:val="24"/>
        </w:rPr>
        <w:t xml:space="preserve"> (Evans et al., 2023; </w:t>
      </w:r>
      <w:r w:rsidRPr="0086301C">
        <w:rPr>
          <w:rFonts w:ascii="Times New Roman" w:eastAsia="system-ui" w:hAnsi="Times New Roman" w:cs="Times New Roman"/>
          <w:sz w:val="24"/>
          <w:szCs w:val="24"/>
        </w:rPr>
        <w:t>Lawn et al.</w:t>
      </w:r>
      <w:r>
        <w:rPr>
          <w:rFonts w:ascii="Times New Roman" w:eastAsia="system-ui" w:hAnsi="Times New Roman" w:cs="Times New Roman"/>
          <w:sz w:val="24"/>
          <w:szCs w:val="24"/>
        </w:rPr>
        <w:t>, 2022</w:t>
      </w:r>
      <w:r>
        <w:rPr>
          <w:rFonts w:ascii="Times New Roman" w:hAnsi="Times New Roman" w:cs="Times New Roman"/>
          <w:sz w:val="24"/>
          <w:szCs w:val="24"/>
        </w:rPr>
        <w:t>)</w:t>
      </w:r>
      <w:r w:rsidRPr="007152DF">
        <w:rPr>
          <w:rFonts w:ascii="Times New Roman" w:hAnsi="Times New Roman" w:cs="Times New Roman"/>
          <w:sz w:val="24"/>
          <w:szCs w:val="24"/>
        </w:rPr>
        <w:t>. However, in the process of adjusting to these particularities, it became obvious that keeping up with students' attention and workload issues can be some of the major problems. Indeed, an expert and student observed that hybrid work and learning had not resulted in any significant disadvantage to academic performance, thus students and teachers have the capacity to adapt and thrive in such a setting. The theme of how they affect the dynamics of teaching practices and student performance arises through the need to continue supporting and training teachers, enhance teaching, and promote learning outcomes for hybrid setups.</w:t>
      </w:r>
    </w:p>
    <w:p w14:paraId="01C409D3" w14:textId="77777777" w:rsidR="00D567F8" w:rsidRPr="007152DF" w:rsidRDefault="00D567F8" w:rsidP="00D567F8">
      <w:pPr>
        <w:spacing w:line="480" w:lineRule="auto"/>
        <w:rPr>
          <w:rFonts w:ascii="Times New Roman" w:hAnsi="Times New Roman" w:cs="Times New Roman"/>
          <w:b/>
          <w:sz w:val="24"/>
          <w:szCs w:val="24"/>
        </w:rPr>
      </w:pPr>
      <w:r w:rsidRPr="007152DF">
        <w:rPr>
          <w:rFonts w:ascii="Times New Roman" w:hAnsi="Times New Roman" w:cs="Times New Roman"/>
          <w:b/>
          <w:sz w:val="24"/>
          <w:szCs w:val="24"/>
        </w:rPr>
        <w:t>Discussion of Findings</w:t>
      </w:r>
    </w:p>
    <w:p w14:paraId="58B989DD"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lastRenderedPageBreak/>
        <w:t>The analysis of findings highlights major insight into students' satisfaction, work-life balance, and performance in the academic section. The findings of Tinto's Model were consistent with those of students who mentioned issues of integration and support services as looking like factor that boosts student satisfaction</w:t>
      </w:r>
      <w:r>
        <w:rPr>
          <w:rFonts w:ascii="Times New Roman" w:hAnsi="Times New Roman" w:cs="Times New Roman"/>
          <w:sz w:val="24"/>
          <w:szCs w:val="24"/>
        </w:rPr>
        <w:t xml:space="preserve"> (Tinto, 1975)</w:t>
      </w:r>
      <w:r w:rsidRPr="007152DF">
        <w:rPr>
          <w:rFonts w:ascii="Times New Roman" w:hAnsi="Times New Roman" w:cs="Times New Roman"/>
          <w:sz w:val="24"/>
          <w:szCs w:val="24"/>
        </w:rPr>
        <w:t>. For example, participant S3 noted:</w:t>
      </w:r>
    </w:p>
    <w:p w14:paraId="60EAD58D"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i/>
          <w:sz w:val="24"/>
          <w:szCs w:val="24"/>
        </w:rPr>
        <w:t>"Access to online resources integrated easily with faculty oversight and timely feedback elevating the hybrid model to my satisfaction."</w:t>
      </w:r>
      <w:r w:rsidRPr="007152DF">
        <w:rPr>
          <w:rFonts w:ascii="Times New Roman" w:hAnsi="Times New Roman" w:cs="Times New Roman"/>
          <w:sz w:val="24"/>
          <w:szCs w:val="24"/>
        </w:rPr>
        <w:br/>
        <w:t>This informs to the extent that institutional support is crucial in creating an environment that focuses on student engagement and performance which is consistent with the previous literature that suggests the significant role of interaction between students and faculty and accessibility of resources. Additionally, the investigation concluded that both levels of satisfaction and work-life integration showed cohesion takes up a significant part in academic achievement going by the theoretical foundation of the JD-R Model</w:t>
      </w:r>
      <w:r>
        <w:rPr>
          <w:rFonts w:ascii="Times New Roman" w:hAnsi="Times New Roman" w:cs="Times New Roman"/>
          <w:sz w:val="24"/>
          <w:szCs w:val="24"/>
        </w:rPr>
        <w:t xml:space="preserve"> (</w:t>
      </w:r>
      <w:r w:rsidRPr="0086301C">
        <w:rPr>
          <w:rFonts w:ascii="Times New Roman" w:eastAsia="system-ui" w:hAnsi="Times New Roman" w:cs="Times New Roman"/>
          <w:sz w:val="24"/>
          <w:szCs w:val="24"/>
        </w:rPr>
        <w:t>Demerouti et al.</w:t>
      </w:r>
      <w:r>
        <w:rPr>
          <w:rFonts w:ascii="Times New Roman" w:eastAsia="system-ui" w:hAnsi="Times New Roman" w:cs="Times New Roman"/>
          <w:sz w:val="24"/>
          <w:szCs w:val="24"/>
        </w:rPr>
        <w:t>, 2001)</w:t>
      </w:r>
      <w:r w:rsidRPr="007152DF">
        <w:rPr>
          <w:rFonts w:ascii="Times New Roman" w:hAnsi="Times New Roman" w:cs="Times New Roman"/>
          <w:sz w:val="24"/>
          <w:szCs w:val="24"/>
        </w:rPr>
        <w:t xml:space="preserve">. The experienced student as clear by the statement </w:t>
      </w:r>
      <w:proofErr w:type="gramStart"/>
      <w:r w:rsidRPr="007152DF">
        <w:rPr>
          <w:rFonts w:ascii="Times New Roman" w:hAnsi="Times New Roman" w:cs="Times New Roman"/>
          <w:sz w:val="24"/>
          <w:szCs w:val="24"/>
        </w:rPr>
        <w:t>stated;</w:t>
      </w:r>
      <w:proofErr w:type="gramEnd"/>
    </w:p>
    <w:p w14:paraId="2C0F7324" w14:textId="77777777" w:rsidR="00D567F8" w:rsidRPr="007152DF" w:rsidRDefault="00D567F8" w:rsidP="00D567F8">
      <w:pPr>
        <w:spacing w:line="480" w:lineRule="auto"/>
        <w:rPr>
          <w:rFonts w:ascii="Times New Roman" w:hAnsi="Times New Roman" w:cs="Times New Roman"/>
          <w:i/>
          <w:sz w:val="24"/>
          <w:szCs w:val="24"/>
        </w:rPr>
      </w:pPr>
      <w:r w:rsidRPr="007152DF">
        <w:rPr>
          <w:rFonts w:ascii="Times New Roman" w:hAnsi="Times New Roman" w:cs="Times New Roman"/>
          <w:sz w:val="24"/>
          <w:szCs w:val="24"/>
        </w:rPr>
        <w:t xml:space="preserve"> </w:t>
      </w:r>
      <w:r w:rsidRPr="007152DF">
        <w:rPr>
          <w:rFonts w:ascii="Times New Roman" w:hAnsi="Times New Roman" w:cs="Times New Roman"/>
          <w:i/>
          <w:sz w:val="24"/>
          <w:szCs w:val="24"/>
        </w:rPr>
        <w:t>“The integration of workload and schooling can be difficult however proper time management and access to support services make it easier and increase one's overall well-being”.</w:t>
      </w:r>
    </w:p>
    <w:p w14:paraId="67C0FBA6"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These findings, therefore, confirm the order proposed by the JD-R Model in the sense that demands match resources intending to improve our graduating student outcomes where mitigating demands is done through efficient support mechanisms</w:t>
      </w:r>
      <w:r>
        <w:rPr>
          <w:rFonts w:ascii="Times New Roman" w:hAnsi="Times New Roman" w:cs="Times New Roman"/>
          <w:sz w:val="24"/>
          <w:szCs w:val="24"/>
        </w:rPr>
        <w:t xml:space="preserve"> </w:t>
      </w:r>
      <w:r w:rsidRPr="0086301C">
        <w:rPr>
          <w:rFonts w:ascii="Times New Roman" w:eastAsia="system-ui" w:hAnsi="Times New Roman" w:cs="Times New Roman"/>
          <w:sz w:val="24"/>
          <w:szCs w:val="24"/>
        </w:rPr>
        <w:t>(Naqshbandi et al., 2023)</w:t>
      </w:r>
      <w:r w:rsidRPr="007152DF">
        <w:rPr>
          <w:rFonts w:ascii="Times New Roman" w:hAnsi="Times New Roman" w:cs="Times New Roman"/>
          <w:sz w:val="24"/>
          <w:szCs w:val="24"/>
        </w:rPr>
        <w:t>.</w:t>
      </w:r>
    </w:p>
    <w:p w14:paraId="71830BC2"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 xml:space="preserve">Disclosure of the results will bring a more in-depth understanding of the student's experiences and perceptions of hybrid work and learning environments. Themes on complexities of cross-border education arose, portraying hurdles and options the learners had. In the same vein as other studies, the students stressed the fact that technology and peer support are the best ways </w:t>
      </w:r>
      <w:r w:rsidRPr="007152DF">
        <w:rPr>
          <w:rFonts w:ascii="Times New Roman" w:hAnsi="Times New Roman" w:cs="Times New Roman"/>
          <w:sz w:val="24"/>
          <w:szCs w:val="24"/>
        </w:rPr>
        <w:lastRenderedPageBreak/>
        <w:t xml:space="preserve">to improve their general satisfaction and achieve their work-life balance. Participant T2 expressed, </w:t>
      </w:r>
    </w:p>
    <w:p w14:paraId="4B67065D"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i/>
          <w:sz w:val="24"/>
          <w:szCs w:val="24"/>
        </w:rPr>
        <w:t>"Harsh limitation of technology and complete separation from peers deteriorate learning process, thus new methods of assistance and group work development should be provided in hybrid learning environments."</w:t>
      </w:r>
      <w:r w:rsidRPr="007152DF">
        <w:rPr>
          <w:rFonts w:ascii="Times New Roman" w:hAnsi="Times New Roman" w:cs="Times New Roman"/>
          <w:sz w:val="24"/>
          <w:szCs w:val="24"/>
        </w:rPr>
        <w:br/>
        <w:t xml:space="preserve">Such data complements existing research, bringing about a more in-depth qualitative dimension to the factors shaping student satisfaction and work-life balance. Moreover, they correspond to the existing research’s insistence on the role of technology access and social integration as factors that would help create the environment for a beneficial learning experience, which is consistent with the </w:t>
      </w:r>
      <w:r>
        <w:rPr>
          <w:rFonts w:ascii="Times New Roman" w:hAnsi="Times New Roman" w:cs="Times New Roman"/>
          <w:sz w:val="24"/>
          <w:szCs w:val="24"/>
        </w:rPr>
        <w:t xml:space="preserve">JD-R </w:t>
      </w:r>
      <w:r w:rsidRPr="007152DF">
        <w:rPr>
          <w:rFonts w:ascii="Times New Roman" w:hAnsi="Times New Roman" w:cs="Times New Roman"/>
          <w:sz w:val="24"/>
          <w:szCs w:val="24"/>
        </w:rPr>
        <w:t>and Tinto's model.</w:t>
      </w:r>
      <w:r w:rsidRPr="007152DF">
        <w:rPr>
          <w:rFonts w:ascii="Times New Roman" w:hAnsi="Times New Roman" w:cs="Times New Roman"/>
          <w:sz w:val="24"/>
          <w:szCs w:val="24"/>
          <w:bdr w:val="single" w:sz="2" w:space="0" w:color="E5E7EB" w:frame="1"/>
          <w:lang/>
        </w:rPr>
        <w:br/>
      </w:r>
      <w:r w:rsidRPr="007152DF">
        <w:rPr>
          <w:rStyle w:val="Heading3Char"/>
          <w:rFonts w:ascii="Times New Roman" w:hAnsi="Times New Roman" w:cs="Times New Roman"/>
          <w:b/>
          <w:color w:val="auto"/>
        </w:rPr>
        <w:t>4.2.4 Validity and Reliability of the Data</w:t>
      </w:r>
    </w:p>
    <w:p w14:paraId="4A6C0569" w14:textId="77777777" w:rsidR="00D567F8"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The accuracy and reliability of the data were confirmed by implementation of the proven methodical approaches, such as the utili</w:t>
      </w:r>
      <w:r w:rsidR="003B1FFD">
        <w:rPr>
          <w:rFonts w:ascii="Times New Roman" w:hAnsi="Times New Roman" w:cs="Times New Roman"/>
          <w:sz w:val="24"/>
          <w:szCs w:val="24"/>
        </w:rPr>
        <w:t>s</w:t>
      </w:r>
      <w:r w:rsidRPr="007152DF">
        <w:rPr>
          <w:rFonts w:ascii="Times New Roman" w:hAnsi="Times New Roman" w:cs="Times New Roman"/>
          <w:sz w:val="24"/>
          <w:szCs w:val="24"/>
        </w:rPr>
        <w:t>ation of quantitative and qualitative methods</w:t>
      </w:r>
      <w:r>
        <w:rPr>
          <w:rFonts w:ascii="Times New Roman" w:hAnsi="Times New Roman" w:cs="Times New Roman"/>
          <w:sz w:val="24"/>
          <w:szCs w:val="24"/>
        </w:rPr>
        <w:t xml:space="preserve"> (</w:t>
      </w:r>
      <w:r w:rsidRPr="0086301C">
        <w:rPr>
          <w:rFonts w:ascii="Times New Roman" w:hAnsi="Times New Roman" w:cs="Times New Roman"/>
          <w:color w:val="222222"/>
          <w:sz w:val="24"/>
          <w:szCs w:val="24"/>
          <w:shd w:val="clear" w:color="auto" w:fill="FFFFFF"/>
        </w:rPr>
        <w:t>Saunders,</w:t>
      </w:r>
      <w:r>
        <w:rPr>
          <w:rFonts w:ascii="Times New Roman" w:hAnsi="Times New Roman" w:cs="Times New Roman"/>
          <w:color w:val="222222"/>
          <w:sz w:val="24"/>
          <w:szCs w:val="24"/>
          <w:shd w:val="clear" w:color="auto" w:fill="FFFFFF"/>
        </w:rPr>
        <w:t xml:space="preserve"> 2019)</w:t>
      </w:r>
      <w:r w:rsidRPr="007152DF">
        <w:rPr>
          <w:rFonts w:ascii="Times New Roman" w:hAnsi="Times New Roman" w:cs="Times New Roman"/>
          <w:sz w:val="24"/>
          <w:szCs w:val="24"/>
        </w:rPr>
        <w:t>. The use of direct references from survey responses made the discussions insightful, giving a voice to the participants, who shared their experiences and impressions. On top of this, the findings' congruence with the theoretical framework, and existing research improved the credibility of the analysis and helped to make it more thoughtful and comprehensive regarding the impact of hybrid work on student satisfaction and the work-life balance in the UK education sector. </w:t>
      </w:r>
    </w:p>
    <w:p w14:paraId="2D186F01" w14:textId="77777777" w:rsidR="00D567F8" w:rsidRPr="007152DF" w:rsidRDefault="00D567F8" w:rsidP="00D567F8">
      <w:pPr>
        <w:spacing w:line="480" w:lineRule="auto"/>
        <w:rPr>
          <w:rFonts w:ascii="Times New Roman" w:hAnsi="Times New Roman" w:cs="Times New Roman"/>
          <w:sz w:val="24"/>
          <w:szCs w:val="24"/>
        </w:rPr>
      </w:pPr>
      <w:r w:rsidRPr="007152DF">
        <w:rPr>
          <w:rStyle w:val="Heading1Char"/>
          <w:rFonts w:ascii="Times New Roman" w:hAnsi="Times New Roman" w:cs="Times New Roman"/>
          <w:b/>
          <w:color w:val="auto"/>
          <w:sz w:val="24"/>
          <w:szCs w:val="24"/>
        </w:rPr>
        <w:t>Summary of Chapter 4</w:t>
      </w:r>
      <w:r w:rsidRPr="007152DF">
        <w:rPr>
          <w:rFonts w:ascii="Times New Roman" w:hAnsi="Times New Roman" w:cs="Times New Roman"/>
          <w:sz w:val="24"/>
          <w:szCs w:val="24"/>
        </w:rPr>
        <w:br/>
      </w:r>
      <w:r>
        <w:rPr>
          <w:rFonts w:ascii="Times New Roman" w:hAnsi="Times New Roman" w:cs="Times New Roman"/>
          <w:sz w:val="24"/>
          <w:szCs w:val="24"/>
        </w:rPr>
        <w:t>T</w:t>
      </w:r>
      <w:r w:rsidRPr="007152DF">
        <w:rPr>
          <w:rFonts w:ascii="Times New Roman" w:hAnsi="Times New Roman" w:cs="Times New Roman"/>
          <w:sz w:val="24"/>
          <w:szCs w:val="24"/>
        </w:rPr>
        <w:t xml:space="preserve">his chapter was dedicated to data analysis through the presentation and discussion of findings. The chapter thoroughly explained in detail how to find the meaning in the collected data. The chapter begins with organising data and goes on to computing the measures of central tendency which are the mean, median, and mode. On the other hand, it also </w:t>
      </w:r>
      <w:r w:rsidRPr="007152DF">
        <w:rPr>
          <w:rFonts w:ascii="Times New Roman" w:hAnsi="Times New Roman" w:cs="Times New Roman"/>
          <w:sz w:val="24"/>
          <w:szCs w:val="24"/>
        </w:rPr>
        <w:lastRenderedPageBreak/>
        <w:t>investigates the associations to figure out the relationships in the data set. The chapter stresses data visuali</w:t>
      </w:r>
      <w:r w:rsidR="003B1FFD">
        <w:rPr>
          <w:rFonts w:ascii="Times New Roman" w:hAnsi="Times New Roman" w:cs="Times New Roman"/>
          <w:sz w:val="24"/>
          <w:szCs w:val="24"/>
        </w:rPr>
        <w:t>s</w:t>
      </w:r>
      <w:r w:rsidRPr="007152DF">
        <w:rPr>
          <w:rFonts w:ascii="Times New Roman" w:hAnsi="Times New Roman" w:cs="Times New Roman"/>
          <w:sz w:val="24"/>
          <w:szCs w:val="24"/>
        </w:rPr>
        <w:t>ation methods like charts and graphs that enable findings to be presented effectively. Additionally, it includes the topics of inferential statistics to decide something and predict from sample information. The chapter concludes by bringing the research findings and literature together as a means of highlighting the study’s contribution to the research problem.</w:t>
      </w:r>
    </w:p>
    <w:p w14:paraId="1D673562" w14:textId="77777777" w:rsidR="00D567F8" w:rsidRPr="007152DF" w:rsidRDefault="00D567F8" w:rsidP="00D567F8">
      <w:pPr>
        <w:pStyle w:val="Heading1"/>
        <w:spacing w:before="0" w:line="480" w:lineRule="auto"/>
        <w:rPr>
          <w:rFonts w:ascii="Times New Roman" w:hAnsi="Times New Roman" w:cs="Times New Roman"/>
          <w:b/>
          <w:color w:val="auto"/>
          <w:sz w:val="24"/>
          <w:szCs w:val="24"/>
        </w:rPr>
      </w:pPr>
      <w:r w:rsidRPr="007152DF">
        <w:rPr>
          <w:rFonts w:ascii="Times New Roman" w:hAnsi="Times New Roman" w:cs="Times New Roman"/>
          <w:b/>
          <w:color w:val="auto"/>
          <w:sz w:val="24"/>
          <w:szCs w:val="24"/>
        </w:rPr>
        <w:t>Chapter 5: Conclusions, Limitations &amp; Recommendations</w:t>
      </w:r>
    </w:p>
    <w:p w14:paraId="1B77B709" w14:textId="77777777" w:rsidR="00D567F8" w:rsidRPr="007152DF" w:rsidRDefault="00D567F8" w:rsidP="00D567F8">
      <w:pPr>
        <w:pStyle w:val="Heading1"/>
        <w:spacing w:before="0" w:line="480" w:lineRule="auto"/>
        <w:rPr>
          <w:rFonts w:ascii="Times New Roman" w:hAnsi="Times New Roman" w:cs="Times New Roman"/>
          <w:b/>
          <w:sz w:val="24"/>
          <w:szCs w:val="24"/>
        </w:rPr>
      </w:pPr>
      <w:r w:rsidRPr="007152DF">
        <w:rPr>
          <w:rFonts w:ascii="Times New Roman" w:hAnsi="Times New Roman" w:cs="Times New Roman"/>
          <w:b/>
          <w:color w:val="auto"/>
          <w:sz w:val="24"/>
          <w:szCs w:val="24"/>
        </w:rPr>
        <w:t>5.1 Introduction</w:t>
      </w:r>
    </w:p>
    <w:p w14:paraId="5AB5A437"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 xml:space="preserve">Chapter five provides a compact summary of the outcomes of this study, its limitations, and actions to take to improve research in the future. The chapter discusses the most important findings and the outcomes from the analysis. Additionally, it highlights the limitations experienced during the research process, raising the prospects for further interrogation in the future. The chapter concludes with practical recommendations based on the findings of the research which may guide decision making as well as assist in people carry our future research in the field.  </w:t>
      </w:r>
    </w:p>
    <w:p w14:paraId="0569CAEB" w14:textId="77777777" w:rsidR="00D567F8" w:rsidRDefault="00D567F8" w:rsidP="00D567F8">
      <w:pPr>
        <w:spacing w:line="480" w:lineRule="auto"/>
        <w:rPr>
          <w:rFonts w:ascii="Times New Roman" w:hAnsi="Times New Roman" w:cs="Times New Roman"/>
          <w:sz w:val="24"/>
          <w:szCs w:val="24"/>
        </w:rPr>
      </w:pPr>
      <w:r w:rsidRPr="00D567F8">
        <w:rPr>
          <w:rStyle w:val="Heading2Char"/>
          <w:rFonts w:ascii="Times New Roman" w:hAnsi="Times New Roman" w:cs="Times New Roman"/>
          <w:b/>
          <w:color w:val="auto"/>
          <w:sz w:val="24"/>
          <w:szCs w:val="24"/>
        </w:rPr>
        <w:t>5.2 Conclusions</w:t>
      </w:r>
      <w:r w:rsidRPr="007152DF">
        <w:rPr>
          <w:rFonts w:ascii="Times New Roman" w:hAnsi="Times New Roman" w:cs="Times New Roman"/>
          <w:sz w:val="24"/>
          <w:szCs w:val="24"/>
        </w:rPr>
        <w:br/>
        <w:t>Following the evidence that was summarised in Chapter Four, four key conclusions can be inferred from the three objectives and hypotheses that were mentioned in the introductory part of the research. First, there is an evident influence of hybrid work and learning on student satisfaction and work-learning balance. The study found that students using different forms of hybrid models (blended learning, hybrid jobs) gave different evaluations of how they experienced this type of work and education</w:t>
      </w:r>
      <w:r>
        <w:rPr>
          <w:rFonts w:ascii="Times New Roman" w:hAnsi="Times New Roman" w:cs="Times New Roman"/>
          <w:sz w:val="24"/>
          <w:szCs w:val="24"/>
        </w:rPr>
        <w:t xml:space="preserve"> (</w:t>
      </w:r>
      <w:r w:rsidRPr="0086301C">
        <w:rPr>
          <w:rFonts w:ascii="Times New Roman" w:eastAsia="system-ui" w:hAnsi="Times New Roman" w:cs="Times New Roman"/>
          <w:sz w:val="24"/>
          <w:szCs w:val="24"/>
        </w:rPr>
        <w:t>Darker et al.</w:t>
      </w:r>
      <w:r>
        <w:rPr>
          <w:rFonts w:ascii="Times New Roman" w:eastAsia="system-ui" w:hAnsi="Times New Roman" w:cs="Times New Roman"/>
          <w:sz w:val="24"/>
          <w:szCs w:val="24"/>
        </w:rPr>
        <w:t>, 2022)</w:t>
      </w:r>
      <w:r w:rsidRPr="007152DF">
        <w:rPr>
          <w:rFonts w:ascii="Times New Roman" w:hAnsi="Times New Roman" w:cs="Times New Roman"/>
          <w:sz w:val="24"/>
          <w:szCs w:val="24"/>
        </w:rPr>
        <w:t xml:space="preserve">. A few of them were able to grasp the pros in fitting up the working and studying timelines, but as for others, it was just hard to smile during the days when they had so many things to do. The hybrid </w:t>
      </w:r>
      <w:r w:rsidRPr="007152DF">
        <w:rPr>
          <w:rFonts w:ascii="Times New Roman" w:hAnsi="Times New Roman" w:cs="Times New Roman"/>
          <w:sz w:val="24"/>
          <w:szCs w:val="24"/>
        </w:rPr>
        <w:lastRenderedPageBreak/>
        <w:t>model, in the main, is good for students in that it offers some flexibility while it is also bad in that it can disrupt the students' work-learning balance.</w:t>
      </w:r>
    </w:p>
    <w:p w14:paraId="469A534A" w14:textId="77777777" w:rsidR="00D567F8" w:rsidRPr="00380F7D" w:rsidRDefault="00D567F8" w:rsidP="00D567F8">
      <w:pPr>
        <w:spacing w:line="480" w:lineRule="auto"/>
        <w:ind w:firstLine="720"/>
        <w:rPr>
          <w:rFonts w:ascii="Times New Roman" w:hAnsi="Times New Roman" w:cs="Times New Roman"/>
          <w:sz w:val="24"/>
          <w:szCs w:val="24"/>
        </w:rPr>
      </w:pPr>
      <w:r>
        <w:rPr>
          <w:rFonts w:ascii="Times New Roman" w:hAnsi="Times New Roman" w:cs="Times New Roman"/>
          <w:sz w:val="24"/>
          <w:szCs w:val="24"/>
        </w:rPr>
        <w:t>S</w:t>
      </w:r>
      <w:r w:rsidRPr="007152DF">
        <w:rPr>
          <w:rFonts w:ascii="Times New Roman" w:hAnsi="Times New Roman" w:cs="Times New Roman"/>
          <w:sz w:val="24"/>
          <w:szCs w:val="24"/>
        </w:rPr>
        <w:t>econdly, multiple components were indicated as determinants of student satisfaction and work-life balance in the hybrid learning approaches, such as burden, pressure, support systems, and coping strategies to handle the case</w:t>
      </w:r>
      <w:r>
        <w:rPr>
          <w:rFonts w:ascii="Times New Roman" w:hAnsi="Times New Roman" w:cs="Times New Roman"/>
          <w:sz w:val="24"/>
          <w:szCs w:val="24"/>
        </w:rPr>
        <w:t xml:space="preserve"> (</w:t>
      </w:r>
      <w:r w:rsidRPr="0086301C">
        <w:rPr>
          <w:rFonts w:ascii="Times New Roman" w:eastAsia="system-ui" w:hAnsi="Times New Roman" w:cs="Times New Roman"/>
          <w:sz w:val="24"/>
          <w:szCs w:val="24"/>
        </w:rPr>
        <w:t>Arabia and Lee</w:t>
      </w:r>
      <w:r>
        <w:rPr>
          <w:rFonts w:ascii="Times New Roman" w:eastAsia="system-ui" w:hAnsi="Times New Roman" w:cs="Times New Roman"/>
          <w:sz w:val="24"/>
          <w:szCs w:val="24"/>
        </w:rPr>
        <w:t>, 2021)</w:t>
      </w:r>
      <w:r w:rsidRPr="007152DF">
        <w:rPr>
          <w:rFonts w:ascii="Times New Roman" w:hAnsi="Times New Roman" w:cs="Times New Roman"/>
          <w:sz w:val="24"/>
          <w:szCs w:val="24"/>
        </w:rPr>
        <w:t xml:space="preserve">. The students who managed their time successfully and got enough support were happier about the workload and balanced their lives better than others. Thirdly, the research pointed out the significance of flexible teaching methods and policies that would encourage </w:t>
      </w:r>
      <w:r w:rsidR="00ED597B" w:rsidRPr="007152DF">
        <w:rPr>
          <w:rFonts w:ascii="Times New Roman" w:hAnsi="Times New Roman" w:cs="Times New Roman"/>
          <w:sz w:val="24"/>
          <w:szCs w:val="24"/>
        </w:rPr>
        <w:t>favourable</w:t>
      </w:r>
      <w:r w:rsidRPr="007152DF">
        <w:rPr>
          <w:rFonts w:ascii="Times New Roman" w:hAnsi="Times New Roman" w:cs="Times New Roman"/>
          <w:sz w:val="24"/>
          <w:szCs w:val="24"/>
        </w:rPr>
        <w:t xml:space="preserve"> attitudes, academic performance, and the development of healthy work habits in students who are learning in a hybrid learning environment. Approaches like technology adoption and channel cleaning were implemented and these were found to be the success factors for achieving student satisfaction and engagement</w:t>
      </w:r>
      <w:r>
        <w:rPr>
          <w:rFonts w:ascii="Times New Roman" w:hAnsi="Times New Roman" w:cs="Times New Roman"/>
          <w:sz w:val="24"/>
          <w:szCs w:val="24"/>
        </w:rPr>
        <w:t xml:space="preserve"> (Talwar, 2023)</w:t>
      </w:r>
      <w:r w:rsidRPr="007152DF">
        <w:rPr>
          <w:rFonts w:ascii="Times New Roman" w:hAnsi="Times New Roman" w:cs="Times New Roman"/>
          <w:sz w:val="24"/>
          <w:szCs w:val="24"/>
        </w:rPr>
        <w:t>. Finally, the findings highlight possible solutions to solve the problem of student satisfaction and work-learning balancing in the hybrid work and learning dependences. Highlights here are having desktop deadlines, aiding in the work-life balance mix, assuring right and ongoing communication with students, and supplying more study resources.</w:t>
      </w:r>
      <w:r w:rsidRPr="007152DF">
        <w:rPr>
          <w:rFonts w:ascii="Times New Roman" w:hAnsi="Times New Roman" w:cs="Times New Roman"/>
          <w:sz w:val="24"/>
          <w:szCs w:val="24"/>
        </w:rPr>
        <w:br/>
      </w:r>
      <w:r w:rsidRPr="00D567F8">
        <w:rPr>
          <w:rStyle w:val="Heading2Char"/>
          <w:rFonts w:ascii="Times New Roman" w:hAnsi="Times New Roman" w:cs="Times New Roman"/>
          <w:b/>
          <w:color w:val="auto"/>
          <w:sz w:val="24"/>
          <w:szCs w:val="24"/>
        </w:rPr>
        <w:t xml:space="preserve">5.3 Conclusions on the research </w:t>
      </w:r>
      <w:proofErr w:type="gramStart"/>
      <w:r w:rsidRPr="00D567F8">
        <w:rPr>
          <w:rStyle w:val="Heading2Char"/>
          <w:rFonts w:ascii="Times New Roman" w:hAnsi="Times New Roman" w:cs="Times New Roman"/>
          <w:b/>
          <w:color w:val="auto"/>
          <w:sz w:val="24"/>
          <w:szCs w:val="24"/>
        </w:rPr>
        <w:t>problem</w:t>
      </w:r>
      <w:proofErr w:type="gramEnd"/>
    </w:p>
    <w:p w14:paraId="297A2762"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Hybrid working and learning models were studied, and their effect on the satisfaction of students and the balance between work and learning within the UK education sector addressing the research problem. Data illustrates that this type of model offers flexibility and integration, but at the same</w:t>
      </w:r>
      <w:r w:rsidR="004B70ED">
        <w:rPr>
          <w:rFonts w:ascii="Times New Roman" w:hAnsi="Times New Roman" w:cs="Times New Roman"/>
          <w:sz w:val="24"/>
          <w:szCs w:val="24"/>
        </w:rPr>
        <w:t>,</w:t>
      </w:r>
      <w:r w:rsidRPr="007152DF">
        <w:rPr>
          <w:rFonts w:ascii="Times New Roman" w:hAnsi="Times New Roman" w:cs="Times New Roman"/>
          <w:sz w:val="24"/>
          <w:szCs w:val="24"/>
        </w:rPr>
        <w:t xml:space="preserve"> the hybrid nature is vulnerable to the complexity it creates when managing multiple commitments such as work and learning. The dimensions of workload, available resources, and teaching techniques are thriving determinants of the experience of students and teachers. The outcome of the research points to the vagueness of adjusting the </w:t>
      </w:r>
      <w:r w:rsidRPr="007152DF">
        <w:rPr>
          <w:rFonts w:ascii="Times New Roman" w:hAnsi="Times New Roman" w:cs="Times New Roman"/>
          <w:sz w:val="24"/>
          <w:szCs w:val="24"/>
        </w:rPr>
        <w:lastRenderedPageBreak/>
        <w:t>students and the teachers on hybrid working and learning paradigms and the need for unique interventions to support student well-being and success.</w:t>
      </w:r>
    </w:p>
    <w:p w14:paraId="4E45AAD9" w14:textId="77777777" w:rsidR="00D567F8" w:rsidRPr="007152DF" w:rsidRDefault="00D567F8" w:rsidP="00D567F8">
      <w:pPr>
        <w:pStyle w:val="Heading2"/>
        <w:spacing w:before="0" w:line="480" w:lineRule="auto"/>
        <w:rPr>
          <w:rFonts w:ascii="Times New Roman" w:hAnsi="Times New Roman" w:cs="Times New Roman"/>
          <w:b/>
          <w:sz w:val="24"/>
          <w:szCs w:val="24"/>
        </w:rPr>
      </w:pPr>
      <w:r w:rsidRPr="00D567F8">
        <w:rPr>
          <w:rFonts w:ascii="Times New Roman" w:hAnsi="Times New Roman" w:cs="Times New Roman"/>
          <w:b/>
          <w:color w:val="auto"/>
          <w:sz w:val="24"/>
          <w:szCs w:val="24"/>
        </w:rPr>
        <w:t>5.4 Summary of the research findings and outcomes</w:t>
      </w:r>
    </w:p>
    <w:p w14:paraId="61B83546"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The research study brings forward the diversity of degrees of satisfaction among the students and teachers who are engaged in blended work and learning models. Some students agreed on the positive of flexible schedules and integration, but some other students had problems managing their workload and stress. The findings revealed that an effective teaching method and support system were major factors for positive conduct and good performance. The reported outcomes highly recommend tailored interventions geared towards the disparate needs of students in hybrid working and learning environments.</w:t>
      </w:r>
    </w:p>
    <w:p w14:paraId="72E0B497" w14:textId="77777777" w:rsidR="00D567F8" w:rsidRPr="007152DF" w:rsidRDefault="00D567F8" w:rsidP="00D567F8">
      <w:pPr>
        <w:pStyle w:val="Heading2"/>
        <w:spacing w:before="0" w:line="480" w:lineRule="auto"/>
        <w:rPr>
          <w:rFonts w:ascii="Times New Roman" w:hAnsi="Times New Roman" w:cs="Times New Roman"/>
          <w:b/>
          <w:color w:val="auto"/>
          <w:sz w:val="24"/>
          <w:szCs w:val="24"/>
        </w:rPr>
      </w:pPr>
      <w:r w:rsidRPr="007152DF">
        <w:rPr>
          <w:rFonts w:ascii="Times New Roman" w:hAnsi="Times New Roman" w:cs="Times New Roman"/>
          <w:b/>
          <w:color w:val="auto"/>
          <w:sz w:val="24"/>
          <w:szCs w:val="24"/>
        </w:rPr>
        <w:t>5.5 Original Contribution of the Research</w:t>
      </w:r>
    </w:p>
    <w:p w14:paraId="317CEFDB"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This study presents a substantial contribution to the field of academia and the management of hybrid work and learning models in the UK educational sector and provides the public with an understanding of the complexity of the hybrid model</w:t>
      </w:r>
      <w:r>
        <w:rPr>
          <w:rFonts w:ascii="Times New Roman" w:hAnsi="Times New Roman" w:cs="Times New Roman"/>
          <w:sz w:val="24"/>
          <w:szCs w:val="24"/>
        </w:rPr>
        <w:t xml:space="preserve"> </w:t>
      </w:r>
      <w:r w:rsidRPr="0086301C">
        <w:rPr>
          <w:rFonts w:ascii="Times New Roman" w:hAnsi="Times New Roman" w:cs="Times New Roman"/>
          <w:sz w:val="24"/>
          <w:szCs w:val="24"/>
        </w:rPr>
        <w:t>(Mutebi and Hobbs, 2022)</w:t>
      </w:r>
      <w:r w:rsidRPr="007152DF">
        <w:rPr>
          <w:rFonts w:ascii="Times New Roman" w:hAnsi="Times New Roman" w:cs="Times New Roman"/>
          <w:sz w:val="24"/>
          <w:szCs w:val="24"/>
        </w:rPr>
        <w:t>. The outcomes give much information that can be utili</w:t>
      </w:r>
      <w:r w:rsidR="003B1FFD">
        <w:rPr>
          <w:rFonts w:ascii="Times New Roman" w:hAnsi="Times New Roman" w:cs="Times New Roman"/>
          <w:sz w:val="24"/>
          <w:szCs w:val="24"/>
        </w:rPr>
        <w:t>s</w:t>
      </w:r>
      <w:r w:rsidRPr="007152DF">
        <w:rPr>
          <w:rFonts w:ascii="Times New Roman" w:hAnsi="Times New Roman" w:cs="Times New Roman"/>
          <w:sz w:val="24"/>
          <w:szCs w:val="24"/>
        </w:rPr>
        <w:t>ed by educators, policymakers, scholars, and other experts interested in addressing the challenges and opportunities that emerge from this new type of work and education. The study is significant for adhering to the incorporation of adaptable learning strategies and social support systems, which is an integral part of raising student satisfaction and academic performance in the emerging educational structure.</w:t>
      </w:r>
    </w:p>
    <w:p w14:paraId="210A66B9" w14:textId="77777777" w:rsidR="00D567F8" w:rsidRPr="007152DF" w:rsidRDefault="00D567F8" w:rsidP="00D567F8">
      <w:pPr>
        <w:pStyle w:val="Heading2"/>
        <w:spacing w:before="0" w:line="480" w:lineRule="auto"/>
        <w:rPr>
          <w:rFonts w:ascii="Times New Roman" w:hAnsi="Times New Roman" w:cs="Times New Roman"/>
          <w:b/>
          <w:color w:val="auto"/>
          <w:sz w:val="24"/>
          <w:szCs w:val="24"/>
        </w:rPr>
      </w:pPr>
      <w:r w:rsidRPr="007152DF">
        <w:rPr>
          <w:rFonts w:ascii="Times New Roman" w:hAnsi="Times New Roman" w:cs="Times New Roman"/>
          <w:b/>
          <w:color w:val="auto"/>
          <w:sz w:val="24"/>
          <w:szCs w:val="24"/>
        </w:rPr>
        <w:t>5.6 Limitations of the Research</w:t>
      </w:r>
    </w:p>
    <w:p w14:paraId="27138998" w14:textId="77777777" w:rsidR="00D567F8" w:rsidRPr="007152DF" w:rsidRDefault="00D567F8" w:rsidP="00D567F8">
      <w:pPr>
        <w:spacing w:line="480" w:lineRule="auto"/>
        <w:rPr>
          <w:rFonts w:ascii="Times New Roman" w:hAnsi="Times New Roman" w:cs="Times New Roman"/>
          <w:sz w:val="24"/>
          <w:szCs w:val="24"/>
        </w:rPr>
      </w:pPr>
      <w:r w:rsidRPr="007152DF">
        <w:rPr>
          <w:rFonts w:ascii="Times New Roman" w:hAnsi="Times New Roman" w:cs="Times New Roman"/>
          <w:sz w:val="24"/>
          <w:szCs w:val="24"/>
        </w:rPr>
        <w:t>The research has numerous advantages despite several limitations surrounding the setting and sample. The targeting of the study in a particular context within the UK education sector raises doubt that its results would be generali</w:t>
      </w:r>
      <w:r w:rsidR="003B1FFD">
        <w:rPr>
          <w:rFonts w:ascii="Times New Roman" w:hAnsi="Times New Roman" w:cs="Times New Roman"/>
          <w:sz w:val="24"/>
          <w:szCs w:val="24"/>
        </w:rPr>
        <w:t>s</w:t>
      </w:r>
      <w:r w:rsidRPr="007152DF">
        <w:rPr>
          <w:rFonts w:ascii="Times New Roman" w:hAnsi="Times New Roman" w:cs="Times New Roman"/>
          <w:sz w:val="24"/>
          <w:szCs w:val="24"/>
        </w:rPr>
        <w:t xml:space="preserve">ed in other settings. Furthermore, the data </w:t>
      </w:r>
      <w:r w:rsidRPr="007152DF">
        <w:rPr>
          <w:rFonts w:ascii="Times New Roman" w:hAnsi="Times New Roman" w:cs="Times New Roman"/>
          <w:sz w:val="24"/>
          <w:szCs w:val="24"/>
        </w:rPr>
        <w:lastRenderedPageBreak/>
        <w:t xml:space="preserve">based on subjects’ self-reporting using questionnaires might lead to misrepresentation and errors. Limitations of the research could be addressed by utilising large and diverse samples, </w:t>
      </w:r>
      <w:proofErr w:type="gramStart"/>
      <w:r w:rsidRPr="007152DF">
        <w:rPr>
          <w:rFonts w:ascii="Times New Roman" w:hAnsi="Times New Roman" w:cs="Times New Roman"/>
          <w:sz w:val="24"/>
          <w:szCs w:val="24"/>
        </w:rPr>
        <w:t>and also</w:t>
      </w:r>
      <w:proofErr w:type="gramEnd"/>
      <w:r w:rsidRPr="007152DF">
        <w:rPr>
          <w:rFonts w:ascii="Times New Roman" w:hAnsi="Times New Roman" w:cs="Times New Roman"/>
          <w:sz w:val="24"/>
          <w:szCs w:val="24"/>
        </w:rPr>
        <w:t xml:space="preserve"> by utilising a mixed methods approach to completely get a hang of hybrid work and learning dynamics</w:t>
      </w:r>
      <w:r>
        <w:rPr>
          <w:rFonts w:ascii="Times New Roman" w:hAnsi="Times New Roman" w:cs="Times New Roman"/>
          <w:sz w:val="24"/>
          <w:szCs w:val="24"/>
        </w:rPr>
        <w:t xml:space="preserve"> (Saunders, 2019)</w:t>
      </w:r>
      <w:r w:rsidRPr="007152DF">
        <w:rPr>
          <w:rFonts w:ascii="Times New Roman" w:hAnsi="Times New Roman" w:cs="Times New Roman"/>
          <w:sz w:val="24"/>
          <w:szCs w:val="24"/>
        </w:rPr>
        <w:t>.</w:t>
      </w:r>
    </w:p>
    <w:p w14:paraId="33926383" w14:textId="77777777" w:rsidR="00D567F8" w:rsidRPr="007152DF" w:rsidRDefault="00D567F8" w:rsidP="00D567F8">
      <w:pPr>
        <w:spacing w:line="480" w:lineRule="auto"/>
        <w:rPr>
          <w:rFonts w:ascii="Times New Roman" w:hAnsi="Times New Roman" w:cs="Times New Roman"/>
          <w:sz w:val="24"/>
          <w:szCs w:val="24"/>
        </w:rPr>
      </w:pPr>
      <w:r w:rsidRPr="00D567F8">
        <w:rPr>
          <w:rStyle w:val="Heading2Char"/>
          <w:rFonts w:ascii="Times New Roman" w:hAnsi="Times New Roman" w:cs="Times New Roman"/>
          <w:b/>
          <w:color w:val="auto"/>
          <w:sz w:val="24"/>
          <w:szCs w:val="24"/>
        </w:rPr>
        <w:t xml:space="preserve"> 5.7 Recommendations/Areas for further/future research</w:t>
      </w:r>
      <w:r w:rsidRPr="007152DF">
        <w:rPr>
          <w:rFonts w:ascii="Times New Roman" w:hAnsi="Times New Roman" w:cs="Times New Roman"/>
          <w:sz w:val="24"/>
          <w:szCs w:val="24"/>
        </w:rPr>
        <w:br/>
      </w:r>
      <w:r>
        <w:rPr>
          <w:rFonts w:ascii="Times New Roman" w:hAnsi="Times New Roman" w:cs="Times New Roman"/>
          <w:sz w:val="24"/>
          <w:szCs w:val="24"/>
        </w:rPr>
        <w:t>F</w:t>
      </w:r>
      <w:r w:rsidRPr="007152DF">
        <w:rPr>
          <w:rFonts w:ascii="Times New Roman" w:hAnsi="Times New Roman" w:cs="Times New Roman"/>
          <w:sz w:val="24"/>
          <w:szCs w:val="24"/>
        </w:rPr>
        <w:t xml:space="preserve">uture research should present more empirical data that includes </w:t>
      </w:r>
      <w:r>
        <w:rPr>
          <w:rFonts w:ascii="Times New Roman" w:hAnsi="Times New Roman" w:cs="Times New Roman"/>
          <w:sz w:val="24"/>
          <w:szCs w:val="24"/>
        </w:rPr>
        <w:t xml:space="preserve">the </w:t>
      </w:r>
      <w:r w:rsidRPr="007152DF">
        <w:rPr>
          <w:rFonts w:ascii="Times New Roman" w:hAnsi="Times New Roman" w:cs="Times New Roman"/>
          <w:sz w:val="24"/>
          <w:szCs w:val="24"/>
        </w:rPr>
        <w:t>future impacts of the hybrid work and learning models on student satisfaction and their final academic grades. Furthermore, developing research studies to test the effectiveness of teaching techniques may be used to perceive better methods for teachers and policymakers. Additionally, comparative studies in different learning environments and the inclusion of qualitative methods too can benefit to deepen our understanding of dynamic work and learning dynamics.</w:t>
      </w:r>
    </w:p>
    <w:p w14:paraId="12006385" w14:textId="77777777" w:rsidR="00D567F8" w:rsidRPr="007152DF" w:rsidRDefault="00D567F8" w:rsidP="00D567F8">
      <w:pPr>
        <w:spacing w:line="480" w:lineRule="auto"/>
        <w:rPr>
          <w:rFonts w:ascii="Times New Roman" w:hAnsi="Times New Roman" w:cs="Times New Roman"/>
          <w:sz w:val="24"/>
          <w:szCs w:val="24"/>
        </w:rPr>
      </w:pPr>
      <w:r w:rsidRPr="00D567F8">
        <w:rPr>
          <w:rStyle w:val="Heading2Char"/>
          <w:rFonts w:ascii="Times New Roman" w:hAnsi="Times New Roman" w:cs="Times New Roman"/>
          <w:b/>
          <w:color w:val="auto"/>
          <w:sz w:val="24"/>
          <w:szCs w:val="24"/>
        </w:rPr>
        <w:t>5.8 Summary of Chapter 5</w:t>
      </w:r>
      <w:r w:rsidRPr="007152DF">
        <w:rPr>
          <w:rFonts w:ascii="Times New Roman" w:hAnsi="Times New Roman" w:cs="Times New Roman"/>
          <w:sz w:val="24"/>
          <w:szCs w:val="24"/>
        </w:rPr>
        <w:br/>
        <w:t>Chapter 5 discusses the findings of the research and the conclusions drawn from the overall research study. The chapter shows how the study has added value to academia and management and provides suggestions for future research while looking at the limitations of the research and how they can be effectively addressed in the future. Thus, the chapter highlights the undoubted difficulties in converting students to adopting hybrid work and learning schemes and advocates for an academic development program that considers the specific needs of individual students.</w:t>
      </w:r>
      <w:r w:rsidRPr="007152DF">
        <w:rPr>
          <w:rFonts w:ascii="Times New Roman" w:hAnsi="Times New Roman" w:cs="Times New Roman"/>
          <w:sz w:val="24"/>
          <w:szCs w:val="24"/>
        </w:rPr>
        <w:br/>
      </w:r>
    </w:p>
    <w:p w14:paraId="33F6B15F" w14:textId="77777777" w:rsidR="00D567F8" w:rsidRPr="0086301C" w:rsidRDefault="00D567F8" w:rsidP="00C85E2F">
      <w:pPr>
        <w:spacing w:line="360" w:lineRule="auto"/>
        <w:ind w:firstLine="720"/>
        <w:rPr>
          <w:rFonts w:ascii="Times New Roman" w:hAnsi="Times New Roman" w:cs="Times New Roman"/>
          <w:sz w:val="24"/>
          <w:szCs w:val="24"/>
        </w:rPr>
      </w:pPr>
    </w:p>
    <w:p w14:paraId="19FF4B00" w14:textId="77777777" w:rsidR="005A6A5B" w:rsidRDefault="005A6A5B">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rPr>
        <w:br w:type="page"/>
      </w:r>
    </w:p>
    <w:p w14:paraId="71ED0F65" w14:textId="77777777" w:rsidR="004A2418" w:rsidRPr="0086301C" w:rsidRDefault="004A2418" w:rsidP="00B45BA7">
      <w:pPr>
        <w:pStyle w:val="Heading1"/>
        <w:rPr>
          <w:rFonts w:ascii="Times New Roman" w:eastAsia="Times New Roman" w:hAnsi="Times New Roman" w:cs="Times New Roman"/>
          <w:b/>
          <w:color w:val="000000" w:themeColor="text1"/>
        </w:rPr>
      </w:pPr>
      <w:r w:rsidRPr="0086301C">
        <w:rPr>
          <w:rFonts w:ascii="Times New Roman" w:eastAsia="Times New Roman" w:hAnsi="Times New Roman" w:cs="Times New Roman"/>
          <w:b/>
          <w:color w:val="000000" w:themeColor="text1"/>
        </w:rPr>
        <w:lastRenderedPageBreak/>
        <w:t>References</w:t>
      </w:r>
    </w:p>
    <w:p w14:paraId="2E749213"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Al-Qahtani, M.M.Z., Alkhateeb, T.T.Y., Mahmood, H., Abdalla, M.A.Z. and </w:t>
      </w:r>
      <w:proofErr w:type="spellStart"/>
      <w:r w:rsidRPr="0086301C">
        <w:rPr>
          <w:rFonts w:ascii="Times New Roman" w:eastAsia="Times New Roman" w:hAnsi="Times New Roman" w:cs="Times New Roman"/>
          <w:color w:val="222222"/>
          <w:sz w:val="24"/>
          <w:szCs w:val="24"/>
        </w:rPr>
        <w:t>Qaralleh</w:t>
      </w:r>
      <w:proofErr w:type="spellEnd"/>
      <w:r w:rsidRPr="0086301C">
        <w:rPr>
          <w:rFonts w:ascii="Times New Roman" w:eastAsia="Times New Roman" w:hAnsi="Times New Roman" w:cs="Times New Roman"/>
          <w:color w:val="222222"/>
          <w:sz w:val="24"/>
          <w:szCs w:val="24"/>
        </w:rPr>
        <w:t xml:space="preserve">, T.J.O.T., 2020. The role of the academic and political empowerment of women in economic, </w:t>
      </w:r>
      <w:proofErr w:type="gramStart"/>
      <w:r w:rsidRPr="0086301C">
        <w:rPr>
          <w:rFonts w:ascii="Times New Roman" w:eastAsia="Times New Roman" w:hAnsi="Times New Roman" w:cs="Times New Roman"/>
          <w:color w:val="222222"/>
          <w:sz w:val="24"/>
          <w:szCs w:val="24"/>
        </w:rPr>
        <w:t>social</w:t>
      </w:r>
      <w:proofErr w:type="gramEnd"/>
      <w:r w:rsidRPr="0086301C">
        <w:rPr>
          <w:rFonts w:ascii="Times New Roman" w:eastAsia="Times New Roman" w:hAnsi="Times New Roman" w:cs="Times New Roman"/>
          <w:color w:val="222222"/>
          <w:sz w:val="24"/>
          <w:szCs w:val="24"/>
        </w:rPr>
        <w:t xml:space="preserve"> and managerial empowerment: The case of Saudi Arabia. </w:t>
      </w:r>
      <w:r w:rsidRPr="0086301C">
        <w:rPr>
          <w:rFonts w:ascii="Times New Roman" w:eastAsia="Times New Roman" w:hAnsi="Times New Roman" w:cs="Times New Roman"/>
          <w:i/>
          <w:iCs/>
          <w:color w:val="222222"/>
          <w:sz w:val="24"/>
          <w:szCs w:val="24"/>
        </w:rPr>
        <w:t>Economies</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8</w:t>
      </w:r>
      <w:r w:rsidRPr="0086301C">
        <w:rPr>
          <w:rFonts w:ascii="Times New Roman" w:eastAsia="Times New Roman" w:hAnsi="Times New Roman" w:cs="Times New Roman"/>
          <w:color w:val="222222"/>
          <w:sz w:val="24"/>
          <w:szCs w:val="24"/>
        </w:rPr>
        <w:t>(2), p.45.</w:t>
      </w:r>
      <w:r w:rsidRPr="0086301C">
        <w:rPr>
          <w:rFonts w:ascii="Times New Roman" w:eastAsia="Times New Roman" w:hAnsi="Times New Roman" w:cs="Times New Roman"/>
          <w:sz w:val="24"/>
          <w:szCs w:val="24"/>
        </w:rPr>
        <w:t xml:space="preserve"> </w:t>
      </w:r>
    </w:p>
    <w:p w14:paraId="4914AA75" w14:textId="77777777" w:rsidR="004A2418" w:rsidRPr="0086301C" w:rsidRDefault="004A2418" w:rsidP="00C85E2F">
      <w:pPr>
        <w:spacing w:line="360" w:lineRule="auto"/>
        <w:rPr>
          <w:rFonts w:ascii="Times New Roman" w:eastAsia="Times New Roman" w:hAnsi="Times New Roman" w:cs="Times New Roman"/>
          <w:color w:val="1F1F1F"/>
          <w:sz w:val="24"/>
          <w:szCs w:val="24"/>
        </w:rPr>
      </w:pPr>
      <w:proofErr w:type="spellStart"/>
      <w:r w:rsidRPr="0086301C">
        <w:rPr>
          <w:rFonts w:ascii="Times New Roman" w:eastAsia="Times New Roman" w:hAnsi="Times New Roman" w:cs="Times New Roman"/>
          <w:color w:val="1F1F1F"/>
          <w:sz w:val="24"/>
          <w:szCs w:val="24"/>
        </w:rPr>
        <w:t>Aroles</w:t>
      </w:r>
      <w:proofErr w:type="spellEnd"/>
      <w:r w:rsidRPr="0086301C">
        <w:rPr>
          <w:rFonts w:ascii="Times New Roman" w:eastAsia="Times New Roman" w:hAnsi="Times New Roman" w:cs="Times New Roman"/>
          <w:color w:val="1F1F1F"/>
          <w:sz w:val="24"/>
          <w:szCs w:val="24"/>
        </w:rPr>
        <w:t xml:space="preserve">, J., </w:t>
      </w:r>
      <w:proofErr w:type="spellStart"/>
      <w:r w:rsidRPr="0086301C">
        <w:rPr>
          <w:rFonts w:ascii="Times New Roman" w:eastAsia="Times New Roman" w:hAnsi="Times New Roman" w:cs="Times New Roman"/>
          <w:color w:val="1F1F1F"/>
          <w:sz w:val="24"/>
          <w:szCs w:val="24"/>
        </w:rPr>
        <w:t>Cecez-Kecmanovic</w:t>
      </w:r>
      <w:proofErr w:type="spellEnd"/>
      <w:r w:rsidRPr="0086301C">
        <w:rPr>
          <w:rFonts w:ascii="Times New Roman" w:eastAsia="Times New Roman" w:hAnsi="Times New Roman" w:cs="Times New Roman"/>
          <w:color w:val="1F1F1F"/>
          <w:sz w:val="24"/>
          <w:szCs w:val="24"/>
        </w:rPr>
        <w:t xml:space="preserve">, D., Dale, K., Kingma, S. F. and Mitev, N. (2021) ‘New Ways of Working (NWW): Workplace Transformation in The Digital Age’. </w:t>
      </w:r>
      <w:r w:rsidRPr="0086301C">
        <w:rPr>
          <w:rFonts w:ascii="Times New Roman" w:eastAsia="Times New Roman" w:hAnsi="Times New Roman" w:cs="Times New Roman"/>
          <w:i/>
          <w:color w:val="1F1F1F"/>
          <w:sz w:val="24"/>
          <w:szCs w:val="24"/>
        </w:rPr>
        <w:t>Information and Organization</w:t>
      </w:r>
      <w:r w:rsidRPr="0086301C">
        <w:rPr>
          <w:rFonts w:ascii="Times New Roman" w:eastAsia="Times New Roman" w:hAnsi="Times New Roman" w:cs="Times New Roman"/>
          <w:color w:val="1F1F1F"/>
          <w:sz w:val="24"/>
          <w:szCs w:val="24"/>
        </w:rPr>
        <w:t>, 31(4) pp. 1-14.</w:t>
      </w:r>
    </w:p>
    <w:p w14:paraId="38DC3640" w14:textId="77777777" w:rsidR="004A2418" w:rsidRPr="0086301C" w:rsidRDefault="004A2418" w:rsidP="00C85E2F">
      <w:pPr>
        <w:spacing w:line="360" w:lineRule="auto"/>
        <w:rPr>
          <w:rFonts w:ascii="Times New Roman" w:hAnsi="Times New Roman" w:cs="Times New Roman"/>
          <w:sz w:val="24"/>
          <w:szCs w:val="24"/>
        </w:rPr>
      </w:pPr>
      <w:proofErr w:type="spellStart"/>
      <w:r w:rsidRPr="0086301C">
        <w:rPr>
          <w:rFonts w:ascii="Times New Roman" w:eastAsia="Times New Roman" w:hAnsi="Times New Roman" w:cs="Times New Roman"/>
          <w:color w:val="222222"/>
          <w:sz w:val="24"/>
          <w:szCs w:val="24"/>
        </w:rPr>
        <w:t>Asarta</w:t>
      </w:r>
      <w:proofErr w:type="spellEnd"/>
      <w:r w:rsidRPr="0086301C">
        <w:rPr>
          <w:rFonts w:ascii="Times New Roman" w:eastAsia="Times New Roman" w:hAnsi="Times New Roman" w:cs="Times New Roman"/>
          <w:color w:val="222222"/>
          <w:sz w:val="24"/>
          <w:szCs w:val="24"/>
        </w:rPr>
        <w:t xml:space="preserve">, C </w:t>
      </w:r>
      <w:proofErr w:type="gramStart"/>
      <w:r w:rsidRPr="0086301C">
        <w:rPr>
          <w:rFonts w:ascii="Times New Roman" w:eastAsia="Times New Roman" w:hAnsi="Times New Roman" w:cs="Times New Roman"/>
          <w:color w:val="222222"/>
          <w:sz w:val="24"/>
          <w:szCs w:val="24"/>
        </w:rPr>
        <w:t>J.R.,(</w:t>
      </w:r>
      <w:proofErr w:type="gramEnd"/>
      <w:r w:rsidRPr="0086301C">
        <w:rPr>
          <w:rFonts w:ascii="Times New Roman" w:eastAsia="Times New Roman" w:hAnsi="Times New Roman" w:cs="Times New Roman"/>
          <w:color w:val="222222"/>
          <w:sz w:val="24"/>
          <w:szCs w:val="24"/>
        </w:rPr>
        <w:t xml:space="preserve">2022). The effects of online and blended experience on outcomes in a blended learning environment. </w:t>
      </w:r>
      <w:r w:rsidRPr="0086301C">
        <w:rPr>
          <w:rFonts w:ascii="Times New Roman" w:eastAsia="Times New Roman" w:hAnsi="Times New Roman" w:cs="Times New Roman"/>
          <w:i/>
          <w:iCs/>
          <w:color w:val="222222"/>
          <w:sz w:val="24"/>
          <w:szCs w:val="24"/>
        </w:rPr>
        <w:t>The Internet and Higher Education</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44</w:t>
      </w:r>
      <w:r w:rsidRPr="0086301C">
        <w:rPr>
          <w:rFonts w:ascii="Times New Roman" w:eastAsia="Times New Roman" w:hAnsi="Times New Roman" w:cs="Times New Roman"/>
          <w:color w:val="222222"/>
          <w:sz w:val="24"/>
          <w:szCs w:val="24"/>
        </w:rPr>
        <w:t>, p.100708.</w:t>
      </w:r>
    </w:p>
    <w:p w14:paraId="731A16BB"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Bakker, A.B. and Demerouti, E., (2007) ‘The Job Demands‐Resources Model: State of The Art’. </w:t>
      </w:r>
      <w:r w:rsidRPr="0086301C">
        <w:rPr>
          <w:rFonts w:ascii="Times New Roman" w:eastAsia="Times New Roman" w:hAnsi="Times New Roman" w:cs="Times New Roman"/>
          <w:i/>
          <w:color w:val="1F1F1F"/>
          <w:sz w:val="24"/>
          <w:szCs w:val="24"/>
        </w:rPr>
        <w:t>Journal Of Managerial Psychology</w:t>
      </w:r>
      <w:r w:rsidRPr="0086301C">
        <w:rPr>
          <w:rFonts w:ascii="Times New Roman" w:eastAsia="Times New Roman" w:hAnsi="Times New Roman" w:cs="Times New Roman"/>
          <w:color w:val="1F1F1F"/>
          <w:sz w:val="24"/>
          <w:szCs w:val="24"/>
        </w:rPr>
        <w:t>, 22(3), pp.309-328.</w:t>
      </w:r>
    </w:p>
    <w:p w14:paraId="4AE6E9D6"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Barr, T., Sessa, V., Sumner, K. and Bragger, J., (2015) ‘Applying the Job Demands-Resources Model Towards Understanding Student Stress’ </w:t>
      </w:r>
      <w:r w:rsidRPr="0086301C">
        <w:rPr>
          <w:rFonts w:ascii="Times New Roman" w:eastAsia="Times New Roman" w:hAnsi="Times New Roman" w:cs="Times New Roman"/>
          <w:i/>
          <w:color w:val="1F1F1F"/>
          <w:sz w:val="24"/>
          <w:szCs w:val="24"/>
        </w:rPr>
        <w:t>Computer and Human Behaviour</w:t>
      </w:r>
      <w:r w:rsidRPr="0086301C">
        <w:rPr>
          <w:rFonts w:ascii="Times New Roman" w:eastAsia="Times New Roman" w:hAnsi="Times New Roman" w:cs="Times New Roman"/>
          <w:color w:val="1F1F1F"/>
          <w:sz w:val="24"/>
          <w:szCs w:val="24"/>
        </w:rPr>
        <w:t>, 77 (1), pp.317-325.</w:t>
      </w:r>
    </w:p>
    <w:p w14:paraId="17A591C8"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Belhaj, F., </w:t>
      </w:r>
      <w:proofErr w:type="spellStart"/>
      <w:r w:rsidRPr="0086301C">
        <w:rPr>
          <w:rFonts w:ascii="Times New Roman" w:eastAsia="Times New Roman" w:hAnsi="Times New Roman" w:cs="Times New Roman"/>
          <w:color w:val="222222"/>
          <w:sz w:val="24"/>
          <w:szCs w:val="24"/>
        </w:rPr>
        <w:t>Alothman</w:t>
      </w:r>
      <w:proofErr w:type="spellEnd"/>
      <w:r w:rsidRPr="0086301C">
        <w:rPr>
          <w:rFonts w:ascii="Times New Roman" w:eastAsia="Times New Roman" w:hAnsi="Times New Roman" w:cs="Times New Roman"/>
          <w:color w:val="222222"/>
          <w:sz w:val="24"/>
          <w:szCs w:val="24"/>
        </w:rPr>
        <w:t xml:space="preserve">, M., Hilal, N. and </w:t>
      </w:r>
      <w:proofErr w:type="spellStart"/>
      <w:r w:rsidRPr="0086301C">
        <w:rPr>
          <w:rFonts w:ascii="Times New Roman" w:eastAsia="Times New Roman" w:hAnsi="Times New Roman" w:cs="Times New Roman"/>
          <w:color w:val="222222"/>
          <w:sz w:val="24"/>
          <w:szCs w:val="24"/>
        </w:rPr>
        <w:t>Jibai</w:t>
      </w:r>
      <w:proofErr w:type="spellEnd"/>
      <w:r w:rsidRPr="0086301C">
        <w:rPr>
          <w:rFonts w:ascii="Times New Roman" w:eastAsia="Times New Roman" w:hAnsi="Times New Roman" w:cs="Times New Roman"/>
          <w:color w:val="222222"/>
          <w:sz w:val="24"/>
          <w:szCs w:val="24"/>
        </w:rPr>
        <w:t xml:space="preserve">, B., (2022) An Empirical Study on the Factors Affecting Students’ Motivation Toward Online Learning During </w:t>
      </w:r>
      <w:r w:rsidR="00A36267" w:rsidRPr="0086301C">
        <w:rPr>
          <w:rFonts w:ascii="Times New Roman" w:eastAsia="Times New Roman" w:hAnsi="Times New Roman" w:cs="Times New Roman"/>
          <w:color w:val="222222"/>
          <w:sz w:val="24"/>
          <w:szCs w:val="24"/>
        </w:rPr>
        <w:t xml:space="preserve">the </w:t>
      </w:r>
      <w:r w:rsidRPr="0086301C">
        <w:rPr>
          <w:rFonts w:ascii="Times New Roman" w:eastAsia="Times New Roman" w:hAnsi="Times New Roman" w:cs="Times New Roman"/>
          <w:color w:val="222222"/>
          <w:sz w:val="24"/>
          <w:szCs w:val="24"/>
        </w:rPr>
        <w:t xml:space="preserve">Covid-19 Pandemic. </w:t>
      </w:r>
      <w:r w:rsidRPr="0086301C">
        <w:rPr>
          <w:rFonts w:ascii="Times New Roman" w:eastAsia="Times New Roman" w:hAnsi="Times New Roman" w:cs="Times New Roman"/>
          <w:i/>
          <w:iCs/>
          <w:color w:val="222222"/>
          <w:sz w:val="24"/>
          <w:szCs w:val="24"/>
        </w:rPr>
        <w:t>Journal of Logistics, Informatics and Service Science</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9</w:t>
      </w:r>
      <w:r w:rsidRPr="0086301C">
        <w:rPr>
          <w:rFonts w:ascii="Times New Roman" w:eastAsia="Times New Roman" w:hAnsi="Times New Roman" w:cs="Times New Roman"/>
          <w:color w:val="222222"/>
          <w:sz w:val="24"/>
          <w:szCs w:val="24"/>
        </w:rPr>
        <w:t>(4), pp.149-168.</w:t>
      </w:r>
    </w:p>
    <w:p w14:paraId="45D673BB"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Bellini, D., Barbieri, B., </w:t>
      </w:r>
      <w:proofErr w:type="spellStart"/>
      <w:r w:rsidRPr="0086301C">
        <w:rPr>
          <w:rFonts w:ascii="Times New Roman" w:eastAsia="Times New Roman" w:hAnsi="Times New Roman" w:cs="Times New Roman"/>
          <w:color w:val="1F1F1F"/>
          <w:sz w:val="24"/>
          <w:szCs w:val="24"/>
        </w:rPr>
        <w:t>Barattucci</w:t>
      </w:r>
      <w:proofErr w:type="spellEnd"/>
      <w:r w:rsidRPr="0086301C">
        <w:rPr>
          <w:rFonts w:ascii="Times New Roman" w:eastAsia="Times New Roman" w:hAnsi="Times New Roman" w:cs="Times New Roman"/>
          <w:color w:val="1F1F1F"/>
          <w:sz w:val="24"/>
          <w:szCs w:val="24"/>
        </w:rPr>
        <w:t xml:space="preserve">, M., Mascia, M.L. and </w:t>
      </w:r>
      <w:proofErr w:type="spellStart"/>
      <w:r w:rsidRPr="0086301C">
        <w:rPr>
          <w:rFonts w:ascii="Times New Roman" w:eastAsia="Times New Roman" w:hAnsi="Times New Roman" w:cs="Times New Roman"/>
          <w:color w:val="1F1F1F"/>
          <w:sz w:val="24"/>
          <w:szCs w:val="24"/>
        </w:rPr>
        <w:t>Ramaci</w:t>
      </w:r>
      <w:proofErr w:type="spellEnd"/>
      <w:r w:rsidRPr="0086301C">
        <w:rPr>
          <w:rFonts w:ascii="Times New Roman" w:eastAsia="Times New Roman" w:hAnsi="Times New Roman" w:cs="Times New Roman"/>
          <w:color w:val="1F1F1F"/>
          <w:sz w:val="24"/>
          <w:szCs w:val="24"/>
        </w:rPr>
        <w:t xml:space="preserve">, T., (2022) ‘The Role of a Restorative Resource in The Academic Context in Improving Intrinsic and Extrinsic Motivation and Flow Within the Job Demands–Resources Model’. </w:t>
      </w:r>
      <w:r w:rsidRPr="0086301C">
        <w:rPr>
          <w:rFonts w:ascii="Times New Roman" w:eastAsia="Times New Roman" w:hAnsi="Times New Roman" w:cs="Times New Roman"/>
          <w:i/>
          <w:color w:val="1F1F1F"/>
          <w:sz w:val="24"/>
          <w:szCs w:val="24"/>
        </w:rPr>
        <w:t>International Journal of Environmental Research and Public Health</w:t>
      </w:r>
      <w:r w:rsidRPr="0086301C">
        <w:rPr>
          <w:rFonts w:ascii="Times New Roman" w:eastAsia="Times New Roman" w:hAnsi="Times New Roman" w:cs="Times New Roman"/>
          <w:color w:val="1F1F1F"/>
          <w:sz w:val="24"/>
          <w:szCs w:val="24"/>
        </w:rPr>
        <w:t xml:space="preserve">, 19(22), pp.15263. </w:t>
      </w:r>
    </w:p>
    <w:p w14:paraId="4F22B11D" w14:textId="77777777" w:rsidR="004A2418" w:rsidRPr="0086301C" w:rsidRDefault="004A2418" w:rsidP="00C85E2F">
      <w:pPr>
        <w:spacing w:line="360" w:lineRule="auto"/>
        <w:rPr>
          <w:rFonts w:ascii="Times New Roman" w:eastAsia="Calibri" w:hAnsi="Times New Roman" w:cs="Times New Roman"/>
          <w:color w:val="222222"/>
          <w:sz w:val="24"/>
          <w:szCs w:val="24"/>
          <w:shd w:val="clear" w:color="auto" w:fill="FFFFFF"/>
        </w:rPr>
      </w:pPr>
      <w:r w:rsidRPr="0086301C">
        <w:rPr>
          <w:rFonts w:ascii="Times New Roman" w:hAnsi="Times New Roman" w:cs="Times New Roman"/>
          <w:color w:val="222222"/>
          <w:sz w:val="24"/>
          <w:szCs w:val="24"/>
          <w:shd w:val="clear" w:color="auto" w:fill="FFFFFF"/>
        </w:rPr>
        <w:t>Braun, V. and Clarke, V., (2006) ‘Using thematic analysis in psychology’. </w:t>
      </w:r>
      <w:r w:rsidRPr="0086301C">
        <w:rPr>
          <w:rFonts w:ascii="Times New Roman" w:hAnsi="Times New Roman" w:cs="Times New Roman"/>
          <w:i/>
          <w:iCs/>
          <w:color w:val="222222"/>
          <w:sz w:val="24"/>
          <w:szCs w:val="24"/>
          <w:shd w:val="clear" w:color="auto" w:fill="FFFFFF"/>
        </w:rPr>
        <w:t>Qualitative research in psychology</w:t>
      </w:r>
      <w:r w:rsidRPr="0086301C">
        <w:rPr>
          <w:rFonts w:ascii="Times New Roman" w:hAnsi="Times New Roman" w:cs="Times New Roman"/>
          <w:color w:val="222222"/>
          <w:sz w:val="24"/>
          <w:szCs w:val="24"/>
          <w:shd w:val="clear" w:color="auto" w:fill="FFFFFF"/>
        </w:rPr>
        <w:t>, </w:t>
      </w:r>
      <w:r w:rsidRPr="0086301C">
        <w:rPr>
          <w:rFonts w:ascii="Times New Roman" w:hAnsi="Times New Roman" w:cs="Times New Roman"/>
          <w:i/>
          <w:iCs/>
          <w:color w:val="222222"/>
          <w:sz w:val="24"/>
          <w:szCs w:val="24"/>
          <w:shd w:val="clear" w:color="auto" w:fill="FFFFFF"/>
        </w:rPr>
        <w:t>3</w:t>
      </w:r>
      <w:r w:rsidRPr="0086301C">
        <w:rPr>
          <w:rFonts w:ascii="Times New Roman" w:hAnsi="Times New Roman" w:cs="Times New Roman"/>
          <w:color w:val="222222"/>
          <w:sz w:val="24"/>
          <w:szCs w:val="24"/>
          <w:shd w:val="clear" w:color="auto" w:fill="FFFFFF"/>
        </w:rPr>
        <w:t>(2), pp.77-101</w:t>
      </w:r>
    </w:p>
    <w:p w14:paraId="00F179C2"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Callaghan, N.I., Khaira, S., Ouyang, A., Cadavid, J.L., Chang, H.H., Co, I.L., Diep, P., Ivanov, N., Li, G., Li, N.T. and Tran-Nguyen, N., (2021) Discovery: virtual implementation of inquiry-based remote learning for secondary STEM students during the COVID-19 pandemic. </w:t>
      </w:r>
      <w:r w:rsidRPr="0086301C">
        <w:rPr>
          <w:rFonts w:ascii="Times New Roman" w:eastAsia="Times New Roman" w:hAnsi="Times New Roman" w:cs="Times New Roman"/>
          <w:i/>
          <w:iCs/>
          <w:color w:val="222222"/>
          <w:sz w:val="24"/>
          <w:szCs w:val="24"/>
        </w:rPr>
        <w:t>Biomedical engineering education</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1</w:t>
      </w:r>
      <w:r w:rsidRPr="0086301C">
        <w:rPr>
          <w:rFonts w:ascii="Times New Roman" w:eastAsia="Times New Roman" w:hAnsi="Times New Roman" w:cs="Times New Roman"/>
          <w:color w:val="222222"/>
          <w:sz w:val="24"/>
          <w:szCs w:val="24"/>
        </w:rPr>
        <w:t>, pp.87-94.</w:t>
      </w:r>
    </w:p>
    <w:p w14:paraId="4AD8C13F"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Chen, J. and Wan, L., 2022. Workplace and lifestyle heterogeneity in subjective </w:t>
      </w:r>
      <w:r w:rsidR="00502147">
        <w:rPr>
          <w:rFonts w:ascii="Times New Roman" w:eastAsia="Times New Roman" w:hAnsi="Times New Roman" w:cs="Times New Roman"/>
          <w:color w:val="222222"/>
          <w:sz w:val="24"/>
          <w:szCs w:val="24"/>
        </w:rPr>
        <w:t>well-being</w:t>
      </w:r>
      <w:r w:rsidRPr="0086301C">
        <w:rPr>
          <w:rFonts w:ascii="Times New Roman" w:eastAsia="Times New Roman" w:hAnsi="Times New Roman" w:cs="Times New Roman"/>
          <w:color w:val="222222"/>
          <w:sz w:val="24"/>
          <w:szCs w:val="24"/>
        </w:rPr>
        <w:t xml:space="preserve">: Latent Class Analysis of UK Time Use Survey before and during COVID-19. </w:t>
      </w:r>
      <w:proofErr w:type="spellStart"/>
      <w:r w:rsidRPr="0086301C">
        <w:rPr>
          <w:rFonts w:ascii="Times New Roman" w:eastAsia="Times New Roman" w:hAnsi="Times New Roman" w:cs="Times New Roman"/>
          <w:i/>
          <w:iCs/>
          <w:color w:val="222222"/>
          <w:sz w:val="24"/>
          <w:szCs w:val="24"/>
        </w:rPr>
        <w:t>medRxiv</w:t>
      </w:r>
      <w:proofErr w:type="spellEnd"/>
      <w:r w:rsidRPr="0086301C">
        <w:rPr>
          <w:rFonts w:ascii="Times New Roman" w:eastAsia="Times New Roman" w:hAnsi="Times New Roman" w:cs="Times New Roman"/>
          <w:color w:val="222222"/>
          <w:sz w:val="24"/>
          <w:szCs w:val="24"/>
        </w:rPr>
        <w:t>, pp.2022-04.</w:t>
      </w:r>
    </w:p>
    <w:p w14:paraId="787A6972" w14:textId="77777777" w:rsidR="004A2418" w:rsidRPr="0086301C" w:rsidRDefault="004A2418" w:rsidP="00C85E2F">
      <w:pPr>
        <w:spacing w:line="360" w:lineRule="auto"/>
        <w:rPr>
          <w:rFonts w:ascii="Times New Roman" w:eastAsia="Times New Roman" w:hAnsi="Times New Roman" w:cs="Times New Roman"/>
          <w:color w:val="222222"/>
          <w:sz w:val="24"/>
          <w:szCs w:val="24"/>
        </w:rPr>
      </w:pPr>
      <w:r w:rsidRPr="0086301C">
        <w:rPr>
          <w:rFonts w:ascii="Times New Roman" w:eastAsia="Times New Roman" w:hAnsi="Times New Roman" w:cs="Times New Roman"/>
          <w:color w:val="222222"/>
          <w:sz w:val="24"/>
          <w:szCs w:val="24"/>
        </w:rPr>
        <w:lastRenderedPageBreak/>
        <w:t xml:space="preserve">Cui, J., (2023). </w:t>
      </w:r>
      <w:r w:rsidRPr="0086301C">
        <w:rPr>
          <w:rFonts w:ascii="Times New Roman" w:eastAsia="Times New Roman" w:hAnsi="Times New Roman" w:cs="Times New Roman"/>
          <w:i/>
          <w:iCs/>
          <w:color w:val="222222"/>
          <w:sz w:val="24"/>
          <w:szCs w:val="24"/>
        </w:rPr>
        <w:t>Hybrid Course Model in Physical Education: Enhancing Undergraduate Learning Experience in a Leading Chinese Public University</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color w:val="222222"/>
          <w:sz w:val="24"/>
          <w:szCs w:val="24"/>
        </w:rPr>
        <w:t>International Journal of Education</w:t>
      </w:r>
      <w:r w:rsidRPr="0086301C">
        <w:rPr>
          <w:rFonts w:ascii="Times New Roman" w:eastAsia="Times New Roman" w:hAnsi="Times New Roman" w:cs="Times New Roman"/>
          <w:color w:val="222222"/>
          <w:sz w:val="24"/>
          <w:szCs w:val="24"/>
        </w:rPr>
        <w:t>. 14 (1) pp.23-45</w:t>
      </w:r>
    </w:p>
    <w:p w14:paraId="0B2C44BC"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Darker, C.D., Moore, E., Flynn, E., O’Neill, M., Doherty, L., McMahon, J., McLoughlin, O., </w:t>
      </w:r>
      <w:proofErr w:type="spellStart"/>
      <w:r w:rsidRPr="0086301C">
        <w:rPr>
          <w:rFonts w:ascii="Times New Roman" w:eastAsia="Times New Roman" w:hAnsi="Times New Roman" w:cs="Times New Roman"/>
          <w:color w:val="222222"/>
          <w:sz w:val="24"/>
          <w:szCs w:val="24"/>
        </w:rPr>
        <w:t>Rouine</w:t>
      </w:r>
      <w:proofErr w:type="spellEnd"/>
      <w:r w:rsidRPr="0086301C">
        <w:rPr>
          <w:rFonts w:ascii="Times New Roman" w:eastAsia="Times New Roman" w:hAnsi="Times New Roman" w:cs="Times New Roman"/>
          <w:color w:val="222222"/>
          <w:sz w:val="24"/>
          <w:szCs w:val="24"/>
        </w:rPr>
        <w:t xml:space="preserve">, E., Ivers, J.H., Allwright, S. and McGrath, D., (2022) Development and proposed evaluation of an eHealth learning tool for undergraduate university students in Ireland. </w:t>
      </w:r>
      <w:r w:rsidRPr="0086301C">
        <w:rPr>
          <w:rFonts w:ascii="Times New Roman" w:eastAsia="Times New Roman" w:hAnsi="Times New Roman" w:cs="Times New Roman"/>
          <w:i/>
          <w:iCs/>
          <w:color w:val="222222"/>
          <w:sz w:val="24"/>
          <w:szCs w:val="24"/>
        </w:rPr>
        <w:t>Health Promotion International</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37</w:t>
      </w:r>
      <w:r w:rsidRPr="0086301C">
        <w:rPr>
          <w:rFonts w:ascii="Times New Roman" w:eastAsia="Times New Roman" w:hAnsi="Times New Roman" w:cs="Times New Roman"/>
          <w:color w:val="222222"/>
          <w:sz w:val="24"/>
          <w:szCs w:val="24"/>
        </w:rPr>
        <w:t xml:space="preserve">(1), </w:t>
      </w:r>
      <w:proofErr w:type="gramStart"/>
      <w:r w:rsidRPr="0086301C">
        <w:rPr>
          <w:rFonts w:ascii="Times New Roman" w:eastAsia="Times New Roman" w:hAnsi="Times New Roman" w:cs="Times New Roman"/>
          <w:color w:val="222222"/>
          <w:sz w:val="24"/>
          <w:szCs w:val="24"/>
        </w:rPr>
        <w:t>p.daab</w:t>
      </w:r>
      <w:proofErr w:type="gramEnd"/>
      <w:r w:rsidRPr="0086301C">
        <w:rPr>
          <w:rFonts w:ascii="Times New Roman" w:eastAsia="Times New Roman" w:hAnsi="Times New Roman" w:cs="Times New Roman"/>
          <w:color w:val="222222"/>
          <w:sz w:val="24"/>
          <w:szCs w:val="24"/>
        </w:rPr>
        <w:t>071.</w:t>
      </w:r>
    </w:p>
    <w:p w14:paraId="3C559FC3"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Demerouti, E., Bakker, A.B., Nachreiner, F. and Schaufeli, W.B., (2001) ‘The job demands-resources model of burnout’ </w:t>
      </w:r>
      <w:r w:rsidRPr="0086301C">
        <w:rPr>
          <w:rFonts w:ascii="Times New Roman" w:eastAsia="Times New Roman" w:hAnsi="Times New Roman" w:cs="Times New Roman"/>
          <w:i/>
          <w:color w:val="1F1F1F"/>
          <w:sz w:val="24"/>
          <w:szCs w:val="24"/>
        </w:rPr>
        <w:t>Journal of Applied Psychology</w:t>
      </w:r>
      <w:r w:rsidRPr="0086301C">
        <w:rPr>
          <w:rFonts w:ascii="Times New Roman" w:eastAsia="Times New Roman" w:hAnsi="Times New Roman" w:cs="Times New Roman"/>
          <w:color w:val="1F1F1F"/>
          <w:sz w:val="24"/>
          <w:szCs w:val="24"/>
        </w:rPr>
        <w:t xml:space="preserve">, 86(3), pp.499. </w:t>
      </w:r>
    </w:p>
    <w:p w14:paraId="3BDECFE9"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Haubrich, G. and </w:t>
      </w:r>
      <w:proofErr w:type="spellStart"/>
      <w:r w:rsidRPr="0086301C">
        <w:rPr>
          <w:rFonts w:ascii="Times New Roman" w:eastAsia="Times New Roman" w:hAnsi="Times New Roman" w:cs="Times New Roman"/>
          <w:color w:val="1F1F1F"/>
          <w:sz w:val="24"/>
          <w:szCs w:val="24"/>
        </w:rPr>
        <w:t>Hafermalz</w:t>
      </w:r>
      <w:proofErr w:type="spellEnd"/>
      <w:r w:rsidRPr="0086301C">
        <w:rPr>
          <w:rFonts w:ascii="Times New Roman" w:eastAsia="Times New Roman" w:hAnsi="Times New Roman" w:cs="Times New Roman"/>
          <w:color w:val="1F1F1F"/>
          <w:sz w:val="24"/>
          <w:szCs w:val="24"/>
        </w:rPr>
        <w:t xml:space="preserve">, E., (2022, November) ‘Working Hybrid at Universities: Old, Yet New Practice?’. </w:t>
      </w:r>
      <w:r w:rsidRPr="0086301C">
        <w:rPr>
          <w:rFonts w:ascii="Times New Roman" w:eastAsia="Times New Roman" w:hAnsi="Times New Roman" w:cs="Times New Roman"/>
          <w:i/>
          <w:color w:val="1F1F1F"/>
          <w:sz w:val="24"/>
          <w:szCs w:val="24"/>
        </w:rPr>
        <w:t>In International Conference on Information Systems</w:t>
      </w:r>
      <w:r w:rsidRPr="0086301C">
        <w:rPr>
          <w:rFonts w:ascii="Times New Roman" w:eastAsia="Times New Roman" w:hAnsi="Times New Roman" w:cs="Times New Roman"/>
          <w:color w:val="1F1F1F"/>
          <w:sz w:val="24"/>
          <w:szCs w:val="24"/>
        </w:rPr>
        <w:t>: ICIS, pp 1546). AIS.</w:t>
      </w:r>
    </w:p>
    <w:p w14:paraId="6DDAEFD7"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Eccles, J. S., Wigfield, A., &amp; Marcia, E. E. (1983). Development during the adolescent years of the sense of personal efficacy and academic achievement. </w:t>
      </w:r>
      <w:r w:rsidRPr="0086301C">
        <w:rPr>
          <w:rFonts w:ascii="Times New Roman" w:eastAsia="Times New Roman" w:hAnsi="Times New Roman" w:cs="Times New Roman"/>
          <w:i/>
          <w:color w:val="1F1F1F"/>
          <w:sz w:val="24"/>
          <w:szCs w:val="24"/>
        </w:rPr>
        <w:t>Psychological Bulletin</w:t>
      </w:r>
      <w:r w:rsidRPr="0086301C">
        <w:rPr>
          <w:rFonts w:ascii="Times New Roman" w:eastAsia="Times New Roman" w:hAnsi="Times New Roman" w:cs="Times New Roman"/>
          <w:color w:val="1F1F1F"/>
          <w:sz w:val="24"/>
          <w:szCs w:val="24"/>
        </w:rPr>
        <w:t>, 95(1), 111-131.</w:t>
      </w:r>
    </w:p>
    <w:p w14:paraId="032FEEEA"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Evans, M., Trolli, E., Pierson, A. and Tilak, S., (2023) Designing courses with sustainable virtual learning communities: a STEM teacher candidate course that extends beyond higher education. </w:t>
      </w:r>
      <w:r w:rsidRPr="0086301C">
        <w:rPr>
          <w:rFonts w:ascii="Times New Roman" w:eastAsia="Times New Roman" w:hAnsi="Times New Roman" w:cs="Times New Roman"/>
          <w:i/>
          <w:iCs/>
          <w:color w:val="222222"/>
          <w:sz w:val="24"/>
          <w:szCs w:val="24"/>
        </w:rPr>
        <w:t>Journal of Computing in Higher Education</w:t>
      </w:r>
      <w:r w:rsidRPr="0086301C">
        <w:rPr>
          <w:rFonts w:ascii="Times New Roman" w:eastAsia="Times New Roman" w:hAnsi="Times New Roman" w:cs="Times New Roman"/>
          <w:color w:val="222222"/>
          <w:sz w:val="24"/>
          <w:szCs w:val="24"/>
        </w:rPr>
        <w:t>, pp.1-23.</w:t>
      </w:r>
    </w:p>
    <w:p w14:paraId="60ED3862"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Gates, T.G., Ross, D., Bennett, B. and Jonathan, K., (2022). Teaching mental health and well-being online in a crisis: Fostering love and self-compassion in clinical social work education. </w:t>
      </w:r>
      <w:r w:rsidRPr="0086301C">
        <w:rPr>
          <w:rFonts w:ascii="Times New Roman" w:eastAsia="Times New Roman" w:hAnsi="Times New Roman" w:cs="Times New Roman"/>
          <w:i/>
          <w:iCs/>
          <w:color w:val="222222"/>
          <w:sz w:val="24"/>
          <w:szCs w:val="24"/>
        </w:rPr>
        <w:t>Clinical Social Work Journal</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50</w:t>
      </w:r>
      <w:r w:rsidRPr="0086301C">
        <w:rPr>
          <w:rFonts w:ascii="Times New Roman" w:eastAsia="Times New Roman" w:hAnsi="Times New Roman" w:cs="Times New Roman"/>
          <w:color w:val="222222"/>
          <w:sz w:val="24"/>
          <w:szCs w:val="24"/>
        </w:rPr>
        <w:t>(1), pp.22-34.</w:t>
      </w:r>
    </w:p>
    <w:p w14:paraId="0798FC59" w14:textId="77777777" w:rsidR="004A2418" w:rsidRPr="0086301C" w:rsidRDefault="004A2418" w:rsidP="00C85E2F">
      <w:pPr>
        <w:spacing w:line="360" w:lineRule="auto"/>
        <w:rPr>
          <w:rFonts w:ascii="Times New Roman" w:eastAsia="Times New Roman" w:hAnsi="Times New Roman" w:cs="Times New Roman"/>
          <w:color w:val="1F1F1F"/>
          <w:sz w:val="24"/>
          <w:szCs w:val="24"/>
        </w:rPr>
      </w:pPr>
      <w:proofErr w:type="spellStart"/>
      <w:r w:rsidRPr="0086301C">
        <w:rPr>
          <w:rFonts w:ascii="Times New Roman" w:eastAsia="Times New Roman" w:hAnsi="Times New Roman" w:cs="Times New Roman"/>
          <w:color w:val="1F1F1F"/>
          <w:sz w:val="24"/>
          <w:szCs w:val="24"/>
        </w:rPr>
        <w:t>Hobfoll</w:t>
      </w:r>
      <w:proofErr w:type="spellEnd"/>
      <w:r w:rsidRPr="0086301C">
        <w:rPr>
          <w:rFonts w:ascii="Times New Roman" w:eastAsia="Times New Roman" w:hAnsi="Times New Roman" w:cs="Times New Roman"/>
          <w:color w:val="1F1F1F"/>
          <w:sz w:val="24"/>
          <w:szCs w:val="24"/>
        </w:rPr>
        <w:t xml:space="preserve">, S. E. (1989). Conservation of resources theory: A theoretical and empirical review. </w:t>
      </w:r>
      <w:r w:rsidRPr="0086301C">
        <w:rPr>
          <w:rFonts w:ascii="Times New Roman" w:eastAsia="Times New Roman" w:hAnsi="Times New Roman" w:cs="Times New Roman"/>
          <w:i/>
          <w:color w:val="1F1F1F"/>
          <w:sz w:val="24"/>
          <w:szCs w:val="24"/>
        </w:rPr>
        <w:t>Psychological Inquiry</w:t>
      </w:r>
      <w:r w:rsidRPr="0086301C">
        <w:rPr>
          <w:rFonts w:ascii="Times New Roman" w:eastAsia="Times New Roman" w:hAnsi="Times New Roman" w:cs="Times New Roman"/>
          <w:color w:val="1F1F1F"/>
          <w:sz w:val="24"/>
          <w:szCs w:val="24"/>
        </w:rPr>
        <w:t>, 1(4), 394-408.</w:t>
      </w:r>
    </w:p>
    <w:p w14:paraId="1315864D"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Jensen, T. B. and Stein, M-K. (2021) “Designing a Digital Workplace: Introducing Complementary Smart Work Elements”. </w:t>
      </w:r>
      <w:r w:rsidRPr="0086301C">
        <w:rPr>
          <w:rFonts w:ascii="Times New Roman" w:eastAsia="Times New Roman" w:hAnsi="Times New Roman" w:cs="Times New Roman"/>
          <w:i/>
          <w:color w:val="1F1F1F"/>
          <w:sz w:val="24"/>
          <w:szCs w:val="24"/>
        </w:rPr>
        <w:t>Journal of Financial Transformation</w:t>
      </w:r>
      <w:r w:rsidRPr="0086301C">
        <w:rPr>
          <w:rFonts w:ascii="Times New Roman" w:eastAsia="Times New Roman" w:hAnsi="Times New Roman" w:cs="Times New Roman"/>
          <w:color w:val="1F1F1F"/>
          <w:sz w:val="24"/>
          <w:szCs w:val="24"/>
        </w:rPr>
        <w:t xml:space="preserve"> (52), pp. 42-53</w:t>
      </w:r>
    </w:p>
    <w:p w14:paraId="3BCDF2A4"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Karakoç Öztürk, B., (2024). A Mixed-Method Study on the Distance Education Process Experienced in the Faculties of Education. </w:t>
      </w:r>
      <w:r w:rsidRPr="0086301C">
        <w:rPr>
          <w:rFonts w:ascii="Times New Roman" w:eastAsia="Times New Roman" w:hAnsi="Times New Roman" w:cs="Times New Roman"/>
          <w:i/>
          <w:iCs/>
          <w:color w:val="222222"/>
          <w:sz w:val="24"/>
          <w:szCs w:val="24"/>
        </w:rPr>
        <w:t>SAGE Open</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14</w:t>
      </w:r>
      <w:r w:rsidRPr="0086301C">
        <w:rPr>
          <w:rFonts w:ascii="Times New Roman" w:eastAsia="Times New Roman" w:hAnsi="Times New Roman" w:cs="Times New Roman"/>
          <w:color w:val="222222"/>
          <w:sz w:val="24"/>
          <w:szCs w:val="24"/>
        </w:rPr>
        <w:t>(1), p.21582440241227769.</w:t>
      </w:r>
    </w:p>
    <w:p w14:paraId="66E26008"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Kirchner, K., Ipsen, C. and Andersen, A.R., (2022, August). Knowledge sharing challenges in hybrid knowledge work: Lessons from Denmark. In </w:t>
      </w:r>
      <w:r w:rsidRPr="0086301C">
        <w:rPr>
          <w:rFonts w:ascii="Times New Roman" w:eastAsia="Times New Roman" w:hAnsi="Times New Roman" w:cs="Times New Roman"/>
          <w:i/>
          <w:iCs/>
          <w:color w:val="222222"/>
          <w:sz w:val="24"/>
          <w:szCs w:val="24"/>
        </w:rPr>
        <w:t>European Conference on Knowledge Management</w:t>
      </w:r>
      <w:r w:rsidRPr="0086301C">
        <w:rPr>
          <w:rFonts w:ascii="Times New Roman" w:eastAsia="Times New Roman" w:hAnsi="Times New Roman" w:cs="Times New Roman"/>
          <w:color w:val="222222"/>
          <w:sz w:val="24"/>
          <w:szCs w:val="24"/>
        </w:rPr>
        <w:t xml:space="preserve"> (Vol. 23, No. 1, pp. 638-645).</w:t>
      </w:r>
    </w:p>
    <w:p w14:paraId="158B06AC"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lastRenderedPageBreak/>
        <w:t xml:space="preserve">Lahti, M., and Nenonen, S. (2021) “Design Science and Co-Designing of Hybrid Workplaces”. </w:t>
      </w:r>
      <w:r w:rsidRPr="0086301C">
        <w:rPr>
          <w:rFonts w:ascii="Times New Roman" w:eastAsia="Times New Roman" w:hAnsi="Times New Roman" w:cs="Times New Roman"/>
          <w:i/>
          <w:color w:val="1F1F1F"/>
          <w:sz w:val="24"/>
          <w:szCs w:val="24"/>
        </w:rPr>
        <w:t>Buildings</w:t>
      </w:r>
      <w:r w:rsidRPr="0086301C">
        <w:rPr>
          <w:rFonts w:ascii="Times New Roman" w:eastAsia="Times New Roman" w:hAnsi="Times New Roman" w:cs="Times New Roman"/>
          <w:color w:val="1F1F1F"/>
          <w:sz w:val="24"/>
          <w:szCs w:val="24"/>
        </w:rPr>
        <w:t xml:space="preserve"> 11(3), pp. 129.</w:t>
      </w:r>
    </w:p>
    <w:p w14:paraId="118BC051"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Lawn, S., Zhi, X. and Morello, A., (2022). An integrative review of e-learning in the delivery of self-management support training for health professionals. </w:t>
      </w:r>
      <w:r w:rsidRPr="0086301C">
        <w:rPr>
          <w:rFonts w:ascii="Times New Roman" w:eastAsia="Times New Roman" w:hAnsi="Times New Roman" w:cs="Times New Roman"/>
          <w:i/>
          <w:iCs/>
          <w:color w:val="222222"/>
          <w:sz w:val="24"/>
          <w:szCs w:val="24"/>
        </w:rPr>
        <w:t xml:space="preserve">BMC </w:t>
      </w:r>
      <w:r w:rsidR="00502147">
        <w:rPr>
          <w:rFonts w:ascii="Times New Roman" w:eastAsia="Times New Roman" w:hAnsi="Times New Roman" w:cs="Times New Roman"/>
          <w:i/>
          <w:iCs/>
          <w:color w:val="222222"/>
          <w:sz w:val="24"/>
          <w:szCs w:val="24"/>
        </w:rPr>
        <w:t>Medical Education</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17</w:t>
      </w:r>
      <w:r w:rsidRPr="0086301C">
        <w:rPr>
          <w:rFonts w:ascii="Times New Roman" w:eastAsia="Times New Roman" w:hAnsi="Times New Roman" w:cs="Times New Roman"/>
          <w:color w:val="222222"/>
          <w:sz w:val="24"/>
          <w:szCs w:val="24"/>
        </w:rPr>
        <w:t>(1), pp.1-16.</w:t>
      </w:r>
    </w:p>
    <w:p w14:paraId="395D9002"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Lee, K., Fanguy, M., Lu, X.S.</w:t>
      </w:r>
      <w:r w:rsidR="004B70ED">
        <w:rPr>
          <w:rFonts w:ascii="Times New Roman" w:eastAsia="Times New Roman" w:hAnsi="Times New Roman" w:cs="Times New Roman"/>
          <w:color w:val="222222"/>
          <w:sz w:val="24"/>
          <w:szCs w:val="24"/>
        </w:rPr>
        <w:t>,</w:t>
      </w:r>
      <w:r w:rsidRPr="0086301C">
        <w:rPr>
          <w:rFonts w:ascii="Times New Roman" w:eastAsia="Times New Roman" w:hAnsi="Times New Roman" w:cs="Times New Roman"/>
          <w:color w:val="222222"/>
          <w:sz w:val="24"/>
          <w:szCs w:val="24"/>
        </w:rPr>
        <w:t xml:space="preserve"> and Bligh, B., (2021). Student learning during COVID-19: It was not as bad as we feared. </w:t>
      </w:r>
      <w:r w:rsidRPr="0086301C">
        <w:rPr>
          <w:rFonts w:ascii="Times New Roman" w:eastAsia="Times New Roman" w:hAnsi="Times New Roman" w:cs="Times New Roman"/>
          <w:i/>
          <w:iCs/>
          <w:color w:val="222222"/>
          <w:sz w:val="24"/>
          <w:szCs w:val="24"/>
        </w:rPr>
        <w:t>Distance Education</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42</w:t>
      </w:r>
      <w:r w:rsidRPr="0086301C">
        <w:rPr>
          <w:rFonts w:ascii="Times New Roman" w:eastAsia="Times New Roman" w:hAnsi="Times New Roman" w:cs="Times New Roman"/>
          <w:color w:val="222222"/>
          <w:sz w:val="24"/>
          <w:szCs w:val="24"/>
        </w:rPr>
        <w:t>(1), pp.164-172.</w:t>
      </w:r>
    </w:p>
    <w:p w14:paraId="556A797D" w14:textId="77777777" w:rsidR="004A2418" w:rsidRPr="0086301C" w:rsidRDefault="004A2418" w:rsidP="00C85E2F">
      <w:pPr>
        <w:spacing w:line="360" w:lineRule="auto"/>
        <w:rPr>
          <w:rFonts w:ascii="Times New Roman" w:eastAsia="Times New Roman" w:hAnsi="Times New Roman" w:cs="Times New Roman"/>
          <w:color w:val="1F1F1F"/>
          <w:sz w:val="24"/>
          <w:szCs w:val="24"/>
        </w:rPr>
      </w:pPr>
      <w:proofErr w:type="spellStart"/>
      <w:r w:rsidRPr="0086301C">
        <w:rPr>
          <w:rFonts w:ascii="Times New Roman" w:eastAsia="Times New Roman" w:hAnsi="Times New Roman" w:cs="Times New Roman"/>
          <w:color w:val="1F1F1F"/>
          <w:sz w:val="24"/>
          <w:szCs w:val="24"/>
        </w:rPr>
        <w:t>Lesener</w:t>
      </w:r>
      <w:proofErr w:type="spellEnd"/>
      <w:r w:rsidRPr="0086301C">
        <w:rPr>
          <w:rFonts w:ascii="Times New Roman" w:eastAsia="Times New Roman" w:hAnsi="Times New Roman" w:cs="Times New Roman"/>
          <w:color w:val="1F1F1F"/>
          <w:sz w:val="24"/>
          <w:szCs w:val="24"/>
        </w:rPr>
        <w:t xml:space="preserve">, T., Pleiss, L.S., </w:t>
      </w:r>
      <w:proofErr w:type="spellStart"/>
      <w:r w:rsidRPr="0086301C">
        <w:rPr>
          <w:rFonts w:ascii="Times New Roman" w:eastAsia="Times New Roman" w:hAnsi="Times New Roman" w:cs="Times New Roman"/>
          <w:color w:val="1F1F1F"/>
          <w:sz w:val="24"/>
          <w:szCs w:val="24"/>
        </w:rPr>
        <w:t>Gusy</w:t>
      </w:r>
      <w:proofErr w:type="spellEnd"/>
      <w:r w:rsidRPr="0086301C">
        <w:rPr>
          <w:rFonts w:ascii="Times New Roman" w:eastAsia="Times New Roman" w:hAnsi="Times New Roman" w:cs="Times New Roman"/>
          <w:color w:val="1F1F1F"/>
          <w:sz w:val="24"/>
          <w:szCs w:val="24"/>
        </w:rPr>
        <w:t xml:space="preserve">, B. and Wolter, C., (2020). The study demands-resources framework: An empirical introduction. </w:t>
      </w:r>
      <w:r w:rsidRPr="0086301C">
        <w:rPr>
          <w:rFonts w:ascii="Times New Roman" w:eastAsia="Times New Roman" w:hAnsi="Times New Roman" w:cs="Times New Roman"/>
          <w:i/>
          <w:color w:val="1F1F1F"/>
          <w:sz w:val="24"/>
          <w:szCs w:val="24"/>
        </w:rPr>
        <w:t>International Journal of Environmental Research and Public Health,</w:t>
      </w:r>
      <w:r w:rsidRPr="0086301C">
        <w:rPr>
          <w:rFonts w:ascii="Times New Roman" w:eastAsia="Times New Roman" w:hAnsi="Times New Roman" w:cs="Times New Roman"/>
          <w:color w:val="1F1F1F"/>
          <w:sz w:val="24"/>
          <w:szCs w:val="24"/>
        </w:rPr>
        <w:t xml:space="preserve"> 17(14), pp.5183.</w:t>
      </w:r>
    </w:p>
    <w:p w14:paraId="70C3854D"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Madsen, S., Haslam, C. R., and Nielsen, J. A. (2020) “Accelerated Digital Transformation: The Case of The Online University Caused by Covid-19</w:t>
      </w:r>
      <w:r w:rsidRPr="0086301C">
        <w:rPr>
          <w:rFonts w:ascii="Times New Roman" w:eastAsia="Times New Roman" w:hAnsi="Times New Roman" w:cs="Times New Roman"/>
          <w:i/>
          <w:color w:val="1F1F1F"/>
          <w:sz w:val="24"/>
          <w:szCs w:val="24"/>
        </w:rPr>
        <w:t>”. Selected Papers of the IRIS</w:t>
      </w:r>
      <w:r w:rsidRPr="0086301C">
        <w:rPr>
          <w:rFonts w:ascii="Times New Roman" w:eastAsia="Times New Roman" w:hAnsi="Times New Roman" w:cs="Times New Roman"/>
          <w:color w:val="1F1F1F"/>
          <w:sz w:val="24"/>
          <w:szCs w:val="24"/>
        </w:rPr>
        <w:t xml:space="preserve"> 11(2).</w:t>
      </w:r>
    </w:p>
    <w:p w14:paraId="17DDD376"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Mourão, S., Pinheiro, S., Mendes, M.M., Caetano, P. and Magano, O., 2023. How Did the COVID-19 Pandemic and Digital Divide Impact </w:t>
      </w:r>
      <w:proofErr w:type="spellStart"/>
      <w:r w:rsidRPr="0086301C">
        <w:rPr>
          <w:rFonts w:ascii="Times New Roman" w:eastAsia="Times New Roman" w:hAnsi="Times New Roman" w:cs="Times New Roman"/>
          <w:color w:val="222222"/>
          <w:sz w:val="24"/>
          <w:szCs w:val="24"/>
        </w:rPr>
        <w:t>Ciganos</w:t>
      </w:r>
      <w:proofErr w:type="spellEnd"/>
      <w:r w:rsidRPr="0086301C">
        <w:rPr>
          <w:rFonts w:ascii="Times New Roman" w:eastAsia="Times New Roman" w:hAnsi="Times New Roman" w:cs="Times New Roman"/>
          <w:color w:val="222222"/>
          <w:sz w:val="24"/>
          <w:szCs w:val="24"/>
        </w:rPr>
        <w:t>/Roma School Pathways</w:t>
      </w:r>
      <w:r w:rsidR="00502147">
        <w:rPr>
          <w:rFonts w:ascii="Times New Roman" w:eastAsia="Times New Roman" w:hAnsi="Times New Roman" w:cs="Times New Roman"/>
          <w:color w:val="222222"/>
          <w:sz w:val="24"/>
          <w:szCs w:val="24"/>
        </w:rPr>
        <w:t>?</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Social Sciences</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12</w:t>
      </w:r>
      <w:r w:rsidRPr="0086301C">
        <w:rPr>
          <w:rFonts w:ascii="Times New Roman" w:eastAsia="Times New Roman" w:hAnsi="Times New Roman" w:cs="Times New Roman"/>
          <w:color w:val="222222"/>
          <w:sz w:val="24"/>
          <w:szCs w:val="24"/>
        </w:rPr>
        <w:t>(2), p.86.</w:t>
      </w:r>
    </w:p>
    <w:p w14:paraId="34060C57"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 Mutebi, N. and Hobbs, A., (2022) The impact of remote and hybrid working on workers and organisations. The Parliamentary Office of Science and Technology (POST), </w:t>
      </w:r>
      <w:r w:rsidRPr="0086301C">
        <w:rPr>
          <w:rFonts w:ascii="Times New Roman" w:eastAsia="Times New Roman" w:hAnsi="Times New Roman" w:cs="Times New Roman"/>
          <w:i/>
          <w:color w:val="1F1F1F"/>
          <w:sz w:val="24"/>
          <w:szCs w:val="24"/>
        </w:rPr>
        <w:t>PostBrief49</w:t>
      </w:r>
      <w:r w:rsidRPr="0086301C">
        <w:rPr>
          <w:rFonts w:ascii="Times New Roman" w:eastAsia="Times New Roman" w:hAnsi="Times New Roman" w:cs="Times New Roman"/>
          <w:color w:val="1F1F1F"/>
          <w:sz w:val="24"/>
          <w:szCs w:val="24"/>
        </w:rPr>
        <w:t xml:space="preserve"> </w:t>
      </w:r>
      <w:hyperlink r:id="rId16" w:history="1">
        <w:r w:rsidRPr="0086301C">
          <w:rPr>
            <w:rStyle w:val="Hyperlink"/>
            <w:rFonts w:ascii="Times New Roman" w:eastAsia="Times New Roman" w:hAnsi="Times New Roman" w:cs="Times New Roman"/>
            <w:sz w:val="24"/>
            <w:szCs w:val="24"/>
          </w:rPr>
          <w:t>https://researchbriefings.files.parliament.uk/documents/POST-PB-0049/POST-PB-0049.pdf</w:t>
        </w:r>
      </w:hyperlink>
    </w:p>
    <w:p w14:paraId="67144177"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Naqshbandi, M.M., Kabir, I., Ishak, N.A. and Islam, M.Z., (2023) ‘The future of work: work engagement and job performance in the hybrid workplace’. </w:t>
      </w:r>
      <w:r w:rsidRPr="0086301C">
        <w:rPr>
          <w:rFonts w:ascii="Times New Roman" w:eastAsia="Times New Roman" w:hAnsi="Times New Roman" w:cs="Times New Roman"/>
          <w:i/>
          <w:color w:val="1F1F1F"/>
          <w:sz w:val="24"/>
          <w:szCs w:val="24"/>
        </w:rPr>
        <w:t>The Learning Organization</w:t>
      </w:r>
      <w:r w:rsidRPr="0086301C">
        <w:rPr>
          <w:rFonts w:ascii="Times New Roman" w:eastAsia="Times New Roman" w:hAnsi="Times New Roman" w:cs="Times New Roman"/>
          <w:color w:val="1F1F1F"/>
          <w:sz w:val="24"/>
          <w:szCs w:val="24"/>
        </w:rPr>
        <w:t>.</w:t>
      </w:r>
    </w:p>
    <w:p w14:paraId="0F206699"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Porter, J.E., Barbagallo, M.S., Peck, B., Allen, L., Tanti, E. and Churchill, A., (2020). The academic experiences of transitioning to blended online and digital nursing curriculum. </w:t>
      </w:r>
      <w:r w:rsidRPr="0086301C">
        <w:rPr>
          <w:rFonts w:ascii="Times New Roman" w:eastAsia="Times New Roman" w:hAnsi="Times New Roman" w:cs="Times New Roman"/>
          <w:i/>
          <w:iCs/>
          <w:color w:val="222222"/>
          <w:sz w:val="24"/>
          <w:szCs w:val="24"/>
        </w:rPr>
        <w:t>Nurse Education Today</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87</w:t>
      </w:r>
      <w:r w:rsidRPr="0086301C">
        <w:rPr>
          <w:rFonts w:ascii="Times New Roman" w:eastAsia="Times New Roman" w:hAnsi="Times New Roman" w:cs="Times New Roman"/>
          <w:color w:val="222222"/>
          <w:sz w:val="24"/>
          <w:szCs w:val="24"/>
        </w:rPr>
        <w:t>, p.104361.</w:t>
      </w:r>
    </w:p>
    <w:p w14:paraId="690CB26D"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Pirzadeh, P. and Lingard, H., (2021). Working from home during the COVID-19 pandemic: Health and well-being of project-based construction workers. </w:t>
      </w:r>
      <w:r w:rsidRPr="0086301C">
        <w:rPr>
          <w:rFonts w:ascii="Times New Roman" w:eastAsia="Times New Roman" w:hAnsi="Times New Roman" w:cs="Times New Roman"/>
          <w:i/>
          <w:iCs/>
          <w:color w:val="222222"/>
          <w:sz w:val="24"/>
          <w:szCs w:val="24"/>
        </w:rPr>
        <w:t xml:space="preserve">Journal of </w:t>
      </w:r>
      <w:r w:rsidR="00502147">
        <w:rPr>
          <w:rFonts w:ascii="Times New Roman" w:eastAsia="Times New Roman" w:hAnsi="Times New Roman" w:cs="Times New Roman"/>
          <w:i/>
          <w:iCs/>
          <w:color w:val="222222"/>
          <w:sz w:val="24"/>
          <w:szCs w:val="24"/>
        </w:rPr>
        <w:t>Construction Engineering</w:t>
      </w:r>
      <w:r w:rsidRPr="0086301C">
        <w:rPr>
          <w:rFonts w:ascii="Times New Roman" w:eastAsia="Times New Roman" w:hAnsi="Times New Roman" w:cs="Times New Roman"/>
          <w:i/>
          <w:iCs/>
          <w:color w:val="222222"/>
          <w:sz w:val="24"/>
          <w:szCs w:val="24"/>
        </w:rPr>
        <w:t xml:space="preserve"> and </w:t>
      </w:r>
      <w:r w:rsidR="00A34A63">
        <w:rPr>
          <w:rFonts w:ascii="Times New Roman" w:eastAsia="Times New Roman" w:hAnsi="Times New Roman" w:cs="Times New Roman"/>
          <w:i/>
          <w:iCs/>
          <w:color w:val="222222"/>
          <w:sz w:val="24"/>
          <w:szCs w:val="24"/>
        </w:rPr>
        <w:t>Management</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147</w:t>
      </w:r>
      <w:r w:rsidRPr="0086301C">
        <w:rPr>
          <w:rFonts w:ascii="Times New Roman" w:eastAsia="Times New Roman" w:hAnsi="Times New Roman" w:cs="Times New Roman"/>
          <w:color w:val="222222"/>
          <w:sz w:val="24"/>
          <w:szCs w:val="24"/>
        </w:rPr>
        <w:t>(6), p.04021048.</w:t>
      </w:r>
    </w:p>
    <w:p w14:paraId="2725FE4E"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Reddy, M. S. (2021) “Working in a hybrid world of education”. </w:t>
      </w:r>
      <w:r w:rsidRPr="0086301C">
        <w:rPr>
          <w:rFonts w:ascii="Times New Roman" w:eastAsia="Times New Roman" w:hAnsi="Times New Roman" w:cs="Times New Roman"/>
          <w:i/>
          <w:color w:val="1F1F1F"/>
          <w:sz w:val="24"/>
          <w:szCs w:val="24"/>
        </w:rPr>
        <w:t xml:space="preserve">Journal of Dental Education </w:t>
      </w:r>
      <w:r w:rsidRPr="0086301C">
        <w:rPr>
          <w:rFonts w:ascii="Times New Roman" w:eastAsia="Times New Roman" w:hAnsi="Times New Roman" w:cs="Times New Roman"/>
          <w:color w:val="1F1F1F"/>
          <w:sz w:val="24"/>
          <w:szCs w:val="24"/>
        </w:rPr>
        <w:t>85(6).</w:t>
      </w:r>
    </w:p>
    <w:p w14:paraId="7799AFBA"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lastRenderedPageBreak/>
        <w:t>Romaniuk, M.W. and Łukasiewicz-</w:t>
      </w:r>
      <w:proofErr w:type="spellStart"/>
      <w:r w:rsidRPr="0086301C">
        <w:rPr>
          <w:rFonts w:ascii="Times New Roman" w:eastAsia="Times New Roman" w:hAnsi="Times New Roman" w:cs="Times New Roman"/>
          <w:color w:val="1F1F1F"/>
          <w:sz w:val="24"/>
          <w:szCs w:val="24"/>
        </w:rPr>
        <w:t>Wieleba</w:t>
      </w:r>
      <w:proofErr w:type="spellEnd"/>
      <w:r w:rsidRPr="0086301C">
        <w:rPr>
          <w:rFonts w:ascii="Times New Roman" w:eastAsia="Times New Roman" w:hAnsi="Times New Roman" w:cs="Times New Roman"/>
          <w:color w:val="1F1F1F"/>
          <w:sz w:val="24"/>
          <w:szCs w:val="24"/>
        </w:rPr>
        <w:t xml:space="preserve">, J., (2022) Hybrid education in higher education on the example of students&amp;#39; experiences in post-pandemic reality. </w:t>
      </w:r>
      <w:r w:rsidRPr="0086301C">
        <w:rPr>
          <w:rFonts w:ascii="Times New Roman" w:eastAsia="Times New Roman" w:hAnsi="Times New Roman" w:cs="Times New Roman"/>
          <w:i/>
          <w:color w:val="1F1F1F"/>
          <w:sz w:val="24"/>
          <w:szCs w:val="24"/>
        </w:rPr>
        <w:t>International Journal of Electronics and Telecommunications</w:t>
      </w:r>
      <w:r w:rsidRPr="0086301C">
        <w:rPr>
          <w:rFonts w:ascii="Times New Roman" w:eastAsia="Times New Roman" w:hAnsi="Times New Roman" w:cs="Times New Roman"/>
          <w:color w:val="1F1F1F"/>
          <w:sz w:val="24"/>
          <w:szCs w:val="24"/>
        </w:rPr>
        <w:t>, 68.</w:t>
      </w:r>
    </w:p>
    <w:p w14:paraId="5DF77804" w14:textId="77777777" w:rsidR="004A2418" w:rsidRPr="0086301C" w:rsidRDefault="004A2418" w:rsidP="00C85E2F">
      <w:pPr>
        <w:spacing w:line="360" w:lineRule="auto"/>
        <w:rPr>
          <w:rFonts w:ascii="Times New Roman" w:eastAsia="Calibri" w:hAnsi="Times New Roman" w:cs="Times New Roman"/>
          <w:color w:val="222222"/>
          <w:sz w:val="24"/>
          <w:szCs w:val="24"/>
          <w:shd w:val="clear" w:color="auto" w:fill="FFFFFF"/>
        </w:rPr>
      </w:pPr>
      <w:r w:rsidRPr="0086301C">
        <w:rPr>
          <w:rFonts w:ascii="Times New Roman" w:hAnsi="Times New Roman" w:cs="Times New Roman"/>
          <w:color w:val="222222"/>
          <w:sz w:val="24"/>
          <w:szCs w:val="24"/>
          <w:shd w:val="clear" w:color="auto" w:fill="FFFFFF"/>
        </w:rPr>
        <w:t xml:space="preserve">Saunders, M., (2019) </w:t>
      </w:r>
      <w:r w:rsidRPr="0086301C">
        <w:rPr>
          <w:rFonts w:ascii="Times New Roman" w:hAnsi="Times New Roman" w:cs="Times New Roman"/>
          <w:i/>
          <w:iCs/>
          <w:color w:val="222222"/>
          <w:sz w:val="24"/>
          <w:szCs w:val="24"/>
          <w:shd w:val="clear" w:color="auto" w:fill="FFFFFF"/>
        </w:rPr>
        <w:t>Research Methods for Business Students.</w:t>
      </w:r>
      <w:r w:rsidRPr="0086301C">
        <w:rPr>
          <w:rFonts w:ascii="Times New Roman" w:hAnsi="Times New Roman" w:cs="Times New Roman"/>
          <w:color w:val="222222"/>
          <w:sz w:val="24"/>
          <w:szCs w:val="24"/>
          <w:shd w:val="clear" w:color="auto" w:fill="FFFFFF"/>
        </w:rPr>
        <w:t xml:space="preserve"> 8</w:t>
      </w:r>
      <w:r w:rsidRPr="0086301C">
        <w:rPr>
          <w:rFonts w:ascii="Times New Roman" w:hAnsi="Times New Roman" w:cs="Times New Roman"/>
          <w:color w:val="222222"/>
          <w:sz w:val="24"/>
          <w:szCs w:val="24"/>
          <w:shd w:val="clear" w:color="auto" w:fill="FFFFFF"/>
          <w:vertAlign w:val="superscript"/>
        </w:rPr>
        <w:t>th</w:t>
      </w:r>
      <w:r w:rsidRPr="0086301C">
        <w:rPr>
          <w:rFonts w:ascii="Times New Roman" w:hAnsi="Times New Roman" w:cs="Times New Roman"/>
          <w:color w:val="222222"/>
          <w:sz w:val="24"/>
          <w:szCs w:val="24"/>
          <w:shd w:val="clear" w:color="auto" w:fill="FFFFFF"/>
        </w:rPr>
        <w:t xml:space="preserve"> ed. Harlow: Pearson</w:t>
      </w:r>
    </w:p>
    <w:p w14:paraId="79C41E9F"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Sharma, U., </w:t>
      </w:r>
      <w:proofErr w:type="spellStart"/>
      <w:r w:rsidRPr="0086301C">
        <w:rPr>
          <w:rFonts w:ascii="Times New Roman" w:eastAsia="Times New Roman" w:hAnsi="Times New Roman" w:cs="Times New Roman"/>
          <w:color w:val="222222"/>
          <w:sz w:val="24"/>
          <w:szCs w:val="24"/>
        </w:rPr>
        <w:t>Laletas</w:t>
      </w:r>
      <w:proofErr w:type="spellEnd"/>
      <w:r w:rsidRPr="0086301C">
        <w:rPr>
          <w:rFonts w:ascii="Times New Roman" w:eastAsia="Times New Roman" w:hAnsi="Times New Roman" w:cs="Times New Roman"/>
          <w:color w:val="222222"/>
          <w:sz w:val="24"/>
          <w:szCs w:val="24"/>
        </w:rPr>
        <w:t>, S., May, F. and Grove, C., (2023) “In any crisis</w:t>
      </w:r>
      <w:r w:rsidR="00502147">
        <w:rPr>
          <w:rFonts w:ascii="Times New Roman" w:eastAsia="Times New Roman" w:hAnsi="Times New Roman" w:cs="Times New Roman"/>
          <w:color w:val="222222"/>
          <w:sz w:val="24"/>
          <w:szCs w:val="24"/>
        </w:rPr>
        <w:t>,</w:t>
      </w:r>
      <w:r w:rsidRPr="0086301C">
        <w:rPr>
          <w:rFonts w:ascii="Times New Roman" w:eastAsia="Times New Roman" w:hAnsi="Times New Roman" w:cs="Times New Roman"/>
          <w:color w:val="222222"/>
          <w:sz w:val="24"/>
          <w:szCs w:val="24"/>
        </w:rPr>
        <w:t xml:space="preserve"> there is an opportunity for us to learn something new”: Australian teacher experiences during COVID-19. </w:t>
      </w:r>
      <w:r w:rsidRPr="0086301C">
        <w:rPr>
          <w:rFonts w:ascii="Times New Roman" w:eastAsia="Times New Roman" w:hAnsi="Times New Roman" w:cs="Times New Roman"/>
          <w:i/>
          <w:iCs/>
          <w:color w:val="222222"/>
          <w:sz w:val="24"/>
          <w:szCs w:val="24"/>
        </w:rPr>
        <w:t>The Australian Educational Researcher</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50</w:t>
      </w:r>
      <w:r w:rsidRPr="0086301C">
        <w:rPr>
          <w:rFonts w:ascii="Times New Roman" w:eastAsia="Times New Roman" w:hAnsi="Times New Roman" w:cs="Times New Roman"/>
          <w:color w:val="222222"/>
          <w:sz w:val="24"/>
          <w:szCs w:val="24"/>
        </w:rPr>
        <w:t>(5), pp.1303-1321.</w:t>
      </w:r>
    </w:p>
    <w:p w14:paraId="73D7AC8D"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Song, D. and Kim, D., (2021) Effects of self-regulation scaffolding on online participation and learning outcomes. </w:t>
      </w:r>
      <w:r w:rsidRPr="0086301C">
        <w:rPr>
          <w:rFonts w:ascii="Times New Roman" w:eastAsia="Times New Roman" w:hAnsi="Times New Roman" w:cs="Times New Roman"/>
          <w:i/>
          <w:iCs/>
          <w:color w:val="222222"/>
          <w:sz w:val="24"/>
          <w:szCs w:val="24"/>
        </w:rPr>
        <w:t>Journal of Research on Technology in Education</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53</w:t>
      </w:r>
      <w:r w:rsidRPr="0086301C">
        <w:rPr>
          <w:rFonts w:ascii="Times New Roman" w:eastAsia="Times New Roman" w:hAnsi="Times New Roman" w:cs="Times New Roman"/>
          <w:color w:val="222222"/>
          <w:sz w:val="24"/>
          <w:szCs w:val="24"/>
        </w:rPr>
        <w:t>(3), pp.249-263.</w:t>
      </w:r>
    </w:p>
    <w:p w14:paraId="3403818D"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Stevens, C.J., Horrigan, J., Heale, R. and Koren, I., (2020). Northeastern Ontario nurses' perceptions of e-learning: An interpretive description. </w:t>
      </w:r>
      <w:r w:rsidRPr="0086301C">
        <w:rPr>
          <w:rFonts w:ascii="Times New Roman" w:eastAsia="Times New Roman" w:hAnsi="Times New Roman" w:cs="Times New Roman"/>
          <w:i/>
          <w:iCs/>
          <w:color w:val="222222"/>
          <w:sz w:val="24"/>
          <w:szCs w:val="24"/>
        </w:rPr>
        <w:t>Nurse Education Today</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92</w:t>
      </w:r>
      <w:r w:rsidRPr="0086301C">
        <w:rPr>
          <w:rFonts w:ascii="Times New Roman" w:eastAsia="Times New Roman" w:hAnsi="Times New Roman" w:cs="Times New Roman"/>
          <w:color w:val="222222"/>
          <w:sz w:val="24"/>
          <w:szCs w:val="24"/>
        </w:rPr>
        <w:t>, p.104509.</w:t>
      </w:r>
    </w:p>
    <w:p w14:paraId="058DE075"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Summerfield, R. (2022) “Hybrid working can help recruit and retain talent, upskill leaders and boost team working, suggests a case study from an international professional services firm”. </w:t>
      </w:r>
      <w:r w:rsidRPr="0086301C">
        <w:rPr>
          <w:rFonts w:ascii="Times New Roman" w:eastAsia="Times New Roman" w:hAnsi="Times New Roman" w:cs="Times New Roman"/>
          <w:i/>
          <w:color w:val="1F1F1F"/>
          <w:sz w:val="24"/>
          <w:szCs w:val="24"/>
        </w:rPr>
        <w:t>Strategic HR Review</w:t>
      </w:r>
      <w:r w:rsidRPr="0086301C">
        <w:rPr>
          <w:rFonts w:ascii="Times New Roman" w:eastAsia="Times New Roman" w:hAnsi="Times New Roman" w:cs="Times New Roman"/>
          <w:color w:val="1F1F1F"/>
          <w:sz w:val="24"/>
          <w:szCs w:val="24"/>
        </w:rPr>
        <w:t xml:space="preserve"> 21(1), pp. 34–40.</w:t>
      </w:r>
    </w:p>
    <w:p w14:paraId="2EE8A100" w14:textId="77777777" w:rsidR="004A2418" w:rsidRPr="0086301C" w:rsidRDefault="004A2418" w:rsidP="00C85E2F">
      <w:pPr>
        <w:spacing w:line="360" w:lineRule="auto"/>
        <w:rPr>
          <w:rFonts w:ascii="Times New Roman" w:hAnsi="Times New Roman" w:cs="Times New Roman"/>
          <w:sz w:val="24"/>
          <w:szCs w:val="24"/>
        </w:rPr>
      </w:pPr>
      <w:proofErr w:type="spellStart"/>
      <w:r w:rsidRPr="0086301C">
        <w:rPr>
          <w:rFonts w:ascii="Times New Roman" w:eastAsia="Times New Roman" w:hAnsi="Times New Roman" w:cs="Times New Roman"/>
          <w:color w:val="222222"/>
          <w:sz w:val="24"/>
          <w:szCs w:val="24"/>
        </w:rPr>
        <w:t>Szopiński</w:t>
      </w:r>
      <w:proofErr w:type="spellEnd"/>
      <w:r w:rsidRPr="0086301C">
        <w:rPr>
          <w:rFonts w:ascii="Times New Roman" w:eastAsia="Times New Roman" w:hAnsi="Times New Roman" w:cs="Times New Roman"/>
          <w:color w:val="222222"/>
          <w:sz w:val="24"/>
          <w:szCs w:val="24"/>
        </w:rPr>
        <w:t xml:space="preserve">, T. and </w:t>
      </w:r>
      <w:proofErr w:type="spellStart"/>
      <w:r w:rsidRPr="0086301C">
        <w:rPr>
          <w:rFonts w:ascii="Times New Roman" w:eastAsia="Times New Roman" w:hAnsi="Times New Roman" w:cs="Times New Roman"/>
          <w:color w:val="222222"/>
          <w:sz w:val="24"/>
          <w:szCs w:val="24"/>
        </w:rPr>
        <w:t>Bachnik</w:t>
      </w:r>
      <w:proofErr w:type="spellEnd"/>
      <w:r w:rsidRPr="0086301C">
        <w:rPr>
          <w:rFonts w:ascii="Times New Roman" w:eastAsia="Times New Roman" w:hAnsi="Times New Roman" w:cs="Times New Roman"/>
          <w:color w:val="222222"/>
          <w:sz w:val="24"/>
          <w:szCs w:val="24"/>
        </w:rPr>
        <w:t xml:space="preserve">, K., (2022) Student evaluation of online learning during the COVID-19 pandemic. </w:t>
      </w:r>
      <w:r w:rsidRPr="0086301C">
        <w:rPr>
          <w:rFonts w:ascii="Times New Roman" w:eastAsia="Times New Roman" w:hAnsi="Times New Roman" w:cs="Times New Roman"/>
          <w:i/>
          <w:iCs/>
          <w:color w:val="222222"/>
          <w:sz w:val="24"/>
          <w:szCs w:val="24"/>
        </w:rPr>
        <w:t>Technological Forecasting and Social Change</w:t>
      </w:r>
      <w:r w:rsidRPr="0086301C">
        <w:rPr>
          <w:rFonts w:ascii="Times New Roman" w:eastAsia="Times New Roman" w:hAnsi="Times New Roman" w:cs="Times New Roman"/>
          <w:color w:val="222222"/>
          <w:sz w:val="24"/>
          <w:szCs w:val="24"/>
        </w:rPr>
        <w:t xml:space="preserve">, </w:t>
      </w:r>
      <w:r w:rsidRPr="0086301C">
        <w:rPr>
          <w:rFonts w:ascii="Times New Roman" w:eastAsia="Times New Roman" w:hAnsi="Times New Roman" w:cs="Times New Roman"/>
          <w:i/>
          <w:iCs/>
          <w:color w:val="222222"/>
          <w:sz w:val="24"/>
          <w:szCs w:val="24"/>
        </w:rPr>
        <w:t>174</w:t>
      </w:r>
      <w:r w:rsidRPr="0086301C">
        <w:rPr>
          <w:rFonts w:ascii="Times New Roman" w:eastAsia="Times New Roman" w:hAnsi="Times New Roman" w:cs="Times New Roman"/>
          <w:color w:val="222222"/>
          <w:sz w:val="24"/>
          <w:szCs w:val="24"/>
        </w:rPr>
        <w:t>, p.121203.</w:t>
      </w:r>
    </w:p>
    <w:p w14:paraId="2D755531" w14:textId="77777777" w:rsidR="004A2418" w:rsidRPr="0086301C" w:rsidRDefault="004A2418" w:rsidP="00C85E2F">
      <w:pPr>
        <w:spacing w:line="360" w:lineRule="auto"/>
        <w:rPr>
          <w:rFonts w:ascii="Times New Roman" w:hAnsi="Times New Roman" w:cs="Times New Roman"/>
          <w:sz w:val="24"/>
          <w:szCs w:val="24"/>
        </w:rPr>
      </w:pPr>
      <w:r w:rsidRPr="0086301C">
        <w:rPr>
          <w:rFonts w:ascii="Times New Roman" w:eastAsia="Times New Roman" w:hAnsi="Times New Roman" w:cs="Times New Roman"/>
          <w:color w:val="222222"/>
          <w:sz w:val="24"/>
          <w:szCs w:val="24"/>
        </w:rPr>
        <w:t xml:space="preserve">Talwar, P., (2023) </w:t>
      </w:r>
      <w:r w:rsidRPr="0086301C">
        <w:rPr>
          <w:rFonts w:ascii="Times New Roman" w:eastAsia="Times New Roman" w:hAnsi="Times New Roman" w:cs="Times New Roman"/>
          <w:i/>
          <w:iCs/>
          <w:color w:val="222222"/>
          <w:sz w:val="24"/>
          <w:szCs w:val="24"/>
        </w:rPr>
        <w:t>The Strategic Use of Virtual Teacher Assistants to Increase Faculty Engagement and Job Satisfaction.</w:t>
      </w:r>
      <w:r w:rsidRPr="0086301C">
        <w:rPr>
          <w:rFonts w:ascii="Times New Roman" w:eastAsia="Times New Roman" w:hAnsi="Times New Roman" w:cs="Times New Roman"/>
          <w:color w:val="222222"/>
          <w:sz w:val="24"/>
          <w:szCs w:val="24"/>
        </w:rPr>
        <w:t xml:space="preserve"> Trident</w:t>
      </w:r>
    </w:p>
    <w:p w14:paraId="09520AA0" w14:textId="77777777" w:rsidR="004A2418" w:rsidRPr="0086301C" w:rsidRDefault="004A2418" w:rsidP="00C85E2F">
      <w:pPr>
        <w:spacing w:line="360" w:lineRule="auto"/>
        <w:rPr>
          <w:rFonts w:ascii="Times New Roman" w:eastAsia="Times New Roman" w:hAnsi="Times New Roman" w:cs="Times New Roman"/>
          <w:color w:val="1F1F1F"/>
          <w:sz w:val="24"/>
          <w:szCs w:val="24"/>
        </w:rPr>
      </w:pPr>
      <w:r w:rsidRPr="0086301C">
        <w:rPr>
          <w:rFonts w:ascii="Times New Roman" w:eastAsia="Times New Roman" w:hAnsi="Times New Roman" w:cs="Times New Roman"/>
          <w:color w:val="1F1F1F"/>
          <w:sz w:val="24"/>
          <w:szCs w:val="24"/>
        </w:rPr>
        <w:t xml:space="preserve">Tinto, V. (1975). Dropout from higher education: A theoretical synthesis of recent research. </w:t>
      </w:r>
      <w:r w:rsidRPr="0086301C">
        <w:rPr>
          <w:rFonts w:ascii="Times New Roman" w:eastAsia="Times New Roman" w:hAnsi="Times New Roman" w:cs="Times New Roman"/>
          <w:i/>
          <w:color w:val="1F1F1F"/>
          <w:sz w:val="24"/>
          <w:szCs w:val="24"/>
        </w:rPr>
        <w:t>Review of Educational Research</w:t>
      </w:r>
      <w:r w:rsidRPr="0086301C">
        <w:rPr>
          <w:rFonts w:ascii="Times New Roman" w:eastAsia="Times New Roman" w:hAnsi="Times New Roman" w:cs="Times New Roman"/>
          <w:color w:val="1F1F1F"/>
          <w:sz w:val="24"/>
          <w:szCs w:val="24"/>
        </w:rPr>
        <w:t>, 45(1), 89-125.</w:t>
      </w:r>
    </w:p>
    <w:p w14:paraId="2B6E5D17" w14:textId="77777777" w:rsidR="00FA04B3" w:rsidRPr="0086301C" w:rsidRDefault="00FA04B3" w:rsidP="00C85E2F">
      <w:pPr>
        <w:spacing w:line="360" w:lineRule="auto"/>
        <w:rPr>
          <w:rFonts w:ascii="Times New Roman" w:hAnsi="Times New Roman" w:cs="Times New Roman"/>
          <w:sz w:val="24"/>
          <w:szCs w:val="24"/>
        </w:rPr>
      </w:pPr>
    </w:p>
    <w:sectPr w:rsidR="00FA04B3" w:rsidRPr="008630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24381" w14:textId="77777777" w:rsidR="002B1E20" w:rsidRDefault="002B1E20" w:rsidP="00B03D9A">
      <w:pPr>
        <w:spacing w:after="0" w:line="240" w:lineRule="auto"/>
      </w:pPr>
      <w:r>
        <w:separator/>
      </w:r>
    </w:p>
  </w:endnote>
  <w:endnote w:type="continuationSeparator" w:id="0">
    <w:p w14:paraId="6C90D48F" w14:textId="77777777" w:rsidR="002B1E20" w:rsidRDefault="002B1E20" w:rsidP="00B03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EAD22" w14:textId="77777777" w:rsidR="002B1E20" w:rsidRDefault="002B1E20" w:rsidP="00B03D9A">
      <w:pPr>
        <w:spacing w:after="0" w:line="240" w:lineRule="auto"/>
      </w:pPr>
      <w:r>
        <w:separator/>
      </w:r>
    </w:p>
  </w:footnote>
  <w:footnote w:type="continuationSeparator" w:id="0">
    <w:p w14:paraId="0726717A" w14:textId="77777777" w:rsidR="002B1E20" w:rsidRDefault="002B1E20" w:rsidP="00B03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5pt;height:11.5pt" o:bullet="t">
        <v:imagedata r:id="rId1" o:title="msoDCA4"/>
      </v:shape>
    </w:pict>
  </w:numPicBullet>
  <w:abstractNum w:abstractNumId="0" w15:restartNumberingAfterBreak="0">
    <w:nsid w:val="079F0A1C"/>
    <w:multiLevelType w:val="multilevel"/>
    <w:tmpl w:val="42CCE450"/>
    <w:lvl w:ilvl="0">
      <w:start w:val="1"/>
      <w:numFmt w:val="bullet"/>
      <w:lvlText w:val=""/>
      <w:lvlPicBulletId w:val="0"/>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4D67DE"/>
    <w:multiLevelType w:val="hybridMultilevel"/>
    <w:tmpl w:val="F5F21138"/>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E1804CD"/>
    <w:multiLevelType w:val="hybridMultilevel"/>
    <w:tmpl w:val="A228553C"/>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4DD4842"/>
    <w:multiLevelType w:val="hybridMultilevel"/>
    <w:tmpl w:val="A0EAB4C4"/>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5D61BB4"/>
    <w:multiLevelType w:val="hybridMultilevel"/>
    <w:tmpl w:val="0B3092E6"/>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3A046AB8"/>
    <w:multiLevelType w:val="multilevel"/>
    <w:tmpl w:val="42CCE450"/>
    <w:lvl w:ilvl="0">
      <w:start w:val="1"/>
      <w:numFmt w:val="bullet"/>
      <w:lvlText w:val=""/>
      <w:lvlPicBulletId w:val="0"/>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AB7142"/>
    <w:multiLevelType w:val="hybridMultilevel"/>
    <w:tmpl w:val="5D920114"/>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3FB37B87"/>
    <w:multiLevelType w:val="hybridMultilevel"/>
    <w:tmpl w:val="8806C27A"/>
    <w:lvl w:ilvl="0" w:tplc="20000007">
      <w:start w:val="1"/>
      <w:numFmt w:val="bullet"/>
      <w:lvlText w:val=""/>
      <w:lvlPicBulletId w:val="0"/>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7F176E14"/>
    <w:multiLevelType w:val="hybridMultilevel"/>
    <w:tmpl w:val="6FAA251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417100480">
    <w:abstractNumId w:val="2"/>
  </w:num>
  <w:num w:numId="2" w16cid:durableId="746339125">
    <w:abstractNumId w:val="6"/>
  </w:num>
  <w:num w:numId="3" w16cid:durableId="1340085218">
    <w:abstractNumId w:val="8"/>
  </w:num>
  <w:num w:numId="4" w16cid:durableId="1389719743">
    <w:abstractNumId w:val="1"/>
  </w:num>
  <w:num w:numId="5" w16cid:durableId="882061821">
    <w:abstractNumId w:val="3"/>
  </w:num>
  <w:num w:numId="6" w16cid:durableId="1785343525">
    <w:abstractNumId w:val="4"/>
  </w:num>
  <w:num w:numId="7" w16cid:durableId="529076909">
    <w:abstractNumId w:val="7"/>
  </w:num>
  <w:num w:numId="8" w16cid:durableId="493182302">
    <w:abstractNumId w:val="5"/>
  </w:num>
  <w:num w:numId="9" w16cid:durableId="1232886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B82"/>
    <w:rsid w:val="000B6CCB"/>
    <w:rsid w:val="000E368F"/>
    <w:rsid w:val="00137483"/>
    <w:rsid w:val="00142E24"/>
    <w:rsid w:val="001A28FF"/>
    <w:rsid w:val="001A54F8"/>
    <w:rsid w:val="001B4C08"/>
    <w:rsid w:val="001B6B1C"/>
    <w:rsid w:val="001D3DB9"/>
    <w:rsid w:val="001D632E"/>
    <w:rsid w:val="002B1E20"/>
    <w:rsid w:val="002D2716"/>
    <w:rsid w:val="002F2F91"/>
    <w:rsid w:val="00317278"/>
    <w:rsid w:val="00365700"/>
    <w:rsid w:val="00376008"/>
    <w:rsid w:val="003A5013"/>
    <w:rsid w:val="003B1FFD"/>
    <w:rsid w:val="003B6C59"/>
    <w:rsid w:val="003F4C2F"/>
    <w:rsid w:val="003F7BC5"/>
    <w:rsid w:val="00401697"/>
    <w:rsid w:val="004470FA"/>
    <w:rsid w:val="00473AF4"/>
    <w:rsid w:val="004A2418"/>
    <w:rsid w:val="004B70ED"/>
    <w:rsid w:val="00502147"/>
    <w:rsid w:val="00510FCF"/>
    <w:rsid w:val="005832D2"/>
    <w:rsid w:val="005A6A5B"/>
    <w:rsid w:val="00630A4A"/>
    <w:rsid w:val="006F2050"/>
    <w:rsid w:val="007732EC"/>
    <w:rsid w:val="007869E8"/>
    <w:rsid w:val="00803800"/>
    <w:rsid w:val="0082558A"/>
    <w:rsid w:val="0086301C"/>
    <w:rsid w:val="00863E99"/>
    <w:rsid w:val="00883332"/>
    <w:rsid w:val="008847CD"/>
    <w:rsid w:val="008C64DB"/>
    <w:rsid w:val="0091735C"/>
    <w:rsid w:val="00932707"/>
    <w:rsid w:val="00932B15"/>
    <w:rsid w:val="009454FB"/>
    <w:rsid w:val="00976F4A"/>
    <w:rsid w:val="00981EF8"/>
    <w:rsid w:val="009847D5"/>
    <w:rsid w:val="009D194B"/>
    <w:rsid w:val="009E26EA"/>
    <w:rsid w:val="00A34A63"/>
    <w:rsid w:val="00A36267"/>
    <w:rsid w:val="00AC50BC"/>
    <w:rsid w:val="00AC7493"/>
    <w:rsid w:val="00AE5D44"/>
    <w:rsid w:val="00B03D9A"/>
    <w:rsid w:val="00B21C89"/>
    <w:rsid w:val="00B34827"/>
    <w:rsid w:val="00B45BA7"/>
    <w:rsid w:val="00C041D5"/>
    <w:rsid w:val="00C85E2F"/>
    <w:rsid w:val="00D567F8"/>
    <w:rsid w:val="00D70282"/>
    <w:rsid w:val="00DB1BB2"/>
    <w:rsid w:val="00E21364"/>
    <w:rsid w:val="00EB74C2"/>
    <w:rsid w:val="00ED597B"/>
    <w:rsid w:val="00EF4AC9"/>
    <w:rsid w:val="00F01A1B"/>
    <w:rsid w:val="00F55076"/>
    <w:rsid w:val="00F92B82"/>
    <w:rsid w:val="00FA04B3"/>
    <w:rsid w:val="00FB11C9"/>
    <w:rsid w:val="00FC6FC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DD5C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2B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2B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2B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B8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92B82"/>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F92B82"/>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4A2418"/>
    <w:rPr>
      <w:color w:val="0563C1" w:themeColor="hyperlink"/>
      <w:u w:val="single"/>
    </w:rPr>
  </w:style>
  <w:style w:type="paragraph" w:styleId="Header">
    <w:name w:val="header"/>
    <w:basedOn w:val="Normal"/>
    <w:link w:val="HeaderChar"/>
    <w:uiPriority w:val="99"/>
    <w:unhideWhenUsed/>
    <w:rsid w:val="00B03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D9A"/>
    <w:rPr>
      <w:lang w:val="en-GB"/>
    </w:rPr>
  </w:style>
  <w:style w:type="paragraph" w:styleId="Footer">
    <w:name w:val="footer"/>
    <w:basedOn w:val="Normal"/>
    <w:link w:val="FooterChar"/>
    <w:uiPriority w:val="99"/>
    <w:unhideWhenUsed/>
    <w:rsid w:val="00B03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D9A"/>
    <w:rPr>
      <w:lang w:val="en-GB"/>
    </w:rPr>
  </w:style>
  <w:style w:type="paragraph" w:styleId="Caption">
    <w:name w:val="caption"/>
    <w:basedOn w:val="Normal"/>
    <w:next w:val="Normal"/>
    <w:uiPriority w:val="35"/>
    <w:unhideWhenUsed/>
    <w:qFormat/>
    <w:rsid w:val="000E368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630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01C"/>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D567F8"/>
    <w:pPr>
      <w:ind w:left="720"/>
      <w:contextualSpacing/>
    </w:pPr>
  </w:style>
  <w:style w:type="paragraph" w:customStyle="1" w:styleId="paragraph">
    <w:name w:val="paragraph"/>
    <w:basedOn w:val="Normal"/>
    <w:rsid w:val="00E213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1364"/>
  </w:style>
  <w:style w:type="character" w:customStyle="1" w:styleId="eop">
    <w:name w:val="eop"/>
    <w:basedOn w:val="DefaultParagraphFont"/>
    <w:rsid w:val="00E21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141074">
      <w:bodyDiv w:val="1"/>
      <w:marLeft w:val="0"/>
      <w:marRight w:val="0"/>
      <w:marTop w:val="0"/>
      <w:marBottom w:val="0"/>
      <w:divBdr>
        <w:top w:val="none" w:sz="0" w:space="0" w:color="auto"/>
        <w:left w:val="none" w:sz="0" w:space="0" w:color="auto"/>
        <w:bottom w:val="none" w:sz="0" w:space="0" w:color="auto"/>
        <w:right w:val="none" w:sz="0" w:space="0" w:color="auto"/>
      </w:divBdr>
      <w:divsChild>
        <w:div w:id="1818763579">
          <w:marLeft w:val="0"/>
          <w:marRight w:val="0"/>
          <w:marTop w:val="0"/>
          <w:marBottom w:val="0"/>
          <w:divBdr>
            <w:top w:val="none" w:sz="0" w:space="0" w:color="auto"/>
            <w:left w:val="none" w:sz="0" w:space="0" w:color="auto"/>
            <w:bottom w:val="none" w:sz="0" w:space="0" w:color="auto"/>
            <w:right w:val="none" w:sz="0" w:space="0" w:color="auto"/>
          </w:divBdr>
        </w:div>
        <w:div w:id="1915819523">
          <w:marLeft w:val="0"/>
          <w:marRight w:val="0"/>
          <w:marTop w:val="0"/>
          <w:marBottom w:val="0"/>
          <w:divBdr>
            <w:top w:val="none" w:sz="0" w:space="0" w:color="auto"/>
            <w:left w:val="none" w:sz="0" w:space="0" w:color="auto"/>
            <w:bottom w:val="none" w:sz="0" w:space="0" w:color="auto"/>
            <w:right w:val="none" w:sz="0" w:space="0" w:color="auto"/>
          </w:divBdr>
        </w:div>
        <w:div w:id="156312853">
          <w:marLeft w:val="0"/>
          <w:marRight w:val="0"/>
          <w:marTop w:val="0"/>
          <w:marBottom w:val="0"/>
          <w:divBdr>
            <w:top w:val="none" w:sz="0" w:space="0" w:color="auto"/>
            <w:left w:val="none" w:sz="0" w:space="0" w:color="auto"/>
            <w:bottom w:val="none" w:sz="0" w:space="0" w:color="auto"/>
            <w:right w:val="none" w:sz="0" w:space="0" w:color="auto"/>
          </w:divBdr>
        </w:div>
        <w:div w:id="508836088">
          <w:marLeft w:val="0"/>
          <w:marRight w:val="0"/>
          <w:marTop w:val="0"/>
          <w:marBottom w:val="0"/>
          <w:divBdr>
            <w:top w:val="none" w:sz="0" w:space="0" w:color="auto"/>
            <w:left w:val="none" w:sz="0" w:space="0" w:color="auto"/>
            <w:bottom w:val="none" w:sz="0" w:space="0" w:color="auto"/>
            <w:right w:val="none" w:sz="0" w:space="0" w:color="auto"/>
          </w:divBdr>
        </w:div>
        <w:div w:id="450901400">
          <w:marLeft w:val="0"/>
          <w:marRight w:val="0"/>
          <w:marTop w:val="0"/>
          <w:marBottom w:val="0"/>
          <w:divBdr>
            <w:top w:val="none" w:sz="0" w:space="0" w:color="auto"/>
            <w:left w:val="none" w:sz="0" w:space="0" w:color="auto"/>
            <w:bottom w:val="none" w:sz="0" w:space="0" w:color="auto"/>
            <w:right w:val="none" w:sz="0" w:space="0" w:color="auto"/>
          </w:divBdr>
        </w:div>
        <w:div w:id="832257478">
          <w:marLeft w:val="0"/>
          <w:marRight w:val="0"/>
          <w:marTop w:val="0"/>
          <w:marBottom w:val="0"/>
          <w:divBdr>
            <w:top w:val="none" w:sz="0" w:space="0" w:color="auto"/>
            <w:left w:val="none" w:sz="0" w:space="0" w:color="auto"/>
            <w:bottom w:val="none" w:sz="0" w:space="0" w:color="auto"/>
            <w:right w:val="none" w:sz="0" w:space="0" w:color="auto"/>
          </w:divBdr>
        </w:div>
        <w:div w:id="1702782072">
          <w:marLeft w:val="0"/>
          <w:marRight w:val="0"/>
          <w:marTop w:val="0"/>
          <w:marBottom w:val="0"/>
          <w:divBdr>
            <w:top w:val="none" w:sz="0" w:space="0" w:color="auto"/>
            <w:left w:val="none" w:sz="0" w:space="0" w:color="auto"/>
            <w:bottom w:val="none" w:sz="0" w:space="0" w:color="auto"/>
            <w:right w:val="none" w:sz="0" w:space="0" w:color="auto"/>
          </w:divBdr>
        </w:div>
        <w:div w:id="1758163013">
          <w:marLeft w:val="0"/>
          <w:marRight w:val="0"/>
          <w:marTop w:val="0"/>
          <w:marBottom w:val="0"/>
          <w:divBdr>
            <w:top w:val="none" w:sz="0" w:space="0" w:color="auto"/>
            <w:left w:val="none" w:sz="0" w:space="0" w:color="auto"/>
            <w:bottom w:val="none" w:sz="0" w:space="0" w:color="auto"/>
            <w:right w:val="none" w:sz="0" w:space="0" w:color="auto"/>
          </w:divBdr>
        </w:div>
        <w:div w:id="880434865">
          <w:marLeft w:val="0"/>
          <w:marRight w:val="0"/>
          <w:marTop w:val="0"/>
          <w:marBottom w:val="0"/>
          <w:divBdr>
            <w:top w:val="none" w:sz="0" w:space="0" w:color="auto"/>
            <w:left w:val="none" w:sz="0" w:space="0" w:color="auto"/>
            <w:bottom w:val="none" w:sz="0" w:space="0" w:color="auto"/>
            <w:right w:val="none" w:sz="0" w:space="0" w:color="auto"/>
          </w:divBdr>
        </w:div>
        <w:div w:id="1445421403">
          <w:marLeft w:val="0"/>
          <w:marRight w:val="0"/>
          <w:marTop w:val="0"/>
          <w:marBottom w:val="0"/>
          <w:divBdr>
            <w:top w:val="none" w:sz="0" w:space="0" w:color="auto"/>
            <w:left w:val="none" w:sz="0" w:space="0" w:color="auto"/>
            <w:bottom w:val="none" w:sz="0" w:space="0" w:color="auto"/>
            <w:right w:val="none" w:sz="0" w:space="0" w:color="auto"/>
          </w:divBdr>
        </w:div>
        <w:div w:id="1921140144">
          <w:marLeft w:val="0"/>
          <w:marRight w:val="0"/>
          <w:marTop w:val="0"/>
          <w:marBottom w:val="0"/>
          <w:divBdr>
            <w:top w:val="none" w:sz="0" w:space="0" w:color="auto"/>
            <w:left w:val="none" w:sz="0" w:space="0" w:color="auto"/>
            <w:bottom w:val="none" w:sz="0" w:space="0" w:color="auto"/>
            <w:right w:val="none" w:sz="0" w:space="0" w:color="auto"/>
          </w:divBdr>
        </w:div>
        <w:div w:id="205485805">
          <w:marLeft w:val="0"/>
          <w:marRight w:val="0"/>
          <w:marTop w:val="0"/>
          <w:marBottom w:val="0"/>
          <w:divBdr>
            <w:top w:val="none" w:sz="0" w:space="0" w:color="auto"/>
            <w:left w:val="none" w:sz="0" w:space="0" w:color="auto"/>
            <w:bottom w:val="none" w:sz="0" w:space="0" w:color="auto"/>
            <w:right w:val="none" w:sz="0" w:space="0" w:color="auto"/>
          </w:divBdr>
        </w:div>
        <w:div w:id="288627275">
          <w:marLeft w:val="0"/>
          <w:marRight w:val="0"/>
          <w:marTop w:val="0"/>
          <w:marBottom w:val="0"/>
          <w:divBdr>
            <w:top w:val="none" w:sz="0" w:space="0" w:color="auto"/>
            <w:left w:val="none" w:sz="0" w:space="0" w:color="auto"/>
            <w:bottom w:val="none" w:sz="0" w:space="0" w:color="auto"/>
            <w:right w:val="none" w:sz="0" w:space="0" w:color="auto"/>
          </w:divBdr>
        </w:div>
        <w:div w:id="778262708">
          <w:marLeft w:val="0"/>
          <w:marRight w:val="0"/>
          <w:marTop w:val="0"/>
          <w:marBottom w:val="0"/>
          <w:divBdr>
            <w:top w:val="none" w:sz="0" w:space="0" w:color="auto"/>
            <w:left w:val="none" w:sz="0" w:space="0" w:color="auto"/>
            <w:bottom w:val="none" w:sz="0" w:space="0" w:color="auto"/>
            <w:right w:val="none" w:sz="0" w:space="0" w:color="auto"/>
          </w:divBdr>
        </w:div>
        <w:div w:id="201597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searchbriefings.files.parliament.uk/documents/POST-PB-0049/POST-PB-004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a:t>
            </a:r>
            <a:r>
              <a:rPr lang="en-US" baseline="0"/>
              <a:t> Demographics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Gender</c:v>
                </c:pt>
                <c:pt idx="1">
                  <c:v>Age</c:v>
                </c:pt>
                <c:pt idx="2">
                  <c:v>Role</c:v>
                </c:pt>
                <c:pt idx="3">
                  <c:v>Years in Current Role</c:v>
                </c:pt>
                <c:pt idx="4">
                  <c:v>Responsibility</c:v>
                </c:pt>
                <c:pt idx="5">
                  <c:v>Employer</c:v>
                </c:pt>
              </c:strCache>
            </c:strRef>
          </c:cat>
          <c:val>
            <c:numRef>
              <c:f>Sheet1!$B$2:$B$7</c:f>
              <c:numCache>
                <c:formatCode>General</c:formatCode>
                <c:ptCount val="6"/>
                <c:pt idx="0">
                  <c:v>3</c:v>
                </c:pt>
                <c:pt idx="1">
                  <c:v>3</c:v>
                </c:pt>
                <c:pt idx="2">
                  <c:v>3</c:v>
                </c:pt>
                <c:pt idx="3">
                  <c:v>2</c:v>
                </c:pt>
                <c:pt idx="4">
                  <c:v>6</c:v>
                </c:pt>
                <c:pt idx="5">
                  <c:v>1</c:v>
                </c:pt>
              </c:numCache>
            </c:numRef>
          </c:val>
          <c:extLst>
            <c:ext xmlns:c16="http://schemas.microsoft.com/office/drawing/2014/chart" uri="{C3380CC4-5D6E-409C-BE32-E72D297353CC}">
              <c16:uniqueId val="{00000000-CDEE-4917-823E-FBC52543E12A}"/>
            </c:ext>
          </c:extLst>
        </c:ser>
        <c:ser>
          <c:idx val="1"/>
          <c:order val="1"/>
          <c:tx>
            <c:strRef>
              <c:f>Sheet1!$C$1</c:f>
              <c:strCache>
                <c:ptCount val="1"/>
                <c:pt idx="0">
                  <c:v>Series 2</c:v>
                </c:pt>
              </c:strCache>
            </c:strRef>
          </c:tx>
          <c:spPr>
            <a:solidFill>
              <a:schemeClr val="accent2"/>
            </a:solidFill>
            <a:ln>
              <a:noFill/>
            </a:ln>
            <a:effectLst/>
          </c:spPr>
          <c:invertIfNegative val="0"/>
          <c:cat>
            <c:strRef>
              <c:f>Sheet1!$A$2:$A$7</c:f>
              <c:strCache>
                <c:ptCount val="6"/>
                <c:pt idx="0">
                  <c:v>Gender</c:v>
                </c:pt>
                <c:pt idx="1">
                  <c:v>Age</c:v>
                </c:pt>
                <c:pt idx="2">
                  <c:v>Role</c:v>
                </c:pt>
                <c:pt idx="3">
                  <c:v>Years in Current Role</c:v>
                </c:pt>
                <c:pt idx="4">
                  <c:v>Responsibility</c:v>
                </c:pt>
                <c:pt idx="5">
                  <c:v>Employer</c:v>
                </c:pt>
              </c:strCache>
            </c:strRef>
          </c:cat>
          <c:val>
            <c:numRef>
              <c:f>Sheet1!$C$2:$C$7</c:f>
              <c:numCache>
                <c:formatCode>General</c:formatCode>
                <c:ptCount val="6"/>
                <c:pt idx="0">
                  <c:v>2</c:v>
                </c:pt>
                <c:pt idx="1">
                  <c:v>2</c:v>
                </c:pt>
                <c:pt idx="2">
                  <c:v>3</c:v>
                </c:pt>
                <c:pt idx="3">
                  <c:v>1</c:v>
                </c:pt>
                <c:pt idx="4">
                  <c:v>0</c:v>
                </c:pt>
                <c:pt idx="5">
                  <c:v>1</c:v>
                </c:pt>
              </c:numCache>
            </c:numRef>
          </c:val>
          <c:extLst>
            <c:ext xmlns:c16="http://schemas.microsoft.com/office/drawing/2014/chart" uri="{C3380CC4-5D6E-409C-BE32-E72D297353CC}">
              <c16:uniqueId val="{00000001-CDEE-4917-823E-FBC52543E12A}"/>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6"/>
                <c:pt idx="0">
                  <c:v>Gender</c:v>
                </c:pt>
                <c:pt idx="1">
                  <c:v>Age</c:v>
                </c:pt>
                <c:pt idx="2">
                  <c:v>Role</c:v>
                </c:pt>
                <c:pt idx="3">
                  <c:v>Years in Current Role</c:v>
                </c:pt>
                <c:pt idx="4">
                  <c:v>Responsibility</c:v>
                </c:pt>
                <c:pt idx="5">
                  <c:v>Employer</c:v>
                </c:pt>
              </c:strCache>
            </c:strRef>
          </c:cat>
          <c:val>
            <c:numRef>
              <c:f>Sheet1!$D$2:$D$7</c:f>
              <c:numCache>
                <c:formatCode>General</c:formatCode>
                <c:ptCount val="6"/>
                <c:pt idx="0">
                  <c:v>1</c:v>
                </c:pt>
                <c:pt idx="1">
                  <c:v>1</c:v>
                </c:pt>
                <c:pt idx="2">
                  <c:v>0</c:v>
                </c:pt>
                <c:pt idx="3">
                  <c:v>3</c:v>
                </c:pt>
                <c:pt idx="4">
                  <c:v>0</c:v>
                </c:pt>
                <c:pt idx="5">
                  <c:v>4</c:v>
                </c:pt>
              </c:numCache>
            </c:numRef>
          </c:val>
          <c:extLst>
            <c:ext xmlns:c16="http://schemas.microsoft.com/office/drawing/2014/chart" uri="{C3380CC4-5D6E-409C-BE32-E72D297353CC}">
              <c16:uniqueId val="{00000002-CDEE-4917-823E-FBC52543E12A}"/>
            </c:ext>
          </c:extLst>
        </c:ser>
        <c:dLbls>
          <c:showLegendKey val="0"/>
          <c:showVal val="0"/>
          <c:showCatName val="0"/>
          <c:showSerName val="0"/>
          <c:showPercent val="0"/>
          <c:showBubbleSize val="0"/>
        </c:dLbls>
        <c:gapWidth val="219"/>
        <c:overlap val="-27"/>
        <c:axId val="589933056"/>
        <c:axId val="589933384"/>
      </c:barChart>
      <c:catAx>
        <c:axId val="589933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933384"/>
        <c:crosses val="autoZero"/>
        <c:auto val="1"/>
        <c:lblAlgn val="ctr"/>
        <c:lblOffset val="100"/>
        <c:noMultiLvlLbl val="0"/>
      </c:catAx>
      <c:valAx>
        <c:axId val="589933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933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Work-Life Balance</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Sheet1!$A$2:$A$4</c:f>
              <c:numCache>
                <c:formatCode>General</c:formatCode>
                <c:ptCount val="3"/>
                <c:pt idx="0">
                  <c:v>4</c:v>
                </c:pt>
                <c:pt idx="1">
                  <c:v>6</c:v>
                </c:pt>
                <c:pt idx="2">
                  <c:v>7</c:v>
                </c:pt>
              </c:numCache>
            </c:numRef>
          </c:xVal>
          <c:yVal>
            <c:numRef>
              <c:f>Sheet1!$B$2:$B$4</c:f>
              <c:numCache>
                <c:formatCode>General</c:formatCode>
                <c:ptCount val="3"/>
                <c:pt idx="0">
                  <c:v>3</c:v>
                </c:pt>
                <c:pt idx="1">
                  <c:v>5</c:v>
                </c:pt>
                <c:pt idx="2">
                  <c:v>6</c:v>
                </c:pt>
              </c:numCache>
            </c:numRef>
          </c:yVal>
          <c:smooth val="0"/>
          <c:extLst>
            <c:ext xmlns:c16="http://schemas.microsoft.com/office/drawing/2014/chart" uri="{C3380CC4-5D6E-409C-BE32-E72D297353CC}">
              <c16:uniqueId val="{00000001-6F78-4FE2-B325-6ABB710022C8}"/>
            </c:ext>
          </c:extLst>
        </c:ser>
        <c:dLbls>
          <c:showLegendKey val="0"/>
          <c:showVal val="0"/>
          <c:showCatName val="0"/>
          <c:showSerName val="0"/>
          <c:showPercent val="0"/>
          <c:showBubbleSize val="0"/>
        </c:dLbls>
        <c:axId val="512968336"/>
        <c:axId val="512965384"/>
      </c:scatterChart>
      <c:valAx>
        <c:axId val="5129683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Job</a:t>
                </a:r>
                <a:r>
                  <a:rPr lang="en-US" baseline="0"/>
                  <a:t> Satisfaction</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965384"/>
        <c:crosses val="autoZero"/>
        <c:crossBetween val="midCat"/>
      </c:valAx>
      <c:valAx>
        <c:axId val="512965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Work-Life</a:t>
                </a:r>
                <a:r>
                  <a:rPr lang="en-US" baseline="0"/>
                  <a:t> Balance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968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Time Spend Studying/Week</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Sheet1!$A$2:$A$4</c:f>
              <c:numCache>
                <c:formatCode>General</c:formatCode>
                <c:ptCount val="3"/>
                <c:pt idx="0">
                  <c:v>4</c:v>
                </c:pt>
                <c:pt idx="1">
                  <c:v>6</c:v>
                </c:pt>
                <c:pt idx="2">
                  <c:v>7</c:v>
                </c:pt>
              </c:numCache>
            </c:numRef>
          </c:xVal>
          <c:yVal>
            <c:numRef>
              <c:f>Sheet1!$B$2:$B$4</c:f>
              <c:numCache>
                <c:formatCode>General</c:formatCode>
                <c:ptCount val="3"/>
                <c:pt idx="0">
                  <c:v>3</c:v>
                </c:pt>
                <c:pt idx="1">
                  <c:v>4</c:v>
                </c:pt>
                <c:pt idx="2">
                  <c:v>5</c:v>
                </c:pt>
              </c:numCache>
            </c:numRef>
          </c:yVal>
          <c:smooth val="0"/>
          <c:extLst>
            <c:ext xmlns:c16="http://schemas.microsoft.com/office/drawing/2014/chart" uri="{C3380CC4-5D6E-409C-BE32-E72D297353CC}">
              <c16:uniqueId val="{00000001-B950-42F1-A02D-12CEF44E2553}"/>
            </c:ext>
          </c:extLst>
        </c:ser>
        <c:dLbls>
          <c:showLegendKey val="0"/>
          <c:showVal val="0"/>
          <c:showCatName val="0"/>
          <c:showSerName val="0"/>
          <c:showPercent val="0"/>
          <c:showBubbleSize val="0"/>
        </c:dLbls>
        <c:axId val="436794824"/>
        <c:axId val="436796464"/>
      </c:scatterChart>
      <c:valAx>
        <c:axId val="436794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Job</a:t>
                </a:r>
                <a:r>
                  <a:rPr lang="en-US" baseline="0"/>
                  <a:t> Satisfaction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96464"/>
        <c:crosses val="autoZero"/>
        <c:crossBetween val="midCat"/>
      </c:valAx>
      <c:valAx>
        <c:axId val="436796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sz="1000" b="0" i="0" baseline="0">
                    <a:effectLst/>
                  </a:rPr>
                  <a:t>Time Spend Studying/Week</a:t>
                </a:r>
                <a:endParaRPr lang="en-KE"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1000" baseline="0"/>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94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Sheet1!$A$2:$A$4</c:f>
              <c:numCache>
                <c:formatCode>General</c:formatCode>
                <c:ptCount val="3"/>
                <c:pt idx="0">
                  <c:v>3</c:v>
                </c:pt>
                <c:pt idx="1">
                  <c:v>5</c:v>
                </c:pt>
                <c:pt idx="2">
                  <c:v>6</c:v>
                </c:pt>
              </c:numCache>
            </c:numRef>
          </c:xVal>
          <c:yVal>
            <c:numRef>
              <c:f>Sheet1!$B$2:$B$4</c:f>
              <c:numCache>
                <c:formatCode>General</c:formatCode>
                <c:ptCount val="3"/>
                <c:pt idx="0">
                  <c:v>3</c:v>
                </c:pt>
                <c:pt idx="1">
                  <c:v>4</c:v>
                </c:pt>
                <c:pt idx="2">
                  <c:v>5</c:v>
                </c:pt>
              </c:numCache>
            </c:numRef>
          </c:yVal>
          <c:smooth val="0"/>
          <c:extLst>
            <c:ext xmlns:c16="http://schemas.microsoft.com/office/drawing/2014/chart" uri="{C3380CC4-5D6E-409C-BE32-E72D297353CC}">
              <c16:uniqueId val="{00000001-3B5E-4D86-8F8E-7747C9B58DE5}"/>
            </c:ext>
          </c:extLst>
        </c:ser>
        <c:dLbls>
          <c:showLegendKey val="0"/>
          <c:showVal val="0"/>
          <c:showCatName val="0"/>
          <c:showSerName val="0"/>
          <c:showPercent val="0"/>
          <c:showBubbleSize val="0"/>
        </c:dLbls>
        <c:axId val="517964336"/>
        <c:axId val="517964664"/>
      </c:scatterChart>
      <c:valAx>
        <c:axId val="517964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Work-Life</a:t>
                </a:r>
                <a:r>
                  <a:rPr lang="en-US" baseline="0"/>
                  <a:t> Balance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64664"/>
        <c:crosses val="autoZero"/>
        <c:crossBetween val="midCat"/>
      </c:valAx>
      <c:valAx>
        <c:axId val="517964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sz="1000" b="0" i="0" baseline="0">
                    <a:effectLst/>
                  </a:rPr>
                  <a:t>Time Spend Studying/Week</a:t>
                </a:r>
                <a:endParaRPr lang="en-KE"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1000"/>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64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Sheet1!$A$2:$A$4</c:f>
              <c:numCache>
                <c:formatCode>General</c:formatCode>
                <c:ptCount val="3"/>
                <c:pt idx="0">
                  <c:v>6</c:v>
                </c:pt>
                <c:pt idx="1">
                  <c:v>7</c:v>
                </c:pt>
                <c:pt idx="2">
                  <c:v>6</c:v>
                </c:pt>
              </c:numCache>
            </c:numRef>
          </c:xVal>
          <c:yVal>
            <c:numRef>
              <c:f>Sheet1!$B$2:$B$4</c:f>
              <c:numCache>
                <c:formatCode>General</c:formatCode>
                <c:ptCount val="3"/>
                <c:pt idx="0">
                  <c:v>5</c:v>
                </c:pt>
                <c:pt idx="1">
                  <c:v>6</c:v>
                </c:pt>
                <c:pt idx="2">
                  <c:v>5</c:v>
                </c:pt>
              </c:numCache>
            </c:numRef>
          </c:yVal>
          <c:smooth val="0"/>
          <c:extLst>
            <c:ext xmlns:c16="http://schemas.microsoft.com/office/drawing/2014/chart" uri="{C3380CC4-5D6E-409C-BE32-E72D297353CC}">
              <c16:uniqueId val="{00000001-604E-4BB6-81CD-889593320416}"/>
            </c:ext>
          </c:extLst>
        </c:ser>
        <c:dLbls>
          <c:showLegendKey val="0"/>
          <c:showVal val="0"/>
          <c:showCatName val="0"/>
          <c:showSerName val="0"/>
          <c:showPercent val="0"/>
          <c:showBubbleSize val="0"/>
        </c:dLbls>
        <c:axId val="517978440"/>
        <c:axId val="517983688"/>
      </c:scatterChart>
      <c:valAx>
        <c:axId val="517978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Job</a:t>
                </a:r>
                <a:r>
                  <a:rPr lang="en-US" baseline="0"/>
                  <a:t> Satisfaction</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83688"/>
        <c:crosses val="autoZero"/>
        <c:crossBetween val="midCat"/>
      </c:valAx>
      <c:valAx>
        <c:axId val="517983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Work-Life</a:t>
                </a:r>
                <a:r>
                  <a:rPr lang="en-US" baseline="0"/>
                  <a:t> Balance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78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Sheet1!$A$2:$A$4</c:f>
              <c:numCache>
                <c:formatCode>General</c:formatCode>
                <c:ptCount val="3"/>
                <c:pt idx="0">
                  <c:v>7</c:v>
                </c:pt>
                <c:pt idx="1">
                  <c:v>7</c:v>
                </c:pt>
                <c:pt idx="2">
                  <c:v>6</c:v>
                </c:pt>
              </c:numCache>
            </c:numRef>
          </c:xVal>
          <c:yVal>
            <c:numRef>
              <c:f>Sheet1!$B$2:$B$4</c:f>
              <c:numCache>
                <c:formatCode>General</c:formatCode>
                <c:ptCount val="3"/>
                <c:pt idx="0">
                  <c:v>8</c:v>
                </c:pt>
                <c:pt idx="1">
                  <c:v>8</c:v>
                </c:pt>
                <c:pt idx="2">
                  <c:v>5</c:v>
                </c:pt>
              </c:numCache>
            </c:numRef>
          </c:yVal>
          <c:smooth val="0"/>
          <c:extLst>
            <c:ext xmlns:c16="http://schemas.microsoft.com/office/drawing/2014/chart" uri="{C3380CC4-5D6E-409C-BE32-E72D297353CC}">
              <c16:uniqueId val="{00000001-1EC4-448D-9098-737FC4BE8698}"/>
            </c:ext>
          </c:extLst>
        </c:ser>
        <c:dLbls>
          <c:showLegendKey val="0"/>
          <c:showVal val="0"/>
          <c:showCatName val="0"/>
          <c:showSerName val="0"/>
          <c:showPercent val="0"/>
          <c:showBubbleSize val="0"/>
        </c:dLbls>
        <c:axId val="517992872"/>
        <c:axId val="517988608"/>
      </c:scatterChart>
      <c:valAx>
        <c:axId val="517992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Job</a:t>
                </a:r>
                <a:r>
                  <a:rPr lang="en-US" baseline="0"/>
                  <a:t> Satisfaction</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88608"/>
        <c:crosses val="autoZero"/>
        <c:crossBetween val="midCat"/>
      </c:valAx>
      <c:valAx>
        <c:axId val="517988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r>
                  <a:rPr lang="en-US" baseline="0"/>
                  <a:t> on the Role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9928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Sheet1!$A$2:$A$4</c:f>
              <c:numCache>
                <c:formatCode>General</c:formatCode>
                <c:ptCount val="3"/>
                <c:pt idx="0">
                  <c:v>6</c:v>
                </c:pt>
                <c:pt idx="1">
                  <c:v>6</c:v>
                </c:pt>
                <c:pt idx="2">
                  <c:v>5</c:v>
                </c:pt>
              </c:numCache>
            </c:numRef>
          </c:xVal>
          <c:yVal>
            <c:numRef>
              <c:f>Sheet1!$B$2:$B$4</c:f>
              <c:numCache>
                <c:formatCode>General</c:formatCode>
                <c:ptCount val="3"/>
                <c:pt idx="0">
                  <c:v>8</c:v>
                </c:pt>
                <c:pt idx="1">
                  <c:v>8</c:v>
                </c:pt>
                <c:pt idx="2">
                  <c:v>5</c:v>
                </c:pt>
              </c:numCache>
            </c:numRef>
          </c:yVal>
          <c:smooth val="0"/>
          <c:extLst>
            <c:ext xmlns:c16="http://schemas.microsoft.com/office/drawing/2014/chart" uri="{C3380CC4-5D6E-409C-BE32-E72D297353CC}">
              <c16:uniqueId val="{00000001-E793-4F90-9967-163D6676B1C3}"/>
            </c:ext>
          </c:extLst>
        </c:ser>
        <c:dLbls>
          <c:showLegendKey val="0"/>
          <c:showVal val="0"/>
          <c:showCatName val="0"/>
          <c:showSerName val="0"/>
          <c:showPercent val="0"/>
          <c:showBubbleSize val="0"/>
        </c:dLbls>
        <c:axId val="436795152"/>
        <c:axId val="436795480"/>
      </c:scatterChart>
      <c:valAx>
        <c:axId val="436795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Work-Life</a:t>
                </a:r>
                <a:r>
                  <a:rPr lang="en-US" baseline="0"/>
                  <a:t> Balance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95480"/>
        <c:crosses val="autoZero"/>
        <c:crossBetween val="midCat"/>
      </c:valAx>
      <c:valAx>
        <c:axId val="436795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r>
                  <a:rPr lang="en-US" baseline="0"/>
                  <a:t> on  the Role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951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8178</Words>
  <Characters>46616</Characters>
  <Application>Microsoft Office Word</Application>
  <DocSecurity>0</DocSecurity>
  <Lines>388</Lines>
  <Paragraphs>109</Paragraphs>
  <ScaleCrop>false</ScaleCrop>
  <Company/>
  <LinksUpToDate>false</LinksUpToDate>
  <CharactersWithSpaces>54685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2024-04-28T19:53:00Z</dcterms:created>
  <dcterms:modified xsi:type="dcterms:W3CDTF">2024-04-28T19:53:00Z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7719ae35eae2c317239908d35a502636e64d04ece8f23ce977082bb92c0b17b8</vt:lpwstr>
  </property>
</Properties>
</file>