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7CFC4B" w14:textId="77777777" w:rsidR="001A7B69" w:rsidRDefault="001A7B69" w:rsidP="003F331D">
      <w:pPr>
        <w:rPr>
          <w:rStyle w:val="Strong"/>
          <w:rFonts w:cs="Times New Roman"/>
          <w:b w:val="0"/>
          <w:color w:val="131313"/>
          <w:sz w:val="23"/>
          <w:szCs w:val="23"/>
          <w:bdr w:val="none" w:sz="0" w:space="0" w:color="auto" w:frame="1"/>
          <w:shd w:val="clear" w:color="auto" w:fill="FFFFFF"/>
        </w:rPr>
      </w:pPr>
    </w:p>
    <w:p w14:paraId="2E310DAC" w14:textId="344C9ADD" w:rsidR="003F331D" w:rsidRDefault="001A7B69" w:rsidP="00446640">
      <w:pPr>
        <w:ind w:left="0" w:right="0" w:firstLine="0"/>
        <w:rPr>
          <w:rStyle w:val="Strong"/>
          <w:rFonts w:cs="Times New Roman"/>
          <w:b w:val="0"/>
          <w:color w:val="131313"/>
          <w:sz w:val="23"/>
          <w:szCs w:val="23"/>
          <w:bdr w:val="none" w:sz="0" w:space="0" w:color="auto" w:frame="1"/>
          <w:shd w:val="clear" w:color="auto" w:fill="FFFFFF"/>
        </w:rPr>
      </w:pPr>
      <w:r w:rsidRPr="001A7B69">
        <w:rPr>
          <w:rStyle w:val="Strong"/>
          <w:rFonts w:cs="Times New Roman"/>
          <w:b w:val="0"/>
          <w:color w:val="131313"/>
          <w:sz w:val="23"/>
          <w:szCs w:val="23"/>
          <w:bdr w:val="none" w:sz="0" w:space="0" w:color="auto" w:frame="1"/>
          <w:shd w:val="clear" w:color="auto" w:fill="FFFFFF"/>
        </w:rPr>
        <w:t>, </w:t>
      </w:r>
    </w:p>
    <w:p w14:paraId="22FF4A11" w14:textId="77777777" w:rsidR="003F331D" w:rsidRDefault="003F331D" w:rsidP="003F331D">
      <w:pPr>
        <w:ind w:right="0"/>
        <w:jc w:val="center"/>
        <w:rPr>
          <w:rStyle w:val="Strong"/>
          <w:rFonts w:cs="Times New Roman"/>
          <w:b w:val="0"/>
          <w:color w:val="131313"/>
          <w:sz w:val="23"/>
          <w:szCs w:val="23"/>
          <w:bdr w:val="none" w:sz="0" w:space="0" w:color="auto" w:frame="1"/>
          <w:shd w:val="clear" w:color="auto" w:fill="FFFFFF"/>
        </w:rPr>
      </w:pPr>
    </w:p>
    <w:p w14:paraId="1A24001C" w14:textId="02B3E297" w:rsidR="003F331D" w:rsidRPr="003F331D" w:rsidRDefault="003F331D" w:rsidP="003F331D">
      <w:pPr>
        <w:spacing w:after="160" w:line="259" w:lineRule="auto"/>
        <w:ind w:left="0" w:right="0" w:firstLine="0"/>
        <w:jc w:val="left"/>
        <w:rPr>
          <w:rStyle w:val="Strong"/>
          <w:rFonts w:cs="Times New Roman"/>
          <w:b w:val="0"/>
          <w:color w:val="131313"/>
          <w:sz w:val="36"/>
          <w:szCs w:val="36"/>
          <w:bdr w:val="none" w:sz="0" w:space="0" w:color="auto" w:frame="1"/>
          <w:shd w:val="clear" w:color="auto" w:fill="FFFFFF"/>
        </w:rPr>
      </w:pPr>
      <w:r w:rsidRPr="003F331D">
        <w:rPr>
          <w:rStyle w:val="Strong"/>
          <w:rFonts w:cs="Times New Roman"/>
          <w:color w:val="131313"/>
          <w:sz w:val="36"/>
          <w:szCs w:val="36"/>
          <w:bdr w:val="none" w:sz="0" w:space="0" w:color="auto" w:frame="1"/>
          <w:shd w:val="clear" w:color="auto" w:fill="FFFFFF"/>
        </w:rPr>
        <w:t>Course Title:</w:t>
      </w:r>
      <w:r w:rsidRPr="003F331D">
        <w:rPr>
          <w:rStyle w:val="Strong"/>
          <w:rFonts w:cs="Times New Roman"/>
          <w:b w:val="0"/>
          <w:color w:val="131313"/>
          <w:sz w:val="36"/>
          <w:szCs w:val="36"/>
          <w:bdr w:val="none" w:sz="0" w:space="0" w:color="auto" w:frame="1"/>
          <w:shd w:val="clear" w:color="auto" w:fill="FFFFFF"/>
        </w:rPr>
        <w:t xml:space="preserve"> </w:t>
      </w:r>
      <w:r>
        <w:rPr>
          <w:rStyle w:val="Strong"/>
          <w:rFonts w:cs="Times New Roman"/>
          <w:b w:val="0"/>
          <w:color w:val="131313"/>
          <w:sz w:val="36"/>
          <w:szCs w:val="36"/>
          <w:bdr w:val="none" w:sz="0" w:space="0" w:color="auto" w:frame="1"/>
          <w:shd w:val="clear" w:color="auto" w:fill="FFFFFF"/>
        </w:rPr>
        <w:t xml:space="preserve">Living with Care - </w:t>
      </w:r>
      <w:r w:rsidRPr="003F331D">
        <w:rPr>
          <w:rStyle w:val="Strong"/>
          <w:rFonts w:cs="Times New Roman"/>
          <w:b w:val="0"/>
          <w:color w:val="131313"/>
          <w:sz w:val="36"/>
          <w:szCs w:val="36"/>
          <w:bdr w:val="none" w:sz="0" w:space="0" w:color="auto" w:frame="1"/>
          <w:shd w:val="clear" w:color="auto" w:fill="FFFFFF"/>
        </w:rPr>
        <w:t>The Older Person</w:t>
      </w:r>
    </w:p>
    <w:p w14:paraId="7224E08D" w14:textId="5D66D6CA" w:rsidR="003F331D" w:rsidRPr="003F331D" w:rsidRDefault="003F331D" w:rsidP="003F331D">
      <w:pPr>
        <w:spacing w:after="160" w:line="259" w:lineRule="auto"/>
        <w:ind w:left="0" w:right="0" w:firstLine="0"/>
        <w:jc w:val="left"/>
        <w:rPr>
          <w:rStyle w:val="Strong"/>
          <w:rFonts w:cs="Times New Roman"/>
          <w:b w:val="0"/>
          <w:color w:val="131313"/>
          <w:sz w:val="36"/>
          <w:szCs w:val="36"/>
          <w:bdr w:val="none" w:sz="0" w:space="0" w:color="auto" w:frame="1"/>
          <w:shd w:val="clear" w:color="auto" w:fill="FFFFFF"/>
        </w:rPr>
      </w:pPr>
      <w:r w:rsidRPr="003F331D">
        <w:rPr>
          <w:rStyle w:val="Strong"/>
          <w:rFonts w:cs="Times New Roman"/>
          <w:color w:val="131313"/>
          <w:sz w:val="36"/>
          <w:szCs w:val="36"/>
          <w:bdr w:val="none" w:sz="0" w:space="0" w:color="auto" w:frame="1"/>
          <w:shd w:val="clear" w:color="auto" w:fill="FFFFFF"/>
        </w:rPr>
        <w:t>Course Code:</w:t>
      </w:r>
      <w:r w:rsidRPr="003F331D">
        <w:rPr>
          <w:rStyle w:val="Strong"/>
          <w:rFonts w:cs="Times New Roman"/>
          <w:b w:val="0"/>
          <w:color w:val="131313"/>
          <w:sz w:val="36"/>
          <w:szCs w:val="36"/>
          <w:bdr w:val="none" w:sz="0" w:space="0" w:color="auto" w:frame="1"/>
          <w:shd w:val="clear" w:color="auto" w:fill="FFFFFF"/>
        </w:rPr>
        <w:t xml:space="preserve"> BMHP6009_BIRM</w:t>
      </w:r>
    </w:p>
    <w:p w14:paraId="0BC76BC6" w14:textId="76DBC1C1" w:rsidR="003F331D" w:rsidRPr="003F331D" w:rsidRDefault="003F331D" w:rsidP="003F331D">
      <w:pPr>
        <w:spacing w:after="160" w:line="259" w:lineRule="auto"/>
        <w:ind w:left="0" w:right="0" w:firstLine="0"/>
        <w:jc w:val="left"/>
        <w:rPr>
          <w:rStyle w:val="Strong"/>
          <w:rFonts w:cs="Times New Roman"/>
          <w:b w:val="0"/>
          <w:color w:val="131313"/>
          <w:sz w:val="36"/>
          <w:szCs w:val="36"/>
          <w:bdr w:val="none" w:sz="0" w:space="0" w:color="auto" w:frame="1"/>
          <w:shd w:val="clear" w:color="auto" w:fill="FFFFFF"/>
        </w:rPr>
      </w:pPr>
      <w:r w:rsidRPr="003F331D">
        <w:rPr>
          <w:rStyle w:val="Strong"/>
          <w:rFonts w:cs="Times New Roman"/>
          <w:color w:val="131313"/>
          <w:sz w:val="36"/>
          <w:szCs w:val="36"/>
          <w:bdr w:val="none" w:sz="0" w:space="0" w:color="auto" w:frame="1"/>
          <w:shd w:val="clear" w:color="auto" w:fill="FFFFFF"/>
        </w:rPr>
        <w:t>Assignment title:</w:t>
      </w:r>
      <w:r w:rsidRPr="003F331D">
        <w:rPr>
          <w:rStyle w:val="Strong"/>
          <w:rFonts w:cs="Times New Roman"/>
          <w:b w:val="0"/>
          <w:color w:val="131313"/>
          <w:sz w:val="36"/>
          <w:szCs w:val="36"/>
          <w:bdr w:val="none" w:sz="0" w:space="0" w:color="auto" w:frame="1"/>
          <w:shd w:val="clear" w:color="auto" w:fill="FFFFFF"/>
        </w:rPr>
        <w:t xml:space="preserve"> Component 2 - Essay</w:t>
      </w:r>
    </w:p>
    <w:p w14:paraId="7C7E49CB" w14:textId="7D59CFE9" w:rsidR="003F331D" w:rsidRPr="003F331D" w:rsidRDefault="003F331D" w:rsidP="003F331D">
      <w:pPr>
        <w:spacing w:after="160" w:line="259" w:lineRule="auto"/>
        <w:ind w:left="0" w:right="0" w:firstLine="0"/>
        <w:jc w:val="left"/>
        <w:rPr>
          <w:rStyle w:val="Strong"/>
          <w:rFonts w:cs="Times New Roman"/>
          <w:b w:val="0"/>
          <w:color w:val="131313"/>
          <w:sz w:val="36"/>
          <w:szCs w:val="36"/>
          <w:bdr w:val="none" w:sz="0" w:space="0" w:color="auto" w:frame="1"/>
          <w:shd w:val="clear" w:color="auto" w:fill="FFFFFF"/>
        </w:rPr>
      </w:pPr>
      <w:r w:rsidRPr="003F331D">
        <w:rPr>
          <w:rStyle w:val="Strong"/>
          <w:rFonts w:cs="Times New Roman"/>
          <w:color w:val="131313"/>
          <w:sz w:val="36"/>
          <w:szCs w:val="36"/>
          <w:bdr w:val="none" w:sz="0" w:space="0" w:color="auto" w:frame="1"/>
          <w:shd w:val="clear" w:color="auto" w:fill="FFFFFF"/>
        </w:rPr>
        <w:t>Lecturer:</w:t>
      </w:r>
      <w:r w:rsidRPr="003F331D">
        <w:rPr>
          <w:rStyle w:val="Strong"/>
          <w:rFonts w:cs="Times New Roman"/>
          <w:b w:val="0"/>
          <w:color w:val="131313"/>
          <w:sz w:val="36"/>
          <w:szCs w:val="36"/>
          <w:bdr w:val="none" w:sz="0" w:space="0" w:color="auto" w:frame="1"/>
          <w:shd w:val="clear" w:color="auto" w:fill="FFFFFF"/>
        </w:rPr>
        <w:t xml:space="preserve"> </w:t>
      </w:r>
      <w:proofErr w:type="gramStart"/>
      <w:r w:rsidRPr="003F331D">
        <w:rPr>
          <w:rStyle w:val="Strong"/>
          <w:rFonts w:cs="Times New Roman"/>
          <w:b w:val="0"/>
          <w:color w:val="131313"/>
          <w:sz w:val="36"/>
          <w:szCs w:val="36"/>
          <w:bdr w:val="none" w:sz="0" w:space="0" w:color="auto" w:frame="1"/>
          <w:shd w:val="clear" w:color="auto" w:fill="FFFFFF"/>
        </w:rPr>
        <w:t>Joanne  Davies</w:t>
      </w:r>
      <w:proofErr w:type="gramEnd"/>
    </w:p>
    <w:p w14:paraId="13E1D9CC" w14:textId="77777777" w:rsidR="003F331D" w:rsidRPr="003F331D" w:rsidRDefault="003F331D" w:rsidP="003F331D">
      <w:pPr>
        <w:spacing w:after="160" w:line="259" w:lineRule="auto"/>
        <w:ind w:left="0" w:right="0" w:firstLine="0"/>
        <w:jc w:val="left"/>
        <w:rPr>
          <w:rStyle w:val="Strong"/>
          <w:rFonts w:cs="Times New Roman"/>
          <w:b w:val="0"/>
          <w:color w:val="131313"/>
          <w:sz w:val="36"/>
          <w:szCs w:val="36"/>
          <w:bdr w:val="none" w:sz="0" w:space="0" w:color="auto" w:frame="1"/>
          <w:shd w:val="clear" w:color="auto" w:fill="FFFFFF"/>
        </w:rPr>
      </w:pPr>
      <w:r w:rsidRPr="003F331D">
        <w:rPr>
          <w:rStyle w:val="Strong"/>
          <w:rFonts w:cs="Times New Roman"/>
          <w:color w:val="131313"/>
          <w:sz w:val="36"/>
          <w:szCs w:val="36"/>
          <w:bdr w:val="none" w:sz="0" w:space="0" w:color="auto" w:frame="1"/>
          <w:shd w:val="clear" w:color="auto" w:fill="FFFFFF"/>
        </w:rPr>
        <w:t>Student name:</w:t>
      </w:r>
      <w:r w:rsidRPr="003F331D">
        <w:rPr>
          <w:rStyle w:val="Strong"/>
          <w:rFonts w:cs="Times New Roman"/>
          <w:b w:val="0"/>
          <w:color w:val="131313"/>
          <w:sz w:val="36"/>
          <w:szCs w:val="36"/>
          <w:bdr w:val="none" w:sz="0" w:space="0" w:color="auto" w:frame="1"/>
          <w:shd w:val="clear" w:color="auto" w:fill="FFFFFF"/>
        </w:rPr>
        <w:t xml:space="preserve"> </w:t>
      </w:r>
      <w:proofErr w:type="spellStart"/>
      <w:r w:rsidRPr="003F331D">
        <w:rPr>
          <w:rStyle w:val="Strong"/>
          <w:rFonts w:cs="Times New Roman"/>
          <w:b w:val="0"/>
          <w:color w:val="131313"/>
          <w:sz w:val="36"/>
          <w:szCs w:val="36"/>
          <w:bdr w:val="none" w:sz="0" w:space="0" w:color="auto" w:frame="1"/>
          <w:shd w:val="clear" w:color="auto" w:fill="FFFFFF"/>
        </w:rPr>
        <w:t>Zainab</w:t>
      </w:r>
      <w:proofErr w:type="spellEnd"/>
      <w:r w:rsidRPr="003F331D">
        <w:rPr>
          <w:rStyle w:val="Strong"/>
          <w:rFonts w:cs="Times New Roman"/>
          <w:b w:val="0"/>
          <w:color w:val="131313"/>
          <w:sz w:val="36"/>
          <w:szCs w:val="36"/>
          <w:bdr w:val="none" w:sz="0" w:space="0" w:color="auto" w:frame="1"/>
          <w:shd w:val="clear" w:color="auto" w:fill="FFFFFF"/>
        </w:rPr>
        <w:t xml:space="preserve"> Omer Hassan</w:t>
      </w:r>
    </w:p>
    <w:p w14:paraId="212E83BF" w14:textId="2264A97B" w:rsidR="001A7B69" w:rsidRPr="003F331D" w:rsidRDefault="003F331D" w:rsidP="003F331D">
      <w:pPr>
        <w:spacing w:after="160" w:line="259" w:lineRule="auto"/>
        <w:ind w:left="0" w:right="0" w:firstLine="0"/>
        <w:jc w:val="left"/>
        <w:rPr>
          <w:rStyle w:val="Strong"/>
          <w:rFonts w:cs="Times New Roman"/>
          <w:b w:val="0"/>
          <w:color w:val="131313"/>
          <w:sz w:val="36"/>
          <w:szCs w:val="36"/>
          <w:bdr w:val="none" w:sz="0" w:space="0" w:color="auto" w:frame="1"/>
          <w:shd w:val="clear" w:color="auto" w:fill="FFFFFF"/>
        </w:rPr>
      </w:pPr>
      <w:r w:rsidRPr="003F331D">
        <w:rPr>
          <w:rStyle w:val="Strong"/>
          <w:rFonts w:cs="Times New Roman"/>
          <w:color w:val="131313"/>
          <w:sz w:val="36"/>
          <w:szCs w:val="36"/>
          <w:bdr w:val="none" w:sz="0" w:space="0" w:color="auto" w:frame="1"/>
          <w:shd w:val="clear" w:color="auto" w:fill="FFFFFF"/>
        </w:rPr>
        <w:t>Student ID Nr:</w:t>
      </w:r>
      <w:r w:rsidRPr="003F331D">
        <w:rPr>
          <w:rStyle w:val="Strong"/>
          <w:rFonts w:cs="Times New Roman"/>
          <w:b w:val="0"/>
          <w:color w:val="131313"/>
          <w:sz w:val="36"/>
          <w:szCs w:val="36"/>
          <w:bdr w:val="none" w:sz="0" w:space="0" w:color="auto" w:frame="1"/>
          <w:shd w:val="clear" w:color="auto" w:fill="FFFFFF"/>
        </w:rPr>
        <w:t xml:space="preserve"> 1921653</w:t>
      </w:r>
    </w:p>
    <w:p w14:paraId="36C92B3E" w14:textId="77777777" w:rsidR="003F331D" w:rsidRDefault="003F331D" w:rsidP="003F331D">
      <w:pPr>
        <w:spacing w:after="160" w:line="259" w:lineRule="auto"/>
        <w:ind w:left="0" w:right="0" w:firstLine="0"/>
        <w:jc w:val="left"/>
        <w:rPr>
          <w:rStyle w:val="Strong"/>
          <w:rFonts w:cs="Times New Roman"/>
          <w:b w:val="0"/>
          <w:color w:val="131313"/>
          <w:sz w:val="23"/>
          <w:szCs w:val="23"/>
          <w:bdr w:val="none" w:sz="0" w:space="0" w:color="auto" w:frame="1"/>
          <w:shd w:val="clear" w:color="auto" w:fill="FFFFFF"/>
        </w:rPr>
      </w:pPr>
    </w:p>
    <w:p w14:paraId="5E8CC4C9" w14:textId="77777777" w:rsidR="003F331D" w:rsidRDefault="003F331D" w:rsidP="003F331D">
      <w:pPr>
        <w:spacing w:after="160" w:line="259" w:lineRule="auto"/>
        <w:ind w:left="0" w:right="0" w:firstLine="0"/>
        <w:jc w:val="left"/>
        <w:rPr>
          <w:rStyle w:val="Strong"/>
          <w:rFonts w:cs="Times New Roman"/>
          <w:b w:val="0"/>
          <w:color w:val="131313"/>
          <w:sz w:val="23"/>
          <w:szCs w:val="23"/>
          <w:bdr w:val="none" w:sz="0" w:space="0" w:color="auto" w:frame="1"/>
          <w:shd w:val="clear" w:color="auto" w:fill="FFFFFF"/>
        </w:rPr>
      </w:pPr>
    </w:p>
    <w:p w14:paraId="59663600" w14:textId="77777777" w:rsidR="003F331D" w:rsidRDefault="003F331D" w:rsidP="003F331D">
      <w:pPr>
        <w:spacing w:after="160" w:line="259" w:lineRule="auto"/>
        <w:ind w:left="0" w:right="0" w:firstLine="0"/>
        <w:jc w:val="left"/>
        <w:rPr>
          <w:rStyle w:val="Strong"/>
          <w:rFonts w:cs="Times New Roman"/>
          <w:b w:val="0"/>
          <w:color w:val="131313"/>
          <w:sz w:val="23"/>
          <w:szCs w:val="23"/>
          <w:bdr w:val="none" w:sz="0" w:space="0" w:color="auto" w:frame="1"/>
          <w:shd w:val="clear" w:color="auto" w:fill="FFFFFF"/>
        </w:rPr>
      </w:pPr>
    </w:p>
    <w:p w14:paraId="413275D1" w14:textId="77777777" w:rsidR="003F331D" w:rsidRDefault="003F331D" w:rsidP="003F331D">
      <w:pPr>
        <w:spacing w:after="160" w:line="259" w:lineRule="auto"/>
        <w:ind w:left="0" w:right="0" w:firstLine="0"/>
        <w:jc w:val="left"/>
        <w:rPr>
          <w:rStyle w:val="Strong"/>
          <w:rFonts w:cs="Times New Roman"/>
          <w:b w:val="0"/>
          <w:color w:val="131313"/>
          <w:sz w:val="23"/>
          <w:szCs w:val="23"/>
          <w:bdr w:val="none" w:sz="0" w:space="0" w:color="auto" w:frame="1"/>
          <w:shd w:val="clear" w:color="auto" w:fill="FFFFFF"/>
        </w:rPr>
      </w:pPr>
    </w:p>
    <w:p w14:paraId="7C0CC22A" w14:textId="01941D29" w:rsidR="00D20918" w:rsidRDefault="00D20918" w:rsidP="00D20918">
      <w:pPr>
        <w:pStyle w:val="TOCHeading"/>
        <w:rPr>
          <w:rStyle w:val="Strong"/>
          <w:rFonts w:ascii="Times New Roman" w:eastAsia="Palatino Linotype" w:hAnsi="Times New Roman" w:cs="Times New Roman"/>
          <w:b w:val="0"/>
          <w:color w:val="131313"/>
          <w:sz w:val="23"/>
          <w:szCs w:val="23"/>
          <w:bdr w:val="none" w:sz="0" w:space="0" w:color="auto" w:frame="1"/>
          <w:shd w:val="clear" w:color="auto" w:fill="FFFFFF"/>
          <w:lang w:val="en-GB" w:eastAsia="en-GB"/>
        </w:rPr>
      </w:pPr>
      <w:bookmarkStart w:id="0" w:name="_Toc117090608"/>
    </w:p>
    <w:p w14:paraId="7798064F" w14:textId="77777777" w:rsidR="00446640" w:rsidRDefault="00446640" w:rsidP="00446640"/>
    <w:p w14:paraId="1E37092D" w14:textId="77777777" w:rsidR="00446640" w:rsidRDefault="00446640" w:rsidP="00446640"/>
    <w:p w14:paraId="4067BC38" w14:textId="77777777" w:rsidR="00446640" w:rsidRDefault="00446640" w:rsidP="00446640"/>
    <w:p w14:paraId="66AC8503" w14:textId="77777777" w:rsidR="00446640" w:rsidRDefault="00446640" w:rsidP="00446640"/>
    <w:p w14:paraId="0377A7AC" w14:textId="77777777" w:rsidR="00446640" w:rsidRDefault="00446640" w:rsidP="00446640"/>
    <w:p w14:paraId="20683453" w14:textId="77777777" w:rsidR="00446640" w:rsidRDefault="00446640" w:rsidP="00446640"/>
    <w:p w14:paraId="58AC0887" w14:textId="77777777" w:rsidR="00446640" w:rsidRDefault="00446640" w:rsidP="00446640"/>
    <w:p w14:paraId="5ACFFB9B" w14:textId="77777777" w:rsidR="00446640" w:rsidRDefault="00446640" w:rsidP="00446640"/>
    <w:p w14:paraId="77F45DF8" w14:textId="77777777" w:rsidR="00446640" w:rsidRDefault="00446640" w:rsidP="00446640"/>
    <w:p w14:paraId="74C5EC2D" w14:textId="77777777" w:rsidR="00446640" w:rsidRDefault="00446640" w:rsidP="00446640"/>
    <w:p w14:paraId="68026891" w14:textId="77777777" w:rsidR="00446640" w:rsidRPr="00446640" w:rsidRDefault="00446640" w:rsidP="00446640">
      <w:bookmarkStart w:id="1" w:name="_GoBack"/>
      <w:bookmarkEnd w:id="1"/>
    </w:p>
    <w:p w14:paraId="7C206DA3" w14:textId="77777777" w:rsidR="00D20918" w:rsidRDefault="00D20918" w:rsidP="00D20918"/>
    <w:p w14:paraId="031AFB55" w14:textId="77777777" w:rsidR="00D20918" w:rsidRDefault="00D20918" w:rsidP="00D20918"/>
    <w:p w14:paraId="3D289BC2" w14:textId="77777777" w:rsidR="00D20918" w:rsidRDefault="00D20918" w:rsidP="00D20918"/>
    <w:p w14:paraId="59EC3DF0" w14:textId="77777777" w:rsidR="00D20918" w:rsidRPr="00D20918" w:rsidRDefault="00D20918" w:rsidP="00D20918"/>
    <w:bookmarkEnd w:id="0"/>
    <w:p w14:paraId="2AA0AA46" w14:textId="51F4DB87" w:rsidR="00D30B13" w:rsidRDefault="00D30B13" w:rsidP="00A30BFB">
      <w:pPr>
        <w:ind w:right="0"/>
      </w:pPr>
      <w:r>
        <w:t xml:space="preserve">Older people across the globe are experiencing difficulties and seeking better healthcare services. According to </w:t>
      </w:r>
      <w:r w:rsidR="004C5254">
        <w:t xml:space="preserve">the </w:t>
      </w:r>
      <w:r>
        <w:t xml:space="preserve">National Health Service (NHS) (2022), </w:t>
      </w:r>
      <w:r w:rsidR="004C5254">
        <w:t xml:space="preserve">any individual aged </w:t>
      </w:r>
      <w:r>
        <w:t>65</w:t>
      </w:r>
      <w:r w:rsidR="004C5254">
        <w:t xml:space="preserve"> or above</w:t>
      </w:r>
      <w:r>
        <w:t xml:space="preserve"> is considered an older person. Although not everyone turns old at the age of 65, there are people aged 75 who are still healthier than someone aged 60. Age, in simple words, is a frailty that has an enormous impact on a person's likelihood of requiring care and support. Evidence shows that the older population is growing because of the advancement of healthcare education (Singh &amp; Misra, 2009). Abdi et al. (2019)</w:t>
      </w:r>
      <w:r w:rsidR="004C5254">
        <w:t xml:space="preserve"> state that</w:t>
      </w:r>
      <w:r>
        <w:t xml:space="preserve"> the need for older adults with unmet care is increasing substantially because of the challenges facing the formal and informal care systems in the United Kingdom. Moreover, these unmet needs of older individuals are becoming the most significant public health priorities within the </w:t>
      </w:r>
      <w:r w:rsidR="004C5254">
        <w:t>UK</w:t>
      </w:r>
      <w:r>
        <w:t xml:space="preserve">. </w:t>
      </w:r>
    </w:p>
    <w:p w14:paraId="7B8073ED" w14:textId="61EEF439" w:rsidR="00D30B13" w:rsidRPr="00D30B13" w:rsidRDefault="00D30B13" w:rsidP="00A30BFB">
      <w:pPr>
        <w:ind w:right="0"/>
      </w:pPr>
      <w:r>
        <w:t xml:space="preserve">The essay aims to discuss the prevalence of the UK's aging population and the issues that older adults in the </w:t>
      </w:r>
      <w:r w:rsidR="004C5254">
        <w:t>UK</w:t>
      </w:r>
      <w:r>
        <w:t xml:space="preserve"> experience. Furthermore, it will examine current health and social care provisions and the societal effects of aging. Finally, it will also analyse the government and health service response to the interventions against older people and different policies and practices that the government of the UK implements to provide the elderly with better healthcare.  </w:t>
      </w:r>
    </w:p>
    <w:p w14:paraId="1A26C156" w14:textId="2A3C770A" w:rsidR="00D30B13" w:rsidRPr="00D30B13" w:rsidRDefault="00D30B13" w:rsidP="00A30BFB">
      <w:pPr>
        <w:ind w:right="0"/>
      </w:pPr>
      <w:r w:rsidRPr="00D30B13">
        <w:t>According to the UK Parliament (2021), about one-fifth of the United Kingdom's population was aged 65 or over in 2019. There has been a significant increase in older adults by 23% between 2009 and 2019. Based on the evidence, since the start of the 19th century, the United Kingdom has seen mortality rates declines and life expectancy increase (Age UK, 2019). Moreover, there has been an increase in life expectancy in the UK since 2011. There are many difficulties and issues faced by older people in the UK, which</w:t>
      </w:r>
      <w:r w:rsidR="00EC0671">
        <w:t xml:space="preserve"> resulted</w:t>
      </w:r>
      <w:r w:rsidRPr="00D30B13">
        <w:t xml:space="preserve"> </w:t>
      </w:r>
      <w:r w:rsidR="004C5254">
        <w:t xml:space="preserve">in </w:t>
      </w:r>
      <w:r w:rsidRPr="00D30B13">
        <w:t xml:space="preserve">a negative impact on their lives and impacting their lifestyles. Based on the evidence, there </w:t>
      </w:r>
      <w:r w:rsidR="004C5254">
        <w:t>are</w:t>
      </w:r>
      <w:r w:rsidRPr="00D30B13">
        <w:t xml:space="preserve"> 15.5 million individuals aged 60 or older, </w:t>
      </w:r>
      <w:r w:rsidR="004C5254">
        <w:t xml:space="preserve">representing </w:t>
      </w:r>
      <w:r w:rsidRPr="00D30B13">
        <w:t>23% of the UK population (MHA, 2022).</w:t>
      </w:r>
    </w:p>
    <w:p w14:paraId="2E0A676E" w14:textId="3A30B986" w:rsidR="00D55555" w:rsidRDefault="00D55555" w:rsidP="00A30BFB">
      <w:pPr>
        <w:ind w:right="0"/>
      </w:pPr>
      <w:r>
        <w:t>The pandemic outbreak ha</w:t>
      </w:r>
      <w:r w:rsidR="004C5254">
        <w:t>d</w:t>
      </w:r>
      <w:r>
        <w:t xml:space="preserve"> </w:t>
      </w:r>
      <w:r w:rsidR="00932F5D">
        <w:t>a crucial impact on the lives of million</w:t>
      </w:r>
      <w:r w:rsidR="004C5254">
        <w:t>s of people</w:t>
      </w:r>
      <w:r w:rsidR="00932F5D">
        <w:t xml:space="preserve">. </w:t>
      </w:r>
      <w:r w:rsidR="004C5254">
        <w:t>However, older adults</w:t>
      </w:r>
      <w:r>
        <w:t xml:space="preserve"> reported experiencing loneliness, age discrimination, excessive worry, and health issues during the pand</w:t>
      </w:r>
      <w:r w:rsidR="004C5254">
        <w:t xml:space="preserve">emic (Lebrasseur et al., 2021). </w:t>
      </w:r>
      <w:r>
        <w:t xml:space="preserve">Due to the UK government's restrictions, older adults were neglected during the pandemic. Moreover, they were asked to stay alone and avoid social distancing, significantly impacting their mental and physical health. </w:t>
      </w:r>
      <w:r w:rsidR="004C5254">
        <w:t>O</w:t>
      </w:r>
      <w:r>
        <w:t xml:space="preserve">lder adults living </w:t>
      </w:r>
      <w:r>
        <w:lastRenderedPageBreak/>
        <w:t xml:space="preserve">alone with no family member to take care of them or someone to support them </w:t>
      </w:r>
      <w:r w:rsidR="004C5254">
        <w:t>were</w:t>
      </w:r>
      <w:r>
        <w:t xml:space="preserve"> at </w:t>
      </w:r>
      <w:r w:rsidR="004C5254">
        <w:t xml:space="preserve">a greater </w:t>
      </w:r>
      <w:r>
        <w:t>risk of developing crucial health outcomes during the pandemic.</w:t>
      </w:r>
    </w:p>
    <w:p w14:paraId="602EB45C" w14:textId="697A12AE" w:rsidR="00D55555" w:rsidRDefault="00D55555" w:rsidP="00A30BFB">
      <w:pPr>
        <w:ind w:right="0"/>
      </w:pPr>
      <w:r>
        <w:t xml:space="preserve">Moreover, few older adults could achieve better care and support during the pandemic. The theory of Gerotranscendence explains that older adults become more </w:t>
      </w:r>
      <w:r w:rsidR="002624F7">
        <w:t>self-centred</w:t>
      </w:r>
      <w:r>
        <w:t xml:space="preserve"> and feel more peaceful and connected when they turn old. This can be one of the reasons why some of the elders during the pandemic were able to achieve positive outcomes. In addition, the theory of Gerotranscendence has a positive relationship with life satisfaction (Rajani &amp; Jawaid, 2015). </w:t>
      </w:r>
    </w:p>
    <w:p w14:paraId="7ACA1F9C" w14:textId="33C33AC4" w:rsidR="00D55555" w:rsidRDefault="00D55555" w:rsidP="00A30BFB">
      <w:pPr>
        <w:ind w:right="0"/>
      </w:pPr>
      <w:r>
        <w:t>In the study of Das et al. (2021), the authors stated that older people in the UK showed lower levels of anxiety and depression. This can be due to good family support and higher resilience among older people</w:t>
      </w:r>
      <w:r w:rsidR="004C5254">
        <w:t>. O</w:t>
      </w:r>
      <w:r>
        <w:t xml:space="preserve">n the other hand, the majority of the elderly reported several crucial health issues such as depression, dementia, and anxiety. </w:t>
      </w:r>
      <w:r w:rsidR="004C5254">
        <w:t>O</w:t>
      </w:r>
      <w:r>
        <w:t>lder people with dementia reported a significant impact on their living style and memory. Care for older people with comorbid dementia and the pandemic was challenging for healthcare professionals (Emmerton &amp; Abdelhafiz, 2021). Evidence has shown increased symptoms in older adults during the pandemic (Briggs et al., 2021).</w:t>
      </w:r>
    </w:p>
    <w:p w14:paraId="372B9CFB" w14:textId="4CC55436" w:rsidR="00D55555" w:rsidRDefault="00D55555" w:rsidP="00A30BFB">
      <w:pPr>
        <w:ind w:right="0"/>
      </w:pPr>
      <w:r>
        <w:t xml:space="preserve">Moreover, based on the symbolic interaction theory, aging is viewed differently in </w:t>
      </w:r>
      <w:r w:rsidR="004C5254">
        <w:t>various</w:t>
      </w:r>
      <w:r>
        <w:t xml:space="preserve"> cultures (Lohmann, 1980). It depends on the perspective of a person on what they have learned or were taught about aging. Therefore, some older adults are treated with respect and dignity, while some are treated commonly, and not much attention is given to them, which often negatively impacts their lives (Marshall, 1979). For example, some children could </w:t>
      </w:r>
      <w:r w:rsidR="004C5254">
        <w:t>took</w:t>
      </w:r>
      <w:r>
        <w:t xml:space="preserve"> care of their parents during the pandemic while others were left alone. </w:t>
      </w:r>
    </w:p>
    <w:p w14:paraId="2AD06D66" w14:textId="0D41E38C" w:rsidR="00D55555" w:rsidRPr="00D55555" w:rsidRDefault="00D55555" w:rsidP="00A30BFB">
      <w:pPr>
        <w:ind w:right="0"/>
      </w:pPr>
      <w:r>
        <w:t xml:space="preserve">The elderly </w:t>
      </w:r>
      <w:r w:rsidR="004C5254">
        <w:t>experienced</w:t>
      </w:r>
      <w:r>
        <w:t xml:space="preserve"> emotional stress of being alone and depress</w:t>
      </w:r>
      <w:r w:rsidR="004C5254">
        <w:t>ed</w:t>
      </w:r>
      <w:r>
        <w:t xml:space="preserve"> because of having no source of income to feed themselves. At the same time, fighting COVID-19 was a significant risk for some</w:t>
      </w:r>
      <w:r w:rsidR="004C5254">
        <w:t xml:space="preserve"> older adults</w:t>
      </w:r>
      <w:r>
        <w:t>. Therefore, during the pandemic</w:t>
      </w:r>
      <w:r w:rsidR="004C5254">
        <w:t>,</w:t>
      </w:r>
      <w:r>
        <w:t xml:space="preserve"> elderly have experienced increased depressive symptoms (Briggs et al., 2021). Based on the evidence, the End Loneliness and Age UK campaign has developed an effective </w:t>
      </w:r>
      <w:r w:rsidR="00F73977">
        <w:t xml:space="preserve">framework within the practices of delivering better health care to the elderly who are experiencing loneliness </w:t>
      </w:r>
      <w:r>
        <w:t>(National Association of Local Councils, 2018). In addition, several campaigns such as Age UK, Active Ageing, and others are working for elderly support from emotional, social, and physical issues they face in their everyday lives.</w:t>
      </w:r>
    </w:p>
    <w:p w14:paraId="669F8F0A" w14:textId="279ED51B" w:rsidR="00D55555" w:rsidRDefault="00D55555" w:rsidP="00A30BFB">
      <w:pPr>
        <w:ind w:right="0"/>
      </w:pPr>
      <w:r>
        <w:lastRenderedPageBreak/>
        <w:t xml:space="preserve">The current health and social care in the United Kingdom has a significant position in providing the elderly with the necessary and needful assistance and guidance. The UK's health and social care have taken many significant steps. For instance, the Department of Health and Social Care 2022 has innovated </w:t>
      </w:r>
      <w:r w:rsidR="00695DAE">
        <w:t xml:space="preserve">improved treatments and effective </w:t>
      </w:r>
      <w:r>
        <w:t xml:space="preserve">delivery of health and care services. As a result, in October 2022, over £800 million were boosted by the UK government for innovation, growth, and improved patient safety (GOV.UK, 2022). However, based on the evidence, the number of older people in the United Kingdom is growing significantly, and the rate of the elderly growing old is projected to </w:t>
      </w:r>
      <w:r w:rsidR="004C5254">
        <w:t xml:space="preserve">increase </w:t>
      </w:r>
      <w:r>
        <w:t xml:space="preserve">over the next 20 years (NHS England, 2022). This indicates that increased health and social care support would be </w:t>
      </w:r>
      <w:r w:rsidR="004C5254">
        <w:t>required</w:t>
      </w:r>
      <w:r>
        <w:t xml:space="preserve"> if the United Kingdom's population increases in the coming decades. </w:t>
      </w:r>
      <w:r w:rsidR="004C5254">
        <w:t>The theory of Social Breakdown-</w:t>
      </w:r>
      <w:r>
        <w:t>Reconstruction is</w:t>
      </w:r>
      <w:r w:rsidR="004C5254">
        <w:t xml:space="preserve"> important to consider in this regard</w:t>
      </w:r>
      <w:r>
        <w:t>. The theory states that aging is promoted in terms of negative views of society, where the majority of people think that aging would have a negative impact on society and will require increased services (Kuypers &amp; Bengtson, 1973). Accor</w:t>
      </w:r>
      <w:r w:rsidR="004C5254">
        <w:t>ding to Killeen et al. (2022), h</w:t>
      </w:r>
      <w:r>
        <w:t xml:space="preserve">ealthcare needs to establish staff awareness and understanding of safeguarding to guide training and policy implementation for the elderly if the population increases in the future in the United Kingdom. In addition, </w:t>
      </w:r>
      <w:r w:rsidR="00724CDC">
        <w:t>h</w:t>
      </w:r>
      <w:r>
        <w:t>ealthcare</w:t>
      </w:r>
      <w:r w:rsidR="00724CDC">
        <w:t xml:space="preserve"> sector</w:t>
      </w:r>
      <w:r>
        <w:t xml:space="preserve"> would require more efficiency and policies related to the elderly to be introduced in the future. </w:t>
      </w:r>
    </w:p>
    <w:p w14:paraId="123F5A43" w14:textId="13622396" w:rsidR="00D55555" w:rsidRDefault="00D55555" w:rsidP="00A30BFB">
      <w:pPr>
        <w:ind w:right="0"/>
      </w:pPr>
      <w:r>
        <w:t>In the study of Manthorpe and Martineau (2017), the authors have identified that the UK policymaker</w:t>
      </w:r>
      <w:r w:rsidR="00724CDC">
        <w:t>s</w:t>
      </w:r>
      <w:r>
        <w:t xml:space="preserve"> and health and social care centres are engaging with the new system of safeguarding adults and elderly living in care homes. The study shows that the UK government is making new changes to support and protect the increasing aging population in the UK. Many older adults disengage themselves from society as they grow old. Therefore, the government needs to apply social changes for such older adults. The disengagement theory of aging also explains that older adults do not just disengage themselves from society. However, society disengages is the one that disengages itself from older adults (Pruchno, 2021). Under the 2014 Care Act, the UK government has renamed safeguarding adults reviews (SARs) (Manthorpe &amp; Martineau, 2017). </w:t>
      </w:r>
    </w:p>
    <w:p w14:paraId="48BE80A6" w14:textId="7FEAEC7A" w:rsidR="000F3E69" w:rsidRDefault="00D55555" w:rsidP="00A30BFB">
      <w:pPr>
        <w:ind w:right="0"/>
      </w:pPr>
      <w:r>
        <w:t xml:space="preserve">Under the Care Act, the UK government is helping and supporting people with dementia, people with learning disabilities, self-neglect among the elderly, and adults currently living in supported housing (Manthorpe &amp; Martineau, 2017). The health and social care centres in the United Kingdom are taking initial steps to help them from different situations and conditions. For </w:t>
      </w:r>
      <w:r>
        <w:lastRenderedPageBreak/>
        <w:t xml:space="preserve">instance, the United Kingdom has introduced safeguarding for older people from abuse and neglect because the abuse and neglect of older people in the current time remains a more significant hidden issue within the UK. As a result, every 42 elderly aged 85 require safeguarding enquires (Age UK, 2018). The modernization theory claims that older adults' status experience decline as societies get more modern (Gwynne, 2009). Moreover, it shows how older people were valued in things like agriculture and were more into urbanization industrial. However, the modern world is leading towards advanced technology and communication to make things work more effectively. </w:t>
      </w:r>
      <w:r w:rsidR="000F3E69">
        <w:t xml:space="preserve"> </w:t>
      </w:r>
    </w:p>
    <w:p w14:paraId="76357BDC" w14:textId="77777777" w:rsidR="007857BC" w:rsidRDefault="007857BC" w:rsidP="007857BC">
      <w:pPr>
        <w:ind w:right="0"/>
      </w:pPr>
      <w:r>
        <w:t>Societal aging has significant effects on elderly people. For instance, it affects economic growth, work patterns, retirement, family function, and government and communities' ability to provide adequate resources to elderly adults, along with the prevalence of health conditions and disabilities (NIH, 2022). According to Yenilmez (2015), different aspects of society are currently affected due to aging. For instance, health, labour market, family life, social security, education, and socio-cultural. Due to increased aging in the UK, the labour market has to face adverse effects such as labour shortages because of the decline in the young population.</w:t>
      </w:r>
    </w:p>
    <w:p w14:paraId="7CDDAC71" w14:textId="77777777" w:rsidR="007857BC" w:rsidRDefault="007857BC" w:rsidP="007857BC">
      <w:pPr>
        <w:ind w:right="0"/>
      </w:pPr>
      <w:r>
        <w:t>Moreover, the country will likely face economic issues such as decreased labour force and savings rates because of most of the aging population (Bloom et al., 2010). Older people seek more care, health services, and resources. It has a low range of sources to increase the total GDP or economic profit by working in different organisations. According to Charles and Carstensen (2010), not just societal changes in aging but the social and emotional life of elderly people change as they grow old. For instance, changes like social networks are narrowed, and experienced emotions become more predictable and less labile for older adults. Older adults experience negative emotions turning in more infrequent and social role changes among older people. They require more investment to be made in meaningful relationships.</w:t>
      </w:r>
    </w:p>
    <w:p w14:paraId="5F2D5F43" w14:textId="77777777" w:rsidR="007857BC" w:rsidRDefault="007857BC" w:rsidP="007857BC">
      <w:pPr>
        <w:ind w:right="0"/>
      </w:pPr>
      <w:r>
        <w:t xml:space="preserve">The social impact on the aging population is a complex issue (Restrepo &amp; Rozental, 1994). Therefore, it requires possible future programs to be implemented. Social policy development for the aging population needs to be examined critically to adapt to aging and overcome the current societal aging issues. Based on the evidence, the current government policy related to the state pension age has changed, such as a rise from 60 to 65 between 2010 and 2022. Moreover, it will likely rise for both men and women from 65 to 68 between 2024 and 2046 (Centre for Policy on Aging (CPA), 2022). The government has suggested steps such as forcing individuals to save a </w:t>
      </w:r>
      <w:r>
        <w:lastRenderedPageBreak/>
        <w:t xml:space="preserve">certain proportion of their income to solve the UK's pension crisis (Royal Geographical Society, 2022). The UK also requires changes in its healthcare because the aging population is likely to experience long-term health impairment, for which the country requires increased health practices and measures to be taken. </w:t>
      </w:r>
    </w:p>
    <w:p w14:paraId="6AAC830D" w14:textId="77777777" w:rsidR="007857BC" w:rsidRDefault="007857BC" w:rsidP="007857BC">
      <w:pPr>
        <w:ind w:right="0"/>
      </w:pPr>
      <w:r>
        <w:t xml:space="preserve">According to Tinker (2002), the government is required to initiate social implications. It includes adopting adequate living arrangements for the aging population and providing social activities. This can help the country keep individuals active and healthy, reducing the lack of labour force and declining business market due to the aging population. The activity theory of aging is one compelling example that explains that the more active and involved older adults are, the more likely they are to satisfy their lives and live better (Diggs, 2008). </w:t>
      </w:r>
    </w:p>
    <w:p w14:paraId="08224755" w14:textId="772C7145" w:rsidR="007857BC" w:rsidRPr="007857BC" w:rsidRDefault="007857BC" w:rsidP="007857BC">
      <w:pPr>
        <w:ind w:right="0"/>
      </w:pPr>
      <w:r>
        <w:t xml:space="preserve">Based on the evidence, if the health of older people is adequate and they are given effective health care, they are likely to experience fewer difficulties in there compared to those with poor health (World Health Organisation (WHO), 2022). There are higher chances that the extra years of life in good health will increase their ability to do things. However, the values will differ, but it can help reduce the increased societal impact of aging. The government enforces policies. For instance, the fuller working lives framework was published in June 2014, and a new business champion was appointed for older workers in 2014. In 2015, a new vision for older workers: retain, retrain, and recruit, was introduced to improve the working lives of individuals over their '50s in the UK (GOV.UK, 2015).  </w:t>
      </w:r>
    </w:p>
    <w:p w14:paraId="428EF3FE" w14:textId="6424660A" w:rsidR="007853FD" w:rsidRDefault="007853FD" w:rsidP="007853FD">
      <w:pPr>
        <w:ind w:right="0"/>
      </w:pPr>
      <w:r>
        <w:t xml:space="preserve">The government and healthcare in the UK have responded to </w:t>
      </w:r>
      <w:r w:rsidR="00724CDC">
        <w:t>issues of elderly population</w:t>
      </w:r>
      <w:r>
        <w:t xml:space="preserve"> in different </w:t>
      </w:r>
      <w:r w:rsidR="00724CDC">
        <w:t>way</w:t>
      </w:r>
      <w:r>
        <w:t>. For instance, health</w:t>
      </w:r>
      <w:r w:rsidR="00724CDC">
        <w:t>care</w:t>
      </w:r>
      <w:r>
        <w:t xml:space="preserve"> services have implemented artificial intelligence (AI) enhancement interventions to improve their practices and deliver long-term services to elderly people. According to Loveys et al. (2022), AI has reshaped the global perspective of long-term care for the elderly. In addition, healthcare centres have adopted effective communication platforms, applications, and other systematic databases that help them to deliver effective healthcare to older adults. </w:t>
      </w:r>
    </w:p>
    <w:p w14:paraId="01333EFA" w14:textId="541962F4" w:rsidR="007853FD" w:rsidRDefault="007853FD" w:rsidP="007853FD">
      <w:pPr>
        <w:ind w:right="0"/>
      </w:pPr>
      <w:r>
        <w:t xml:space="preserve">According to Su et al. (2022), the dementia epidemic is </w:t>
      </w:r>
      <w:r w:rsidR="00724CDC">
        <w:t>being addressed</w:t>
      </w:r>
      <w:r>
        <w:t xml:space="preserve"> with the help of AI among older adults. With the government's help, healthcare is implementing AI to support and help older people reduce chronic diseases like dementia, Alzheimer's, depression, anxiety, and other mental illness when they grow old. Based on the evidence, AI has improved social lives and expanded A</w:t>
      </w:r>
      <w:r w:rsidR="00724CDC">
        <w:t>I</w:t>
      </w:r>
      <w:r>
        <w:t xml:space="preserve">-based services and tasks along with areas that are likely to considerably impact </w:t>
      </w:r>
      <w:r>
        <w:lastRenderedPageBreak/>
        <w:t xml:space="preserve">people within healthcare (Mukaetova-Ladinska et al., 2020). The UK government has taken a step to reduce individual risk and advised the NHS to advise people aged 70 and over to isolate (Osama et al., 2020). </w:t>
      </w:r>
    </w:p>
    <w:p w14:paraId="2603BF49" w14:textId="77777777" w:rsidR="007853FD" w:rsidRDefault="007853FD" w:rsidP="007853FD">
      <w:pPr>
        <w:ind w:right="0"/>
      </w:pPr>
      <w:r>
        <w:t>The NHS and social care services in the UK have taken action to improve standards of care among older people. The UK government has also extended older people's access to services. In addition, it ensures fair long-term care funding should be provided to the elderly experiencing difficulties in their lives, especially during uncertain events. Moreover, there are policies implemented by the NHS, such as free influenza immunization for every 65 and over, to help older adults maintain their health and stay healthy when they grow old (Department of Health, 2001). These initiatives indicate that the government and social care are taking crucial implementation to help the elderly overcome the health impairment they experience when they grow old. Based on the evidence, engaging elderly people in clinical communication is considered one of the vital aspects in terms of delivering high-quality care to elderly patients (Gaffney &amp; Hamiduzzaman, 2022).</w:t>
      </w:r>
    </w:p>
    <w:p w14:paraId="04C6BA70" w14:textId="78CE0B6A" w:rsidR="007853FD" w:rsidRPr="007853FD" w:rsidRDefault="007853FD" w:rsidP="007853FD">
      <w:pPr>
        <w:ind w:right="0"/>
      </w:pPr>
      <w:r>
        <w:t>Moreover, healthcare has adopted practices to initiate effective communication while treating older adults. For instance, effective communication with elderly people is considered an essential aspect of nursing practice (Jack et al., 2019). Therefore, the healthcare service and social care have imposed effective communication as an essential practice to help treat elderly people in the UK.</w:t>
      </w:r>
    </w:p>
    <w:p w14:paraId="566AE315" w14:textId="5FC41A62" w:rsidR="00840C70" w:rsidRDefault="00144CB9" w:rsidP="00A30BFB">
      <w:pPr>
        <w:ind w:right="0"/>
      </w:pPr>
      <w:r w:rsidRPr="00144CB9">
        <w:t>As a conclusion from the above study, we come to the fact that older adults have a high risk of developing chronic diseases and mental illnesses in old age.</w:t>
      </w:r>
      <w:r>
        <w:t xml:space="preserve"> </w:t>
      </w:r>
      <w:r w:rsidR="004F2CEF" w:rsidRPr="004F2CEF">
        <w:t>The study has determined several difficulties elderly adults in the United Kingdom face. The UK government and social care need to deliver effective healthcare practices, measures, and policies for older adults to help them mainta</w:t>
      </w:r>
      <w:r w:rsidR="004F2CEF">
        <w:t>in their lifestyle and health</w:t>
      </w:r>
      <w:r w:rsidR="004F2CEF" w:rsidRPr="004F2CEF">
        <w:t xml:space="preserve"> and reduce health impairments. The pandemic was one of the crucial situations when most of the older people in the UK reported increased mental illnesses such as depression, anxiety, dementia, and others. However, the government has taken measures, but they could have been more significant for the health of the elderly living in the UK.</w:t>
      </w:r>
    </w:p>
    <w:p w14:paraId="1AA8C9D0" w14:textId="585300E2" w:rsidR="00966A4B" w:rsidRDefault="00966A4B" w:rsidP="00A30BFB">
      <w:pPr>
        <w:spacing w:after="160" w:line="259" w:lineRule="auto"/>
        <w:ind w:left="0" w:right="0" w:firstLine="0"/>
        <w:jc w:val="left"/>
      </w:pPr>
      <w:r>
        <w:br w:type="page"/>
      </w:r>
    </w:p>
    <w:bookmarkStart w:id="2" w:name="_Toc117090615" w:displacedByCustomXml="next"/>
    <w:sdt>
      <w:sdtPr>
        <w:rPr>
          <w:rFonts w:eastAsia="Palatino Linotype" w:cs="Palatino Linotype"/>
          <w:b w:val="0"/>
          <w:sz w:val="24"/>
          <w:szCs w:val="22"/>
        </w:rPr>
        <w:id w:val="-1361968374"/>
        <w:docPartObj>
          <w:docPartGallery w:val="Bibliographies"/>
          <w:docPartUnique/>
        </w:docPartObj>
      </w:sdtPr>
      <w:sdtEndPr/>
      <w:sdtContent>
        <w:p w14:paraId="67438564" w14:textId="799B5719" w:rsidR="00966A4B" w:rsidRDefault="00966A4B" w:rsidP="00B07AE2">
          <w:pPr>
            <w:pStyle w:val="Heading1"/>
          </w:pPr>
          <w:r>
            <w:t>References</w:t>
          </w:r>
          <w:bookmarkEnd w:id="2"/>
        </w:p>
        <w:sdt>
          <w:sdtPr>
            <w:id w:val="-573587230"/>
            <w:bibliography/>
          </w:sdtPr>
          <w:sdtEndPr/>
          <w:sdtContent>
            <w:p w14:paraId="6ED430AC" w14:textId="405C4112" w:rsidR="00966A4B" w:rsidRDefault="00966A4B" w:rsidP="00B07AE2">
              <w:pPr>
                <w:pStyle w:val="Bibliography"/>
                <w:ind w:right="0"/>
                <w:jc w:val="left"/>
                <w:rPr>
                  <w:noProof/>
                  <w:szCs w:val="24"/>
                </w:rPr>
              </w:pPr>
              <w:r>
                <w:fldChar w:fldCharType="begin"/>
              </w:r>
              <w:r>
                <w:instrText xml:space="preserve"> BIBLIOGRAPHY </w:instrText>
              </w:r>
              <w:r>
                <w:fldChar w:fldCharType="separate"/>
              </w:r>
              <w:r>
                <w:rPr>
                  <w:noProof/>
                </w:rPr>
                <w:t xml:space="preserve">Abdi, S. et al., </w:t>
              </w:r>
              <w:r w:rsidR="00F92218">
                <w:rPr>
                  <w:noProof/>
                </w:rPr>
                <w:t>(</w:t>
              </w:r>
              <w:r>
                <w:rPr>
                  <w:noProof/>
                </w:rPr>
                <w:t>2019</w:t>
              </w:r>
              <w:r w:rsidR="00F92218">
                <w:rPr>
                  <w:noProof/>
                </w:rPr>
                <w:t>)</w:t>
              </w:r>
              <w:r>
                <w:rPr>
                  <w:noProof/>
                </w:rPr>
                <w:t xml:space="preserve">. </w:t>
              </w:r>
              <w:r w:rsidR="00F92218">
                <w:rPr>
                  <w:noProof/>
                </w:rPr>
                <w:t>'</w:t>
              </w:r>
              <w:r>
                <w:rPr>
                  <w:noProof/>
                </w:rPr>
                <w:t>Understanding the care and support needs of older people: a scoping review and categorisation using the WHO international classification of functioning, disability and health framework (ICF)</w:t>
              </w:r>
              <w:r w:rsidR="00F92218">
                <w:rPr>
                  <w:noProof/>
                </w:rPr>
                <w:t>'</w:t>
              </w:r>
              <w:r>
                <w:rPr>
                  <w:noProof/>
                </w:rPr>
                <w:t xml:space="preserve">. </w:t>
              </w:r>
              <w:r>
                <w:rPr>
                  <w:i/>
                  <w:iCs/>
                  <w:noProof/>
                </w:rPr>
                <w:t xml:space="preserve">BMC Geriatrics , </w:t>
              </w:r>
              <w:r>
                <w:rPr>
                  <w:noProof/>
                </w:rPr>
                <w:t>19(195), pp. 2-6.</w:t>
              </w:r>
            </w:p>
            <w:p w14:paraId="5D5C3650" w14:textId="52165F1F" w:rsidR="00966A4B" w:rsidRDefault="00966A4B" w:rsidP="00B07AE2">
              <w:pPr>
                <w:pStyle w:val="Bibliography"/>
                <w:ind w:right="0"/>
                <w:jc w:val="left"/>
                <w:rPr>
                  <w:noProof/>
                </w:rPr>
              </w:pPr>
              <w:r>
                <w:rPr>
                  <w:noProof/>
                </w:rPr>
                <w:t xml:space="preserve">Age UK, </w:t>
              </w:r>
              <w:r w:rsidR="00D345D4">
                <w:rPr>
                  <w:noProof/>
                </w:rPr>
                <w:t>(</w:t>
              </w:r>
              <w:r>
                <w:rPr>
                  <w:noProof/>
                </w:rPr>
                <w:t>2018</w:t>
              </w:r>
              <w:r w:rsidR="00D345D4">
                <w:rPr>
                  <w:noProof/>
                </w:rPr>
                <w:t>)</w:t>
              </w:r>
              <w:r>
                <w:rPr>
                  <w:noProof/>
                </w:rPr>
                <w:t xml:space="preserve">. </w:t>
              </w:r>
              <w:r>
                <w:rPr>
                  <w:i/>
                  <w:iCs/>
                  <w:noProof/>
                </w:rPr>
                <w:t xml:space="preserve">Adult Safeguarding, </w:t>
              </w:r>
              <w:r>
                <w:rPr>
                  <w:noProof/>
                </w:rPr>
                <w:t>London: Age UK.</w:t>
              </w:r>
            </w:p>
            <w:p w14:paraId="359C7068" w14:textId="259AF14F" w:rsidR="00966A4B" w:rsidRDefault="00966A4B" w:rsidP="00B07AE2">
              <w:pPr>
                <w:pStyle w:val="Bibliography"/>
                <w:ind w:right="0"/>
                <w:jc w:val="left"/>
                <w:rPr>
                  <w:noProof/>
                </w:rPr>
              </w:pPr>
              <w:r>
                <w:rPr>
                  <w:noProof/>
                </w:rPr>
                <w:t xml:space="preserve">Age UK, </w:t>
              </w:r>
              <w:r w:rsidR="00D345D4">
                <w:rPr>
                  <w:noProof/>
                </w:rPr>
                <w:t>(</w:t>
              </w:r>
              <w:r>
                <w:rPr>
                  <w:noProof/>
                </w:rPr>
                <w:t>2019</w:t>
              </w:r>
              <w:r w:rsidR="00D345D4">
                <w:rPr>
                  <w:noProof/>
                </w:rPr>
                <w:t>)</w:t>
              </w:r>
              <w:r>
                <w:rPr>
                  <w:noProof/>
                </w:rPr>
                <w:t xml:space="preserve">. </w:t>
              </w:r>
              <w:r>
                <w:rPr>
                  <w:i/>
                  <w:iCs/>
                  <w:noProof/>
                </w:rPr>
                <w:t xml:space="preserve">Later Life in the United Kingdom 2019 , </w:t>
              </w:r>
              <w:r>
                <w:rPr>
                  <w:noProof/>
                </w:rPr>
                <w:t>Derby and Derbyshire: Age UK.</w:t>
              </w:r>
            </w:p>
            <w:p w14:paraId="4D911B59" w14:textId="6C8ED1AF" w:rsidR="00966A4B" w:rsidRDefault="00966A4B" w:rsidP="00B07AE2">
              <w:pPr>
                <w:pStyle w:val="Bibliography"/>
                <w:ind w:right="0"/>
                <w:jc w:val="left"/>
                <w:rPr>
                  <w:noProof/>
                </w:rPr>
              </w:pPr>
              <w:r>
                <w:rPr>
                  <w:noProof/>
                </w:rPr>
                <w:t xml:space="preserve">Bloom, E. D., Canning, D. &amp; Fink, G., </w:t>
              </w:r>
              <w:r w:rsidR="00F92218">
                <w:rPr>
                  <w:noProof/>
                </w:rPr>
                <w:t>(</w:t>
              </w:r>
              <w:r>
                <w:rPr>
                  <w:noProof/>
                </w:rPr>
                <w:t>2010</w:t>
              </w:r>
              <w:r w:rsidR="00F92218">
                <w:rPr>
                  <w:noProof/>
                </w:rPr>
                <w:t>)</w:t>
              </w:r>
              <w:r>
                <w:rPr>
                  <w:noProof/>
                </w:rPr>
                <w:t xml:space="preserve">. </w:t>
              </w:r>
              <w:r w:rsidR="00F92218">
                <w:rPr>
                  <w:noProof/>
                </w:rPr>
                <w:t>'</w:t>
              </w:r>
              <w:r>
                <w:rPr>
                  <w:noProof/>
                </w:rPr>
                <w:t>Implications of population ageing for economic growth</w:t>
              </w:r>
              <w:r w:rsidR="00F92218">
                <w:rPr>
                  <w:noProof/>
                </w:rPr>
                <w:t>'</w:t>
              </w:r>
              <w:r>
                <w:rPr>
                  <w:noProof/>
                </w:rPr>
                <w:t xml:space="preserve">. </w:t>
              </w:r>
              <w:r>
                <w:rPr>
                  <w:i/>
                  <w:iCs/>
                  <w:noProof/>
                </w:rPr>
                <w:t xml:space="preserve">Oxford Review of Economic Policy, </w:t>
              </w:r>
              <w:r>
                <w:rPr>
                  <w:noProof/>
                </w:rPr>
                <w:t>26(4), pp. 583-612.</w:t>
              </w:r>
            </w:p>
            <w:p w14:paraId="52D30FCE" w14:textId="7512FE15" w:rsidR="00966A4B" w:rsidRDefault="00966A4B" w:rsidP="00B07AE2">
              <w:pPr>
                <w:pStyle w:val="Bibliography"/>
                <w:ind w:right="0"/>
                <w:jc w:val="left"/>
                <w:rPr>
                  <w:noProof/>
                </w:rPr>
              </w:pPr>
              <w:r>
                <w:rPr>
                  <w:noProof/>
                </w:rPr>
                <w:t xml:space="preserve">Briggs, R. et al., </w:t>
              </w:r>
              <w:r w:rsidR="00F92218">
                <w:rPr>
                  <w:noProof/>
                </w:rPr>
                <w:t>(</w:t>
              </w:r>
              <w:r>
                <w:rPr>
                  <w:noProof/>
                </w:rPr>
                <w:t>2021</w:t>
              </w:r>
              <w:r w:rsidR="00F92218">
                <w:rPr>
                  <w:noProof/>
                </w:rPr>
                <w:t>)</w:t>
              </w:r>
              <w:r>
                <w:rPr>
                  <w:noProof/>
                </w:rPr>
                <w:t xml:space="preserve">. </w:t>
              </w:r>
              <w:r w:rsidR="00F92218">
                <w:rPr>
                  <w:noProof/>
                </w:rPr>
                <w:t>'</w:t>
              </w:r>
              <w:r>
                <w:rPr>
                  <w:noProof/>
                </w:rPr>
                <w:t>Depressive Symptoms Among Older Adults Pre- and Post-COVID-19 Pandemic</w:t>
              </w:r>
              <w:r w:rsidR="00F92218">
                <w:rPr>
                  <w:noProof/>
                </w:rPr>
                <w:t>'</w:t>
              </w:r>
              <w:r>
                <w:rPr>
                  <w:noProof/>
                </w:rPr>
                <w:t xml:space="preserve">. </w:t>
              </w:r>
              <w:r>
                <w:rPr>
                  <w:i/>
                  <w:iCs/>
                  <w:noProof/>
                </w:rPr>
                <w:t xml:space="preserve">Journal of the American Medical Directors Association, </w:t>
              </w:r>
              <w:r>
                <w:rPr>
                  <w:noProof/>
                </w:rPr>
                <w:t>22(11), pp. 2251-2257.</w:t>
              </w:r>
            </w:p>
            <w:p w14:paraId="06122FF3" w14:textId="5D273074" w:rsidR="00966A4B" w:rsidRDefault="00966A4B" w:rsidP="00B07AE2">
              <w:pPr>
                <w:pStyle w:val="Bibliography"/>
                <w:ind w:right="0"/>
                <w:jc w:val="left"/>
                <w:rPr>
                  <w:noProof/>
                </w:rPr>
              </w:pPr>
              <w:r>
                <w:rPr>
                  <w:noProof/>
                </w:rPr>
                <w:t xml:space="preserve">Centre for Policy on Aging (CPA), </w:t>
              </w:r>
              <w:r w:rsidR="00D345D4">
                <w:rPr>
                  <w:noProof/>
                </w:rPr>
                <w:t>(</w:t>
              </w:r>
              <w:r>
                <w:rPr>
                  <w:noProof/>
                </w:rPr>
                <w:t>2022</w:t>
              </w:r>
              <w:r w:rsidR="00D345D4">
                <w:rPr>
                  <w:noProof/>
                </w:rPr>
                <w:t>)</w:t>
              </w:r>
              <w:r>
                <w:rPr>
                  <w:noProof/>
                </w:rPr>
                <w:t xml:space="preserve">. </w:t>
              </w:r>
              <w:r>
                <w:rPr>
                  <w:i/>
                  <w:iCs/>
                  <w:noProof/>
                </w:rPr>
                <w:t xml:space="preserve">Policies on ageing. </w:t>
              </w:r>
              <w:r>
                <w:rPr>
                  <w:noProof/>
                </w:rPr>
                <w:t xml:space="preserve">[Online] </w:t>
              </w:r>
              <w:r>
                <w:rPr>
                  <w:noProof/>
                </w:rPr>
                <w:br/>
                <w:t xml:space="preserve">Available at: </w:t>
              </w:r>
              <w:r>
                <w:rPr>
                  <w:noProof/>
                  <w:u w:val="single"/>
                </w:rPr>
                <w:t>http://www.cpa.org.uk/cpa/policies_on_ageing.html</w:t>
              </w:r>
              <w:r>
                <w:rPr>
                  <w:noProof/>
                </w:rPr>
                <w:br/>
                <w:t>[Accessed</w:t>
              </w:r>
              <w:r w:rsidR="00110AE6">
                <w:rPr>
                  <w:noProof/>
                </w:rPr>
                <w:t xml:space="preserve">  10 November</w:t>
              </w:r>
              <w:r>
                <w:rPr>
                  <w:noProof/>
                </w:rPr>
                <w:t xml:space="preserve"> 2022].</w:t>
              </w:r>
            </w:p>
            <w:p w14:paraId="02C63627" w14:textId="62CFEBF5" w:rsidR="00966A4B" w:rsidRDefault="00966A4B" w:rsidP="00B07AE2">
              <w:pPr>
                <w:pStyle w:val="Bibliography"/>
                <w:ind w:right="0"/>
                <w:jc w:val="left"/>
                <w:rPr>
                  <w:noProof/>
                </w:rPr>
              </w:pPr>
              <w:r>
                <w:rPr>
                  <w:noProof/>
                </w:rPr>
                <w:t xml:space="preserve">Charles, S. &amp; Carstensen, L. L., </w:t>
              </w:r>
              <w:r w:rsidR="00A2522F">
                <w:rPr>
                  <w:noProof/>
                </w:rPr>
                <w:t>(</w:t>
              </w:r>
              <w:r>
                <w:rPr>
                  <w:noProof/>
                </w:rPr>
                <w:t>2010</w:t>
              </w:r>
              <w:r w:rsidR="00A2522F">
                <w:rPr>
                  <w:noProof/>
                </w:rPr>
                <w:t>)</w:t>
              </w:r>
              <w:r>
                <w:rPr>
                  <w:noProof/>
                </w:rPr>
                <w:t xml:space="preserve">. </w:t>
              </w:r>
              <w:r w:rsidR="00A2522F">
                <w:rPr>
                  <w:noProof/>
                </w:rPr>
                <w:t>'</w:t>
              </w:r>
              <w:r>
                <w:rPr>
                  <w:noProof/>
                </w:rPr>
                <w:t>Social and Emotional Aging</w:t>
              </w:r>
              <w:r w:rsidR="00A2522F">
                <w:rPr>
                  <w:noProof/>
                </w:rPr>
                <w:t>'</w:t>
              </w:r>
              <w:r>
                <w:rPr>
                  <w:noProof/>
                </w:rPr>
                <w:t xml:space="preserve">. </w:t>
              </w:r>
              <w:r>
                <w:rPr>
                  <w:i/>
                  <w:iCs/>
                  <w:noProof/>
                </w:rPr>
                <w:t xml:space="preserve">Annual Review of Psychology , </w:t>
              </w:r>
              <w:r>
                <w:rPr>
                  <w:noProof/>
                </w:rPr>
                <w:t>61(1), pp. 383-409.</w:t>
              </w:r>
            </w:p>
            <w:p w14:paraId="0918247A" w14:textId="264E5834" w:rsidR="00966A4B" w:rsidRDefault="00966A4B" w:rsidP="00B07AE2">
              <w:pPr>
                <w:pStyle w:val="Bibliography"/>
                <w:ind w:right="0"/>
                <w:jc w:val="left"/>
                <w:rPr>
                  <w:noProof/>
                </w:rPr>
              </w:pPr>
              <w:r>
                <w:rPr>
                  <w:noProof/>
                </w:rPr>
                <w:t xml:space="preserve">Das, S. et al., </w:t>
              </w:r>
              <w:r w:rsidR="00A2522F">
                <w:rPr>
                  <w:noProof/>
                </w:rPr>
                <w:t>(</w:t>
              </w:r>
              <w:r>
                <w:rPr>
                  <w:noProof/>
                </w:rPr>
                <w:t>2021</w:t>
              </w:r>
              <w:r w:rsidR="00A2522F">
                <w:rPr>
                  <w:noProof/>
                </w:rPr>
                <w:t>)</w:t>
              </w:r>
              <w:r>
                <w:rPr>
                  <w:noProof/>
                </w:rPr>
                <w:t xml:space="preserve">. </w:t>
              </w:r>
              <w:r w:rsidR="00A2522F">
                <w:rPr>
                  <w:noProof/>
                </w:rPr>
                <w:t>'</w:t>
              </w:r>
              <w:r>
                <w:rPr>
                  <w:noProof/>
                </w:rPr>
                <w:t>Anxiety and depression in the elderly due to COVID-19 pandemic: a pilot study</w:t>
              </w:r>
              <w:r w:rsidR="00A2522F">
                <w:rPr>
                  <w:noProof/>
                </w:rPr>
                <w:t>'</w:t>
              </w:r>
              <w:r>
                <w:rPr>
                  <w:noProof/>
                </w:rPr>
                <w:t xml:space="preserve">. </w:t>
              </w:r>
              <w:r>
                <w:rPr>
                  <w:i/>
                  <w:iCs/>
                  <w:noProof/>
                </w:rPr>
                <w:t xml:space="preserve">Middle Eastern Current Psychiatry, </w:t>
              </w:r>
              <w:r>
                <w:rPr>
                  <w:noProof/>
                </w:rPr>
                <w:t>28(1), pp. 67-70.</w:t>
              </w:r>
            </w:p>
            <w:p w14:paraId="7E3C1989" w14:textId="3BEB73C5" w:rsidR="00966A4B" w:rsidRDefault="00966A4B" w:rsidP="00B07AE2">
              <w:pPr>
                <w:pStyle w:val="Bibliography"/>
                <w:ind w:right="0"/>
                <w:jc w:val="left"/>
                <w:rPr>
                  <w:noProof/>
                </w:rPr>
              </w:pPr>
              <w:r>
                <w:rPr>
                  <w:noProof/>
                </w:rPr>
                <w:t xml:space="preserve">Department of Health, </w:t>
              </w:r>
              <w:r w:rsidR="001D551F">
                <w:rPr>
                  <w:noProof/>
                </w:rPr>
                <w:t>(</w:t>
              </w:r>
              <w:r>
                <w:rPr>
                  <w:noProof/>
                </w:rPr>
                <w:t>2001</w:t>
              </w:r>
              <w:r w:rsidR="001D551F">
                <w:rPr>
                  <w:noProof/>
                </w:rPr>
                <w:t>)</w:t>
              </w:r>
              <w:r>
                <w:rPr>
                  <w:noProof/>
                </w:rPr>
                <w:t xml:space="preserve">. </w:t>
              </w:r>
              <w:r>
                <w:rPr>
                  <w:i/>
                  <w:iCs/>
                  <w:noProof/>
                </w:rPr>
                <w:t xml:space="preserve">Modern Standards and Service Models, </w:t>
              </w:r>
              <w:r>
                <w:rPr>
                  <w:noProof/>
                </w:rPr>
                <w:t>London: Department of Health.</w:t>
              </w:r>
            </w:p>
            <w:p w14:paraId="62AC9CF6" w14:textId="0AE1E7FF" w:rsidR="00966A4B" w:rsidRDefault="00B07AE2" w:rsidP="00B07AE2">
              <w:pPr>
                <w:pStyle w:val="Bibliography"/>
                <w:ind w:right="0"/>
                <w:jc w:val="left"/>
                <w:rPr>
                  <w:noProof/>
                </w:rPr>
              </w:pPr>
              <w:r>
                <w:rPr>
                  <w:noProof/>
                </w:rPr>
                <w:t>Diggs, J.</w:t>
              </w:r>
              <w:r w:rsidR="00966A4B">
                <w:rPr>
                  <w:noProof/>
                </w:rPr>
                <w:t xml:space="preserve"> </w:t>
              </w:r>
              <w:r w:rsidR="001D551F">
                <w:rPr>
                  <w:noProof/>
                </w:rPr>
                <w:t>(</w:t>
              </w:r>
              <w:r w:rsidR="00966A4B">
                <w:rPr>
                  <w:noProof/>
                </w:rPr>
                <w:t>2008</w:t>
              </w:r>
              <w:r w:rsidR="001D551F">
                <w:rPr>
                  <w:noProof/>
                </w:rPr>
                <w:t>)</w:t>
              </w:r>
              <w:r w:rsidR="00966A4B">
                <w:rPr>
                  <w:noProof/>
                </w:rPr>
                <w:t xml:space="preserve">. Activity Theory of Aging. In: </w:t>
              </w:r>
              <w:r w:rsidR="00966A4B">
                <w:rPr>
                  <w:i/>
                  <w:iCs/>
                  <w:noProof/>
                </w:rPr>
                <w:t xml:space="preserve">Encyclopedia of Aging and Public Health. </w:t>
              </w:r>
              <w:r w:rsidR="00966A4B">
                <w:rPr>
                  <w:noProof/>
                </w:rPr>
                <w:t>Berlin: Springer Science &amp; Business Media, pp. 79-81.</w:t>
              </w:r>
            </w:p>
            <w:p w14:paraId="130E7232" w14:textId="2BAF0EE7" w:rsidR="00966A4B" w:rsidRDefault="00966A4B" w:rsidP="00B07AE2">
              <w:pPr>
                <w:pStyle w:val="Bibliography"/>
                <w:ind w:right="0"/>
                <w:jc w:val="left"/>
                <w:rPr>
                  <w:noProof/>
                </w:rPr>
              </w:pPr>
              <w:r>
                <w:rPr>
                  <w:noProof/>
                </w:rPr>
                <w:t>E</w:t>
              </w:r>
              <w:r w:rsidR="00B07AE2">
                <w:rPr>
                  <w:noProof/>
                </w:rPr>
                <w:t>mmerton, D. &amp; Abdelhafiz, H. A.</w:t>
              </w:r>
              <w:r>
                <w:rPr>
                  <w:noProof/>
                </w:rPr>
                <w:t xml:space="preserve"> </w:t>
              </w:r>
              <w:r w:rsidR="00A2522F">
                <w:rPr>
                  <w:noProof/>
                </w:rPr>
                <w:t>(</w:t>
              </w:r>
              <w:r>
                <w:rPr>
                  <w:noProof/>
                </w:rPr>
                <w:t>2021</w:t>
              </w:r>
              <w:r w:rsidR="00A2522F">
                <w:rPr>
                  <w:noProof/>
                </w:rPr>
                <w:t>)</w:t>
              </w:r>
              <w:r>
                <w:rPr>
                  <w:noProof/>
                </w:rPr>
                <w:t xml:space="preserve">. </w:t>
              </w:r>
              <w:r w:rsidR="00A2522F">
                <w:rPr>
                  <w:noProof/>
                </w:rPr>
                <w:t>'</w:t>
              </w:r>
              <w:r>
                <w:rPr>
                  <w:noProof/>
                </w:rPr>
                <w:t>Care for Older People with Dementia During COVID-19 Pandemic</w:t>
              </w:r>
              <w:r w:rsidR="00A2522F">
                <w:rPr>
                  <w:noProof/>
                </w:rPr>
                <w:t>'</w:t>
              </w:r>
              <w:r>
                <w:rPr>
                  <w:noProof/>
                </w:rPr>
                <w:t xml:space="preserve">. </w:t>
              </w:r>
              <w:r>
                <w:rPr>
                  <w:i/>
                  <w:iCs/>
                  <w:noProof/>
                </w:rPr>
                <w:t xml:space="preserve">SN Comprehensive Clinical Medicine, </w:t>
              </w:r>
              <w:r>
                <w:rPr>
                  <w:noProof/>
                </w:rPr>
                <w:t>3(2), pp. 437-443.</w:t>
              </w:r>
            </w:p>
            <w:p w14:paraId="2C3FA010" w14:textId="6B4D1E9C" w:rsidR="00966A4B" w:rsidRDefault="00966A4B" w:rsidP="00B07AE2">
              <w:pPr>
                <w:pStyle w:val="Bibliography"/>
                <w:ind w:right="0"/>
                <w:jc w:val="left"/>
                <w:rPr>
                  <w:noProof/>
                </w:rPr>
              </w:pPr>
              <w:r>
                <w:rPr>
                  <w:noProof/>
                </w:rPr>
                <w:t>Ga</w:t>
              </w:r>
              <w:r w:rsidR="00B07AE2">
                <w:rPr>
                  <w:noProof/>
                </w:rPr>
                <w:t>ffney, J. H. &amp; Hamiduzzaman, M.</w:t>
              </w:r>
              <w:r>
                <w:rPr>
                  <w:noProof/>
                </w:rPr>
                <w:t xml:space="preserve"> </w:t>
              </w:r>
              <w:r w:rsidR="00A2522F">
                <w:rPr>
                  <w:noProof/>
                </w:rPr>
                <w:t>(</w:t>
              </w:r>
              <w:r>
                <w:rPr>
                  <w:noProof/>
                </w:rPr>
                <w:t>2022</w:t>
              </w:r>
              <w:r w:rsidR="00A2522F">
                <w:rPr>
                  <w:noProof/>
                </w:rPr>
                <w:t>)</w:t>
              </w:r>
              <w:r>
                <w:rPr>
                  <w:noProof/>
                </w:rPr>
                <w:t xml:space="preserve">. </w:t>
              </w:r>
              <w:r w:rsidR="00A2522F">
                <w:rPr>
                  <w:noProof/>
                </w:rPr>
                <w:t>'</w:t>
              </w:r>
              <w:r>
                <w:rPr>
                  <w:noProof/>
                </w:rPr>
                <w:t>Factors that influence older patients’ participation in clinical communication within developed country hospitals and GP clinics: A systematic review of current literature</w:t>
              </w:r>
              <w:r w:rsidR="00A2522F">
                <w:rPr>
                  <w:noProof/>
                </w:rPr>
                <w:t>'</w:t>
              </w:r>
              <w:r>
                <w:rPr>
                  <w:noProof/>
                </w:rPr>
                <w:t xml:space="preserve">. </w:t>
              </w:r>
              <w:r>
                <w:rPr>
                  <w:i/>
                  <w:iCs/>
                  <w:noProof/>
                </w:rPr>
                <w:t xml:space="preserve">PLoSONE, </w:t>
              </w:r>
              <w:r>
                <w:rPr>
                  <w:noProof/>
                </w:rPr>
                <w:t>17(6), pp. e0269840-45.</w:t>
              </w:r>
            </w:p>
            <w:p w14:paraId="1FEC4C9F" w14:textId="2153C900" w:rsidR="00966A4B" w:rsidRDefault="00B07AE2" w:rsidP="00B07AE2">
              <w:pPr>
                <w:pStyle w:val="Bibliography"/>
                <w:ind w:right="0"/>
                <w:jc w:val="left"/>
                <w:rPr>
                  <w:noProof/>
                </w:rPr>
              </w:pPr>
              <w:r>
                <w:rPr>
                  <w:noProof/>
                </w:rPr>
                <w:t>GOV.UK</w:t>
              </w:r>
              <w:r w:rsidR="00966A4B">
                <w:rPr>
                  <w:noProof/>
                </w:rPr>
                <w:t xml:space="preserve"> </w:t>
              </w:r>
              <w:r w:rsidR="001D551F">
                <w:rPr>
                  <w:noProof/>
                </w:rPr>
                <w:t>(</w:t>
              </w:r>
              <w:r w:rsidR="00966A4B">
                <w:rPr>
                  <w:noProof/>
                </w:rPr>
                <w:t>2015</w:t>
              </w:r>
              <w:r w:rsidR="001D551F">
                <w:rPr>
                  <w:noProof/>
                </w:rPr>
                <w:t>)</w:t>
              </w:r>
              <w:r w:rsidR="00966A4B">
                <w:rPr>
                  <w:noProof/>
                </w:rPr>
                <w:t xml:space="preserve">. </w:t>
              </w:r>
              <w:r w:rsidR="00966A4B">
                <w:rPr>
                  <w:i/>
                  <w:iCs/>
                  <w:noProof/>
                </w:rPr>
                <w:t xml:space="preserve">2010 to 2015 government policy: older people. </w:t>
              </w:r>
              <w:r w:rsidR="00966A4B">
                <w:rPr>
                  <w:noProof/>
                </w:rPr>
                <w:t xml:space="preserve">[Online] </w:t>
              </w:r>
              <w:r w:rsidR="00966A4B">
                <w:rPr>
                  <w:noProof/>
                </w:rPr>
                <w:br/>
                <w:t xml:space="preserve">Available at: </w:t>
              </w:r>
              <w:r w:rsidR="00966A4B">
                <w:rPr>
                  <w:noProof/>
                  <w:u w:val="single"/>
                </w:rPr>
                <w:t>https://www.gov.uk/government/publications/2010-to-2015-government-policy-older-people/2010-to-2015-government-policy-older-people</w:t>
              </w:r>
              <w:r w:rsidR="00966A4B">
                <w:rPr>
                  <w:noProof/>
                </w:rPr>
                <w:br/>
                <w:t>[Accessed</w:t>
              </w:r>
              <w:r w:rsidR="00751E7E">
                <w:rPr>
                  <w:noProof/>
                </w:rPr>
                <w:t xml:space="preserve">10 November </w:t>
              </w:r>
              <w:r w:rsidR="00966A4B">
                <w:rPr>
                  <w:noProof/>
                </w:rPr>
                <w:t>2022].</w:t>
              </w:r>
            </w:p>
            <w:p w14:paraId="47443C30" w14:textId="09F50EE3" w:rsidR="00966A4B" w:rsidRDefault="00966A4B" w:rsidP="00B07AE2">
              <w:pPr>
                <w:pStyle w:val="Bibliography"/>
                <w:ind w:right="0"/>
                <w:jc w:val="left"/>
                <w:rPr>
                  <w:noProof/>
                </w:rPr>
              </w:pPr>
              <w:r>
                <w:rPr>
                  <w:noProof/>
                </w:rPr>
                <w:lastRenderedPageBreak/>
                <w:t xml:space="preserve">GOV.UK, </w:t>
              </w:r>
              <w:r w:rsidR="001D551F">
                <w:rPr>
                  <w:noProof/>
                </w:rPr>
                <w:t>(</w:t>
              </w:r>
              <w:r>
                <w:rPr>
                  <w:noProof/>
                </w:rPr>
                <w:t>2022</w:t>
              </w:r>
              <w:r w:rsidR="001D551F">
                <w:rPr>
                  <w:noProof/>
                </w:rPr>
                <w:t>)</w:t>
              </w:r>
              <w:r>
                <w:rPr>
                  <w:noProof/>
                </w:rPr>
                <w:t xml:space="preserve">. </w:t>
              </w:r>
              <w:r>
                <w:rPr>
                  <w:i/>
                  <w:iCs/>
                  <w:noProof/>
                </w:rPr>
                <w:t xml:space="preserve">Over £800 million to boost innovation, growth and improve patient safety. </w:t>
              </w:r>
              <w:r>
                <w:rPr>
                  <w:noProof/>
                </w:rPr>
                <w:t xml:space="preserve">[Online] </w:t>
              </w:r>
              <w:r>
                <w:rPr>
                  <w:noProof/>
                </w:rPr>
                <w:br/>
                <w:t xml:space="preserve">Available at: </w:t>
              </w:r>
              <w:r>
                <w:rPr>
                  <w:noProof/>
                  <w:u w:val="single"/>
                </w:rPr>
                <w:t>https://www.gov.uk/government/news/over-800m-to-boost-innovation-growth-and-improve-patient-safety</w:t>
              </w:r>
              <w:r>
                <w:rPr>
                  <w:noProof/>
                </w:rPr>
                <w:br/>
                <w:t>[Accessed</w:t>
              </w:r>
              <w:r w:rsidR="00751E7E">
                <w:rPr>
                  <w:noProof/>
                </w:rPr>
                <w:t xml:space="preserve">10 November </w:t>
              </w:r>
              <w:r>
                <w:rPr>
                  <w:noProof/>
                </w:rPr>
                <w:t>2022].</w:t>
              </w:r>
            </w:p>
            <w:p w14:paraId="1FC5E1C5" w14:textId="156A80EF" w:rsidR="00966A4B" w:rsidRDefault="00966A4B" w:rsidP="00B07AE2">
              <w:pPr>
                <w:pStyle w:val="Bibliography"/>
                <w:ind w:right="0"/>
                <w:jc w:val="left"/>
                <w:rPr>
                  <w:noProof/>
                </w:rPr>
              </w:pPr>
              <w:r>
                <w:rPr>
                  <w:noProof/>
                </w:rPr>
                <w:t xml:space="preserve">Gwynne, N. R., </w:t>
              </w:r>
              <w:r w:rsidR="001D551F">
                <w:rPr>
                  <w:noProof/>
                </w:rPr>
                <w:t>(</w:t>
              </w:r>
              <w:r>
                <w:rPr>
                  <w:noProof/>
                </w:rPr>
                <w:t>2009</w:t>
              </w:r>
              <w:r w:rsidR="001D551F">
                <w:rPr>
                  <w:noProof/>
                </w:rPr>
                <w:t>)</w:t>
              </w:r>
              <w:r>
                <w:rPr>
                  <w:noProof/>
                </w:rPr>
                <w:t xml:space="preserve">. Modernization Theory. In: N. K. R. Thrift, ed. </w:t>
              </w:r>
              <w:r>
                <w:rPr>
                  <w:i/>
                  <w:iCs/>
                  <w:noProof/>
                </w:rPr>
                <w:t xml:space="preserve">International Encyclopedia of Human Geography. </w:t>
              </w:r>
              <w:r>
                <w:rPr>
                  <w:noProof/>
                </w:rPr>
                <w:t>Amsterdam: Elsevier, p. 8250.</w:t>
              </w:r>
            </w:p>
            <w:p w14:paraId="0572FE5D" w14:textId="684BBCBA" w:rsidR="00966A4B" w:rsidRDefault="00966A4B" w:rsidP="00B07AE2">
              <w:pPr>
                <w:pStyle w:val="Bibliography"/>
                <w:ind w:right="0"/>
                <w:jc w:val="left"/>
                <w:rPr>
                  <w:noProof/>
                </w:rPr>
              </w:pPr>
              <w:r>
                <w:rPr>
                  <w:noProof/>
                </w:rPr>
                <w:t xml:space="preserve">Jack, K., Ridley, C. &amp; Turner, S., </w:t>
              </w:r>
              <w:r w:rsidR="00954DC3">
                <w:rPr>
                  <w:noProof/>
                </w:rPr>
                <w:t>(</w:t>
              </w:r>
              <w:r>
                <w:rPr>
                  <w:noProof/>
                </w:rPr>
                <w:t>2019</w:t>
              </w:r>
              <w:r w:rsidR="00954DC3">
                <w:rPr>
                  <w:noProof/>
                </w:rPr>
                <w:t>)</w:t>
              </w:r>
              <w:r>
                <w:rPr>
                  <w:noProof/>
                </w:rPr>
                <w:t xml:space="preserve">. </w:t>
              </w:r>
              <w:r w:rsidR="00954DC3">
                <w:rPr>
                  <w:noProof/>
                </w:rPr>
                <w:t>'</w:t>
              </w:r>
              <w:r>
                <w:rPr>
                  <w:noProof/>
                </w:rPr>
                <w:t>Effective communication with older people</w:t>
              </w:r>
              <w:r w:rsidR="00954DC3">
                <w:rPr>
                  <w:noProof/>
                </w:rPr>
                <w:t>'</w:t>
              </w:r>
              <w:r>
                <w:rPr>
                  <w:noProof/>
                </w:rPr>
                <w:t xml:space="preserve">. </w:t>
              </w:r>
              <w:r>
                <w:rPr>
                  <w:i/>
                  <w:iCs/>
                  <w:noProof/>
                </w:rPr>
                <w:t xml:space="preserve">Nursing Older People , </w:t>
              </w:r>
              <w:r>
                <w:rPr>
                  <w:noProof/>
                </w:rPr>
                <w:t>31(4), pp. 2-6.</w:t>
              </w:r>
            </w:p>
            <w:p w14:paraId="2794E751" w14:textId="3132475B" w:rsidR="00966A4B" w:rsidRDefault="00966A4B" w:rsidP="00B07AE2">
              <w:pPr>
                <w:pStyle w:val="Bibliography"/>
                <w:ind w:right="0"/>
                <w:jc w:val="left"/>
                <w:rPr>
                  <w:noProof/>
                </w:rPr>
              </w:pPr>
              <w:r>
                <w:rPr>
                  <w:noProof/>
                </w:rPr>
                <w:t xml:space="preserve">Killeen, E. et al., </w:t>
              </w:r>
              <w:r w:rsidR="00870A74">
                <w:rPr>
                  <w:noProof/>
                </w:rPr>
                <w:t>(</w:t>
              </w:r>
              <w:r>
                <w:rPr>
                  <w:noProof/>
                </w:rPr>
                <w:t>2022</w:t>
              </w:r>
              <w:r w:rsidR="00870A74">
                <w:rPr>
                  <w:noProof/>
                </w:rPr>
                <w:t>)</w:t>
              </w:r>
              <w:r>
                <w:rPr>
                  <w:noProof/>
                </w:rPr>
                <w:t xml:space="preserve">. </w:t>
              </w:r>
              <w:r w:rsidR="00870A74">
                <w:rPr>
                  <w:noProof/>
                </w:rPr>
                <w:t>'</w:t>
              </w:r>
              <w:r>
                <w:rPr>
                  <w:noProof/>
                </w:rPr>
                <w:t>Safeguarding adults at risk of abuse: identifying educational gaps amongst hospital staff to guide training</w:t>
              </w:r>
              <w:r w:rsidR="00870A74">
                <w:rPr>
                  <w:noProof/>
                </w:rPr>
                <w:t>'</w:t>
              </w:r>
              <w:r>
                <w:rPr>
                  <w:noProof/>
                </w:rPr>
                <w:t xml:space="preserve">. </w:t>
              </w:r>
              <w:r>
                <w:rPr>
                  <w:i/>
                  <w:iCs/>
                  <w:noProof/>
                </w:rPr>
                <w:t xml:space="preserve">Irish Journal of Medical Science, </w:t>
              </w:r>
              <w:r>
                <w:rPr>
                  <w:noProof/>
                </w:rPr>
                <w:t>4(1), pp. 2-6. https://doi.org/10.1007/s11845-022-02965-4.</w:t>
              </w:r>
            </w:p>
            <w:p w14:paraId="167AC461" w14:textId="48349EB4" w:rsidR="00966A4B" w:rsidRDefault="00966A4B" w:rsidP="00B07AE2">
              <w:pPr>
                <w:pStyle w:val="Bibliography"/>
                <w:ind w:right="0"/>
                <w:jc w:val="left"/>
                <w:rPr>
                  <w:noProof/>
                </w:rPr>
              </w:pPr>
              <w:r>
                <w:rPr>
                  <w:noProof/>
                </w:rPr>
                <w:t xml:space="preserve">Kuypers, A. J. &amp; Bengtson, L. V., </w:t>
              </w:r>
              <w:r w:rsidR="00870A74">
                <w:rPr>
                  <w:noProof/>
                </w:rPr>
                <w:t>(</w:t>
              </w:r>
              <w:r>
                <w:rPr>
                  <w:noProof/>
                </w:rPr>
                <w:t>1973</w:t>
              </w:r>
              <w:r w:rsidR="00870A74">
                <w:rPr>
                  <w:noProof/>
                </w:rPr>
                <w:t>)</w:t>
              </w:r>
              <w:r>
                <w:rPr>
                  <w:noProof/>
                </w:rPr>
                <w:t xml:space="preserve">. </w:t>
              </w:r>
              <w:r w:rsidR="00870A74">
                <w:rPr>
                  <w:noProof/>
                </w:rPr>
                <w:t>'</w:t>
              </w:r>
              <w:r>
                <w:rPr>
                  <w:noProof/>
                </w:rPr>
                <w:t>Social Breakdown and Competence: A Model of Normal Aging</w:t>
              </w:r>
              <w:r w:rsidR="00870A74">
                <w:rPr>
                  <w:noProof/>
                </w:rPr>
                <w:t>'</w:t>
              </w:r>
              <w:r>
                <w:rPr>
                  <w:noProof/>
                </w:rPr>
                <w:t xml:space="preserve">. </w:t>
              </w:r>
              <w:r>
                <w:rPr>
                  <w:i/>
                  <w:iCs/>
                  <w:noProof/>
                </w:rPr>
                <w:t xml:space="preserve">Human Development, </w:t>
              </w:r>
              <w:r>
                <w:rPr>
                  <w:noProof/>
                </w:rPr>
                <w:t>16(3), pp. 181-201.</w:t>
              </w:r>
            </w:p>
            <w:p w14:paraId="7ECC6852" w14:textId="7C63E5A2" w:rsidR="00966A4B" w:rsidRDefault="00966A4B" w:rsidP="00B07AE2">
              <w:pPr>
                <w:pStyle w:val="Bibliography"/>
                <w:ind w:right="0"/>
                <w:jc w:val="left"/>
                <w:rPr>
                  <w:noProof/>
                </w:rPr>
              </w:pPr>
              <w:r>
                <w:rPr>
                  <w:noProof/>
                </w:rPr>
                <w:t xml:space="preserve">Lebrasseur, A. et al., </w:t>
              </w:r>
              <w:r w:rsidR="00870A74">
                <w:rPr>
                  <w:noProof/>
                </w:rPr>
                <w:t>(</w:t>
              </w:r>
              <w:r>
                <w:rPr>
                  <w:noProof/>
                </w:rPr>
                <w:t>2021</w:t>
              </w:r>
              <w:r w:rsidR="00870A74">
                <w:rPr>
                  <w:noProof/>
                </w:rPr>
                <w:t>)</w:t>
              </w:r>
              <w:r>
                <w:rPr>
                  <w:noProof/>
                </w:rPr>
                <w:t xml:space="preserve">. </w:t>
              </w:r>
              <w:r w:rsidR="00870A74">
                <w:rPr>
                  <w:noProof/>
                </w:rPr>
                <w:t>'</w:t>
              </w:r>
              <w:r>
                <w:rPr>
                  <w:noProof/>
                </w:rPr>
                <w:t>Impact of the COVID-19 Pandemic on Older Adults: Rapid Review</w:t>
              </w:r>
              <w:r w:rsidR="00AF7229">
                <w:rPr>
                  <w:noProof/>
                </w:rPr>
                <w:t>'</w:t>
              </w:r>
              <w:r>
                <w:rPr>
                  <w:noProof/>
                </w:rPr>
                <w:t xml:space="preserve">. </w:t>
              </w:r>
              <w:r>
                <w:rPr>
                  <w:i/>
                  <w:iCs/>
                  <w:noProof/>
                </w:rPr>
                <w:t xml:space="preserve">JMIR Aging, </w:t>
              </w:r>
              <w:r>
                <w:rPr>
                  <w:noProof/>
                </w:rPr>
                <w:t>4(2), pp. e26474-80.</w:t>
              </w:r>
            </w:p>
            <w:p w14:paraId="02CAFCA4" w14:textId="17E4880E" w:rsidR="00966A4B" w:rsidRDefault="00966A4B" w:rsidP="00B07AE2">
              <w:pPr>
                <w:pStyle w:val="Bibliography"/>
                <w:ind w:right="0"/>
                <w:jc w:val="left"/>
                <w:rPr>
                  <w:noProof/>
                </w:rPr>
              </w:pPr>
              <w:r>
                <w:rPr>
                  <w:noProof/>
                </w:rPr>
                <w:t xml:space="preserve">Lohmann, A. R., </w:t>
              </w:r>
              <w:r w:rsidR="001D551F">
                <w:rPr>
                  <w:noProof/>
                </w:rPr>
                <w:t>(</w:t>
              </w:r>
              <w:r>
                <w:rPr>
                  <w:noProof/>
                </w:rPr>
                <w:t>1980</w:t>
              </w:r>
              <w:r w:rsidR="001D551F">
                <w:rPr>
                  <w:noProof/>
                </w:rPr>
                <w:t>)</w:t>
              </w:r>
              <w:r>
                <w:rPr>
                  <w:noProof/>
                </w:rPr>
                <w:t xml:space="preserve">. </w:t>
              </w:r>
              <w:r>
                <w:rPr>
                  <w:i/>
                  <w:iCs/>
                  <w:noProof/>
                </w:rPr>
                <w:t xml:space="preserve">Aging as Symbolic Interaction , </w:t>
              </w:r>
              <w:r>
                <w:rPr>
                  <w:noProof/>
                </w:rPr>
                <w:t>West Virginia.: West Virginia University.</w:t>
              </w:r>
            </w:p>
            <w:p w14:paraId="404AD3F4" w14:textId="7DDDF915" w:rsidR="00966A4B" w:rsidRDefault="00966A4B" w:rsidP="00B07AE2">
              <w:pPr>
                <w:pStyle w:val="Bibliography"/>
                <w:ind w:right="0"/>
                <w:jc w:val="left"/>
                <w:rPr>
                  <w:noProof/>
                </w:rPr>
              </w:pPr>
              <w:r>
                <w:rPr>
                  <w:noProof/>
                </w:rPr>
                <w:t xml:space="preserve">Loveys, K. et al., </w:t>
              </w:r>
              <w:r w:rsidR="00AF7229">
                <w:rPr>
                  <w:noProof/>
                </w:rPr>
                <w:t>(</w:t>
              </w:r>
              <w:r>
                <w:rPr>
                  <w:noProof/>
                </w:rPr>
                <w:t>2022</w:t>
              </w:r>
              <w:r w:rsidR="00AF7229">
                <w:rPr>
                  <w:noProof/>
                </w:rPr>
                <w:t>)</w:t>
              </w:r>
              <w:r>
                <w:rPr>
                  <w:noProof/>
                </w:rPr>
                <w:t xml:space="preserve">. </w:t>
              </w:r>
              <w:r w:rsidR="00AF7229">
                <w:rPr>
                  <w:noProof/>
                </w:rPr>
                <w:t>'</w:t>
              </w:r>
              <w:r>
                <w:rPr>
                  <w:noProof/>
                </w:rPr>
                <w:t xml:space="preserve">Artificial intelligence for older people receiving long-term care: </w:t>
              </w:r>
              <w:r w:rsidR="00B07AE2">
                <w:rPr>
                  <w:noProof/>
                </w:rPr>
                <w:t>A</w:t>
              </w:r>
              <w:r>
                <w:rPr>
                  <w:noProof/>
                </w:rPr>
                <w:t xml:space="preserve"> systematic review of acceptability and effectiveness studies</w:t>
              </w:r>
              <w:r w:rsidR="00AF7229">
                <w:rPr>
                  <w:noProof/>
                </w:rPr>
                <w:t>'</w:t>
              </w:r>
              <w:r>
                <w:rPr>
                  <w:noProof/>
                </w:rPr>
                <w:t xml:space="preserve">. </w:t>
              </w:r>
              <w:r>
                <w:rPr>
                  <w:i/>
                  <w:iCs/>
                  <w:noProof/>
                </w:rPr>
                <w:t xml:space="preserve">The Lancet Healthy Longevity, </w:t>
              </w:r>
              <w:r>
                <w:rPr>
                  <w:noProof/>
                </w:rPr>
                <w:t>3(4), pp. 286-297.</w:t>
              </w:r>
            </w:p>
            <w:p w14:paraId="11B21036" w14:textId="5B45363E" w:rsidR="00966A4B" w:rsidRDefault="00966A4B" w:rsidP="00B07AE2">
              <w:pPr>
                <w:pStyle w:val="Bibliography"/>
                <w:ind w:right="0"/>
                <w:jc w:val="left"/>
                <w:rPr>
                  <w:noProof/>
                </w:rPr>
              </w:pPr>
              <w:r>
                <w:rPr>
                  <w:noProof/>
                </w:rPr>
                <w:t xml:space="preserve">Manthorpe, J. &amp; Martineau, S., </w:t>
              </w:r>
              <w:r w:rsidR="00AF7229">
                <w:rPr>
                  <w:noProof/>
                </w:rPr>
                <w:t>(</w:t>
              </w:r>
              <w:r>
                <w:rPr>
                  <w:noProof/>
                </w:rPr>
                <w:t>2017</w:t>
              </w:r>
              <w:r w:rsidR="00AF7229">
                <w:rPr>
                  <w:noProof/>
                </w:rPr>
                <w:t>)</w:t>
              </w:r>
              <w:r>
                <w:rPr>
                  <w:noProof/>
                </w:rPr>
                <w:t xml:space="preserve">. </w:t>
              </w:r>
              <w:r w:rsidR="00AF7229">
                <w:rPr>
                  <w:noProof/>
                </w:rPr>
                <w:t>'</w:t>
              </w:r>
              <w:r>
                <w:rPr>
                  <w:noProof/>
                </w:rPr>
                <w:t>Engaging with the New System of Safeguarding Adults Reviews Concerning Care Homes for Older People</w:t>
              </w:r>
              <w:r w:rsidR="00AF7229">
                <w:rPr>
                  <w:noProof/>
                </w:rPr>
                <w:t>'</w:t>
              </w:r>
              <w:r>
                <w:rPr>
                  <w:noProof/>
                </w:rPr>
                <w:t xml:space="preserve">. </w:t>
              </w:r>
              <w:r>
                <w:rPr>
                  <w:i/>
                  <w:iCs/>
                  <w:noProof/>
                </w:rPr>
                <w:t xml:space="preserve">The British Journal of Social Work, </w:t>
              </w:r>
              <w:r>
                <w:rPr>
                  <w:noProof/>
                </w:rPr>
                <w:t>47(7), pp. 2086-2099.</w:t>
              </w:r>
            </w:p>
            <w:p w14:paraId="7724A68E" w14:textId="7507EA07" w:rsidR="00966A4B" w:rsidRDefault="00966A4B" w:rsidP="00B07AE2">
              <w:pPr>
                <w:pStyle w:val="Bibliography"/>
                <w:ind w:right="0"/>
                <w:jc w:val="left"/>
                <w:rPr>
                  <w:noProof/>
                </w:rPr>
              </w:pPr>
              <w:r>
                <w:rPr>
                  <w:noProof/>
                </w:rPr>
                <w:t xml:space="preserve">Marshall, V., </w:t>
              </w:r>
              <w:r w:rsidR="007755FD">
                <w:rPr>
                  <w:noProof/>
                </w:rPr>
                <w:t>(</w:t>
              </w:r>
              <w:r>
                <w:rPr>
                  <w:noProof/>
                </w:rPr>
                <w:t>1979</w:t>
              </w:r>
              <w:r w:rsidR="007755FD">
                <w:rPr>
                  <w:noProof/>
                </w:rPr>
                <w:t>)</w:t>
              </w:r>
              <w:r>
                <w:rPr>
                  <w:noProof/>
                </w:rPr>
                <w:t xml:space="preserve">. </w:t>
              </w:r>
              <w:r w:rsidR="007755FD">
                <w:rPr>
                  <w:noProof/>
                </w:rPr>
                <w:t>'</w:t>
              </w:r>
              <w:r>
                <w:rPr>
                  <w:noProof/>
                </w:rPr>
                <w:t>No Exit: A Symbolic Interactionist Perspective on Aging</w:t>
              </w:r>
              <w:r w:rsidR="007755FD">
                <w:rPr>
                  <w:noProof/>
                </w:rPr>
                <w:t>'</w:t>
              </w:r>
              <w:r>
                <w:rPr>
                  <w:noProof/>
                </w:rPr>
                <w:t xml:space="preserve">. </w:t>
              </w:r>
              <w:r>
                <w:rPr>
                  <w:i/>
                  <w:iCs/>
                  <w:noProof/>
                </w:rPr>
                <w:t xml:space="preserve">The International Journal of Aging and Human Development , </w:t>
              </w:r>
              <w:r>
                <w:rPr>
                  <w:noProof/>
                </w:rPr>
                <w:t>9(4), pp. 345-58.</w:t>
              </w:r>
            </w:p>
            <w:p w14:paraId="5416859A" w14:textId="6971BC3A" w:rsidR="00966A4B" w:rsidRDefault="00966A4B" w:rsidP="00B07AE2">
              <w:pPr>
                <w:pStyle w:val="Bibliography"/>
                <w:ind w:right="0"/>
                <w:jc w:val="left"/>
                <w:rPr>
                  <w:noProof/>
                </w:rPr>
              </w:pPr>
              <w:r>
                <w:rPr>
                  <w:noProof/>
                </w:rPr>
                <w:t xml:space="preserve">MHA, </w:t>
              </w:r>
              <w:r w:rsidR="001D551F">
                <w:rPr>
                  <w:noProof/>
                </w:rPr>
                <w:t>(</w:t>
              </w:r>
              <w:r>
                <w:rPr>
                  <w:noProof/>
                </w:rPr>
                <w:t>2022</w:t>
              </w:r>
              <w:r w:rsidR="001D551F">
                <w:rPr>
                  <w:noProof/>
                </w:rPr>
                <w:t>)</w:t>
              </w:r>
              <w:r>
                <w:rPr>
                  <w:noProof/>
                </w:rPr>
                <w:t xml:space="preserve">. </w:t>
              </w:r>
              <w:r>
                <w:rPr>
                  <w:i/>
                  <w:iCs/>
                  <w:noProof/>
                </w:rPr>
                <w:t xml:space="preserve">Facts &amp; Stats. </w:t>
              </w:r>
              <w:r>
                <w:rPr>
                  <w:noProof/>
                </w:rPr>
                <w:t xml:space="preserve">[Online] </w:t>
              </w:r>
              <w:r>
                <w:rPr>
                  <w:noProof/>
                </w:rPr>
                <w:br/>
                <w:t xml:space="preserve">Available at: </w:t>
              </w:r>
              <w:r>
                <w:rPr>
                  <w:noProof/>
                  <w:u w:val="single"/>
                </w:rPr>
                <w:t>https://www.mha.org.uk/get-involved/policy-influencing/facts-stats/</w:t>
              </w:r>
              <w:r>
                <w:rPr>
                  <w:noProof/>
                </w:rPr>
                <w:br/>
                <w:t xml:space="preserve">[Accessed </w:t>
              </w:r>
              <w:r w:rsidR="00751E7E">
                <w:rPr>
                  <w:noProof/>
                </w:rPr>
                <w:t>12 November</w:t>
              </w:r>
              <w:r>
                <w:rPr>
                  <w:noProof/>
                </w:rPr>
                <w:t xml:space="preserve"> 2022].</w:t>
              </w:r>
            </w:p>
            <w:p w14:paraId="7F10540F" w14:textId="045257E8" w:rsidR="00966A4B" w:rsidRDefault="00966A4B" w:rsidP="00B07AE2">
              <w:pPr>
                <w:pStyle w:val="Bibliography"/>
                <w:ind w:right="0"/>
                <w:jc w:val="left"/>
                <w:rPr>
                  <w:noProof/>
                </w:rPr>
              </w:pPr>
              <w:r>
                <w:rPr>
                  <w:noProof/>
                </w:rPr>
                <w:t xml:space="preserve">Mukaetova-Ladinska, B. E., Harwood, T. &amp; Maltby, J., </w:t>
              </w:r>
              <w:r w:rsidR="007755FD">
                <w:rPr>
                  <w:noProof/>
                </w:rPr>
                <w:t>(</w:t>
              </w:r>
              <w:r>
                <w:rPr>
                  <w:noProof/>
                </w:rPr>
                <w:t>2020</w:t>
              </w:r>
              <w:r w:rsidR="007755FD">
                <w:rPr>
                  <w:noProof/>
                </w:rPr>
                <w:t>)</w:t>
              </w:r>
              <w:r>
                <w:rPr>
                  <w:noProof/>
                </w:rPr>
                <w:t xml:space="preserve">. </w:t>
              </w:r>
              <w:r w:rsidR="007755FD">
                <w:rPr>
                  <w:noProof/>
                </w:rPr>
                <w:t>'</w:t>
              </w:r>
              <w:r>
                <w:rPr>
                  <w:noProof/>
                </w:rPr>
                <w:t>Artificial Intelligence in the healthcare of older people</w:t>
              </w:r>
              <w:r w:rsidR="007755FD">
                <w:rPr>
                  <w:noProof/>
                </w:rPr>
                <w:t>'</w:t>
              </w:r>
              <w:r>
                <w:rPr>
                  <w:noProof/>
                </w:rPr>
                <w:t xml:space="preserve">. </w:t>
              </w:r>
              <w:r>
                <w:rPr>
                  <w:i/>
                  <w:iCs/>
                  <w:noProof/>
                </w:rPr>
                <w:t xml:space="preserve">Archives of Psychiatry and Mental Health, </w:t>
              </w:r>
              <w:r>
                <w:rPr>
                  <w:noProof/>
                </w:rPr>
                <w:t>4(1), pp. 7-12.</w:t>
              </w:r>
            </w:p>
            <w:p w14:paraId="3075D1F7" w14:textId="77777777" w:rsidR="00966A4B" w:rsidRDefault="00966A4B" w:rsidP="00B07AE2">
              <w:pPr>
                <w:pStyle w:val="Bibliography"/>
                <w:ind w:right="0"/>
                <w:jc w:val="left"/>
                <w:rPr>
                  <w:noProof/>
                </w:rPr>
              </w:pPr>
              <w:r>
                <w:rPr>
                  <w:noProof/>
                </w:rPr>
                <w:lastRenderedPageBreak/>
                <w:t xml:space="preserve">National Association of Local Councils, 2018. </w:t>
              </w:r>
              <w:r>
                <w:rPr>
                  <w:i/>
                  <w:iCs/>
                  <w:noProof/>
                </w:rPr>
                <w:t xml:space="preserve">Reaching out: Guide to helping principal and local councils tackle loneliness, </w:t>
              </w:r>
              <w:r>
                <w:rPr>
                  <w:noProof/>
                </w:rPr>
                <w:t>Bloomsbury: National Association of Local Councils.</w:t>
              </w:r>
            </w:p>
            <w:p w14:paraId="3304B6CA" w14:textId="27354612" w:rsidR="00966A4B" w:rsidRDefault="00966A4B" w:rsidP="00B07AE2">
              <w:pPr>
                <w:pStyle w:val="Bibliography"/>
                <w:ind w:right="0"/>
                <w:jc w:val="left"/>
                <w:rPr>
                  <w:noProof/>
                </w:rPr>
              </w:pPr>
              <w:r>
                <w:rPr>
                  <w:noProof/>
                </w:rPr>
                <w:t xml:space="preserve">NHS England, </w:t>
              </w:r>
              <w:r w:rsidR="001D551F">
                <w:rPr>
                  <w:noProof/>
                </w:rPr>
                <w:t>(</w:t>
              </w:r>
              <w:r>
                <w:rPr>
                  <w:noProof/>
                </w:rPr>
                <w:t>2022</w:t>
              </w:r>
              <w:r w:rsidR="001D551F">
                <w:rPr>
                  <w:noProof/>
                </w:rPr>
                <w:t>)</w:t>
              </w:r>
              <w:r>
                <w:rPr>
                  <w:noProof/>
                </w:rPr>
                <w:t xml:space="preserve">. </w:t>
              </w:r>
              <w:r>
                <w:rPr>
                  <w:i/>
                  <w:iCs/>
                  <w:noProof/>
                </w:rPr>
                <w:t xml:space="preserve">Improving care for older people. </w:t>
              </w:r>
              <w:r>
                <w:rPr>
                  <w:noProof/>
                </w:rPr>
                <w:t xml:space="preserve">[Online] </w:t>
              </w:r>
              <w:r>
                <w:rPr>
                  <w:noProof/>
                </w:rPr>
                <w:br/>
                <w:t xml:space="preserve">Available at: </w:t>
              </w:r>
              <w:r>
                <w:rPr>
                  <w:noProof/>
                  <w:u w:val="single"/>
                </w:rPr>
                <w:t>https://www.england.nhs.uk/ourwork/clinical-policy/older-people/improving-care-for-older-people/</w:t>
              </w:r>
              <w:r>
                <w:rPr>
                  <w:noProof/>
                </w:rPr>
                <w:br/>
                <w:t xml:space="preserve">[Accessed </w:t>
              </w:r>
              <w:r w:rsidR="00751E7E">
                <w:rPr>
                  <w:noProof/>
                </w:rPr>
                <w:t>12 November</w:t>
              </w:r>
              <w:r>
                <w:rPr>
                  <w:noProof/>
                </w:rPr>
                <w:t xml:space="preserve"> 2022].</w:t>
              </w:r>
            </w:p>
            <w:p w14:paraId="56E536DA" w14:textId="202F5098" w:rsidR="00966A4B" w:rsidRDefault="00966A4B" w:rsidP="00B07AE2">
              <w:pPr>
                <w:pStyle w:val="Bibliography"/>
                <w:ind w:right="0"/>
                <w:jc w:val="left"/>
                <w:rPr>
                  <w:noProof/>
                </w:rPr>
              </w:pPr>
              <w:r>
                <w:rPr>
                  <w:noProof/>
                </w:rPr>
                <w:t xml:space="preserve">NHS, </w:t>
              </w:r>
              <w:r w:rsidR="001D551F">
                <w:rPr>
                  <w:noProof/>
                </w:rPr>
                <w:t>(</w:t>
              </w:r>
              <w:r>
                <w:rPr>
                  <w:noProof/>
                </w:rPr>
                <w:t>2022</w:t>
              </w:r>
              <w:r w:rsidR="001D551F">
                <w:rPr>
                  <w:noProof/>
                </w:rPr>
                <w:t>)</w:t>
              </w:r>
              <w:r>
                <w:rPr>
                  <w:noProof/>
                </w:rPr>
                <w:t xml:space="preserve">. </w:t>
              </w:r>
              <w:r>
                <w:rPr>
                  <w:i/>
                  <w:iCs/>
                  <w:noProof/>
                </w:rPr>
                <w:t xml:space="preserve">Improving care for older people. </w:t>
              </w:r>
              <w:r>
                <w:rPr>
                  <w:noProof/>
                </w:rPr>
                <w:t xml:space="preserve">[Online] </w:t>
              </w:r>
              <w:r>
                <w:rPr>
                  <w:noProof/>
                </w:rPr>
                <w:br/>
                <w:t xml:space="preserve">Available at: </w:t>
              </w:r>
              <w:r>
                <w:rPr>
                  <w:noProof/>
                  <w:u w:val="single"/>
                </w:rPr>
                <w:t>https://www.england.nhs.uk/ourwork/clinical-policy/older-people/improving-care-for-older-people/#:~:text=How%20old%20is%20an%20older,healthier%20than%20someone%20aged%2060.</w:t>
              </w:r>
            </w:p>
            <w:p w14:paraId="3276305F" w14:textId="12D9972B" w:rsidR="00966A4B" w:rsidRDefault="00966A4B" w:rsidP="00B07AE2">
              <w:pPr>
                <w:pStyle w:val="Bibliography"/>
                <w:ind w:right="0"/>
                <w:jc w:val="left"/>
                <w:rPr>
                  <w:noProof/>
                </w:rPr>
              </w:pPr>
              <w:r>
                <w:rPr>
                  <w:noProof/>
                </w:rPr>
                <w:t xml:space="preserve">NIH, </w:t>
              </w:r>
              <w:r w:rsidR="001D551F">
                <w:rPr>
                  <w:noProof/>
                </w:rPr>
                <w:t>(</w:t>
              </w:r>
              <w:r>
                <w:rPr>
                  <w:noProof/>
                </w:rPr>
                <w:t>2022</w:t>
              </w:r>
              <w:r w:rsidR="001D551F">
                <w:rPr>
                  <w:noProof/>
                </w:rPr>
                <w:t>)</w:t>
              </w:r>
              <w:r>
                <w:rPr>
                  <w:noProof/>
                </w:rPr>
                <w:t xml:space="preserve">. </w:t>
              </w:r>
              <w:r>
                <w:rPr>
                  <w:i/>
                  <w:iCs/>
                  <w:noProof/>
                </w:rPr>
                <w:t xml:space="preserve">The National Institute on Aging. </w:t>
              </w:r>
              <w:r>
                <w:rPr>
                  <w:noProof/>
                </w:rPr>
                <w:t xml:space="preserve">[Online] </w:t>
              </w:r>
              <w:r>
                <w:rPr>
                  <w:noProof/>
                </w:rPr>
                <w:br/>
                <w:t xml:space="preserve">Available at: </w:t>
              </w:r>
              <w:r>
                <w:rPr>
                  <w:noProof/>
                  <w:u w:val="single"/>
                </w:rPr>
                <w:t>https://www.nia.nih.gov/about/aging-strategic-directions-research/goal-society-policy#:~:text=Societal%20aging%20can%20affect%20economic,of%20chronic%20disease%20and%20disability.</w:t>
              </w:r>
              <w:r>
                <w:rPr>
                  <w:noProof/>
                </w:rPr>
                <w:br/>
                <w:t>[Accessed</w:t>
              </w:r>
              <w:r w:rsidR="00751E7E">
                <w:rPr>
                  <w:noProof/>
                </w:rPr>
                <w:t xml:space="preserve"> 09 November</w:t>
              </w:r>
              <w:r>
                <w:rPr>
                  <w:noProof/>
                </w:rPr>
                <w:t xml:space="preserve"> 2022].</w:t>
              </w:r>
            </w:p>
            <w:p w14:paraId="7B2A8AEB" w14:textId="744A73EE" w:rsidR="00966A4B" w:rsidRDefault="00966A4B" w:rsidP="00B07AE2">
              <w:pPr>
                <w:pStyle w:val="Bibliography"/>
                <w:ind w:right="0"/>
                <w:jc w:val="left"/>
                <w:rPr>
                  <w:noProof/>
                </w:rPr>
              </w:pPr>
              <w:r>
                <w:rPr>
                  <w:noProof/>
                </w:rPr>
                <w:t xml:space="preserve">Osama, T., Pankhania, B. &amp; Majeed, A., </w:t>
              </w:r>
              <w:r w:rsidR="007755FD">
                <w:rPr>
                  <w:noProof/>
                </w:rPr>
                <w:t>(</w:t>
              </w:r>
              <w:r>
                <w:rPr>
                  <w:noProof/>
                </w:rPr>
                <w:t>2020</w:t>
              </w:r>
              <w:r w:rsidR="007755FD">
                <w:rPr>
                  <w:noProof/>
                </w:rPr>
                <w:t>)</w:t>
              </w:r>
              <w:r>
                <w:rPr>
                  <w:noProof/>
                </w:rPr>
                <w:t xml:space="preserve">. </w:t>
              </w:r>
              <w:r w:rsidR="007755FD">
                <w:rPr>
                  <w:noProof/>
                </w:rPr>
                <w:t>'</w:t>
              </w:r>
              <w:r>
                <w:rPr>
                  <w:noProof/>
                </w:rPr>
                <w:t>Protecting older people from COVID-19: should the United Kingdom start at age 60?</w:t>
              </w:r>
              <w:r w:rsidR="007755FD">
                <w:rPr>
                  <w:noProof/>
                </w:rPr>
                <w:t>'</w:t>
              </w:r>
              <w:r>
                <w:rPr>
                  <w:noProof/>
                </w:rPr>
                <w:t xml:space="preserve">. </w:t>
              </w:r>
              <w:r>
                <w:rPr>
                  <w:i/>
                  <w:iCs/>
                  <w:noProof/>
                </w:rPr>
                <w:t xml:space="preserve">Journal of the Royal Society of Medicine, </w:t>
              </w:r>
              <w:r>
                <w:rPr>
                  <w:noProof/>
                </w:rPr>
                <w:t>113(5), pp. 2-6.</w:t>
              </w:r>
            </w:p>
            <w:p w14:paraId="2A20547B" w14:textId="77777777" w:rsidR="00966A4B" w:rsidRDefault="00966A4B" w:rsidP="00B07AE2">
              <w:pPr>
                <w:pStyle w:val="Bibliography"/>
                <w:ind w:right="0"/>
                <w:jc w:val="left"/>
                <w:rPr>
                  <w:noProof/>
                </w:rPr>
              </w:pPr>
              <w:r>
                <w:rPr>
                  <w:noProof/>
                </w:rPr>
                <w:t xml:space="preserve">Pruchno, R., 2021. Disengagement Theory. In: </w:t>
              </w:r>
              <w:r>
                <w:rPr>
                  <w:i/>
                  <w:iCs/>
                  <w:noProof/>
                </w:rPr>
                <w:t xml:space="preserve">Handbook of the Psychology of Aging. </w:t>
              </w:r>
              <w:r>
                <w:rPr>
                  <w:noProof/>
                </w:rPr>
                <w:t>Cambridge: Academic Press, pp. 301-318.</w:t>
              </w:r>
            </w:p>
            <w:p w14:paraId="3555B6F2" w14:textId="4B701F36" w:rsidR="00966A4B" w:rsidRDefault="00966A4B" w:rsidP="00B07AE2">
              <w:pPr>
                <w:pStyle w:val="Bibliography"/>
                <w:ind w:right="0"/>
                <w:jc w:val="left"/>
                <w:rPr>
                  <w:noProof/>
                </w:rPr>
              </w:pPr>
              <w:r>
                <w:rPr>
                  <w:noProof/>
                </w:rPr>
                <w:t xml:space="preserve">Rajani, F. &amp; Jawaid, H., </w:t>
              </w:r>
              <w:r w:rsidR="007755FD">
                <w:rPr>
                  <w:noProof/>
                </w:rPr>
                <w:t>(</w:t>
              </w:r>
              <w:r>
                <w:rPr>
                  <w:noProof/>
                </w:rPr>
                <w:t>2015</w:t>
              </w:r>
              <w:r w:rsidR="007755FD">
                <w:rPr>
                  <w:noProof/>
                </w:rPr>
                <w:t>)</w:t>
              </w:r>
              <w:r>
                <w:rPr>
                  <w:noProof/>
                </w:rPr>
                <w:t xml:space="preserve">. </w:t>
              </w:r>
              <w:r w:rsidR="007755FD">
                <w:rPr>
                  <w:noProof/>
                </w:rPr>
                <w:t>'</w:t>
              </w:r>
              <w:r>
                <w:rPr>
                  <w:noProof/>
                </w:rPr>
                <w:t>Theory of Gerotranscendence: An Analysis</w:t>
              </w:r>
              <w:r w:rsidR="007755FD">
                <w:rPr>
                  <w:noProof/>
                </w:rPr>
                <w:t>'</w:t>
              </w:r>
              <w:r>
                <w:rPr>
                  <w:noProof/>
                </w:rPr>
                <w:t xml:space="preserve">. </w:t>
              </w:r>
              <w:r>
                <w:rPr>
                  <w:i/>
                  <w:iCs/>
                  <w:noProof/>
                </w:rPr>
                <w:t xml:space="preserve">Austin Journal of Psychiatry and Behavioral Sciences, </w:t>
              </w:r>
              <w:r>
                <w:rPr>
                  <w:noProof/>
                </w:rPr>
                <w:t>2(1), pp. 1035-40.</w:t>
              </w:r>
            </w:p>
            <w:p w14:paraId="34582799" w14:textId="796B643E" w:rsidR="00966A4B" w:rsidRDefault="00966A4B" w:rsidP="00B07AE2">
              <w:pPr>
                <w:pStyle w:val="Bibliography"/>
                <w:ind w:right="0"/>
                <w:jc w:val="left"/>
                <w:rPr>
                  <w:noProof/>
                </w:rPr>
              </w:pPr>
              <w:r>
                <w:rPr>
                  <w:noProof/>
                </w:rPr>
                <w:t xml:space="preserve">Restrepo, E. H. &amp; Rozental, M., </w:t>
              </w:r>
              <w:r w:rsidR="007755FD">
                <w:rPr>
                  <w:noProof/>
                </w:rPr>
                <w:t>(</w:t>
              </w:r>
              <w:r>
                <w:rPr>
                  <w:noProof/>
                </w:rPr>
                <w:t>1994</w:t>
              </w:r>
              <w:r w:rsidR="007755FD">
                <w:rPr>
                  <w:noProof/>
                </w:rPr>
                <w:t>)</w:t>
              </w:r>
              <w:r>
                <w:rPr>
                  <w:noProof/>
                </w:rPr>
                <w:t xml:space="preserve">. </w:t>
              </w:r>
              <w:r w:rsidR="007755FD">
                <w:rPr>
                  <w:noProof/>
                </w:rPr>
                <w:t>'</w:t>
              </w:r>
              <w:r>
                <w:rPr>
                  <w:noProof/>
                </w:rPr>
                <w:t>The social impact of aging populations: Some major issues</w:t>
              </w:r>
              <w:r w:rsidR="007755FD">
                <w:rPr>
                  <w:noProof/>
                </w:rPr>
                <w:t>'</w:t>
              </w:r>
              <w:r>
                <w:rPr>
                  <w:noProof/>
                </w:rPr>
                <w:t xml:space="preserve">. </w:t>
              </w:r>
              <w:r>
                <w:rPr>
                  <w:i/>
                  <w:iCs/>
                  <w:noProof/>
                </w:rPr>
                <w:t xml:space="preserve">Social Science &amp; Medicine, </w:t>
              </w:r>
              <w:r>
                <w:rPr>
                  <w:noProof/>
                </w:rPr>
                <w:t>39(9), pp. 1323-1338.</w:t>
              </w:r>
            </w:p>
            <w:p w14:paraId="34F3EF93" w14:textId="6B23718B" w:rsidR="00966A4B" w:rsidRDefault="00966A4B" w:rsidP="00B07AE2">
              <w:pPr>
                <w:pStyle w:val="Bibliography"/>
                <w:ind w:right="0"/>
                <w:jc w:val="left"/>
                <w:rPr>
                  <w:noProof/>
                </w:rPr>
              </w:pPr>
              <w:r>
                <w:rPr>
                  <w:noProof/>
                </w:rPr>
                <w:t xml:space="preserve">Royal Geographical Society, </w:t>
              </w:r>
              <w:r w:rsidR="001D551F">
                <w:rPr>
                  <w:noProof/>
                </w:rPr>
                <w:t>(</w:t>
              </w:r>
              <w:r>
                <w:rPr>
                  <w:noProof/>
                </w:rPr>
                <w:t>2022</w:t>
              </w:r>
              <w:r w:rsidR="001D551F">
                <w:rPr>
                  <w:noProof/>
                </w:rPr>
                <w:t>)</w:t>
              </w:r>
              <w:r>
                <w:rPr>
                  <w:noProof/>
                </w:rPr>
                <w:t xml:space="preserve">. </w:t>
              </w:r>
              <w:r>
                <w:rPr>
                  <w:i/>
                  <w:iCs/>
                  <w:noProof/>
                </w:rPr>
                <w:t xml:space="preserve">How will Britain Deal with an Aging Population?. </w:t>
              </w:r>
              <w:r>
                <w:rPr>
                  <w:noProof/>
                </w:rPr>
                <w:t xml:space="preserve">[Online] </w:t>
              </w:r>
              <w:r>
                <w:rPr>
                  <w:noProof/>
                </w:rPr>
                <w:br/>
                <w:t xml:space="preserve">Available at: </w:t>
              </w:r>
              <w:r>
                <w:rPr>
                  <w:noProof/>
                  <w:u w:val="single"/>
                </w:rPr>
                <w:t>https://21stcenturychallenges.org/how-will-britain-deal-with-an-ageing-population/</w:t>
              </w:r>
              <w:r>
                <w:rPr>
                  <w:noProof/>
                </w:rPr>
                <w:br/>
                <w:t xml:space="preserve">[Accessed </w:t>
              </w:r>
              <w:r w:rsidR="00751E7E">
                <w:rPr>
                  <w:noProof/>
                </w:rPr>
                <w:t>10 November</w:t>
              </w:r>
              <w:r>
                <w:rPr>
                  <w:noProof/>
                </w:rPr>
                <w:t xml:space="preserve"> 2022].</w:t>
              </w:r>
            </w:p>
            <w:p w14:paraId="0D3AAFD3" w14:textId="67EBB176" w:rsidR="00966A4B" w:rsidRDefault="00966A4B" w:rsidP="00B07AE2">
              <w:pPr>
                <w:pStyle w:val="Bibliography"/>
                <w:ind w:right="0"/>
                <w:jc w:val="left"/>
                <w:rPr>
                  <w:noProof/>
                </w:rPr>
              </w:pPr>
              <w:r>
                <w:rPr>
                  <w:noProof/>
                </w:rPr>
                <w:t xml:space="preserve">Singh, A. &amp; Misra, N., </w:t>
              </w:r>
              <w:r w:rsidR="00521D40">
                <w:rPr>
                  <w:noProof/>
                </w:rPr>
                <w:t>(</w:t>
              </w:r>
              <w:r>
                <w:rPr>
                  <w:noProof/>
                </w:rPr>
                <w:t>2009</w:t>
              </w:r>
              <w:r w:rsidR="00521D40">
                <w:rPr>
                  <w:noProof/>
                </w:rPr>
                <w:t>)</w:t>
              </w:r>
              <w:r>
                <w:rPr>
                  <w:noProof/>
                </w:rPr>
                <w:t xml:space="preserve">. </w:t>
              </w:r>
              <w:r w:rsidR="00521D40">
                <w:rPr>
                  <w:noProof/>
                </w:rPr>
                <w:t>'</w:t>
              </w:r>
              <w:r>
                <w:rPr>
                  <w:noProof/>
                </w:rPr>
                <w:t>Loneliness, depression and sociability in old age</w:t>
              </w:r>
              <w:r w:rsidR="00521D40">
                <w:rPr>
                  <w:noProof/>
                </w:rPr>
                <w:t>'</w:t>
              </w:r>
              <w:r>
                <w:rPr>
                  <w:noProof/>
                </w:rPr>
                <w:t xml:space="preserve">. </w:t>
              </w:r>
              <w:r>
                <w:rPr>
                  <w:i/>
                  <w:iCs/>
                  <w:noProof/>
                </w:rPr>
                <w:t xml:space="preserve">Industrial Psychiatry Journal, </w:t>
              </w:r>
              <w:r>
                <w:rPr>
                  <w:noProof/>
                </w:rPr>
                <w:t>18(1), pp. 51-55.</w:t>
              </w:r>
            </w:p>
            <w:p w14:paraId="1F77E7D4" w14:textId="65BFEA29" w:rsidR="00966A4B" w:rsidRDefault="00966A4B" w:rsidP="00B07AE2">
              <w:pPr>
                <w:pStyle w:val="Bibliography"/>
                <w:ind w:right="0"/>
                <w:jc w:val="left"/>
                <w:rPr>
                  <w:noProof/>
                </w:rPr>
              </w:pPr>
              <w:r>
                <w:rPr>
                  <w:noProof/>
                </w:rPr>
                <w:lastRenderedPageBreak/>
                <w:t xml:space="preserve">Su, Z. et al., </w:t>
              </w:r>
              <w:r w:rsidR="00521D40">
                <w:rPr>
                  <w:noProof/>
                </w:rPr>
                <w:t>(</w:t>
              </w:r>
              <w:r>
                <w:rPr>
                  <w:noProof/>
                </w:rPr>
                <w:t>2022</w:t>
              </w:r>
              <w:r w:rsidR="00521D40">
                <w:rPr>
                  <w:noProof/>
                </w:rPr>
                <w:t>)</w:t>
              </w:r>
              <w:r>
                <w:rPr>
                  <w:noProof/>
                </w:rPr>
                <w:t xml:space="preserve">. </w:t>
              </w:r>
              <w:r w:rsidR="00521D40">
                <w:rPr>
                  <w:noProof/>
                </w:rPr>
                <w:t>'</w:t>
              </w:r>
              <w:r>
                <w:rPr>
                  <w:noProof/>
                </w:rPr>
                <w:t>6G and Artificial Intelligence Technologies for Dementia Care: Literature Review and Practical Analysis</w:t>
              </w:r>
              <w:r w:rsidR="00521D40">
                <w:rPr>
                  <w:noProof/>
                </w:rPr>
                <w:t>'</w:t>
              </w:r>
              <w:r>
                <w:rPr>
                  <w:noProof/>
                </w:rPr>
                <w:t xml:space="preserve">. </w:t>
              </w:r>
              <w:r>
                <w:rPr>
                  <w:i/>
                  <w:iCs/>
                  <w:noProof/>
                </w:rPr>
                <w:t xml:space="preserve">Journal of Medical Internet Research, </w:t>
              </w:r>
              <w:r>
                <w:rPr>
                  <w:noProof/>
                </w:rPr>
                <w:t>24(4), pp. e30503-10.</w:t>
              </w:r>
            </w:p>
            <w:p w14:paraId="56057001" w14:textId="535BC59F" w:rsidR="00966A4B" w:rsidRDefault="00966A4B" w:rsidP="00B07AE2">
              <w:pPr>
                <w:pStyle w:val="Bibliography"/>
                <w:ind w:right="0"/>
                <w:jc w:val="left"/>
                <w:rPr>
                  <w:noProof/>
                </w:rPr>
              </w:pPr>
              <w:r>
                <w:rPr>
                  <w:noProof/>
                </w:rPr>
                <w:t xml:space="preserve">The Health Foundation, </w:t>
              </w:r>
              <w:r w:rsidR="001D551F">
                <w:rPr>
                  <w:noProof/>
                </w:rPr>
                <w:t>(</w:t>
              </w:r>
              <w:r>
                <w:rPr>
                  <w:noProof/>
                </w:rPr>
                <w:t>2021</w:t>
              </w:r>
              <w:r w:rsidR="001D551F">
                <w:rPr>
                  <w:noProof/>
                </w:rPr>
                <w:t>)</w:t>
              </w:r>
              <w:r>
                <w:rPr>
                  <w:noProof/>
                </w:rPr>
                <w:t xml:space="preserve">. </w:t>
              </w:r>
              <w:r>
                <w:rPr>
                  <w:i/>
                  <w:iCs/>
                  <w:noProof/>
                </w:rPr>
                <w:t xml:space="preserve">Our ageing population. </w:t>
              </w:r>
              <w:r>
                <w:rPr>
                  <w:noProof/>
                </w:rPr>
                <w:t xml:space="preserve">[Online] </w:t>
              </w:r>
              <w:r>
                <w:rPr>
                  <w:noProof/>
                </w:rPr>
                <w:br/>
                <w:t xml:space="preserve">Available at: </w:t>
              </w:r>
              <w:r>
                <w:rPr>
                  <w:noProof/>
                  <w:u w:val="single"/>
                </w:rPr>
                <w:t>https://www.health.org.uk/publications/our-ageing-population#:~:text=In%20the%20next%2025%20years,health%20and%20social%20care%20services.</w:t>
              </w:r>
              <w:r w:rsidR="00751E7E">
                <w:rPr>
                  <w:noProof/>
                </w:rPr>
                <w:br/>
                <w:t>[Accessed 2</w:t>
              </w:r>
              <w:r>
                <w:rPr>
                  <w:noProof/>
                </w:rPr>
                <w:t>8 October 2022].</w:t>
              </w:r>
            </w:p>
            <w:p w14:paraId="29A6B4D9" w14:textId="0654768C" w:rsidR="00966A4B" w:rsidRDefault="00966A4B" w:rsidP="00B07AE2">
              <w:pPr>
                <w:pStyle w:val="Bibliography"/>
                <w:ind w:right="0"/>
                <w:jc w:val="left"/>
                <w:rPr>
                  <w:noProof/>
                </w:rPr>
              </w:pPr>
              <w:r>
                <w:rPr>
                  <w:noProof/>
                </w:rPr>
                <w:t xml:space="preserve">Tinker, A., </w:t>
              </w:r>
              <w:r w:rsidR="00521D40">
                <w:rPr>
                  <w:noProof/>
                </w:rPr>
                <w:t>(</w:t>
              </w:r>
              <w:r>
                <w:rPr>
                  <w:noProof/>
                </w:rPr>
                <w:t>2002</w:t>
              </w:r>
              <w:r w:rsidR="00521D40">
                <w:rPr>
                  <w:noProof/>
                </w:rPr>
                <w:t>)</w:t>
              </w:r>
              <w:r>
                <w:rPr>
                  <w:noProof/>
                </w:rPr>
                <w:t xml:space="preserve">. </w:t>
              </w:r>
              <w:r w:rsidR="00521D40">
                <w:rPr>
                  <w:noProof/>
                </w:rPr>
                <w:t>'</w:t>
              </w:r>
              <w:r>
                <w:rPr>
                  <w:noProof/>
                </w:rPr>
                <w:t>The social implications of an ageing population</w:t>
              </w:r>
              <w:r w:rsidR="00521D40">
                <w:rPr>
                  <w:noProof/>
                </w:rPr>
                <w:t>'</w:t>
              </w:r>
              <w:r>
                <w:rPr>
                  <w:noProof/>
                </w:rPr>
                <w:t xml:space="preserve">. </w:t>
              </w:r>
              <w:r>
                <w:rPr>
                  <w:i/>
                  <w:iCs/>
                  <w:noProof/>
                </w:rPr>
                <w:t xml:space="preserve">Mechanisms of Ageing and Development, </w:t>
              </w:r>
              <w:r>
                <w:rPr>
                  <w:noProof/>
                </w:rPr>
                <w:t>123(7), pp. 729-735.</w:t>
              </w:r>
            </w:p>
            <w:p w14:paraId="7B74C48A" w14:textId="718D7FE2" w:rsidR="00966A4B" w:rsidRDefault="00966A4B" w:rsidP="00B07AE2">
              <w:pPr>
                <w:pStyle w:val="Bibliography"/>
                <w:ind w:right="0"/>
                <w:jc w:val="left"/>
                <w:rPr>
                  <w:noProof/>
                </w:rPr>
              </w:pPr>
              <w:r>
                <w:rPr>
                  <w:noProof/>
                </w:rPr>
                <w:t xml:space="preserve">UK Parliament, </w:t>
              </w:r>
              <w:r w:rsidR="001D551F">
                <w:rPr>
                  <w:noProof/>
                </w:rPr>
                <w:t>(</w:t>
              </w:r>
              <w:r>
                <w:rPr>
                  <w:noProof/>
                </w:rPr>
                <w:t>2021</w:t>
              </w:r>
              <w:r w:rsidR="001D551F">
                <w:rPr>
                  <w:noProof/>
                </w:rPr>
                <w:t>)</w:t>
              </w:r>
              <w:r>
                <w:rPr>
                  <w:noProof/>
                </w:rPr>
                <w:t xml:space="preserve">. </w:t>
              </w:r>
              <w:r>
                <w:rPr>
                  <w:i/>
                  <w:iCs/>
                  <w:noProof/>
                </w:rPr>
                <w:t xml:space="preserve">House of Commons Library. </w:t>
              </w:r>
              <w:r>
                <w:rPr>
                  <w:noProof/>
                </w:rPr>
                <w:t xml:space="preserve">[Online] </w:t>
              </w:r>
              <w:r>
                <w:rPr>
                  <w:noProof/>
                </w:rPr>
                <w:br/>
                <w:t xml:space="preserve">Available at: </w:t>
              </w:r>
              <w:r>
                <w:rPr>
                  <w:noProof/>
                  <w:u w:val="single"/>
                </w:rPr>
                <w:t>https://commonslibrary.parliament.uk/research-briefings/cbp-9239/#:~:text=The%20UK's%20ageing%20population&amp;text=Around%20one%2Dfifth%20of%20the,population%20only%20increased%20by%207%25.</w:t>
              </w:r>
              <w:r w:rsidR="00751E7E">
                <w:rPr>
                  <w:noProof/>
                </w:rPr>
                <w:br/>
                <w:t>[Accessed 2</w:t>
              </w:r>
              <w:r>
                <w:rPr>
                  <w:noProof/>
                </w:rPr>
                <w:t>8 October 2022].</w:t>
              </w:r>
            </w:p>
            <w:p w14:paraId="49A4EEEC" w14:textId="170463AB" w:rsidR="00966A4B" w:rsidRDefault="00966A4B" w:rsidP="00B07AE2">
              <w:pPr>
                <w:pStyle w:val="Bibliography"/>
                <w:ind w:right="0"/>
                <w:jc w:val="left"/>
                <w:rPr>
                  <w:noProof/>
                </w:rPr>
              </w:pPr>
              <w:r>
                <w:rPr>
                  <w:noProof/>
                </w:rPr>
                <w:t xml:space="preserve">World Health Organisation (WHO), </w:t>
              </w:r>
              <w:r w:rsidR="001D551F">
                <w:rPr>
                  <w:noProof/>
                </w:rPr>
                <w:t>(</w:t>
              </w:r>
              <w:r>
                <w:rPr>
                  <w:noProof/>
                </w:rPr>
                <w:t>2022</w:t>
              </w:r>
              <w:r w:rsidR="001D551F">
                <w:rPr>
                  <w:noProof/>
                </w:rPr>
                <w:t>)</w:t>
              </w:r>
              <w:r>
                <w:rPr>
                  <w:noProof/>
                </w:rPr>
                <w:t xml:space="preserve">. </w:t>
              </w:r>
              <w:r>
                <w:rPr>
                  <w:i/>
                  <w:iCs/>
                  <w:noProof/>
                </w:rPr>
                <w:t xml:space="preserve">Ageing and health. </w:t>
              </w:r>
              <w:r>
                <w:rPr>
                  <w:noProof/>
                </w:rPr>
                <w:t xml:space="preserve">[Online] </w:t>
              </w:r>
              <w:r>
                <w:rPr>
                  <w:noProof/>
                </w:rPr>
                <w:br/>
                <w:t xml:space="preserve">Available at: </w:t>
              </w:r>
              <w:r>
                <w:rPr>
                  <w:noProof/>
                  <w:u w:val="single"/>
                </w:rPr>
                <w:t>https://www.who.int/news-room/fact-sheets/detail/ageing-and-health</w:t>
              </w:r>
              <w:r w:rsidR="00751E7E">
                <w:rPr>
                  <w:noProof/>
                </w:rPr>
                <w:br/>
                <w:t>[Accessed 2</w:t>
              </w:r>
              <w:r>
                <w:rPr>
                  <w:noProof/>
                </w:rPr>
                <w:t>9 October 2022].</w:t>
              </w:r>
            </w:p>
            <w:p w14:paraId="576EB943" w14:textId="23912DAB" w:rsidR="00966A4B" w:rsidRDefault="00966A4B" w:rsidP="00B07AE2">
              <w:pPr>
                <w:pStyle w:val="Bibliography"/>
                <w:ind w:right="0"/>
                <w:jc w:val="left"/>
                <w:rPr>
                  <w:noProof/>
                </w:rPr>
              </w:pPr>
              <w:r>
                <w:rPr>
                  <w:noProof/>
                </w:rPr>
                <w:t xml:space="preserve">Yenilmez, I. M., </w:t>
              </w:r>
              <w:r w:rsidR="00521D40">
                <w:rPr>
                  <w:noProof/>
                </w:rPr>
                <w:t>(</w:t>
              </w:r>
              <w:r>
                <w:rPr>
                  <w:noProof/>
                </w:rPr>
                <w:t>2015</w:t>
              </w:r>
              <w:r w:rsidR="00521D40">
                <w:rPr>
                  <w:noProof/>
                </w:rPr>
                <w:t>)</w:t>
              </w:r>
              <w:r>
                <w:rPr>
                  <w:noProof/>
                </w:rPr>
                <w:t xml:space="preserve">. </w:t>
              </w:r>
              <w:r w:rsidR="00521D40">
                <w:rPr>
                  <w:noProof/>
                </w:rPr>
                <w:t>'</w:t>
              </w:r>
              <w:r>
                <w:rPr>
                  <w:noProof/>
                </w:rPr>
                <w:t>Economic and Social Consequences of Population Aging the Dilemmas and Opportunities in the Twenty-First Century</w:t>
              </w:r>
              <w:r w:rsidR="00521D40">
                <w:rPr>
                  <w:noProof/>
                </w:rPr>
                <w:t>'</w:t>
              </w:r>
              <w:r>
                <w:rPr>
                  <w:noProof/>
                </w:rPr>
                <w:t xml:space="preserve">. </w:t>
              </w:r>
              <w:r>
                <w:rPr>
                  <w:i/>
                  <w:iCs/>
                  <w:noProof/>
                </w:rPr>
                <w:t xml:space="preserve">Applied Research in Quality of Life, </w:t>
              </w:r>
              <w:r>
                <w:rPr>
                  <w:noProof/>
                </w:rPr>
                <w:t>10(1), pp. 735-752.</w:t>
              </w:r>
            </w:p>
            <w:p w14:paraId="4DC61DE6" w14:textId="67707073" w:rsidR="00966A4B" w:rsidRDefault="00966A4B" w:rsidP="00B07AE2">
              <w:pPr>
                <w:pStyle w:val="Bibliography"/>
                <w:ind w:right="0"/>
                <w:jc w:val="left"/>
                <w:rPr>
                  <w:noProof/>
                </w:rPr>
              </w:pPr>
              <w:r>
                <w:rPr>
                  <w:noProof/>
                </w:rPr>
                <w:t xml:space="preserve">Yildirim, H., Isik, K. &amp; Aylaz, R., </w:t>
              </w:r>
              <w:r w:rsidR="00521D40">
                <w:rPr>
                  <w:noProof/>
                </w:rPr>
                <w:t>(</w:t>
              </w:r>
              <w:r>
                <w:rPr>
                  <w:noProof/>
                </w:rPr>
                <w:t>2021</w:t>
              </w:r>
              <w:r w:rsidR="00521D40">
                <w:rPr>
                  <w:noProof/>
                </w:rPr>
                <w:t>)</w:t>
              </w:r>
              <w:r>
                <w:rPr>
                  <w:noProof/>
                </w:rPr>
                <w:t xml:space="preserve">. </w:t>
              </w:r>
              <w:r w:rsidR="00521D40">
                <w:rPr>
                  <w:noProof/>
                </w:rPr>
                <w:t>'</w:t>
              </w:r>
              <w:r>
                <w:rPr>
                  <w:noProof/>
                </w:rPr>
                <w:t>The effect of anxiety levels of elderly people in quarantine on depression during covid-19 pandemic</w:t>
              </w:r>
              <w:r w:rsidR="00521D40">
                <w:rPr>
                  <w:noProof/>
                </w:rPr>
                <w:t>'</w:t>
              </w:r>
              <w:r>
                <w:rPr>
                  <w:noProof/>
                </w:rPr>
                <w:t xml:space="preserve">. </w:t>
              </w:r>
              <w:r>
                <w:rPr>
                  <w:i/>
                  <w:iCs/>
                  <w:noProof/>
                </w:rPr>
                <w:t xml:space="preserve">Social Work in Public Health, </w:t>
              </w:r>
              <w:r>
                <w:rPr>
                  <w:noProof/>
                </w:rPr>
                <w:t>17(36), pp. 194-204.</w:t>
              </w:r>
            </w:p>
            <w:p w14:paraId="24614E0F" w14:textId="4475E33C" w:rsidR="00966A4B" w:rsidRDefault="00966A4B" w:rsidP="00B07AE2">
              <w:pPr>
                <w:ind w:right="0"/>
                <w:jc w:val="left"/>
              </w:pPr>
              <w:r>
                <w:rPr>
                  <w:b/>
                  <w:bCs/>
                  <w:noProof/>
                </w:rPr>
                <w:fldChar w:fldCharType="end"/>
              </w:r>
            </w:p>
          </w:sdtContent>
        </w:sdt>
      </w:sdtContent>
    </w:sdt>
    <w:p w14:paraId="0355D385" w14:textId="77777777" w:rsidR="00966A4B" w:rsidRPr="00840C70" w:rsidRDefault="00966A4B" w:rsidP="00A30BFB">
      <w:pPr>
        <w:ind w:right="0"/>
      </w:pPr>
    </w:p>
    <w:sectPr w:rsidR="00966A4B" w:rsidRPr="00840C7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CB4DBF" w14:textId="77777777" w:rsidR="003E43D6" w:rsidRDefault="003E43D6" w:rsidP="00B76BA5">
      <w:pPr>
        <w:spacing w:line="240" w:lineRule="auto"/>
      </w:pPr>
      <w:r>
        <w:separator/>
      </w:r>
    </w:p>
  </w:endnote>
  <w:endnote w:type="continuationSeparator" w:id="0">
    <w:p w14:paraId="1E56E029" w14:textId="77777777" w:rsidR="003E43D6" w:rsidRDefault="003E43D6" w:rsidP="00B76B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DD86096" w14:textId="77777777" w:rsidR="003E43D6" w:rsidRDefault="003E43D6" w:rsidP="00B76BA5">
      <w:pPr>
        <w:spacing w:line="240" w:lineRule="auto"/>
      </w:pPr>
      <w:r>
        <w:separator/>
      </w:r>
    </w:p>
  </w:footnote>
  <w:footnote w:type="continuationSeparator" w:id="0">
    <w:p w14:paraId="7D341738" w14:textId="77777777" w:rsidR="003E43D6" w:rsidRDefault="003E43D6" w:rsidP="00B76BA5">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84FBCE" w14:textId="65291F16" w:rsidR="00B76BA5" w:rsidRDefault="00B76BA5" w:rsidP="00A30BFB">
    <w:pPr>
      <w:pStyle w:val="Header"/>
      <w:ind w:right="0"/>
      <w:jc w:val="right"/>
    </w:pPr>
  </w:p>
  <w:p w14:paraId="275DCBAA" w14:textId="77777777" w:rsidR="00B76BA5" w:rsidRDefault="00B76BA5" w:rsidP="00A30BFB">
    <w:pPr>
      <w:pStyle w:val="Header"/>
      <w:ind w:right="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C1NDEzNgGyLI0tLZR0lIJTi4sz8/NACkxqAXU7sOYsAAAA"/>
  </w:docVars>
  <w:rsids>
    <w:rsidRoot w:val="001A7B69"/>
    <w:rsid w:val="00002203"/>
    <w:rsid w:val="000027F9"/>
    <w:rsid w:val="0000580E"/>
    <w:rsid w:val="00006064"/>
    <w:rsid w:val="000071EF"/>
    <w:rsid w:val="00007EDA"/>
    <w:rsid w:val="00017598"/>
    <w:rsid w:val="00021E9F"/>
    <w:rsid w:val="000229D7"/>
    <w:rsid w:val="0002712F"/>
    <w:rsid w:val="000517A3"/>
    <w:rsid w:val="0006243F"/>
    <w:rsid w:val="000641C4"/>
    <w:rsid w:val="0006762A"/>
    <w:rsid w:val="00067C34"/>
    <w:rsid w:val="00093E68"/>
    <w:rsid w:val="000B1715"/>
    <w:rsid w:val="000C50EC"/>
    <w:rsid w:val="000C7DB5"/>
    <w:rsid w:val="000D19B0"/>
    <w:rsid w:val="000F2A82"/>
    <w:rsid w:val="000F3E69"/>
    <w:rsid w:val="000F4A16"/>
    <w:rsid w:val="000F7302"/>
    <w:rsid w:val="00107235"/>
    <w:rsid w:val="00110AE6"/>
    <w:rsid w:val="00112B1D"/>
    <w:rsid w:val="00131E97"/>
    <w:rsid w:val="00142095"/>
    <w:rsid w:val="00144CB9"/>
    <w:rsid w:val="00150411"/>
    <w:rsid w:val="00152D70"/>
    <w:rsid w:val="00161716"/>
    <w:rsid w:val="00167919"/>
    <w:rsid w:val="00184078"/>
    <w:rsid w:val="00192A12"/>
    <w:rsid w:val="00193405"/>
    <w:rsid w:val="001A0043"/>
    <w:rsid w:val="001A75A4"/>
    <w:rsid w:val="001A7B69"/>
    <w:rsid w:val="001C6E0B"/>
    <w:rsid w:val="001D551F"/>
    <w:rsid w:val="001E0AF3"/>
    <w:rsid w:val="001E1947"/>
    <w:rsid w:val="001E3934"/>
    <w:rsid w:val="001E7EB9"/>
    <w:rsid w:val="002021CB"/>
    <w:rsid w:val="00204575"/>
    <w:rsid w:val="002148D4"/>
    <w:rsid w:val="00240D5C"/>
    <w:rsid w:val="00244DD7"/>
    <w:rsid w:val="00250AAA"/>
    <w:rsid w:val="00257DEA"/>
    <w:rsid w:val="002624F7"/>
    <w:rsid w:val="002776DC"/>
    <w:rsid w:val="00287727"/>
    <w:rsid w:val="00291CE2"/>
    <w:rsid w:val="0029286A"/>
    <w:rsid w:val="00294CF3"/>
    <w:rsid w:val="002A66BB"/>
    <w:rsid w:val="002C27E3"/>
    <w:rsid w:val="002C339F"/>
    <w:rsid w:val="002E1991"/>
    <w:rsid w:val="002E2474"/>
    <w:rsid w:val="002F1AE0"/>
    <w:rsid w:val="002F453B"/>
    <w:rsid w:val="002F6EBE"/>
    <w:rsid w:val="002F7B6A"/>
    <w:rsid w:val="00304646"/>
    <w:rsid w:val="003240B4"/>
    <w:rsid w:val="00332CC9"/>
    <w:rsid w:val="003341D4"/>
    <w:rsid w:val="00350577"/>
    <w:rsid w:val="003634FC"/>
    <w:rsid w:val="00366CA6"/>
    <w:rsid w:val="003813CB"/>
    <w:rsid w:val="003858E8"/>
    <w:rsid w:val="00394BCC"/>
    <w:rsid w:val="003A5025"/>
    <w:rsid w:val="003A7F24"/>
    <w:rsid w:val="003C48BB"/>
    <w:rsid w:val="003C7BED"/>
    <w:rsid w:val="003D2D07"/>
    <w:rsid w:val="003D5C60"/>
    <w:rsid w:val="003E43D6"/>
    <w:rsid w:val="003E6065"/>
    <w:rsid w:val="003F331D"/>
    <w:rsid w:val="003F4CBC"/>
    <w:rsid w:val="003F7A7A"/>
    <w:rsid w:val="0040026C"/>
    <w:rsid w:val="00407431"/>
    <w:rsid w:val="004133EE"/>
    <w:rsid w:val="00420C50"/>
    <w:rsid w:val="00425A39"/>
    <w:rsid w:val="00425FEE"/>
    <w:rsid w:val="004269B2"/>
    <w:rsid w:val="00434F0D"/>
    <w:rsid w:val="00443509"/>
    <w:rsid w:val="00444587"/>
    <w:rsid w:val="00446640"/>
    <w:rsid w:val="00450272"/>
    <w:rsid w:val="00452D0B"/>
    <w:rsid w:val="0045316D"/>
    <w:rsid w:val="0046736F"/>
    <w:rsid w:val="00473DE2"/>
    <w:rsid w:val="00474FB1"/>
    <w:rsid w:val="004830AD"/>
    <w:rsid w:val="00492655"/>
    <w:rsid w:val="00495416"/>
    <w:rsid w:val="004B51CC"/>
    <w:rsid w:val="004C5254"/>
    <w:rsid w:val="004D24F8"/>
    <w:rsid w:val="004D4457"/>
    <w:rsid w:val="004E6BF5"/>
    <w:rsid w:val="004F2CEF"/>
    <w:rsid w:val="004F54B7"/>
    <w:rsid w:val="004F5EB0"/>
    <w:rsid w:val="00500C67"/>
    <w:rsid w:val="00502B9D"/>
    <w:rsid w:val="00503884"/>
    <w:rsid w:val="00521D40"/>
    <w:rsid w:val="00525316"/>
    <w:rsid w:val="0054232B"/>
    <w:rsid w:val="00550F44"/>
    <w:rsid w:val="00557DED"/>
    <w:rsid w:val="0057552E"/>
    <w:rsid w:val="0058102E"/>
    <w:rsid w:val="00583693"/>
    <w:rsid w:val="005B36F3"/>
    <w:rsid w:val="005B532A"/>
    <w:rsid w:val="005C166C"/>
    <w:rsid w:val="005C2166"/>
    <w:rsid w:val="005C4C45"/>
    <w:rsid w:val="005D721E"/>
    <w:rsid w:val="005E671D"/>
    <w:rsid w:val="005F4F4A"/>
    <w:rsid w:val="006052F4"/>
    <w:rsid w:val="00612FE4"/>
    <w:rsid w:val="00615C39"/>
    <w:rsid w:val="0063030B"/>
    <w:rsid w:val="00661067"/>
    <w:rsid w:val="00663CB2"/>
    <w:rsid w:val="0066463E"/>
    <w:rsid w:val="00671EF4"/>
    <w:rsid w:val="00680CDB"/>
    <w:rsid w:val="00681C0C"/>
    <w:rsid w:val="0068229D"/>
    <w:rsid w:val="00683944"/>
    <w:rsid w:val="00683B55"/>
    <w:rsid w:val="00695DAE"/>
    <w:rsid w:val="006A0D6F"/>
    <w:rsid w:val="006A4BCD"/>
    <w:rsid w:val="006A61BA"/>
    <w:rsid w:val="006B3663"/>
    <w:rsid w:val="006C0C5D"/>
    <w:rsid w:val="006C1A1B"/>
    <w:rsid w:val="006D4545"/>
    <w:rsid w:val="006E1706"/>
    <w:rsid w:val="00710EFF"/>
    <w:rsid w:val="007206BF"/>
    <w:rsid w:val="00724CDC"/>
    <w:rsid w:val="00732596"/>
    <w:rsid w:val="00734D1C"/>
    <w:rsid w:val="007419F0"/>
    <w:rsid w:val="007508F9"/>
    <w:rsid w:val="00751E7E"/>
    <w:rsid w:val="00756EF6"/>
    <w:rsid w:val="00757EB7"/>
    <w:rsid w:val="0077074F"/>
    <w:rsid w:val="00770CBC"/>
    <w:rsid w:val="0077157D"/>
    <w:rsid w:val="0077330D"/>
    <w:rsid w:val="007755FD"/>
    <w:rsid w:val="007853FD"/>
    <w:rsid w:val="007857BC"/>
    <w:rsid w:val="007A6160"/>
    <w:rsid w:val="007A7485"/>
    <w:rsid w:val="007C61BD"/>
    <w:rsid w:val="007D3DDC"/>
    <w:rsid w:val="007E0E34"/>
    <w:rsid w:val="007E2E62"/>
    <w:rsid w:val="007E3DE9"/>
    <w:rsid w:val="007F7613"/>
    <w:rsid w:val="008101CD"/>
    <w:rsid w:val="008371C1"/>
    <w:rsid w:val="00840C70"/>
    <w:rsid w:val="00850ACA"/>
    <w:rsid w:val="00852EFC"/>
    <w:rsid w:val="00854FB2"/>
    <w:rsid w:val="00855707"/>
    <w:rsid w:val="00870A74"/>
    <w:rsid w:val="0088011B"/>
    <w:rsid w:val="00880404"/>
    <w:rsid w:val="00880C5A"/>
    <w:rsid w:val="008A31AC"/>
    <w:rsid w:val="008B1492"/>
    <w:rsid w:val="008C1D43"/>
    <w:rsid w:val="008C23E6"/>
    <w:rsid w:val="008D0531"/>
    <w:rsid w:val="008D2519"/>
    <w:rsid w:val="008D53DE"/>
    <w:rsid w:val="008D5FC2"/>
    <w:rsid w:val="008E2525"/>
    <w:rsid w:val="008F2CFB"/>
    <w:rsid w:val="008F4267"/>
    <w:rsid w:val="009020D2"/>
    <w:rsid w:val="00932F5D"/>
    <w:rsid w:val="0093642A"/>
    <w:rsid w:val="0094105C"/>
    <w:rsid w:val="009442E8"/>
    <w:rsid w:val="00945F94"/>
    <w:rsid w:val="00952174"/>
    <w:rsid w:val="009524C4"/>
    <w:rsid w:val="00954DC3"/>
    <w:rsid w:val="0096176B"/>
    <w:rsid w:val="00966A4B"/>
    <w:rsid w:val="00973139"/>
    <w:rsid w:val="0097744B"/>
    <w:rsid w:val="009854D8"/>
    <w:rsid w:val="00993477"/>
    <w:rsid w:val="00994236"/>
    <w:rsid w:val="009A104B"/>
    <w:rsid w:val="009D1145"/>
    <w:rsid w:val="009D1F73"/>
    <w:rsid w:val="009E42C6"/>
    <w:rsid w:val="009E50DB"/>
    <w:rsid w:val="009F0DDA"/>
    <w:rsid w:val="009F39FA"/>
    <w:rsid w:val="00A2522F"/>
    <w:rsid w:val="00A30BFB"/>
    <w:rsid w:val="00A31760"/>
    <w:rsid w:val="00A41D84"/>
    <w:rsid w:val="00A50706"/>
    <w:rsid w:val="00A52356"/>
    <w:rsid w:val="00A55CE1"/>
    <w:rsid w:val="00A60FB4"/>
    <w:rsid w:val="00A97762"/>
    <w:rsid w:val="00AA41BE"/>
    <w:rsid w:val="00AA7FAF"/>
    <w:rsid w:val="00AB437A"/>
    <w:rsid w:val="00AB703A"/>
    <w:rsid w:val="00AC239B"/>
    <w:rsid w:val="00AC3FFD"/>
    <w:rsid w:val="00AD1C21"/>
    <w:rsid w:val="00AD236E"/>
    <w:rsid w:val="00AE34FA"/>
    <w:rsid w:val="00AF6A7E"/>
    <w:rsid w:val="00AF7229"/>
    <w:rsid w:val="00B03253"/>
    <w:rsid w:val="00B04991"/>
    <w:rsid w:val="00B07AE2"/>
    <w:rsid w:val="00B113BA"/>
    <w:rsid w:val="00B17682"/>
    <w:rsid w:val="00B223DA"/>
    <w:rsid w:val="00B359EE"/>
    <w:rsid w:val="00B47639"/>
    <w:rsid w:val="00B549DF"/>
    <w:rsid w:val="00B62150"/>
    <w:rsid w:val="00B76BA5"/>
    <w:rsid w:val="00B833CA"/>
    <w:rsid w:val="00B95262"/>
    <w:rsid w:val="00BA01C6"/>
    <w:rsid w:val="00BA56F7"/>
    <w:rsid w:val="00BC4E9A"/>
    <w:rsid w:val="00BE7942"/>
    <w:rsid w:val="00BF3D5E"/>
    <w:rsid w:val="00C017FF"/>
    <w:rsid w:val="00C12EBD"/>
    <w:rsid w:val="00C152F4"/>
    <w:rsid w:val="00C15499"/>
    <w:rsid w:val="00C31C76"/>
    <w:rsid w:val="00C61CDD"/>
    <w:rsid w:val="00C6377E"/>
    <w:rsid w:val="00C638AE"/>
    <w:rsid w:val="00C82004"/>
    <w:rsid w:val="00C84815"/>
    <w:rsid w:val="00C8701F"/>
    <w:rsid w:val="00CA2370"/>
    <w:rsid w:val="00CB2995"/>
    <w:rsid w:val="00CB2AC9"/>
    <w:rsid w:val="00CC0AA4"/>
    <w:rsid w:val="00CC2316"/>
    <w:rsid w:val="00CC320A"/>
    <w:rsid w:val="00CE15ED"/>
    <w:rsid w:val="00CE688C"/>
    <w:rsid w:val="00CF486C"/>
    <w:rsid w:val="00CF4D46"/>
    <w:rsid w:val="00CF624C"/>
    <w:rsid w:val="00D01ED2"/>
    <w:rsid w:val="00D035E4"/>
    <w:rsid w:val="00D1106D"/>
    <w:rsid w:val="00D20918"/>
    <w:rsid w:val="00D261EE"/>
    <w:rsid w:val="00D30B13"/>
    <w:rsid w:val="00D345D4"/>
    <w:rsid w:val="00D36815"/>
    <w:rsid w:val="00D417B0"/>
    <w:rsid w:val="00D43E2C"/>
    <w:rsid w:val="00D47692"/>
    <w:rsid w:val="00D54777"/>
    <w:rsid w:val="00D55555"/>
    <w:rsid w:val="00D66890"/>
    <w:rsid w:val="00D8407C"/>
    <w:rsid w:val="00D938D0"/>
    <w:rsid w:val="00D96C8E"/>
    <w:rsid w:val="00DB1938"/>
    <w:rsid w:val="00DB6BD0"/>
    <w:rsid w:val="00DC0C45"/>
    <w:rsid w:val="00DC7293"/>
    <w:rsid w:val="00DD6630"/>
    <w:rsid w:val="00DE4905"/>
    <w:rsid w:val="00E00827"/>
    <w:rsid w:val="00E13DB4"/>
    <w:rsid w:val="00E17F44"/>
    <w:rsid w:val="00E26D7A"/>
    <w:rsid w:val="00E43810"/>
    <w:rsid w:val="00E43D4B"/>
    <w:rsid w:val="00E649A1"/>
    <w:rsid w:val="00E72B9A"/>
    <w:rsid w:val="00E7338E"/>
    <w:rsid w:val="00E73EED"/>
    <w:rsid w:val="00E87070"/>
    <w:rsid w:val="00E94FC0"/>
    <w:rsid w:val="00EA2285"/>
    <w:rsid w:val="00EB7016"/>
    <w:rsid w:val="00EC0671"/>
    <w:rsid w:val="00ED144D"/>
    <w:rsid w:val="00ED4C0E"/>
    <w:rsid w:val="00ED7356"/>
    <w:rsid w:val="00EE52DA"/>
    <w:rsid w:val="00EF533D"/>
    <w:rsid w:val="00F10614"/>
    <w:rsid w:val="00F16C94"/>
    <w:rsid w:val="00F263B5"/>
    <w:rsid w:val="00F30178"/>
    <w:rsid w:val="00F36709"/>
    <w:rsid w:val="00F4376C"/>
    <w:rsid w:val="00F45D7E"/>
    <w:rsid w:val="00F6410D"/>
    <w:rsid w:val="00F67258"/>
    <w:rsid w:val="00F7182E"/>
    <w:rsid w:val="00F73977"/>
    <w:rsid w:val="00F92218"/>
    <w:rsid w:val="00F9515D"/>
    <w:rsid w:val="00F965BD"/>
    <w:rsid w:val="00FA6DA3"/>
    <w:rsid w:val="00FC2932"/>
    <w:rsid w:val="00FC3F6A"/>
    <w:rsid w:val="00FD0DDD"/>
    <w:rsid w:val="00FF11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2C0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Palatino Linotype"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1CDD"/>
    <w:pPr>
      <w:spacing w:after="0" w:line="360" w:lineRule="auto"/>
      <w:ind w:left="10" w:right="1199" w:hanging="10"/>
      <w:jc w:val="both"/>
    </w:pPr>
    <w:rPr>
      <w:rFonts w:ascii="Times New Roman" w:hAnsi="Times New Roman" w:cs="Palatino Linotype"/>
      <w:color w:val="000000"/>
      <w:sz w:val="24"/>
      <w:lang w:val="en-GB" w:eastAsia="en-GB"/>
    </w:rPr>
  </w:style>
  <w:style w:type="paragraph" w:styleId="Heading1">
    <w:name w:val="heading 1"/>
    <w:basedOn w:val="Normal"/>
    <w:next w:val="Normal"/>
    <w:link w:val="Heading1Char"/>
    <w:autoRedefine/>
    <w:uiPriority w:val="9"/>
    <w:qFormat/>
    <w:rsid w:val="007A6160"/>
    <w:pPr>
      <w:keepNext/>
      <w:keepLines/>
      <w:ind w:left="0" w:right="0" w:firstLine="0"/>
      <w:jc w:val="left"/>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C61CDD"/>
    <w:pPr>
      <w:keepNext/>
      <w:keepLines/>
      <w:ind w:firstLine="0"/>
      <w:outlineLvl w:val="1"/>
    </w:pPr>
    <w:rPr>
      <w:rFonts w:eastAsiaTheme="majorEastAsia" w:cs="Times New Roman"/>
      <w:b/>
      <w:color w:val="auto"/>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160"/>
    <w:rPr>
      <w:rFonts w:ascii="Times New Roman" w:eastAsiaTheme="majorEastAsia" w:hAnsi="Times New Roman" w:cstheme="majorBidi"/>
      <w:b/>
      <w:color w:val="000000"/>
      <w:sz w:val="32"/>
      <w:szCs w:val="32"/>
      <w:lang w:val="en-GB" w:eastAsia="en-GB"/>
    </w:rPr>
  </w:style>
  <w:style w:type="character" w:customStyle="1" w:styleId="Heading2Char">
    <w:name w:val="Heading 2 Char"/>
    <w:basedOn w:val="DefaultParagraphFont"/>
    <w:link w:val="Heading2"/>
    <w:uiPriority w:val="9"/>
    <w:rsid w:val="00C61CDD"/>
    <w:rPr>
      <w:rFonts w:ascii="Times New Roman" w:eastAsiaTheme="majorEastAsia" w:hAnsi="Times New Roman" w:cs="Times New Roman"/>
      <w:b/>
      <w:sz w:val="28"/>
      <w:szCs w:val="26"/>
      <w:lang w:val="en-GB" w:eastAsia="en-GB"/>
    </w:rPr>
  </w:style>
  <w:style w:type="character" w:styleId="Strong">
    <w:name w:val="Strong"/>
    <w:basedOn w:val="DefaultParagraphFont"/>
    <w:uiPriority w:val="22"/>
    <w:qFormat/>
    <w:rsid w:val="001A7B69"/>
    <w:rPr>
      <w:b/>
      <w:bCs/>
    </w:rPr>
  </w:style>
  <w:style w:type="paragraph" w:styleId="TOCHeading">
    <w:name w:val="TOC Heading"/>
    <w:basedOn w:val="Heading1"/>
    <w:next w:val="Normal"/>
    <w:uiPriority w:val="39"/>
    <w:unhideWhenUsed/>
    <w:qFormat/>
    <w:rsid w:val="00B76BA5"/>
    <w:pPr>
      <w:spacing w:before="240" w:line="259" w:lineRule="auto"/>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B76BA5"/>
    <w:pPr>
      <w:spacing w:after="100"/>
      <w:ind w:left="0"/>
    </w:pPr>
  </w:style>
  <w:style w:type="character" w:styleId="Hyperlink">
    <w:name w:val="Hyperlink"/>
    <w:basedOn w:val="DefaultParagraphFont"/>
    <w:uiPriority w:val="99"/>
    <w:unhideWhenUsed/>
    <w:rsid w:val="00B76BA5"/>
    <w:rPr>
      <w:color w:val="0563C1" w:themeColor="hyperlink"/>
      <w:u w:val="single"/>
    </w:rPr>
  </w:style>
  <w:style w:type="paragraph" w:styleId="Header">
    <w:name w:val="header"/>
    <w:basedOn w:val="Normal"/>
    <w:link w:val="HeaderChar"/>
    <w:uiPriority w:val="99"/>
    <w:unhideWhenUsed/>
    <w:rsid w:val="00B76BA5"/>
    <w:pPr>
      <w:tabs>
        <w:tab w:val="center" w:pos="4513"/>
        <w:tab w:val="right" w:pos="9026"/>
      </w:tabs>
      <w:spacing w:line="240" w:lineRule="auto"/>
    </w:pPr>
  </w:style>
  <w:style w:type="character" w:customStyle="1" w:styleId="HeaderChar">
    <w:name w:val="Header Char"/>
    <w:basedOn w:val="DefaultParagraphFont"/>
    <w:link w:val="Header"/>
    <w:uiPriority w:val="99"/>
    <w:rsid w:val="00B76BA5"/>
    <w:rPr>
      <w:rFonts w:ascii="Times New Roman" w:hAnsi="Times New Roman" w:cs="Palatino Linotype"/>
      <w:color w:val="000000"/>
      <w:sz w:val="24"/>
      <w:lang w:val="en-GB" w:eastAsia="en-GB"/>
    </w:rPr>
  </w:style>
  <w:style w:type="paragraph" w:styleId="Footer">
    <w:name w:val="footer"/>
    <w:basedOn w:val="Normal"/>
    <w:link w:val="FooterChar"/>
    <w:uiPriority w:val="99"/>
    <w:unhideWhenUsed/>
    <w:rsid w:val="00B76BA5"/>
    <w:pPr>
      <w:tabs>
        <w:tab w:val="center" w:pos="4513"/>
        <w:tab w:val="right" w:pos="9026"/>
      </w:tabs>
      <w:spacing w:line="240" w:lineRule="auto"/>
    </w:pPr>
  </w:style>
  <w:style w:type="character" w:customStyle="1" w:styleId="FooterChar">
    <w:name w:val="Footer Char"/>
    <w:basedOn w:val="DefaultParagraphFont"/>
    <w:link w:val="Footer"/>
    <w:uiPriority w:val="99"/>
    <w:rsid w:val="00B76BA5"/>
    <w:rPr>
      <w:rFonts w:ascii="Times New Roman" w:hAnsi="Times New Roman" w:cs="Palatino Linotype"/>
      <w:color w:val="000000"/>
      <w:sz w:val="24"/>
      <w:lang w:val="en-GB" w:eastAsia="en-GB"/>
    </w:rPr>
  </w:style>
  <w:style w:type="paragraph" w:styleId="Bibliography">
    <w:name w:val="Bibliography"/>
    <w:basedOn w:val="Normal"/>
    <w:next w:val="Normal"/>
    <w:uiPriority w:val="37"/>
    <w:unhideWhenUsed/>
    <w:rsid w:val="00966A4B"/>
  </w:style>
  <w:style w:type="paragraph" w:styleId="BalloonText">
    <w:name w:val="Balloon Text"/>
    <w:basedOn w:val="Normal"/>
    <w:link w:val="BalloonTextChar"/>
    <w:uiPriority w:val="99"/>
    <w:semiHidden/>
    <w:unhideWhenUsed/>
    <w:rsid w:val="003F33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331D"/>
    <w:rPr>
      <w:rFonts w:ascii="Tahoma" w:hAnsi="Tahoma" w:cs="Tahoma"/>
      <w:color w:val="000000"/>
      <w:sz w:val="16"/>
      <w:szCs w:val="16"/>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Palatino Linotype"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1CDD"/>
    <w:pPr>
      <w:spacing w:after="0" w:line="360" w:lineRule="auto"/>
      <w:ind w:left="10" w:right="1199" w:hanging="10"/>
      <w:jc w:val="both"/>
    </w:pPr>
    <w:rPr>
      <w:rFonts w:ascii="Times New Roman" w:hAnsi="Times New Roman" w:cs="Palatino Linotype"/>
      <w:color w:val="000000"/>
      <w:sz w:val="24"/>
      <w:lang w:val="en-GB" w:eastAsia="en-GB"/>
    </w:rPr>
  </w:style>
  <w:style w:type="paragraph" w:styleId="Heading1">
    <w:name w:val="heading 1"/>
    <w:basedOn w:val="Normal"/>
    <w:next w:val="Normal"/>
    <w:link w:val="Heading1Char"/>
    <w:autoRedefine/>
    <w:uiPriority w:val="9"/>
    <w:qFormat/>
    <w:rsid w:val="007A6160"/>
    <w:pPr>
      <w:keepNext/>
      <w:keepLines/>
      <w:ind w:left="0" w:right="0" w:firstLine="0"/>
      <w:jc w:val="left"/>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C61CDD"/>
    <w:pPr>
      <w:keepNext/>
      <w:keepLines/>
      <w:ind w:firstLine="0"/>
      <w:outlineLvl w:val="1"/>
    </w:pPr>
    <w:rPr>
      <w:rFonts w:eastAsiaTheme="majorEastAsia" w:cs="Times New Roman"/>
      <w:b/>
      <w:color w:val="auto"/>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160"/>
    <w:rPr>
      <w:rFonts w:ascii="Times New Roman" w:eastAsiaTheme="majorEastAsia" w:hAnsi="Times New Roman" w:cstheme="majorBidi"/>
      <w:b/>
      <w:color w:val="000000"/>
      <w:sz w:val="32"/>
      <w:szCs w:val="32"/>
      <w:lang w:val="en-GB" w:eastAsia="en-GB"/>
    </w:rPr>
  </w:style>
  <w:style w:type="character" w:customStyle="1" w:styleId="Heading2Char">
    <w:name w:val="Heading 2 Char"/>
    <w:basedOn w:val="DefaultParagraphFont"/>
    <w:link w:val="Heading2"/>
    <w:uiPriority w:val="9"/>
    <w:rsid w:val="00C61CDD"/>
    <w:rPr>
      <w:rFonts w:ascii="Times New Roman" w:eastAsiaTheme="majorEastAsia" w:hAnsi="Times New Roman" w:cs="Times New Roman"/>
      <w:b/>
      <w:sz w:val="28"/>
      <w:szCs w:val="26"/>
      <w:lang w:val="en-GB" w:eastAsia="en-GB"/>
    </w:rPr>
  </w:style>
  <w:style w:type="character" w:styleId="Strong">
    <w:name w:val="Strong"/>
    <w:basedOn w:val="DefaultParagraphFont"/>
    <w:uiPriority w:val="22"/>
    <w:qFormat/>
    <w:rsid w:val="001A7B69"/>
    <w:rPr>
      <w:b/>
      <w:bCs/>
    </w:rPr>
  </w:style>
  <w:style w:type="paragraph" w:styleId="TOCHeading">
    <w:name w:val="TOC Heading"/>
    <w:basedOn w:val="Heading1"/>
    <w:next w:val="Normal"/>
    <w:uiPriority w:val="39"/>
    <w:unhideWhenUsed/>
    <w:qFormat/>
    <w:rsid w:val="00B76BA5"/>
    <w:pPr>
      <w:spacing w:before="240" w:line="259" w:lineRule="auto"/>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B76BA5"/>
    <w:pPr>
      <w:spacing w:after="100"/>
      <w:ind w:left="0"/>
    </w:pPr>
  </w:style>
  <w:style w:type="character" w:styleId="Hyperlink">
    <w:name w:val="Hyperlink"/>
    <w:basedOn w:val="DefaultParagraphFont"/>
    <w:uiPriority w:val="99"/>
    <w:unhideWhenUsed/>
    <w:rsid w:val="00B76BA5"/>
    <w:rPr>
      <w:color w:val="0563C1" w:themeColor="hyperlink"/>
      <w:u w:val="single"/>
    </w:rPr>
  </w:style>
  <w:style w:type="paragraph" w:styleId="Header">
    <w:name w:val="header"/>
    <w:basedOn w:val="Normal"/>
    <w:link w:val="HeaderChar"/>
    <w:uiPriority w:val="99"/>
    <w:unhideWhenUsed/>
    <w:rsid w:val="00B76BA5"/>
    <w:pPr>
      <w:tabs>
        <w:tab w:val="center" w:pos="4513"/>
        <w:tab w:val="right" w:pos="9026"/>
      </w:tabs>
      <w:spacing w:line="240" w:lineRule="auto"/>
    </w:pPr>
  </w:style>
  <w:style w:type="character" w:customStyle="1" w:styleId="HeaderChar">
    <w:name w:val="Header Char"/>
    <w:basedOn w:val="DefaultParagraphFont"/>
    <w:link w:val="Header"/>
    <w:uiPriority w:val="99"/>
    <w:rsid w:val="00B76BA5"/>
    <w:rPr>
      <w:rFonts w:ascii="Times New Roman" w:hAnsi="Times New Roman" w:cs="Palatino Linotype"/>
      <w:color w:val="000000"/>
      <w:sz w:val="24"/>
      <w:lang w:val="en-GB" w:eastAsia="en-GB"/>
    </w:rPr>
  </w:style>
  <w:style w:type="paragraph" w:styleId="Footer">
    <w:name w:val="footer"/>
    <w:basedOn w:val="Normal"/>
    <w:link w:val="FooterChar"/>
    <w:uiPriority w:val="99"/>
    <w:unhideWhenUsed/>
    <w:rsid w:val="00B76BA5"/>
    <w:pPr>
      <w:tabs>
        <w:tab w:val="center" w:pos="4513"/>
        <w:tab w:val="right" w:pos="9026"/>
      </w:tabs>
      <w:spacing w:line="240" w:lineRule="auto"/>
    </w:pPr>
  </w:style>
  <w:style w:type="character" w:customStyle="1" w:styleId="FooterChar">
    <w:name w:val="Footer Char"/>
    <w:basedOn w:val="DefaultParagraphFont"/>
    <w:link w:val="Footer"/>
    <w:uiPriority w:val="99"/>
    <w:rsid w:val="00B76BA5"/>
    <w:rPr>
      <w:rFonts w:ascii="Times New Roman" w:hAnsi="Times New Roman" w:cs="Palatino Linotype"/>
      <w:color w:val="000000"/>
      <w:sz w:val="24"/>
      <w:lang w:val="en-GB" w:eastAsia="en-GB"/>
    </w:rPr>
  </w:style>
  <w:style w:type="paragraph" w:styleId="Bibliography">
    <w:name w:val="Bibliography"/>
    <w:basedOn w:val="Normal"/>
    <w:next w:val="Normal"/>
    <w:uiPriority w:val="37"/>
    <w:unhideWhenUsed/>
    <w:rsid w:val="00966A4B"/>
  </w:style>
  <w:style w:type="paragraph" w:styleId="BalloonText">
    <w:name w:val="Balloon Text"/>
    <w:basedOn w:val="Normal"/>
    <w:link w:val="BalloonTextChar"/>
    <w:uiPriority w:val="99"/>
    <w:semiHidden/>
    <w:unhideWhenUsed/>
    <w:rsid w:val="003F33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331D"/>
    <w:rPr>
      <w:rFonts w:ascii="Tahoma" w:hAnsi="Tahoma" w:cs="Tahoma"/>
      <w:color w:val="000000"/>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57767">
      <w:bodyDiv w:val="1"/>
      <w:marLeft w:val="0"/>
      <w:marRight w:val="0"/>
      <w:marTop w:val="0"/>
      <w:marBottom w:val="0"/>
      <w:divBdr>
        <w:top w:val="none" w:sz="0" w:space="0" w:color="auto"/>
        <w:left w:val="none" w:sz="0" w:space="0" w:color="auto"/>
        <w:bottom w:val="none" w:sz="0" w:space="0" w:color="auto"/>
        <w:right w:val="none" w:sz="0" w:space="0" w:color="auto"/>
      </w:divBdr>
    </w:div>
    <w:div w:id="70934666">
      <w:bodyDiv w:val="1"/>
      <w:marLeft w:val="0"/>
      <w:marRight w:val="0"/>
      <w:marTop w:val="0"/>
      <w:marBottom w:val="0"/>
      <w:divBdr>
        <w:top w:val="none" w:sz="0" w:space="0" w:color="auto"/>
        <w:left w:val="none" w:sz="0" w:space="0" w:color="auto"/>
        <w:bottom w:val="none" w:sz="0" w:space="0" w:color="auto"/>
        <w:right w:val="none" w:sz="0" w:space="0" w:color="auto"/>
      </w:divBdr>
    </w:div>
    <w:div w:id="83035039">
      <w:bodyDiv w:val="1"/>
      <w:marLeft w:val="0"/>
      <w:marRight w:val="0"/>
      <w:marTop w:val="0"/>
      <w:marBottom w:val="0"/>
      <w:divBdr>
        <w:top w:val="none" w:sz="0" w:space="0" w:color="auto"/>
        <w:left w:val="none" w:sz="0" w:space="0" w:color="auto"/>
        <w:bottom w:val="none" w:sz="0" w:space="0" w:color="auto"/>
        <w:right w:val="none" w:sz="0" w:space="0" w:color="auto"/>
      </w:divBdr>
    </w:div>
    <w:div w:id="126433413">
      <w:bodyDiv w:val="1"/>
      <w:marLeft w:val="0"/>
      <w:marRight w:val="0"/>
      <w:marTop w:val="0"/>
      <w:marBottom w:val="0"/>
      <w:divBdr>
        <w:top w:val="none" w:sz="0" w:space="0" w:color="auto"/>
        <w:left w:val="none" w:sz="0" w:space="0" w:color="auto"/>
        <w:bottom w:val="none" w:sz="0" w:space="0" w:color="auto"/>
        <w:right w:val="none" w:sz="0" w:space="0" w:color="auto"/>
      </w:divBdr>
    </w:div>
    <w:div w:id="165440498">
      <w:bodyDiv w:val="1"/>
      <w:marLeft w:val="0"/>
      <w:marRight w:val="0"/>
      <w:marTop w:val="0"/>
      <w:marBottom w:val="0"/>
      <w:divBdr>
        <w:top w:val="none" w:sz="0" w:space="0" w:color="auto"/>
        <w:left w:val="none" w:sz="0" w:space="0" w:color="auto"/>
        <w:bottom w:val="none" w:sz="0" w:space="0" w:color="auto"/>
        <w:right w:val="none" w:sz="0" w:space="0" w:color="auto"/>
      </w:divBdr>
    </w:div>
    <w:div w:id="180513911">
      <w:bodyDiv w:val="1"/>
      <w:marLeft w:val="0"/>
      <w:marRight w:val="0"/>
      <w:marTop w:val="0"/>
      <w:marBottom w:val="0"/>
      <w:divBdr>
        <w:top w:val="none" w:sz="0" w:space="0" w:color="auto"/>
        <w:left w:val="none" w:sz="0" w:space="0" w:color="auto"/>
        <w:bottom w:val="none" w:sz="0" w:space="0" w:color="auto"/>
        <w:right w:val="none" w:sz="0" w:space="0" w:color="auto"/>
      </w:divBdr>
    </w:div>
    <w:div w:id="281768016">
      <w:bodyDiv w:val="1"/>
      <w:marLeft w:val="0"/>
      <w:marRight w:val="0"/>
      <w:marTop w:val="0"/>
      <w:marBottom w:val="0"/>
      <w:divBdr>
        <w:top w:val="none" w:sz="0" w:space="0" w:color="auto"/>
        <w:left w:val="none" w:sz="0" w:space="0" w:color="auto"/>
        <w:bottom w:val="none" w:sz="0" w:space="0" w:color="auto"/>
        <w:right w:val="none" w:sz="0" w:space="0" w:color="auto"/>
      </w:divBdr>
    </w:div>
    <w:div w:id="285234450">
      <w:bodyDiv w:val="1"/>
      <w:marLeft w:val="0"/>
      <w:marRight w:val="0"/>
      <w:marTop w:val="0"/>
      <w:marBottom w:val="0"/>
      <w:divBdr>
        <w:top w:val="none" w:sz="0" w:space="0" w:color="auto"/>
        <w:left w:val="none" w:sz="0" w:space="0" w:color="auto"/>
        <w:bottom w:val="none" w:sz="0" w:space="0" w:color="auto"/>
        <w:right w:val="none" w:sz="0" w:space="0" w:color="auto"/>
      </w:divBdr>
    </w:div>
    <w:div w:id="320697083">
      <w:bodyDiv w:val="1"/>
      <w:marLeft w:val="0"/>
      <w:marRight w:val="0"/>
      <w:marTop w:val="0"/>
      <w:marBottom w:val="0"/>
      <w:divBdr>
        <w:top w:val="none" w:sz="0" w:space="0" w:color="auto"/>
        <w:left w:val="none" w:sz="0" w:space="0" w:color="auto"/>
        <w:bottom w:val="none" w:sz="0" w:space="0" w:color="auto"/>
        <w:right w:val="none" w:sz="0" w:space="0" w:color="auto"/>
      </w:divBdr>
    </w:div>
    <w:div w:id="336883501">
      <w:bodyDiv w:val="1"/>
      <w:marLeft w:val="0"/>
      <w:marRight w:val="0"/>
      <w:marTop w:val="0"/>
      <w:marBottom w:val="0"/>
      <w:divBdr>
        <w:top w:val="none" w:sz="0" w:space="0" w:color="auto"/>
        <w:left w:val="none" w:sz="0" w:space="0" w:color="auto"/>
        <w:bottom w:val="none" w:sz="0" w:space="0" w:color="auto"/>
        <w:right w:val="none" w:sz="0" w:space="0" w:color="auto"/>
      </w:divBdr>
    </w:div>
    <w:div w:id="358437480">
      <w:bodyDiv w:val="1"/>
      <w:marLeft w:val="0"/>
      <w:marRight w:val="0"/>
      <w:marTop w:val="0"/>
      <w:marBottom w:val="0"/>
      <w:divBdr>
        <w:top w:val="none" w:sz="0" w:space="0" w:color="auto"/>
        <w:left w:val="none" w:sz="0" w:space="0" w:color="auto"/>
        <w:bottom w:val="none" w:sz="0" w:space="0" w:color="auto"/>
        <w:right w:val="none" w:sz="0" w:space="0" w:color="auto"/>
      </w:divBdr>
    </w:div>
    <w:div w:id="361059178">
      <w:bodyDiv w:val="1"/>
      <w:marLeft w:val="0"/>
      <w:marRight w:val="0"/>
      <w:marTop w:val="0"/>
      <w:marBottom w:val="0"/>
      <w:divBdr>
        <w:top w:val="none" w:sz="0" w:space="0" w:color="auto"/>
        <w:left w:val="none" w:sz="0" w:space="0" w:color="auto"/>
        <w:bottom w:val="none" w:sz="0" w:space="0" w:color="auto"/>
        <w:right w:val="none" w:sz="0" w:space="0" w:color="auto"/>
      </w:divBdr>
    </w:div>
    <w:div w:id="394864011">
      <w:bodyDiv w:val="1"/>
      <w:marLeft w:val="0"/>
      <w:marRight w:val="0"/>
      <w:marTop w:val="0"/>
      <w:marBottom w:val="0"/>
      <w:divBdr>
        <w:top w:val="none" w:sz="0" w:space="0" w:color="auto"/>
        <w:left w:val="none" w:sz="0" w:space="0" w:color="auto"/>
        <w:bottom w:val="none" w:sz="0" w:space="0" w:color="auto"/>
        <w:right w:val="none" w:sz="0" w:space="0" w:color="auto"/>
      </w:divBdr>
    </w:div>
    <w:div w:id="432021776">
      <w:bodyDiv w:val="1"/>
      <w:marLeft w:val="0"/>
      <w:marRight w:val="0"/>
      <w:marTop w:val="0"/>
      <w:marBottom w:val="0"/>
      <w:divBdr>
        <w:top w:val="none" w:sz="0" w:space="0" w:color="auto"/>
        <w:left w:val="none" w:sz="0" w:space="0" w:color="auto"/>
        <w:bottom w:val="none" w:sz="0" w:space="0" w:color="auto"/>
        <w:right w:val="none" w:sz="0" w:space="0" w:color="auto"/>
      </w:divBdr>
    </w:div>
    <w:div w:id="506285520">
      <w:bodyDiv w:val="1"/>
      <w:marLeft w:val="0"/>
      <w:marRight w:val="0"/>
      <w:marTop w:val="0"/>
      <w:marBottom w:val="0"/>
      <w:divBdr>
        <w:top w:val="none" w:sz="0" w:space="0" w:color="auto"/>
        <w:left w:val="none" w:sz="0" w:space="0" w:color="auto"/>
        <w:bottom w:val="none" w:sz="0" w:space="0" w:color="auto"/>
        <w:right w:val="none" w:sz="0" w:space="0" w:color="auto"/>
      </w:divBdr>
    </w:div>
    <w:div w:id="575171136">
      <w:bodyDiv w:val="1"/>
      <w:marLeft w:val="0"/>
      <w:marRight w:val="0"/>
      <w:marTop w:val="0"/>
      <w:marBottom w:val="0"/>
      <w:divBdr>
        <w:top w:val="none" w:sz="0" w:space="0" w:color="auto"/>
        <w:left w:val="none" w:sz="0" w:space="0" w:color="auto"/>
        <w:bottom w:val="none" w:sz="0" w:space="0" w:color="auto"/>
        <w:right w:val="none" w:sz="0" w:space="0" w:color="auto"/>
      </w:divBdr>
    </w:div>
    <w:div w:id="641152568">
      <w:bodyDiv w:val="1"/>
      <w:marLeft w:val="0"/>
      <w:marRight w:val="0"/>
      <w:marTop w:val="0"/>
      <w:marBottom w:val="0"/>
      <w:divBdr>
        <w:top w:val="none" w:sz="0" w:space="0" w:color="auto"/>
        <w:left w:val="none" w:sz="0" w:space="0" w:color="auto"/>
        <w:bottom w:val="none" w:sz="0" w:space="0" w:color="auto"/>
        <w:right w:val="none" w:sz="0" w:space="0" w:color="auto"/>
      </w:divBdr>
    </w:div>
    <w:div w:id="667711171">
      <w:bodyDiv w:val="1"/>
      <w:marLeft w:val="0"/>
      <w:marRight w:val="0"/>
      <w:marTop w:val="0"/>
      <w:marBottom w:val="0"/>
      <w:divBdr>
        <w:top w:val="none" w:sz="0" w:space="0" w:color="auto"/>
        <w:left w:val="none" w:sz="0" w:space="0" w:color="auto"/>
        <w:bottom w:val="none" w:sz="0" w:space="0" w:color="auto"/>
        <w:right w:val="none" w:sz="0" w:space="0" w:color="auto"/>
      </w:divBdr>
    </w:div>
    <w:div w:id="681980180">
      <w:bodyDiv w:val="1"/>
      <w:marLeft w:val="0"/>
      <w:marRight w:val="0"/>
      <w:marTop w:val="0"/>
      <w:marBottom w:val="0"/>
      <w:divBdr>
        <w:top w:val="none" w:sz="0" w:space="0" w:color="auto"/>
        <w:left w:val="none" w:sz="0" w:space="0" w:color="auto"/>
        <w:bottom w:val="none" w:sz="0" w:space="0" w:color="auto"/>
        <w:right w:val="none" w:sz="0" w:space="0" w:color="auto"/>
      </w:divBdr>
    </w:div>
    <w:div w:id="796142610">
      <w:bodyDiv w:val="1"/>
      <w:marLeft w:val="0"/>
      <w:marRight w:val="0"/>
      <w:marTop w:val="0"/>
      <w:marBottom w:val="0"/>
      <w:divBdr>
        <w:top w:val="none" w:sz="0" w:space="0" w:color="auto"/>
        <w:left w:val="none" w:sz="0" w:space="0" w:color="auto"/>
        <w:bottom w:val="none" w:sz="0" w:space="0" w:color="auto"/>
        <w:right w:val="none" w:sz="0" w:space="0" w:color="auto"/>
      </w:divBdr>
    </w:div>
    <w:div w:id="946158768">
      <w:bodyDiv w:val="1"/>
      <w:marLeft w:val="0"/>
      <w:marRight w:val="0"/>
      <w:marTop w:val="0"/>
      <w:marBottom w:val="0"/>
      <w:divBdr>
        <w:top w:val="none" w:sz="0" w:space="0" w:color="auto"/>
        <w:left w:val="none" w:sz="0" w:space="0" w:color="auto"/>
        <w:bottom w:val="none" w:sz="0" w:space="0" w:color="auto"/>
        <w:right w:val="none" w:sz="0" w:space="0" w:color="auto"/>
      </w:divBdr>
    </w:div>
    <w:div w:id="997004355">
      <w:bodyDiv w:val="1"/>
      <w:marLeft w:val="0"/>
      <w:marRight w:val="0"/>
      <w:marTop w:val="0"/>
      <w:marBottom w:val="0"/>
      <w:divBdr>
        <w:top w:val="none" w:sz="0" w:space="0" w:color="auto"/>
        <w:left w:val="none" w:sz="0" w:space="0" w:color="auto"/>
        <w:bottom w:val="none" w:sz="0" w:space="0" w:color="auto"/>
        <w:right w:val="none" w:sz="0" w:space="0" w:color="auto"/>
      </w:divBdr>
    </w:div>
    <w:div w:id="1078788332">
      <w:bodyDiv w:val="1"/>
      <w:marLeft w:val="0"/>
      <w:marRight w:val="0"/>
      <w:marTop w:val="0"/>
      <w:marBottom w:val="0"/>
      <w:divBdr>
        <w:top w:val="none" w:sz="0" w:space="0" w:color="auto"/>
        <w:left w:val="none" w:sz="0" w:space="0" w:color="auto"/>
        <w:bottom w:val="none" w:sz="0" w:space="0" w:color="auto"/>
        <w:right w:val="none" w:sz="0" w:space="0" w:color="auto"/>
      </w:divBdr>
    </w:div>
    <w:div w:id="1109621727">
      <w:bodyDiv w:val="1"/>
      <w:marLeft w:val="0"/>
      <w:marRight w:val="0"/>
      <w:marTop w:val="0"/>
      <w:marBottom w:val="0"/>
      <w:divBdr>
        <w:top w:val="none" w:sz="0" w:space="0" w:color="auto"/>
        <w:left w:val="none" w:sz="0" w:space="0" w:color="auto"/>
        <w:bottom w:val="none" w:sz="0" w:space="0" w:color="auto"/>
        <w:right w:val="none" w:sz="0" w:space="0" w:color="auto"/>
      </w:divBdr>
    </w:div>
    <w:div w:id="1140539613">
      <w:bodyDiv w:val="1"/>
      <w:marLeft w:val="0"/>
      <w:marRight w:val="0"/>
      <w:marTop w:val="0"/>
      <w:marBottom w:val="0"/>
      <w:divBdr>
        <w:top w:val="none" w:sz="0" w:space="0" w:color="auto"/>
        <w:left w:val="none" w:sz="0" w:space="0" w:color="auto"/>
        <w:bottom w:val="none" w:sz="0" w:space="0" w:color="auto"/>
        <w:right w:val="none" w:sz="0" w:space="0" w:color="auto"/>
      </w:divBdr>
    </w:div>
    <w:div w:id="1220435552">
      <w:bodyDiv w:val="1"/>
      <w:marLeft w:val="0"/>
      <w:marRight w:val="0"/>
      <w:marTop w:val="0"/>
      <w:marBottom w:val="0"/>
      <w:divBdr>
        <w:top w:val="none" w:sz="0" w:space="0" w:color="auto"/>
        <w:left w:val="none" w:sz="0" w:space="0" w:color="auto"/>
        <w:bottom w:val="none" w:sz="0" w:space="0" w:color="auto"/>
        <w:right w:val="none" w:sz="0" w:space="0" w:color="auto"/>
      </w:divBdr>
    </w:div>
    <w:div w:id="1247687989">
      <w:bodyDiv w:val="1"/>
      <w:marLeft w:val="0"/>
      <w:marRight w:val="0"/>
      <w:marTop w:val="0"/>
      <w:marBottom w:val="0"/>
      <w:divBdr>
        <w:top w:val="none" w:sz="0" w:space="0" w:color="auto"/>
        <w:left w:val="none" w:sz="0" w:space="0" w:color="auto"/>
        <w:bottom w:val="none" w:sz="0" w:space="0" w:color="auto"/>
        <w:right w:val="none" w:sz="0" w:space="0" w:color="auto"/>
      </w:divBdr>
    </w:div>
    <w:div w:id="1275946354">
      <w:bodyDiv w:val="1"/>
      <w:marLeft w:val="0"/>
      <w:marRight w:val="0"/>
      <w:marTop w:val="0"/>
      <w:marBottom w:val="0"/>
      <w:divBdr>
        <w:top w:val="none" w:sz="0" w:space="0" w:color="auto"/>
        <w:left w:val="none" w:sz="0" w:space="0" w:color="auto"/>
        <w:bottom w:val="none" w:sz="0" w:space="0" w:color="auto"/>
        <w:right w:val="none" w:sz="0" w:space="0" w:color="auto"/>
      </w:divBdr>
    </w:div>
    <w:div w:id="1284653573">
      <w:bodyDiv w:val="1"/>
      <w:marLeft w:val="0"/>
      <w:marRight w:val="0"/>
      <w:marTop w:val="0"/>
      <w:marBottom w:val="0"/>
      <w:divBdr>
        <w:top w:val="none" w:sz="0" w:space="0" w:color="auto"/>
        <w:left w:val="none" w:sz="0" w:space="0" w:color="auto"/>
        <w:bottom w:val="none" w:sz="0" w:space="0" w:color="auto"/>
        <w:right w:val="none" w:sz="0" w:space="0" w:color="auto"/>
      </w:divBdr>
    </w:div>
    <w:div w:id="1307197560">
      <w:bodyDiv w:val="1"/>
      <w:marLeft w:val="0"/>
      <w:marRight w:val="0"/>
      <w:marTop w:val="0"/>
      <w:marBottom w:val="0"/>
      <w:divBdr>
        <w:top w:val="none" w:sz="0" w:space="0" w:color="auto"/>
        <w:left w:val="none" w:sz="0" w:space="0" w:color="auto"/>
        <w:bottom w:val="none" w:sz="0" w:space="0" w:color="auto"/>
        <w:right w:val="none" w:sz="0" w:space="0" w:color="auto"/>
      </w:divBdr>
    </w:div>
    <w:div w:id="1332103558">
      <w:bodyDiv w:val="1"/>
      <w:marLeft w:val="0"/>
      <w:marRight w:val="0"/>
      <w:marTop w:val="0"/>
      <w:marBottom w:val="0"/>
      <w:divBdr>
        <w:top w:val="none" w:sz="0" w:space="0" w:color="auto"/>
        <w:left w:val="none" w:sz="0" w:space="0" w:color="auto"/>
        <w:bottom w:val="none" w:sz="0" w:space="0" w:color="auto"/>
        <w:right w:val="none" w:sz="0" w:space="0" w:color="auto"/>
      </w:divBdr>
    </w:div>
    <w:div w:id="1338997239">
      <w:bodyDiv w:val="1"/>
      <w:marLeft w:val="0"/>
      <w:marRight w:val="0"/>
      <w:marTop w:val="0"/>
      <w:marBottom w:val="0"/>
      <w:divBdr>
        <w:top w:val="none" w:sz="0" w:space="0" w:color="auto"/>
        <w:left w:val="none" w:sz="0" w:space="0" w:color="auto"/>
        <w:bottom w:val="none" w:sz="0" w:space="0" w:color="auto"/>
        <w:right w:val="none" w:sz="0" w:space="0" w:color="auto"/>
      </w:divBdr>
    </w:div>
    <w:div w:id="1343698768">
      <w:bodyDiv w:val="1"/>
      <w:marLeft w:val="0"/>
      <w:marRight w:val="0"/>
      <w:marTop w:val="0"/>
      <w:marBottom w:val="0"/>
      <w:divBdr>
        <w:top w:val="none" w:sz="0" w:space="0" w:color="auto"/>
        <w:left w:val="none" w:sz="0" w:space="0" w:color="auto"/>
        <w:bottom w:val="none" w:sz="0" w:space="0" w:color="auto"/>
        <w:right w:val="none" w:sz="0" w:space="0" w:color="auto"/>
      </w:divBdr>
    </w:div>
    <w:div w:id="1359238991">
      <w:bodyDiv w:val="1"/>
      <w:marLeft w:val="0"/>
      <w:marRight w:val="0"/>
      <w:marTop w:val="0"/>
      <w:marBottom w:val="0"/>
      <w:divBdr>
        <w:top w:val="none" w:sz="0" w:space="0" w:color="auto"/>
        <w:left w:val="none" w:sz="0" w:space="0" w:color="auto"/>
        <w:bottom w:val="none" w:sz="0" w:space="0" w:color="auto"/>
        <w:right w:val="none" w:sz="0" w:space="0" w:color="auto"/>
      </w:divBdr>
    </w:div>
    <w:div w:id="1398670050">
      <w:bodyDiv w:val="1"/>
      <w:marLeft w:val="0"/>
      <w:marRight w:val="0"/>
      <w:marTop w:val="0"/>
      <w:marBottom w:val="0"/>
      <w:divBdr>
        <w:top w:val="none" w:sz="0" w:space="0" w:color="auto"/>
        <w:left w:val="none" w:sz="0" w:space="0" w:color="auto"/>
        <w:bottom w:val="none" w:sz="0" w:space="0" w:color="auto"/>
        <w:right w:val="none" w:sz="0" w:space="0" w:color="auto"/>
      </w:divBdr>
    </w:div>
    <w:div w:id="1426808435">
      <w:bodyDiv w:val="1"/>
      <w:marLeft w:val="0"/>
      <w:marRight w:val="0"/>
      <w:marTop w:val="0"/>
      <w:marBottom w:val="0"/>
      <w:divBdr>
        <w:top w:val="none" w:sz="0" w:space="0" w:color="auto"/>
        <w:left w:val="none" w:sz="0" w:space="0" w:color="auto"/>
        <w:bottom w:val="none" w:sz="0" w:space="0" w:color="auto"/>
        <w:right w:val="none" w:sz="0" w:space="0" w:color="auto"/>
      </w:divBdr>
    </w:div>
    <w:div w:id="1439443300">
      <w:bodyDiv w:val="1"/>
      <w:marLeft w:val="0"/>
      <w:marRight w:val="0"/>
      <w:marTop w:val="0"/>
      <w:marBottom w:val="0"/>
      <w:divBdr>
        <w:top w:val="none" w:sz="0" w:space="0" w:color="auto"/>
        <w:left w:val="none" w:sz="0" w:space="0" w:color="auto"/>
        <w:bottom w:val="none" w:sz="0" w:space="0" w:color="auto"/>
        <w:right w:val="none" w:sz="0" w:space="0" w:color="auto"/>
      </w:divBdr>
    </w:div>
    <w:div w:id="1454980499">
      <w:bodyDiv w:val="1"/>
      <w:marLeft w:val="0"/>
      <w:marRight w:val="0"/>
      <w:marTop w:val="0"/>
      <w:marBottom w:val="0"/>
      <w:divBdr>
        <w:top w:val="none" w:sz="0" w:space="0" w:color="auto"/>
        <w:left w:val="none" w:sz="0" w:space="0" w:color="auto"/>
        <w:bottom w:val="none" w:sz="0" w:space="0" w:color="auto"/>
        <w:right w:val="none" w:sz="0" w:space="0" w:color="auto"/>
      </w:divBdr>
    </w:div>
    <w:div w:id="1457405683">
      <w:bodyDiv w:val="1"/>
      <w:marLeft w:val="0"/>
      <w:marRight w:val="0"/>
      <w:marTop w:val="0"/>
      <w:marBottom w:val="0"/>
      <w:divBdr>
        <w:top w:val="none" w:sz="0" w:space="0" w:color="auto"/>
        <w:left w:val="none" w:sz="0" w:space="0" w:color="auto"/>
        <w:bottom w:val="none" w:sz="0" w:space="0" w:color="auto"/>
        <w:right w:val="none" w:sz="0" w:space="0" w:color="auto"/>
      </w:divBdr>
    </w:div>
    <w:div w:id="1462190315">
      <w:bodyDiv w:val="1"/>
      <w:marLeft w:val="0"/>
      <w:marRight w:val="0"/>
      <w:marTop w:val="0"/>
      <w:marBottom w:val="0"/>
      <w:divBdr>
        <w:top w:val="none" w:sz="0" w:space="0" w:color="auto"/>
        <w:left w:val="none" w:sz="0" w:space="0" w:color="auto"/>
        <w:bottom w:val="none" w:sz="0" w:space="0" w:color="auto"/>
        <w:right w:val="none" w:sz="0" w:space="0" w:color="auto"/>
      </w:divBdr>
    </w:div>
    <w:div w:id="1473643365">
      <w:bodyDiv w:val="1"/>
      <w:marLeft w:val="0"/>
      <w:marRight w:val="0"/>
      <w:marTop w:val="0"/>
      <w:marBottom w:val="0"/>
      <w:divBdr>
        <w:top w:val="none" w:sz="0" w:space="0" w:color="auto"/>
        <w:left w:val="none" w:sz="0" w:space="0" w:color="auto"/>
        <w:bottom w:val="none" w:sz="0" w:space="0" w:color="auto"/>
        <w:right w:val="none" w:sz="0" w:space="0" w:color="auto"/>
      </w:divBdr>
    </w:div>
    <w:div w:id="1482431083">
      <w:bodyDiv w:val="1"/>
      <w:marLeft w:val="0"/>
      <w:marRight w:val="0"/>
      <w:marTop w:val="0"/>
      <w:marBottom w:val="0"/>
      <w:divBdr>
        <w:top w:val="none" w:sz="0" w:space="0" w:color="auto"/>
        <w:left w:val="none" w:sz="0" w:space="0" w:color="auto"/>
        <w:bottom w:val="none" w:sz="0" w:space="0" w:color="auto"/>
        <w:right w:val="none" w:sz="0" w:space="0" w:color="auto"/>
      </w:divBdr>
    </w:div>
    <w:div w:id="1552613415">
      <w:bodyDiv w:val="1"/>
      <w:marLeft w:val="0"/>
      <w:marRight w:val="0"/>
      <w:marTop w:val="0"/>
      <w:marBottom w:val="0"/>
      <w:divBdr>
        <w:top w:val="none" w:sz="0" w:space="0" w:color="auto"/>
        <w:left w:val="none" w:sz="0" w:space="0" w:color="auto"/>
        <w:bottom w:val="none" w:sz="0" w:space="0" w:color="auto"/>
        <w:right w:val="none" w:sz="0" w:space="0" w:color="auto"/>
      </w:divBdr>
    </w:div>
    <w:div w:id="1657801016">
      <w:bodyDiv w:val="1"/>
      <w:marLeft w:val="0"/>
      <w:marRight w:val="0"/>
      <w:marTop w:val="0"/>
      <w:marBottom w:val="0"/>
      <w:divBdr>
        <w:top w:val="none" w:sz="0" w:space="0" w:color="auto"/>
        <w:left w:val="none" w:sz="0" w:space="0" w:color="auto"/>
        <w:bottom w:val="none" w:sz="0" w:space="0" w:color="auto"/>
        <w:right w:val="none" w:sz="0" w:space="0" w:color="auto"/>
      </w:divBdr>
    </w:div>
    <w:div w:id="1667171695">
      <w:bodyDiv w:val="1"/>
      <w:marLeft w:val="0"/>
      <w:marRight w:val="0"/>
      <w:marTop w:val="0"/>
      <w:marBottom w:val="0"/>
      <w:divBdr>
        <w:top w:val="none" w:sz="0" w:space="0" w:color="auto"/>
        <w:left w:val="none" w:sz="0" w:space="0" w:color="auto"/>
        <w:bottom w:val="none" w:sz="0" w:space="0" w:color="auto"/>
        <w:right w:val="none" w:sz="0" w:space="0" w:color="auto"/>
      </w:divBdr>
    </w:div>
    <w:div w:id="1689484947">
      <w:bodyDiv w:val="1"/>
      <w:marLeft w:val="0"/>
      <w:marRight w:val="0"/>
      <w:marTop w:val="0"/>
      <w:marBottom w:val="0"/>
      <w:divBdr>
        <w:top w:val="none" w:sz="0" w:space="0" w:color="auto"/>
        <w:left w:val="none" w:sz="0" w:space="0" w:color="auto"/>
        <w:bottom w:val="none" w:sz="0" w:space="0" w:color="auto"/>
        <w:right w:val="none" w:sz="0" w:space="0" w:color="auto"/>
      </w:divBdr>
    </w:div>
    <w:div w:id="1704477680">
      <w:bodyDiv w:val="1"/>
      <w:marLeft w:val="0"/>
      <w:marRight w:val="0"/>
      <w:marTop w:val="0"/>
      <w:marBottom w:val="0"/>
      <w:divBdr>
        <w:top w:val="none" w:sz="0" w:space="0" w:color="auto"/>
        <w:left w:val="none" w:sz="0" w:space="0" w:color="auto"/>
        <w:bottom w:val="none" w:sz="0" w:space="0" w:color="auto"/>
        <w:right w:val="none" w:sz="0" w:space="0" w:color="auto"/>
      </w:divBdr>
    </w:div>
    <w:div w:id="1711495315">
      <w:bodyDiv w:val="1"/>
      <w:marLeft w:val="0"/>
      <w:marRight w:val="0"/>
      <w:marTop w:val="0"/>
      <w:marBottom w:val="0"/>
      <w:divBdr>
        <w:top w:val="none" w:sz="0" w:space="0" w:color="auto"/>
        <w:left w:val="none" w:sz="0" w:space="0" w:color="auto"/>
        <w:bottom w:val="none" w:sz="0" w:space="0" w:color="auto"/>
        <w:right w:val="none" w:sz="0" w:space="0" w:color="auto"/>
      </w:divBdr>
    </w:div>
    <w:div w:id="1750076291">
      <w:bodyDiv w:val="1"/>
      <w:marLeft w:val="0"/>
      <w:marRight w:val="0"/>
      <w:marTop w:val="0"/>
      <w:marBottom w:val="0"/>
      <w:divBdr>
        <w:top w:val="none" w:sz="0" w:space="0" w:color="auto"/>
        <w:left w:val="none" w:sz="0" w:space="0" w:color="auto"/>
        <w:bottom w:val="none" w:sz="0" w:space="0" w:color="auto"/>
        <w:right w:val="none" w:sz="0" w:space="0" w:color="auto"/>
      </w:divBdr>
    </w:div>
    <w:div w:id="1753894705">
      <w:bodyDiv w:val="1"/>
      <w:marLeft w:val="0"/>
      <w:marRight w:val="0"/>
      <w:marTop w:val="0"/>
      <w:marBottom w:val="0"/>
      <w:divBdr>
        <w:top w:val="none" w:sz="0" w:space="0" w:color="auto"/>
        <w:left w:val="none" w:sz="0" w:space="0" w:color="auto"/>
        <w:bottom w:val="none" w:sz="0" w:space="0" w:color="auto"/>
        <w:right w:val="none" w:sz="0" w:space="0" w:color="auto"/>
      </w:divBdr>
    </w:div>
    <w:div w:id="1801460353">
      <w:bodyDiv w:val="1"/>
      <w:marLeft w:val="0"/>
      <w:marRight w:val="0"/>
      <w:marTop w:val="0"/>
      <w:marBottom w:val="0"/>
      <w:divBdr>
        <w:top w:val="none" w:sz="0" w:space="0" w:color="auto"/>
        <w:left w:val="none" w:sz="0" w:space="0" w:color="auto"/>
        <w:bottom w:val="none" w:sz="0" w:space="0" w:color="auto"/>
        <w:right w:val="none" w:sz="0" w:space="0" w:color="auto"/>
      </w:divBdr>
    </w:div>
    <w:div w:id="1812480938">
      <w:bodyDiv w:val="1"/>
      <w:marLeft w:val="0"/>
      <w:marRight w:val="0"/>
      <w:marTop w:val="0"/>
      <w:marBottom w:val="0"/>
      <w:divBdr>
        <w:top w:val="none" w:sz="0" w:space="0" w:color="auto"/>
        <w:left w:val="none" w:sz="0" w:space="0" w:color="auto"/>
        <w:bottom w:val="none" w:sz="0" w:space="0" w:color="auto"/>
        <w:right w:val="none" w:sz="0" w:space="0" w:color="auto"/>
      </w:divBdr>
    </w:div>
    <w:div w:id="1818110323">
      <w:bodyDiv w:val="1"/>
      <w:marLeft w:val="0"/>
      <w:marRight w:val="0"/>
      <w:marTop w:val="0"/>
      <w:marBottom w:val="0"/>
      <w:divBdr>
        <w:top w:val="none" w:sz="0" w:space="0" w:color="auto"/>
        <w:left w:val="none" w:sz="0" w:space="0" w:color="auto"/>
        <w:bottom w:val="none" w:sz="0" w:space="0" w:color="auto"/>
        <w:right w:val="none" w:sz="0" w:space="0" w:color="auto"/>
      </w:divBdr>
    </w:div>
    <w:div w:id="1820612514">
      <w:bodyDiv w:val="1"/>
      <w:marLeft w:val="0"/>
      <w:marRight w:val="0"/>
      <w:marTop w:val="0"/>
      <w:marBottom w:val="0"/>
      <w:divBdr>
        <w:top w:val="none" w:sz="0" w:space="0" w:color="auto"/>
        <w:left w:val="none" w:sz="0" w:space="0" w:color="auto"/>
        <w:bottom w:val="none" w:sz="0" w:space="0" w:color="auto"/>
        <w:right w:val="none" w:sz="0" w:space="0" w:color="auto"/>
      </w:divBdr>
    </w:div>
    <w:div w:id="1820884236">
      <w:bodyDiv w:val="1"/>
      <w:marLeft w:val="0"/>
      <w:marRight w:val="0"/>
      <w:marTop w:val="0"/>
      <w:marBottom w:val="0"/>
      <w:divBdr>
        <w:top w:val="none" w:sz="0" w:space="0" w:color="auto"/>
        <w:left w:val="none" w:sz="0" w:space="0" w:color="auto"/>
        <w:bottom w:val="none" w:sz="0" w:space="0" w:color="auto"/>
        <w:right w:val="none" w:sz="0" w:space="0" w:color="auto"/>
      </w:divBdr>
    </w:div>
    <w:div w:id="1862544224">
      <w:bodyDiv w:val="1"/>
      <w:marLeft w:val="0"/>
      <w:marRight w:val="0"/>
      <w:marTop w:val="0"/>
      <w:marBottom w:val="0"/>
      <w:divBdr>
        <w:top w:val="none" w:sz="0" w:space="0" w:color="auto"/>
        <w:left w:val="none" w:sz="0" w:space="0" w:color="auto"/>
        <w:bottom w:val="none" w:sz="0" w:space="0" w:color="auto"/>
        <w:right w:val="none" w:sz="0" w:space="0" w:color="auto"/>
      </w:divBdr>
    </w:div>
    <w:div w:id="1888103243">
      <w:bodyDiv w:val="1"/>
      <w:marLeft w:val="0"/>
      <w:marRight w:val="0"/>
      <w:marTop w:val="0"/>
      <w:marBottom w:val="0"/>
      <w:divBdr>
        <w:top w:val="none" w:sz="0" w:space="0" w:color="auto"/>
        <w:left w:val="none" w:sz="0" w:space="0" w:color="auto"/>
        <w:bottom w:val="none" w:sz="0" w:space="0" w:color="auto"/>
        <w:right w:val="none" w:sz="0" w:space="0" w:color="auto"/>
      </w:divBdr>
    </w:div>
    <w:div w:id="1893732866">
      <w:bodyDiv w:val="1"/>
      <w:marLeft w:val="0"/>
      <w:marRight w:val="0"/>
      <w:marTop w:val="0"/>
      <w:marBottom w:val="0"/>
      <w:divBdr>
        <w:top w:val="none" w:sz="0" w:space="0" w:color="auto"/>
        <w:left w:val="none" w:sz="0" w:space="0" w:color="auto"/>
        <w:bottom w:val="none" w:sz="0" w:space="0" w:color="auto"/>
        <w:right w:val="none" w:sz="0" w:space="0" w:color="auto"/>
      </w:divBdr>
    </w:div>
    <w:div w:id="1904830179">
      <w:bodyDiv w:val="1"/>
      <w:marLeft w:val="0"/>
      <w:marRight w:val="0"/>
      <w:marTop w:val="0"/>
      <w:marBottom w:val="0"/>
      <w:divBdr>
        <w:top w:val="none" w:sz="0" w:space="0" w:color="auto"/>
        <w:left w:val="none" w:sz="0" w:space="0" w:color="auto"/>
        <w:bottom w:val="none" w:sz="0" w:space="0" w:color="auto"/>
        <w:right w:val="none" w:sz="0" w:space="0" w:color="auto"/>
      </w:divBdr>
    </w:div>
    <w:div w:id="1948658328">
      <w:bodyDiv w:val="1"/>
      <w:marLeft w:val="0"/>
      <w:marRight w:val="0"/>
      <w:marTop w:val="0"/>
      <w:marBottom w:val="0"/>
      <w:divBdr>
        <w:top w:val="none" w:sz="0" w:space="0" w:color="auto"/>
        <w:left w:val="none" w:sz="0" w:space="0" w:color="auto"/>
        <w:bottom w:val="none" w:sz="0" w:space="0" w:color="auto"/>
        <w:right w:val="none" w:sz="0" w:space="0" w:color="auto"/>
      </w:divBdr>
    </w:div>
    <w:div w:id="1948732609">
      <w:bodyDiv w:val="1"/>
      <w:marLeft w:val="0"/>
      <w:marRight w:val="0"/>
      <w:marTop w:val="0"/>
      <w:marBottom w:val="0"/>
      <w:divBdr>
        <w:top w:val="none" w:sz="0" w:space="0" w:color="auto"/>
        <w:left w:val="none" w:sz="0" w:space="0" w:color="auto"/>
        <w:bottom w:val="none" w:sz="0" w:space="0" w:color="auto"/>
        <w:right w:val="none" w:sz="0" w:space="0" w:color="auto"/>
      </w:divBdr>
    </w:div>
    <w:div w:id="1950817089">
      <w:bodyDiv w:val="1"/>
      <w:marLeft w:val="0"/>
      <w:marRight w:val="0"/>
      <w:marTop w:val="0"/>
      <w:marBottom w:val="0"/>
      <w:divBdr>
        <w:top w:val="none" w:sz="0" w:space="0" w:color="auto"/>
        <w:left w:val="none" w:sz="0" w:space="0" w:color="auto"/>
        <w:bottom w:val="none" w:sz="0" w:space="0" w:color="auto"/>
        <w:right w:val="none" w:sz="0" w:space="0" w:color="auto"/>
      </w:divBdr>
    </w:div>
    <w:div w:id="1959532722">
      <w:bodyDiv w:val="1"/>
      <w:marLeft w:val="0"/>
      <w:marRight w:val="0"/>
      <w:marTop w:val="0"/>
      <w:marBottom w:val="0"/>
      <w:divBdr>
        <w:top w:val="none" w:sz="0" w:space="0" w:color="auto"/>
        <w:left w:val="none" w:sz="0" w:space="0" w:color="auto"/>
        <w:bottom w:val="none" w:sz="0" w:space="0" w:color="auto"/>
        <w:right w:val="none" w:sz="0" w:space="0" w:color="auto"/>
      </w:divBdr>
    </w:div>
    <w:div w:id="1961298905">
      <w:bodyDiv w:val="1"/>
      <w:marLeft w:val="0"/>
      <w:marRight w:val="0"/>
      <w:marTop w:val="0"/>
      <w:marBottom w:val="0"/>
      <w:divBdr>
        <w:top w:val="none" w:sz="0" w:space="0" w:color="auto"/>
        <w:left w:val="none" w:sz="0" w:space="0" w:color="auto"/>
        <w:bottom w:val="none" w:sz="0" w:space="0" w:color="auto"/>
        <w:right w:val="none" w:sz="0" w:space="0" w:color="auto"/>
      </w:divBdr>
    </w:div>
    <w:div w:id="1992518008">
      <w:bodyDiv w:val="1"/>
      <w:marLeft w:val="0"/>
      <w:marRight w:val="0"/>
      <w:marTop w:val="0"/>
      <w:marBottom w:val="0"/>
      <w:divBdr>
        <w:top w:val="none" w:sz="0" w:space="0" w:color="auto"/>
        <w:left w:val="none" w:sz="0" w:space="0" w:color="auto"/>
        <w:bottom w:val="none" w:sz="0" w:space="0" w:color="auto"/>
        <w:right w:val="none" w:sz="0" w:space="0" w:color="auto"/>
      </w:divBdr>
    </w:div>
    <w:div w:id="1997565807">
      <w:bodyDiv w:val="1"/>
      <w:marLeft w:val="0"/>
      <w:marRight w:val="0"/>
      <w:marTop w:val="0"/>
      <w:marBottom w:val="0"/>
      <w:divBdr>
        <w:top w:val="none" w:sz="0" w:space="0" w:color="auto"/>
        <w:left w:val="none" w:sz="0" w:space="0" w:color="auto"/>
        <w:bottom w:val="none" w:sz="0" w:space="0" w:color="auto"/>
        <w:right w:val="none" w:sz="0" w:space="0" w:color="auto"/>
      </w:divBdr>
    </w:div>
    <w:div w:id="1999306789">
      <w:bodyDiv w:val="1"/>
      <w:marLeft w:val="0"/>
      <w:marRight w:val="0"/>
      <w:marTop w:val="0"/>
      <w:marBottom w:val="0"/>
      <w:divBdr>
        <w:top w:val="none" w:sz="0" w:space="0" w:color="auto"/>
        <w:left w:val="none" w:sz="0" w:space="0" w:color="auto"/>
        <w:bottom w:val="none" w:sz="0" w:space="0" w:color="auto"/>
        <w:right w:val="none" w:sz="0" w:space="0" w:color="auto"/>
      </w:divBdr>
    </w:div>
    <w:div w:id="2054377551">
      <w:bodyDiv w:val="1"/>
      <w:marLeft w:val="0"/>
      <w:marRight w:val="0"/>
      <w:marTop w:val="0"/>
      <w:marBottom w:val="0"/>
      <w:divBdr>
        <w:top w:val="none" w:sz="0" w:space="0" w:color="auto"/>
        <w:left w:val="none" w:sz="0" w:space="0" w:color="auto"/>
        <w:bottom w:val="none" w:sz="0" w:space="0" w:color="auto"/>
        <w:right w:val="none" w:sz="0" w:space="0" w:color="auto"/>
      </w:divBdr>
    </w:div>
    <w:div w:id="2080398752">
      <w:bodyDiv w:val="1"/>
      <w:marLeft w:val="0"/>
      <w:marRight w:val="0"/>
      <w:marTop w:val="0"/>
      <w:marBottom w:val="0"/>
      <w:divBdr>
        <w:top w:val="none" w:sz="0" w:space="0" w:color="auto"/>
        <w:left w:val="none" w:sz="0" w:space="0" w:color="auto"/>
        <w:bottom w:val="none" w:sz="0" w:space="0" w:color="auto"/>
        <w:right w:val="none" w:sz="0" w:space="0" w:color="auto"/>
      </w:divBdr>
    </w:div>
    <w:div w:id="2103332661">
      <w:bodyDiv w:val="1"/>
      <w:marLeft w:val="0"/>
      <w:marRight w:val="0"/>
      <w:marTop w:val="0"/>
      <w:marBottom w:val="0"/>
      <w:divBdr>
        <w:top w:val="none" w:sz="0" w:space="0" w:color="auto"/>
        <w:left w:val="none" w:sz="0" w:space="0" w:color="auto"/>
        <w:bottom w:val="none" w:sz="0" w:space="0" w:color="auto"/>
        <w:right w:val="none" w:sz="0" w:space="0" w:color="auto"/>
      </w:divBdr>
    </w:div>
    <w:div w:id="2107573656">
      <w:bodyDiv w:val="1"/>
      <w:marLeft w:val="0"/>
      <w:marRight w:val="0"/>
      <w:marTop w:val="0"/>
      <w:marBottom w:val="0"/>
      <w:divBdr>
        <w:top w:val="none" w:sz="0" w:space="0" w:color="auto"/>
        <w:left w:val="none" w:sz="0" w:space="0" w:color="auto"/>
        <w:bottom w:val="none" w:sz="0" w:space="0" w:color="auto"/>
        <w:right w:val="none" w:sz="0" w:space="0" w:color="auto"/>
      </w:divBdr>
    </w:div>
    <w:div w:id="2118910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NHS22</b:Tag>
    <b:SourceType>InternetSite</b:SourceType>
    <b:Guid>{C6D94FD7-B8E7-464C-975C-AF88F1AF61EA}</b:Guid>
    <b:Title>Improving care for older people</b:Title>
    <b:Year>2022</b:Year>
    <b:Author>
      <b:Author>
        <b:Corporate>NHS</b:Corporate>
      </b:Author>
    </b:Author>
    <b:Month>October</b:Month>
    <b:Day>18</b:Day>
    <b:URL>https://www.england.nhs.uk/ourwork/clinical-policy/older-people/improving-care-for-older-people/#:~:text=How%20old%20is%20an%20older,healthier%20than%20someone%20aged%2060.</b:URL>
    <b:RefOrder>1</b:RefOrder>
  </b:Source>
  <b:Source>
    <b:Tag>Sin09</b:Tag>
    <b:SourceType>JournalArticle</b:SourceType>
    <b:Guid>{5BD5532C-E191-497A-AFD3-5580F4AB0040}</b:Guid>
    <b:Title>Loneliness, depression and sociability in old age</b:Title>
    <b:Year>2009</b:Year>
    <b:Author>
      <b:Author>
        <b:NameList>
          <b:Person>
            <b:Last>Singh</b:Last>
            <b:First>A</b:First>
          </b:Person>
          <b:Person>
            <b:Last>Misra</b:Last>
            <b:First>N.</b:First>
          </b:Person>
        </b:NameList>
      </b:Author>
    </b:Author>
    <b:JournalName>Industrial Psychiatry Journal</b:JournalName>
    <b:Pages>51-55</b:Pages>
    <b:Volume>18</b:Volume>
    <b:Issue>1</b:Issue>
    <b:RefOrder>2</b:RefOrder>
  </b:Source>
  <b:Source>
    <b:Tag>Abd19</b:Tag>
    <b:SourceType>JournalArticle</b:SourceType>
    <b:Guid>{0A6410B3-45AF-4BD5-BEA3-B9E9A970169E}</b:Guid>
    <b:Author>
      <b:Author>
        <b:NameList>
          <b:Person>
            <b:Last>Abdi</b:Last>
            <b:First>S</b:First>
          </b:Person>
          <b:Person>
            <b:Last>Spann</b:Last>
            <b:First>A</b:First>
          </b:Person>
          <b:Person>
            <b:Last>Borilovic</b:Last>
            <b:First>J</b:First>
          </b:Person>
          <b:Person>
            <b:Last>Witten</b:Last>
            <b:First>D.</b:First>
            <b:Middle>L</b:Middle>
          </b:Person>
          <b:Person>
            <b:Last>Hawley</b:Last>
            <b:First>M.</b:First>
          </b:Person>
        </b:NameList>
      </b:Author>
    </b:Author>
    <b:Title>Understanding the care and support needs of older people: a scoping review and categorisation using the WHO international classification of functioning, disability and health framework (ICF)</b:Title>
    <b:JournalName>BMC Geriatrics </b:JournalName>
    <b:Year>2019</b:Year>
    <b:Pages>2-6</b:Pages>
    <b:Volume>19</b:Volume>
    <b:Issue>195</b:Issue>
    <b:RefOrder>3</b:RefOrder>
  </b:Source>
  <b:Source>
    <b:Tag>The21</b:Tag>
    <b:SourceType>DocumentFromInternetSite</b:SourceType>
    <b:Guid>{0841B957-3171-4ABA-94B4-E1608D2CDE0B}</b:Guid>
    <b:Title>Our ageing population</b:Title>
    <b:Year>2021</b:Year>
    <b:Author>
      <b:Author>
        <b:Corporate>The Health Foundation</b:Corporate>
      </b:Author>
    </b:Author>
    <b:Month>December</b:Month>
    <b:YearAccessed>2022</b:YearAccessed>
    <b:MonthAccessed>October</b:MonthAccessed>
    <b:DayAccessed>18</b:DayAccessed>
    <b:URL>https://www.health.org.uk/publications/our-ageing-population#:~:text=In%20the%20next%2025%20years,health%20and%20social%20care%20services.</b:URL>
    <b:RefOrder>4</b:RefOrder>
  </b:Source>
  <b:Source>
    <b:Tag>UKP21</b:Tag>
    <b:SourceType>DocumentFromInternetSite</b:SourceType>
    <b:Guid>{5BC6A80D-410F-4C25-82F4-583B13764E69}</b:Guid>
    <b:Author>
      <b:Author>
        <b:Corporate>UK Parliament</b:Corporate>
      </b:Author>
    </b:Author>
    <b:Title>House of Commons Library</b:Title>
    <b:Year>2021</b:Year>
    <b:Month>June</b:Month>
    <b:Day>03</b:Day>
    <b:YearAccessed>2022</b:YearAccessed>
    <b:MonthAccessed>October</b:MonthAccessed>
    <b:DayAccessed>18</b:DayAccessed>
    <b:URL>https://commonslibrary.parliament.uk/research-briefings/cbp-9239/#:~:text=The%20UK's%20ageing%20population&amp;text=Around%20one%2Dfifth%20of%20the,population%20only%20increased%20by%207%25.</b:URL>
    <b:RefOrder>5</b:RefOrder>
  </b:Source>
  <b:Source>
    <b:Tag>Age19</b:Tag>
    <b:SourceType>Report</b:SourceType>
    <b:Guid>{8BC00693-892E-437C-B0C2-9849DD6F16F4}</b:Guid>
    <b:Title>Later Life in the United Kingdom 2019 </b:Title>
    <b:Year>2019</b:Year>
    <b:Author>
      <b:Author>
        <b:Corporate>Age UK</b:Corporate>
      </b:Author>
    </b:Author>
    <b:Publisher>Age UK</b:Publisher>
    <b:City>Derby and Derbyshire</b:City>
    <b:RefOrder>6</b:RefOrder>
  </b:Source>
  <b:Source>
    <b:Tag>Imp21</b:Tag>
    <b:SourceType>JournalArticle</b:SourceType>
    <b:Guid>{E9AA6F53-3E1B-46CF-96BF-DE75DFBD5AE3}</b:Guid>
    <b:Title>Impact of the COVID-19 Pandemic on Older Adults: Rapid Review</b:Title>
    <b:Year>2021</b:Year>
    <b:JournalName>JMIR Aging</b:JournalName>
    <b:Pages>e26474-80</b:Pages>
    <b:Volume>4</b:Volume>
    <b:Issue>2</b:Issue>
    <b:Author>
      <b:Author>
        <b:NameList>
          <b:Person>
            <b:Last>Lebrasseur</b:Last>
            <b:First>A</b:First>
          </b:Person>
          <b:Person>
            <b:Last>Fortin-Bedard</b:Last>
            <b:First>N</b:First>
          </b:Person>
          <b:Person>
            <b:Last>Lettre</b:Last>
            <b:First>J</b:First>
          </b:Person>
          <b:Person>
            <b:Last>Raymond</b:Last>
            <b:First>E</b:First>
          </b:Person>
          <b:Person>
            <b:Last>Bussieres</b:Last>
            <b:First>L.</b:First>
            <b:Middle>E</b:Middle>
          </b:Person>
          <b:Person>
            <b:Last>Lapierre</b:Last>
            <b:First>N</b:First>
          </b:Person>
          <b:Person>
            <b:Last>Faieta</b:Last>
            <b:First>J</b:First>
          </b:Person>
          <b:Person>
            <b:Last>Vincent</b:Last>
            <b:First>C</b:First>
          </b:Person>
          <b:Person>
            <b:Last>Duchesne</b:Last>
            <b:First>L</b:First>
          </b:Person>
          <b:Person>
            <b:Last>Quellet</b:Last>
            <b:First>C.</b:First>
            <b:Middle>M,</b:Middle>
          </b:Person>
        </b:NameList>
      </b:Author>
    </b:Author>
    <b:RefOrder>7</b:RefOrder>
  </b:Source>
  <b:Source>
    <b:Tag>Emm21</b:Tag>
    <b:SourceType>JournalArticle</b:SourceType>
    <b:Guid>{EE851DA0-9900-4DA0-8264-E1EB722D251D}</b:Guid>
    <b:Title>Care for Older People with Dementia During COVID-19 Pandemic</b:Title>
    <b:Year>2021</b:Year>
    <b:Author>
      <b:Author>
        <b:NameList>
          <b:Person>
            <b:Last>Emmerton</b:Last>
            <b:First>D</b:First>
          </b:Person>
          <b:Person>
            <b:Last>Abdelhafiz</b:Last>
            <b:First>H.</b:First>
            <b:Middle>A.</b:Middle>
          </b:Person>
        </b:NameList>
      </b:Author>
    </b:Author>
    <b:JournalName>SN Comprehensive Clinical Medicine</b:JournalName>
    <b:Pages>437-443</b:Pages>
    <b:Volume>3</b:Volume>
    <b:Issue>2</b:Issue>
    <b:RefOrder>8</b:RefOrder>
  </b:Source>
  <b:Source>
    <b:Tag>Anx21</b:Tag>
    <b:SourceType>JournalArticle</b:SourceType>
    <b:Guid>{1BF12758-220A-4AF1-A67A-87C49A71AF77}</b:Guid>
    <b:Title>Anxiety and depression in the elderly due to COVID-19 pandemic: a pilot study</b:Title>
    <b:JournalName>Middle Eastern Current Psychiatry</b:JournalName>
    <b:Year>2021</b:Year>
    <b:Pages>67-70</b:Pages>
    <b:Volume>28</b:Volume>
    <b:Issue>1</b:Issue>
    <b:Author>
      <b:Author>
        <b:NameList>
          <b:Person>
            <b:Last>Das</b:Last>
            <b:First>S</b:First>
          </b:Person>
          <b:Person>
            <b:Last>Arun</b:Last>
            <b:First>P</b:First>
          </b:Person>
          <b:Person>
            <b:Last>Rohilla</b:Last>
            <b:First>R</b:First>
          </b:Person>
          <b:Person>
            <b:Last>Parashar</b:Last>
            <b:First>K</b:First>
          </b:Person>
          <b:Person>
            <b:Last>Roy</b:Last>
            <b:First>A.</b:First>
          </b:Person>
        </b:NameList>
      </b:Author>
    </b:Author>
    <b:RefOrder>9</b:RefOrder>
  </b:Source>
  <b:Source>
    <b:Tag>Bri21</b:Tag>
    <b:SourceType>JournalArticle</b:SourceType>
    <b:Guid>{86F77591-51D2-425F-A3A0-184646AF5157}</b:Guid>
    <b:Author>
      <b:Author>
        <b:NameList>
          <b:Person>
            <b:Last>Briggs</b:Last>
            <b:First>R</b:First>
          </b:Person>
          <b:Person>
            <b:Last>McDowell</b:Last>
            <b:First>P.</b:First>
            <b:Middle>C</b:Middle>
          </b:Person>
          <b:Person>
            <b:Last>Looze</b:Last>
            <b:First>D.</b:First>
            <b:Middle>C</b:Middle>
          </b:Person>
          <b:Person>
            <b:Last>Kenny</b:Last>
            <b:First>A.</b:First>
            <b:Middle>R</b:Middle>
          </b:Person>
          <b:Person>
            <b:Last>Ward</b:Last>
            <b:First>M.</b:First>
          </b:Person>
        </b:NameList>
      </b:Author>
    </b:Author>
    <b:Title>Depressive Symptoms Among Older Adults Pre- and Post-COVID-19 Pandemic</b:Title>
    <b:JournalName>Journal of the American Medical Directors Association</b:JournalName>
    <b:Year>2021</b:Year>
    <b:Pages>2251-2257</b:Pages>
    <b:Volume>22</b:Volume>
    <b:Issue>11</b:Issue>
    <b:RefOrder>10</b:RefOrder>
  </b:Source>
  <b:Source>
    <b:Tag>Yil21</b:Tag>
    <b:SourceType>JournalArticle</b:SourceType>
    <b:Guid>{1C34EF7E-D452-4569-8DF0-097065E53D26}</b:Guid>
    <b:Author>
      <b:Author>
        <b:NameList>
          <b:Person>
            <b:Last>Yildirim</b:Last>
            <b:First>H</b:First>
          </b:Person>
          <b:Person>
            <b:Last>Isik</b:Last>
            <b:First>K</b:First>
          </b:Person>
          <b:Person>
            <b:Last>Aylaz</b:Last>
            <b:First>R.</b:First>
          </b:Person>
        </b:NameList>
      </b:Author>
    </b:Author>
    <b:Title>The effect of anxiety levels of elderly people in quarantine on depression during covid-19 pandemic</b:Title>
    <b:JournalName>Social Work in Public Health</b:JournalName>
    <b:Year>2021</b:Year>
    <b:Pages>194-204</b:Pages>
    <b:Volume>17</b:Volume>
    <b:Issue>36</b:Issue>
    <b:RefOrder>11</b:RefOrder>
  </b:Source>
  <b:Source>
    <b:Tag>MHA22</b:Tag>
    <b:SourceType>InternetSite</b:SourceType>
    <b:Guid>{D4ABA7BC-A58C-477F-AC3C-6D33972B5DF0}</b:Guid>
    <b:Title>Facts &amp; Stats</b:Title>
    <b:Year>2022</b:Year>
    <b:Author>
      <b:Author>
        <b:Corporate>MHA</b:Corporate>
      </b:Author>
    </b:Author>
    <b:YearAccessed>2022</b:YearAccessed>
    <b:MonthAccessed>October</b:MonthAccessed>
    <b:DayAccessed>18</b:DayAccessed>
    <b:URL>https://www.mha.org.uk/get-involved/policy-influencing/facts-stats/</b:URL>
    <b:RefOrder>12</b:RefOrder>
  </b:Source>
  <b:Source>
    <b:Tag>GOV22</b:Tag>
    <b:SourceType>DocumentFromInternetSite</b:SourceType>
    <b:Guid>{23947693-35CD-4134-A222-0B9B8723104D}</b:Guid>
    <b:Author>
      <b:Author>
        <b:Corporate>GOV.UK</b:Corporate>
      </b:Author>
    </b:Author>
    <b:Title>Over £800 million to boost innovation, growth and improve patient safety</b:Title>
    <b:Year>2022</b:Year>
    <b:Month>October</b:Month>
    <b:Day>14</b:Day>
    <b:YearAccessed>2022</b:YearAccessed>
    <b:MonthAccessed>October</b:MonthAccessed>
    <b:DayAccessed>19</b:DayAccessed>
    <b:URL>https://www.gov.uk/government/news/over-800m-to-boost-innovation-growth-and-improve-patient-safety</b:URL>
    <b:RefOrder>13</b:RefOrder>
  </b:Source>
  <b:Source>
    <b:Tag>NHS221</b:Tag>
    <b:SourceType>InternetSite</b:SourceType>
    <b:Guid>{FC707A3D-4B65-4373-B2ED-C6A7FD824C0D}</b:Guid>
    <b:Title>Improving care for older people</b:Title>
    <b:Year>2022</b:Year>
    <b:YearAccessed>2022</b:YearAccessed>
    <b:MonthAccessed>October</b:MonthAccessed>
    <b:DayAccessed>19</b:DayAccessed>
    <b:URL>https://www.england.nhs.uk/ourwork/clinical-policy/older-people/improving-care-for-older-people/</b:URL>
    <b:Author>
      <b:Author>
        <b:Corporate>NHS England</b:Corporate>
      </b:Author>
    </b:Author>
    <b:RefOrder>14</b:RefOrder>
  </b:Source>
  <b:Source>
    <b:Tag>Age18</b:Tag>
    <b:SourceType>Report</b:SourceType>
    <b:Guid>{BE444257-2191-4E09-A2BE-294F00C291E4}</b:Guid>
    <b:Title>Adult Safeguarding</b:Title>
    <b:Year>2018</b:Year>
    <b:Author>
      <b:Author>
        <b:Corporate>Age UK</b:Corporate>
      </b:Author>
    </b:Author>
    <b:Publisher>Age UK</b:Publisher>
    <b:City>London</b:City>
    <b:RefOrder>15</b:RefOrder>
  </b:Source>
  <b:Source>
    <b:Tag>Kil22</b:Tag>
    <b:SourceType>JournalArticle</b:SourceType>
    <b:Guid>{B7A77627-BCD9-4FC6-A676-337D282ADDA7}</b:Guid>
    <b:Title>Safeguarding adults at risk of abuse: identifying educational gaps amongst hospital staff to guide training</b:Title>
    <b:Year>2022</b:Year>
    <b:Author>
      <b:Author>
        <b:NameList>
          <b:Person>
            <b:Last>Killeen</b:Last>
            <b:First>E</b:First>
          </b:Person>
          <b:Person>
            <b:Last>Higgins</b:Last>
            <b:First>M</b:First>
          </b:Person>
          <b:Person>
            <b:Last>Keogh</b:Last>
            <b:First>C</b:First>
          </b:Person>
          <b:Person>
            <b:Last>Russell</b:Last>
            <b:First>S</b:First>
          </b:Person>
          <b:Person>
            <b:Last>Curran</b:Last>
            <b:First>C.</b:First>
          </b:Person>
        </b:NameList>
      </b:Author>
    </b:Author>
    <b:JournalName>Irish Journal of Medical Science</b:JournalName>
    <b:Pages>2-6. https://doi.org/10.1007/s11845-022-02965-4</b:Pages>
    <b:Volume>4</b:Volume>
    <b:Issue>1</b:Issue>
    <b:RefOrder>16</b:RefOrder>
  </b:Source>
  <b:Source>
    <b:Tag>Man17</b:Tag>
    <b:SourceType>JournalArticle</b:SourceType>
    <b:Guid>{614B6C90-43B7-4402-B958-73C2ED96B84B}</b:Guid>
    <b:Author>
      <b:Author>
        <b:NameList>
          <b:Person>
            <b:Last>Manthorpe</b:Last>
            <b:First>J</b:First>
          </b:Person>
          <b:Person>
            <b:Last>Martineau</b:Last>
            <b:First>S.</b:First>
          </b:Person>
        </b:NameList>
      </b:Author>
    </b:Author>
    <b:Title>Engaging with the New System of Safeguarding Adults Reviews Concerning Care Homes for Older People</b:Title>
    <b:JournalName>The British Journal of Social Work</b:JournalName>
    <b:Year>2017</b:Year>
    <b:Pages>2086-2099</b:Pages>
    <b:Volume>47</b:Volume>
    <b:Issue>7</b:Issue>
    <b:RefOrder>17</b:RefOrder>
  </b:Source>
  <b:Source>
    <b:Tag>Nat18</b:Tag>
    <b:SourceType>Report</b:SourceType>
    <b:Guid>{3BCDAE6F-888E-4639-8C3D-07913330557E}</b:Guid>
    <b:Title>Reaching out: Guide to helping principal and local councils tackle loneliness</b:Title>
    <b:Year>2018</b:Year>
    <b:Author>
      <b:Author>
        <b:Corporate>National Association of Local Councils</b:Corporate>
      </b:Author>
    </b:Author>
    <b:Publisher>National Association of Local Councils</b:Publisher>
    <b:City>Bloomsbury</b:City>
    <b:RefOrder>18</b:RefOrder>
  </b:Source>
  <b:Source>
    <b:Tag>Yen15</b:Tag>
    <b:SourceType>JournalArticle</b:SourceType>
    <b:Guid>{BCEDEAC8-44D9-4BF9-A17E-E586446C6AFA}</b:Guid>
    <b:Title>Economic and Social Consequences of Population Aging the Dilemmas and Opportunities in the Twenty-First Century</b:Title>
    <b:Year>2015</b:Year>
    <b:Author>
      <b:Author>
        <b:NameList>
          <b:Person>
            <b:Last>Yenilmez</b:Last>
            <b:First>I.</b:First>
            <b:Middle>M.</b:Middle>
          </b:Person>
        </b:NameList>
      </b:Author>
    </b:Author>
    <b:JournalName>Applied Research in Quality of Life</b:JournalName>
    <b:Pages>735-752</b:Pages>
    <b:Volume>10</b:Volume>
    <b:Issue>1</b:Issue>
    <b:RefOrder>19</b:RefOrder>
  </b:Source>
  <b:Source>
    <b:Tag>Cha10</b:Tag>
    <b:SourceType>JournalArticle</b:SourceType>
    <b:Guid>{6A4B4182-E6CE-4A78-A2A9-EB0EA6A2422D}</b:Guid>
    <b:Author>
      <b:Author>
        <b:NameList>
          <b:Person>
            <b:Last>Charles</b:Last>
            <b:First>S</b:First>
          </b:Person>
          <b:Person>
            <b:Last>Carstensen</b:Last>
            <b:First>L.</b:First>
            <b:Middle>L.</b:Middle>
          </b:Person>
        </b:NameList>
      </b:Author>
    </b:Author>
    <b:Title>Social and Emotional Aging</b:Title>
    <b:JournalName>Annual Review of Psychology </b:JournalName>
    <b:Year>2010</b:Year>
    <b:Pages>383-409</b:Pages>
    <b:Volume>61</b:Volume>
    <b:Issue>1</b:Issue>
    <b:RefOrder>20</b:RefOrder>
  </b:Source>
  <b:Source>
    <b:Tag>NIH22</b:Tag>
    <b:SourceType>InternetSite</b:SourceType>
    <b:Guid>{42EF338F-2AF3-4C8C-82E7-C311DFAE671D}</b:Guid>
    <b:Title>The National Institute on Aging</b:Title>
    <b:Year>2022</b:Year>
    <b:Author>
      <b:Author>
        <b:Corporate>NIH</b:Corporate>
      </b:Author>
    </b:Author>
    <b:YearAccessed>2022</b:YearAccessed>
    <b:MonthAccessed>October</b:MonthAccessed>
    <b:DayAccessed>19</b:DayAccessed>
    <b:URL>https://www.nia.nih.gov/about/aging-strategic-directions-research/goal-society-policy#:~:text=Societal%20aging%20can%20affect%20economic,of%20chronic%20disease%20and%20disability.</b:URL>
    <b:RefOrder>21</b:RefOrder>
  </b:Source>
  <b:Source>
    <b:Tag>Blo10</b:Tag>
    <b:SourceType>JournalArticle</b:SourceType>
    <b:Guid>{13597503-12E1-4183-AC96-A6E509DB7005}</b:Guid>
    <b:Title>Implications of population ageing for economic growth</b:Title>
    <b:Year>2010</b:Year>
    <b:Author>
      <b:Author>
        <b:NameList>
          <b:Person>
            <b:Last>Bloom</b:Last>
            <b:First>E.</b:First>
            <b:Middle>D</b:Middle>
          </b:Person>
          <b:Person>
            <b:Last>Canning</b:Last>
            <b:First>D</b:First>
          </b:Person>
          <b:Person>
            <b:Last>Fink</b:Last>
            <b:First>G.</b:First>
          </b:Person>
        </b:NameList>
      </b:Author>
    </b:Author>
    <b:JournalName>Oxford Review of Economic Policy</b:JournalName>
    <b:Pages>583-612</b:Pages>
    <b:Volume>26</b:Volume>
    <b:Issue>4</b:Issue>
    <b:RefOrder>22</b:RefOrder>
  </b:Source>
  <b:Source>
    <b:Tag>The94</b:Tag>
    <b:SourceType>JournalArticle</b:SourceType>
    <b:Guid>{7C1D131A-B659-4C94-8B49-56CF6A4A8B22}</b:Guid>
    <b:Title>The social impact of aging populations: Some major issues</b:Title>
    <b:JournalName>Social Science &amp; Medicine</b:JournalName>
    <b:Year>1994</b:Year>
    <b:Pages>1323-1338</b:Pages>
    <b:Volume>39</b:Volume>
    <b:Issue>9</b:Issue>
    <b:Author>
      <b:Author>
        <b:NameList>
          <b:Person>
            <b:Last>Restrepo</b:Last>
            <b:First>E.</b:First>
            <b:Middle>H</b:Middle>
          </b:Person>
          <b:Person>
            <b:Last>Rozental</b:Last>
            <b:First>M.</b:First>
          </b:Person>
        </b:NameList>
      </b:Author>
    </b:Author>
    <b:RefOrder>23</b:RefOrder>
  </b:Source>
  <b:Source>
    <b:Tag>CPA22</b:Tag>
    <b:SourceType>InternetSite</b:SourceType>
    <b:Guid>{235479AA-14DA-4459-B71E-74380D48BD34}</b:Guid>
    <b:Title>Policies on ageing</b:Title>
    <b:Year>2022</b:Year>
    <b:Author>
      <b:Author>
        <b:Corporate>Centre for Policy on Aging (CPA)</b:Corporate>
      </b:Author>
    </b:Author>
    <b:YearAccessed>2022</b:YearAccessed>
    <b:MonthAccessed>October</b:MonthAccessed>
    <b:DayAccessed>19</b:DayAccessed>
    <b:URL>http://www.cpa.org.uk/cpa/policies_on_ageing.html</b:URL>
    <b:RefOrder>24</b:RefOrder>
  </b:Source>
  <b:Source>
    <b:Tag>Roy22</b:Tag>
    <b:SourceType>InternetSite</b:SourceType>
    <b:Guid>{D42BC745-2721-4A64-9D00-04554E1DA5A5}</b:Guid>
    <b:Author>
      <b:Author>
        <b:Corporate>Royal Geographical Society</b:Corporate>
      </b:Author>
    </b:Author>
    <b:Title>How will Britain Deal with an Aging Population?</b:Title>
    <b:Year>2022</b:Year>
    <b:YearAccessed>2022</b:YearAccessed>
    <b:MonthAccessed>October</b:MonthAccessed>
    <b:DayAccessed>19</b:DayAccessed>
    <b:URL>https://21stcenturychallenges.org/how-will-britain-deal-with-an-ageing-population/</b:URL>
    <b:RefOrder>25</b:RefOrder>
  </b:Source>
  <b:Source>
    <b:Tag>The02</b:Tag>
    <b:SourceType>JournalArticle</b:SourceType>
    <b:Guid>{4ABB2425-2D0C-4536-AD6A-A10A4A499859}</b:Guid>
    <b:Title>The social implications of an ageing population</b:Title>
    <b:Year>2002</b:Year>
    <b:JournalName>Mechanisms of Ageing and Development</b:JournalName>
    <b:Pages>729-735</b:Pages>
    <b:Volume>123</b:Volume>
    <b:Issue>7</b:Issue>
    <b:Author>
      <b:Author>
        <b:NameList>
          <b:Person>
            <b:Last>Tinker</b:Last>
            <b:First>A.</b:First>
          </b:Person>
        </b:NameList>
      </b:Author>
    </b:Author>
    <b:RefOrder>26</b:RefOrder>
  </b:Source>
  <b:Source>
    <b:Tag>Wor22</b:Tag>
    <b:SourceType>DocumentFromInternetSite</b:SourceType>
    <b:Guid>{FB92B315-6789-4E68-A714-6D7E45045198}</b:Guid>
    <b:Title>Ageing and health</b:Title>
    <b:Year>2022</b:Year>
    <b:Author>
      <b:Author>
        <b:Corporate>World Health Organisation (WHO)</b:Corporate>
      </b:Author>
    </b:Author>
    <b:Month>October</b:Month>
    <b:Day>01</b:Day>
    <b:YearAccessed>2022</b:YearAccessed>
    <b:MonthAccessed>October</b:MonthAccessed>
    <b:DayAccessed>19</b:DayAccessed>
    <b:URL>https://www.who.int/news-room/fact-sheets/detail/ageing-and-health</b:URL>
    <b:RefOrder>27</b:RefOrder>
  </b:Source>
  <b:Source>
    <b:Tag>GOV15</b:Tag>
    <b:SourceType>DocumentFromInternetSite</b:SourceType>
    <b:Guid>{EEA7DD83-EC0A-4111-BC9A-96FA1A9DE5B8}</b:Guid>
    <b:Author>
      <b:Author>
        <b:Corporate>GOV.UK</b:Corporate>
      </b:Author>
    </b:Author>
    <b:Title>2010 to 2015 government policy: older people</b:Title>
    <b:Year>2015</b:Year>
    <b:Month>May</b:Month>
    <b:Day>08</b:Day>
    <b:YearAccessed>2022</b:YearAccessed>
    <b:MonthAccessed>October </b:MonthAccessed>
    <b:DayAccessed>19</b:DayAccessed>
    <b:URL>https://www.gov.uk/government/publications/2010-to-2015-government-policy-older-people/2010-to-2015-government-policy-older-people</b:URL>
    <b:RefOrder>28</b:RefOrder>
  </b:Source>
  <b:Source>
    <b:Tag>Dig08</b:Tag>
    <b:SourceType>BookSection</b:SourceType>
    <b:Guid>{A8747041-FF30-4145-9BB6-0029C0676974}</b:Guid>
    <b:Title>Activity Theory of Aging</b:Title>
    <b:Year>2008</b:Year>
    <b:Author>
      <b:Author>
        <b:NameList>
          <b:Person>
            <b:Last>Diggs</b:Last>
            <b:First>J.</b:First>
          </b:Person>
        </b:NameList>
      </b:Author>
    </b:Author>
    <b:BookTitle>Encyclopedia of Aging and Public Health</b:BookTitle>
    <b:Pages>79-81</b:Pages>
    <b:City>Berlin</b:City>
    <b:Publisher>Springer Science &amp; Business Media</b:Publisher>
    <b:RefOrder>29</b:RefOrder>
  </b:Source>
  <b:Source>
    <b:Tag>Kuy73</b:Tag>
    <b:SourceType>JournalArticle</b:SourceType>
    <b:Guid>{3E8CBF97-EDA8-4E94-A835-5691D420631E}</b:Guid>
    <b:Title>Social Breakdown and Competence: A Model of Normal Aging</b:Title>
    <b:Year>1973</b:Year>
    <b:Pages>181-201</b:Pages>
    <b:Author>
      <b:Author>
        <b:NameList>
          <b:Person>
            <b:Last>Kuypers</b:Last>
            <b:First>A.</b:First>
            <b:Middle>J</b:Middle>
          </b:Person>
          <b:Person>
            <b:Last>Bengtson</b:Last>
            <b:First>L.</b:First>
            <b:Middle>V.</b:Middle>
          </b:Person>
        </b:NameList>
      </b:Author>
    </b:Author>
    <b:JournalName>Human Development</b:JournalName>
    <b:Volume>16</b:Volume>
    <b:Issue>3</b:Issue>
    <b:RefOrder>30</b:RefOrder>
  </b:Source>
  <b:Source>
    <b:Tag>Gwy09</b:Tag>
    <b:SourceType>BookSection</b:SourceType>
    <b:Guid>{150790BF-50F8-4BDB-B88A-1C643F96985A}</b:Guid>
    <b:Title>Modernization Theory</b:Title>
    <b:Year>2009</b:Year>
    <b:Pages>8250</b:Pages>
    <b:Author>
      <b:Author>
        <b:NameList>
          <b:Person>
            <b:Last>Gwynne</b:Last>
            <b:First>N.</b:First>
            <b:Middle>R.</b:Middle>
          </b:Person>
        </b:NameList>
      </b:Author>
      <b:Editor>
        <b:NameList>
          <b:Person>
            <b:Last>Thrift</b:Last>
            <b:First>N.</b:First>
            <b:Middle>K. R.</b:Middle>
          </b:Person>
        </b:NameList>
      </b:Editor>
    </b:Author>
    <b:BookTitle>International Encyclopedia of Human Geography</b:BookTitle>
    <b:City>Amsterdam</b:City>
    <b:Publisher>Elsevier</b:Publisher>
    <b:RefOrder>31</b:RefOrder>
  </b:Source>
  <b:Source>
    <b:Tag>Raj15</b:Tag>
    <b:SourceType>JournalArticle</b:SourceType>
    <b:Guid>{B1DB2455-4A7B-49AC-AFC1-DA693572DB49}</b:Guid>
    <b:Title>Theory of Gerotranscendence: An Analysis</b:Title>
    <b:Year>2015</b:Year>
    <b:Pages>1035-40</b:Pages>
    <b:Author>
      <b:Author>
        <b:NameList>
          <b:Person>
            <b:Last>Rajani</b:Last>
            <b:First>F</b:First>
          </b:Person>
          <b:Person>
            <b:Last>Jawaid</b:Last>
            <b:First>H.</b:First>
          </b:Person>
        </b:NameList>
      </b:Author>
    </b:Author>
    <b:JournalName>Austin Journal of Psychiatry and Behavioral Sciences</b:JournalName>
    <b:Volume>2</b:Volume>
    <b:Issue>1</b:Issue>
    <b:RefOrder>32</b:RefOrder>
  </b:Source>
  <b:Source>
    <b:Tag>Mar79</b:Tag>
    <b:SourceType>JournalArticle</b:SourceType>
    <b:Guid>{7A6FB5FA-41EF-40C0-8C10-DCECFAF3AB4E}</b:Guid>
    <b:Author>
      <b:Author>
        <b:NameList>
          <b:Person>
            <b:Last>Marshall</b:Last>
            <b:First>V.</b:First>
          </b:Person>
        </b:NameList>
      </b:Author>
    </b:Author>
    <b:Title>No Exit: A Symbolic Interactionist Perspective on Aging</b:Title>
    <b:JournalName>The International Journal of Aging and Human Development </b:JournalName>
    <b:Year>1979</b:Year>
    <b:Pages>345-58</b:Pages>
    <b:Volume>9</b:Volume>
    <b:Issue>4</b:Issue>
    <b:RefOrder>33</b:RefOrder>
  </b:Source>
  <b:Source>
    <b:Tag>Loh80</b:Tag>
    <b:SourceType>Report</b:SourceType>
    <b:Guid>{C3DA96FF-733D-47E0-82DA-D40D525CA3B3}</b:Guid>
    <b:Title>Aging as Symbolic Interaction </b:Title>
    <b:Year>1980</b:Year>
    <b:Author>
      <b:Author>
        <b:NameList>
          <b:Person>
            <b:Last>Lohmann</b:Last>
            <b:First>A.</b:First>
            <b:Middle>R.</b:Middle>
          </b:Person>
        </b:NameList>
      </b:Author>
    </b:Author>
    <b:Publisher>West Virginia University</b:Publisher>
    <b:City>West Virginia.</b:City>
    <b:RefOrder>34</b:RefOrder>
  </b:Source>
  <b:Source>
    <b:Tag>Pru21</b:Tag>
    <b:SourceType>BookSection</b:SourceType>
    <b:Guid>{E2EC3F2E-5572-4B0A-8302-53852E4C291F}</b:Guid>
    <b:Title>Disengagement Theory</b:Title>
    <b:Year>2021</b:Year>
    <b:Publisher>Academic Press</b:Publisher>
    <b:City>Cambridge</b:City>
    <b:Author>
      <b:Author>
        <b:NameList>
          <b:Person>
            <b:Last>Pruchno</b:Last>
            <b:First>R.</b:First>
          </b:Person>
        </b:NameList>
      </b:Author>
    </b:Author>
    <b:BookTitle>Handbook of the Psychology of Aging</b:BookTitle>
    <b:Pages>301-318</b:Pages>
    <b:RefOrder>35</b:RefOrder>
  </b:Source>
  <b:Source>
    <b:Tag>Lov22</b:Tag>
    <b:SourceType>JournalArticle</b:SourceType>
    <b:Guid>{50EA9593-A5DD-430B-BDD7-E5937CC0A81D}</b:Guid>
    <b:Title>Artificial intelligence for older people receiving long-term care: a systematic review of acceptability and effectiveness studies</b:Title>
    <b:Year>2022</b:Year>
    <b:Pages>286-297</b:Pages>
    <b:Author>
      <b:Author>
        <b:NameList>
          <b:Person>
            <b:Last>Loveys</b:Last>
            <b:First>K</b:First>
          </b:Person>
          <b:Person>
            <b:Last>Prina</b:Last>
            <b:First>M</b:First>
          </b:Person>
          <b:Person>
            <b:Last>Axford</b:Last>
            <b:First>C</b:First>
          </b:Person>
          <b:Person>
            <b:Last>Domenec</b:Last>
            <b:First>R.</b:First>
            <b:Middle>O</b:Middle>
          </b:Person>
          <b:Person>
            <b:Last>Weng</b:Last>
            <b:First>W</b:First>
          </b:Person>
          <b:Person>
            <b:Last>Broadbent</b:Last>
            <b:First>E</b:First>
          </b:Person>
          <b:Person>
            <b:Last>Pujari</b:Last>
            <b:First>S</b:First>
          </b:Person>
          <b:Person>
            <b:Last>Jang</b:Last>
            <b:First>H</b:First>
          </b:Person>
          <b:Person>
            <b:Last>Han</b:Last>
            <b:First>A.</b:First>
            <b:Middle>Z</b:Middle>
          </b:Person>
          <b:Person>
            <b:Last>Thiyagarajan</b:Last>
            <b:First>A.</b:First>
            <b:Middle>J.</b:Middle>
          </b:Person>
        </b:NameList>
      </b:Author>
    </b:Author>
    <b:JournalName>The Lancet Healthy Longevity</b:JournalName>
    <b:Volume>3</b:Volume>
    <b:Issue>4</b:Issue>
    <b:RefOrder>36</b:RefOrder>
  </b:Source>
  <b:Source>
    <b:Tag>SuZ22</b:Tag>
    <b:SourceType>JournalArticle</b:SourceType>
    <b:Guid>{087CFE99-18B4-4F66-8F5C-D7B10BDB5032}</b:Guid>
    <b:Author>
      <b:Author>
        <b:NameList>
          <b:Person>
            <b:Last>Su</b:Last>
            <b:First>Z</b:First>
          </b:Person>
          <b:Person>
            <b:Last>Bentley</b:Last>
            <b:First>L.</b:First>
            <b:Middle>B</b:Middle>
          </b:Person>
          <b:Person>
            <b:Last>McDonnell</b:Last>
            <b:First>D</b:First>
          </b:Person>
          <b:Person>
            <b:Last>Ahmad</b:Last>
            <b:First>J</b:First>
          </b:Person>
          <b:Person>
            <b:Last>He</b:Last>
            <b:First>J</b:First>
          </b:Person>
          <b:Person>
            <b:Last>Shi</b:Last>
            <b:First>F</b:First>
          </b:Person>
          <b:Person>
            <b:Last>Takeuchi</b:Last>
            <b:First>K</b:First>
          </b:Person>
          <b:Person>
            <b:Last>Cheshmehzangi</b:Last>
            <b:First>A</b:First>
          </b:Person>
          <b:Person>
            <b:Last>Veiga</b:Last>
            <b:First>D.</b:First>
            <b:Middle>P. C.</b:Middle>
          </b:Person>
        </b:NameList>
      </b:Author>
    </b:Author>
    <b:Title>6G and Artificial Intelligence Technologies for Dementia Care: Literature Review and Practical Analysis</b:Title>
    <b:JournalName>Journal of Medical Internet Research</b:JournalName>
    <b:Year>2022</b:Year>
    <b:Pages>e30503-10</b:Pages>
    <b:Volume>24</b:Volume>
    <b:Issue>4</b:Issue>
    <b:RefOrder>37</b:RefOrder>
  </b:Source>
  <b:Source>
    <b:Tag>Muk20</b:Tag>
    <b:SourceType>JournalArticle</b:SourceType>
    <b:Guid>{0A996441-1F32-47DC-B854-44CC771F1167}</b:Guid>
    <b:Author>
      <b:Author>
        <b:NameList>
          <b:Person>
            <b:Last>Mukaetova-Ladinska</b:Last>
            <b:First>B.</b:First>
            <b:Middle>E</b:Middle>
          </b:Person>
          <b:Person>
            <b:Last>Harwood</b:Last>
            <b:First>T</b:First>
          </b:Person>
          <b:Person>
            <b:Last>Maltby</b:Last>
            <b:First>J.</b:First>
          </b:Person>
        </b:NameList>
      </b:Author>
    </b:Author>
    <b:Title>Artificial Intelligence in the healthcare of older people</b:Title>
    <b:JournalName>Archives of Psychiatry and Mental Health</b:JournalName>
    <b:Year>2020</b:Year>
    <b:Pages>7-12</b:Pages>
    <b:Volume>4</b:Volume>
    <b:Issue>1</b:Issue>
    <b:RefOrder>38</b:RefOrder>
  </b:Source>
  <b:Source>
    <b:Tag>Pro20</b:Tag>
    <b:SourceType>JournalArticle</b:SourceType>
    <b:Guid>{95D77287-D382-4478-8EA1-0C910A43DE0A}</b:Guid>
    <b:Title>Protecting older people from COVID-19: should the United Kingdom start at age 60?</b:Title>
    <b:JournalName>Journal of the Royal Society of Medicine</b:JournalName>
    <b:Year>2020</b:Year>
    <b:Pages>2-6</b:Pages>
    <b:Volume>113</b:Volume>
    <b:Issue>5</b:Issue>
    <b:Author>
      <b:Author>
        <b:NameList>
          <b:Person>
            <b:Last>Osama</b:Last>
            <b:First>T</b:First>
          </b:Person>
          <b:Person>
            <b:Last>Pankhania</b:Last>
            <b:First>B</b:First>
          </b:Person>
          <b:Person>
            <b:Last>Majeed</b:Last>
            <b:First>A.</b:First>
          </b:Person>
        </b:NameList>
      </b:Author>
    </b:Author>
    <b:RefOrder>39</b:RefOrder>
  </b:Source>
  <b:Source>
    <b:Tag>Dep01</b:Tag>
    <b:SourceType>Report</b:SourceType>
    <b:Guid>{1C782ED4-C16E-4EA5-B224-E93667284885}</b:Guid>
    <b:Title>Modern Standards and Service Models</b:Title>
    <b:Year>2001</b:Year>
    <b:Author>
      <b:Author>
        <b:Corporate>Department of Health</b:Corporate>
      </b:Author>
    </b:Author>
    <b:Publisher>Department of Health</b:Publisher>
    <b:City>London</b:City>
    <b:RefOrder>40</b:RefOrder>
  </b:Source>
  <b:Source>
    <b:Tag>Gaf22</b:Tag>
    <b:SourceType>JournalArticle</b:SourceType>
    <b:Guid>{890AC6B5-6DD9-43B2-8BE0-E6811168A294}</b:Guid>
    <b:Title>Factors that influence older patients’ participation in clinical communication within developed country hospitals and GP clinics: A systematic review of current literature</b:Title>
    <b:Year>2022</b:Year>
    <b:Author>
      <b:Author>
        <b:NameList>
          <b:Person>
            <b:Last>Gaffney</b:Last>
            <b:First>J.</b:First>
            <b:Middle>H</b:Middle>
          </b:Person>
          <b:Person>
            <b:Last>Hamiduzzaman</b:Last>
            <b:First>M.</b:First>
          </b:Person>
        </b:NameList>
      </b:Author>
    </b:Author>
    <b:JournalName>PLoSONE</b:JournalName>
    <b:Pages>e0269840-45</b:Pages>
    <b:Volume>17</b:Volume>
    <b:Issue>6</b:Issue>
    <b:RefOrder>41</b:RefOrder>
  </b:Source>
  <b:Source>
    <b:Tag>Jac19</b:Tag>
    <b:SourceType>JournalArticle</b:SourceType>
    <b:Guid>{5772DFE0-59B7-469B-8570-C8ABEA37E0D7}</b:Guid>
    <b:Author>
      <b:Author>
        <b:NameList>
          <b:Person>
            <b:Last>Jack</b:Last>
            <b:First>K</b:First>
          </b:Person>
          <b:Person>
            <b:Last>Ridley</b:Last>
            <b:First>C</b:First>
          </b:Person>
          <b:Person>
            <b:Last>Turner</b:Last>
            <b:First>S.</b:First>
          </b:Person>
        </b:NameList>
      </b:Author>
    </b:Author>
    <b:Title>Effective communication with older people</b:Title>
    <b:JournalName>Nursing Older People </b:JournalName>
    <b:Year>2019</b:Year>
    <b:Pages>2-6</b:Pages>
    <b:Volume>31</b:Volume>
    <b:Issue>4</b:Issue>
    <b:RefOrder>42</b:RefOrder>
  </b:Source>
</b:Sources>
</file>

<file path=customXml/itemProps1.xml><?xml version="1.0" encoding="utf-8"?>
<ds:datastoreItem xmlns:ds="http://schemas.openxmlformats.org/officeDocument/2006/customXml" ds:itemID="{8E5B5070-A907-40CA-B999-504DBEF12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3492</Words>
  <Characters>19905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Jainu</dc:creator>
  <cp:lastModifiedBy>Jainu</cp:lastModifiedBy>
  <cp:revision>3</cp:revision>
  <dcterms:created xsi:type="dcterms:W3CDTF">2022-11-17T20:50:00Z</dcterms:created>
  <dcterms:modified xsi:type="dcterms:W3CDTF">2022-11-17T20:58:00Z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6d4531668a19fa712a45cec92c8063e0e0fcf79e71b155b03eb70b8e83a5c72b</vt:lpwstr>
  </property>
</Properties>
</file>