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77777777" w:rsidR="00FF2113" w:rsidRDefault="00FF2113"/>
    <w:tbl>
      <w:tblPr>
        <w:tblStyle w:val="TableGrid"/>
        <w:tblW w:w="15735" w:type="dxa"/>
        <w:tblInd w:w="-998" w:type="dxa"/>
        <w:tblLook w:val="04A0" w:firstRow="1" w:lastRow="0" w:firstColumn="1" w:lastColumn="0" w:noHBand="0" w:noVBand="1"/>
      </w:tblPr>
      <w:tblGrid>
        <w:gridCol w:w="2127"/>
        <w:gridCol w:w="3261"/>
        <w:gridCol w:w="5244"/>
        <w:gridCol w:w="5103"/>
      </w:tblGrid>
      <w:tr w:rsidR="00FF2113" w14:paraId="6E9C4AD7" w14:textId="77777777" w:rsidTr="000669EE">
        <w:tc>
          <w:tcPr>
            <w:tcW w:w="2127"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3261"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5244"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5103"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0669EE">
        <w:tc>
          <w:tcPr>
            <w:tcW w:w="2127"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3261" w:type="dxa"/>
          </w:tcPr>
          <w:p w14:paraId="2486D8CA" w14:textId="6973DA13" w:rsidR="000669EE" w:rsidRDefault="00F05F84">
            <w:r w:rsidRPr="00F05F84">
              <w:t xml:space="preserve">Active listening is a communication skill in which the occupational therapy assistant practitioner engages with the patient by demonstrating understanding through nonverbal cues, reflecting and paraphrasing their words, showing empathy regarding their emotions, asking open-ended questions and summarising key points. </w:t>
            </w:r>
            <w:r w:rsidR="00983934" w:rsidRPr="00983934">
              <w:t>Shitole,</w:t>
            </w:r>
            <w:r w:rsidR="00A14E7F">
              <w:t xml:space="preserve"> R.,</w:t>
            </w:r>
            <w:r w:rsidR="00983934" w:rsidRPr="00983934">
              <w:t xml:space="preserve"> </w:t>
            </w:r>
            <w:r w:rsidR="00F7321B">
              <w:t>(</w:t>
            </w:r>
            <w:r w:rsidR="00983934" w:rsidRPr="00983934">
              <w:t>2020)</w:t>
            </w:r>
            <w:r w:rsidR="00E308FC">
              <w:t>,</w:t>
            </w:r>
            <w:r w:rsidR="00983934" w:rsidRPr="00983934">
              <w:t xml:space="preserve"> </w:t>
            </w:r>
            <w:r w:rsidR="00722118" w:rsidRPr="00722118">
              <w:t xml:space="preserve">research on active listening in occupational therapy is particularly pertinent because it emphasises the importance of this skill in building therapeutic relationships and enhancing client outcomes by providing valuable insights within the profession of occupational therapy through </w:t>
            </w:r>
            <w:r w:rsidR="00E35E3A" w:rsidRPr="00722118">
              <w:t>identifying ways</w:t>
            </w:r>
            <w:r w:rsidR="00722118" w:rsidRPr="00722118">
              <w:t xml:space="preserve"> to improve practice via </w:t>
            </w:r>
            <w:r w:rsidR="00722118" w:rsidRPr="00722118">
              <w:lastRenderedPageBreak/>
              <w:t>demonstration through different ways of active listening in clinical settings.</w:t>
            </w:r>
          </w:p>
        </w:tc>
        <w:tc>
          <w:tcPr>
            <w:tcW w:w="5244" w:type="dxa"/>
          </w:tcPr>
          <w:p w14:paraId="1B6ECDF0" w14:textId="177B3F24" w:rsidR="00C60D57" w:rsidRDefault="00BD5A33" w:rsidP="00C60D57">
            <w:r>
              <w:lastRenderedPageBreak/>
              <w:t>Within the role</w:t>
            </w:r>
            <w:r w:rsidR="00C60D57" w:rsidRPr="00C60D57">
              <w:t xml:space="preserve"> of occupational therapy assessments</w:t>
            </w:r>
            <w:r w:rsidR="006E4D2E">
              <w:t xml:space="preserve"> </w:t>
            </w:r>
            <w:r w:rsidR="0061687A">
              <w:t>when conducting initial assessments with</w:t>
            </w:r>
            <w:r w:rsidR="006E4D2E">
              <w:t>in</w:t>
            </w:r>
            <w:r w:rsidR="0061687A">
              <w:t xml:space="preserve"> the</w:t>
            </w:r>
            <w:r w:rsidR="006E4D2E">
              <w:t xml:space="preserve"> </w:t>
            </w:r>
            <w:r w:rsidR="00D964E5">
              <w:t xml:space="preserve">front door </w:t>
            </w:r>
            <w:r w:rsidR="0061687A">
              <w:t xml:space="preserve">service </w:t>
            </w:r>
            <w:r w:rsidR="00711CBA">
              <w:t xml:space="preserve">in </w:t>
            </w:r>
            <w:r w:rsidR="00D964E5">
              <w:t>Accident and Emergency department (A&amp;E)</w:t>
            </w:r>
            <w:r w:rsidR="00C60D57" w:rsidRPr="00C60D57">
              <w:t xml:space="preserve">, active listening </w:t>
            </w:r>
            <w:r w:rsidR="00F764BD">
              <w:t xml:space="preserve">carries great </w:t>
            </w:r>
            <w:r w:rsidR="00E35E3A">
              <w:t>importance</w:t>
            </w:r>
            <w:r w:rsidR="00C60D57" w:rsidRPr="00C60D57">
              <w:t xml:space="preserve"> for accurately identifying the patient's needs and challenges. By dedicating full attention, expressing empathy, reflecting and paraphrasing the patient's words, and posing open-ended questions, occupational therapy assistant practitioners (OTAP) can build trust, gather detailed information, and formulate individualised interventions. This approach ensures that patients feel acknowledged and understood, leading to more effective interventions and successful outcomes. Furthermore, active listening aids in identifying potential risks and involves patients in collaborative decision-making, thereby</w:t>
            </w:r>
            <w:r w:rsidR="0081095C">
              <w:t>,</w:t>
            </w:r>
            <w:r w:rsidR="00C60D57" w:rsidRPr="00C60D57">
              <w:t xml:space="preserve"> enhancing the overall quality of care.</w:t>
            </w:r>
          </w:p>
          <w:p w14:paraId="2E5FB126" w14:textId="77777777" w:rsidR="00C60D57" w:rsidRPr="00C60D57" w:rsidRDefault="00C60D57" w:rsidP="00C60D57"/>
          <w:p w14:paraId="64377893" w14:textId="1B6A73B5" w:rsidR="00FF2113" w:rsidRDefault="00FF2113"/>
        </w:tc>
        <w:tc>
          <w:tcPr>
            <w:tcW w:w="5103" w:type="dxa"/>
          </w:tcPr>
          <w:p w14:paraId="3F198C46" w14:textId="3FECA761" w:rsidR="00FF2113" w:rsidRDefault="00D052E5">
            <w:r w:rsidRPr="00D052E5">
              <w:t xml:space="preserve">Active listening, whilst invaluable can present challenges within the acute front door A&amp;E, time management can impact negatively on each assessment.  For Example, during a busy day where referrals received exceed the number of hours in a working day that can be spent with each patient to ensure they feel heard can potentially lead to rushed assessments. Emotional fatigue is another concern. The occupational therapy assistant practitioner (OTAP) who finds they consistently engage deeply with patients’ emotions might experience burnout, affecting their ability to provide optimal care. Misinterpretation is also a risk. The OTAP might misinterpret a patient’s needs or feelings despite active listening, leading to inaccurate assessments and treatment plans. Additionally, patients or family members who support the patient who may be presenting with cognitive decline or have a formal diagnosis of dementia might not respond well to active listening techniques and the attending family member may have differing views regarding care needs over what the patient wants therefore not listening to the </w:t>
            </w:r>
            <w:r w:rsidRPr="00D052E5">
              <w:lastRenderedPageBreak/>
              <w:t>patient which impacts on their wishes for deliverance of their care.</w:t>
            </w:r>
          </w:p>
        </w:tc>
      </w:tr>
      <w:tr w:rsidR="00FF2113" w14:paraId="0B9EE689" w14:textId="77777777" w:rsidTr="000669EE">
        <w:tc>
          <w:tcPr>
            <w:tcW w:w="2127" w:type="dxa"/>
            <w:shd w:val="clear" w:color="auto" w:fill="E8E8E8" w:themeFill="background2"/>
          </w:tcPr>
          <w:p w14:paraId="33506638" w14:textId="77777777" w:rsidR="00FF2113" w:rsidRDefault="000669EE">
            <w:r>
              <w:lastRenderedPageBreak/>
              <w:t xml:space="preserve">Motivational interviewing </w:t>
            </w:r>
          </w:p>
          <w:p w14:paraId="55991956" w14:textId="77777777" w:rsidR="000669EE" w:rsidRDefault="000669EE"/>
          <w:p w14:paraId="447694C8" w14:textId="3C45B81D" w:rsidR="000669EE" w:rsidRDefault="000669EE"/>
        </w:tc>
        <w:tc>
          <w:tcPr>
            <w:tcW w:w="3261" w:type="dxa"/>
          </w:tcPr>
          <w:p w14:paraId="14369D51" w14:textId="27B6E6EC" w:rsidR="000669EE" w:rsidRDefault="0080617E">
            <w:r w:rsidRPr="0080617E">
              <w:t xml:space="preserve">Motivational interviewing is a way of speaking with patients </w:t>
            </w:r>
            <w:r w:rsidR="00FD30AE">
              <w:t>focussing</w:t>
            </w:r>
            <w:r w:rsidRPr="0080617E">
              <w:t xml:space="preserve"> on their own goals and reasons for change. It aims to help them make positive decisions by exploring any mixed feelings they might have. This technique involves working together, showing understanding, finding differences between current behaviours and desired outcomes, addressing resistance, and supporting confidence in their ability to change. In occupational therapy, this method helps therapists understand what motivates their patients, leading to more effective and personalised treatment plans. </w:t>
            </w:r>
            <w:r w:rsidR="00AB28E7">
              <w:t xml:space="preserve"> </w:t>
            </w:r>
            <w:r w:rsidR="00AB28E7" w:rsidRPr="00AB28E7">
              <w:t>According to Connors et al., (2019), motivational interviewing supports therapists to engage</w:t>
            </w:r>
            <w:r w:rsidR="004D54D1">
              <w:t xml:space="preserve"> with</w:t>
            </w:r>
            <w:r w:rsidR="00AB28E7" w:rsidRPr="00AB28E7">
              <w:t xml:space="preserve"> </w:t>
            </w:r>
            <w:r w:rsidR="0068524E" w:rsidRPr="00AB28E7">
              <w:t xml:space="preserve">patients </w:t>
            </w:r>
            <w:r w:rsidR="0068524E">
              <w:t>on</w:t>
            </w:r>
            <w:r w:rsidR="00DA7E5F">
              <w:t xml:space="preserve"> a </w:t>
            </w:r>
            <w:r w:rsidR="00AB28E7" w:rsidRPr="00AB28E7">
              <w:t>deep</w:t>
            </w:r>
            <w:r w:rsidR="00DA7E5F">
              <w:t>er level</w:t>
            </w:r>
            <w:r w:rsidR="00AB28E7" w:rsidRPr="00AB28E7">
              <w:t xml:space="preserve"> with emphasis on focusing on the patient’s own reasons for change</w:t>
            </w:r>
            <w:r w:rsidR="00706B1F">
              <w:t xml:space="preserve"> therefore it</w:t>
            </w:r>
            <w:r w:rsidR="00AB28E7" w:rsidRPr="00AB28E7">
              <w:t xml:space="preserve"> can be possible to foster a sense of ownership and </w:t>
            </w:r>
            <w:r w:rsidR="00AB28E7" w:rsidRPr="00AB28E7">
              <w:lastRenderedPageBreak/>
              <w:t>commitment to the therapeutic process, ultimately improving outcomes. Furthermore, Connors et al.</w:t>
            </w:r>
            <w:r w:rsidR="00862B07">
              <w:t xml:space="preserve">, </w:t>
            </w:r>
            <w:r w:rsidR="00AB28E7" w:rsidRPr="00AB28E7">
              <w:t>(2019)</w:t>
            </w:r>
            <w:r w:rsidR="00862B07">
              <w:t>,</w:t>
            </w:r>
            <w:r w:rsidR="00AB28E7" w:rsidRPr="00AB28E7">
              <w:t xml:space="preserve"> underscores the importance of motivational interviewing as a tool for occupational therapy practitioners to support self-management and enhance the effectiveness of interventions.</w:t>
            </w:r>
          </w:p>
        </w:tc>
        <w:tc>
          <w:tcPr>
            <w:tcW w:w="5244" w:type="dxa"/>
          </w:tcPr>
          <w:p w14:paraId="3380E1FE" w14:textId="20A9767D" w:rsidR="0068524E" w:rsidRPr="0068524E" w:rsidRDefault="0068524E" w:rsidP="0068524E">
            <w:r w:rsidRPr="0068524E">
              <w:lastRenderedPageBreak/>
              <w:t xml:space="preserve">Motivational interviewing is a valuable technique in occupational therapy, fostering patient-centred and goal-oriented communication to enhance motivation for change.  By integrating motivational interviewing into their practice, </w:t>
            </w:r>
            <w:r w:rsidR="00597C8B">
              <w:t>OTAP’s</w:t>
            </w:r>
            <w:r w:rsidRPr="0068524E">
              <w:t xml:space="preserve"> can align with holistic, patient-centred care principles. For example, A patient arrives at the A&amp;E department following a fall at home, voicing concerns about their ability to live independently, worried about falling again and being discharged home. Upon receipt of a referral the OTAP begins by introducing themselves, ensuring the patient feels comfortable and heard. Through </w:t>
            </w:r>
            <w:r w:rsidR="001C3AB0">
              <w:t>active</w:t>
            </w:r>
            <w:r w:rsidR="005B1939">
              <w:t xml:space="preserve"> listening, showing</w:t>
            </w:r>
            <w:r w:rsidR="001C3AB0">
              <w:t xml:space="preserve"> </w:t>
            </w:r>
            <w:r w:rsidRPr="0068524E">
              <w:t>empath</w:t>
            </w:r>
            <w:r w:rsidR="004D2945">
              <w:t>y</w:t>
            </w:r>
            <w:r w:rsidRPr="0068524E">
              <w:t xml:space="preserve"> and</w:t>
            </w:r>
            <w:r w:rsidR="004D2945">
              <w:t xml:space="preserve"> using</w:t>
            </w:r>
            <w:r w:rsidRPr="0068524E">
              <w:t xml:space="preserve"> open-ended questions, the OTAP explores the patient's feelings about their fall and independence concerns</w:t>
            </w:r>
            <w:r w:rsidR="00F00868">
              <w:t xml:space="preserve"> to empower the patient of what they want to achieve.</w:t>
            </w:r>
            <w:r w:rsidRPr="0068524E">
              <w:t xml:space="preserve"> The OTAP identifies the need for a walking aid, equipment needs, and a referral to a physiotherapist to progress mobility with strength training </w:t>
            </w:r>
            <w:r w:rsidR="00870F66">
              <w:t xml:space="preserve">therefore </w:t>
            </w:r>
            <w:r w:rsidR="00814B16">
              <w:t>working towards</w:t>
            </w:r>
            <w:r w:rsidRPr="0068524E">
              <w:t xml:space="preserve"> increase</w:t>
            </w:r>
            <w:r w:rsidR="00814B16">
              <w:t xml:space="preserve">d </w:t>
            </w:r>
            <w:r w:rsidRPr="0068524E">
              <w:t>confidence and reduc</w:t>
            </w:r>
            <w:r w:rsidR="00814B16">
              <w:t>ing</w:t>
            </w:r>
            <w:r w:rsidRPr="0068524E">
              <w:t xml:space="preserve"> anxiety levels surrounding the fall. Additionally, the OT</w:t>
            </w:r>
            <w:r w:rsidR="0060142B">
              <w:t>AP</w:t>
            </w:r>
            <w:r w:rsidRPr="0068524E">
              <w:t xml:space="preserve"> provides information about onward support which include communit</w:t>
            </w:r>
            <w:r w:rsidR="00814B16">
              <w:t>y</w:t>
            </w:r>
            <w:r w:rsidRPr="0068524E">
              <w:t xml:space="preserve"> falls groups and a package of care, empowering the patient to make informed decisions about their care. By using motivational interviewing, the OTAP helps the patient feel more confident and motivated to </w:t>
            </w:r>
            <w:r w:rsidR="00D63D5D">
              <w:t xml:space="preserve">participate and </w:t>
            </w:r>
            <w:r w:rsidR="003C24D7">
              <w:t xml:space="preserve">ultimately decide </w:t>
            </w:r>
            <w:r w:rsidR="006D1562">
              <w:t>on and</w:t>
            </w:r>
            <w:r w:rsidR="00B07AB9">
              <w:t xml:space="preserve"> </w:t>
            </w:r>
            <w:r w:rsidR="006D1562">
              <w:t xml:space="preserve">be at the forefront of their </w:t>
            </w:r>
            <w:r w:rsidR="005B1AC7">
              <w:t>own goal setting</w:t>
            </w:r>
            <w:bookmarkStart w:id="0" w:name="_Hlk189397903"/>
            <w:r w:rsidR="006D1562">
              <w:t xml:space="preserve">. </w:t>
            </w:r>
            <w:r w:rsidRPr="0068524E">
              <w:t xml:space="preserve">By integrating motivational interviewing into </w:t>
            </w:r>
            <w:r w:rsidRPr="0068524E">
              <w:lastRenderedPageBreak/>
              <w:t xml:space="preserve">their practice, occupational therapists can align with holistic, patient-centred care principles. </w:t>
            </w:r>
            <w:bookmarkEnd w:id="0"/>
          </w:p>
          <w:p w14:paraId="0E3DEC0B" w14:textId="77777777" w:rsidR="00FF2113" w:rsidRDefault="00FF2113" w:rsidP="00AB28E7"/>
        </w:tc>
        <w:tc>
          <w:tcPr>
            <w:tcW w:w="5103" w:type="dxa"/>
          </w:tcPr>
          <w:p w14:paraId="040220A9" w14:textId="2988A69E" w:rsidR="0025234D" w:rsidRPr="0025234D" w:rsidRDefault="0025234D" w:rsidP="0025234D">
            <w:r w:rsidRPr="0025234D">
              <w:lastRenderedPageBreak/>
              <w:t>Using motivational interviewing in the A&amp;E front door service for occupational therapy assessments can present</w:t>
            </w:r>
            <w:r w:rsidR="005B367C">
              <w:t xml:space="preserve"> </w:t>
            </w:r>
            <w:r w:rsidR="008316EF">
              <w:t xml:space="preserve">with </w:t>
            </w:r>
            <w:r w:rsidR="008316EF" w:rsidRPr="0025234D">
              <w:t>challenges</w:t>
            </w:r>
            <w:r w:rsidRPr="0025234D">
              <w:t xml:space="preserve"> and drawbacks. For example, time constraints in a busy A&amp;E department may limit the OTAP’s ability to fully engage in a motivational interviewing session, leading to a less thorough assessment. Patient resistance is another issue, as some individuals may be unwilling to discuss their feelings and motivations, making it difficult to use the technique effectively, variability in patient responses means that while some may find the technique helpful, others may view it as intrusive or irrelevant.  Emotional fatigue can also occur as the OTAP repeatedly deals with distressed patients, potentially impacting their empathy and effectiveness.  Finally lack of training for the OTAP will impact negatively as they will lack experience in using the skill of motivational interviewing effectively. </w:t>
            </w:r>
          </w:p>
          <w:p w14:paraId="78951DA3" w14:textId="77777777" w:rsidR="00FF2113" w:rsidRDefault="00FF2113"/>
        </w:tc>
      </w:tr>
      <w:tr w:rsidR="00FF2113" w14:paraId="162AF924" w14:textId="77777777" w:rsidTr="000669EE">
        <w:tc>
          <w:tcPr>
            <w:tcW w:w="2127" w:type="dxa"/>
            <w:shd w:val="clear" w:color="auto" w:fill="E8E8E8" w:themeFill="background2"/>
          </w:tcPr>
          <w:p w14:paraId="29777D6C" w14:textId="77777777" w:rsidR="00FF2113" w:rsidRDefault="000669EE">
            <w:r>
              <w:t xml:space="preserve">Goal setting </w:t>
            </w:r>
          </w:p>
          <w:p w14:paraId="4BB32418" w14:textId="77777777" w:rsidR="000669EE" w:rsidRDefault="000669EE"/>
          <w:p w14:paraId="69FED408" w14:textId="4E9FD5B0" w:rsidR="000669EE" w:rsidRDefault="000669EE"/>
        </w:tc>
        <w:tc>
          <w:tcPr>
            <w:tcW w:w="3261" w:type="dxa"/>
          </w:tcPr>
          <w:p w14:paraId="701934EF" w14:textId="60E2A0E0" w:rsidR="000669EE" w:rsidRDefault="009D3619">
            <w:r w:rsidRPr="009D3619">
              <w:t>Goal setting is the process of identifying specific, measurable, and achievable objectives that an individual or group aims to accomplish within a set timeframe. This practice helps provide direction, focus efforts, and track progress. Effective goal setting involves defining clear and realistic goals, breaking them down into smaller, manageable tasks, and regularly reviewing and adjusting them as necessary to ensure they remain relevant and attainable</w:t>
            </w:r>
            <w:r w:rsidR="00F731CB">
              <w:t xml:space="preserve">. </w:t>
            </w:r>
            <w:r w:rsidR="00F731CB" w:rsidRPr="00F731CB">
              <w:t xml:space="preserve">In the context of occupational therapy, goal setting is a collaborative process between the therapist and the patient aimed at identifying personal goals that are meaningful and achievable, </w:t>
            </w:r>
            <w:r w:rsidR="00F731CB" w:rsidRPr="00F731CB">
              <w:lastRenderedPageBreak/>
              <w:t xml:space="preserve">this approach ensures that </w:t>
            </w:r>
            <w:r w:rsidR="007E0D23">
              <w:t xml:space="preserve">interventions are </w:t>
            </w:r>
            <w:r w:rsidR="00F731CB" w:rsidRPr="00F731CB">
              <w:t xml:space="preserve">tailored to the individual's </w:t>
            </w:r>
            <w:r w:rsidR="007E0D23">
              <w:t>specific</w:t>
            </w:r>
            <w:r w:rsidR="00F731CB" w:rsidRPr="00F731CB">
              <w:t xml:space="preserve"> needs and aspirations, promoting engagement and motivation. Scobbie </w:t>
            </w:r>
            <w:r w:rsidR="00204A41">
              <w:t xml:space="preserve">L., </w:t>
            </w:r>
            <w:r w:rsidR="00F731CB" w:rsidRPr="00F731CB">
              <w:t>and Boa</w:t>
            </w:r>
            <w:r w:rsidR="00204A41">
              <w:t xml:space="preserve"> S.</w:t>
            </w:r>
            <w:r w:rsidR="007F6417">
              <w:t>,</w:t>
            </w:r>
            <w:r w:rsidR="00F731CB" w:rsidRPr="00F731CB">
              <w:t xml:space="preserve"> (2022)</w:t>
            </w:r>
            <w:r w:rsidR="00862B07">
              <w:t xml:space="preserve">, </w:t>
            </w:r>
            <w:r w:rsidR="00F731CB" w:rsidRPr="00F731CB">
              <w:t>emphasi</w:t>
            </w:r>
            <w:r w:rsidR="007F6417">
              <w:t>s</w:t>
            </w:r>
            <w:r w:rsidR="00F731CB" w:rsidRPr="00F731CB">
              <w:t xml:space="preserve">e the importance of goal setting in occupational therapy, noting that it fosters a collaborative relationship between therapists highlighting </w:t>
            </w:r>
            <w:r w:rsidR="007F6417">
              <w:t>that effective</w:t>
            </w:r>
            <w:r w:rsidR="00F731CB" w:rsidRPr="00F731CB">
              <w:t xml:space="preserve"> goal setting can improve patient satisfaction and motivation, ultimately leading to better long-term outcomes.</w:t>
            </w:r>
          </w:p>
        </w:tc>
        <w:tc>
          <w:tcPr>
            <w:tcW w:w="5244" w:type="dxa"/>
          </w:tcPr>
          <w:p w14:paraId="2243EDE9" w14:textId="7860190D" w:rsidR="00466102" w:rsidRPr="00466102" w:rsidRDefault="00466102" w:rsidP="00466102">
            <w:r w:rsidRPr="00466102">
              <w:lastRenderedPageBreak/>
              <w:t xml:space="preserve">Goal setting within occupational therapy assessments personalises care, enhances motivation and engagement, tracks measurable progress and leads to improved outcomes. For example, within A&amp;E, a patient who has sustained an injury of a wrist fracture might set a goal to regain the ability to perform daily activities such as washing and dressing independently. The OTAP would create a targeted intervention plan by first assessing the patient's functional abilities, pain levels, and limitations. Together, they would set specific goals such as providing pain management strategies to ensure optimal function when completing tasks </w:t>
            </w:r>
            <w:r w:rsidR="004342B6">
              <w:t xml:space="preserve">toward the goal of </w:t>
            </w:r>
            <w:r w:rsidRPr="00466102">
              <w:t xml:space="preserve">regaining the ability to wash and dress independently with provision of equipment with the emphasis on optimal independence. </w:t>
            </w:r>
            <w:r w:rsidR="00C021F5" w:rsidRPr="00466102">
              <w:t>Furthermore,</w:t>
            </w:r>
            <w:r w:rsidRPr="00466102">
              <w:t xml:space="preserve"> completion of community rehabilitation therapy referral where range of motion exercises support prevention of stiffness and improve strengthening to rebuild muscle strength would be incorporated along with addressing support needs via a package of care to focus on specific tasks like washing and dressing. This would ensure </w:t>
            </w:r>
            <w:r w:rsidRPr="00466102">
              <w:lastRenderedPageBreak/>
              <w:t xml:space="preserve">continued improvement and achievement of goals, ultimately helping the patient regain functionality and return to independent management of daily activities. </w:t>
            </w:r>
          </w:p>
          <w:p w14:paraId="1210A299" w14:textId="77777777" w:rsidR="00FF2113" w:rsidRDefault="00FF2113"/>
        </w:tc>
        <w:tc>
          <w:tcPr>
            <w:tcW w:w="5103" w:type="dxa"/>
          </w:tcPr>
          <w:p w14:paraId="07AAAD20" w14:textId="580992AA" w:rsidR="000E50E4" w:rsidRPr="000E50E4" w:rsidRDefault="000E50E4" w:rsidP="000E50E4">
            <w:r w:rsidRPr="000E50E4">
              <w:lastRenderedPageBreak/>
              <w:t xml:space="preserve">The OTAP when goal setting </w:t>
            </w:r>
            <w:r w:rsidR="00374DA1">
              <w:t xml:space="preserve">with a patient after conducting initial and functional assessment </w:t>
            </w:r>
            <w:r w:rsidRPr="000E50E4">
              <w:t xml:space="preserve">within A&amp;E can sadly encounter barriers and drawbacks due to the very busy acute environment. For example, time constraints due to the fast-paced environment along with the focus predominantly being on the acute need of the patient can overshadow the longer-term needs of the patient and therefore impact on goals setting within the remit of occupational therapy assessment. Limited patient interaction due to increased referrals and lack of continuity due to being pressurised to facilitate quick discharges can also hinder effective goal setting. Communication challenges within the wider MDT may also create barriers due to coordinating the timely action of community referrals. </w:t>
            </w:r>
          </w:p>
          <w:p w14:paraId="233A7F1B" w14:textId="77777777" w:rsidR="00FF2113" w:rsidRDefault="00FF2113"/>
        </w:tc>
      </w:tr>
      <w:tr w:rsidR="00FF2113" w14:paraId="79B0C50C" w14:textId="77777777" w:rsidTr="000669EE">
        <w:tc>
          <w:tcPr>
            <w:tcW w:w="2127" w:type="dxa"/>
            <w:shd w:val="clear" w:color="auto" w:fill="E8E8E8" w:themeFill="background2"/>
          </w:tcPr>
          <w:p w14:paraId="09A494C0" w14:textId="50D8AA04" w:rsidR="00FF2113" w:rsidRDefault="000669EE">
            <w:r>
              <w:t>Compassion focused approaches</w:t>
            </w:r>
          </w:p>
        </w:tc>
        <w:tc>
          <w:tcPr>
            <w:tcW w:w="3261" w:type="dxa"/>
          </w:tcPr>
          <w:p w14:paraId="5B4BCA4F" w14:textId="7B7ABBCC" w:rsidR="0087682D" w:rsidRPr="0087682D" w:rsidRDefault="001533CE" w:rsidP="0087682D">
            <w:r w:rsidRPr="001533CE">
              <w:t xml:space="preserve">Compassion-focused approaches within the remit of occupational therapy emphasise the importance of compassion and self-compassion in therapeutic interactions. </w:t>
            </w:r>
            <w:r w:rsidR="0087682D" w:rsidRPr="0087682D">
              <w:t xml:space="preserve">A compassion-focused approach </w:t>
            </w:r>
            <w:r w:rsidR="008F7F92">
              <w:t>within this relationship</w:t>
            </w:r>
            <w:r w:rsidR="0087682D" w:rsidRPr="0087682D">
              <w:t xml:space="preserve"> shows empathy, understanding, and kindness enhancing a supportive professional bond between the OTAP and the patient. The use of active listening, validating experiences, demonstrating warmth, and practicing mindfulness allows a safe and non-judgmental space to be </w:t>
            </w:r>
            <w:r w:rsidR="0087682D" w:rsidRPr="0087682D">
              <w:lastRenderedPageBreak/>
              <w:t xml:space="preserve">created therefore </w:t>
            </w:r>
            <w:r w:rsidR="003E11B5" w:rsidRPr="0087682D">
              <w:t>encouraging the</w:t>
            </w:r>
            <w:r w:rsidR="0087682D" w:rsidRPr="0087682D">
              <w:t xml:space="preserve"> patient to feel accepted and empowered.</w:t>
            </w:r>
          </w:p>
          <w:p w14:paraId="09EB45D9" w14:textId="4BB7CC71" w:rsidR="000669EE" w:rsidRDefault="00530805">
            <w:r>
              <w:t>T</w:t>
            </w:r>
            <w:r w:rsidRPr="001533CE">
              <w:t>hese</w:t>
            </w:r>
            <w:r w:rsidR="001533CE" w:rsidRPr="001533CE">
              <w:t xml:space="preserve"> approaches aim to help patients develop a kinder and more supportive relationship with themselves, leading to improved emotional resilience and well-being. Thomas </w:t>
            </w:r>
            <w:r w:rsidR="009837BF">
              <w:t>Y.</w:t>
            </w:r>
            <w:r w:rsidR="00093EBE">
              <w:t>,</w:t>
            </w:r>
            <w:r w:rsidR="009837BF">
              <w:t xml:space="preserve"> </w:t>
            </w:r>
            <w:r w:rsidR="001533CE" w:rsidRPr="001533CE">
              <w:t xml:space="preserve">and Menage </w:t>
            </w:r>
            <w:r w:rsidR="009837BF">
              <w:t xml:space="preserve">D., </w:t>
            </w:r>
            <w:r w:rsidR="001533CE" w:rsidRPr="001533CE">
              <w:t>(2016)</w:t>
            </w:r>
            <w:r w:rsidR="00C869D3">
              <w:t>,</w:t>
            </w:r>
            <w:r w:rsidR="001533CE" w:rsidRPr="001533CE">
              <w:t xml:space="preserve"> highlight the significance of compassion in occupational therapy, noting that it can enhance therapeutic outcomes by fostering a supportive and empathetic environment. Their evaluation </w:t>
            </w:r>
            <w:r w:rsidR="002F27E3">
              <w:t>supports</w:t>
            </w:r>
            <w:r w:rsidR="001533CE" w:rsidRPr="001533CE">
              <w:t xml:space="preserve"> the value of integrating compassion-focused approaches into practice, as it aligns with the core values of occupational therapy and promotes holistic patient care.</w:t>
            </w:r>
          </w:p>
        </w:tc>
        <w:tc>
          <w:tcPr>
            <w:tcW w:w="5244" w:type="dxa"/>
          </w:tcPr>
          <w:p w14:paraId="4891D28D" w14:textId="73AA834C" w:rsidR="00BD1B76" w:rsidRPr="00BD1B76" w:rsidRDefault="00BD1B76" w:rsidP="00BD1B76">
            <w:r w:rsidRPr="00BD1B76">
              <w:lastRenderedPageBreak/>
              <w:t xml:space="preserve">Within an A&amp;E setting, compassion-focused approaches </w:t>
            </w:r>
            <w:r w:rsidR="00BD4561">
              <w:t xml:space="preserve">could </w:t>
            </w:r>
            <w:r w:rsidRPr="00BD1B76">
              <w:t xml:space="preserve">play a pivotal role as part of occupational therapy assessments. For example, a </w:t>
            </w:r>
            <w:r w:rsidR="00B0347F">
              <w:t xml:space="preserve">scenario </w:t>
            </w:r>
            <w:r w:rsidR="00E375AA">
              <w:t xml:space="preserve">of a </w:t>
            </w:r>
            <w:r w:rsidRPr="00BD1B76">
              <w:t>patient admitted following a car accident</w:t>
            </w:r>
            <w:r w:rsidR="00767C11">
              <w:t xml:space="preserve"> </w:t>
            </w:r>
            <w:r w:rsidR="00DB750A">
              <w:t>who</w:t>
            </w:r>
            <w:r w:rsidRPr="00BD1B76">
              <w:t xml:space="preserve"> might experience significant emotional distress and anxiety from shock of the accident alongside experiencing pain, sustaining an injury and head injury. Once medically fit for discharge and upon receipt of referral the OTAP </w:t>
            </w:r>
            <w:r w:rsidR="00FB5D2E">
              <w:t xml:space="preserve">could </w:t>
            </w:r>
            <w:r w:rsidRPr="00BD1B76">
              <w:t xml:space="preserve">focus on creating a relaxing environment to facilitate guided imagery to set out clear intentions for the session, for example, the visualisation of pain reduction and making a full and successful recovery. The OTAP </w:t>
            </w:r>
            <w:r w:rsidR="00E375AA">
              <w:t xml:space="preserve">could implement </w:t>
            </w:r>
            <w:r w:rsidR="00645B38">
              <w:t xml:space="preserve">this by </w:t>
            </w:r>
            <w:r w:rsidRPr="00BD1B76">
              <w:t>guid</w:t>
            </w:r>
            <w:r w:rsidR="00645B38">
              <w:t>ing</w:t>
            </w:r>
            <w:r w:rsidRPr="00BD1B76">
              <w:t xml:space="preserve"> the patient through a calming visualisation exercise, through the visualisation of relaxing on a peaceful beach. The OTAP </w:t>
            </w:r>
            <w:r w:rsidR="00645B38">
              <w:t xml:space="preserve">could </w:t>
            </w:r>
            <w:r w:rsidRPr="00BD1B76">
              <w:t xml:space="preserve">tailor the imagery to the patient’s personal goals set, for instance seeing oneself </w:t>
            </w:r>
            <w:r w:rsidRPr="00BD1B76">
              <w:lastRenderedPageBreak/>
              <w:t xml:space="preserve">performing daily activities without pain.  The patient </w:t>
            </w:r>
            <w:r w:rsidR="002468C5">
              <w:t xml:space="preserve">would be </w:t>
            </w:r>
            <w:r w:rsidRPr="00BD1B76">
              <w:t>encouraged to practice guided imagery regularly outside therapy sessions. Through this compassion-focused approach anxiety</w:t>
            </w:r>
            <w:r w:rsidR="002468C5">
              <w:t xml:space="preserve"> could</w:t>
            </w:r>
            <w:r w:rsidRPr="00BD1B76">
              <w:t xml:space="preserve"> be reduced further supporting enhanced emotional resilience, and improved engagement to return to optimal level of function and independence and overall well-being.</w:t>
            </w:r>
          </w:p>
          <w:p w14:paraId="21E33CDF" w14:textId="77777777" w:rsidR="00FF2113" w:rsidRDefault="00FF2113"/>
        </w:tc>
        <w:tc>
          <w:tcPr>
            <w:tcW w:w="5103" w:type="dxa"/>
          </w:tcPr>
          <w:p w14:paraId="08568259" w14:textId="19559382" w:rsidR="0001731C" w:rsidRPr="0001731C" w:rsidRDefault="0001731C" w:rsidP="0001731C">
            <w:r w:rsidRPr="0001731C">
              <w:lastRenderedPageBreak/>
              <w:t xml:space="preserve">The barriers and drawbacks to implementing </w:t>
            </w:r>
            <w:r w:rsidR="00AC50EC">
              <w:t xml:space="preserve">a </w:t>
            </w:r>
            <w:r w:rsidRPr="0001731C">
              <w:t xml:space="preserve">compassion-focused approach when conducting occupational therapy assessments within A&amp;E due to the fast-paced nature of the environment with the immediate emphasis on acute medical needs can unfortunately limit the time available for thorough assessments </w:t>
            </w:r>
            <w:r w:rsidR="00C81623">
              <w:t>with</w:t>
            </w:r>
            <w:r w:rsidRPr="0001731C">
              <w:t xml:space="preserve"> compassionate</w:t>
            </w:r>
            <w:r w:rsidR="00C81623">
              <w:t>-focussed approaches.</w:t>
            </w:r>
            <w:r w:rsidRPr="0001731C">
              <w:t xml:space="preserve"> A patient sustaining a traumatic injury following a car accident can often be in emotional distress experiencing anxiety, compounded by physical injuries, which may prevent the patient from wanting to engage or communicate in this approach at that moment particularly due to the often-brief nature of A&amp;E stays. For instance, the emphasis on discharge or transfer as an inpatient can disrupt the continuity of care and follow-up on compassion-focused interventions</w:t>
            </w:r>
            <w:r w:rsidR="00810825">
              <w:t xml:space="preserve">. </w:t>
            </w:r>
            <w:r w:rsidR="00304A53">
              <w:t xml:space="preserve"> </w:t>
            </w:r>
            <w:r w:rsidR="00810825">
              <w:t>T</w:t>
            </w:r>
            <w:r w:rsidR="00304A53">
              <w:t xml:space="preserve">his could </w:t>
            </w:r>
            <w:r w:rsidR="00810825">
              <w:t xml:space="preserve">be due to </w:t>
            </w:r>
            <w:r w:rsidRPr="0001731C">
              <w:t xml:space="preserve">resource </w:t>
            </w:r>
            <w:r w:rsidRPr="0001731C">
              <w:lastRenderedPageBreak/>
              <w:t xml:space="preserve">limitations, lack of training for front door/in-patient occupational therapy staff and community support teams to deliver the compassion-focussed approach effectively further complicating implementation to this approach. </w:t>
            </w:r>
          </w:p>
          <w:p w14:paraId="25A302D7" w14:textId="50281AE6" w:rsidR="00FF2113" w:rsidRDefault="00FF2113"/>
        </w:tc>
      </w:tr>
      <w:tr w:rsidR="00FF2113" w14:paraId="6E23110E" w14:textId="77777777" w:rsidTr="000669EE">
        <w:tc>
          <w:tcPr>
            <w:tcW w:w="2127" w:type="dxa"/>
            <w:shd w:val="clear" w:color="auto" w:fill="E8E8E8" w:themeFill="background2"/>
          </w:tcPr>
          <w:p w14:paraId="6D90B5A3" w14:textId="77777777" w:rsidR="00FF2113" w:rsidRDefault="000669EE">
            <w:r>
              <w:lastRenderedPageBreak/>
              <w:t>Emotional intelligence</w:t>
            </w:r>
          </w:p>
          <w:p w14:paraId="0D84607D" w14:textId="4A503375" w:rsidR="000669EE" w:rsidRDefault="000669EE"/>
        </w:tc>
        <w:tc>
          <w:tcPr>
            <w:tcW w:w="3261" w:type="dxa"/>
          </w:tcPr>
          <w:p w14:paraId="2A764A18" w14:textId="75B56A31" w:rsidR="000669EE" w:rsidRDefault="00570358">
            <w:r w:rsidRPr="00570358">
              <w:t xml:space="preserve">The ability to effectively use emotions to support therapeutic outcomes is known as emotional intelligence. This attributes to relationship management, social awareness, self-awareness, and self-regulation. To know one's own character and emotions consciously aids in identifying one's strengths and </w:t>
            </w:r>
            <w:r w:rsidRPr="00570358">
              <w:lastRenderedPageBreak/>
              <w:t xml:space="preserve">shortcomings. This is known as self-awareness. Healthy emotion management and control are key components of self-regulation. Relationship management is the capacity to establish and preserve wholesome connections via </w:t>
            </w:r>
            <w:r w:rsidR="00EE02EA" w:rsidRPr="00570358">
              <w:t>skilful</w:t>
            </w:r>
            <w:r w:rsidRPr="00570358">
              <w:t xml:space="preserve"> communication, while social awareness is the capacity to detect the feelings of others. This is exemplified by Polonio-López et al.</w:t>
            </w:r>
            <w:r w:rsidR="00C869D3">
              <w:t xml:space="preserve">, </w:t>
            </w:r>
            <w:r w:rsidRPr="00570358">
              <w:t>(2019), who acknowledged in his research that practical training can greatly enhance occupational therapy students' self-perceived emotional intelligence and improve their future practice and client outcomes.</w:t>
            </w:r>
          </w:p>
        </w:tc>
        <w:tc>
          <w:tcPr>
            <w:tcW w:w="5244" w:type="dxa"/>
          </w:tcPr>
          <w:p w14:paraId="77A5969D" w14:textId="77777777" w:rsidR="00317F47" w:rsidRPr="00317F47" w:rsidRDefault="00317F47" w:rsidP="00317F47">
            <w:r w:rsidRPr="00317F47">
              <w:lastRenderedPageBreak/>
              <w:t xml:space="preserve">In an A&amp;E setting when conducting an occupational therapy assessment, for example, an older patient after experiencing a fall at home, may experience distress and anxiety. The OTAP uses their emotional intelligence to acknowledge their fears and validate their emotions, which supports to build trust. By recognising and responding to emotions, the therapist can build rapport quickly, which is key in a high-stress environment like A&amp;E. The OTAP communicates calmly and empathetically, explaining the assessment process in a way that the </w:t>
            </w:r>
            <w:r w:rsidRPr="00317F47">
              <w:lastRenderedPageBreak/>
              <w:t>patient understands, helping to relax the patient so they feel more at ease. The OTAP uses emotional intelligence to pick up on non-verbal-cues such as the patient’s body language and facial expressions, to better understand their emotional state. This allows the therapist to provide more patient-centred care, not only addressing physical needs through functional assessment but also their emotional well-being. Through empathetic communication and active listening, the OTAP can facilitate a positive environment to guide the patient through the occupational therapy assessment process fostering a supportive and empathetic environment, improving patient satisfaction to deliver a positive therapeutic outcome.</w:t>
            </w:r>
          </w:p>
          <w:p w14:paraId="1705346B" w14:textId="77777777" w:rsidR="00FF2113" w:rsidRDefault="00FF2113"/>
        </w:tc>
        <w:tc>
          <w:tcPr>
            <w:tcW w:w="5103" w:type="dxa"/>
          </w:tcPr>
          <w:p w14:paraId="3CAD4E70" w14:textId="77777777" w:rsidR="00E31008" w:rsidRPr="00E31008" w:rsidRDefault="00E31008" w:rsidP="00E31008">
            <w:r w:rsidRPr="00E31008">
              <w:lastRenderedPageBreak/>
              <w:t xml:space="preserve">Using emotional intelligence within the acute setting of A&amp;E comes with challenges. The subjective interpretation of emotions, can sometimes result in misunderstandings or misjudgements, affecting the accuracy of assessments. Some patients may be resistant to emotional engagement due to personal beliefs or past experiences, making it difficult to establish rapport and trust. Human emotions can be complex and multifaceted, which can pose challenges to even the most experienced OTAP’s who have </w:t>
            </w:r>
            <w:r w:rsidRPr="00E31008">
              <w:lastRenderedPageBreak/>
              <w:t xml:space="preserve">understanding within their own ability to address emotional aspects of a patient's experience. Cultural differences can also impact the expression and interpretation of emotions, potentially hindering effective communication and emotional connection. Within the role of the OTAP balance of one’s own emotions with those of their patients can require high level of self-regulation and place high levels of demand on the OTAP particularly within a fast paced environment such as A&amp;E. Developing emotional intelligence skills within the OTAP role takes time and practice, and not all therapists may have received adequate training therefore resulting in their ability to effectively use it in their practice. </w:t>
            </w:r>
          </w:p>
          <w:p w14:paraId="3DB89B1A" w14:textId="77777777" w:rsidR="00FF2113" w:rsidRDefault="00FF2113"/>
        </w:tc>
      </w:tr>
      <w:tr w:rsidR="00FF2113" w14:paraId="4AFFC654" w14:textId="77777777" w:rsidTr="000669EE">
        <w:tc>
          <w:tcPr>
            <w:tcW w:w="2127" w:type="dxa"/>
            <w:shd w:val="clear" w:color="auto" w:fill="E8E8E8" w:themeFill="background2"/>
          </w:tcPr>
          <w:p w14:paraId="6B1D27E5" w14:textId="77777777" w:rsidR="000669EE" w:rsidRDefault="000669EE">
            <w:r>
              <w:lastRenderedPageBreak/>
              <w:t>Shared engagement</w:t>
            </w:r>
          </w:p>
          <w:p w14:paraId="3729C13C" w14:textId="77777777" w:rsidR="000669EE" w:rsidRDefault="000669EE"/>
          <w:p w14:paraId="52523368" w14:textId="58906970" w:rsidR="00FF2113" w:rsidRDefault="000669EE">
            <w:r>
              <w:t xml:space="preserve"> </w:t>
            </w:r>
          </w:p>
        </w:tc>
        <w:tc>
          <w:tcPr>
            <w:tcW w:w="3261" w:type="dxa"/>
          </w:tcPr>
          <w:p w14:paraId="7CE27988" w14:textId="175D4826" w:rsidR="00951523" w:rsidRDefault="00C1396E">
            <w:r w:rsidRPr="00C1396E">
              <w:t xml:space="preserve">Shared engagement involves collaborative participation between the therapist the patient </w:t>
            </w:r>
            <w:r w:rsidR="00043560">
              <w:t xml:space="preserve">and the wider MDT </w:t>
            </w:r>
            <w:r w:rsidRPr="00C1396E">
              <w:t xml:space="preserve">in meaningful activities or occupations. This approach emphasises the importance of working together to achieve therapeutic goals, fostering a sense of partnership and mutual respect. By actively involving patients in the process </w:t>
            </w:r>
            <w:r w:rsidRPr="00C1396E">
              <w:lastRenderedPageBreak/>
              <w:t>and tailoring interventions to their unique needs and preferences, shared engagement enhances motivation, promotes self-efficacy, and improves overall outcomes. Kang et al.</w:t>
            </w:r>
            <w:r w:rsidR="006C0003">
              <w:t>,</w:t>
            </w:r>
            <w:r w:rsidRPr="00C1396E">
              <w:t xml:space="preserve"> (2024)</w:t>
            </w:r>
            <w:r w:rsidR="006C0003">
              <w:t>,</w:t>
            </w:r>
            <w:r w:rsidR="00403DC8">
              <w:t xml:space="preserve"> </w:t>
            </w:r>
            <w:r w:rsidRPr="00C1396E">
              <w:t xml:space="preserve">highlight the significance of community-engaged implementation strategies in occupational therapy, aligning closely with the principles of shared engagement. Their work underscores the importance of involving </w:t>
            </w:r>
            <w:r w:rsidR="000E22A8">
              <w:t xml:space="preserve">patients </w:t>
            </w:r>
            <w:r w:rsidRPr="00C1396E">
              <w:t>and communities in the therapeutic process to ensure interventions are effective and meaningful</w:t>
            </w:r>
            <w:r w:rsidR="00951523">
              <w:t>.</w:t>
            </w:r>
          </w:p>
          <w:p w14:paraId="368AF738" w14:textId="13FD70F1" w:rsidR="00FF2113" w:rsidRDefault="00C1396E">
            <w:r w:rsidRPr="00C1396E">
              <w:t xml:space="preserve"> </w:t>
            </w:r>
          </w:p>
        </w:tc>
        <w:tc>
          <w:tcPr>
            <w:tcW w:w="5244" w:type="dxa"/>
          </w:tcPr>
          <w:p w14:paraId="41C8DDA3" w14:textId="2C7E8516" w:rsidR="006C0003" w:rsidRPr="006C0003" w:rsidRDefault="006C0003" w:rsidP="006C0003">
            <w:r w:rsidRPr="006C0003">
              <w:lastRenderedPageBreak/>
              <w:t xml:space="preserve">Shared engagement in occupational therapy within an A&amp;E setting fosters a collaborative environment where </w:t>
            </w:r>
            <w:r w:rsidR="009D486C">
              <w:t xml:space="preserve">the wider </w:t>
            </w:r>
            <w:r w:rsidR="004F1459">
              <w:t>MDT,</w:t>
            </w:r>
            <w:r w:rsidRPr="006C0003">
              <w:t xml:space="preserve"> therapist and the patient actively participate in the assessment process, leading to more personalised and effective provision of care. Involving patients in decision-making, shared engagement enhances their motivation and self-efficacy, promoting a sense of ownership over their own recovery process. This allows the OTAP to tailor interventions to their unique needs and preferences improving overall outcomes. For instance, patients who have come into A&amp;E following a fall are often </w:t>
            </w:r>
            <w:r w:rsidRPr="006C0003">
              <w:lastRenderedPageBreak/>
              <w:t xml:space="preserve">experiencing worry regarding their continued independence or need for support. The OTAP will use shared engagement by involving the patient </w:t>
            </w:r>
            <w:r w:rsidR="003C11AB">
              <w:t xml:space="preserve">and </w:t>
            </w:r>
            <w:r w:rsidR="007210A6">
              <w:t xml:space="preserve">their family </w:t>
            </w:r>
            <w:r w:rsidR="003C11AB">
              <w:t xml:space="preserve">if the patient wishes </w:t>
            </w:r>
            <w:r w:rsidRPr="006C0003">
              <w:t>within the assessment process addressing any concerns and wishes by actively listening, building trust and rapport with the patient to decide on a therapeutic plan that the patient feels comfortable with. Throughout the process, the OTAP provides reassurance and encouragement, making the patient feel supported and valued. This collaborative approach not only helps in obtaining accurate assessment results but also improves patients’ confidence and willingness to participate in their own recovery.</w:t>
            </w:r>
          </w:p>
          <w:p w14:paraId="0C3B0267" w14:textId="77777777" w:rsidR="00FF2113" w:rsidRDefault="00FF2113"/>
        </w:tc>
        <w:tc>
          <w:tcPr>
            <w:tcW w:w="5103" w:type="dxa"/>
          </w:tcPr>
          <w:p w14:paraId="0CAC9E66" w14:textId="573A5B93" w:rsidR="003E3916" w:rsidRPr="003E3916" w:rsidRDefault="00A971DE" w:rsidP="003E3916">
            <w:r w:rsidRPr="00A971DE">
              <w:lastRenderedPageBreak/>
              <w:t xml:space="preserve">Using </w:t>
            </w:r>
            <w:r w:rsidR="00D57DEC">
              <w:t xml:space="preserve">the </w:t>
            </w:r>
            <w:r w:rsidRPr="00A971DE">
              <w:t xml:space="preserve">shared engagement </w:t>
            </w:r>
            <w:r w:rsidR="00D57DEC">
              <w:t xml:space="preserve">process </w:t>
            </w:r>
            <w:r w:rsidR="00347E12">
              <w:t xml:space="preserve">in </w:t>
            </w:r>
            <w:r w:rsidRPr="00A971DE">
              <w:t>occupational therapy assessments within an A&amp;E setting can present with challenges, particularly when faced with pressure from the wider MDT to facilitate discharge in a timely manner.</w:t>
            </w:r>
            <w:r w:rsidR="00AD755B">
              <w:t xml:space="preserve"> </w:t>
            </w:r>
            <w:r w:rsidR="003E3916" w:rsidRPr="003E3916">
              <w:t xml:space="preserve">Communication gaps and resource constraints can inhibit effective collaboration within the MDT, while time constraints and cultural differences may lead to misunderstandings and conflicts. The OTAP may encounter their own set of obstacles, such as a lack of comprehension from other team members and difficulties in patient engagement. Additionally, </w:t>
            </w:r>
            <w:r w:rsidR="003E3916" w:rsidRPr="003E3916">
              <w:lastRenderedPageBreak/>
              <w:t xml:space="preserve">family barriers such as misconceptions about hospital versus home care, emotional stress, and a lack of information </w:t>
            </w:r>
            <w:r w:rsidR="0041230B">
              <w:t xml:space="preserve">further complicate effective shared </w:t>
            </w:r>
            <w:r w:rsidR="00602C5C">
              <w:t>engagement to</w:t>
            </w:r>
            <w:r w:rsidR="000D2EDB">
              <w:t xml:space="preserve"> support the collaborative approach</w:t>
            </w:r>
            <w:r w:rsidR="00D73D38">
              <w:t xml:space="preserve"> within occupational therapy profession </w:t>
            </w:r>
            <w:r w:rsidR="00F02AD1">
              <w:t xml:space="preserve">to facilitate </w:t>
            </w:r>
            <w:r w:rsidR="000D2EDB">
              <w:t>shared engagement</w:t>
            </w:r>
            <w:r w:rsidR="00D73D38">
              <w:t>.</w:t>
            </w:r>
          </w:p>
          <w:p w14:paraId="4ED7E1D7" w14:textId="77777777" w:rsidR="00FF2113" w:rsidRDefault="00FF2113"/>
        </w:tc>
      </w:tr>
    </w:tbl>
    <w:p w14:paraId="7C7CFB07" w14:textId="77777777" w:rsidR="000A5670" w:rsidRDefault="000A5670"/>
    <w:p w14:paraId="502298D2" w14:textId="77777777" w:rsidR="000669EE" w:rsidRDefault="000669EE"/>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E70865C" w14:textId="06D2FD41" w:rsidR="000669EE" w:rsidRDefault="000669EE">
            <w:r>
              <w:t>Reference list</w:t>
            </w:r>
            <w:r w:rsidR="001C7C34">
              <w:t xml:space="preserve"> (at least 3 references with corresponding citations</w:t>
            </w:r>
            <w:r w:rsidR="00B80729">
              <w:t xml:space="preserve"> within the table</w:t>
            </w:r>
            <w:r w:rsidR="001C7C34">
              <w:t>)</w:t>
            </w:r>
            <w:r>
              <w:t xml:space="preserve">: </w:t>
            </w:r>
          </w:p>
          <w:p w14:paraId="64E23940" w14:textId="77777777" w:rsidR="00A41E2F" w:rsidRDefault="00A41E2F" w:rsidP="00A41E2F"/>
          <w:p w14:paraId="462362D8" w14:textId="2038D957" w:rsidR="006325EF" w:rsidRPr="006325EF" w:rsidRDefault="00A41E2F" w:rsidP="006325EF">
            <w:pPr>
              <w:rPr>
                <w:rFonts w:ascii="Calibri" w:eastAsia="Times New Roman" w:hAnsi="Calibri" w:cs="Calibri"/>
                <w:color w:val="000000"/>
                <w:kern w:val="0"/>
                <w:sz w:val="27"/>
                <w:szCs w:val="27"/>
                <w:lang w:eastAsia="en-GB"/>
                <w14:ligatures w14:val="none"/>
              </w:rPr>
            </w:pPr>
            <w:r w:rsidRPr="00A41E2F">
              <w:t>Connors, B.P., McGlamery, J.N. and Stern, B.Z., (2019). </w:t>
            </w:r>
            <w:r w:rsidRPr="00A41E2F">
              <w:rPr>
                <w:i/>
                <w:iCs/>
              </w:rPr>
              <w:t>Brief Motivational Interviewing: A Tool for Occupational Therapy Practitioners to Support Self-Management | AOTA</w:t>
            </w:r>
            <w:r w:rsidRPr="00A41E2F">
              <w:t>. Available at: https://www.aota.org/publications/sis-quarterly/home-community-health-sis/hchsis-8-19/?form=MG0AV3 (Accessed 2 February 2025).</w:t>
            </w:r>
            <w:r w:rsidR="00DE3F2F" w:rsidRPr="00DE3F2F">
              <w:rPr>
                <w:rFonts w:ascii="Calibri" w:eastAsia="Times New Roman" w:hAnsi="Calibri" w:cs="Calibri"/>
                <w:color w:val="000000"/>
                <w:kern w:val="0"/>
                <w:sz w:val="27"/>
                <w:szCs w:val="27"/>
                <w:lang w:eastAsia="en-GB"/>
                <w14:ligatures w14:val="none"/>
              </w:rPr>
              <w:t xml:space="preserve"> </w:t>
            </w:r>
          </w:p>
          <w:p w14:paraId="7A1F966F" w14:textId="77777777" w:rsidR="006325EF" w:rsidRDefault="006325EF" w:rsidP="006325EF">
            <w:pPr>
              <w:rPr>
                <w:rFonts w:ascii="Calibri" w:eastAsia="Times New Roman" w:hAnsi="Calibri" w:cs="Calibri"/>
                <w:color w:val="000000"/>
                <w:kern w:val="0"/>
                <w:sz w:val="27"/>
                <w:szCs w:val="27"/>
                <w:lang w:eastAsia="en-GB"/>
                <w14:ligatures w14:val="none"/>
              </w:rPr>
            </w:pPr>
            <w:r w:rsidRPr="006325EF">
              <w:rPr>
                <w:rFonts w:ascii="Calibri" w:eastAsia="Times New Roman" w:hAnsi="Calibri" w:cs="Calibri"/>
                <w:color w:val="000000"/>
                <w:kern w:val="0"/>
                <w:sz w:val="27"/>
                <w:szCs w:val="27"/>
                <w:lang w:eastAsia="en-GB"/>
                <w14:ligatures w14:val="none"/>
              </w:rPr>
              <w:t xml:space="preserve">‌ </w:t>
            </w:r>
          </w:p>
          <w:p w14:paraId="5BFA6260" w14:textId="54B940EF" w:rsidR="006325EF" w:rsidRPr="006325EF" w:rsidRDefault="006325EF" w:rsidP="006325EF">
            <w:pPr>
              <w:rPr>
                <w:rFonts w:ascii="Calibri" w:eastAsia="Times New Roman" w:hAnsi="Calibri" w:cs="Calibri"/>
                <w:color w:val="000000"/>
                <w:kern w:val="0"/>
                <w:sz w:val="27"/>
                <w:szCs w:val="27"/>
                <w:lang w:eastAsia="en-GB"/>
                <w14:ligatures w14:val="none"/>
              </w:rPr>
            </w:pPr>
            <w:r w:rsidRPr="006325EF">
              <w:rPr>
                <w:rFonts w:eastAsia="Times New Roman" w:cs="Calibri"/>
                <w:color w:val="000000"/>
                <w:kern w:val="0"/>
                <w:lang w:eastAsia="en-GB"/>
                <w14:ligatures w14:val="none"/>
              </w:rPr>
              <w:t>Kang, E., Chen, J., Lipsey, K.L. and Foster, E.R. (2024). Community-Engaged Implementation Strategies in Occupational Therapy: A Scoping Review. </w:t>
            </w:r>
            <w:r w:rsidRPr="006325EF">
              <w:rPr>
                <w:rFonts w:eastAsia="Times New Roman" w:cs="Calibri"/>
                <w:i/>
                <w:iCs/>
                <w:color w:val="000000"/>
                <w:kern w:val="0"/>
                <w:lang w:eastAsia="en-GB"/>
                <w14:ligatures w14:val="none"/>
              </w:rPr>
              <w:t>American Journal of Occupational Therapy</w:t>
            </w:r>
            <w:r w:rsidRPr="006325EF">
              <w:rPr>
                <w:rFonts w:eastAsia="Times New Roman" w:cs="Calibri"/>
                <w:color w:val="000000"/>
                <w:kern w:val="0"/>
                <w:lang w:eastAsia="en-GB"/>
                <w14:ligatures w14:val="none"/>
              </w:rPr>
              <w:t xml:space="preserve">, 78(5). </w:t>
            </w:r>
            <w:r w:rsidR="00A71610">
              <w:rPr>
                <w:rFonts w:eastAsia="Times New Roman" w:cs="Calibri"/>
                <w:color w:val="000000"/>
                <w:kern w:val="0"/>
                <w:lang w:eastAsia="en-GB"/>
                <w14:ligatures w14:val="none"/>
              </w:rPr>
              <w:t xml:space="preserve">Available at: </w:t>
            </w:r>
            <w:r w:rsidR="00A71610" w:rsidRPr="006325EF">
              <w:rPr>
                <w:rFonts w:eastAsia="Times New Roman" w:cs="Calibri"/>
                <w:color w:val="000000"/>
                <w:kern w:val="0"/>
                <w:lang w:eastAsia="en-GB"/>
                <w14:ligatures w14:val="none"/>
              </w:rPr>
              <w:t xml:space="preserve">Doi: </w:t>
            </w:r>
            <w:r w:rsidR="00A71610" w:rsidRPr="001552EE">
              <w:rPr>
                <w:rFonts w:eastAsia="Times New Roman" w:cs="Calibri"/>
                <w:color w:val="000000"/>
                <w:kern w:val="0"/>
                <w:lang w:eastAsia="en-GB"/>
                <w14:ligatures w14:val="none"/>
              </w:rPr>
              <w:t>https://doi.org/10.5014/ajot.2024.050526</w:t>
            </w:r>
            <w:r w:rsidRPr="006325EF">
              <w:rPr>
                <w:rFonts w:eastAsia="Times New Roman" w:cs="Calibri"/>
                <w:color w:val="000000"/>
                <w:kern w:val="0"/>
                <w:lang w:eastAsia="en-GB"/>
                <w14:ligatures w14:val="none"/>
              </w:rPr>
              <w:t>.</w:t>
            </w:r>
            <w:r w:rsidR="00A71610">
              <w:rPr>
                <w:rFonts w:eastAsia="Times New Roman" w:cs="Calibri"/>
                <w:color w:val="000000"/>
                <w:kern w:val="0"/>
                <w:lang w:eastAsia="en-GB"/>
                <w14:ligatures w14:val="none"/>
              </w:rPr>
              <w:t xml:space="preserve"> (Accessed </w:t>
            </w:r>
            <w:r w:rsidR="001552EE">
              <w:rPr>
                <w:rFonts w:eastAsia="Times New Roman" w:cs="Calibri"/>
                <w:color w:val="000000"/>
                <w:kern w:val="0"/>
                <w:lang w:eastAsia="en-GB"/>
                <w14:ligatures w14:val="none"/>
              </w:rPr>
              <w:t>5 February 2025)</w:t>
            </w:r>
          </w:p>
          <w:p w14:paraId="713A5B73" w14:textId="77777777" w:rsidR="001552EE" w:rsidRDefault="006325EF" w:rsidP="00DE3F2F">
            <w:pPr>
              <w:rPr>
                <w:rFonts w:ascii="Calibri" w:eastAsia="Times New Roman" w:hAnsi="Calibri" w:cs="Calibri"/>
                <w:color w:val="000000"/>
                <w:kern w:val="0"/>
                <w:sz w:val="27"/>
                <w:szCs w:val="27"/>
                <w:lang w:eastAsia="en-GB"/>
                <w14:ligatures w14:val="none"/>
              </w:rPr>
            </w:pPr>
            <w:r w:rsidRPr="006325EF">
              <w:rPr>
                <w:rFonts w:ascii="Calibri" w:eastAsia="Times New Roman" w:hAnsi="Calibri" w:cs="Calibri"/>
                <w:color w:val="000000"/>
                <w:kern w:val="0"/>
                <w:sz w:val="27"/>
                <w:szCs w:val="27"/>
                <w:lang w:eastAsia="en-GB"/>
                <w14:ligatures w14:val="none"/>
              </w:rPr>
              <w:t>‌</w:t>
            </w:r>
          </w:p>
          <w:p w14:paraId="57F72DD5" w14:textId="61CF8551" w:rsidR="00DE3F2F" w:rsidRPr="001552EE" w:rsidRDefault="00DE3F2F" w:rsidP="00DE3F2F">
            <w:pPr>
              <w:rPr>
                <w:rFonts w:ascii="Calibri" w:eastAsia="Times New Roman" w:hAnsi="Calibri" w:cs="Calibri"/>
                <w:color w:val="000000"/>
                <w:kern w:val="0"/>
                <w:sz w:val="27"/>
                <w:szCs w:val="27"/>
                <w:lang w:eastAsia="en-GB"/>
                <w14:ligatures w14:val="none"/>
              </w:rPr>
            </w:pPr>
            <w:r w:rsidRPr="00DE3F2F">
              <w:lastRenderedPageBreak/>
              <w:t>Polonio-López, B., Triviño-Juárez, J.M., Corregidor-Sánchez, A.I., Toledano-González, A., Rodríguez-Martínez, M.C., Cantero-</w:t>
            </w:r>
            <w:proofErr w:type="spellStart"/>
            <w:r w:rsidRPr="00DE3F2F">
              <w:t>Garlito</w:t>
            </w:r>
            <w:proofErr w:type="spellEnd"/>
            <w:r w:rsidRPr="00DE3F2F">
              <w:t>, P., López-Martín, O., Rodríguez-Hernández, M., Segura-Fragoso, A. and Romero-Ayuso, D.M. (2019). Improving Self-Perceived Emotional Intelligence in Occupational Therapy Students Through Practical Training. </w:t>
            </w:r>
            <w:r w:rsidRPr="00DE3F2F">
              <w:rPr>
                <w:i/>
                <w:iCs/>
              </w:rPr>
              <w:t>Frontiers in Psychology</w:t>
            </w:r>
            <w:r w:rsidRPr="00DE3F2F">
              <w:t xml:space="preserve">, 10. </w:t>
            </w:r>
            <w:r w:rsidR="008E66F9">
              <w:t xml:space="preserve">Available at: </w:t>
            </w:r>
            <w:r w:rsidRPr="00DE3F2F">
              <w:t xml:space="preserve">Doi: </w:t>
            </w:r>
            <w:r w:rsidR="008E66F9" w:rsidRPr="005C34E5">
              <w:t>https://doi.org/10.3389/fpsyg.2019.00920</w:t>
            </w:r>
            <w:r w:rsidRPr="00DE3F2F">
              <w:t>.</w:t>
            </w:r>
            <w:r w:rsidR="008E66F9">
              <w:t xml:space="preserve"> (Accessed on 5 February 2025)</w:t>
            </w:r>
          </w:p>
          <w:p w14:paraId="40A625C9" w14:textId="77777777" w:rsidR="00DE3F2F" w:rsidRPr="00DE3F2F" w:rsidRDefault="00DE3F2F" w:rsidP="00DE3F2F">
            <w:r w:rsidRPr="00DE3F2F">
              <w:t>‌</w:t>
            </w:r>
          </w:p>
          <w:p w14:paraId="3840D238" w14:textId="41046EF4" w:rsidR="00A41E2F" w:rsidRDefault="00A41E2F" w:rsidP="00A41E2F"/>
          <w:p w14:paraId="6E097605" w14:textId="77777777" w:rsidR="00E327CC" w:rsidRDefault="00853EEA" w:rsidP="00E327CC">
            <w:r w:rsidRPr="00853EEA">
              <w:t>Rakesh Shitole (2020). </w:t>
            </w:r>
            <w:r w:rsidRPr="00853EEA">
              <w:rPr>
                <w:i/>
                <w:iCs/>
              </w:rPr>
              <w:t xml:space="preserve">Identifying Listening Styles in Undergraduate (Ug) Occupational Therapy (OT) Students and OT Professionals and Studying the Difference Between </w:t>
            </w:r>
            <w:r w:rsidR="004A0CD9" w:rsidRPr="00853EEA">
              <w:rPr>
                <w:i/>
                <w:iCs/>
              </w:rPr>
              <w:t>Two:</w:t>
            </w:r>
            <w:r w:rsidRPr="00853EEA">
              <w:rPr>
                <w:i/>
                <w:iCs/>
              </w:rPr>
              <w:t xml:space="preserve"> A </w:t>
            </w:r>
            <w:r w:rsidR="004A0CD9" w:rsidRPr="00853EEA">
              <w:rPr>
                <w:i/>
                <w:iCs/>
              </w:rPr>
              <w:t>Cross-Sectional</w:t>
            </w:r>
            <w:r w:rsidRPr="00853EEA">
              <w:rPr>
                <w:i/>
                <w:iCs/>
              </w:rPr>
              <w:t xml:space="preserve"> Study</w:t>
            </w:r>
            <w:r w:rsidRPr="00853EEA">
              <w:t>. Academia.edu. Available at: https://www.academia.edu/73259454/Identifying_Listening_Styles_in_Undergraduate_Ug_Occupational_Therapy_Ot_Students_and_Ot_Professionals_and_Studying_the_Difference_Between_Two_A_Cross_Sectional_Study (Accessed 2 Feb</w:t>
            </w:r>
            <w:r w:rsidR="00A41E2F">
              <w:t>ruary</w:t>
            </w:r>
            <w:r w:rsidRPr="00853EEA">
              <w:t xml:space="preserve"> 2025)</w:t>
            </w:r>
            <w:r w:rsidR="00E327CC" w:rsidRPr="00E327CC">
              <w:t xml:space="preserve"> </w:t>
            </w:r>
          </w:p>
          <w:p w14:paraId="6423A2A1" w14:textId="77777777" w:rsidR="00E327CC" w:rsidRDefault="00E327CC" w:rsidP="00E327CC"/>
          <w:p w14:paraId="6FFC1923" w14:textId="77777777" w:rsidR="00F8064B" w:rsidRDefault="00E327CC" w:rsidP="00E327CC">
            <w:r w:rsidRPr="00E327CC">
              <w:t>Scobbie, L. and Boa, S., 2022.</w:t>
            </w:r>
            <w:r w:rsidRPr="00E327CC">
              <w:rPr>
                <w:i/>
                <w:iCs/>
              </w:rPr>
              <w:t xml:space="preserve"> Goal setting in occupational therapy: a client-centred perspective</w:t>
            </w:r>
            <w:r w:rsidRPr="00E327CC">
              <w:t xml:space="preserve">. E. A. S. Duncan (Ed.), </w:t>
            </w:r>
            <w:r w:rsidRPr="00E327CC">
              <w:rPr>
                <w:i/>
                <w:iCs/>
              </w:rPr>
              <w:t>Skills for Practice in Occupational Therapy</w:t>
            </w:r>
            <w:r w:rsidRPr="00E327CC">
              <w:t xml:space="preserve"> (2nd ed.). Elsevier Ltd.</w:t>
            </w:r>
          </w:p>
          <w:p w14:paraId="5818B3BD" w14:textId="77777777" w:rsidR="00F8064B" w:rsidRDefault="00F8064B" w:rsidP="00E327CC"/>
          <w:p w14:paraId="76FA1FDD" w14:textId="3548F978" w:rsidR="00E327CC" w:rsidRDefault="00142528" w:rsidP="00E327CC">
            <w:r w:rsidRPr="00142528">
              <w:t>Thomas, Y. and Menage, D. (2016). Reclaiming compassion as a core value in occupational therapy. </w:t>
            </w:r>
            <w:r w:rsidRPr="00142528">
              <w:rPr>
                <w:i/>
                <w:iCs/>
              </w:rPr>
              <w:t xml:space="preserve">British Journal of Occupational </w:t>
            </w:r>
            <w:r w:rsidR="000B29BC" w:rsidRPr="00142528">
              <w:rPr>
                <w:i/>
                <w:iCs/>
              </w:rPr>
              <w:t>Therapy</w:t>
            </w:r>
            <w:r w:rsidR="000B29BC" w:rsidRPr="00142528">
              <w:t>, 79</w:t>
            </w:r>
            <w:r w:rsidRPr="00142528">
              <w:t xml:space="preserve">(1), pp.3–4. </w:t>
            </w:r>
            <w:r w:rsidR="00F8064B">
              <w:t xml:space="preserve">Available at: </w:t>
            </w:r>
            <w:r w:rsidR="00F8064B" w:rsidRPr="00142528">
              <w:t xml:space="preserve">Doi: </w:t>
            </w:r>
            <w:r w:rsidR="00F8064B" w:rsidRPr="001538D8">
              <w:t>HTTPs://doi.org/10.1177/0308022615620682</w:t>
            </w:r>
            <w:r w:rsidR="00F8064B">
              <w:t xml:space="preserve"> (Accessed </w:t>
            </w:r>
            <w:r w:rsidR="001538D8">
              <w:t>4 February 2025)</w:t>
            </w:r>
          </w:p>
          <w:p w14:paraId="283F6255" w14:textId="77777777" w:rsidR="00142528" w:rsidRDefault="00142528" w:rsidP="00E327CC"/>
          <w:p w14:paraId="421AFCEC" w14:textId="77777777" w:rsidR="00142528" w:rsidRPr="00E327CC" w:rsidRDefault="00142528" w:rsidP="00E327CC"/>
          <w:p w14:paraId="5C82BE52" w14:textId="74A555B9" w:rsidR="00853EEA" w:rsidRDefault="00853EEA" w:rsidP="00853EEA"/>
          <w:p w14:paraId="5A65ABC0" w14:textId="77777777" w:rsidR="00E327CC" w:rsidRDefault="00E327CC" w:rsidP="00853EEA"/>
          <w:p w14:paraId="47F0D5DE" w14:textId="77777777" w:rsidR="00E327CC" w:rsidRPr="00853EEA" w:rsidRDefault="00E327CC" w:rsidP="00853EEA"/>
          <w:p w14:paraId="474C66C7" w14:textId="77777777" w:rsidR="00853EEA" w:rsidRDefault="00853EEA"/>
          <w:p w14:paraId="30F18764" w14:textId="77777777" w:rsidR="000669EE" w:rsidRDefault="000669EE"/>
          <w:p w14:paraId="0AF79AAE" w14:textId="77777777" w:rsidR="000669EE" w:rsidRDefault="000669EE"/>
          <w:p w14:paraId="082B5014" w14:textId="77777777" w:rsidR="000669EE" w:rsidRDefault="000669EE"/>
          <w:p w14:paraId="5A6BACE6" w14:textId="77777777" w:rsidR="000669EE" w:rsidRDefault="000669EE"/>
          <w:p w14:paraId="53202A15" w14:textId="77777777" w:rsidR="000669EE" w:rsidRDefault="000669EE"/>
          <w:p w14:paraId="2C1F06D5" w14:textId="77777777" w:rsidR="000669EE" w:rsidRDefault="000669EE"/>
          <w:p w14:paraId="22D11A81" w14:textId="77777777" w:rsidR="000669EE" w:rsidRDefault="000669EE"/>
          <w:p w14:paraId="560F4D76" w14:textId="77777777" w:rsidR="000669EE" w:rsidRDefault="000669EE"/>
          <w:p w14:paraId="5187A92E" w14:textId="77777777" w:rsidR="000669EE" w:rsidRDefault="000669EE"/>
          <w:p w14:paraId="22156689" w14:textId="77777777" w:rsidR="000669EE" w:rsidRDefault="000669EE"/>
          <w:p w14:paraId="0F253AA1" w14:textId="77777777" w:rsidR="000669EE" w:rsidRDefault="000669EE"/>
          <w:p w14:paraId="181EC150" w14:textId="0E744E63" w:rsidR="000669EE" w:rsidRDefault="000669EE"/>
        </w:tc>
      </w:tr>
    </w:tbl>
    <w:p w14:paraId="4F8F220E" w14:textId="77777777" w:rsidR="000669EE" w:rsidRDefault="000669EE"/>
    <w:p w14:paraId="70D109CA" w14:textId="77777777" w:rsidR="000669EE" w:rsidRDefault="000669EE"/>
    <w:p w14:paraId="008E9FE7" w14:textId="34232735" w:rsidR="000669EE" w:rsidRDefault="000669EE">
      <w:r>
        <w:t xml:space="preserve">Completed by: </w:t>
      </w:r>
      <w:r w:rsidR="00373CD8">
        <w:t>Sian Morgan (2316489)</w:t>
      </w:r>
      <w:r>
        <w:tab/>
      </w:r>
      <w:r>
        <w:tab/>
      </w:r>
      <w:r>
        <w:tab/>
      </w:r>
      <w:r>
        <w:tab/>
      </w:r>
      <w:r>
        <w:tab/>
        <w:t xml:space="preserve">Date: </w:t>
      </w:r>
      <w:r w:rsidR="008763A6">
        <w:t>30/01/2025</w:t>
      </w:r>
    </w:p>
    <w:sectPr w:rsidR="000669EE" w:rsidSect="00FF2113">
      <w:headerReference w:type="default" r:id="rId10"/>
      <w:foot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C160B" w14:textId="77777777" w:rsidR="00F20927" w:rsidRDefault="00F20927" w:rsidP="00FF2113">
      <w:pPr>
        <w:spacing w:after="0" w:line="240" w:lineRule="auto"/>
      </w:pPr>
      <w:r>
        <w:separator/>
      </w:r>
    </w:p>
  </w:endnote>
  <w:endnote w:type="continuationSeparator" w:id="0">
    <w:p w14:paraId="31FDF96C" w14:textId="77777777" w:rsidR="00F20927" w:rsidRDefault="00F20927"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4EFD6" w14:textId="77777777" w:rsidR="00F20927" w:rsidRDefault="00F20927" w:rsidP="00FF2113">
      <w:pPr>
        <w:spacing w:after="0" w:line="240" w:lineRule="auto"/>
      </w:pPr>
      <w:r>
        <w:separator/>
      </w:r>
    </w:p>
  </w:footnote>
  <w:footnote w:type="continuationSeparator" w:id="0">
    <w:p w14:paraId="208045BA" w14:textId="77777777" w:rsidR="00F20927" w:rsidRDefault="00F20927"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01385"/>
    <w:rsid w:val="0001731C"/>
    <w:rsid w:val="00043560"/>
    <w:rsid w:val="000669EE"/>
    <w:rsid w:val="00080389"/>
    <w:rsid w:val="00093EBE"/>
    <w:rsid w:val="00095D24"/>
    <w:rsid w:val="000A5670"/>
    <w:rsid w:val="000B29BC"/>
    <w:rsid w:val="000B5241"/>
    <w:rsid w:val="000B6AF7"/>
    <w:rsid w:val="000D2EDB"/>
    <w:rsid w:val="000E22A8"/>
    <w:rsid w:val="000E50E4"/>
    <w:rsid w:val="000F7FE3"/>
    <w:rsid w:val="00122A84"/>
    <w:rsid w:val="00126447"/>
    <w:rsid w:val="00142528"/>
    <w:rsid w:val="001533CE"/>
    <w:rsid w:val="001538D8"/>
    <w:rsid w:val="001552EE"/>
    <w:rsid w:val="001560AD"/>
    <w:rsid w:val="0019299B"/>
    <w:rsid w:val="001A4413"/>
    <w:rsid w:val="001C3AB0"/>
    <w:rsid w:val="001C7C34"/>
    <w:rsid w:val="00204A41"/>
    <w:rsid w:val="002468C5"/>
    <w:rsid w:val="0025234D"/>
    <w:rsid w:val="0029751D"/>
    <w:rsid w:val="002A5B1C"/>
    <w:rsid w:val="002C20F3"/>
    <w:rsid w:val="002F27E3"/>
    <w:rsid w:val="002F7259"/>
    <w:rsid w:val="003000AE"/>
    <w:rsid w:val="00304A53"/>
    <w:rsid w:val="00317F47"/>
    <w:rsid w:val="00347E12"/>
    <w:rsid w:val="00373CD8"/>
    <w:rsid w:val="00374DA1"/>
    <w:rsid w:val="00394830"/>
    <w:rsid w:val="00397629"/>
    <w:rsid w:val="003B6E5E"/>
    <w:rsid w:val="003C11AB"/>
    <w:rsid w:val="003C24D7"/>
    <w:rsid w:val="003C3E90"/>
    <w:rsid w:val="003E11B5"/>
    <w:rsid w:val="003E3916"/>
    <w:rsid w:val="003E39E6"/>
    <w:rsid w:val="003F3D1E"/>
    <w:rsid w:val="00403DC8"/>
    <w:rsid w:val="0041230B"/>
    <w:rsid w:val="004342B6"/>
    <w:rsid w:val="00443F53"/>
    <w:rsid w:val="00462F1A"/>
    <w:rsid w:val="00466102"/>
    <w:rsid w:val="004A0CD9"/>
    <w:rsid w:val="004D2945"/>
    <w:rsid w:val="004D54D1"/>
    <w:rsid w:val="004D6CA4"/>
    <w:rsid w:val="004F1459"/>
    <w:rsid w:val="00530805"/>
    <w:rsid w:val="00570358"/>
    <w:rsid w:val="00576F79"/>
    <w:rsid w:val="00597C8B"/>
    <w:rsid w:val="005B1939"/>
    <w:rsid w:val="005B1AC7"/>
    <w:rsid w:val="005B367C"/>
    <w:rsid w:val="005C34E5"/>
    <w:rsid w:val="005F1F3B"/>
    <w:rsid w:val="0060142B"/>
    <w:rsid w:val="00602C5C"/>
    <w:rsid w:val="0061687A"/>
    <w:rsid w:val="00622858"/>
    <w:rsid w:val="006323BF"/>
    <w:rsid w:val="006325EF"/>
    <w:rsid w:val="00645B38"/>
    <w:rsid w:val="006700DF"/>
    <w:rsid w:val="0068524E"/>
    <w:rsid w:val="006C0003"/>
    <w:rsid w:val="006C1E03"/>
    <w:rsid w:val="006D1562"/>
    <w:rsid w:val="006E4D2E"/>
    <w:rsid w:val="006E6032"/>
    <w:rsid w:val="00706B1F"/>
    <w:rsid w:val="00711CBA"/>
    <w:rsid w:val="007210A6"/>
    <w:rsid w:val="00722118"/>
    <w:rsid w:val="007246F5"/>
    <w:rsid w:val="00743180"/>
    <w:rsid w:val="007528C2"/>
    <w:rsid w:val="00756110"/>
    <w:rsid w:val="00767C11"/>
    <w:rsid w:val="00786550"/>
    <w:rsid w:val="0079273E"/>
    <w:rsid w:val="007948EF"/>
    <w:rsid w:val="00794E56"/>
    <w:rsid w:val="007A787B"/>
    <w:rsid w:val="007B37AC"/>
    <w:rsid w:val="007E0D23"/>
    <w:rsid w:val="007F6417"/>
    <w:rsid w:val="008001E8"/>
    <w:rsid w:val="0080617E"/>
    <w:rsid w:val="00810825"/>
    <w:rsid w:val="0081095C"/>
    <w:rsid w:val="00814365"/>
    <w:rsid w:val="00814B16"/>
    <w:rsid w:val="00825BF6"/>
    <w:rsid w:val="00826BE8"/>
    <w:rsid w:val="008316EF"/>
    <w:rsid w:val="008431E7"/>
    <w:rsid w:val="00853EEA"/>
    <w:rsid w:val="00856761"/>
    <w:rsid w:val="00862B07"/>
    <w:rsid w:val="00870F66"/>
    <w:rsid w:val="0087143E"/>
    <w:rsid w:val="008763A6"/>
    <w:rsid w:val="0087682D"/>
    <w:rsid w:val="008E5596"/>
    <w:rsid w:val="008E66F9"/>
    <w:rsid w:val="008F7F92"/>
    <w:rsid w:val="009106AD"/>
    <w:rsid w:val="00925474"/>
    <w:rsid w:val="00951523"/>
    <w:rsid w:val="009608F7"/>
    <w:rsid w:val="009837BF"/>
    <w:rsid w:val="00983934"/>
    <w:rsid w:val="009D3619"/>
    <w:rsid w:val="009D486C"/>
    <w:rsid w:val="009E30EF"/>
    <w:rsid w:val="00A14E7F"/>
    <w:rsid w:val="00A41E2F"/>
    <w:rsid w:val="00A532D0"/>
    <w:rsid w:val="00A71610"/>
    <w:rsid w:val="00A72C36"/>
    <w:rsid w:val="00A87244"/>
    <w:rsid w:val="00A95DEE"/>
    <w:rsid w:val="00A971DE"/>
    <w:rsid w:val="00A97DD3"/>
    <w:rsid w:val="00AB28E7"/>
    <w:rsid w:val="00AC50EC"/>
    <w:rsid w:val="00AD755B"/>
    <w:rsid w:val="00AF324A"/>
    <w:rsid w:val="00B0347F"/>
    <w:rsid w:val="00B07AB9"/>
    <w:rsid w:val="00B15DC4"/>
    <w:rsid w:val="00B65C8E"/>
    <w:rsid w:val="00B80729"/>
    <w:rsid w:val="00BC22AF"/>
    <w:rsid w:val="00BC5EA1"/>
    <w:rsid w:val="00BD1B76"/>
    <w:rsid w:val="00BD4561"/>
    <w:rsid w:val="00BD5A33"/>
    <w:rsid w:val="00BD7803"/>
    <w:rsid w:val="00BF2753"/>
    <w:rsid w:val="00C021F5"/>
    <w:rsid w:val="00C1396E"/>
    <w:rsid w:val="00C60D57"/>
    <w:rsid w:val="00C81623"/>
    <w:rsid w:val="00C869D3"/>
    <w:rsid w:val="00C934F1"/>
    <w:rsid w:val="00CB6855"/>
    <w:rsid w:val="00CC3D3D"/>
    <w:rsid w:val="00CE2184"/>
    <w:rsid w:val="00CF4927"/>
    <w:rsid w:val="00D0456A"/>
    <w:rsid w:val="00D052E5"/>
    <w:rsid w:val="00D5280F"/>
    <w:rsid w:val="00D57DEC"/>
    <w:rsid w:val="00D624C8"/>
    <w:rsid w:val="00D63D5D"/>
    <w:rsid w:val="00D71DD3"/>
    <w:rsid w:val="00D73D38"/>
    <w:rsid w:val="00D964E5"/>
    <w:rsid w:val="00DA5F70"/>
    <w:rsid w:val="00DA7E5F"/>
    <w:rsid w:val="00DB750A"/>
    <w:rsid w:val="00DC1ABD"/>
    <w:rsid w:val="00DC5BF0"/>
    <w:rsid w:val="00DE3F2F"/>
    <w:rsid w:val="00E308FC"/>
    <w:rsid w:val="00E31008"/>
    <w:rsid w:val="00E327CC"/>
    <w:rsid w:val="00E32A3B"/>
    <w:rsid w:val="00E33730"/>
    <w:rsid w:val="00E35E3A"/>
    <w:rsid w:val="00E375AA"/>
    <w:rsid w:val="00E47B8A"/>
    <w:rsid w:val="00EB1A49"/>
    <w:rsid w:val="00EB6A3B"/>
    <w:rsid w:val="00EC1E87"/>
    <w:rsid w:val="00EE02EA"/>
    <w:rsid w:val="00EE5C01"/>
    <w:rsid w:val="00EE6F6C"/>
    <w:rsid w:val="00F00868"/>
    <w:rsid w:val="00F02AD1"/>
    <w:rsid w:val="00F05F84"/>
    <w:rsid w:val="00F20927"/>
    <w:rsid w:val="00F46E32"/>
    <w:rsid w:val="00F731CB"/>
    <w:rsid w:val="00F7321B"/>
    <w:rsid w:val="00F764BD"/>
    <w:rsid w:val="00F8064B"/>
    <w:rsid w:val="00F9666C"/>
    <w:rsid w:val="00FB4950"/>
    <w:rsid w:val="00FB5D2E"/>
    <w:rsid w:val="00FC58E4"/>
    <w:rsid w:val="00FD30AE"/>
    <w:rsid w:val="00FE2C70"/>
    <w:rsid w:val="00FF21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064B"/>
    <w:rPr>
      <w:color w:val="467886" w:themeColor="hyperlink"/>
      <w:u w:val="single"/>
    </w:rPr>
  </w:style>
  <w:style w:type="character" w:styleId="UnresolvedMention">
    <w:name w:val="Unresolved Mention"/>
    <w:basedOn w:val="DefaultParagraphFont"/>
    <w:uiPriority w:val="99"/>
    <w:semiHidden/>
    <w:unhideWhenUsed/>
    <w:rsid w:val="00F8064B"/>
    <w:rPr>
      <w:color w:val="605E5C"/>
      <w:shd w:val="clear" w:color="auto" w:fill="E1DFDD"/>
    </w:rPr>
  </w:style>
  <w:style w:type="paragraph" w:styleId="NormalWeb">
    <w:name w:val="Normal (Web)"/>
    <w:basedOn w:val="Normal"/>
    <w:uiPriority w:val="99"/>
    <w:semiHidden/>
    <w:unhideWhenUsed/>
    <w:rsid w:val="00DE3F2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740898">
      <w:bodyDiv w:val="1"/>
      <w:marLeft w:val="0"/>
      <w:marRight w:val="0"/>
      <w:marTop w:val="0"/>
      <w:marBottom w:val="0"/>
      <w:divBdr>
        <w:top w:val="none" w:sz="0" w:space="0" w:color="auto"/>
        <w:left w:val="none" w:sz="0" w:space="0" w:color="auto"/>
        <w:bottom w:val="none" w:sz="0" w:space="0" w:color="auto"/>
        <w:right w:val="none" w:sz="0" w:space="0" w:color="auto"/>
      </w:divBdr>
    </w:div>
    <w:div w:id="667832983">
      <w:bodyDiv w:val="1"/>
      <w:marLeft w:val="0"/>
      <w:marRight w:val="0"/>
      <w:marTop w:val="0"/>
      <w:marBottom w:val="0"/>
      <w:divBdr>
        <w:top w:val="none" w:sz="0" w:space="0" w:color="auto"/>
        <w:left w:val="none" w:sz="0" w:space="0" w:color="auto"/>
        <w:bottom w:val="none" w:sz="0" w:space="0" w:color="auto"/>
        <w:right w:val="none" w:sz="0" w:space="0" w:color="auto"/>
      </w:divBdr>
    </w:div>
    <w:div w:id="189369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0" ma:contentTypeDescription="Create a new document." ma:contentTypeScope="" ma:versionID="12c195ef0f99a32d5ca79c83ae52283b">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f016f1dade81f433555a0688df61cd4"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F54EB14-6610-49EA-8C75-C58F2967B301}">
  <ds:schemaRefs>
    <ds:schemaRef ds:uri="http://schemas.microsoft.com/sharepoint/v3/contenttype/forms"/>
  </ds:schemaRefs>
</ds:datastoreItem>
</file>

<file path=customXml/itemProps2.xml><?xml version="1.0" encoding="utf-8"?>
<ds:datastoreItem xmlns:ds="http://schemas.openxmlformats.org/officeDocument/2006/customXml" ds:itemID="{E13EBE19-6352-4521-9FEB-D754901B618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E7B1D0D-CDB8-45BE-9FFD-3B2514172A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9</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sian shreves</cp:lastModifiedBy>
  <cp:revision>165</cp:revision>
  <dcterms:created xsi:type="dcterms:W3CDTF">2025-01-26T17:24:00Z</dcterms:created>
  <dcterms:modified xsi:type="dcterms:W3CDTF">2025-02-17T20:21:00Z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