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5984E" w14:textId="77777777" w:rsidR="00FA2585" w:rsidRPr="00172DAD" w:rsidRDefault="00FA2585" w:rsidP="00841E05">
      <w:pPr>
        <w:spacing w:before="120" w:after="120" w:line="480" w:lineRule="auto"/>
        <w:jc w:val="center"/>
        <w:rPr>
          <w:rFonts w:eastAsia="Times New Roman"/>
          <w:b/>
          <w:bCs/>
          <w:lang w:val="en-GB"/>
        </w:rPr>
      </w:pPr>
    </w:p>
    <w:p w14:paraId="6270A51A" w14:textId="77777777" w:rsidR="00FA2585" w:rsidRPr="00172DAD" w:rsidRDefault="00FA2585" w:rsidP="00841E05">
      <w:pPr>
        <w:spacing w:before="120" w:after="120" w:line="480" w:lineRule="auto"/>
        <w:jc w:val="center"/>
        <w:rPr>
          <w:rFonts w:eastAsia="Times New Roman"/>
          <w:b/>
          <w:bCs/>
          <w:lang w:val="en-GB"/>
        </w:rPr>
      </w:pPr>
    </w:p>
    <w:p w14:paraId="167ABC33" w14:textId="77777777" w:rsidR="00FA2585" w:rsidRPr="00172DAD" w:rsidRDefault="00FA2585" w:rsidP="00841E05">
      <w:pPr>
        <w:spacing w:before="120" w:after="120" w:line="480" w:lineRule="auto"/>
        <w:jc w:val="center"/>
        <w:rPr>
          <w:rFonts w:eastAsia="Times New Roman"/>
          <w:b/>
          <w:bCs/>
          <w:lang w:val="en-GB"/>
        </w:rPr>
      </w:pPr>
    </w:p>
    <w:p w14:paraId="01819FCF" w14:textId="77777777" w:rsidR="00FA2585" w:rsidRPr="00172DAD" w:rsidRDefault="00FA2585" w:rsidP="00841E05">
      <w:pPr>
        <w:spacing w:before="120" w:after="120" w:line="480" w:lineRule="auto"/>
        <w:jc w:val="center"/>
        <w:rPr>
          <w:rFonts w:eastAsia="Times New Roman"/>
          <w:b/>
          <w:bCs/>
          <w:lang w:val="en-GB"/>
        </w:rPr>
      </w:pPr>
    </w:p>
    <w:p w14:paraId="7AF15CF7" w14:textId="77777777" w:rsidR="00FA2585" w:rsidRPr="00172DAD" w:rsidRDefault="00FA2585" w:rsidP="00841E05">
      <w:pPr>
        <w:spacing w:before="120" w:after="120" w:line="480" w:lineRule="auto"/>
        <w:jc w:val="center"/>
        <w:rPr>
          <w:rFonts w:eastAsia="Times New Roman"/>
          <w:b/>
          <w:bCs/>
          <w:lang w:val="en-GB"/>
        </w:rPr>
      </w:pPr>
    </w:p>
    <w:p w14:paraId="18885E2D" w14:textId="77777777" w:rsidR="00FA2585" w:rsidRPr="00172DAD" w:rsidRDefault="00FA2585" w:rsidP="00841E05">
      <w:pPr>
        <w:spacing w:before="120" w:after="120" w:line="480" w:lineRule="auto"/>
        <w:jc w:val="center"/>
        <w:rPr>
          <w:rFonts w:eastAsia="Times New Roman"/>
          <w:b/>
          <w:bCs/>
          <w:lang w:val="en-GB"/>
        </w:rPr>
      </w:pPr>
    </w:p>
    <w:p w14:paraId="4291B44C" w14:textId="14217399" w:rsidR="00FA2585" w:rsidRDefault="00D007BE" w:rsidP="00841E05">
      <w:pPr>
        <w:spacing w:before="120" w:after="120" w:line="480" w:lineRule="auto"/>
        <w:jc w:val="center"/>
        <w:rPr>
          <w:rFonts w:eastAsia="Times New Roman"/>
          <w:b/>
          <w:bCs/>
          <w:lang w:val="en-GB"/>
        </w:rPr>
      </w:pPr>
      <w:r w:rsidRPr="00D007BE">
        <w:rPr>
          <w:rFonts w:eastAsia="Times New Roman"/>
          <w:b/>
          <w:bCs/>
          <w:lang w:val="en-GB"/>
        </w:rPr>
        <w:t>LCHS7006</w:t>
      </w:r>
      <w:r>
        <w:rPr>
          <w:rFonts w:eastAsia="Times New Roman"/>
          <w:b/>
          <w:bCs/>
          <w:lang w:val="en-GB"/>
        </w:rPr>
        <w:t xml:space="preserve"> </w:t>
      </w:r>
      <w:r w:rsidR="00FA2585" w:rsidRPr="00172DAD">
        <w:rPr>
          <w:rFonts w:eastAsia="Times New Roman"/>
          <w:b/>
          <w:bCs/>
          <w:lang w:val="en-GB"/>
        </w:rPr>
        <w:t>Quality Assurance and Service Improvements</w:t>
      </w:r>
    </w:p>
    <w:p w14:paraId="625C66B5" w14:textId="09F08063" w:rsidR="00D007BE" w:rsidRDefault="00D007BE" w:rsidP="00841E05">
      <w:pPr>
        <w:spacing w:before="120" w:after="120" w:line="480" w:lineRule="auto"/>
        <w:jc w:val="center"/>
        <w:rPr>
          <w:rFonts w:eastAsia="Times New Roman"/>
          <w:b/>
          <w:bCs/>
          <w:lang w:val="en-GB"/>
        </w:rPr>
      </w:pPr>
      <w:r w:rsidRPr="00D007BE">
        <w:rPr>
          <w:rFonts w:eastAsia="Times New Roman"/>
          <w:b/>
          <w:bCs/>
          <w:lang w:val="en-GB"/>
        </w:rPr>
        <w:t>Component 2</w:t>
      </w:r>
      <w:r>
        <w:rPr>
          <w:rFonts w:eastAsia="Times New Roman"/>
          <w:b/>
          <w:bCs/>
          <w:lang w:val="en-GB"/>
        </w:rPr>
        <w:t xml:space="preserve"> </w:t>
      </w:r>
      <w:r w:rsidRPr="00D007BE">
        <w:rPr>
          <w:rFonts w:eastAsia="Times New Roman"/>
          <w:b/>
          <w:bCs/>
          <w:lang w:val="en-GB"/>
        </w:rPr>
        <w:t>Service Improvement Report</w:t>
      </w:r>
    </w:p>
    <w:p w14:paraId="6A7A1773" w14:textId="68E28D89" w:rsidR="00D007BE" w:rsidRDefault="00D007BE" w:rsidP="00841E05">
      <w:pPr>
        <w:spacing w:before="120" w:after="120" w:line="480" w:lineRule="auto"/>
        <w:jc w:val="center"/>
        <w:rPr>
          <w:rFonts w:eastAsia="Times New Roman"/>
          <w:b/>
          <w:bCs/>
          <w:lang w:val="en-GB"/>
        </w:rPr>
      </w:pPr>
    </w:p>
    <w:p w14:paraId="565CBD26" w14:textId="77777777" w:rsidR="00D007BE" w:rsidRDefault="00D007BE" w:rsidP="00841E05">
      <w:pPr>
        <w:spacing w:before="120" w:after="120" w:line="480" w:lineRule="auto"/>
        <w:jc w:val="center"/>
        <w:rPr>
          <w:rFonts w:eastAsia="Times New Roman"/>
          <w:b/>
          <w:bCs/>
          <w:lang w:val="en-GB"/>
        </w:rPr>
      </w:pPr>
    </w:p>
    <w:p w14:paraId="6574B08A" w14:textId="77777777" w:rsidR="00D007BE" w:rsidRDefault="00D007BE" w:rsidP="00841E05">
      <w:pPr>
        <w:spacing w:before="120" w:after="120" w:line="480" w:lineRule="auto"/>
        <w:jc w:val="center"/>
        <w:rPr>
          <w:rFonts w:eastAsia="Times New Roman"/>
          <w:lang w:val="en-GB"/>
        </w:rPr>
      </w:pPr>
    </w:p>
    <w:p w14:paraId="3C3ADE1E" w14:textId="48A57E57" w:rsidR="00D007BE" w:rsidRDefault="00D007BE" w:rsidP="00841E05">
      <w:pPr>
        <w:spacing w:before="120" w:after="120" w:line="480" w:lineRule="auto"/>
        <w:jc w:val="center"/>
        <w:rPr>
          <w:rFonts w:eastAsia="Times New Roman"/>
          <w:b/>
          <w:bCs/>
          <w:lang w:val="en-GB"/>
        </w:rPr>
      </w:pPr>
      <w:r w:rsidRPr="00D007BE">
        <w:rPr>
          <w:rFonts w:eastAsia="Times New Roman"/>
          <w:b/>
          <w:bCs/>
          <w:lang w:val="en-GB"/>
        </w:rPr>
        <w:t>Shrewsbury and Telford Hospital NHS Trust Maternity Scandal</w:t>
      </w:r>
    </w:p>
    <w:p w14:paraId="0FECB224" w14:textId="067ABD17" w:rsidR="00D007BE" w:rsidRDefault="00D007BE" w:rsidP="00841E05">
      <w:pPr>
        <w:spacing w:before="120" w:after="120" w:line="480" w:lineRule="auto"/>
        <w:jc w:val="center"/>
        <w:rPr>
          <w:rFonts w:eastAsia="Times New Roman"/>
          <w:b/>
          <w:bCs/>
          <w:lang w:val="en-GB"/>
        </w:rPr>
      </w:pPr>
    </w:p>
    <w:p w14:paraId="2DB4BCB3" w14:textId="3ED148BA" w:rsidR="00D007BE" w:rsidRDefault="00D007BE" w:rsidP="00841E05">
      <w:pPr>
        <w:spacing w:before="120" w:after="120" w:line="480" w:lineRule="auto"/>
        <w:jc w:val="center"/>
        <w:rPr>
          <w:rFonts w:eastAsia="Times New Roman"/>
          <w:b/>
          <w:bCs/>
          <w:lang w:val="en-GB"/>
        </w:rPr>
      </w:pPr>
    </w:p>
    <w:p w14:paraId="7DDFCCF3" w14:textId="6837F95A" w:rsidR="00D007BE" w:rsidRDefault="00C82E91" w:rsidP="00841E05">
      <w:pPr>
        <w:spacing w:before="120" w:after="120" w:line="480" w:lineRule="auto"/>
        <w:jc w:val="center"/>
        <w:rPr>
          <w:rFonts w:eastAsia="Times New Roman"/>
          <w:b/>
          <w:bCs/>
          <w:lang w:val="en-GB"/>
        </w:rPr>
      </w:pPr>
      <w:r>
        <w:rPr>
          <w:rFonts w:eastAsia="Times New Roman"/>
          <w:b/>
          <w:bCs/>
          <w:lang w:val="en-GB"/>
        </w:rPr>
        <w:t xml:space="preserve">Student Name: </w:t>
      </w:r>
      <w:proofErr w:type="spellStart"/>
      <w:r>
        <w:rPr>
          <w:rFonts w:eastAsia="Times New Roman"/>
          <w:b/>
          <w:bCs/>
          <w:lang w:val="en-GB"/>
        </w:rPr>
        <w:t>Keshaben</w:t>
      </w:r>
      <w:proofErr w:type="spellEnd"/>
      <w:r>
        <w:rPr>
          <w:rFonts w:eastAsia="Times New Roman"/>
          <w:b/>
          <w:bCs/>
          <w:lang w:val="en-GB"/>
        </w:rPr>
        <w:t xml:space="preserve"> </w:t>
      </w:r>
      <w:proofErr w:type="spellStart"/>
      <w:r>
        <w:rPr>
          <w:rFonts w:eastAsia="Times New Roman"/>
          <w:b/>
          <w:bCs/>
          <w:lang w:val="en-GB"/>
        </w:rPr>
        <w:t>Jayeshbhai</w:t>
      </w:r>
      <w:proofErr w:type="spellEnd"/>
      <w:r>
        <w:rPr>
          <w:rFonts w:eastAsia="Times New Roman"/>
          <w:b/>
          <w:bCs/>
          <w:lang w:val="en-GB"/>
        </w:rPr>
        <w:t xml:space="preserve"> Khanpara</w:t>
      </w:r>
    </w:p>
    <w:p w14:paraId="4D6E73B6" w14:textId="2EC68122" w:rsidR="00C82E91" w:rsidRDefault="00C82E91" w:rsidP="00841E05">
      <w:pPr>
        <w:spacing w:before="120" w:after="120" w:line="480" w:lineRule="auto"/>
        <w:jc w:val="center"/>
        <w:rPr>
          <w:rFonts w:eastAsia="Times New Roman"/>
          <w:b/>
          <w:bCs/>
          <w:lang w:val="en-GB"/>
        </w:rPr>
      </w:pPr>
      <w:r>
        <w:rPr>
          <w:rFonts w:eastAsia="Times New Roman"/>
          <w:b/>
          <w:bCs/>
          <w:lang w:val="en-GB"/>
        </w:rPr>
        <w:t>Student ID: 2505873</w:t>
      </w:r>
    </w:p>
    <w:p w14:paraId="1CFFC61E" w14:textId="3E0A05F4" w:rsidR="00C82E91" w:rsidRDefault="00C82E91" w:rsidP="00841E05">
      <w:pPr>
        <w:spacing w:before="120" w:after="120" w:line="480" w:lineRule="auto"/>
        <w:jc w:val="center"/>
        <w:rPr>
          <w:rFonts w:eastAsia="Times New Roman"/>
          <w:b/>
          <w:bCs/>
          <w:lang w:val="en-GB"/>
        </w:rPr>
      </w:pPr>
      <w:r>
        <w:rPr>
          <w:rFonts w:eastAsia="Times New Roman"/>
          <w:b/>
          <w:bCs/>
          <w:lang w:val="en-GB"/>
        </w:rPr>
        <w:t>Lecturer Name: Dr Arif Ahmed</w:t>
      </w:r>
    </w:p>
    <w:p w14:paraId="6ABE9A2E" w14:textId="77777777" w:rsidR="00FA2585" w:rsidRPr="00172DAD" w:rsidRDefault="00FA2585" w:rsidP="00841E05">
      <w:pPr>
        <w:spacing w:before="120" w:after="120" w:line="480" w:lineRule="auto"/>
        <w:rPr>
          <w:rFonts w:eastAsia="Times New Roman"/>
          <w:b/>
          <w:bCs/>
          <w:lang w:val="en-GB"/>
        </w:rPr>
      </w:pPr>
      <w:r w:rsidRPr="00172DAD">
        <w:rPr>
          <w:rFonts w:eastAsia="Times New Roman"/>
          <w:b/>
          <w:bCs/>
          <w:lang w:val="en-GB"/>
        </w:rPr>
        <w:br w:type="page"/>
      </w:r>
    </w:p>
    <w:sdt>
      <w:sdtPr>
        <w:rPr>
          <w:rFonts w:ascii="Arial" w:eastAsia="Arial" w:hAnsi="Arial" w:cs="Arial"/>
          <w:b w:val="0"/>
          <w:bCs w:val="0"/>
          <w:color w:val="auto"/>
          <w:sz w:val="36"/>
          <w:szCs w:val="36"/>
          <w:lang w:val="en-GB" w:eastAsia="en-IN"/>
        </w:rPr>
        <w:id w:val="1938949909"/>
        <w:docPartObj>
          <w:docPartGallery w:val="Table of Contents"/>
          <w:docPartUnique/>
        </w:docPartObj>
      </w:sdtPr>
      <w:sdtEndPr>
        <w:rPr>
          <w:noProof/>
          <w:sz w:val="22"/>
          <w:szCs w:val="22"/>
        </w:rPr>
      </w:sdtEndPr>
      <w:sdtContent>
        <w:p w14:paraId="2D2DB6FF" w14:textId="71135B7D" w:rsidR="00FA2585" w:rsidRPr="00172DAD" w:rsidRDefault="003153AE" w:rsidP="00841E05">
          <w:pPr>
            <w:pStyle w:val="TOCHeading"/>
            <w:spacing w:before="120" w:after="120" w:line="480" w:lineRule="auto"/>
            <w:jc w:val="center"/>
            <w:rPr>
              <w:rFonts w:ascii="Arial" w:hAnsi="Arial" w:cs="Arial"/>
              <w:color w:val="auto"/>
              <w:sz w:val="24"/>
              <w:szCs w:val="24"/>
              <w:lang w:val="en-GB"/>
            </w:rPr>
          </w:pPr>
          <w:r w:rsidRPr="00172DAD">
            <w:rPr>
              <w:rFonts w:ascii="Arial" w:eastAsia="Arial" w:hAnsi="Arial" w:cs="Arial"/>
              <w:color w:val="auto"/>
              <w:sz w:val="24"/>
              <w:szCs w:val="24"/>
              <w:lang w:val="en-GB" w:eastAsia="en-IN"/>
            </w:rPr>
            <w:t xml:space="preserve">Table of </w:t>
          </w:r>
          <w:r w:rsidR="00FA2585" w:rsidRPr="00172DAD">
            <w:rPr>
              <w:rFonts w:ascii="Arial" w:hAnsi="Arial" w:cs="Arial"/>
              <w:color w:val="auto"/>
              <w:sz w:val="24"/>
              <w:szCs w:val="24"/>
              <w:lang w:val="en-GB"/>
            </w:rPr>
            <w:t>Contents</w:t>
          </w:r>
        </w:p>
        <w:p w14:paraId="2A1FFD0A" w14:textId="6A85697C" w:rsidR="00D007BE" w:rsidRDefault="00FA2585" w:rsidP="00841E05">
          <w:pPr>
            <w:pStyle w:val="TOC1"/>
            <w:tabs>
              <w:tab w:val="right" w:leader="dot" w:pos="9350"/>
            </w:tabs>
            <w:spacing w:before="120" w:after="120" w:line="480" w:lineRule="auto"/>
            <w:rPr>
              <w:rFonts w:asciiTheme="minorHAnsi" w:eastAsiaTheme="minorEastAsia" w:hAnsiTheme="minorHAnsi" w:cstheme="minorBidi"/>
              <w:noProof/>
              <w:lang w:val="en-US" w:eastAsia="en-US"/>
            </w:rPr>
          </w:pPr>
          <w:r w:rsidRPr="00172DAD">
            <w:rPr>
              <w:lang w:val="en-GB"/>
            </w:rPr>
            <w:fldChar w:fldCharType="begin"/>
          </w:r>
          <w:r w:rsidRPr="00172DAD">
            <w:rPr>
              <w:lang w:val="en-GB"/>
            </w:rPr>
            <w:instrText xml:space="preserve"> TOC \o "1-3" \h \z \u </w:instrText>
          </w:r>
          <w:r w:rsidRPr="00172DAD">
            <w:rPr>
              <w:lang w:val="en-GB"/>
            </w:rPr>
            <w:fldChar w:fldCharType="separate"/>
          </w:r>
          <w:hyperlink w:anchor="_Toc226457991" w:history="1">
            <w:r w:rsidR="00D007BE" w:rsidRPr="007F3A1A">
              <w:rPr>
                <w:rStyle w:val="Hyperlink"/>
                <w:noProof/>
              </w:rPr>
              <w:t>1. Introduction</w:t>
            </w:r>
            <w:r w:rsidR="00D007BE">
              <w:rPr>
                <w:noProof/>
                <w:webHidden/>
              </w:rPr>
              <w:tab/>
            </w:r>
            <w:r w:rsidR="00D007BE">
              <w:rPr>
                <w:noProof/>
                <w:webHidden/>
              </w:rPr>
              <w:fldChar w:fldCharType="begin"/>
            </w:r>
            <w:r w:rsidR="00D007BE">
              <w:rPr>
                <w:noProof/>
                <w:webHidden/>
              </w:rPr>
              <w:instrText xml:space="preserve"> PAGEREF _Toc226457991 \h </w:instrText>
            </w:r>
            <w:r w:rsidR="00D007BE">
              <w:rPr>
                <w:noProof/>
                <w:webHidden/>
              </w:rPr>
            </w:r>
            <w:r w:rsidR="00D007BE">
              <w:rPr>
                <w:noProof/>
                <w:webHidden/>
              </w:rPr>
              <w:fldChar w:fldCharType="separate"/>
            </w:r>
            <w:r w:rsidR="00D007BE">
              <w:rPr>
                <w:noProof/>
                <w:webHidden/>
              </w:rPr>
              <w:t>3</w:t>
            </w:r>
            <w:r w:rsidR="00D007BE">
              <w:rPr>
                <w:noProof/>
                <w:webHidden/>
              </w:rPr>
              <w:fldChar w:fldCharType="end"/>
            </w:r>
          </w:hyperlink>
        </w:p>
        <w:p w14:paraId="283B30B7" w14:textId="2122693C" w:rsidR="00D007BE" w:rsidRDefault="00D007BE" w:rsidP="00841E05">
          <w:pPr>
            <w:pStyle w:val="TOC1"/>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2" w:history="1">
            <w:r w:rsidRPr="007F3A1A">
              <w:rPr>
                <w:rStyle w:val="Hyperlink"/>
                <w:noProof/>
              </w:rPr>
              <w:t>2. Main Body</w:t>
            </w:r>
            <w:r>
              <w:rPr>
                <w:noProof/>
                <w:webHidden/>
              </w:rPr>
              <w:tab/>
            </w:r>
            <w:r>
              <w:rPr>
                <w:noProof/>
                <w:webHidden/>
              </w:rPr>
              <w:fldChar w:fldCharType="begin"/>
            </w:r>
            <w:r>
              <w:rPr>
                <w:noProof/>
                <w:webHidden/>
              </w:rPr>
              <w:instrText xml:space="preserve"> PAGEREF _Toc226457992 \h </w:instrText>
            </w:r>
            <w:r>
              <w:rPr>
                <w:noProof/>
                <w:webHidden/>
              </w:rPr>
            </w:r>
            <w:r>
              <w:rPr>
                <w:noProof/>
                <w:webHidden/>
              </w:rPr>
              <w:fldChar w:fldCharType="separate"/>
            </w:r>
            <w:r>
              <w:rPr>
                <w:noProof/>
                <w:webHidden/>
              </w:rPr>
              <w:t>3</w:t>
            </w:r>
            <w:r>
              <w:rPr>
                <w:noProof/>
                <w:webHidden/>
              </w:rPr>
              <w:fldChar w:fldCharType="end"/>
            </w:r>
          </w:hyperlink>
        </w:p>
        <w:p w14:paraId="01C8AC49" w14:textId="07897214"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3" w:history="1">
            <w:r w:rsidRPr="007F3A1A">
              <w:rPr>
                <w:rStyle w:val="Hyperlink"/>
                <w:noProof/>
              </w:rPr>
              <w:t>2.1 Maternity care failure reflects a breakdown of interconnected healthcare subsystems</w:t>
            </w:r>
            <w:r>
              <w:rPr>
                <w:noProof/>
                <w:webHidden/>
              </w:rPr>
              <w:tab/>
            </w:r>
            <w:r>
              <w:rPr>
                <w:noProof/>
                <w:webHidden/>
              </w:rPr>
              <w:fldChar w:fldCharType="begin"/>
            </w:r>
            <w:r>
              <w:rPr>
                <w:noProof/>
                <w:webHidden/>
              </w:rPr>
              <w:instrText xml:space="preserve"> PAGEREF _Toc226457993 \h </w:instrText>
            </w:r>
            <w:r>
              <w:rPr>
                <w:noProof/>
                <w:webHidden/>
              </w:rPr>
            </w:r>
            <w:r>
              <w:rPr>
                <w:noProof/>
                <w:webHidden/>
              </w:rPr>
              <w:fldChar w:fldCharType="separate"/>
            </w:r>
            <w:r>
              <w:rPr>
                <w:noProof/>
                <w:webHidden/>
              </w:rPr>
              <w:t>3</w:t>
            </w:r>
            <w:r>
              <w:rPr>
                <w:noProof/>
                <w:webHidden/>
              </w:rPr>
              <w:fldChar w:fldCharType="end"/>
            </w:r>
          </w:hyperlink>
        </w:p>
        <w:p w14:paraId="0A860ACB" w14:textId="271DB631"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4" w:history="1">
            <w:r w:rsidRPr="007F3A1A">
              <w:rPr>
                <w:rStyle w:val="Hyperlink"/>
                <w:noProof/>
              </w:rPr>
              <w:t>2.2 Patient harm resulted from alignment of multiple systemic weaknesses across care layers</w:t>
            </w:r>
            <w:r>
              <w:rPr>
                <w:noProof/>
                <w:webHidden/>
              </w:rPr>
              <w:tab/>
            </w:r>
            <w:r>
              <w:rPr>
                <w:noProof/>
                <w:webHidden/>
              </w:rPr>
              <w:fldChar w:fldCharType="begin"/>
            </w:r>
            <w:r>
              <w:rPr>
                <w:noProof/>
                <w:webHidden/>
              </w:rPr>
              <w:instrText xml:space="preserve"> PAGEREF _Toc226457994 \h </w:instrText>
            </w:r>
            <w:r>
              <w:rPr>
                <w:noProof/>
                <w:webHidden/>
              </w:rPr>
            </w:r>
            <w:r>
              <w:rPr>
                <w:noProof/>
                <w:webHidden/>
              </w:rPr>
              <w:fldChar w:fldCharType="separate"/>
            </w:r>
            <w:r>
              <w:rPr>
                <w:noProof/>
                <w:webHidden/>
              </w:rPr>
              <w:t>4</w:t>
            </w:r>
            <w:r>
              <w:rPr>
                <w:noProof/>
                <w:webHidden/>
              </w:rPr>
              <w:fldChar w:fldCharType="end"/>
            </w:r>
          </w:hyperlink>
        </w:p>
        <w:p w14:paraId="5358CFE9" w14:textId="11743EE5"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5" w:history="1">
            <w:r w:rsidRPr="007F3A1A">
              <w:rPr>
                <w:rStyle w:val="Hyperlink"/>
                <w:noProof/>
              </w:rPr>
              <w:t>2.3 Root cause analysis demonstrates that staffing, culture, and governance failures were structural rather than incidental</w:t>
            </w:r>
            <w:r>
              <w:rPr>
                <w:noProof/>
                <w:webHidden/>
              </w:rPr>
              <w:tab/>
            </w:r>
            <w:r>
              <w:rPr>
                <w:noProof/>
                <w:webHidden/>
              </w:rPr>
              <w:fldChar w:fldCharType="begin"/>
            </w:r>
            <w:r>
              <w:rPr>
                <w:noProof/>
                <w:webHidden/>
              </w:rPr>
              <w:instrText xml:space="preserve"> PAGEREF _Toc226457995 \h </w:instrText>
            </w:r>
            <w:r>
              <w:rPr>
                <w:noProof/>
                <w:webHidden/>
              </w:rPr>
            </w:r>
            <w:r>
              <w:rPr>
                <w:noProof/>
                <w:webHidden/>
              </w:rPr>
              <w:fldChar w:fldCharType="separate"/>
            </w:r>
            <w:r>
              <w:rPr>
                <w:noProof/>
                <w:webHidden/>
              </w:rPr>
              <w:t>5</w:t>
            </w:r>
            <w:r>
              <w:rPr>
                <w:noProof/>
                <w:webHidden/>
              </w:rPr>
              <w:fldChar w:fldCharType="end"/>
            </w:r>
          </w:hyperlink>
        </w:p>
        <w:p w14:paraId="112CF707" w14:textId="4DAE04C5"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6" w:history="1">
            <w:r w:rsidRPr="007F3A1A">
              <w:rPr>
                <w:rStyle w:val="Hyperlink"/>
                <w:noProof/>
              </w:rPr>
              <w:t>2.4 Multiple interacting factors across workforce, training, culture, and leadership reinforced system failure</w:t>
            </w:r>
            <w:r>
              <w:rPr>
                <w:noProof/>
                <w:webHidden/>
              </w:rPr>
              <w:tab/>
            </w:r>
            <w:r>
              <w:rPr>
                <w:noProof/>
                <w:webHidden/>
              </w:rPr>
              <w:fldChar w:fldCharType="begin"/>
            </w:r>
            <w:r>
              <w:rPr>
                <w:noProof/>
                <w:webHidden/>
              </w:rPr>
              <w:instrText xml:space="preserve"> PAGEREF _Toc226457996 \h </w:instrText>
            </w:r>
            <w:r>
              <w:rPr>
                <w:noProof/>
                <w:webHidden/>
              </w:rPr>
            </w:r>
            <w:r>
              <w:rPr>
                <w:noProof/>
                <w:webHidden/>
              </w:rPr>
              <w:fldChar w:fldCharType="separate"/>
            </w:r>
            <w:r>
              <w:rPr>
                <w:noProof/>
                <w:webHidden/>
              </w:rPr>
              <w:t>6</w:t>
            </w:r>
            <w:r>
              <w:rPr>
                <w:noProof/>
                <w:webHidden/>
              </w:rPr>
              <w:fldChar w:fldCharType="end"/>
            </w:r>
          </w:hyperlink>
        </w:p>
        <w:p w14:paraId="050D867D" w14:textId="1347CB51"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7" w:history="1">
            <w:r w:rsidRPr="007F3A1A">
              <w:rPr>
                <w:rStyle w:val="Hyperlink"/>
                <w:noProof/>
              </w:rPr>
              <w:t>2.5 Failures in structure and process directly contributed to adverse clinical outcomes</w:t>
            </w:r>
            <w:r>
              <w:rPr>
                <w:noProof/>
                <w:webHidden/>
              </w:rPr>
              <w:tab/>
            </w:r>
            <w:r>
              <w:rPr>
                <w:noProof/>
                <w:webHidden/>
              </w:rPr>
              <w:fldChar w:fldCharType="begin"/>
            </w:r>
            <w:r>
              <w:rPr>
                <w:noProof/>
                <w:webHidden/>
              </w:rPr>
              <w:instrText xml:space="preserve"> PAGEREF _Toc226457997 \h </w:instrText>
            </w:r>
            <w:r>
              <w:rPr>
                <w:noProof/>
                <w:webHidden/>
              </w:rPr>
            </w:r>
            <w:r>
              <w:rPr>
                <w:noProof/>
                <w:webHidden/>
              </w:rPr>
              <w:fldChar w:fldCharType="separate"/>
            </w:r>
            <w:r>
              <w:rPr>
                <w:noProof/>
                <w:webHidden/>
              </w:rPr>
              <w:t>7</w:t>
            </w:r>
            <w:r>
              <w:rPr>
                <w:noProof/>
                <w:webHidden/>
              </w:rPr>
              <w:fldChar w:fldCharType="end"/>
            </w:r>
          </w:hyperlink>
        </w:p>
        <w:p w14:paraId="72ED0CB3" w14:textId="516DBD36"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8" w:history="1">
            <w:r w:rsidRPr="007F3A1A">
              <w:rPr>
                <w:rStyle w:val="Hyperlink"/>
                <w:noProof/>
              </w:rPr>
              <w:t>2.6 Policy and governance failures demonstrate a disconnect between national standards and local implementation</w:t>
            </w:r>
            <w:r>
              <w:rPr>
                <w:noProof/>
                <w:webHidden/>
              </w:rPr>
              <w:tab/>
            </w:r>
            <w:r>
              <w:rPr>
                <w:noProof/>
                <w:webHidden/>
              </w:rPr>
              <w:fldChar w:fldCharType="begin"/>
            </w:r>
            <w:r>
              <w:rPr>
                <w:noProof/>
                <w:webHidden/>
              </w:rPr>
              <w:instrText xml:space="preserve"> PAGEREF _Toc226457998 \h </w:instrText>
            </w:r>
            <w:r>
              <w:rPr>
                <w:noProof/>
                <w:webHidden/>
              </w:rPr>
            </w:r>
            <w:r>
              <w:rPr>
                <w:noProof/>
                <w:webHidden/>
              </w:rPr>
              <w:fldChar w:fldCharType="separate"/>
            </w:r>
            <w:r>
              <w:rPr>
                <w:noProof/>
                <w:webHidden/>
              </w:rPr>
              <w:t>8</w:t>
            </w:r>
            <w:r>
              <w:rPr>
                <w:noProof/>
                <w:webHidden/>
              </w:rPr>
              <w:fldChar w:fldCharType="end"/>
            </w:r>
          </w:hyperlink>
        </w:p>
        <w:p w14:paraId="0B0D1E13" w14:textId="75F77363" w:rsidR="00D007BE" w:rsidRDefault="00D007BE" w:rsidP="00841E05">
          <w:pPr>
            <w:pStyle w:val="TOC2"/>
            <w:tabs>
              <w:tab w:val="right" w:leader="dot" w:pos="9350"/>
            </w:tabs>
            <w:spacing w:before="120" w:after="120" w:line="480" w:lineRule="auto"/>
            <w:rPr>
              <w:rFonts w:asciiTheme="minorHAnsi" w:eastAsiaTheme="minorEastAsia" w:hAnsiTheme="minorHAnsi" w:cstheme="minorBidi"/>
              <w:noProof/>
              <w:lang w:val="en-US" w:eastAsia="en-US"/>
            </w:rPr>
          </w:pPr>
          <w:hyperlink w:anchor="_Toc226457999" w:history="1">
            <w:r w:rsidRPr="007F3A1A">
              <w:rPr>
                <w:rStyle w:val="Hyperlink"/>
                <w:noProof/>
              </w:rPr>
              <w:t>2.7 Strategic analysis highlights systemic weaknesses and opportunities for maternity service improvement</w:t>
            </w:r>
            <w:r>
              <w:rPr>
                <w:noProof/>
                <w:webHidden/>
              </w:rPr>
              <w:tab/>
            </w:r>
            <w:r>
              <w:rPr>
                <w:noProof/>
                <w:webHidden/>
              </w:rPr>
              <w:fldChar w:fldCharType="begin"/>
            </w:r>
            <w:r>
              <w:rPr>
                <w:noProof/>
                <w:webHidden/>
              </w:rPr>
              <w:instrText xml:space="preserve"> PAGEREF _Toc226457999 \h </w:instrText>
            </w:r>
            <w:r>
              <w:rPr>
                <w:noProof/>
                <w:webHidden/>
              </w:rPr>
            </w:r>
            <w:r>
              <w:rPr>
                <w:noProof/>
                <w:webHidden/>
              </w:rPr>
              <w:fldChar w:fldCharType="separate"/>
            </w:r>
            <w:r>
              <w:rPr>
                <w:noProof/>
                <w:webHidden/>
              </w:rPr>
              <w:t>8</w:t>
            </w:r>
            <w:r>
              <w:rPr>
                <w:noProof/>
                <w:webHidden/>
              </w:rPr>
              <w:fldChar w:fldCharType="end"/>
            </w:r>
          </w:hyperlink>
        </w:p>
        <w:p w14:paraId="114779E0" w14:textId="11403F42" w:rsidR="00D007BE" w:rsidRDefault="00D007BE" w:rsidP="00841E05">
          <w:pPr>
            <w:pStyle w:val="TOC1"/>
            <w:tabs>
              <w:tab w:val="right" w:leader="dot" w:pos="9350"/>
            </w:tabs>
            <w:spacing w:before="120" w:after="120" w:line="480" w:lineRule="auto"/>
            <w:rPr>
              <w:rFonts w:asciiTheme="minorHAnsi" w:eastAsiaTheme="minorEastAsia" w:hAnsiTheme="minorHAnsi" w:cstheme="minorBidi"/>
              <w:noProof/>
              <w:lang w:val="en-US" w:eastAsia="en-US"/>
            </w:rPr>
          </w:pPr>
          <w:hyperlink w:anchor="_Toc226458000" w:history="1">
            <w:r w:rsidRPr="007F3A1A">
              <w:rPr>
                <w:rStyle w:val="Hyperlink"/>
                <w:noProof/>
              </w:rPr>
              <w:t>3. Recommendations</w:t>
            </w:r>
            <w:r>
              <w:rPr>
                <w:noProof/>
                <w:webHidden/>
              </w:rPr>
              <w:tab/>
            </w:r>
            <w:r>
              <w:rPr>
                <w:noProof/>
                <w:webHidden/>
              </w:rPr>
              <w:fldChar w:fldCharType="begin"/>
            </w:r>
            <w:r>
              <w:rPr>
                <w:noProof/>
                <w:webHidden/>
              </w:rPr>
              <w:instrText xml:space="preserve"> PAGEREF _Toc226458000 \h </w:instrText>
            </w:r>
            <w:r>
              <w:rPr>
                <w:noProof/>
                <w:webHidden/>
              </w:rPr>
            </w:r>
            <w:r>
              <w:rPr>
                <w:noProof/>
                <w:webHidden/>
              </w:rPr>
              <w:fldChar w:fldCharType="separate"/>
            </w:r>
            <w:r>
              <w:rPr>
                <w:noProof/>
                <w:webHidden/>
              </w:rPr>
              <w:t>9</w:t>
            </w:r>
            <w:r>
              <w:rPr>
                <w:noProof/>
                <w:webHidden/>
              </w:rPr>
              <w:fldChar w:fldCharType="end"/>
            </w:r>
          </w:hyperlink>
        </w:p>
        <w:p w14:paraId="7E1B37F9" w14:textId="5B665D95" w:rsidR="00D007BE" w:rsidRDefault="00D007BE" w:rsidP="00841E05">
          <w:pPr>
            <w:pStyle w:val="TOC1"/>
            <w:tabs>
              <w:tab w:val="right" w:leader="dot" w:pos="9350"/>
            </w:tabs>
            <w:spacing w:before="120" w:after="120" w:line="480" w:lineRule="auto"/>
            <w:rPr>
              <w:rFonts w:asciiTheme="minorHAnsi" w:eastAsiaTheme="minorEastAsia" w:hAnsiTheme="minorHAnsi" w:cstheme="minorBidi"/>
              <w:noProof/>
              <w:lang w:val="en-US" w:eastAsia="en-US"/>
            </w:rPr>
          </w:pPr>
          <w:hyperlink w:anchor="_Toc226458001" w:history="1">
            <w:r w:rsidRPr="007F3A1A">
              <w:rPr>
                <w:rStyle w:val="Hyperlink"/>
                <w:noProof/>
              </w:rPr>
              <w:t>4. Conclusion</w:t>
            </w:r>
            <w:r>
              <w:rPr>
                <w:noProof/>
                <w:webHidden/>
              </w:rPr>
              <w:tab/>
            </w:r>
            <w:r>
              <w:rPr>
                <w:noProof/>
                <w:webHidden/>
              </w:rPr>
              <w:fldChar w:fldCharType="begin"/>
            </w:r>
            <w:r>
              <w:rPr>
                <w:noProof/>
                <w:webHidden/>
              </w:rPr>
              <w:instrText xml:space="preserve"> PAGEREF _Toc226458001 \h </w:instrText>
            </w:r>
            <w:r>
              <w:rPr>
                <w:noProof/>
                <w:webHidden/>
              </w:rPr>
            </w:r>
            <w:r>
              <w:rPr>
                <w:noProof/>
                <w:webHidden/>
              </w:rPr>
              <w:fldChar w:fldCharType="separate"/>
            </w:r>
            <w:r>
              <w:rPr>
                <w:noProof/>
                <w:webHidden/>
              </w:rPr>
              <w:t>11</w:t>
            </w:r>
            <w:r>
              <w:rPr>
                <w:noProof/>
                <w:webHidden/>
              </w:rPr>
              <w:fldChar w:fldCharType="end"/>
            </w:r>
          </w:hyperlink>
        </w:p>
        <w:p w14:paraId="753F5519" w14:textId="44B54C0E" w:rsidR="00D007BE" w:rsidRDefault="00D007BE" w:rsidP="00841E05">
          <w:pPr>
            <w:pStyle w:val="TOC1"/>
            <w:tabs>
              <w:tab w:val="right" w:leader="dot" w:pos="9350"/>
            </w:tabs>
            <w:spacing w:before="120" w:after="120" w:line="480" w:lineRule="auto"/>
            <w:rPr>
              <w:rFonts w:asciiTheme="minorHAnsi" w:eastAsiaTheme="minorEastAsia" w:hAnsiTheme="minorHAnsi" w:cstheme="minorBidi"/>
              <w:noProof/>
              <w:lang w:val="en-US" w:eastAsia="en-US"/>
            </w:rPr>
          </w:pPr>
          <w:hyperlink w:anchor="_Toc226458002" w:history="1">
            <w:r w:rsidRPr="007F3A1A">
              <w:rPr>
                <w:rStyle w:val="Hyperlink"/>
                <w:noProof/>
              </w:rPr>
              <w:t>5. References</w:t>
            </w:r>
            <w:r>
              <w:rPr>
                <w:noProof/>
                <w:webHidden/>
              </w:rPr>
              <w:tab/>
            </w:r>
            <w:r>
              <w:rPr>
                <w:noProof/>
                <w:webHidden/>
              </w:rPr>
              <w:fldChar w:fldCharType="begin"/>
            </w:r>
            <w:r>
              <w:rPr>
                <w:noProof/>
                <w:webHidden/>
              </w:rPr>
              <w:instrText xml:space="preserve"> PAGEREF _Toc226458002 \h </w:instrText>
            </w:r>
            <w:r>
              <w:rPr>
                <w:noProof/>
                <w:webHidden/>
              </w:rPr>
            </w:r>
            <w:r>
              <w:rPr>
                <w:noProof/>
                <w:webHidden/>
              </w:rPr>
              <w:fldChar w:fldCharType="separate"/>
            </w:r>
            <w:r>
              <w:rPr>
                <w:noProof/>
                <w:webHidden/>
              </w:rPr>
              <w:t>12</w:t>
            </w:r>
            <w:r>
              <w:rPr>
                <w:noProof/>
                <w:webHidden/>
              </w:rPr>
              <w:fldChar w:fldCharType="end"/>
            </w:r>
          </w:hyperlink>
        </w:p>
        <w:p w14:paraId="22F5634D" w14:textId="19B093D9" w:rsidR="00FA2585" w:rsidRPr="00172DAD" w:rsidRDefault="00FA2585" w:rsidP="00841E05">
          <w:pPr>
            <w:spacing w:before="120" w:after="120" w:line="480" w:lineRule="auto"/>
            <w:rPr>
              <w:lang w:val="en-GB"/>
            </w:rPr>
          </w:pPr>
          <w:r w:rsidRPr="00172DAD">
            <w:rPr>
              <w:bCs/>
              <w:noProof/>
              <w:lang w:val="en-GB"/>
            </w:rPr>
            <w:fldChar w:fldCharType="end"/>
          </w:r>
        </w:p>
      </w:sdtContent>
    </w:sdt>
    <w:p w14:paraId="3AEF435C" w14:textId="77777777" w:rsidR="00FA2585" w:rsidRPr="00172DAD" w:rsidRDefault="00FA2585" w:rsidP="00841E05">
      <w:pPr>
        <w:spacing w:before="120" w:after="120" w:line="480" w:lineRule="auto"/>
        <w:jc w:val="both"/>
        <w:rPr>
          <w:rFonts w:eastAsia="Times New Roman"/>
          <w:lang w:val="en-GB"/>
        </w:rPr>
      </w:pPr>
    </w:p>
    <w:p w14:paraId="07F7F7B8" w14:textId="77777777" w:rsidR="00FA2585" w:rsidRPr="00172DAD" w:rsidRDefault="00FA2585" w:rsidP="00841E05">
      <w:pPr>
        <w:spacing w:before="120" w:after="120" w:line="480" w:lineRule="auto"/>
        <w:rPr>
          <w:rFonts w:eastAsia="Times New Roman"/>
          <w:b/>
          <w:bCs/>
          <w:lang w:val="en-GB"/>
        </w:rPr>
      </w:pPr>
      <w:r w:rsidRPr="00172DAD">
        <w:rPr>
          <w:rFonts w:eastAsia="Times New Roman"/>
          <w:b/>
          <w:bCs/>
          <w:lang w:val="en-GB"/>
        </w:rPr>
        <w:br w:type="page"/>
      </w:r>
    </w:p>
    <w:p w14:paraId="4EE6F268" w14:textId="77777777" w:rsidR="00FA2585" w:rsidRPr="00172DAD" w:rsidRDefault="00FA2585" w:rsidP="00841E05">
      <w:pPr>
        <w:pStyle w:val="Heading1"/>
        <w:spacing w:line="480" w:lineRule="auto"/>
      </w:pPr>
      <w:bookmarkStart w:id="0" w:name="_4n7uf7whtej5" w:colFirst="0" w:colLast="0"/>
      <w:bookmarkStart w:id="1" w:name="_Toc226457991"/>
      <w:bookmarkEnd w:id="0"/>
      <w:r w:rsidRPr="00172DAD">
        <w:lastRenderedPageBreak/>
        <w:t>1. Introduction</w:t>
      </w:r>
      <w:bookmarkEnd w:id="1"/>
      <w:r w:rsidRPr="00172DAD">
        <w:t xml:space="preserve"> </w:t>
      </w:r>
    </w:p>
    <w:p w14:paraId="329FD004"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A review of maternity services of the Shrewsbury and Telford Hospital NHS Trust in 2000-2019 by Ockenden Review revealed that in the period under review, there was extensive and avoidable harm, such as the loss of over 200 babies and 9 mothers (Ockenden, 2022). The results prove that they were not single clinical mistakes but the consequence of systemic failure over an extended </w:t>
      </w:r>
      <w:proofErr w:type="gramStart"/>
      <w:r w:rsidRPr="00172DAD">
        <w:rPr>
          <w:rFonts w:eastAsia="Times New Roman"/>
          <w:lang w:val="en-GB"/>
        </w:rPr>
        <w:t>period of time</w:t>
      </w:r>
      <w:proofErr w:type="gramEnd"/>
      <w:r w:rsidRPr="00172DAD">
        <w:rPr>
          <w:rFonts w:eastAsia="Times New Roman"/>
          <w:lang w:val="en-GB"/>
        </w:rPr>
        <w:t xml:space="preserve">. Unsafe care environments were brought about by persistent problems including warnings being ignored, weak leadership supervision, and lack of sufficient staffing (The Guardian, 2020a). Additionally, a culture that valued </w:t>
      </w:r>
      <w:r w:rsidRPr="00172DAD">
        <w:rPr>
          <w:rFonts w:eastAsia="Times New Roman"/>
          <w:b/>
          <w:bCs/>
          <w:i/>
          <w:iCs/>
          <w:lang w:val="en-GB"/>
        </w:rPr>
        <w:t>“normal birth”</w:t>
      </w:r>
      <w:r w:rsidRPr="00172DAD">
        <w:rPr>
          <w:rFonts w:eastAsia="Times New Roman"/>
          <w:i/>
          <w:iCs/>
          <w:lang w:val="en-GB"/>
        </w:rPr>
        <w:t xml:space="preserve"> </w:t>
      </w:r>
      <w:r w:rsidRPr="00172DAD">
        <w:rPr>
          <w:rFonts w:eastAsia="Times New Roman"/>
          <w:lang w:val="en-GB"/>
        </w:rPr>
        <w:t>above clinical safety added to risks (Foley, McCourt and Yuill, 2025). Thus, this case indicates how organisational, cultural, and governance failures can all contribute to patient safety in healthcare systems.</w:t>
      </w:r>
    </w:p>
    <w:p w14:paraId="58ACF636"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central quality problem arising out of this case is the breakdown of the important safety mechanisms in maternity care (The Guardian, 2020). The processes of clinical decision-making and escalation were always inefficient and led to the situation when the interventions were delayed in the case of obstetric emergencies (Giddings, 2025). Poor workforce planning and chronic understaffing led to the presence of unsafe working environments, which contributed to the probability of clinical errors (Ockenden, 2020). Moreover, the governance systems such as audit and oversight systems were unable to detect and address the growing risks. The reporting systems on incidents were mostly </w:t>
      </w:r>
      <w:proofErr w:type="gramStart"/>
      <w:r w:rsidRPr="00172DAD">
        <w:rPr>
          <w:rFonts w:eastAsia="Times New Roman"/>
          <w:lang w:val="en-GB"/>
        </w:rPr>
        <w:t>inefficient</w:t>
      </w:r>
      <w:proofErr w:type="gramEnd"/>
      <w:r w:rsidRPr="00172DAD">
        <w:rPr>
          <w:rFonts w:eastAsia="Times New Roman"/>
          <w:lang w:val="en-GB"/>
        </w:rPr>
        <w:t xml:space="preserve"> and this restricted organisational learning and constant failures. A strong organisational culture that rewarded low-intervention childbirth, despite clinical signs that required medical escalation, strengthened these systemic weaknesses and impaired the safety of patients.</w:t>
      </w:r>
    </w:p>
    <w:p w14:paraId="0E1C2B97" w14:textId="77777777" w:rsidR="00FA2585" w:rsidRPr="00172DAD" w:rsidRDefault="00FA2585" w:rsidP="00841E05">
      <w:pPr>
        <w:pStyle w:val="Heading1"/>
        <w:spacing w:line="480" w:lineRule="auto"/>
      </w:pPr>
      <w:bookmarkStart w:id="2" w:name="_gyhs5lpyx6mz" w:colFirst="0" w:colLast="0"/>
      <w:bookmarkStart w:id="3" w:name="_Toc226457992"/>
      <w:bookmarkEnd w:id="2"/>
      <w:r w:rsidRPr="00172DAD">
        <w:t>2. Main Body</w:t>
      </w:r>
      <w:bookmarkEnd w:id="3"/>
    </w:p>
    <w:p w14:paraId="286C6AC3" w14:textId="17EB9B41" w:rsidR="00FA2585" w:rsidRPr="00172DAD" w:rsidRDefault="00FA2585" w:rsidP="00841E05">
      <w:pPr>
        <w:pStyle w:val="Heading2"/>
        <w:spacing w:line="480" w:lineRule="auto"/>
      </w:pPr>
      <w:bookmarkStart w:id="4" w:name="_Toc226457993"/>
      <w:r w:rsidRPr="00172DAD">
        <w:t>2.1 Maternity care failure reflects a breakdown of interconnected healthcare subsystems</w:t>
      </w:r>
      <w:bookmarkEnd w:id="4"/>
    </w:p>
    <w:p w14:paraId="6248858B"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lastRenderedPageBreak/>
        <w:t>Healthcare organisations are complex adaptive systems where subsystems which include clinical practice, workforce capacity, governance and policy are interdependent (</w:t>
      </w:r>
      <w:proofErr w:type="spellStart"/>
      <w:r w:rsidRPr="00172DAD">
        <w:rPr>
          <w:rFonts w:eastAsia="Times New Roman"/>
          <w:lang w:val="en-GB"/>
        </w:rPr>
        <w:t>Ratnapalan</w:t>
      </w:r>
      <w:proofErr w:type="spellEnd"/>
      <w:r w:rsidRPr="00172DAD">
        <w:rPr>
          <w:rFonts w:eastAsia="Times New Roman"/>
          <w:lang w:val="en-GB"/>
        </w:rPr>
        <w:t xml:space="preserve"> and Lang, 2019).</w:t>
      </w:r>
      <w:r w:rsidRPr="00172DAD">
        <w:rPr>
          <w:rFonts w:eastAsia="Times New Roman"/>
          <w:b/>
          <w:bCs/>
          <w:i/>
          <w:iCs/>
          <w:lang w:val="en-GB"/>
        </w:rPr>
        <w:t xml:space="preserve"> “Systems Theory” </w:t>
      </w:r>
      <w:r w:rsidRPr="00172DAD">
        <w:rPr>
          <w:rFonts w:eastAsia="Times New Roman"/>
          <w:lang w:val="en-GB"/>
        </w:rPr>
        <w:t>holds that failure is a result of the interplay of these factors and not a single failure (</w:t>
      </w:r>
      <w:proofErr w:type="spellStart"/>
      <w:r w:rsidRPr="00172DAD">
        <w:rPr>
          <w:rFonts w:eastAsia="Times New Roman"/>
          <w:lang w:val="en-GB"/>
        </w:rPr>
        <w:t>Babysheva</w:t>
      </w:r>
      <w:proofErr w:type="spellEnd"/>
      <w:r w:rsidRPr="00172DAD">
        <w:rPr>
          <w:rFonts w:eastAsia="Times New Roman"/>
          <w:lang w:val="en-GB"/>
        </w:rPr>
        <w:t xml:space="preserve"> et al., 2025). Maternity care failures as perceived in the Ockenden Review can thus be regarded as systemic failures instead of clinical failures (BBC, 2022).</w:t>
      </w:r>
    </w:p>
    <w:p w14:paraId="13380302"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In the Shrewsbury and Telford Hospital NHS Trust, chronic understaffing resulted in an unsafe workload, heightened cognitive load, lesser situational awareness and timely response to obstetric emergencies (Ockenden, 2022b). Nevertheless, the workforce pressure is not the sole cause of the magnitude of failure. The governance structures were not responsive to recurrent internal audits, external audits and family complaints, which means that there was a lack of organisational control in which warning signs were not converted into corrective measures.</w:t>
      </w:r>
    </w:p>
    <w:p w14:paraId="66D83193"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More importantly, feedback loops which were the main aspect of Systems Theory were not working. The incident reporting systems did not create organisational learning and those concerns raised by the families frequently went unaddressed. Also, there was a lack of communication with senior leadership as vital information on increasing perinatal harm did not reach top management (BBC, 2020). Without proper feedback systems, the system failed to be adaptable and unsafe practices became normalised.</w:t>
      </w:r>
    </w:p>
    <w:p w14:paraId="0EF2CA0B" w14:textId="3E69F608"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This trend has been also witnessed in </w:t>
      </w:r>
      <w:r w:rsidR="003153AE" w:rsidRPr="00172DAD">
        <w:rPr>
          <w:rFonts w:eastAsia="Times New Roman"/>
          <w:lang w:val="en-GB"/>
        </w:rPr>
        <w:t>another similar</w:t>
      </w:r>
      <w:r w:rsidRPr="00172DAD">
        <w:rPr>
          <w:rFonts w:eastAsia="Times New Roman"/>
          <w:lang w:val="en-GB"/>
        </w:rPr>
        <w:t xml:space="preserve"> case of </w:t>
      </w:r>
      <w:r w:rsidR="003153AE" w:rsidRPr="00172DAD">
        <w:rPr>
          <w:rFonts w:eastAsia="Times New Roman"/>
          <w:lang w:val="en-GB"/>
        </w:rPr>
        <w:t>Morecambe Bay</w:t>
      </w:r>
      <w:r w:rsidRPr="00172DAD">
        <w:rPr>
          <w:rFonts w:eastAsia="Times New Roman"/>
          <w:lang w:val="en-GB"/>
        </w:rPr>
        <w:t xml:space="preserve"> Maternity Scandal</w:t>
      </w:r>
      <w:r w:rsidRPr="00172DAD">
        <w:rPr>
          <w:rFonts w:eastAsia="Times New Roman"/>
          <w:b/>
          <w:bCs/>
          <w:i/>
          <w:iCs/>
          <w:lang w:val="en-GB"/>
        </w:rPr>
        <w:t xml:space="preserve"> </w:t>
      </w:r>
      <w:r w:rsidRPr="00172DAD">
        <w:rPr>
          <w:rFonts w:eastAsia="Times New Roman"/>
          <w:lang w:val="en-GB"/>
        </w:rPr>
        <w:t>where ineffective communication, poor interprofessional relationship and negligence of warnings resulted in maternal and infant deaths that could have been prevented (BBC, 2021). The fact that these failures have been spread throughout various organisations in the NHS implies that these problems are not local, but systemic.</w:t>
      </w:r>
    </w:p>
    <w:p w14:paraId="133DC238"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most important </w:t>
      </w:r>
      <w:r w:rsidRPr="00172DAD">
        <w:rPr>
          <w:rFonts w:eastAsia="Times New Roman"/>
          <w:b/>
          <w:bCs/>
          <w:i/>
          <w:iCs/>
          <w:lang w:val="en-GB"/>
        </w:rPr>
        <w:t>“Systems Theory”</w:t>
      </w:r>
      <w:r w:rsidRPr="00172DAD">
        <w:rPr>
          <w:rFonts w:eastAsia="Times New Roman"/>
          <w:lang w:val="en-GB"/>
        </w:rPr>
        <w:t xml:space="preserve"> revelation is the fact that subsystems interaction resulted in failure and formed a vicious circle of worsening (Machen, 2023). Weak governance was unable to intervene in the case of understaffing because it was increasing clinical risk, and ineffective </w:t>
      </w:r>
      <w:r w:rsidRPr="00172DAD">
        <w:rPr>
          <w:rFonts w:eastAsia="Times New Roman"/>
          <w:lang w:val="en-GB"/>
        </w:rPr>
        <w:lastRenderedPageBreak/>
        <w:t>feedback loops and ineffective feedback loops enabled unsafe practices to continue. It shows that the desired change to increase maternity safety should redesign the system rather than individual interventions.</w:t>
      </w:r>
    </w:p>
    <w:p w14:paraId="05BD4E0B" w14:textId="282F0416" w:rsidR="00FA2585" w:rsidRPr="00172DAD" w:rsidRDefault="00FA2585" w:rsidP="00841E05">
      <w:pPr>
        <w:pStyle w:val="Heading2"/>
        <w:spacing w:line="480" w:lineRule="auto"/>
      </w:pPr>
      <w:bookmarkStart w:id="5" w:name="_Toc226457994"/>
      <w:r w:rsidRPr="00172DAD">
        <w:t>2.2 Patient harm resulted from alignment of multiple systemic weaknesses across care layers</w:t>
      </w:r>
      <w:bookmarkEnd w:id="5"/>
    </w:p>
    <w:p w14:paraId="4A679F36"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w:t>
      </w:r>
      <w:r w:rsidRPr="00172DAD">
        <w:rPr>
          <w:rFonts w:eastAsia="Times New Roman"/>
          <w:b/>
          <w:bCs/>
          <w:i/>
          <w:iCs/>
          <w:lang w:val="en-GB"/>
        </w:rPr>
        <w:t>“Swiss Cheese Model”</w:t>
      </w:r>
      <w:r w:rsidRPr="00172DAD">
        <w:rPr>
          <w:rFonts w:eastAsia="Times New Roman"/>
          <w:lang w:val="en-GB"/>
        </w:rPr>
        <w:t xml:space="preserve"> is a conceptualisation of patient safety that involves </w:t>
      </w:r>
      <w:proofErr w:type="gramStart"/>
      <w:r w:rsidRPr="00172DAD">
        <w:rPr>
          <w:rFonts w:eastAsia="Times New Roman"/>
          <w:lang w:val="en-GB"/>
        </w:rPr>
        <w:t>a number of</w:t>
      </w:r>
      <w:proofErr w:type="gramEnd"/>
      <w:r w:rsidRPr="00172DAD">
        <w:rPr>
          <w:rFonts w:eastAsia="Times New Roman"/>
          <w:lang w:val="en-GB"/>
        </w:rPr>
        <w:t xml:space="preserve"> defensive layers that are meant to protect harm (Shabani, Jerie and Shabani, 2023). Every layer has some internal vulnerability, or holes and they are usually countered by means of monitoring and redundancy (Wiegmann et al., 2022). However, when the said weaknesses converge, they form an avenue to unfavourable circumstances. The Ockenden case is a good example of the situation where breakdowns at several levels at the same time led to avoidable damage.</w:t>
      </w:r>
    </w:p>
    <w:p w14:paraId="0453C2B2" w14:textId="5683F42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In the clinical layer, </w:t>
      </w:r>
      <w:r w:rsidR="00290914" w:rsidRPr="00172DAD">
        <w:rPr>
          <w:rFonts w:eastAsia="Times New Roman"/>
          <w:lang w:val="en-GB"/>
        </w:rPr>
        <w:t>foetal</w:t>
      </w:r>
      <w:r w:rsidRPr="00172DAD">
        <w:rPr>
          <w:rFonts w:eastAsia="Times New Roman"/>
          <w:lang w:val="en-GB"/>
        </w:rPr>
        <w:t xml:space="preserve"> distress had been repeatedly missed and misdiagnosed (misinterpretation of cardiotocography (CTG) and delays in emergency caesarean section) </w:t>
      </w:r>
      <w:proofErr w:type="gramStart"/>
      <w:r w:rsidRPr="00172DAD">
        <w:rPr>
          <w:rFonts w:eastAsia="Times New Roman"/>
          <w:lang w:val="en-GB"/>
        </w:rPr>
        <w:t>again and again</w:t>
      </w:r>
      <w:proofErr w:type="gramEnd"/>
      <w:r w:rsidRPr="00172DAD">
        <w:rPr>
          <w:rFonts w:eastAsia="Times New Roman"/>
          <w:lang w:val="en-GB"/>
        </w:rPr>
        <w:t xml:space="preserve">. These mistakes were not in </w:t>
      </w:r>
      <w:proofErr w:type="gramStart"/>
      <w:r w:rsidRPr="00172DAD">
        <w:rPr>
          <w:rFonts w:eastAsia="Times New Roman"/>
          <w:lang w:val="en-GB"/>
        </w:rPr>
        <w:t>isolation</w:t>
      </w:r>
      <w:proofErr w:type="gramEnd"/>
      <w:r w:rsidRPr="00172DAD">
        <w:rPr>
          <w:rFonts w:eastAsia="Times New Roman"/>
          <w:lang w:val="en-GB"/>
        </w:rPr>
        <w:t xml:space="preserve"> but they are in a bigger context of system vulnerability. Unsafe staffing ratios, fatigue and the use of temporary employees at the workforce layer decreased continuity of care and clinical judgement (Hurst, 2021).</w:t>
      </w:r>
    </w:p>
    <w:p w14:paraId="1C60E59B"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layer of governance was defined by poor supervision with recommendations made on both internal and external reviews being disregarded or merely carried out in a superficial way. This is because of lack of accountability which left the unsafe practices ongoing. At the policy level, the national systems like the </w:t>
      </w:r>
      <w:r w:rsidRPr="00172DAD">
        <w:rPr>
          <w:rFonts w:eastAsia="Times New Roman"/>
          <w:b/>
          <w:bCs/>
          <w:i/>
          <w:iCs/>
          <w:lang w:val="en-GB"/>
        </w:rPr>
        <w:t>“Saving Babies’ Lives Care Bundle”</w:t>
      </w:r>
      <w:r w:rsidRPr="00172DAD">
        <w:rPr>
          <w:rFonts w:eastAsia="Times New Roman"/>
          <w:lang w:val="en-GB"/>
        </w:rPr>
        <w:t xml:space="preserve"> have not been effectively enforced and this demonstrates the lack of linkage between policy formulation and the practice (NHS England, 2019).</w:t>
      </w:r>
    </w:p>
    <w:p w14:paraId="4C5534F6" w14:textId="3DE8F5D6"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lastRenderedPageBreak/>
        <w:t>The latent conditions in each of the layers were poor training, ineffective monitoring systems, and resistance to escalation due to culture. The vulnerabilities were combined at the cross-</w:t>
      </w:r>
      <w:proofErr w:type="gramStart"/>
      <w:r w:rsidRPr="00172DAD">
        <w:rPr>
          <w:rFonts w:eastAsia="Times New Roman"/>
          <w:lang w:val="en-GB"/>
        </w:rPr>
        <w:t>layers</w:t>
      </w:r>
      <w:proofErr w:type="gramEnd"/>
      <w:r w:rsidRPr="00172DAD">
        <w:rPr>
          <w:rFonts w:eastAsia="Times New Roman"/>
          <w:lang w:val="en-GB"/>
        </w:rPr>
        <w:t xml:space="preserve"> and the errors were transmitted across all the </w:t>
      </w:r>
      <w:r w:rsidR="009330B8" w:rsidRPr="00172DAD">
        <w:rPr>
          <w:rFonts w:eastAsia="Times New Roman"/>
          <w:lang w:val="en-GB"/>
        </w:rPr>
        <w:t>defence</w:t>
      </w:r>
      <w:r w:rsidRPr="00172DAD">
        <w:rPr>
          <w:rFonts w:eastAsia="Times New Roman"/>
          <w:lang w:val="en-GB"/>
        </w:rPr>
        <w:t xml:space="preserve"> mechanisms.</w:t>
      </w:r>
    </w:p>
    <w:p w14:paraId="7BDDB068" w14:textId="0EE820F8"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This trend is comparable to those </w:t>
      </w:r>
      <w:r w:rsidR="009120EF">
        <w:rPr>
          <w:rFonts w:eastAsia="Times New Roman"/>
          <w:lang w:val="en-GB"/>
        </w:rPr>
        <w:t xml:space="preserve">also </w:t>
      </w:r>
      <w:r w:rsidRPr="00172DAD">
        <w:rPr>
          <w:rFonts w:eastAsia="Times New Roman"/>
          <w:lang w:val="en-GB"/>
        </w:rPr>
        <w:t xml:space="preserve">observed in the </w:t>
      </w:r>
      <w:r w:rsidRPr="009120EF">
        <w:rPr>
          <w:rFonts w:eastAsia="Times New Roman"/>
          <w:lang w:val="en-GB"/>
        </w:rPr>
        <w:t>“Mid Staffordshire NHS foundation Trust”</w:t>
      </w:r>
      <w:r w:rsidRPr="00172DAD">
        <w:rPr>
          <w:rFonts w:eastAsia="Times New Roman"/>
          <w:lang w:val="en-GB"/>
        </w:rPr>
        <w:t xml:space="preserve"> scandal, whereby the systemic malpractices in the areas of clinical care, management and regulation all were in tandem to create massive patient damage (Hughes, 2023). In either instance, breakdown did not happen in one instance but </w:t>
      </w:r>
      <w:proofErr w:type="gramStart"/>
      <w:r w:rsidRPr="00172DAD">
        <w:rPr>
          <w:rFonts w:eastAsia="Times New Roman"/>
          <w:lang w:val="en-GB"/>
        </w:rPr>
        <w:t>as a result of</w:t>
      </w:r>
      <w:proofErr w:type="gramEnd"/>
      <w:r w:rsidRPr="00172DAD">
        <w:rPr>
          <w:rFonts w:eastAsia="Times New Roman"/>
          <w:lang w:val="en-GB"/>
        </w:rPr>
        <w:t xml:space="preserve"> the failure of several safeguards. Thus, the Swiss Cheese Model supports the fact that patient safety is based on the integrity of the whole system and not on individual performance.</w:t>
      </w:r>
    </w:p>
    <w:p w14:paraId="6FCB999E" w14:textId="466E3C30" w:rsidR="00FA2585" w:rsidRPr="00172DAD" w:rsidRDefault="00FA2585" w:rsidP="00841E05">
      <w:pPr>
        <w:pStyle w:val="Heading2"/>
        <w:spacing w:line="480" w:lineRule="auto"/>
      </w:pPr>
      <w:bookmarkStart w:id="6" w:name="_Toc226457995"/>
      <w:r w:rsidRPr="00172DAD">
        <w:t>2.3 Root cause analysis demonstrates that staffing, culture, and governance failures were structural</w:t>
      </w:r>
      <w:r w:rsidR="00E073F5" w:rsidRPr="00172DAD">
        <w:t xml:space="preserve"> </w:t>
      </w:r>
      <w:r w:rsidRPr="00172DAD">
        <w:t>rather than incidental</w:t>
      </w:r>
      <w:bookmarkEnd w:id="6"/>
    </w:p>
    <w:p w14:paraId="70D134E3" w14:textId="3F6534C9" w:rsidR="00FA2585" w:rsidRPr="00172DAD" w:rsidRDefault="00FA2585" w:rsidP="00841E05">
      <w:pPr>
        <w:spacing w:before="120" w:after="120" w:line="480" w:lineRule="auto"/>
        <w:jc w:val="both"/>
        <w:rPr>
          <w:rFonts w:eastAsia="Times New Roman"/>
          <w:lang w:val="en-GB"/>
        </w:rPr>
      </w:pPr>
      <w:r w:rsidRPr="00172DAD">
        <w:rPr>
          <w:rFonts w:eastAsia="Times New Roman"/>
          <w:b/>
          <w:bCs/>
          <w:i/>
          <w:iCs/>
          <w:lang w:val="en-GB"/>
        </w:rPr>
        <w:t>“Root Cause Analysis (RCA)”</w:t>
      </w:r>
      <w:r w:rsidRPr="00172DAD">
        <w:rPr>
          <w:rFonts w:eastAsia="Times New Roman"/>
          <w:lang w:val="en-GB"/>
        </w:rPr>
        <w:t xml:space="preserve"> is an approach that is applied to identify the hidden causes of adverse events by going beyond superficial explanations (Ferrara et al., 2024). In the case of Ockenden, there were missed signs of </w:t>
      </w:r>
      <w:r w:rsidR="009120EF" w:rsidRPr="00172DAD">
        <w:rPr>
          <w:rFonts w:eastAsia="Times New Roman"/>
          <w:lang w:val="en-GB"/>
        </w:rPr>
        <w:t>foetal</w:t>
      </w:r>
      <w:r w:rsidRPr="00172DAD">
        <w:rPr>
          <w:rFonts w:eastAsia="Times New Roman"/>
          <w:lang w:val="en-GB"/>
        </w:rPr>
        <w:t xml:space="preserve"> distress and delayed clinical escalation, which were immediate causes. These events were however symptoms of more systemic problems.</w:t>
      </w:r>
    </w:p>
    <w:p w14:paraId="24E6EE5D" w14:textId="7D46B2F3"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Poor communication between multidisciplinary teams, lack of training in </w:t>
      </w:r>
      <w:r w:rsidR="00E073F5" w:rsidRPr="00172DAD">
        <w:rPr>
          <w:rFonts w:eastAsia="Times New Roman"/>
          <w:lang w:val="en-GB"/>
        </w:rPr>
        <w:t>foetal</w:t>
      </w:r>
      <w:r w:rsidRPr="00172DAD">
        <w:rPr>
          <w:rFonts w:eastAsia="Times New Roman"/>
          <w:lang w:val="en-GB"/>
        </w:rPr>
        <w:t xml:space="preserve"> monitoring, and supervision were some of the factors contributing to the same. Such circumstances provided the background of increasing the risk of clinical errors. Nevertheless, as will be further examined, the root causes were structural and integrated as part of the system design.</w:t>
      </w:r>
    </w:p>
    <w:p w14:paraId="4A53300A" w14:textId="4FE9F0E9"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w:t>
      </w:r>
      <w:r w:rsidRPr="00172DAD">
        <w:rPr>
          <w:rFonts w:eastAsia="Times New Roman"/>
          <w:b/>
          <w:bCs/>
          <w:i/>
          <w:iCs/>
          <w:lang w:val="en-GB"/>
        </w:rPr>
        <w:t xml:space="preserve">“5 Whys approach” </w:t>
      </w:r>
      <w:r w:rsidRPr="00172DAD">
        <w:rPr>
          <w:rFonts w:eastAsia="Times New Roman"/>
          <w:lang w:val="en-GB"/>
        </w:rPr>
        <w:t xml:space="preserve">helps to bring out this development. In the case of delayed escalation, the members of staff were unable to realise </w:t>
      </w:r>
      <w:r w:rsidR="00E073F5" w:rsidRPr="00172DAD">
        <w:rPr>
          <w:rFonts w:eastAsia="Times New Roman"/>
          <w:lang w:val="en-GB"/>
        </w:rPr>
        <w:t>foetal</w:t>
      </w:r>
      <w:r w:rsidRPr="00172DAD">
        <w:rPr>
          <w:rFonts w:eastAsia="Times New Roman"/>
          <w:lang w:val="en-GB"/>
        </w:rPr>
        <w:t xml:space="preserve"> distress. Lack of training and too much workload can be identified as the cause of this failure. These problems were instigated by long-term understaffing and poor planning of the workforce. A deeper examination shows that the shortage of staff was associated with funding limitations, inadequate strategic planning, and absence of </w:t>
      </w:r>
      <w:r w:rsidRPr="00172DAD">
        <w:rPr>
          <w:rFonts w:eastAsia="Times New Roman"/>
          <w:lang w:val="en-GB"/>
        </w:rPr>
        <w:lastRenderedPageBreak/>
        <w:t>prioritisation of the maternity services. All these are a manifestation of systemic leadership accountability and governance failure.</w:t>
      </w:r>
    </w:p>
    <w:p w14:paraId="54A73F00" w14:textId="77777777" w:rsidR="00172DAD" w:rsidRDefault="00172DAD" w:rsidP="00841E05">
      <w:pPr>
        <w:spacing w:before="120" w:after="120" w:line="480" w:lineRule="auto"/>
        <w:jc w:val="both"/>
        <w:rPr>
          <w:rFonts w:eastAsia="Times New Roman"/>
          <w:lang w:val="en-GB"/>
        </w:rPr>
      </w:pPr>
      <w:r w:rsidRPr="00172DAD">
        <w:rPr>
          <w:rFonts w:eastAsia="Times New Roman"/>
          <w:lang w:val="en-GB"/>
        </w:rPr>
        <w:t>The structural nature of failures in maternity care becomes clearer when considering how workforce shortages, governance gaps, and cultural barriers interacted over time. The RCA framework demonstrates that adverse outcomes were not isolated mistakes but the product of embedded organisational weaknesses. For example, inadequate training in foetal monitoring was not simply a lapse in professional development but reflected systemic underinvestment in maternity services (Ferrara et al., 2024). Similarly, poor communication between multidisciplinary teams was reinforced by hierarchical structures that discouraged escalation.</w:t>
      </w:r>
    </w:p>
    <w:p w14:paraId="2654983E" w14:textId="1810B973" w:rsidR="00FA2585" w:rsidRPr="00172DAD" w:rsidRDefault="00172DAD" w:rsidP="00841E05">
      <w:pPr>
        <w:spacing w:before="120" w:after="120" w:line="480" w:lineRule="auto"/>
        <w:jc w:val="both"/>
        <w:rPr>
          <w:rFonts w:eastAsia="Times New Roman"/>
          <w:lang w:val="en-GB"/>
        </w:rPr>
      </w:pPr>
      <w:r w:rsidRPr="00172DAD">
        <w:rPr>
          <w:rFonts w:eastAsia="Times New Roman"/>
          <w:lang w:val="en-GB"/>
        </w:rPr>
        <w:t>The “5 Whys” approach reveals that funding limitations and weak strategic planning created persistent understaffing, which in turn increased workload pressures and reduced situational awareness. These conditions were compounded by governance failures, where leadership did not prioritise maternity safety, allowing unsafe practices to become normalised. Thus, RCA highlights that the root causes were structural, deeply embedded in organisational design, and required systemic reform rather than piecemeal corrective action.</w:t>
      </w:r>
    </w:p>
    <w:p w14:paraId="16614FA1" w14:textId="3B491C2D" w:rsidR="00FA2585" w:rsidRPr="00172DAD" w:rsidRDefault="00FA2585" w:rsidP="00841E05">
      <w:pPr>
        <w:pStyle w:val="Heading2"/>
        <w:spacing w:line="480" w:lineRule="auto"/>
      </w:pPr>
      <w:bookmarkStart w:id="7" w:name="_Toc226457996"/>
      <w:r w:rsidRPr="00172DAD">
        <w:t>2.4 Multiple interacting factors across workforce, training, culture, and leadership reinforced system failure</w:t>
      </w:r>
      <w:bookmarkEnd w:id="7"/>
    </w:p>
    <w:p w14:paraId="2E388372" w14:textId="6D4050A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The</w:t>
      </w:r>
      <w:r w:rsidRPr="00172DAD">
        <w:rPr>
          <w:rFonts w:eastAsia="Times New Roman"/>
          <w:b/>
          <w:bCs/>
          <w:i/>
          <w:iCs/>
          <w:lang w:val="en-GB"/>
        </w:rPr>
        <w:t xml:space="preserve"> “Fishbone (Ishikawa) analysis”</w:t>
      </w:r>
      <w:r w:rsidRPr="00172DAD">
        <w:rPr>
          <w:rFonts w:eastAsia="Times New Roman"/>
          <w:lang w:val="en-GB"/>
        </w:rPr>
        <w:t xml:space="preserve"> demonstrates that the interaction and combination of various factors within the workforce, competency, culture, leadership, and processes contributed to the maternity service failure (GeeksforGeeks.org, 2024). The key factors were staffing issues, whereby vacancies were chronic and there was the use of agency staffing and unsafe staffing ratios that led to continuous workload burden. This minimi</w:t>
      </w:r>
      <w:r w:rsidR="00841E05">
        <w:rPr>
          <w:rFonts w:eastAsia="Times New Roman"/>
          <w:lang w:val="en-GB"/>
        </w:rPr>
        <w:t>s</w:t>
      </w:r>
      <w:r w:rsidRPr="00172DAD">
        <w:rPr>
          <w:rFonts w:eastAsia="Times New Roman"/>
          <w:lang w:val="en-GB"/>
        </w:rPr>
        <w:t>ed the possible chances of good supervision, collaboration, and safe clinical decision-making. Risk was further increased through competency gaps because insufficient training in the interpretation of CTG and emergency obstetric care restricted the clinicians in responding adequately.</w:t>
      </w:r>
    </w:p>
    <w:p w14:paraId="02469671" w14:textId="6987F038" w:rsidR="00E073F5" w:rsidRPr="00172DAD" w:rsidRDefault="00E073F5" w:rsidP="00841E05">
      <w:pPr>
        <w:spacing w:before="120" w:after="120" w:line="480" w:lineRule="auto"/>
        <w:jc w:val="center"/>
        <w:rPr>
          <w:rFonts w:eastAsia="Times New Roman"/>
          <w:lang w:val="en-GB"/>
        </w:rPr>
      </w:pPr>
      <w:r w:rsidRPr="00172DAD">
        <w:rPr>
          <w:rFonts w:eastAsia="Times New Roman"/>
          <w:noProof/>
          <w:lang w:val="en-GB"/>
        </w:rPr>
        <w:lastRenderedPageBreak/>
        <w:drawing>
          <wp:inline distT="0" distB="0" distL="0" distR="0" wp14:anchorId="7AD0BF54" wp14:editId="21933C62">
            <wp:extent cx="6352125" cy="2428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71345" cy="2436224"/>
                    </a:xfrm>
                    <a:prstGeom prst="rect">
                      <a:avLst/>
                    </a:prstGeom>
                  </pic:spPr>
                </pic:pic>
              </a:graphicData>
            </a:graphic>
          </wp:inline>
        </w:drawing>
      </w:r>
    </w:p>
    <w:p w14:paraId="1F1796A5" w14:textId="01F2D8A9" w:rsidR="00E073F5" w:rsidRPr="00172DAD" w:rsidRDefault="00E073F5" w:rsidP="00841E05">
      <w:pPr>
        <w:spacing w:before="120" w:after="120" w:line="480" w:lineRule="auto"/>
        <w:jc w:val="center"/>
        <w:rPr>
          <w:rFonts w:eastAsia="Times New Roman"/>
          <w:lang w:val="en-GB"/>
        </w:rPr>
      </w:pPr>
      <w:r w:rsidRPr="00172DAD">
        <w:rPr>
          <w:rFonts w:eastAsia="Times New Roman"/>
          <w:b/>
          <w:bCs/>
          <w:lang w:val="en-GB"/>
        </w:rPr>
        <w:t>Figure 1: Fishbone Diagram of Shrewsbury and Telford Hospital NHS Trust Maternity Scandal</w:t>
      </w:r>
    </w:p>
    <w:p w14:paraId="5C6E83F7" w14:textId="6DB77533" w:rsidR="00E073F5" w:rsidRPr="00172DAD" w:rsidRDefault="00E073F5" w:rsidP="00841E05">
      <w:pPr>
        <w:spacing w:before="120" w:after="120" w:line="480" w:lineRule="auto"/>
        <w:jc w:val="center"/>
        <w:rPr>
          <w:rFonts w:eastAsia="Times New Roman"/>
          <w:lang w:val="en-GB"/>
        </w:rPr>
      </w:pPr>
      <w:r w:rsidRPr="00172DAD">
        <w:rPr>
          <w:rFonts w:eastAsia="Times New Roman"/>
          <w:lang w:val="en-GB"/>
        </w:rPr>
        <w:t>(Self-Created)</w:t>
      </w:r>
    </w:p>
    <w:p w14:paraId="4917697B"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Safety mechanisms were greatly undermined by the cultural factors. The incident reporting was discouraged by a blame culture and open communication was discouraged by hierarchical structure. The normal birth advocacy generated pressure to keep the situation down to earth, even in cases of high risks (Lothian, 2022). These problems were aggravated by leadership and governance problems, where there was a lack of accountability in the form of poor board control and shallow investigations, and the lack of learning in the form of incident reporting systems developing meaningful organisational learning.</w:t>
      </w:r>
    </w:p>
    <w:p w14:paraId="22366EF3"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These factors did not work independently but rather were dynamic. Understaffing made stress and the probability of errors more likely, incompetence caused by lack of effective training, cultural barriers inhibiting escalation and weak governance did not step in. The same failures were manifested with the Mid Staffordshire NHS Foundation Trust scandal, and it supports the idea that organisational culture and leadership are the key factors that determine safety. This proves that this failure was not isolated but a systemic form of failure.</w:t>
      </w:r>
    </w:p>
    <w:p w14:paraId="65A05501" w14:textId="25179A85" w:rsidR="00FA2585" w:rsidRPr="00172DAD" w:rsidRDefault="00FA2585" w:rsidP="00841E05">
      <w:pPr>
        <w:pStyle w:val="Heading2"/>
        <w:spacing w:line="480" w:lineRule="auto"/>
      </w:pPr>
      <w:bookmarkStart w:id="8" w:name="_Toc226457997"/>
      <w:r w:rsidRPr="00172DAD">
        <w:lastRenderedPageBreak/>
        <w:t>2.5 Failures in structure and process directly contributed to adverse clinical outcomes</w:t>
      </w:r>
      <w:bookmarkEnd w:id="8"/>
    </w:p>
    <w:p w14:paraId="52EA0312" w14:textId="18C29143"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w:t>
      </w:r>
      <w:r w:rsidRPr="00172DAD">
        <w:rPr>
          <w:rFonts w:eastAsia="Times New Roman"/>
          <w:b/>
          <w:bCs/>
          <w:i/>
          <w:iCs/>
          <w:lang w:val="en-GB"/>
        </w:rPr>
        <w:t xml:space="preserve">“Donabedian Model” </w:t>
      </w:r>
      <w:r w:rsidRPr="00172DAD">
        <w:rPr>
          <w:rFonts w:eastAsia="Times New Roman"/>
          <w:lang w:val="en-GB"/>
        </w:rPr>
        <w:t>is used to measure quality of healthcare in terms of structure, process, and outcome (Guzmán-</w:t>
      </w:r>
      <w:proofErr w:type="spellStart"/>
      <w:r w:rsidRPr="00172DAD">
        <w:rPr>
          <w:rFonts w:eastAsia="Times New Roman"/>
          <w:lang w:val="en-GB"/>
        </w:rPr>
        <w:t>Leguel</w:t>
      </w:r>
      <w:proofErr w:type="spellEnd"/>
      <w:r w:rsidRPr="00172DAD">
        <w:rPr>
          <w:rFonts w:eastAsia="Times New Roman"/>
          <w:lang w:val="en-GB"/>
        </w:rPr>
        <w:t xml:space="preserve"> and Rodríguez-Lara, 2025). Weaknesses in structure such as poor staffing, outdated tools and poor accountability fractured a poor platform on which safe care delivery could be provided. These gaps contributed to failure of the processes, including ineffective clinical assessments, lack of </w:t>
      </w:r>
      <w:r w:rsidR="00172DAD" w:rsidRPr="00172DAD">
        <w:rPr>
          <w:rFonts w:eastAsia="Times New Roman"/>
          <w:lang w:val="en-GB"/>
        </w:rPr>
        <w:t>foetal</w:t>
      </w:r>
      <w:r w:rsidRPr="00172DAD">
        <w:rPr>
          <w:rFonts w:eastAsia="Times New Roman"/>
          <w:lang w:val="en-GB"/>
        </w:rPr>
        <w:t xml:space="preserve"> distress, lack of escalation in time and lack of effective incident-learning systems.</w:t>
      </w:r>
    </w:p>
    <w:p w14:paraId="76849F1B"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Consequently, negative consequences were experienced such as avoidable perinatal mortality, brain injury in newborns, and enduring trauma among families as well as reputational and financial damage. Although the concept of organisational design and outcomes is well illustrated by Donabedian, it is linear, thus not effective in illustrating the complex, dynamic interplay that is better illustrated by the Systems Theory.</w:t>
      </w:r>
    </w:p>
    <w:p w14:paraId="0D48DD58" w14:textId="44A370B0" w:rsidR="00FA2585" w:rsidRPr="00172DAD" w:rsidRDefault="00FA2585" w:rsidP="00841E05">
      <w:pPr>
        <w:pStyle w:val="Heading2"/>
        <w:spacing w:line="480" w:lineRule="auto"/>
      </w:pPr>
      <w:bookmarkStart w:id="9" w:name="_Toc226457998"/>
      <w:r w:rsidRPr="00172DAD">
        <w:t>2.6 Policy and governance failures demonstrate a disconnect between national standards and local</w:t>
      </w:r>
      <w:r w:rsidR="00E073F5" w:rsidRPr="00172DAD">
        <w:t xml:space="preserve"> </w:t>
      </w:r>
      <w:r w:rsidRPr="00172DAD">
        <w:t>implementation</w:t>
      </w:r>
      <w:bookmarkEnd w:id="9"/>
    </w:p>
    <w:p w14:paraId="3F6038CF"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 maternity safety national policies like the </w:t>
      </w:r>
      <w:r w:rsidRPr="00172DAD">
        <w:rPr>
          <w:rFonts w:eastAsia="Times New Roman"/>
          <w:b/>
          <w:bCs/>
          <w:i/>
          <w:iCs/>
          <w:lang w:val="en-GB"/>
        </w:rPr>
        <w:t>“Saving Babies’ Lives Care Bundle”</w:t>
      </w:r>
      <w:r w:rsidRPr="00172DAD">
        <w:rPr>
          <w:rFonts w:eastAsia="Times New Roman"/>
          <w:lang w:val="en-GB"/>
        </w:rPr>
        <w:t>, were designed to enhance the cessation of infant death (Widdows et al., 2025). However, the Ockenden case showed that there was a tremendous gap between the policy and practice. The implementation was also inconsistent and poorly monitored at the organisational level and the compliance was usually superficial and not outcome evaluated.</w:t>
      </w:r>
    </w:p>
    <w:p w14:paraId="69702DBF" w14:textId="1D949919"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Regulatory control was mostly in a reactive mode and risks were not capped. There was a lack of action on repeated warnings and action plans, and data presentation at the board level obstructed the process of effective scrutiny because of the emergent risk patterns. </w:t>
      </w:r>
      <w:proofErr w:type="gramStart"/>
      <w:r w:rsidR="00E073F5" w:rsidRPr="00172DAD">
        <w:rPr>
          <w:rFonts w:eastAsia="Times New Roman"/>
          <w:lang w:val="en-GB"/>
        </w:rPr>
        <w:t>Similar to</w:t>
      </w:r>
      <w:proofErr w:type="gramEnd"/>
      <w:r w:rsidR="00E073F5" w:rsidRPr="00172DAD">
        <w:rPr>
          <w:rFonts w:eastAsia="Times New Roman"/>
          <w:lang w:val="en-GB"/>
        </w:rPr>
        <w:t xml:space="preserve"> the Shrewsbury and Telford Hospital NHS Trust Maternity Scandal, t</w:t>
      </w:r>
      <w:r w:rsidRPr="00172DAD">
        <w:rPr>
          <w:rFonts w:eastAsia="Times New Roman"/>
          <w:lang w:val="en-GB"/>
        </w:rPr>
        <w:t xml:space="preserve">he Morecambe Bay Maternity Scandal is also an example of this policy-practice gap as the countrywide guidelines were in place </w:t>
      </w:r>
      <w:r w:rsidRPr="00172DAD">
        <w:rPr>
          <w:rFonts w:eastAsia="Times New Roman"/>
          <w:lang w:val="en-GB"/>
        </w:rPr>
        <w:lastRenderedPageBreak/>
        <w:t>but were not translated into safe practice (Buchanan, 2025). This brings out the fact that a policy would not work without good governance, monitoring, and accountability.</w:t>
      </w:r>
    </w:p>
    <w:p w14:paraId="4FECDB48" w14:textId="0E309E45" w:rsidR="00FA2585" w:rsidRPr="00172DAD" w:rsidRDefault="00FA2585" w:rsidP="00841E05">
      <w:pPr>
        <w:pStyle w:val="Heading2"/>
        <w:spacing w:line="480" w:lineRule="auto"/>
      </w:pPr>
      <w:bookmarkStart w:id="10" w:name="_Toc226457999"/>
      <w:r w:rsidRPr="00172DAD">
        <w:t>2.7 Strategic analysis highlights systemic weaknesses and opportunities for maternity service</w:t>
      </w:r>
      <w:r w:rsidR="00E073F5" w:rsidRPr="00172DAD">
        <w:t xml:space="preserve"> </w:t>
      </w:r>
      <w:r w:rsidRPr="00172DAD">
        <w:t>improvement</w:t>
      </w:r>
      <w:bookmarkEnd w:id="10"/>
    </w:p>
    <w:tbl>
      <w:tblPr>
        <w:tblStyle w:val="TableGrid"/>
        <w:tblW w:w="0" w:type="auto"/>
        <w:tblLook w:val="04A0" w:firstRow="1" w:lastRow="0" w:firstColumn="1" w:lastColumn="0" w:noHBand="0" w:noVBand="1"/>
      </w:tblPr>
      <w:tblGrid>
        <w:gridCol w:w="4675"/>
        <w:gridCol w:w="4675"/>
      </w:tblGrid>
      <w:tr w:rsidR="00E073F5" w:rsidRPr="00172DAD" w14:paraId="4DA01C30" w14:textId="77777777" w:rsidTr="00E073F5">
        <w:tc>
          <w:tcPr>
            <w:tcW w:w="4675" w:type="dxa"/>
          </w:tcPr>
          <w:p w14:paraId="39E4E31E" w14:textId="4725F3AD" w:rsidR="00E073F5" w:rsidRPr="00172DAD" w:rsidRDefault="00E073F5" w:rsidP="00841E05">
            <w:pPr>
              <w:spacing w:before="120" w:after="120" w:line="480" w:lineRule="auto"/>
              <w:jc w:val="center"/>
              <w:rPr>
                <w:rFonts w:eastAsia="Times New Roman"/>
                <w:b/>
                <w:bCs/>
                <w:lang w:val="en-GB"/>
              </w:rPr>
            </w:pPr>
            <w:r w:rsidRPr="00172DAD">
              <w:rPr>
                <w:rFonts w:eastAsia="Times New Roman"/>
                <w:b/>
                <w:bCs/>
                <w:lang w:val="en-GB"/>
              </w:rPr>
              <w:t>Strengths</w:t>
            </w:r>
          </w:p>
        </w:tc>
        <w:tc>
          <w:tcPr>
            <w:tcW w:w="4675" w:type="dxa"/>
          </w:tcPr>
          <w:p w14:paraId="1CE9BA63" w14:textId="273999ED" w:rsidR="00E073F5" w:rsidRPr="00172DAD" w:rsidRDefault="00E073F5" w:rsidP="00841E05">
            <w:pPr>
              <w:spacing w:before="120" w:after="120" w:line="480" w:lineRule="auto"/>
              <w:jc w:val="center"/>
              <w:rPr>
                <w:rFonts w:eastAsia="Times New Roman"/>
                <w:b/>
                <w:bCs/>
                <w:lang w:val="en-GB"/>
              </w:rPr>
            </w:pPr>
            <w:r w:rsidRPr="00172DAD">
              <w:rPr>
                <w:rFonts w:eastAsia="Times New Roman"/>
                <w:b/>
                <w:bCs/>
                <w:lang w:val="en-GB"/>
              </w:rPr>
              <w:t>Weaknesses</w:t>
            </w:r>
          </w:p>
        </w:tc>
      </w:tr>
      <w:tr w:rsidR="00E073F5" w:rsidRPr="00172DAD" w14:paraId="7ADC2ED5" w14:textId="77777777" w:rsidTr="00E073F5">
        <w:tc>
          <w:tcPr>
            <w:tcW w:w="4675" w:type="dxa"/>
          </w:tcPr>
          <w:p w14:paraId="0C40AB2C" w14:textId="77777777" w:rsidR="00E073F5" w:rsidRPr="00172DAD" w:rsidRDefault="00E073F5" w:rsidP="00841E05">
            <w:pPr>
              <w:spacing w:before="120" w:after="120" w:line="480" w:lineRule="auto"/>
              <w:rPr>
                <w:rFonts w:eastAsia="Times New Roman"/>
                <w:lang w:val="en-GB"/>
              </w:rPr>
            </w:pPr>
            <w:r w:rsidRPr="00172DAD">
              <w:rPr>
                <w:rFonts w:eastAsia="Times New Roman"/>
                <w:lang w:val="en-GB"/>
              </w:rPr>
              <w:t>National safety frameworks such as the Saving Babies’ Lives Care Bundle provide structured guidance (NHS England, 2019).</w:t>
            </w:r>
          </w:p>
          <w:p w14:paraId="12664E6F" w14:textId="44FB709F" w:rsidR="00E073F5" w:rsidRPr="00172DAD" w:rsidRDefault="00E073F5" w:rsidP="00841E05">
            <w:pPr>
              <w:spacing w:before="120" w:after="120" w:line="480" w:lineRule="auto"/>
              <w:rPr>
                <w:rFonts w:eastAsia="Times New Roman"/>
                <w:lang w:val="en-GB"/>
              </w:rPr>
            </w:pPr>
            <w:r w:rsidRPr="00172DAD">
              <w:rPr>
                <w:rFonts w:eastAsia="Times New Roman"/>
                <w:lang w:val="en-GB"/>
              </w:rPr>
              <w:t>Lessons from scandals (Ockenden, Morecambe Bay, Mid Staffordshire) highlight systemic issues and offer learning potential (BBC, 2021; Hughes, 2023).</w:t>
            </w:r>
          </w:p>
        </w:tc>
        <w:tc>
          <w:tcPr>
            <w:tcW w:w="4675" w:type="dxa"/>
          </w:tcPr>
          <w:p w14:paraId="79AD0FF3" w14:textId="77777777" w:rsidR="00E073F5" w:rsidRPr="00172DAD" w:rsidRDefault="00E073F5" w:rsidP="00841E05">
            <w:pPr>
              <w:spacing w:before="120" w:after="120" w:line="480" w:lineRule="auto"/>
              <w:rPr>
                <w:rFonts w:eastAsia="Times New Roman"/>
                <w:lang w:val="en-GB"/>
              </w:rPr>
            </w:pPr>
            <w:r w:rsidRPr="00172DAD">
              <w:rPr>
                <w:rFonts w:eastAsia="Times New Roman"/>
                <w:lang w:val="en-GB"/>
              </w:rPr>
              <w:t>Chronic understaffing, poor training, weak governance, and ineffective feedback loops undermined safety (Ockenden, 2022b; BBC, 2020).</w:t>
            </w:r>
          </w:p>
          <w:p w14:paraId="79DBA880" w14:textId="7C60315B" w:rsidR="00E073F5" w:rsidRPr="00172DAD" w:rsidRDefault="00E073F5" w:rsidP="00841E05">
            <w:pPr>
              <w:spacing w:before="120" w:after="120" w:line="480" w:lineRule="auto"/>
              <w:rPr>
                <w:rFonts w:eastAsia="Times New Roman"/>
                <w:lang w:val="en-GB"/>
              </w:rPr>
            </w:pPr>
            <w:r w:rsidRPr="00172DAD">
              <w:rPr>
                <w:rFonts w:eastAsia="Times New Roman"/>
                <w:lang w:val="en-GB"/>
              </w:rPr>
              <w:t>Fragmented structures and processes led to missed foetal distress, delayed escalation, and avoidable harm (Hurst, 2021).</w:t>
            </w:r>
          </w:p>
        </w:tc>
      </w:tr>
      <w:tr w:rsidR="00E073F5" w:rsidRPr="00172DAD" w14:paraId="5746C075" w14:textId="77777777" w:rsidTr="00E073F5">
        <w:tc>
          <w:tcPr>
            <w:tcW w:w="4675" w:type="dxa"/>
          </w:tcPr>
          <w:p w14:paraId="04EF36EA" w14:textId="4074019C" w:rsidR="00E073F5" w:rsidRPr="00172DAD" w:rsidRDefault="00E073F5" w:rsidP="00841E05">
            <w:pPr>
              <w:spacing w:before="120" w:after="120" w:line="480" w:lineRule="auto"/>
              <w:jc w:val="center"/>
              <w:rPr>
                <w:rFonts w:eastAsia="Times New Roman"/>
                <w:b/>
                <w:bCs/>
                <w:lang w:val="en-GB"/>
              </w:rPr>
            </w:pPr>
            <w:r w:rsidRPr="00172DAD">
              <w:rPr>
                <w:rFonts w:eastAsia="Times New Roman"/>
                <w:b/>
                <w:bCs/>
                <w:lang w:val="en-GB"/>
              </w:rPr>
              <w:t>Opportunities</w:t>
            </w:r>
          </w:p>
        </w:tc>
        <w:tc>
          <w:tcPr>
            <w:tcW w:w="4675" w:type="dxa"/>
          </w:tcPr>
          <w:p w14:paraId="681A62A2" w14:textId="4E45A1AF" w:rsidR="00E073F5" w:rsidRPr="00172DAD" w:rsidRDefault="00E073F5" w:rsidP="00841E05">
            <w:pPr>
              <w:spacing w:before="120" w:after="120" w:line="480" w:lineRule="auto"/>
              <w:jc w:val="center"/>
              <w:rPr>
                <w:rFonts w:eastAsia="Times New Roman"/>
                <w:b/>
                <w:bCs/>
                <w:lang w:val="en-GB"/>
              </w:rPr>
            </w:pPr>
            <w:r w:rsidRPr="00172DAD">
              <w:rPr>
                <w:rFonts w:eastAsia="Times New Roman"/>
                <w:b/>
                <w:bCs/>
                <w:lang w:val="en-GB"/>
              </w:rPr>
              <w:t>Threats</w:t>
            </w:r>
          </w:p>
        </w:tc>
      </w:tr>
      <w:tr w:rsidR="00E073F5" w:rsidRPr="00172DAD" w14:paraId="232CE735" w14:textId="77777777" w:rsidTr="00E073F5">
        <w:tc>
          <w:tcPr>
            <w:tcW w:w="4675" w:type="dxa"/>
          </w:tcPr>
          <w:p w14:paraId="6FD66383" w14:textId="77777777" w:rsidR="00E073F5" w:rsidRPr="00172DAD" w:rsidRDefault="00E073F5" w:rsidP="00841E05">
            <w:pPr>
              <w:spacing w:before="120" w:after="120" w:line="480" w:lineRule="auto"/>
              <w:rPr>
                <w:rFonts w:eastAsia="Times New Roman"/>
                <w:lang w:val="en-GB"/>
              </w:rPr>
            </w:pPr>
            <w:r w:rsidRPr="00172DAD">
              <w:rPr>
                <w:rFonts w:eastAsia="Times New Roman"/>
                <w:lang w:val="en-GB"/>
              </w:rPr>
              <w:t>Systems-based redesign using RCA, Fishbone, and Systems Theory can strengthen resilience (Ferrara et al., 2024; GeeksforGeeks.org, 2024).</w:t>
            </w:r>
          </w:p>
          <w:p w14:paraId="21649E56" w14:textId="1AA0415D" w:rsidR="00E073F5" w:rsidRPr="00172DAD" w:rsidRDefault="00E073F5" w:rsidP="00841E05">
            <w:pPr>
              <w:spacing w:before="120" w:after="120" w:line="480" w:lineRule="auto"/>
              <w:rPr>
                <w:rFonts w:eastAsia="Times New Roman"/>
                <w:lang w:val="en-GB"/>
              </w:rPr>
            </w:pPr>
            <w:r w:rsidRPr="00172DAD">
              <w:rPr>
                <w:rFonts w:eastAsia="Times New Roman"/>
                <w:lang w:val="en-GB"/>
              </w:rPr>
              <w:t>Embedding organisational learning through effective feedback loops and governance accountability can drive sustainable improvement (Machen, 2023).</w:t>
            </w:r>
          </w:p>
        </w:tc>
        <w:tc>
          <w:tcPr>
            <w:tcW w:w="4675" w:type="dxa"/>
          </w:tcPr>
          <w:p w14:paraId="2CE9A1E7" w14:textId="77777777" w:rsidR="00E073F5" w:rsidRPr="00172DAD" w:rsidRDefault="00E073F5" w:rsidP="00841E05">
            <w:pPr>
              <w:spacing w:before="120" w:after="120" w:line="480" w:lineRule="auto"/>
              <w:rPr>
                <w:rFonts w:eastAsia="Times New Roman"/>
                <w:lang w:val="en-GB"/>
              </w:rPr>
            </w:pPr>
            <w:r w:rsidRPr="00172DAD">
              <w:rPr>
                <w:rFonts w:eastAsia="Times New Roman"/>
                <w:lang w:val="en-GB"/>
              </w:rPr>
              <w:t>Blame culture, superficial compliance with audits, and policy-practice gaps risk perpetuating unsafe practices (Lothian, 2022; Buchanan, 2025).</w:t>
            </w:r>
          </w:p>
          <w:p w14:paraId="2C1B021D" w14:textId="200B3894" w:rsidR="00E073F5" w:rsidRPr="00172DAD" w:rsidRDefault="00E073F5" w:rsidP="00841E05">
            <w:pPr>
              <w:spacing w:before="120" w:after="120" w:line="480" w:lineRule="auto"/>
              <w:rPr>
                <w:rFonts w:eastAsia="Times New Roman"/>
                <w:lang w:val="en-GB"/>
              </w:rPr>
            </w:pPr>
            <w:r w:rsidRPr="00172DAD">
              <w:rPr>
                <w:rFonts w:eastAsia="Times New Roman"/>
                <w:lang w:val="en-GB"/>
              </w:rPr>
              <w:t>Continued resistance to escalation and weak leadership oversight threatens long-term safety outcomes (BBC, 2022).</w:t>
            </w:r>
          </w:p>
        </w:tc>
      </w:tr>
    </w:tbl>
    <w:p w14:paraId="648C438A" w14:textId="77777777" w:rsidR="00E073F5" w:rsidRPr="00172DAD" w:rsidRDefault="00E073F5" w:rsidP="00841E05">
      <w:pPr>
        <w:spacing w:before="120" w:after="120" w:line="480" w:lineRule="auto"/>
        <w:jc w:val="center"/>
        <w:rPr>
          <w:rFonts w:eastAsia="Times New Roman"/>
          <w:lang w:val="en-GB"/>
        </w:rPr>
      </w:pPr>
    </w:p>
    <w:p w14:paraId="4CA545A7" w14:textId="6A1C8E4E" w:rsidR="00FA2585" w:rsidRPr="00172DAD" w:rsidRDefault="00FA2585" w:rsidP="00841E05">
      <w:pPr>
        <w:spacing w:before="120" w:after="120" w:line="480" w:lineRule="auto"/>
        <w:jc w:val="both"/>
        <w:rPr>
          <w:rFonts w:eastAsia="Times New Roman"/>
          <w:lang w:val="en-GB"/>
        </w:rPr>
      </w:pPr>
      <w:r w:rsidRPr="00172DAD">
        <w:rPr>
          <w:rFonts w:eastAsia="Times New Roman"/>
          <w:b/>
          <w:bCs/>
          <w:i/>
          <w:iCs/>
          <w:lang w:val="en-GB"/>
        </w:rPr>
        <w:lastRenderedPageBreak/>
        <w:t xml:space="preserve">“SWOT analysis” </w:t>
      </w:r>
      <w:r w:rsidRPr="00172DAD">
        <w:rPr>
          <w:rFonts w:eastAsia="Times New Roman"/>
          <w:lang w:val="en-GB"/>
        </w:rPr>
        <w:t>identifies the important internal and external drivers of performance (Siddiqui, 2021). Among the strengths, one can single out the frameworks that have been established nationally and the growing regulatory attention to safety. Nonetheless, weaknesses like understaffing, bad governance, and lack of training have a great impact of limiting performance. Such opportunities are workforce investment, digital monitoring systems, and cultural reform initiatives. The success of NHS Trusts with high performance shows that the successful application of safety frameworks can help to minimize the occurrence of perinatal mortality significantly (Olea-Ramirez, Leon-Larios and Corrales-Gutierrez, 2024).</w:t>
      </w:r>
    </w:p>
    <w:p w14:paraId="43EDD8DD" w14:textId="6A165D8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These threats are financial limitations, organisational defensiveness and policy misfit. These factors </w:t>
      </w:r>
      <w:proofErr w:type="gramStart"/>
      <w:r w:rsidRPr="00172DAD">
        <w:rPr>
          <w:rFonts w:eastAsia="Times New Roman"/>
          <w:lang w:val="en-GB"/>
        </w:rPr>
        <w:t>have the ability to</w:t>
      </w:r>
      <w:proofErr w:type="gramEnd"/>
      <w:r w:rsidRPr="00172DAD">
        <w:rPr>
          <w:rFonts w:eastAsia="Times New Roman"/>
          <w:lang w:val="en-GB"/>
        </w:rPr>
        <w:t xml:space="preserve"> support the weaknesses that are present. Most importantly, weaknesses and threats are interplaying with each other to perpetuate the failure of the system, whereas strengths and opportunities offer an avenue of change. This supports the idea of implementing system-level solutions as opposed to single improvements.</w:t>
      </w:r>
    </w:p>
    <w:p w14:paraId="16A57539" w14:textId="77777777" w:rsidR="00FA2585" w:rsidRPr="00172DAD" w:rsidRDefault="00FA2585" w:rsidP="00841E05">
      <w:pPr>
        <w:pStyle w:val="Heading1"/>
        <w:spacing w:line="480" w:lineRule="auto"/>
      </w:pPr>
      <w:bookmarkStart w:id="11" w:name="_xcw000lmm7sb" w:colFirst="0" w:colLast="0"/>
      <w:bookmarkStart w:id="12" w:name="_Toc226458000"/>
      <w:bookmarkEnd w:id="11"/>
      <w:r w:rsidRPr="00172DAD">
        <w:t>3. Recommendations</w:t>
      </w:r>
      <w:bookmarkEnd w:id="12"/>
      <w:r w:rsidRPr="00172DAD">
        <w:t xml:space="preserve"> </w:t>
      </w:r>
    </w:p>
    <w:p w14:paraId="54155690" w14:textId="61064663" w:rsidR="00FA2585" w:rsidRPr="00172DAD" w:rsidRDefault="00FA2585" w:rsidP="00841E05">
      <w:pPr>
        <w:spacing w:before="120" w:after="120" w:line="480" w:lineRule="auto"/>
        <w:jc w:val="both"/>
        <w:rPr>
          <w:rFonts w:eastAsia="Times New Roman"/>
          <w:b/>
          <w:bCs/>
          <w:lang w:val="en-GB"/>
        </w:rPr>
      </w:pPr>
      <w:r w:rsidRPr="00172DAD">
        <w:rPr>
          <w:rFonts w:eastAsia="Times New Roman"/>
          <w:b/>
          <w:bCs/>
          <w:lang w:val="en-GB"/>
        </w:rPr>
        <w:t>3.1 Strengthening workforce capacity and clinical safety processes is essential for immediate risk</w:t>
      </w:r>
      <w:r w:rsidR="00E073F5" w:rsidRPr="00172DAD">
        <w:rPr>
          <w:rFonts w:eastAsia="Times New Roman"/>
          <w:b/>
          <w:bCs/>
          <w:lang w:val="en-GB"/>
        </w:rPr>
        <w:t xml:space="preserve"> </w:t>
      </w:r>
      <w:r w:rsidRPr="00172DAD">
        <w:rPr>
          <w:rFonts w:eastAsia="Times New Roman"/>
          <w:b/>
          <w:bCs/>
          <w:lang w:val="en-GB"/>
        </w:rPr>
        <w:t>reduction</w:t>
      </w:r>
    </w:p>
    <w:p w14:paraId="51A6BA03" w14:textId="3AACFF10"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Chronic understaffing is a critical challenge to be dealt with to mitigate clinical risk in maternity services (Sahoo et al., 2021). The Ockenden Review identifies the impact of workloads on the clinical judgment, escalation delay and adverse outcomes. This needs a long-term workforce plan with the backup of long-term investment </w:t>
      </w:r>
      <w:proofErr w:type="gramStart"/>
      <w:r w:rsidRPr="00172DAD">
        <w:rPr>
          <w:rFonts w:eastAsia="Times New Roman"/>
          <w:lang w:val="en-GB"/>
        </w:rPr>
        <w:t>so as to</w:t>
      </w:r>
      <w:proofErr w:type="gramEnd"/>
      <w:r w:rsidRPr="00172DAD">
        <w:rPr>
          <w:rFonts w:eastAsia="Times New Roman"/>
          <w:lang w:val="en-GB"/>
        </w:rPr>
        <w:t xml:space="preserve"> have safe midwife-to-birth ratios and sufficient staffing of obstetric staff. This must incorporate specific recruitment, better retention and patient demand workforce planning.</w:t>
      </w:r>
    </w:p>
    <w:p w14:paraId="19C1DD69" w14:textId="2A34A636" w:rsidR="005C79F1" w:rsidRPr="00172DAD" w:rsidRDefault="005C79F1" w:rsidP="00841E05">
      <w:pPr>
        <w:spacing w:before="120" w:after="120" w:line="480" w:lineRule="auto"/>
        <w:jc w:val="both"/>
        <w:rPr>
          <w:rFonts w:eastAsia="Times New Roman"/>
          <w:lang w:val="en-GB"/>
        </w:rPr>
      </w:pPr>
      <w:r w:rsidRPr="00172DAD">
        <w:rPr>
          <w:rFonts w:eastAsia="Times New Roman"/>
          <w:b/>
          <w:bCs/>
          <w:i/>
          <w:iCs/>
          <w:lang w:val="en-GB"/>
        </w:rPr>
        <w:t>“Plan-Do-Study-Act (PDSA)”</w:t>
      </w:r>
      <w:r w:rsidRPr="00172DAD">
        <w:rPr>
          <w:rFonts w:eastAsia="Times New Roman"/>
          <w:lang w:val="en-GB"/>
        </w:rPr>
        <w:t xml:space="preserve"> cycle offers a systematic guide on how to go about these improvements (Eby, 2019). During the Plan phase, the staffing models and training programmes </w:t>
      </w:r>
      <w:r w:rsidRPr="00172DAD">
        <w:rPr>
          <w:rFonts w:eastAsia="Times New Roman"/>
          <w:lang w:val="en-GB"/>
        </w:rPr>
        <w:lastRenderedPageBreak/>
        <w:t>based on evidence are created. Piloting of such interventions is the Do phase. During the Study stage, the results of the personnel workload and the response time are measured. Lastly, the Act stage is aimed at streamlining and expanding effective interventions. This is a method that guarantees a continuous and data-driven improvement.</w:t>
      </w:r>
    </w:p>
    <w:p w14:paraId="043AEDEB" w14:textId="70A77373"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Also, it is essential to enhance clinical competency. Essential and standardised education in </w:t>
      </w:r>
      <w:r w:rsidR="00E073F5" w:rsidRPr="00172DAD">
        <w:rPr>
          <w:rFonts w:eastAsia="Times New Roman"/>
          <w:lang w:val="en-GB"/>
        </w:rPr>
        <w:t>foetal</w:t>
      </w:r>
      <w:r w:rsidRPr="00172DAD">
        <w:rPr>
          <w:rFonts w:eastAsia="Times New Roman"/>
          <w:lang w:val="en-GB"/>
        </w:rPr>
        <w:t xml:space="preserve"> monitoring, especially cardiotocography (CTG) interpretation, emergency obstetric, and escalation procedures should be introduced in all maternity units regularly. This will minimize practice variability and improve the responsiveness of the clinicians to complications.</w:t>
      </w:r>
    </w:p>
    <w:p w14:paraId="0C904C62" w14:textId="77777777" w:rsidR="00FA2585" w:rsidRPr="00172DAD" w:rsidRDefault="00FA2585" w:rsidP="00841E05">
      <w:pPr>
        <w:spacing w:before="120" w:after="120" w:line="480" w:lineRule="auto"/>
        <w:jc w:val="both"/>
        <w:rPr>
          <w:rFonts w:eastAsia="Times New Roman"/>
          <w:b/>
          <w:bCs/>
          <w:lang w:val="en-GB"/>
        </w:rPr>
      </w:pPr>
      <w:r w:rsidRPr="00172DAD">
        <w:rPr>
          <w:rFonts w:eastAsia="Times New Roman"/>
          <w:b/>
          <w:bCs/>
          <w:lang w:val="en-GB"/>
        </w:rPr>
        <w:t>3.2 Embedding a safety culture and effective escalation systems is critical for long-term improvement</w:t>
      </w:r>
    </w:p>
    <w:p w14:paraId="16CF018E"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The cultural change is essential to tackle the normalisation of unsafe practices that were noted in the Ockenden Review. Organisations should foster the culture of psychological safety to ensure that the employees feel free to raise issues without being blamed. Open communication and shared responsibility can be encouraged with the help of such initiatives as “Freedom to Speak Up Guardians”, multidisciplinary safety briefings, and leadership training.</w:t>
      </w:r>
    </w:p>
    <w:p w14:paraId="1E7B4FAC"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It is also necessary to strengthen the systems of escalation. Embedded clear and standardised protocols need to be made to make sure that senior clinicians are involved in high-risk situations in time. Early warning systems can be executed </w:t>
      </w:r>
      <w:proofErr w:type="gramStart"/>
      <w:r w:rsidRPr="00172DAD">
        <w:rPr>
          <w:rFonts w:eastAsia="Times New Roman"/>
          <w:lang w:val="en-GB"/>
        </w:rPr>
        <w:t>through the use of</w:t>
      </w:r>
      <w:proofErr w:type="gramEnd"/>
      <w:r w:rsidRPr="00172DAD">
        <w:rPr>
          <w:rFonts w:eastAsia="Times New Roman"/>
          <w:lang w:val="en-GB"/>
        </w:rPr>
        <w:t xml:space="preserve"> digital tools that will facilitate the early detection of deterioration and minimise delays in decision-making.</w:t>
      </w:r>
    </w:p>
    <w:p w14:paraId="7BAC3DF7"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These interventions enhance the communication and feedback systems in the organisation according to the Systems Theory. By having efficient escalation routes, constant adaptation can occur thus making sure that risks are detected early and dealt with hence minimizing chances of recurring failures.</w:t>
      </w:r>
    </w:p>
    <w:p w14:paraId="2F2F5D47" w14:textId="65004FBD" w:rsidR="00FA2585" w:rsidRPr="00172DAD" w:rsidRDefault="00FA2585" w:rsidP="00841E05">
      <w:pPr>
        <w:spacing w:before="120" w:after="120" w:line="480" w:lineRule="auto"/>
        <w:jc w:val="both"/>
        <w:rPr>
          <w:rFonts w:eastAsia="Times New Roman"/>
          <w:b/>
          <w:bCs/>
          <w:lang w:val="en-GB"/>
        </w:rPr>
      </w:pPr>
      <w:r w:rsidRPr="00172DAD">
        <w:rPr>
          <w:rFonts w:eastAsia="Times New Roman"/>
          <w:b/>
          <w:bCs/>
          <w:lang w:val="en-GB"/>
        </w:rPr>
        <w:lastRenderedPageBreak/>
        <w:t>3.3 Strengthening governance, data transparency, and system learning is required for sustained</w:t>
      </w:r>
      <w:r w:rsidR="005C79F1" w:rsidRPr="00172DAD">
        <w:rPr>
          <w:rFonts w:eastAsia="Times New Roman"/>
          <w:b/>
          <w:bCs/>
          <w:lang w:val="en-GB"/>
        </w:rPr>
        <w:t xml:space="preserve"> </w:t>
      </w:r>
      <w:r w:rsidRPr="00172DAD">
        <w:rPr>
          <w:rFonts w:eastAsia="Times New Roman"/>
          <w:b/>
          <w:bCs/>
          <w:lang w:val="en-GB"/>
        </w:rPr>
        <w:t>improvement</w:t>
      </w:r>
    </w:p>
    <w:p w14:paraId="471A4A4E"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Strong systems of governance are the key to accountability and the long-term change in maternity care (Lewis, 2025). The Ockenden Review has identified the necessity to have greater board-level accountability, and a clear accountability of the outcomes of maternity safety (Patient Safety Learning.org, 2022). The non-executive directors should be provided with the ability and information necessary to critically evaluate performance and question the organisational decision making.</w:t>
      </w:r>
    </w:p>
    <w:p w14:paraId="56A1602F" w14:textId="7BB03EF0"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To actively manage risks, the data should be made more transparent. Real-time data monitoring systems would help organisations to monitor important safety indicators, such as perinatal outcomes, escalation delays, and incident reports. This data should be examined on a regular basis and acted upon in time </w:t>
      </w:r>
      <w:proofErr w:type="gramStart"/>
      <w:r w:rsidRPr="00172DAD">
        <w:rPr>
          <w:rFonts w:eastAsia="Times New Roman"/>
          <w:lang w:val="en-GB"/>
        </w:rPr>
        <w:t>so as to</w:t>
      </w:r>
      <w:proofErr w:type="gramEnd"/>
      <w:r w:rsidRPr="00172DAD">
        <w:rPr>
          <w:rFonts w:eastAsia="Times New Roman"/>
          <w:lang w:val="en-GB"/>
        </w:rPr>
        <w:t xml:space="preserve"> </w:t>
      </w:r>
      <w:r w:rsidR="005C79F1" w:rsidRPr="00172DAD">
        <w:rPr>
          <w:rFonts w:eastAsia="Times New Roman"/>
          <w:lang w:val="en-GB"/>
        </w:rPr>
        <w:t>pre-empt</w:t>
      </w:r>
      <w:r w:rsidRPr="00172DAD">
        <w:rPr>
          <w:rFonts w:eastAsia="Times New Roman"/>
          <w:lang w:val="en-GB"/>
        </w:rPr>
        <w:t xml:space="preserve"> risks and avert damage.</w:t>
      </w:r>
    </w:p>
    <w:p w14:paraId="07F3E0B7"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The incident reporting systems should be reformulated in such a way that they focus on organisational learning as opposed to blame. Periodic audits, multidisciplinary review and the lessons learned dissemination are instrumental in eliminating repeat mistakes. Accountability can also be enhanced by independent oversight mechanisms that will make sure objectivity in performance evaluation.</w:t>
      </w:r>
    </w:p>
    <w:p w14:paraId="320086B3" w14:textId="77777777" w:rsidR="00FA2585" w:rsidRPr="00172DAD" w:rsidRDefault="00FA2585" w:rsidP="00841E05">
      <w:pPr>
        <w:spacing w:before="120" w:after="120" w:line="480" w:lineRule="auto"/>
        <w:jc w:val="both"/>
        <w:rPr>
          <w:rFonts w:eastAsia="Times New Roman"/>
          <w:lang w:val="en-GB"/>
        </w:rPr>
      </w:pPr>
      <w:r w:rsidRPr="00172DAD">
        <w:rPr>
          <w:rFonts w:eastAsia="Times New Roman"/>
          <w:b/>
          <w:bCs/>
          <w:i/>
          <w:iCs/>
          <w:lang w:val="en-GB"/>
        </w:rPr>
        <w:t>“Plan-Do-Study-Act (PDSA)”</w:t>
      </w:r>
      <w:r w:rsidRPr="00172DAD">
        <w:rPr>
          <w:rFonts w:eastAsia="Times New Roman"/>
          <w:lang w:val="en-GB"/>
        </w:rPr>
        <w:t xml:space="preserve"> cycle is to be integrated into governance processes. Through the planning of specific interventions, change implementation, evaluation and scaling of successful practices, organisations can build a continuous learning process of accountability and continued improvement so that patient safety is at the core of organisational practice.</w:t>
      </w:r>
    </w:p>
    <w:p w14:paraId="593C6009" w14:textId="77777777" w:rsidR="00FA2585" w:rsidRPr="00172DAD" w:rsidRDefault="00FA2585" w:rsidP="00841E05">
      <w:pPr>
        <w:pStyle w:val="Heading1"/>
        <w:spacing w:line="480" w:lineRule="auto"/>
      </w:pPr>
      <w:bookmarkStart w:id="13" w:name="_e5k6jss8lcmm" w:colFirst="0" w:colLast="0"/>
      <w:bookmarkStart w:id="14" w:name="_Toc226458001"/>
      <w:bookmarkEnd w:id="13"/>
      <w:r w:rsidRPr="00172DAD">
        <w:t>4. Conclusion</w:t>
      </w:r>
      <w:bookmarkEnd w:id="14"/>
      <w:r w:rsidRPr="00172DAD">
        <w:t xml:space="preserve"> </w:t>
      </w:r>
    </w:p>
    <w:p w14:paraId="6BE41013" w14:textId="72455D63" w:rsidR="00FA2585" w:rsidRPr="00172DAD" w:rsidRDefault="00FA2585" w:rsidP="00841E05">
      <w:pPr>
        <w:spacing w:before="120" w:after="120" w:line="480" w:lineRule="auto"/>
        <w:jc w:val="both"/>
        <w:rPr>
          <w:rFonts w:eastAsia="Times New Roman"/>
          <w:lang w:val="en-GB"/>
        </w:rPr>
      </w:pPr>
      <w:r w:rsidRPr="00172DAD">
        <w:rPr>
          <w:rFonts w:eastAsia="Times New Roman"/>
          <w:lang w:val="en-GB"/>
        </w:rPr>
        <w:t xml:space="preserve">This report has shown that the failures that were found in the Ockenden Review were </w:t>
      </w:r>
      <w:proofErr w:type="gramStart"/>
      <w:r w:rsidRPr="00172DAD">
        <w:rPr>
          <w:rFonts w:eastAsia="Times New Roman"/>
          <w:lang w:val="en-GB"/>
        </w:rPr>
        <w:t>actually a</w:t>
      </w:r>
      <w:proofErr w:type="gramEnd"/>
      <w:r w:rsidRPr="00172DAD">
        <w:rPr>
          <w:rFonts w:eastAsia="Times New Roman"/>
          <w:lang w:val="en-GB"/>
        </w:rPr>
        <w:t xml:space="preserve"> consequence of systemic weaknesses over time and did not happen out of clinical errors. Based </w:t>
      </w:r>
      <w:r w:rsidRPr="00172DAD">
        <w:rPr>
          <w:rFonts w:eastAsia="Times New Roman"/>
          <w:lang w:val="en-GB"/>
        </w:rPr>
        <w:lastRenderedPageBreak/>
        <w:t>on the Systems Theory, the failure of interrelated subsystems, especially capacity of workforce, governance, and communication, formed a cycle of unsafe practice. The Swiss Cheese Model pointed out the fact that multiple defensive layers failed concurrently, and the Root Cause Analysis and Fishbone models verified that these problems were structural, and were caused by chronic understaffing, insufficient training, unfavourable organisational culture, and inefficient leadership. The Donabedian Model also created a clear connection of the inadequate structures, malfunctioning processes and adverse patient outcomes. Also, policy analysis showed that there has always been a disparity between the national safety structures and the local ones.</w:t>
      </w:r>
      <w:bookmarkStart w:id="15" w:name="_z84a2qcbstor" w:colFirst="0" w:colLast="0"/>
      <w:bookmarkEnd w:id="15"/>
      <w:r w:rsidRPr="00172DAD">
        <w:rPr>
          <w:rFonts w:eastAsia="Times New Roman"/>
          <w:b/>
          <w:bCs/>
          <w:lang w:val="en-GB"/>
        </w:rPr>
        <w:br w:type="page"/>
      </w:r>
    </w:p>
    <w:p w14:paraId="27499C25" w14:textId="77777777" w:rsidR="00FA2585" w:rsidRPr="00172DAD" w:rsidRDefault="00FA2585" w:rsidP="00841E05">
      <w:pPr>
        <w:pStyle w:val="Heading1"/>
        <w:spacing w:line="480" w:lineRule="auto"/>
      </w:pPr>
      <w:bookmarkStart w:id="16" w:name="_Toc226458002"/>
      <w:r w:rsidRPr="00172DAD">
        <w:lastRenderedPageBreak/>
        <w:t>5. References</w:t>
      </w:r>
      <w:bookmarkEnd w:id="16"/>
    </w:p>
    <w:p w14:paraId="2B4EF821"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Babysheva, V., Neiterman, E., Bigelow, P. and </w:t>
      </w:r>
      <w:proofErr w:type="spellStart"/>
      <w:r w:rsidRPr="00172DAD">
        <w:rPr>
          <w:rFonts w:eastAsia="Times New Roman"/>
          <w:lang w:val="en-GB"/>
        </w:rPr>
        <w:t>Yessis</w:t>
      </w:r>
      <w:proofErr w:type="spellEnd"/>
      <w:r w:rsidRPr="00172DAD">
        <w:rPr>
          <w:rFonts w:eastAsia="Times New Roman"/>
          <w:lang w:val="en-GB"/>
        </w:rPr>
        <w:t xml:space="preserve">, J. (2025). Systems Thinking and Human Resource Management in Healthcare: A Scoping Review of Core Applications Across Health System Levels. </w:t>
      </w:r>
      <w:r w:rsidRPr="00172DAD">
        <w:rPr>
          <w:rFonts w:eastAsia="Times New Roman"/>
          <w:i/>
          <w:iCs/>
          <w:lang w:val="en-GB"/>
        </w:rPr>
        <w:t>Systems</w:t>
      </w:r>
      <w:r w:rsidRPr="00172DAD">
        <w:rPr>
          <w:rFonts w:eastAsia="Times New Roman"/>
          <w:lang w:val="en-GB"/>
        </w:rPr>
        <w:t xml:space="preserve">, 13(11), p.1001. </w:t>
      </w:r>
      <w:proofErr w:type="spellStart"/>
      <w:proofErr w:type="gramStart"/>
      <w:r w:rsidRPr="00172DAD">
        <w:rPr>
          <w:rFonts w:eastAsia="Times New Roman"/>
          <w:lang w:val="en-GB"/>
        </w:rPr>
        <w:t>doi:https</w:t>
      </w:r>
      <w:proofErr w:type="spellEnd"/>
      <w:r w:rsidRPr="00172DAD">
        <w:rPr>
          <w:rFonts w:eastAsia="Times New Roman"/>
          <w:lang w:val="en-GB"/>
        </w:rPr>
        <w:t>://doi.org/10.3390/systems13111001</w:t>
      </w:r>
      <w:proofErr w:type="gramEnd"/>
      <w:r w:rsidRPr="00172DAD">
        <w:rPr>
          <w:rFonts w:eastAsia="Times New Roman"/>
          <w:lang w:val="en-GB"/>
        </w:rPr>
        <w:t>.</w:t>
      </w:r>
    </w:p>
    <w:p w14:paraId="0F91DF8F"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BBC (2020). ‘Failing leadership’ at Shrewsbury and Telford Hospital Trust. </w:t>
      </w:r>
      <w:r w:rsidRPr="00172DAD">
        <w:rPr>
          <w:rFonts w:eastAsia="Times New Roman"/>
          <w:i/>
          <w:iCs/>
          <w:lang w:val="en-GB"/>
        </w:rPr>
        <w:t>BBC</w:t>
      </w:r>
      <w:r w:rsidRPr="00172DAD">
        <w:rPr>
          <w:rFonts w:eastAsia="Times New Roman"/>
          <w:lang w:val="en-GB"/>
        </w:rPr>
        <w:t>. [online] 13 Aug. Available at: https://www.bbc.com/news/uk-england-shropshire-53764432 [Accessed 6 Apr. 2026].</w:t>
      </w:r>
    </w:p>
    <w:p w14:paraId="6A3A350F"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BBC (2021). Unpublished hospital patient safety reports exposed. </w:t>
      </w:r>
      <w:r w:rsidRPr="00172DAD">
        <w:rPr>
          <w:rFonts w:eastAsia="Times New Roman"/>
          <w:i/>
          <w:iCs/>
          <w:lang w:val="en-GB"/>
        </w:rPr>
        <w:t>BBC News</w:t>
      </w:r>
      <w:r w:rsidRPr="00172DAD">
        <w:rPr>
          <w:rFonts w:eastAsia="Times New Roman"/>
          <w:lang w:val="en-GB"/>
        </w:rPr>
        <w:t>. [online] 18 May. Available at: https://www.bbc.com/news/health-57144923 [Accessed 6 Apr. 2026].</w:t>
      </w:r>
    </w:p>
    <w:p w14:paraId="56125E8F"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BBC (2022). Shrewsbury maternity scandal: Repeated failures led to deaths. </w:t>
      </w:r>
      <w:r w:rsidRPr="00172DAD">
        <w:rPr>
          <w:rFonts w:eastAsia="Times New Roman"/>
          <w:i/>
          <w:iCs/>
          <w:lang w:val="en-GB"/>
        </w:rPr>
        <w:t>www.bbc.com</w:t>
      </w:r>
      <w:r w:rsidRPr="00172DAD">
        <w:rPr>
          <w:rFonts w:eastAsia="Times New Roman"/>
          <w:lang w:val="en-GB"/>
        </w:rPr>
        <w:t>. [online] 30 Mar. Available at: https://www.bbc.com/news/uk-england-shropshire-60925959 [Accessed 6 Apr. 2026].</w:t>
      </w:r>
    </w:p>
    <w:p w14:paraId="19C27330"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Buchanan, M. (2025). Maternity care: 14 NHS trusts to be investigated over ‘</w:t>
      </w:r>
      <w:proofErr w:type="gramStart"/>
      <w:r w:rsidRPr="00172DAD">
        <w:rPr>
          <w:rFonts w:eastAsia="Times New Roman"/>
          <w:lang w:val="en-GB"/>
        </w:rPr>
        <w:t>failures’</w:t>
      </w:r>
      <w:proofErr w:type="gramEnd"/>
      <w:r w:rsidRPr="00172DAD">
        <w:rPr>
          <w:rFonts w:eastAsia="Times New Roman"/>
          <w:lang w:val="en-GB"/>
        </w:rPr>
        <w:t xml:space="preserve">. </w:t>
      </w:r>
      <w:r w:rsidRPr="00172DAD">
        <w:rPr>
          <w:rFonts w:eastAsia="Times New Roman"/>
          <w:i/>
          <w:iCs/>
          <w:lang w:val="en-GB"/>
        </w:rPr>
        <w:t>BBC News</w:t>
      </w:r>
      <w:r w:rsidRPr="00172DAD">
        <w:rPr>
          <w:rFonts w:eastAsia="Times New Roman"/>
          <w:lang w:val="en-GB"/>
        </w:rPr>
        <w:t>. [online] 15 Sep. Available at: https://www.bbc.co.uk/news/articles/ckg6xj1vz70o [Accessed 6 Apr. 2026].</w:t>
      </w:r>
    </w:p>
    <w:p w14:paraId="53C9A6BE"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Eby, K. (2019). </w:t>
      </w:r>
      <w:r w:rsidRPr="00172DAD">
        <w:rPr>
          <w:rFonts w:eastAsia="Times New Roman"/>
          <w:i/>
          <w:iCs/>
          <w:lang w:val="en-GB"/>
        </w:rPr>
        <w:t>How to Implement PDSA in Your Organization | Smartsheet</w:t>
      </w:r>
      <w:r w:rsidRPr="00172DAD">
        <w:rPr>
          <w:rFonts w:eastAsia="Times New Roman"/>
          <w:lang w:val="en-GB"/>
        </w:rPr>
        <w:t>. [online] Smartsheet. Available at: https://www.smartsheet.com/content/plan-do-study-act-guide?srsltid=AfmBOorBwXDiObIDmfOaAnR94ZAZryv2MIKSXYYBWZhlp__3pyijNsEq [Accessed 6 Apr. 2026].</w:t>
      </w:r>
    </w:p>
    <w:p w14:paraId="7A0EAA9A"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Ferrara, M., Pascale, N., Ciavarella, M., Bertozzi, G., </w:t>
      </w:r>
      <w:proofErr w:type="spellStart"/>
      <w:r w:rsidRPr="00172DAD">
        <w:rPr>
          <w:rFonts w:eastAsia="Times New Roman"/>
          <w:lang w:val="en-GB"/>
        </w:rPr>
        <w:t>Bellettieri</w:t>
      </w:r>
      <w:proofErr w:type="spellEnd"/>
      <w:r w:rsidRPr="00172DAD">
        <w:rPr>
          <w:rFonts w:eastAsia="Times New Roman"/>
          <w:lang w:val="en-GB"/>
        </w:rPr>
        <w:t xml:space="preserve">, A.P. and Fazio, A.D. (2024). Is It Still Time for Safety Walkaround? Pilot Project Proposing a New Model and a Review of the Methodology. </w:t>
      </w:r>
      <w:r w:rsidRPr="00172DAD">
        <w:rPr>
          <w:rFonts w:eastAsia="Times New Roman"/>
          <w:i/>
          <w:iCs/>
          <w:lang w:val="en-GB"/>
        </w:rPr>
        <w:t>Medicina</w:t>
      </w:r>
      <w:r w:rsidRPr="00172DAD">
        <w:rPr>
          <w:rFonts w:eastAsia="Times New Roman"/>
          <w:lang w:val="en-GB"/>
        </w:rPr>
        <w:t xml:space="preserve">, 60(6), pp.903–903. </w:t>
      </w:r>
      <w:proofErr w:type="spellStart"/>
      <w:proofErr w:type="gramStart"/>
      <w:r w:rsidRPr="00172DAD">
        <w:rPr>
          <w:rFonts w:eastAsia="Times New Roman"/>
          <w:lang w:val="en-GB"/>
        </w:rPr>
        <w:t>doi:https</w:t>
      </w:r>
      <w:proofErr w:type="spellEnd"/>
      <w:r w:rsidRPr="00172DAD">
        <w:rPr>
          <w:rFonts w:eastAsia="Times New Roman"/>
          <w:lang w:val="en-GB"/>
        </w:rPr>
        <w:t>://doi.org/10.3390/medicina60060903</w:t>
      </w:r>
      <w:proofErr w:type="gramEnd"/>
      <w:r w:rsidRPr="00172DAD">
        <w:rPr>
          <w:rFonts w:eastAsia="Times New Roman"/>
          <w:lang w:val="en-GB"/>
        </w:rPr>
        <w:t>.</w:t>
      </w:r>
    </w:p>
    <w:p w14:paraId="1FB3BF26"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lastRenderedPageBreak/>
        <w:t xml:space="preserve">Foley, C., McCourt, C. and Yuill, C. (2025). An exploration of midwives’ perceptions of the Ockenden review: a qualitative study. </w:t>
      </w:r>
      <w:r w:rsidRPr="00172DAD">
        <w:rPr>
          <w:rFonts w:eastAsia="Times New Roman"/>
          <w:i/>
          <w:iCs/>
          <w:lang w:val="en-GB"/>
        </w:rPr>
        <w:t>Sexual &amp; Reproductive Healthcare</w:t>
      </w:r>
      <w:r w:rsidRPr="00172DAD">
        <w:rPr>
          <w:rFonts w:eastAsia="Times New Roman"/>
          <w:lang w:val="en-GB"/>
        </w:rPr>
        <w:t xml:space="preserve">, 46, p.101166. </w:t>
      </w:r>
      <w:proofErr w:type="spellStart"/>
      <w:proofErr w:type="gramStart"/>
      <w:r w:rsidRPr="00172DAD">
        <w:rPr>
          <w:rFonts w:eastAsia="Times New Roman"/>
          <w:lang w:val="en-GB"/>
        </w:rPr>
        <w:t>doi:https</w:t>
      </w:r>
      <w:proofErr w:type="spellEnd"/>
      <w:r w:rsidRPr="00172DAD">
        <w:rPr>
          <w:rFonts w:eastAsia="Times New Roman"/>
          <w:lang w:val="en-GB"/>
        </w:rPr>
        <w:t>://doi.org/10.1016/j.srhc.2025.101166</w:t>
      </w:r>
      <w:proofErr w:type="gramEnd"/>
      <w:r w:rsidRPr="00172DAD">
        <w:rPr>
          <w:rFonts w:eastAsia="Times New Roman"/>
          <w:lang w:val="en-GB"/>
        </w:rPr>
        <w:t>.</w:t>
      </w:r>
    </w:p>
    <w:p w14:paraId="4DB8C92E"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GeeksforGeeks.org (2024). </w:t>
      </w:r>
      <w:r w:rsidRPr="00172DAD">
        <w:rPr>
          <w:rFonts w:eastAsia="Times New Roman"/>
          <w:i/>
          <w:iCs/>
          <w:lang w:val="en-GB"/>
        </w:rPr>
        <w:t>Fishbone Diagram Cause and Effect</w:t>
      </w:r>
      <w:r w:rsidRPr="00172DAD">
        <w:rPr>
          <w:rFonts w:eastAsia="Times New Roman"/>
          <w:lang w:val="en-GB"/>
        </w:rPr>
        <w:t xml:space="preserve">. [online] </w:t>
      </w:r>
      <w:proofErr w:type="spellStart"/>
      <w:r w:rsidRPr="00172DAD">
        <w:rPr>
          <w:rFonts w:eastAsia="Times New Roman"/>
          <w:lang w:val="en-GB"/>
        </w:rPr>
        <w:t>GeeksforGeeks</w:t>
      </w:r>
      <w:proofErr w:type="spellEnd"/>
      <w:r w:rsidRPr="00172DAD">
        <w:rPr>
          <w:rFonts w:eastAsia="Times New Roman"/>
          <w:lang w:val="en-GB"/>
        </w:rPr>
        <w:t>. Available at: https://www.geeksforgeeks.org/biology/fishbone-diagram-example-use/ [Accessed 6 Apr. 2026].</w:t>
      </w:r>
    </w:p>
    <w:p w14:paraId="450AC247"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Giddings, A. (2025). Shropshire and Leeds hospitals dropped from Amos maternity review. </w:t>
      </w:r>
      <w:r w:rsidRPr="00172DAD">
        <w:rPr>
          <w:rFonts w:eastAsia="Times New Roman"/>
          <w:i/>
          <w:iCs/>
          <w:lang w:val="en-GB"/>
        </w:rPr>
        <w:t>BBC</w:t>
      </w:r>
      <w:r w:rsidRPr="00172DAD">
        <w:rPr>
          <w:rFonts w:eastAsia="Times New Roman"/>
          <w:lang w:val="en-GB"/>
        </w:rPr>
        <w:t>. [online] 22 Oct. Available at: https://www.bbc.com/news/articles/c620kv3xe32o [Accessed 6 Apr. 2026].</w:t>
      </w:r>
    </w:p>
    <w:p w14:paraId="48CBEC18"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Guzmán-</w:t>
      </w:r>
      <w:proofErr w:type="spellStart"/>
      <w:r w:rsidRPr="00172DAD">
        <w:rPr>
          <w:rFonts w:eastAsia="Times New Roman"/>
          <w:lang w:val="en-GB"/>
        </w:rPr>
        <w:t>Leguel</w:t>
      </w:r>
      <w:proofErr w:type="spellEnd"/>
      <w:r w:rsidRPr="00172DAD">
        <w:rPr>
          <w:rFonts w:eastAsia="Times New Roman"/>
          <w:lang w:val="en-GB"/>
        </w:rPr>
        <w:t xml:space="preserve">, Y.M. and Rodríguez-Lara, S.Q. (2025). Assessment of Patients’ Quality of Care in Healthcare Systems: A Comprehensive Narrative Literature Review. </w:t>
      </w:r>
      <w:r w:rsidRPr="00172DAD">
        <w:rPr>
          <w:rFonts w:eastAsia="Times New Roman"/>
          <w:i/>
          <w:iCs/>
          <w:lang w:val="en-GB"/>
        </w:rPr>
        <w:t>Healthcare</w:t>
      </w:r>
      <w:r w:rsidRPr="00172DAD">
        <w:rPr>
          <w:rFonts w:eastAsia="Times New Roman"/>
          <w:lang w:val="en-GB"/>
        </w:rPr>
        <w:t xml:space="preserve">, 13(14), p.1714. </w:t>
      </w:r>
      <w:proofErr w:type="spellStart"/>
      <w:proofErr w:type="gramStart"/>
      <w:r w:rsidRPr="00172DAD">
        <w:rPr>
          <w:rFonts w:eastAsia="Times New Roman"/>
          <w:lang w:val="en-GB"/>
        </w:rPr>
        <w:t>doi:https</w:t>
      </w:r>
      <w:proofErr w:type="spellEnd"/>
      <w:r w:rsidRPr="00172DAD">
        <w:rPr>
          <w:rFonts w:eastAsia="Times New Roman"/>
          <w:lang w:val="en-GB"/>
        </w:rPr>
        <w:t>://doi.org/10.3390/healthcare13141714</w:t>
      </w:r>
      <w:proofErr w:type="gramEnd"/>
      <w:r w:rsidRPr="00172DAD">
        <w:rPr>
          <w:rFonts w:eastAsia="Times New Roman"/>
          <w:lang w:val="en-GB"/>
        </w:rPr>
        <w:t>.</w:t>
      </w:r>
    </w:p>
    <w:p w14:paraId="522D2770"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Hughes, H. (2023). Public inquiries, Patient Safety and the Implementation Gap. </w:t>
      </w:r>
      <w:r w:rsidRPr="00172DAD">
        <w:rPr>
          <w:rFonts w:eastAsia="Times New Roman"/>
          <w:i/>
          <w:iCs/>
          <w:lang w:val="en-GB"/>
        </w:rPr>
        <w:t xml:space="preserve">Future </w:t>
      </w:r>
      <w:proofErr w:type="spellStart"/>
      <w:r w:rsidRPr="00172DAD">
        <w:rPr>
          <w:rFonts w:eastAsia="Times New Roman"/>
          <w:i/>
          <w:iCs/>
          <w:lang w:val="en-GB"/>
        </w:rPr>
        <w:t>Healthc</w:t>
      </w:r>
      <w:proofErr w:type="spellEnd"/>
      <w:r w:rsidRPr="00172DAD">
        <w:rPr>
          <w:rFonts w:eastAsia="Times New Roman"/>
          <w:i/>
          <w:iCs/>
          <w:lang w:val="en-GB"/>
        </w:rPr>
        <w:t xml:space="preserve"> J</w:t>
      </w:r>
      <w:r w:rsidRPr="00172DAD">
        <w:rPr>
          <w:rFonts w:eastAsia="Times New Roman"/>
          <w:lang w:val="en-GB"/>
        </w:rPr>
        <w:t xml:space="preserve">, 10(1), pp.7–9. </w:t>
      </w:r>
      <w:proofErr w:type="spellStart"/>
      <w:proofErr w:type="gramStart"/>
      <w:r w:rsidRPr="00172DAD">
        <w:rPr>
          <w:rFonts w:eastAsia="Times New Roman"/>
          <w:lang w:val="en-GB"/>
        </w:rPr>
        <w:t>doi:https</w:t>
      </w:r>
      <w:proofErr w:type="spellEnd"/>
      <w:r w:rsidRPr="00172DAD">
        <w:rPr>
          <w:rFonts w:eastAsia="Times New Roman"/>
          <w:lang w:val="en-GB"/>
        </w:rPr>
        <w:t>://doi.org/10.7861/fhj.2023-FR103</w:t>
      </w:r>
      <w:proofErr w:type="gramEnd"/>
      <w:r w:rsidRPr="00172DAD">
        <w:rPr>
          <w:rFonts w:eastAsia="Times New Roman"/>
          <w:lang w:val="en-GB"/>
        </w:rPr>
        <w:t>.</w:t>
      </w:r>
    </w:p>
    <w:p w14:paraId="294EE1E9"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Hurst, H. (2021). </w:t>
      </w:r>
      <w:r w:rsidRPr="00172DAD">
        <w:rPr>
          <w:rFonts w:eastAsia="Times New Roman"/>
          <w:i/>
          <w:iCs/>
          <w:lang w:val="en-GB"/>
        </w:rPr>
        <w:t>Report Title Ockenden Report -Emerging Findings and Recommendations from the Independent Review of Maternity services at the Shrewsbury and Telford Hospital NHS Trust Sponsoring Executive David Carruthers, Interim CEO and Medical Director Report Author</w:t>
      </w:r>
      <w:r w:rsidRPr="00172DAD">
        <w:rPr>
          <w:rFonts w:eastAsia="Times New Roman"/>
          <w:lang w:val="en-GB"/>
        </w:rPr>
        <w:t>. [online] Available at: https://www.swbh.nhs.uk/wp-content/uploads/2024/01/007a-Ockenden-report.pdf [Accessed 6 Apr. 2026].</w:t>
      </w:r>
    </w:p>
    <w:p w14:paraId="523D628A"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Lewis, M. (2025). Midwifery Leadership in a Changing World—Why Is This So Challenging? A Reflective Commentary. </w:t>
      </w:r>
      <w:r w:rsidRPr="00172DAD">
        <w:rPr>
          <w:rFonts w:eastAsia="Times New Roman"/>
          <w:i/>
          <w:iCs/>
          <w:lang w:val="en-GB"/>
        </w:rPr>
        <w:t>Healthcare</w:t>
      </w:r>
      <w:r w:rsidRPr="00172DAD">
        <w:rPr>
          <w:rFonts w:eastAsia="Times New Roman"/>
          <w:lang w:val="en-GB"/>
        </w:rPr>
        <w:t xml:space="preserve">, 13(19), pp.2473–2473. </w:t>
      </w:r>
      <w:proofErr w:type="spellStart"/>
      <w:proofErr w:type="gramStart"/>
      <w:r w:rsidRPr="00172DAD">
        <w:rPr>
          <w:rFonts w:eastAsia="Times New Roman"/>
          <w:lang w:val="en-GB"/>
        </w:rPr>
        <w:t>doi:https</w:t>
      </w:r>
      <w:proofErr w:type="spellEnd"/>
      <w:r w:rsidRPr="00172DAD">
        <w:rPr>
          <w:rFonts w:eastAsia="Times New Roman"/>
          <w:lang w:val="en-GB"/>
        </w:rPr>
        <w:t>://doi.org/10.3390/healthcare13192473</w:t>
      </w:r>
      <w:proofErr w:type="gramEnd"/>
      <w:r w:rsidRPr="00172DAD">
        <w:rPr>
          <w:rFonts w:eastAsia="Times New Roman"/>
          <w:lang w:val="en-GB"/>
        </w:rPr>
        <w:t>.</w:t>
      </w:r>
    </w:p>
    <w:p w14:paraId="17FA1922"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lastRenderedPageBreak/>
        <w:t xml:space="preserve">Lothian, J. (2022). Is Normal Birth Safe? Questions Raised by the Ockenden Report in the UK. </w:t>
      </w:r>
      <w:r w:rsidRPr="00172DAD">
        <w:rPr>
          <w:rFonts w:eastAsia="Times New Roman"/>
          <w:i/>
          <w:iCs/>
          <w:lang w:val="en-GB"/>
        </w:rPr>
        <w:t>The Journal of Perinatal Education</w:t>
      </w:r>
      <w:r w:rsidRPr="00172DAD">
        <w:rPr>
          <w:rFonts w:eastAsia="Times New Roman"/>
          <w:lang w:val="en-GB"/>
        </w:rPr>
        <w:t xml:space="preserve">, p.JPE-2022-0011.R1. </w:t>
      </w:r>
      <w:proofErr w:type="spellStart"/>
      <w:proofErr w:type="gramStart"/>
      <w:r w:rsidRPr="00172DAD">
        <w:rPr>
          <w:rFonts w:eastAsia="Times New Roman"/>
          <w:lang w:val="en-GB"/>
        </w:rPr>
        <w:t>doi:https</w:t>
      </w:r>
      <w:proofErr w:type="spellEnd"/>
      <w:r w:rsidRPr="00172DAD">
        <w:rPr>
          <w:rFonts w:eastAsia="Times New Roman"/>
          <w:lang w:val="en-GB"/>
        </w:rPr>
        <w:t>://doi.org/10.1891/jpe-2022-0011</w:t>
      </w:r>
      <w:proofErr w:type="gramEnd"/>
      <w:r w:rsidRPr="00172DAD">
        <w:rPr>
          <w:rFonts w:eastAsia="Times New Roman"/>
          <w:lang w:val="en-GB"/>
        </w:rPr>
        <w:t>.</w:t>
      </w:r>
    </w:p>
    <w:p w14:paraId="70A2EE63"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Machen, S. (2023). Thematic reviews of patient safety incidents as a tool for systems thinking: a quality improvement report. </w:t>
      </w:r>
      <w:r w:rsidRPr="00172DAD">
        <w:rPr>
          <w:rFonts w:eastAsia="Times New Roman"/>
          <w:i/>
          <w:iCs/>
          <w:lang w:val="en-GB"/>
        </w:rPr>
        <w:t>BMJ Open Quality</w:t>
      </w:r>
      <w:r w:rsidRPr="00172DAD">
        <w:rPr>
          <w:rFonts w:eastAsia="Times New Roman"/>
          <w:lang w:val="en-GB"/>
        </w:rPr>
        <w:t xml:space="preserve">, 12(2). </w:t>
      </w:r>
      <w:proofErr w:type="spellStart"/>
      <w:proofErr w:type="gramStart"/>
      <w:r w:rsidRPr="00172DAD">
        <w:rPr>
          <w:rFonts w:eastAsia="Times New Roman"/>
          <w:lang w:val="en-GB"/>
        </w:rPr>
        <w:t>doi:https</w:t>
      </w:r>
      <w:proofErr w:type="spellEnd"/>
      <w:r w:rsidRPr="00172DAD">
        <w:rPr>
          <w:rFonts w:eastAsia="Times New Roman"/>
          <w:lang w:val="en-GB"/>
        </w:rPr>
        <w:t>://doi.org/10.1136/bmjoq-2022-002020</w:t>
      </w:r>
      <w:proofErr w:type="gramEnd"/>
      <w:r w:rsidRPr="00172DAD">
        <w:rPr>
          <w:rFonts w:eastAsia="Times New Roman"/>
          <w:lang w:val="en-GB"/>
        </w:rPr>
        <w:t>.</w:t>
      </w:r>
    </w:p>
    <w:p w14:paraId="35A03F48"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NHS England (2019). </w:t>
      </w:r>
      <w:r w:rsidRPr="00172DAD">
        <w:rPr>
          <w:rFonts w:eastAsia="Times New Roman"/>
          <w:i/>
          <w:iCs/>
          <w:lang w:val="en-GB"/>
        </w:rPr>
        <w:t>Saving Babies’ Lives Version Two a Care Bundle for Reducing Perinatal Mortality</w:t>
      </w:r>
      <w:r w:rsidRPr="00172DAD">
        <w:rPr>
          <w:rFonts w:eastAsia="Times New Roman"/>
          <w:lang w:val="en-GB"/>
        </w:rPr>
        <w:t xml:space="preserve">. [online] </w:t>
      </w:r>
      <w:r w:rsidRPr="00172DAD">
        <w:rPr>
          <w:rFonts w:eastAsia="Times New Roman"/>
          <w:i/>
          <w:iCs/>
          <w:lang w:val="en-GB"/>
        </w:rPr>
        <w:t>NHS England</w:t>
      </w:r>
      <w:r w:rsidRPr="00172DAD">
        <w:rPr>
          <w:rFonts w:eastAsia="Times New Roman"/>
          <w:lang w:val="en-GB"/>
        </w:rPr>
        <w:t>, NHS England, p.3. Available at: https://www.england.nhs.uk/wp-content/uploads/2019/03/Saving-Babies-Lives-Care-Bundle-Version-Two-Updated-Final-Version.pdf [Accessed 6 Apr. 2026].</w:t>
      </w:r>
    </w:p>
    <w:p w14:paraId="5FA8759C"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Ockenden, D. (2020). </w:t>
      </w:r>
      <w:r w:rsidRPr="00172DAD">
        <w:rPr>
          <w:rFonts w:eastAsia="Times New Roman"/>
          <w:i/>
          <w:iCs/>
          <w:lang w:val="en-GB"/>
        </w:rPr>
        <w:t>OCKENDEN REPORT Emerging Findings and Recommendations from the Independent Review of MATERNITY SERVICES AT THE SHREWSBURY AND TELFORD HOSPITAL NHS TRUST Our First Report following 250 Clinical Reviews</w:t>
      </w:r>
      <w:r w:rsidRPr="00172DAD">
        <w:rPr>
          <w:rFonts w:eastAsia="Times New Roman"/>
          <w:lang w:val="en-GB"/>
        </w:rPr>
        <w:t>. [online] Available at: https://www.ockendenmaternityreview.org.uk/wp-content/uploads/2020/12/ockenden-report.pdf [Accessed 6 Apr. 2026].</w:t>
      </w:r>
    </w:p>
    <w:p w14:paraId="5CB4D450" w14:textId="77777777" w:rsidR="005C79F1" w:rsidRPr="00172DAD" w:rsidRDefault="005C79F1" w:rsidP="00841E05">
      <w:pPr>
        <w:spacing w:before="120" w:after="120" w:line="480" w:lineRule="auto"/>
        <w:jc w:val="both"/>
        <w:rPr>
          <w:rFonts w:eastAsia="Times New Roman"/>
          <w:lang w:val="en-GB"/>
        </w:rPr>
      </w:pPr>
      <w:r w:rsidRPr="009A3EF0">
        <w:rPr>
          <w:rFonts w:eastAsia="Times New Roman"/>
          <w:lang w:val="sv-SE"/>
        </w:rPr>
        <w:t xml:space="preserve">Ockenden, D. (2022a). </w:t>
      </w:r>
      <w:r w:rsidRPr="009A3EF0">
        <w:rPr>
          <w:rFonts w:eastAsia="Times New Roman"/>
          <w:i/>
          <w:iCs/>
          <w:lang w:val="sv-SE"/>
        </w:rPr>
        <w:t>Ockenden Report</w:t>
      </w:r>
      <w:r w:rsidRPr="009A3EF0">
        <w:rPr>
          <w:rFonts w:eastAsia="Times New Roman"/>
          <w:lang w:val="sv-SE"/>
        </w:rPr>
        <w:t xml:space="preserve">. </w:t>
      </w:r>
      <w:r w:rsidRPr="00172DAD">
        <w:rPr>
          <w:rFonts w:eastAsia="Times New Roman"/>
          <w:lang w:val="en-GB"/>
        </w:rPr>
        <w:t>[online] Available at: https://assets.publishing.service.gov.uk/media/624332fe8fa8f527744f0615/Final-Ockenden-Report-web-accessible.pdf [Accessed 6 Apr. 2026].</w:t>
      </w:r>
    </w:p>
    <w:p w14:paraId="2041D775"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Ockenden, D. (2022b). </w:t>
      </w:r>
      <w:r w:rsidRPr="00172DAD">
        <w:rPr>
          <w:rFonts w:eastAsia="Times New Roman"/>
          <w:i/>
          <w:iCs/>
          <w:lang w:val="en-GB"/>
        </w:rPr>
        <w:t>Ockenden review: summary of findings, conclusions and essential actions</w:t>
      </w:r>
      <w:r w:rsidRPr="00172DAD">
        <w:rPr>
          <w:rFonts w:eastAsia="Times New Roman"/>
          <w:lang w:val="en-GB"/>
        </w:rPr>
        <w:t>. [online] GOV.UK. Available at: https://www.gov.uk/government/publications/final-report-of-the-ockenden-review/ockenden-review-summary-of-findings-conclusions-and-essential-actions [Accessed 6 Apr. 2026].</w:t>
      </w:r>
    </w:p>
    <w:p w14:paraId="18F3678B"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lastRenderedPageBreak/>
        <w:t xml:space="preserve">Olea-Ramirez, L.M., Leon-Larios, F. and Corrales-Gutierrez, I. (2024). Intervention Strategies to Reduce Maternal Mortality in the Context of the Sustainable Development Goals: A Scoping Review. </w:t>
      </w:r>
      <w:r w:rsidRPr="00172DAD">
        <w:rPr>
          <w:rFonts w:eastAsia="Times New Roman"/>
          <w:i/>
          <w:iCs/>
          <w:lang w:val="en-GB"/>
        </w:rPr>
        <w:t>Women</w:t>
      </w:r>
      <w:r w:rsidRPr="00172DAD">
        <w:rPr>
          <w:rFonts w:eastAsia="Times New Roman"/>
          <w:lang w:val="en-GB"/>
        </w:rPr>
        <w:t xml:space="preserve">, 4(4), pp.387–405. </w:t>
      </w:r>
      <w:proofErr w:type="spellStart"/>
      <w:proofErr w:type="gramStart"/>
      <w:r w:rsidRPr="00172DAD">
        <w:rPr>
          <w:rFonts w:eastAsia="Times New Roman"/>
          <w:lang w:val="en-GB"/>
        </w:rPr>
        <w:t>doi:https</w:t>
      </w:r>
      <w:proofErr w:type="spellEnd"/>
      <w:r w:rsidRPr="00172DAD">
        <w:rPr>
          <w:rFonts w:eastAsia="Times New Roman"/>
          <w:lang w:val="en-GB"/>
        </w:rPr>
        <w:t>://doi.org/10.3390/women4040030</w:t>
      </w:r>
      <w:proofErr w:type="gramEnd"/>
      <w:r w:rsidRPr="00172DAD">
        <w:rPr>
          <w:rFonts w:eastAsia="Times New Roman"/>
          <w:lang w:val="en-GB"/>
        </w:rPr>
        <w:t>.</w:t>
      </w:r>
    </w:p>
    <w:p w14:paraId="4CD7F046"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Patient Safety Learning.org (2022). </w:t>
      </w:r>
      <w:r w:rsidRPr="00172DAD">
        <w:rPr>
          <w:rFonts w:eastAsia="Times New Roman"/>
          <w:i/>
          <w:iCs/>
          <w:lang w:val="en-GB"/>
        </w:rPr>
        <w:t>Initial response to the publication of the Ockenden Review</w:t>
      </w:r>
      <w:r w:rsidRPr="00172DAD">
        <w:rPr>
          <w:rFonts w:eastAsia="Times New Roman"/>
          <w:lang w:val="en-GB"/>
        </w:rPr>
        <w:t>. [online] Patient Safety Learning. Available at: https://www.patientsafetylearning.org/blog/initial-response-to-the-publication-of-the-ockenden-review [Accessed 6 Apr. 2026].</w:t>
      </w:r>
    </w:p>
    <w:p w14:paraId="132990CA" w14:textId="77777777" w:rsidR="005C79F1" w:rsidRPr="00172DAD" w:rsidRDefault="005C79F1" w:rsidP="00841E05">
      <w:pPr>
        <w:spacing w:before="120" w:after="120" w:line="480" w:lineRule="auto"/>
        <w:jc w:val="both"/>
        <w:rPr>
          <w:rFonts w:eastAsia="Times New Roman"/>
          <w:lang w:val="en-GB"/>
        </w:rPr>
      </w:pPr>
      <w:proofErr w:type="spellStart"/>
      <w:r w:rsidRPr="00172DAD">
        <w:rPr>
          <w:rFonts w:eastAsia="Times New Roman"/>
          <w:lang w:val="en-GB"/>
        </w:rPr>
        <w:t>Ratnapalan</w:t>
      </w:r>
      <w:proofErr w:type="spellEnd"/>
      <w:r w:rsidRPr="00172DAD">
        <w:rPr>
          <w:rFonts w:eastAsia="Times New Roman"/>
          <w:lang w:val="en-GB"/>
        </w:rPr>
        <w:t xml:space="preserve">, S. and Lang, D. (2019). Health Care Organizations as Complex Adaptive Systems. </w:t>
      </w:r>
      <w:r w:rsidRPr="00172DAD">
        <w:rPr>
          <w:rFonts w:eastAsia="Times New Roman"/>
          <w:i/>
          <w:iCs/>
          <w:lang w:val="en-GB"/>
        </w:rPr>
        <w:t>The Health Care Manager</w:t>
      </w:r>
      <w:r w:rsidRPr="00172DAD">
        <w:rPr>
          <w:rFonts w:eastAsia="Times New Roman"/>
          <w:lang w:val="en-GB"/>
        </w:rPr>
        <w:t xml:space="preserve">, 39(1), p.1. </w:t>
      </w:r>
      <w:proofErr w:type="spellStart"/>
      <w:proofErr w:type="gramStart"/>
      <w:r w:rsidRPr="00172DAD">
        <w:rPr>
          <w:rFonts w:eastAsia="Times New Roman"/>
          <w:lang w:val="en-GB"/>
        </w:rPr>
        <w:t>doi:https</w:t>
      </w:r>
      <w:proofErr w:type="spellEnd"/>
      <w:r w:rsidRPr="00172DAD">
        <w:rPr>
          <w:rFonts w:eastAsia="Times New Roman"/>
          <w:lang w:val="en-GB"/>
        </w:rPr>
        <w:t>://doi.org/10.1097/hcm.0000000000000284</w:t>
      </w:r>
      <w:proofErr w:type="gramEnd"/>
      <w:r w:rsidRPr="00172DAD">
        <w:rPr>
          <w:rFonts w:eastAsia="Times New Roman"/>
          <w:lang w:val="en-GB"/>
        </w:rPr>
        <w:t>.</w:t>
      </w:r>
    </w:p>
    <w:p w14:paraId="3CA44350"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Sahoo, K.C., Negi, S., Patel, K., Mishra, B.K., Palo, S.K. and Pati, S. (2021). Challenges in Maternal and Child Health Services Delivery and Access during Pandemics or Public Health Disasters in Low-and Middle-Income Countries: A Systematic Review. </w:t>
      </w:r>
      <w:r w:rsidRPr="00172DAD">
        <w:rPr>
          <w:rFonts w:eastAsia="Times New Roman"/>
          <w:i/>
          <w:iCs/>
          <w:lang w:val="en-GB"/>
        </w:rPr>
        <w:t>Healthcare</w:t>
      </w:r>
      <w:r w:rsidRPr="00172DAD">
        <w:rPr>
          <w:rFonts w:eastAsia="Times New Roman"/>
          <w:lang w:val="en-GB"/>
        </w:rPr>
        <w:t>, 9(7), p.828.</w:t>
      </w:r>
    </w:p>
    <w:p w14:paraId="04B73B2B"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Shabani, T., Jerie, S. and Shabani, T. (2023). A comprehensive review of the </w:t>
      </w:r>
      <w:proofErr w:type="spellStart"/>
      <w:r w:rsidRPr="00172DAD">
        <w:rPr>
          <w:rFonts w:eastAsia="Times New Roman"/>
          <w:lang w:val="en-GB"/>
        </w:rPr>
        <w:t>swiss</w:t>
      </w:r>
      <w:proofErr w:type="spellEnd"/>
      <w:r w:rsidRPr="00172DAD">
        <w:rPr>
          <w:rFonts w:eastAsia="Times New Roman"/>
          <w:lang w:val="en-GB"/>
        </w:rPr>
        <w:t xml:space="preserve"> cheese model in risk management. </w:t>
      </w:r>
      <w:r w:rsidRPr="00172DAD">
        <w:rPr>
          <w:rFonts w:eastAsia="Times New Roman"/>
          <w:i/>
          <w:iCs/>
          <w:lang w:val="en-GB"/>
        </w:rPr>
        <w:t>Safety in Extreme Environments</w:t>
      </w:r>
      <w:r w:rsidRPr="00172DAD">
        <w:rPr>
          <w:rFonts w:eastAsia="Times New Roman"/>
          <w:lang w:val="en-GB"/>
        </w:rPr>
        <w:t xml:space="preserve">, 6(6), pp.43–57. </w:t>
      </w:r>
      <w:proofErr w:type="spellStart"/>
      <w:proofErr w:type="gramStart"/>
      <w:r w:rsidRPr="00172DAD">
        <w:rPr>
          <w:rFonts w:eastAsia="Times New Roman"/>
          <w:lang w:val="en-GB"/>
        </w:rPr>
        <w:t>doi:https</w:t>
      </w:r>
      <w:proofErr w:type="spellEnd"/>
      <w:r w:rsidRPr="00172DAD">
        <w:rPr>
          <w:rFonts w:eastAsia="Times New Roman"/>
          <w:lang w:val="en-GB"/>
        </w:rPr>
        <w:t>://doi.org/10.1007/s42797-023-00091-7</w:t>
      </w:r>
      <w:proofErr w:type="gramEnd"/>
      <w:r w:rsidRPr="00172DAD">
        <w:rPr>
          <w:rFonts w:eastAsia="Times New Roman"/>
          <w:lang w:val="en-GB"/>
        </w:rPr>
        <w:t>.</w:t>
      </w:r>
    </w:p>
    <w:p w14:paraId="046591B4"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Siddiqui, A. (2021). ‘SWOT Analysis (or SWOT Matrix) Tool as a Strategic Planning and Management Technique in the Health Care Industry and Its Advantages’. </w:t>
      </w:r>
      <w:r w:rsidRPr="00172DAD">
        <w:rPr>
          <w:rFonts w:eastAsia="Times New Roman"/>
          <w:i/>
          <w:iCs/>
          <w:lang w:val="en-GB"/>
        </w:rPr>
        <w:t>Biomedical Journal of Scientific &amp; Technical Research</w:t>
      </w:r>
      <w:r w:rsidRPr="00172DAD">
        <w:rPr>
          <w:rFonts w:eastAsia="Times New Roman"/>
          <w:lang w:val="en-GB"/>
        </w:rPr>
        <w:t xml:space="preserve">, 40(2). </w:t>
      </w:r>
      <w:proofErr w:type="spellStart"/>
      <w:proofErr w:type="gramStart"/>
      <w:r w:rsidRPr="00172DAD">
        <w:rPr>
          <w:rFonts w:eastAsia="Times New Roman"/>
          <w:lang w:val="en-GB"/>
        </w:rPr>
        <w:t>doi:https</w:t>
      </w:r>
      <w:proofErr w:type="spellEnd"/>
      <w:r w:rsidRPr="00172DAD">
        <w:rPr>
          <w:rFonts w:eastAsia="Times New Roman"/>
          <w:lang w:val="en-GB"/>
        </w:rPr>
        <w:t>://doi.org/10.26717/bjstr.2021.40.006419</w:t>
      </w:r>
      <w:proofErr w:type="gramEnd"/>
      <w:r w:rsidRPr="00172DAD">
        <w:rPr>
          <w:rFonts w:eastAsia="Times New Roman"/>
          <w:lang w:val="en-GB"/>
        </w:rPr>
        <w:t>.</w:t>
      </w:r>
    </w:p>
    <w:p w14:paraId="479358E4"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The Guardian (2020a). Key points: Shrewsbury and Telford hospitals maternity services report. </w:t>
      </w:r>
      <w:r w:rsidRPr="00172DAD">
        <w:rPr>
          <w:rFonts w:eastAsia="Times New Roman"/>
          <w:i/>
          <w:iCs/>
          <w:lang w:val="en-GB"/>
        </w:rPr>
        <w:t>The Guardian</w:t>
      </w:r>
      <w:r w:rsidRPr="00172DAD">
        <w:rPr>
          <w:rFonts w:eastAsia="Times New Roman"/>
          <w:lang w:val="en-GB"/>
        </w:rPr>
        <w:t>. [online] 10 Dec. Available at: https://www.theguardian.com/society/2020/dec/10/key-points-shrewsbury-and-telford-hospitals-maternity-services-review [Accessed 6 Apr. 2026].</w:t>
      </w:r>
    </w:p>
    <w:p w14:paraId="7AC60D00"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The Guardian (2020b). </w:t>
      </w:r>
      <w:r w:rsidRPr="00172DAD">
        <w:rPr>
          <w:rFonts w:eastAsia="Times New Roman"/>
          <w:i/>
          <w:iCs/>
          <w:lang w:val="en-GB"/>
        </w:rPr>
        <w:t>The Observer view on the inquiry into maternity care at Shrewsbury and Telford Hospital NHS trust</w:t>
      </w:r>
      <w:r w:rsidRPr="00172DAD">
        <w:rPr>
          <w:rFonts w:eastAsia="Times New Roman"/>
          <w:lang w:val="en-GB"/>
        </w:rPr>
        <w:t xml:space="preserve">. [online] the Guardian. Available at: </w:t>
      </w:r>
      <w:r w:rsidRPr="00172DAD">
        <w:rPr>
          <w:rFonts w:eastAsia="Times New Roman"/>
          <w:lang w:val="en-GB"/>
        </w:rPr>
        <w:lastRenderedPageBreak/>
        <w:t>https://www.theguardian.com/commentisfree/2020/dec/13/the-observer-view-on-the-inquiry-into-maternity-care-at-shrewsbury-and-telford-hospital-nhs-trust [Accessed 6 Apr. 2026].</w:t>
      </w:r>
    </w:p>
    <w:p w14:paraId="1AEDA19A"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Widdows, K., Reid, H., Smith, D.M., Wood-Harper, R., Camacho, E., Roberts, S.A. and </w:t>
      </w:r>
      <w:proofErr w:type="spellStart"/>
      <w:r w:rsidRPr="00172DAD">
        <w:rPr>
          <w:rFonts w:eastAsia="Times New Roman"/>
          <w:lang w:val="en-GB"/>
        </w:rPr>
        <w:t>Heazell</w:t>
      </w:r>
      <w:proofErr w:type="spellEnd"/>
      <w:r w:rsidRPr="00172DAD">
        <w:rPr>
          <w:rFonts w:eastAsia="Times New Roman"/>
          <w:lang w:val="en-GB"/>
        </w:rPr>
        <w:t xml:space="preserve">, A.E.P. (2025). Evaluating the implementation of the Saving Babies Lives Care Bundle Version 2 from service user and healthcare professionals’ perspectives: a questionnaire study. </w:t>
      </w:r>
      <w:r w:rsidRPr="00172DAD">
        <w:rPr>
          <w:rFonts w:eastAsia="Times New Roman"/>
          <w:i/>
          <w:iCs/>
          <w:lang w:val="en-GB"/>
        </w:rPr>
        <w:t>BMJ Open Quality</w:t>
      </w:r>
      <w:r w:rsidRPr="00172DAD">
        <w:rPr>
          <w:rFonts w:eastAsia="Times New Roman"/>
          <w:lang w:val="en-GB"/>
        </w:rPr>
        <w:t xml:space="preserve">, 14(3), p.e003456. </w:t>
      </w:r>
      <w:proofErr w:type="spellStart"/>
      <w:proofErr w:type="gramStart"/>
      <w:r w:rsidRPr="00172DAD">
        <w:rPr>
          <w:rFonts w:eastAsia="Times New Roman"/>
          <w:lang w:val="en-GB"/>
        </w:rPr>
        <w:t>doi:https</w:t>
      </w:r>
      <w:proofErr w:type="spellEnd"/>
      <w:r w:rsidRPr="00172DAD">
        <w:rPr>
          <w:rFonts w:eastAsia="Times New Roman"/>
          <w:lang w:val="en-GB"/>
        </w:rPr>
        <w:t>://doi.org/10.1136/bmjoq-2025-003456</w:t>
      </w:r>
      <w:proofErr w:type="gramEnd"/>
      <w:r w:rsidRPr="00172DAD">
        <w:rPr>
          <w:rFonts w:eastAsia="Times New Roman"/>
          <w:lang w:val="en-GB"/>
        </w:rPr>
        <w:t>.</w:t>
      </w:r>
    </w:p>
    <w:p w14:paraId="295D5A4D" w14:textId="77777777" w:rsidR="005C79F1" w:rsidRPr="00172DAD" w:rsidRDefault="005C79F1" w:rsidP="00841E05">
      <w:pPr>
        <w:spacing w:before="120" w:after="120" w:line="480" w:lineRule="auto"/>
        <w:jc w:val="both"/>
        <w:rPr>
          <w:rFonts w:eastAsia="Times New Roman"/>
          <w:lang w:val="en-GB"/>
        </w:rPr>
      </w:pPr>
      <w:r w:rsidRPr="00172DAD">
        <w:rPr>
          <w:rFonts w:eastAsia="Times New Roman"/>
          <w:lang w:val="en-GB"/>
        </w:rPr>
        <w:t xml:space="preserve">Wiegmann, D.A., J. Wood, L., N. Cohen, T. and Shappell, S.A. (2022). Understanding the ‘Swiss cheese model’ and its application to patient safety. </w:t>
      </w:r>
      <w:r w:rsidRPr="00172DAD">
        <w:rPr>
          <w:rFonts w:eastAsia="Times New Roman"/>
          <w:i/>
          <w:iCs/>
          <w:lang w:val="en-GB"/>
        </w:rPr>
        <w:t>Journal of Patient Safety</w:t>
      </w:r>
      <w:r w:rsidRPr="00172DAD">
        <w:rPr>
          <w:rFonts w:eastAsia="Times New Roman"/>
          <w:lang w:val="en-GB"/>
        </w:rPr>
        <w:t xml:space="preserve">, 18(2), pp.119–123. </w:t>
      </w:r>
      <w:proofErr w:type="spellStart"/>
      <w:proofErr w:type="gramStart"/>
      <w:r w:rsidRPr="00172DAD">
        <w:rPr>
          <w:rFonts w:eastAsia="Times New Roman"/>
          <w:lang w:val="en-GB"/>
        </w:rPr>
        <w:t>doi:https</w:t>
      </w:r>
      <w:proofErr w:type="spellEnd"/>
      <w:r w:rsidRPr="00172DAD">
        <w:rPr>
          <w:rFonts w:eastAsia="Times New Roman"/>
          <w:lang w:val="en-GB"/>
        </w:rPr>
        <w:t>://doi.org/10.1097/PTS.0000000000000810</w:t>
      </w:r>
      <w:proofErr w:type="gramEnd"/>
      <w:r w:rsidRPr="00172DAD">
        <w:rPr>
          <w:rFonts w:eastAsia="Times New Roman"/>
          <w:lang w:val="en-GB"/>
        </w:rPr>
        <w:t>.</w:t>
      </w:r>
    </w:p>
    <w:sectPr w:rsidR="005C79F1" w:rsidRPr="00172DAD" w:rsidSect="002A27B0">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95893" w14:textId="77777777" w:rsidR="00CA4052" w:rsidRDefault="00CA4052">
      <w:pPr>
        <w:spacing w:line="240" w:lineRule="auto"/>
      </w:pPr>
      <w:r>
        <w:separator/>
      </w:r>
    </w:p>
  </w:endnote>
  <w:endnote w:type="continuationSeparator" w:id="0">
    <w:p w14:paraId="4A1902BA" w14:textId="77777777" w:rsidR="00CA4052" w:rsidRDefault="00CA40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8811683"/>
      <w:docPartObj>
        <w:docPartGallery w:val="Page Numbers (Bottom of Page)"/>
        <w:docPartUnique/>
      </w:docPartObj>
    </w:sdtPr>
    <w:sdtEndPr>
      <w:rPr>
        <w:noProof/>
      </w:rPr>
    </w:sdtEndPr>
    <w:sdtContent>
      <w:p w14:paraId="0EADD8C9" w14:textId="6D46BE9E" w:rsidR="002B06C6" w:rsidRDefault="00FA2585" w:rsidP="002909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27B7A" w14:textId="77777777" w:rsidR="00CA4052" w:rsidRDefault="00CA4052">
      <w:pPr>
        <w:spacing w:line="240" w:lineRule="auto"/>
      </w:pPr>
      <w:r>
        <w:separator/>
      </w:r>
    </w:p>
  </w:footnote>
  <w:footnote w:type="continuationSeparator" w:id="0">
    <w:p w14:paraId="2D314E4D" w14:textId="77777777" w:rsidR="00CA4052" w:rsidRDefault="00CA40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9141AE"/>
    <w:multiLevelType w:val="hybridMultilevel"/>
    <w:tmpl w:val="032615C0"/>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16cid:durableId="1628005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85"/>
    <w:rsid w:val="001139BD"/>
    <w:rsid w:val="00172DAD"/>
    <w:rsid w:val="001D75AB"/>
    <w:rsid w:val="00217E30"/>
    <w:rsid w:val="00290914"/>
    <w:rsid w:val="002B06C6"/>
    <w:rsid w:val="003153AE"/>
    <w:rsid w:val="00340D7F"/>
    <w:rsid w:val="005C79F1"/>
    <w:rsid w:val="00841E05"/>
    <w:rsid w:val="008B2AA1"/>
    <w:rsid w:val="009120EF"/>
    <w:rsid w:val="009330B8"/>
    <w:rsid w:val="009A3EF0"/>
    <w:rsid w:val="00C82E91"/>
    <w:rsid w:val="00CA4052"/>
    <w:rsid w:val="00CA5AFC"/>
    <w:rsid w:val="00CD0B98"/>
    <w:rsid w:val="00D007BE"/>
    <w:rsid w:val="00E073F5"/>
    <w:rsid w:val="00FA2585"/>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350FA"/>
  <w15:chartTrackingRefBased/>
  <w15:docId w15:val="{7692BE84-985C-423A-A0C0-818A9ABF4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585"/>
    <w:pPr>
      <w:spacing w:after="0" w:line="276" w:lineRule="auto"/>
    </w:pPr>
    <w:rPr>
      <w:rFonts w:ascii="Arial" w:eastAsia="Arial" w:hAnsi="Arial" w:cs="Arial"/>
      <w:lang w:val="en" w:eastAsia="en-IN"/>
    </w:rPr>
  </w:style>
  <w:style w:type="paragraph" w:styleId="Heading1">
    <w:name w:val="heading 1"/>
    <w:basedOn w:val="Normal"/>
    <w:next w:val="Normal"/>
    <w:link w:val="Heading1Char"/>
    <w:uiPriority w:val="9"/>
    <w:qFormat/>
    <w:rsid w:val="00E073F5"/>
    <w:pPr>
      <w:keepNext/>
      <w:keepLines/>
      <w:spacing w:before="120" w:after="120" w:line="360" w:lineRule="auto"/>
      <w:jc w:val="both"/>
      <w:outlineLvl w:val="0"/>
    </w:pPr>
    <w:rPr>
      <w:rFonts w:eastAsia="Times New Roman"/>
      <w:b/>
      <w:bCs/>
      <w:lang w:val="en-GB"/>
    </w:rPr>
  </w:style>
  <w:style w:type="paragraph" w:styleId="Heading2">
    <w:name w:val="heading 2"/>
    <w:basedOn w:val="Normal"/>
    <w:next w:val="Normal"/>
    <w:link w:val="Heading2Char"/>
    <w:uiPriority w:val="9"/>
    <w:unhideWhenUsed/>
    <w:qFormat/>
    <w:rsid w:val="00E073F5"/>
    <w:pPr>
      <w:spacing w:before="120" w:after="120" w:line="360" w:lineRule="auto"/>
      <w:outlineLvl w:val="1"/>
    </w:pPr>
    <w:rPr>
      <w:rFonts w:eastAsia="Times New Roman"/>
      <w:b/>
      <w:bCs/>
      <w:i/>
      <w:i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3F5"/>
    <w:rPr>
      <w:rFonts w:ascii="Arial" w:eastAsia="Times New Roman" w:hAnsi="Arial" w:cs="Arial"/>
      <w:b/>
      <w:bCs/>
      <w:lang w:val="en-GB" w:eastAsia="en-IN"/>
    </w:rPr>
  </w:style>
  <w:style w:type="paragraph" w:styleId="TOCHeading">
    <w:name w:val="TOC Heading"/>
    <w:basedOn w:val="Heading1"/>
    <w:next w:val="Normal"/>
    <w:uiPriority w:val="39"/>
    <w:unhideWhenUsed/>
    <w:qFormat/>
    <w:rsid w:val="00FA2585"/>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FA2585"/>
    <w:pPr>
      <w:spacing w:after="100"/>
    </w:pPr>
  </w:style>
  <w:style w:type="character" w:styleId="Hyperlink">
    <w:name w:val="Hyperlink"/>
    <w:basedOn w:val="DefaultParagraphFont"/>
    <w:uiPriority w:val="99"/>
    <w:unhideWhenUsed/>
    <w:rsid w:val="00FA2585"/>
    <w:rPr>
      <w:color w:val="0563C1" w:themeColor="hyperlink"/>
      <w:u w:val="single"/>
    </w:rPr>
  </w:style>
  <w:style w:type="paragraph" w:styleId="ListParagraph">
    <w:name w:val="List Paragraph"/>
    <w:basedOn w:val="Normal"/>
    <w:uiPriority w:val="34"/>
    <w:qFormat/>
    <w:rsid w:val="00FA2585"/>
    <w:pPr>
      <w:ind w:left="720"/>
      <w:contextualSpacing/>
    </w:pPr>
  </w:style>
  <w:style w:type="paragraph" w:styleId="Footer">
    <w:name w:val="footer"/>
    <w:basedOn w:val="Normal"/>
    <w:link w:val="FooterChar"/>
    <w:uiPriority w:val="99"/>
    <w:unhideWhenUsed/>
    <w:rsid w:val="00FA2585"/>
    <w:pPr>
      <w:tabs>
        <w:tab w:val="center" w:pos="4680"/>
        <w:tab w:val="right" w:pos="9360"/>
      </w:tabs>
      <w:spacing w:line="240" w:lineRule="auto"/>
    </w:pPr>
  </w:style>
  <w:style w:type="character" w:customStyle="1" w:styleId="FooterChar">
    <w:name w:val="Footer Char"/>
    <w:basedOn w:val="DefaultParagraphFont"/>
    <w:link w:val="Footer"/>
    <w:uiPriority w:val="99"/>
    <w:rsid w:val="00FA2585"/>
    <w:rPr>
      <w:rFonts w:ascii="Arial" w:eastAsia="Arial" w:hAnsi="Arial" w:cs="Arial"/>
      <w:lang w:val="en" w:eastAsia="en-IN"/>
    </w:rPr>
  </w:style>
  <w:style w:type="character" w:customStyle="1" w:styleId="Heading2Char">
    <w:name w:val="Heading 2 Char"/>
    <w:basedOn w:val="DefaultParagraphFont"/>
    <w:link w:val="Heading2"/>
    <w:uiPriority w:val="9"/>
    <w:rsid w:val="00E073F5"/>
    <w:rPr>
      <w:rFonts w:ascii="Arial" w:eastAsia="Times New Roman" w:hAnsi="Arial" w:cs="Arial"/>
      <w:b/>
      <w:bCs/>
      <w:i/>
      <w:iCs/>
      <w:lang w:val="en-GB" w:eastAsia="en-IN"/>
    </w:rPr>
  </w:style>
  <w:style w:type="table" w:styleId="TableGrid">
    <w:name w:val="Table Grid"/>
    <w:basedOn w:val="TableNormal"/>
    <w:uiPriority w:val="39"/>
    <w:rsid w:val="00E073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53AE"/>
    <w:pPr>
      <w:spacing w:after="100"/>
      <w:ind w:left="220"/>
    </w:pPr>
  </w:style>
  <w:style w:type="paragraph" w:styleId="Header">
    <w:name w:val="header"/>
    <w:basedOn w:val="Normal"/>
    <w:link w:val="HeaderChar"/>
    <w:uiPriority w:val="99"/>
    <w:unhideWhenUsed/>
    <w:rsid w:val="00290914"/>
    <w:pPr>
      <w:tabs>
        <w:tab w:val="center" w:pos="4680"/>
        <w:tab w:val="right" w:pos="9360"/>
      </w:tabs>
      <w:spacing w:line="240" w:lineRule="auto"/>
    </w:pPr>
  </w:style>
  <w:style w:type="character" w:customStyle="1" w:styleId="HeaderChar">
    <w:name w:val="Header Char"/>
    <w:basedOn w:val="DefaultParagraphFont"/>
    <w:link w:val="Header"/>
    <w:uiPriority w:val="99"/>
    <w:rsid w:val="00290914"/>
    <w:rPr>
      <w:rFonts w:ascii="Arial" w:eastAsia="Arial" w:hAnsi="Arial" w:cs="Arial"/>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458981">
      <w:bodyDiv w:val="1"/>
      <w:marLeft w:val="0"/>
      <w:marRight w:val="0"/>
      <w:marTop w:val="0"/>
      <w:marBottom w:val="0"/>
      <w:divBdr>
        <w:top w:val="none" w:sz="0" w:space="0" w:color="auto"/>
        <w:left w:val="none" w:sz="0" w:space="0" w:color="auto"/>
        <w:bottom w:val="none" w:sz="0" w:space="0" w:color="auto"/>
        <w:right w:val="none" w:sz="0" w:space="0" w:color="auto"/>
      </w:divBdr>
    </w:div>
    <w:div w:id="1111776470">
      <w:bodyDiv w:val="1"/>
      <w:marLeft w:val="0"/>
      <w:marRight w:val="0"/>
      <w:marTop w:val="0"/>
      <w:marBottom w:val="0"/>
      <w:divBdr>
        <w:top w:val="none" w:sz="0" w:space="0" w:color="auto"/>
        <w:left w:val="none" w:sz="0" w:space="0" w:color="auto"/>
        <w:bottom w:val="none" w:sz="0" w:space="0" w:color="auto"/>
        <w:right w:val="none" w:sz="0" w:space="0" w:color="auto"/>
      </w:divBdr>
    </w:div>
    <w:div w:id="205214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4582</Words>
  <Characters>26122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Darshan Sarvaiya</cp:lastModifiedBy>
  <cp:revision>2</cp:revision>
  <dcterms:created xsi:type="dcterms:W3CDTF">2026-04-12T09:21:00Z</dcterms:created>
  <dcterms:modified xsi:type="dcterms:W3CDTF">2026-04-12T09:21:00Z</dcterms:modified>
</cp:coreProperties>
</file>