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2F58E" w14:textId="52D166AF" w:rsidR="00A440FB" w:rsidRDefault="00A440FB" w:rsidP="00A440FB">
      <w:pPr>
        <w:jc w:val="both"/>
        <w:rPr>
          <w:rFonts w:ascii="Times New Roman" w:hAnsi="Times New Roman" w:cs="Times New Roman"/>
          <w:b/>
          <w:bCs/>
          <w:sz w:val="20"/>
          <w:szCs w:val="20"/>
        </w:rPr>
      </w:pPr>
      <w:r w:rsidRPr="00A440FB">
        <w:rPr>
          <w:rFonts w:ascii="Times New Roman" w:hAnsi="Times New Roman" w:cs="Times New Roman"/>
          <w:b/>
          <w:bCs/>
          <w:noProof/>
          <w:sz w:val="20"/>
          <w:szCs w:val="20"/>
        </w:rPr>
        <w:drawing>
          <wp:inline distT="0" distB="0" distL="0" distR="0" wp14:anchorId="7A393725" wp14:editId="7381BA35">
            <wp:extent cx="5731510" cy="1327785"/>
            <wp:effectExtent l="0" t="0" r="2540" b="5715"/>
            <wp:docPr id="2080704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704911" name=""/>
                    <pic:cNvPicPr/>
                  </pic:nvPicPr>
                  <pic:blipFill>
                    <a:blip r:embed="rId4"/>
                    <a:stretch>
                      <a:fillRect/>
                    </a:stretch>
                  </pic:blipFill>
                  <pic:spPr>
                    <a:xfrm>
                      <a:off x="0" y="0"/>
                      <a:ext cx="5731510" cy="1327785"/>
                    </a:xfrm>
                    <a:prstGeom prst="rect">
                      <a:avLst/>
                    </a:prstGeom>
                  </pic:spPr>
                </pic:pic>
              </a:graphicData>
            </a:graphic>
          </wp:inline>
        </w:drawing>
      </w:r>
    </w:p>
    <w:p w14:paraId="78AA5717" w14:textId="7E97CDE6" w:rsidR="00EC6631" w:rsidRPr="00EC6631" w:rsidRDefault="00EC6631" w:rsidP="00A440FB">
      <w:pPr>
        <w:jc w:val="both"/>
        <w:rPr>
          <w:rFonts w:ascii="Times New Roman" w:hAnsi="Times New Roman" w:cs="Times New Roman"/>
          <w:b/>
          <w:bCs/>
          <w:sz w:val="24"/>
          <w:szCs w:val="24"/>
        </w:rPr>
      </w:pPr>
      <w:r w:rsidRPr="00EC6631">
        <w:rPr>
          <w:rFonts w:ascii="Times New Roman" w:hAnsi="Times New Roman" w:cs="Times New Roman"/>
          <w:b/>
          <w:bCs/>
          <w:sz w:val="24"/>
          <w:szCs w:val="24"/>
        </w:rPr>
        <w:t>A Critical Evaluation of Environmental Impact Assessment Practice in Wales:</w:t>
      </w:r>
    </w:p>
    <w:p w14:paraId="39DBFE59" w14:textId="77777777" w:rsidR="00EC6631" w:rsidRDefault="00EC6631" w:rsidP="00A440FB">
      <w:pPr>
        <w:jc w:val="both"/>
        <w:rPr>
          <w:rFonts w:ascii="Times New Roman" w:hAnsi="Times New Roman" w:cs="Times New Roman"/>
          <w:b/>
          <w:bCs/>
          <w:sz w:val="24"/>
          <w:szCs w:val="24"/>
        </w:rPr>
      </w:pPr>
      <w:r w:rsidRPr="00EC6631">
        <w:rPr>
          <w:rFonts w:ascii="Times New Roman" w:hAnsi="Times New Roman" w:cs="Times New Roman"/>
          <w:b/>
          <w:bCs/>
          <w:sz w:val="24"/>
          <w:szCs w:val="24"/>
        </w:rPr>
        <w:t xml:space="preserve">A Lee &amp; Colley Review of the A487 New </w:t>
      </w:r>
      <w:proofErr w:type="spellStart"/>
      <w:r w:rsidRPr="00EC6631">
        <w:rPr>
          <w:rFonts w:ascii="Times New Roman" w:hAnsi="Times New Roman" w:cs="Times New Roman"/>
          <w:b/>
          <w:bCs/>
          <w:sz w:val="24"/>
          <w:szCs w:val="24"/>
        </w:rPr>
        <w:t>Dyfi</w:t>
      </w:r>
      <w:proofErr w:type="spellEnd"/>
      <w:r w:rsidRPr="00EC6631">
        <w:rPr>
          <w:rFonts w:ascii="Times New Roman" w:hAnsi="Times New Roman" w:cs="Times New Roman"/>
          <w:b/>
          <w:bCs/>
          <w:sz w:val="24"/>
          <w:szCs w:val="24"/>
        </w:rPr>
        <w:t xml:space="preserve"> Bridge Environmental Statement</w:t>
      </w:r>
    </w:p>
    <w:p w14:paraId="4A4AC15B" w14:textId="20FE5A05" w:rsidR="00A440FB" w:rsidRDefault="00A440FB" w:rsidP="0013448A">
      <w:pPr>
        <w:rPr>
          <w:rFonts w:ascii="Times New Roman" w:hAnsi="Times New Roman" w:cs="Times New Roman"/>
          <w:b/>
          <w:bCs/>
          <w:sz w:val="24"/>
          <w:szCs w:val="24"/>
        </w:rPr>
      </w:pPr>
      <w:r>
        <w:rPr>
          <w:rFonts w:ascii="Times New Roman" w:hAnsi="Times New Roman" w:cs="Times New Roman"/>
          <w:b/>
          <w:bCs/>
          <w:sz w:val="24"/>
          <w:szCs w:val="24"/>
        </w:rPr>
        <w:t>Student Name:</w:t>
      </w:r>
      <w:r w:rsidR="0013448A" w:rsidRPr="0013448A">
        <w:t xml:space="preserve"> </w:t>
      </w:r>
      <w:r w:rsidR="0013448A" w:rsidRPr="0013448A">
        <w:rPr>
          <w:rFonts w:ascii="Times New Roman" w:hAnsi="Times New Roman" w:cs="Times New Roman"/>
          <w:b/>
          <w:bCs/>
          <w:sz w:val="24"/>
          <w:szCs w:val="24"/>
        </w:rPr>
        <w:t>Md Ahsan Alahi Raf</w:t>
      </w:r>
      <w:r w:rsidR="0013448A">
        <w:rPr>
          <w:rFonts w:ascii="Times New Roman" w:hAnsi="Times New Roman" w:cs="Times New Roman"/>
          <w:b/>
          <w:bCs/>
          <w:sz w:val="24"/>
          <w:szCs w:val="24"/>
        </w:rPr>
        <w:t>i</w:t>
      </w:r>
      <w:r w:rsidR="0013448A">
        <w:rPr>
          <w:rFonts w:ascii="Times New Roman" w:hAnsi="Times New Roman" w:cs="Times New Roman"/>
          <w:b/>
          <w:bCs/>
          <w:sz w:val="24"/>
          <w:szCs w:val="24"/>
        </w:rPr>
        <w:br/>
        <w:t xml:space="preserve">Student </w:t>
      </w:r>
      <w:proofErr w:type="gramStart"/>
      <w:r w:rsidR="0013448A">
        <w:rPr>
          <w:rFonts w:ascii="Times New Roman" w:hAnsi="Times New Roman" w:cs="Times New Roman"/>
          <w:b/>
          <w:bCs/>
          <w:sz w:val="24"/>
          <w:szCs w:val="24"/>
        </w:rPr>
        <w:t>id :</w:t>
      </w:r>
      <w:proofErr w:type="gramEnd"/>
      <w:r w:rsidR="0013448A">
        <w:rPr>
          <w:rFonts w:ascii="Times New Roman" w:hAnsi="Times New Roman" w:cs="Times New Roman"/>
          <w:b/>
          <w:bCs/>
          <w:sz w:val="24"/>
          <w:szCs w:val="24"/>
        </w:rPr>
        <w:t xml:space="preserve"> </w:t>
      </w:r>
      <w:r w:rsidR="0013448A" w:rsidRPr="0013448A">
        <w:rPr>
          <w:rFonts w:ascii="Times New Roman" w:hAnsi="Times New Roman" w:cs="Times New Roman"/>
          <w:b/>
          <w:bCs/>
          <w:sz w:val="24"/>
          <w:szCs w:val="24"/>
        </w:rPr>
        <w:t>2511326</w:t>
      </w:r>
    </w:p>
    <w:p w14:paraId="69673B91" w14:textId="3FF6DE37" w:rsidR="00A440FB" w:rsidRPr="00EC6631" w:rsidRDefault="00A440FB" w:rsidP="00A440FB">
      <w:pPr>
        <w:jc w:val="both"/>
        <w:rPr>
          <w:rFonts w:ascii="Times New Roman" w:hAnsi="Times New Roman" w:cs="Times New Roman"/>
          <w:b/>
          <w:bCs/>
          <w:sz w:val="24"/>
          <w:szCs w:val="24"/>
        </w:rPr>
      </w:pPr>
      <w:r>
        <w:rPr>
          <w:rFonts w:ascii="Times New Roman" w:hAnsi="Times New Roman" w:cs="Times New Roman"/>
          <w:b/>
          <w:bCs/>
          <w:sz w:val="24"/>
          <w:szCs w:val="24"/>
        </w:rPr>
        <w:t>---------------------------------------------------------------------------------------------------------------</w:t>
      </w:r>
    </w:p>
    <w:p w14:paraId="7443F0FC" w14:textId="77777777" w:rsidR="00A440FB" w:rsidRDefault="00A440FB" w:rsidP="00A440FB">
      <w:pPr>
        <w:jc w:val="both"/>
        <w:rPr>
          <w:rFonts w:ascii="Times New Roman" w:hAnsi="Times New Roman" w:cs="Times New Roman"/>
          <w:b/>
          <w:bCs/>
          <w:sz w:val="20"/>
          <w:szCs w:val="20"/>
        </w:rPr>
        <w:sectPr w:rsidR="00A440FB">
          <w:pgSz w:w="11906" w:h="16838"/>
          <w:pgMar w:top="1440" w:right="1440" w:bottom="1440" w:left="1440" w:header="708" w:footer="708" w:gutter="0"/>
          <w:cols w:space="708"/>
          <w:docGrid w:linePitch="360"/>
        </w:sectPr>
      </w:pPr>
    </w:p>
    <w:p w14:paraId="6AC52F76" w14:textId="77777777" w:rsidR="00A440FB" w:rsidRPr="00A440FB" w:rsidRDefault="00A440FB" w:rsidP="00A440FB">
      <w:pPr>
        <w:jc w:val="both"/>
        <w:rPr>
          <w:rFonts w:ascii="Times New Roman" w:hAnsi="Times New Roman" w:cs="Times New Roman"/>
          <w:b/>
          <w:bCs/>
          <w:sz w:val="20"/>
          <w:szCs w:val="20"/>
          <w:u w:val="single"/>
        </w:rPr>
      </w:pPr>
      <w:r w:rsidRPr="00A440FB">
        <w:rPr>
          <w:rFonts w:ascii="Times New Roman" w:hAnsi="Times New Roman" w:cs="Times New Roman"/>
          <w:b/>
          <w:bCs/>
          <w:sz w:val="20"/>
          <w:szCs w:val="20"/>
          <w:u w:val="single"/>
        </w:rPr>
        <w:t>Article info</w:t>
      </w:r>
    </w:p>
    <w:p w14:paraId="32240755" w14:textId="77777777" w:rsidR="00A440FB" w:rsidRDefault="00A440FB"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Article history:</w:t>
      </w:r>
    </w:p>
    <w:p w14:paraId="6E0C39CD" w14:textId="77777777" w:rsidR="00A440FB" w:rsidRDefault="00A440FB"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Received 12 March 2026</w:t>
      </w:r>
    </w:p>
    <w:p w14:paraId="4EA57F22" w14:textId="77777777" w:rsidR="00A440FB" w:rsidRDefault="00A440FB"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Received in revised form 28 March 2026</w:t>
      </w:r>
    </w:p>
    <w:p w14:paraId="2727A129" w14:textId="77777777" w:rsidR="00A440FB" w:rsidRDefault="00A440FB"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Accepted 5 April 2026</w:t>
      </w:r>
    </w:p>
    <w:p w14:paraId="6E22743A" w14:textId="505D5235" w:rsidR="00A440FB" w:rsidRPr="00A440FB" w:rsidRDefault="00A440FB"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Available online 15 April 2026</w:t>
      </w:r>
    </w:p>
    <w:p w14:paraId="5C2BED1D" w14:textId="77777777" w:rsidR="00A440FB" w:rsidRDefault="00A440FB" w:rsidP="00A440FB">
      <w:pPr>
        <w:jc w:val="both"/>
        <w:rPr>
          <w:rFonts w:ascii="Times New Roman" w:hAnsi="Times New Roman" w:cs="Times New Roman"/>
          <w:b/>
          <w:bCs/>
          <w:sz w:val="20"/>
          <w:szCs w:val="20"/>
        </w:rPr>
      </w:pPr>
    </w:p>
    <w:p w14:paraId="58768AB2" w14:textId="77777777" w:rsidR="00A440FB" w:rsidRPr="00A440FB" w:rsidRDefault="00A440FB" w:rsidP="00A440FB">
      <w:pPr>
        <w:jc w:val="both"/>
        <w:rPr>
          <w:rFonts w:ascii="Times New Roman" w:hAnsi="Times New Roman" w:cs="Times New Roman"/>
          <w:b/>
          <w:bCs/>
          <w:sz w:val="20"/>
          <w:szCs w:val="20"/>
          <w:u w:val="single"/>
        </w:rPr>
      </w:pPr>
      <w:r w:rsidRPr="00A440FB">
        <w:rPr>
          <w:rFonts w:ascii="Times New Roman" w:hAnsi="Times New Roman" w:cs="Times New Roman"/>
          <w:b/>
          <w:bCs/>
          <w:sz w:val="20"/>
          <w:szCs w:val="20"/>
          <w:u w:val="single"/>
        </w:rPr>
        <w:t>Keywords:</w:t>
      </w:r>
    </w:p>
    <w:p w14:paraId="56B3BA09" w14:textId="77777777" w:rsidR="00A440FB" w:rsidRDefault="00A440FB"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Environmental Impact Assessment</w:t>
      </w:r>
    </w:p>
    <w:p w14:paraId="47F4D046" w14:textId="77777777" w:rsidR="00A440FB" w:rsidRDefault="00A440FB"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EIA quality review</w:t>
      </w:r>
    </w:p>
    <w:p w14:paraId="15E6E194" w14:textId="77777777" w:rsidR="00A440FB" w:rsidRDefault="00A440FB"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Lee &amp; Colley Review Package</w:t>
      </w:r>
    </w:p>
    <w:p w14:paraId="55689D91" w14:textId="77777777" w:rsidR="00A440FB" w:rsidRDefault="00A440FB"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Transport infrastructure</w:t>
      </w:r>
    </w:p>
    <w:p w14:paraId="2971A35C" w14:textId="77777777" w:rsidR="00A440FB" w:rsidRDefault="00A440FB"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Environmental Statement</w:t>
      </w:r>
    </w:p>
    <w:p w14:paraId="6D80DEFE" w14:textId="4E1DDABA"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num="2" w:space="708"/>
          <w:docGrid w:linePitch="360"/>
        </w:sectPr>
      </w:pPr>
      <w:r w:rsidRPr="00A440FB">
        <w:rPr>
          <w:rFonts w:ascii="Times New Roman" w:hAnsi="Times New Roman" w:cs="Times New Roman"/>
          <w:b/>
          <w:bCs/>
          <w:sz w:val="20"/>
          <w:szCs w:val="20"/>
        </w:rPr>
        <w:t>Wale</w:t>
      </w:r>
    </w:p>
    <w:p w14:paraId="47B972E0" w14:textId="78B20404"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Abstract</w:t>
      </w:r>
    </w:p>
    <w:p w14:paraId="3078CD59"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Environmental Impact Assessment (EIA) is a central mechanism for integrating environmental considerations into development decision-making and promoting sustainable outcomes. Despite its long-standing statutory role within the United Kingdom and devolved administrations such as Wales, concerns persist regarding the substantive effectiveness of EIA in practice. This study critically evaluates the Environmental Statement (ES) prepared for the A487 New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scheme in Wales using the Lee and Colley Review Package. The research assesses the quality, transparency and methodological robustness of the ES in relation to legislative requirements, best-practice guidance and contemporary academic literature. Findings indicate that while the ES demonstrates procedural compliance and applies established assessment methodologies, significant weaknesses remain in alternatives assessment, significance evaluation, cumulative effects consideration and post-consent monitoring. These shortcomings reflect broader systemic challenges identified in UK EIA practice, suggesting a persistent gap between theoretical expectations, legislative intent and implementation. The paper concludes by offering recommendations to enhance the effectiveness of EIA practice in transport infrastructure projects, particularly within environmentally sensitive contexts.</w:t>
      </w:r>
    </w:p>
    <w:p w14:paraId="256A9E3C" w14:textId="7C98BF26" w:rsidR="00EC6631" w:rsidRPr="00EC6631" w:rsidRDefault="00A440FB" w:rsidP="00A440FB">
      <w:pPr>
        <w:jc w:val="both"/>
        <w:rPr>
          <w:rFonts w:ascii="Times New Roman" w:hAnsi="Times New Roman" w:cs="Times New Roman"/>
          <w:sz w:val="20"/>
          <w:szCs w:val="20"/>
        </w:rPr>
      </w:pPr>
      <w:r>
        <w:rPr>
          <w:rFonts w:ascii="Times New Roman" w:hAnsi="Times New Roman" w:cs="Times New Roman"/>
          <w:sz w:val="20"/>
          <w:szCs w:val="20"/>
        </w:rPr>
        <w:t>---------------------------------------------------------------------------------------------------------------------------------------</w:t>
      </w:r>
    </w:p>
    <w:p w14:paraId="3B59C5FB"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space="708"/>
          <w:docGrid w:linePitch="360"/>
        </w:sectPr>
      </w:pPr>
    </w:p>
    <w:p w14:paraId="0645218B"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1. Introduction</w:t>
      </w:r>
    </w:p>
    <w:p w14:paraId="25247863"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Environmental Impact Assessment (EIA) is a structured and anticipatory decision-support process designed to identify, predict and evaluate the likely environmental effects of proposed developments prior to consent being granted. Since its formalisation in the late twentieth century, EIA has become a core regulatory requirement in many jurisdictions, including the United Kingdom and </w:t>
      </w:r>
      <w:r w:rsidRPr="00EC6631">
        <w:rPr>
          <w:rFonts w:ascii="Times New Roman" w:hAnsi="Times New Roman" w:cs="Times New Roman"/>
          <w:sz w:val="20"/>
          <w:szCs w:val="20"/>
        </w:rPr>
        <w:t>Wales, where it operates as a key instrument for balancing development pressures with environmental protection and sustainability objectives. EIA aims not only to provide environmental information to decision-makers but also to improve the quality of decisions by embedding environmental considerations early within project planning and design.</w:t>
      </w:r>
    </w:p>
    <w:p w14:paraId="032B2BDC" w14:textId="472D5F3B"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lastRenderedPageBreak/>
        <w:t>In Wales, EIA operates within a complex regulatory and policy framework shaped by UK legislation, retained European Union (EU) directives, and devolved sustainability legislation such as the Well-being of Future Generations (Wales) Act 2015. Transport infrastructure projects, in particular, present significant challenges for EIA practice due to their scale, technical complexity and potential to generate long-term environmental impacts across multiple receptors. As such, they provide a valuable context in which to examine the effectiveness of EIA as a tool for sustainable decision-making</w:t>
      </w:r>
      <w:r w:rsidR="00A5018B">
        <w:rPr>
          <w:rFonts w:ascii="Times New Roman" w:hAnsi="Times New Roman" w:cs="Times New Roman"/>
          <w:sz w:val="20"/>
          <w:szCs w:val="20"/>
        </w:rPr>
        <w:t xml:space="preserve"> [1]</w:t>
      </w:r>
      <w:r w:rsidRPr="00EC6631">
        <w:rPr>
          <w:rFonts w:ascii="Times New Roman" w:hAnsi="Times New Roman" w:cs="Times New Roman"/>
          <w:sz w:val="20"/>
          <w:szCs w:val="20"/>
        </w:rPr>
        <w:t>.</w:t>
      </w:r>
    </w:p>
    <w:p w14:paraId="2A3E4BBF" w14:textId="77777777" w:rsidR="00EC6631" w:rsidRPr="00A440FB"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This paper critically evaluates the Environmental Statement (ES) prepared for the A487 New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scheme in Wales. Rather than assessing the environmental impacts of the project itself, the study focuses on the </w:t>
      </w:r>
      <w:r w:rsidRPr="00EC6631">
        <w:rPr>
          <w:rFonts w:ascii="Times New Roman" w:hAnsi="Times New Roman" w:cs="Times New Roman"/>
          <w:i/>
          <w:iCs/>
          <w:sz w:val="20"/>
          <w:szCs w:val="20"/>
        </w:rPr>
        <w:t>quality of the EIA process</w:t>
      </w:r>
      <w:r w:rsidRPr="00EC6631">
        <w:rPr>
          <w:rFonts w:ascii="Times New Roman" w:hAnsi="Times New Roman" w:cs="Times New Roman"/>
          <w:sz w:val="20"/>
          <w:szCs w:val="20"/>
        </w:rPr>
        <w:t xml:space="preserve"> as reflected in the ES. The Lee and Colley Review Package is employed as a systematic framework to examine the adequacy, transparency and analytical strength of the assessment. By situating the findings within contemporary academic literature and best-practice guidance, the paper seeks to identify whether the ES effectively fulfils the intended objectives of EIA and to what extent it reflects wider trends in UK EIA practice.</w:t>
      </w:r>
    </w:p>
    <w:p w14:paraId="63608AB1" w14:textId="77777777" w:rsidR="00EC6631" w:rsidRPr="00A440FB" w:rsidRDefault="00EC6631" w:rsidP="00A440FB">
      <w:pPr>
        <w:jc w:val="both"/>
        <w:rPr>
          <w:rFonts w:ascii="Times New Roman" w:hAnsi="Times New Roman" w:cs="Times New Roman"/>
          <w:sz w:val="20"/>
          <w:szCs w:val="20"/>
        </w:rPr>
      </w:pPr>
    </w:p>
    <w:p w14:paraId="466B874D"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1.1 Evolution and Purpose of Environmental Impact Assessment</w:t>
      </w:r>
    </w:p>
    <w:p w14:paraId="26326140"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EIA emerged as a formalised process in response to growing recognition of the environmental consequences of development activities. Its primary purpose is to identify, predict and evaluate the likely significant environmental effects of proposed projects prior to decision-making, thereby promoting environmentally informed and transparent choices. Over time, EIA has expanded beyond a purely technical exercise to encompass public participation, sustainability considerations and adaptive management. Nevertheless, academic literature continues to question whether EIA consistently achieves its intended objectives, particularly in terms of influencing project design and decision outcomes.</w:t>
      </w:r>
    </w:p>
    <w:p w14:paraId="75C9AAA4"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1.2 Environmental Impact Assessment in the UK and Welsh Context</w:t>
      </w:r>
    </w:p>
    <w:p w14:paraId="54A43FFA"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In the United Kingdom, EIA is principally governed by the Town and Country Planning (Environmental Impact Assessment) Regulations 2017, which transpose the requirements of Directive 2014/52/EU into domestic law. In Wales, EIA operates within a distinct policy landscape shaped by devolved </w:t>
      </w:r>
      <w:r w:rsidRPr="00EC6631">
        <w:rPr>
          <w:rFonts w:ascii="Times New Roman" w:hAnsi="Times New Roman" w:cs="Times New Roman"/>
          <w:sz w:val="20"/>
          <w:szCs w:val="20"/>
        </w:rPr>
        <w:t>planning powers and sustainability legislation, including the Well-being of Future Generations (Wales) Act 2015 and Planning Policy Wales. These frameworks place additional emphasis on long-term thinking, environmental resilience and sustainable development, raising expectations for the quality and effectiveness of Environmental Statements produced for major infrastructure projects.</w:t>
      </w:r>
    </w:p>
    <w:p w14:paraId="3C3730F6"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1.3 Challenges in Contemporary EIA Practice</w:t>
      </w:r>
    </w:p>
    <w:p w14:paraId="2C5E30B9"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Despite a well-established legislative framework, numerous studies have identified persistent weaknesses in EIA practice. Commonly cited challenges include superficial consideration of alternatives, inconsistent significance evaluation, limited treatment of cumulative and long-term effects, and inadequate post-consent monitoring. Such issues are particularly evident in transport infrastructure projects, where technical complexity and delivery pressures may constrain the depth of environmental assessment. These challenges highlight the importance of critically reviewing Environmental Statements to determine whether they meaningfully support sustainable decision-making or primarily fulfil procedural requirements.</w:t>
      </w:r>
    </w:p>
    <w:p w14:paraId="347FFD81"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1.4 Aim and Scope of the Study</w:t>
      </w:r>
    </w:p>
    <w:p w14:paraId="2D2CFE9A" w14:textId="11286B6D"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The aim of this study is to critically evaluate the quality and effectiveness of the Environmental Impact Assessment undertaken for the A487 New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scheme in Wales. Using the Lee and Colley Review Package as a systematic review framework, the paper assesses the Environmental Statement against statutory requirements, best-practice guidance and contemporary academic literature. The focus is not on the acceptability of the project itself, but on the adequacy, transparency and analytical robustness of the EIA process as documented in the Environmental Statement</w:t>
      </w:r>
      <w:r w:rsidR="00A5018B">
        <w:rPr>
          <w:rFonts w:ascii="Times New Roman" w:hAnsi="Times New Roman" w:cs="Times New Roman"/>
          <w:sz w:val="20"/>
          <w:szCs w:val="20"/>
        </w:rPr>
        <w:t xml:space="preserve"> [2]</w:t>
      </w:r>
      <w:r w:rsidRPr="00EC6631">
        <w:rPr>
          <w:rFonts w:ascii="Times New Roman" w:hAnsi="Times New Roman" w:cs="Times New Roman"/>
          <w:sz w:val="20"/>
          <w:szCs w:val="20"/>
        </w:rPr>
        <w:t>.</w:t>
      </w:r>
    </w:p>
    <w:p w14:paraId="32ECBA67" w14:textId="0077C05F" w:rsidR="00EC6631" w:rsidRPr="00EC6631" w:rsidRDefault="00EC6631" w:rsidP="00A440FB">
      <w:pPr>
        <w:jc w:val="both"/>
        <w:rPr>
          <w:rFonts w:ascii="Times New Roman" w:hAnsi="Times New Roman" w:cs="Times New Roman"/>
          <w:sz w:val="20"/>
          <w:szCs w:val="20"/>
        </w:rPr>
      </w:pPr>
    </w:p>
    <w:p w14:paraId="3EB7CDFF"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2. Legislative, Policy and Best-Practice Context</w:t>
      </w:r>
    </w:p>
    <w:p w14:paraId="2C667B8A"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The operation of EIA in Wales is governed by a multi-layered regulatory framework encompassing UK legislation, devolved Welsh policy, and international best-practice guidance. The principal statutory basis for EIA is provided by the Town and Country Planning (Environmental Impact Assessment) Regulations 2017, which transpose the requirements of Directive 2014/52/EU into domestic law. Although the United Kingdom has exited the EU, the substantive requirements of the Directive remain embedded within UK legislation and continue to shape EIA practice in Wales.</w:t>
      </w:r>
    </w:p>
    <w:p w14:paraId="729E370B" w14:textId="5DD1791D"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lastRenderedPageBreak/>
        <w:t>The Regulations specify the mandatory content of an Environmental Statement, including a description of the project, reasonable alternatives, baseline environmental conditions, likely significant effects, mitigation measures and monitoring arrangements. These procedural requirements are intended to ensure that environmental information is sufficiently comprehensive to inform decision-making</w:t>
      </w:r>
      <w:r w:rsidR="00A5018B">
        <w:rPr>
          <w:rFonts w:ascii="Times New Roman" w:hAnsi="Times New Roman" w:cs="Times New Roman"/>
          <w:sz w:val="20"/>
          <w:szCs w:val="20"/>
        </w:rPr>
        <w:t xml:space="preserve"> [3]</w:t>
      </w:r>
      <w:r w:rsidRPr="00EC6631">
        <w:rPr>
          <w:rFonts w:ascii="Times New Roman" w:hAnsi="Times New Roman" w:cs="Times New Roman"/>
          <w:sz w:val="20"/>
          <w:szCs w:val="20"/>
        </w:rPr>
        <w:t>. However, compliance with statutory requirements does not necessarily guarantee substantive effectiveness, a concern frequently raised within EIA literature.</w:t>
      </w:r>
    </w:p>
    <w:p w14:paraId="3AB2A000"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In Wales, EIA is further shaped by Planning Policy Wales (Edition 11) and the Well-being of Future Generations (Wales) Act 2015, which collectively emphasise sustainable development, long-term thinking and resilience. For transport infrastructure projects, Welsh Transport Appraisal Guidance (</w:t>
      </w:r>
      <w:proofErr w:type="spellStart"/>
      <w:r w:rsidRPr="00EC6631">
        <w:rPr>
          <w:rFonts w:ascii="Times New Roman" w:hAnsi="Times New Roman" w:cs="Times New Roman"/>
          <w:sz w:val="20"/>
          <w:szCs w:val="20"/>
        </w:rPr>
        <w:t>WelTAG</w:t>
      </w:r>
      <w:proofErr w:type="spellEnd"/>
      <w:r w:rsidRPr="00EC6631">
        <w:rPr>
          <w:rFonts w:ascii="Times New Roman" w:hAnsi="Times New Roman" w:cs="Times New Roman"/>
          <w:sz w:val="20"/>
          <w:szCs w:val="20"/>
        </w:rPr>
        <w:t>) introduces additional expectations for early-stage environmental appraisal and integration with broader social and economic objectives.</w:t>
      </w:r>
    </w:p>
    <w:p w14:paraId="71B0F557" w14:textId="007552FC"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Beyond legislation, best-practice guidance plays a significant role in shaping EIA quality. The Institute of Environmental Management and Assessment (IEMA) has published recent guidance advocating proportionate assessment, transparent significance evaluation, improved cumulative effects assessment and clearer communication of uncertainty. Similarly, the International Association for Impact Assessment (IAIA) promotes principles of transparency, participation and adaptive management. In the context of road and bridge projects, the Design Manual for Roads and Bridges (DMRB), particularly LA 104, provides detailed methodological requirements for environmental assessment and monitoring</w:t>
      </w:r>
      <w:r w:rsidR="00A5018B">
        <w:rPr>
          <w:rFonts w:ascii="Times New Roman" w:hAnsi="Times New Roman" w:cs="Times New Roman"/>
          <w:sz w:val="20"/>
          <w:szCs w:val="20"/>
        </w:rPr>
        <w:t xml:space="preserve"> [22]</w:t>
      </w:r>
      <w:r w:rsidRPr="00EC6631">
        <w:rPr>
          <w:rFonts w:ascii="Times New Roman" w:hAnsi="Times New Roman" w:cs="Times New Roman"/>
          <w:sz w:val="20"/>
          <w:szCs w:val="20"/>
        </w:rPr>
        <w:t>.</w:t>
      </w:r>
    </w:p>
    <w:p w14:paraId="2CC1068A"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Academic literature continues to highlight persistent weaknesses in EIA practice, particularly in relation to alternatives assessment, cumulative effects, significance determination and post-consent follow-up. These critiques provide an important benchmark against which the quality of the A487 New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ES can be evaluated.</w:t>
      </w:r>
    </w:p>
    <w:p w14:paraId="0424A065" w14:textId="0D1BB144" w:rsidR="00EC6631" w:rsidRPr="00EC6631" w:rsidRDefault="00EC6631" w:rsidP="00A440FB">
      <w:pPr>
        <w:jc w:val="both"/>
        <w:rPr>
          <w:rFonts w:ascii="Times New Roman" w:hAnsi="Times New Roman" w:cs="Times New Roman"/>
          <w:sz w:val="20"/>
          <w:szCs w:val="20"/>
        </w:rPr>
      </w:pPr>
    </w:p>
    <w:p w14:paraId="0C2A0861"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3. Methodology</w:t>
      </w:r>
    </w:p>
    <w:p w14:paraId="439021DE"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To evaluate the quality of the A487 New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Environmental Statement, this study applies the Lee and Colley Review Package. Originally developed in 1990, the framework remains one of the most widely used and empirically tested tools for reviewing EIA quality. Its continued relevance has </w:t>
      </w:r>
      <w:r w:rsidRPr="00EC6631">
        <w:rPr>
          <w:rFonts w:ascii="Times New Roman" w:hAnsi="Times New Roman" w:cs="Times New Roman"/>
          <w:sz w:val="20"/>
          <w:szCs w:val="20"/>
        </w:rPr>
        <w:t>been confirmed by recent studies demonstrating its adaptability to modern regulatory contexts and its ability to distinguish between procedural completeness and analytical rigour.</w:t>
      </w:r>
    </w:p>
    <w:p w14:paraId="0B701712"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The Lee and Colley framework divides EIA review into four hierarchical Review Areas: (1) description of the project and alternatives; (2) environmental baseline, scoping and impact prediction methods; (3) identification and evaluation of impacts, including mitigation; and (4) presentation, communication and monitoring. Each Review Area is further subdivided into categories and sub-categories, enabling a granular and systematic assessment of ES quality.</w:t>
      </w:r>
    </w:p>
    <w:p w14:paraId="6631C3B6" w14:textId="70A0421D"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For this study, the framework was adapted to reflect contemporary UK and Welsh practice, including references to DMRB guidance and recent IEMA recommendations. Each sub-category was assigned a qualitative grade ranging from A (well performed) to D (unsatisfactory), based on adequacy, transparency and effectiveness. The assessment relied on triangulation between the ES, statutory requirements, best-practice guidance and academic literature to ensure analytical rigour</w:t>
      </w:r>
      <w:r w:rsidR="00A5018B">
        <w:rPr>
          <w:rFonts w:ascii="Times New Roman" w:hAnsi="Times New Roman" w:cs="Times New Roman"/>
          <w:sz w:val="20"/>
          <w:szCs w:val="20"/>
        </w:rPr>
        <w:t xml:space="preserve"> [4]</w:t>
      </w:r>
      <w:r w:rsidRPr="00EC6631">
        <w:rPr>
          <w:rFonts w:ascii="Times New Roman" w:hAnsi="Times New Roman" w:cs="Times New Roman"/>
          <w:sz w:val="20"/>
          <w:szCs w:val="20"/>
        </w:rPr>
        <w:t>.</w:t>
      </w:r>
    </w:p>
    <w:p w14:paraId="7DC57237"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4. Results</w:t>
      </w:r>
    </w:p>
    <w:p w14:paraId="1ABB9920"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This section presents the results of the critical evaluation of the A487 New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Environmental Statement (ES) using the Lee and Colley Review Package. The findings are structured according to the four Review Areas of the framework, enabling a systematic assessment of the quality, transparency and effectiveness of the EIA process. The results highlight patterns of procedural compliance alongside substantive weaknesses, reflecting broader trends identified in contemporary EIA literature.</w:t>
      </w:r>
    </w:p>
    <w:p w14:paraId="29EE1EE4"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4.1 Overall Performance of the Environmental Statement</w:t>
      </w:r>
    </w:p>
    <w:p w14:paraId="2F23E87F" w14:textId="34A086D6"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Application of the Lee and Colley Review Package indicates that the overall quality of the A487 New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Environmental Statement is </w:t>
      </w:r>
      <w:r w:rsidRPr="00EC6631">
        <w:rPr>
          <w:rFonts w:ascii="Times New Roman" w:hAnsi="Times New Roman" w:cs="Times New Roman"/>
          <w:b/>
          <w:bCs/>
          <w:sz w:val="20"/>
          <w:szCs w:val="20"/>
        </w:rPr>
        <w:t>moderate</w:t>
      </w:r>
      <w:r w:rsidRPr="00EC6631">
        <w:rPr>
          <w:rFonts w:ascii="Times New Roman" w:hAnsi="Times New Roman" w:cs="Times New Roman"/>
          <w:sz w:val="20"/>
          <w:szCs w:val="20"/>
        </w:rPr>
        <w:t>, with considerable variation between review areas. While baseline data collection and application of standard methodologies were generally satisfactory, deficiencies were identified in alternatives assessment, significance evaluation, cumulative effects consideration and post-consent monitoring</w:t>
      </w:r>
      <w:r w:rsidR="00A5018B">
        <w:rPr>
          <w:rFonts w:ascii="Times New Roman" w:hAnsi="Times New Roman" w:cs="Times New Roman"/>
          <w:sz w:val="20"/>
          <w:szCs w:val="20"/>
        </w:rPr>
        <w:t xml:space="preserve"> [5]</w:t>
      </w:r>
      <w:r w:rsidRPr="00EC6631">
        <w:rPr>
          <w:rFonts w:ascii="Times New Roman" w:hAnsi="Times New Roman" w:cs="Times New Roman"/>
          <w:sz w:val="20"/>
          <w:szCs w:val="20"/>
        </w:rPr>
        <w:t>.</w:t>
      </w:r>
    </w:p>
    <w:p w14:paraId="7E0D0698" w14:textId="77777777" w:rsidR="00A440FB" w:rsidRDefault="00EC6631" w:rsidP="00A440FB">
      <w:pPr>
        <w:jc w:val="both"/>
        <w:rPr>
          <w:rFonts w:ascii="Times New Roman" w:hAnsi="Times New Roman" w:cs="Times New Roman"/>
          <w:sz w:val="20"/>
          <w:szCs w:val="20"/>
        </w:rPr>
        <w:sectPr w:rsidR="00A440FB" w:rsidSect="00A440FB">
          <w:type w:val="continuous"/>
          <w:pgSz w:w="11906" w:h="16838"/>
          <w:pgMar w:top="1440" w:right="1440" w:bottom="1440" w:left="1440" w:header="708" w:footer="708" w:gutter="0"/>
          <w:cols w:num="2" w:space="708"/>
          <w:docGrid w:linePitch="360"/>
        </w:sectPr>
      </w:pPr>
      <w:r w:rsidRPr="00EC6631">
        <w:rPr>
          <w:rFonts w:ascii="Times New Roman" w:hAnsi="Times New Roman" w:cs="Times New Roman"/>
          <w:sz w:val="20"/>
          <w:szCs w:val="20"/>
        </w:rPr>
        <w:t>Table 1 summarises the overall grades assigned to each Review Area</w:t>
      </w:r>
    </w:p>
    <w:p w14:paraId="0F9B178C"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w:t>
      </w:r>
    </w:p>
    <w:p w14:paraId="4BE30D4E"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b/>
          <w:bCs/>
          <w:sz w:val="20"/>
          <w:szCs w:val="20"/>
        </w:rPr>
        <w:lastRenderedPageBreak/>
        <w:t>Table 1: Summary of Lee &amp; Colley Review Area Grades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90"/>
        <w:gridCol w:w="2381"/>
        <w:gridCol w:w="1079"/>
        <w:gridCol w:w="4566"/>
      </w:tblGrid>
      <w:tr w:rsidR="00EC6631" w:rsidRPr="00EC6631" w14:paraId="0780A749" w14:textId="77777777" w:rsidTr="00EC6631">
        <w:trPr>
          <w:tblHeader/>
          <w:tblCellSpacing w:w="15" w:type="dxa"/>
        </w:trPr>
        <w:tc>
          <w:tcPr>
            <w:tcW w:w="0" w:type="auto"/>
            <w:vAlign w:val="center"/>
            <w:hideMark/>
          </w:tcPr>
          <w:p w14:paraId="7B6079B6"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Review Area</w:t>
            </w:r>
          </w:p>
        </w:tc>
        <w:tc>
          <w:tcPr>
            <w:tcW w:w="0" w:type="auto"/>
            <w:vAlign w:val="center"/>
            <w:hideMark/>
          </w:tcPr>
          <w:p w14:paraId="3F2A4848"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Focus of Assessment</w:t>
            </w:r>
          </w:p>
        </w:tc>
        <w:tc>
          <w:tcPr>
            <w:tcW w:w="0" w:type="auto"/>
            <w:vAlign w:val="center"/>
            <w:hideMark/>
          </w:tcPr>
          <w:p w14:paraId="5423D416"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Overall Grade</w:t>
            </w:r>
          </w:p>
        </w:tc>
        <w:tc>
          <w:tcPr>
            <w:tcW w:w="0" w:type="auto"/>
            <w:vAlign w:val="center"/>
            <w:hideMark/>
          </w:tcPr>
          <w:p w14:paraId="7D8C3957"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Summary of Key Findings</w:t>
            </w:r>
          </w:p>
        </w:tc>
      </w:tr>
      <w:tr w:rsidR="00EC6631" w:rsidRPr="00EC6631" w14:paraId="54944555" w14:textId="77777777" w:rsidTr="00EC6631">
        <w:trPr>
          <w:tblCellSpacing w:w="15" w:type="dxa"/>
        </w:trPr>
        <w:tc>
          <w:tcPr>
            <w:tcW w:w="0" w:type="auto"/>
            <w:vAlign w:val="center"/>
            <w:hideMark/>
          </w:tcPr>
          <w:p w14:paraId="6D9E458D"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Area 1</w:t>
            </w:r>
          </w:p>
        </w:tc>
        <w:tc>
          <w:tcPr>
            <w:tcW w:w="0" w:type="auto"/>
            <w:vAlign w:val="center"/>
            <w:hideMark/>
          </w:tcPr>
          <w:p w14:paraId="6BDF2E9A"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Project description and alternatives</w:t>
            </w:r>
          </w:p>
        </w:tc>
        <w:tc>
          <w:tcPr>
            <w:tcW w:w="0" w:type="auto"/>
            <w:vAlign w:val="center"/>
            <w:hideMark/>
          </w:tcPr>
          <w:p w14:paraId="6C0BB7DD"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C</w:t>
            </w:r>
          </w:p>
        </w:tc>
        <w:tc>
          <w:tcPr>
            <w:tcW w:w="0" w:type="auto"/>
            <w:vAlign w:val="center"/>
            <w:hideMark/>
          </w:tcPr>
          <w:p w14:paraId="1899851C"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Adequate project description but weak, non-comparative alternatives analysis</w:t>
            </w:r>
          </w:p>
        </w:tc>
      </w:tr>
      <w:tr w:rsidR="00EC6631" w:rsidRPr="00EC6631" w14:paraId="3BD3AE59" w14:textId="77777777" w:rsidTr="00EC6631">
        <w:trPr>
          <w:tblCellSpacing w:w="15" w:type="dxa"/>
        </w:trPr>
        <w:tc>
          <w:tcPr>
            <w:tcW w:w="0" w:type="auto"/>
            <w:vAlign w:val="center"/>
            <w:hideMark/>
          </w:tcPr>
          <w:p w14:paraId="5734B6A1"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Area 2</w:t>
            </w:r>
          </w:p>
        </w:tc>
        <w:tc>
          <w:tcPr>
            <w:tcW w:w="0" w:type="auto"/>
            <w:vAlign w:val="center"/>
            <w:hideMark/>
          </w:tcPr>
          <w:p w14:paraId="1C4F15C8"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Baseline data, scoping and methods</w:t>
            </w:r>
          </w:p>
        </w:tc>
        <w:tc>
          <w:tcPr>
            <w:tcW w:w="0" w:type="auto"/>
            <w:vAlign w:val="center"/>
            <w:hideMark/>
          </w:tcPr>
          <w:p w14:paraId="21036496"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C+</w:t>
            </w:r>
          </w:p>
        </w:tc>
        <w:tc>
          <w:tcPr>
            <w:tcW w:w="0" w:type="auto"/>
            <w:vAlign w:val="center"/>
            <w:hideMark/>
          </w:tcPr>
          <w:p w14:paraId="1A369A8C"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Generally robust baseline data; limited climate change and uncertainty consideration</w:t>
            </w:r>
          </w:p>
        </w:tc>
      </w:tr>
      <w:tr w:rsidR="00EC6631" w:rsidRPr="00EC6631" w14:paraId="5D2D6C46" w14:textId="77777777" w:rsidTr="00EC6631">
        <w:trPr>
          <w:tblCellSpacing w:w="15" w:type="dxa"/>
        </w:trPr>
        <w:tc>
          <w:tcPr>
            <w:tcW w:w="0" w:type="auto"/>
            <w:vAlign w:val="center"/>
            <w:hideMark/>
          </w:tcPr>
          <w:p w14:paraId="42D45CBB"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Area 3</w:t>
            </w:r>
          </w:p>
        </w:tc>
        <w:tc>
          <w:tcPr>
            <w:tcW w:w="0" w:type="auto"/>
            <w:vAlign w:val="center"/>
            <w:hideMark/>
          </w:tcPr>
          <w:p w14:paraId="67F647F3"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Impact evaluation and mitigation</w:t>
            </w:r>
          </w:p>
        </w:tc>
        <w:tc>
          <w:tcPr>
            <w:tcW w:w="0" w:type="auto"/>
            <w:vAlign w:val="center"/>
            <w:hideMark/>
          </w:tcPr>
          <w:p w14:paraId="6E332332"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C</w:t>
            </w:r>
          </w:p>
        </w:tc>
        <w:tc>
          <w:tcPr>
            <w:tcW w:w="0" w:type="auto"/>
            <w:vAlign w:val="center"/>
            <w:hideMark/>
          </w:tcPr>
          <w:p w14:paraId="3ADA20E9"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Inconsistent significance justification; limited cumulative effects analysis</w:t>
            </w:r>
          </w:p>
        </w:tc>
      </w:tr>
      <w:tr w:rsidR="00EC6631" w:rsidRPr="00EC6631" w14:paraId="28003A13" w14:textId="77777777" w:rsidTr="00EC6631">
        <w:trPr>
          <w:tblCellSpacing w:w="15" w:type="dxa"/>
        </w:trPr>
        <w:tc>
          <w:tcPr>
            <w:tcW w:w="0" w:type="auto"/>
            <w:vAlign w:val="center"/>
            <w:hideMark/>
          </w:tcPr>
          <w:p w14:paraId="329FAD45"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Area 4</w:t>
            </w:r>
          </w:p>
        </w:tc>
        <w:tc>
          <w:tcPr>
            <w:tcW w:w="0" w:type="auto"/>
            <w:vAlign w:val="center"/>
            <w:hideMark/>
          </w:tcPr>
          <w:p w14:paraId="32C702DD"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Presentation, monitoring and follow-up</w:t>
            </w:r>
          </w:p>
        </w:tc>
        <w:tc>
          <w:tcPr>
            <w:tcW w:w="0" w:type="auto"/>
            <w:vAlign w:val="center"/>
            <w:hideMark/>
          </w:tcPr>
          <w:p w14:paraId="17C5A71D"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D</w:t>
            </w:r>
          </w:p>
        </w:tc>
        <w:tc>
          <w:tcPr>
            <w:tcW w:w="0" w:type="auto"/>
            <w:vAlign w:val="center"/>
            <w:hideMark/>
          </w:tcPr>
          <w:p w14:paraId="14A8BA50"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Weak monitoring framework and minimal discussion of uncertainty</w:t>
            </w:r>
          </w:p>
        </w:tc>
      </w:tr>
    </w:tbl>
    <w:p w14:paraId="1E2E0379" w14:textId="7A6C2C62" w:rsidR="00EC6631" w:rsidRPr="00A440FB" w:rsidRDefault="00EC6631" w:rsidP="00A440FB">
      <w:pPr>
        <w:jc w:val="both"/>
        <w:rPr>
          <w:rFonts w:ascii="Times New Roman" w:hAnsi="Times New Roman" w:cs="Times New Roman"/>
          <w:sz w:val="20"/>
          <w:szCs w:val="20"/>
        </w:rPr>
      </w:pPr>
    </w:p>
    <w:p w14:paraId="0F7148A3" w14:textId="67509BE2"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The distribution of grades indicates that although the ES satisfies many procedural requirements, its ability to support fully informed and sustainable decision-making is constrained by analytical and communicative shortcomings</w:t>
      </w:r>
      <w:r w:rsidR="00A5018B">
        <w:rPr>
          <w:rFonts w:ascii="Times New Roman" w:hAnsi="Times New Roman" w:cs="Times New Roman"/>
          <w:sz w:val="20"/>
          <w:szCs w:val="20"/>
        </w:rPr>
        <w:t xml:space="preserve"> [21]</w:t>
      </w:r>
      <w:r w:rsidRPr="00EC6631">
        <w:rPr>
          <w:rFonts w:ascii="Times New Roman" w:hAnsi="Times New Roman" w:cs="Times New Roman"/>
          <w:sz w:val="20"/>
          <w:szCs w:val="20"/>
        </w:rPr>
        <w:t>.</w:t>
      </w:r>
    </w:p>
    <w:p w14:paraId="07FC4E04" w14:textId="6F693FA2" w:rsidR="00EC6631" w:rsidRPr="00A440FB" w:rsidRDefault="00BA3F73" w:rsidP="00A440FB">
      <w:pPr>
        <w:jc w:val="both"/>
        <w:rPr>
          <w:rFonts w:ascii="Times New Roman" w:hAnsi="Times New Roman" w:cs="Times New Roman"/>
          <w:sz w:val="20"/>
          <w:szCs w:val="20"/>
        </w:rPr>
      </w:pPr>
      <w:r w:rsidRPr="00A440FB">
        <w:rPr>
          <w:rFonts w:ascii="Times New Roman" w:hAnsi="Times New Roman" w:cs="Times New Roman"/>
          <w:noProof/>
          <w:sz w:val="20"/>
          <w:szCs w:val="20"/>
        </w:rPr>
        <w:drawing>
          <wp:inline distT="0" distB="0" distL="0" distR="0" wp14:anchorId="76BA4286" wp14:editId="7D52B8E9">
            <wp:extent cx="5731510" cy="2931160"/>
            <wp:effectExtent l="0" t="0" r="2540" b="2540"/>
            <wp:docPr id="1511548703" name="Picture 9" descr="Radar chart for the comparison of the result of differ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Radar chart for the comparison of the result of differen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931160"/>
                    </a:xfrm>
                    <a:prstGeom prst="rect">
                      <a:avLst/>
                    </a:prstGeom>
                    <a:noFill/>
                    <a:ln>
                      <a:noFill/>
                    </a:ln>
                  </pic:spPr>
                </pic:pic>
              </a:graphicData>
            </a:graphic>
          </wp:inline>
        </w:drawing>
      </w:r>
    </w:p>
    <w:p w14:paraId="58A8AA2A" w14:textId="400FF562" w:rsidR="00BA3F73" w:rsidRPr="00EC6631" w:rsidRDefault="00BA3F73" w:rsidP="00A440FB">
      <w:pPr>
        <w:jc w:val="both"/>
        <w:rPr>
          <w:rFonts w:ascii="Times New Roman" w:hAnsi="Times New Roman" w:cs="Times New Roman"/>
          <w:sz w:val="20"/>
          <w:szCs w:val="20"/>
        </w:rPr>
      </w:pPr>
      <w:r w:rsidRPr="00A440FB">
        <w:rPr>
          <w:rFonts w:ascii="Times New Roman" w:hAnsi="Times New Roman" w:cs="Times New Roman"/>
          <w:sz w:val="20"/>
          <w:szCs w:val="20"/>
        </w:rPr>
        <w:t xml:space="preserve">Figure 1. Assessment of the presence and quality of key best-practice EIA elements within the A487 New </w:t>
      </w:r>
      <w:proofErr w:type="spellStart"/>
      <w:r w:rsidRPr="00A440FB">
        <w:rPr>
          <w:rFonts w:ascii="Times New Roman" w:hAnsi="Times New Roman" w:cs="Times New Roman"/>
          <w:sz w:val="20"/>
          <w:szCs w:val="20"/>
        </w:rPr>
        <w:t>Dyfi</w:t>
      </w:r>
      <w:proofErr w:type="spellEnd"/>
      <w:r w:rsidRPr="00A440FB">
        <w:rPr>
          <w:rFonts w:ascii="Times New Roman" w:hAnsi="Times New Roman" w:cs="Times New Roman"/>
          <w:sz w:val="20"/>
          <w:szCs w:val="20"/>
        </w:rPr>
        <w:t xml:space="preserve"> Bridge Environmental Statement.</w:t>
      </w:r>
    </w:p>
    <w:p w14:paraId="54C3024F"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space="708"/>
          <w:docGrid w:linePitch="360"/>
        </w:sectPr>
      </w:pPr>
    </w:p>
    <w:p w14:paraId="7549ADCA"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4.2 Review Area 1: Project Description and Alternatives</w:t>
      </w:r>
    </w:p>
    <w:p w14:paraId="269D2362"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The assessment of Review Area 1 focused on the clarity of the project description and the extent to which reasonable alternatives were considered. The ES provides a clear outline of the physical characteristics of the proposed scheme, including bridge structure, approach roads and construction </w:t>
      </w:r>
      <w:r w:rsidRPr="00EC6631">
        <w:rPr>
          <w:rFonts w:ascii="Times New Roman" w:hAnsi="Times New Roman" w:cs="Times New Roman"/>
          <w:sz w:val="20"/>
          <w:szCs w:val="20"/>
        </w:rPr>
        <w:t>activities. However, the explanation of design rationale and impact pathways is limited.</w:t>
      </w:r>
    </w:p>
    <w:p w14:paraId="756329F6" w14:textId="500922A5"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Alternatives assessment represents the weakest aspect of this review area. Although several options are identified, including a do-nothing scenario, online improvements and an offline new bridge, the ES does not apply a structured or comparative framework to evaluate these alternatives</w:t>
      </w:r>
      <w:r w:rsidR="00A5018B">
        <w:rPr>
          <w:rFonts w:ascii="Times New Roman" w:hAnsi="Times New Roman" w:cs="Times New Roman"/>
          <w:sz w:val="20"/>
          <w:szCs w:val="20"/>
        </w:rPr>
        <w:t xml:space="preserve"> [6]</w:t>
      </w:r>
      <w:r w:rsidRPr="00EC6631">
        <w:rPr>
          <w:rFonts w:ascii="Times New Roman" w:hAnsi="Times New Roman" w:cs="Times New Roman"/>
          <w:sz w:val="20"/>
          <w:szCs w:val="20"/>
        </w:rPr>
        <w:t>.</w:t>
      </w:r>
    </w:p>
    <w:p w14:paraId="583C6BBC"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num="2" w:space="708"/>
          <w:docGrid w:linePitch="360"/>
        </w:sectPr>
      </w:pPr>
    </w:p>
    <w:p w14:paraId="784DA784"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b/>
          <w:bCs/>
          <w:sz w:val="20"/>
          <w:szCs w:val="20"/>
        </w:rPr>
        <w:t>Table 2: Evaluation of Alternatives Assessment (Review Area 1)</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56"/>
        <w:gridCol w:w="2108"/>
      </w:tblGrid>
      <w:tr w:rsidR="00EC6631" w:rsidRPr="00EC6631" w14:paraId="72375319" w14:textId="77777777" w:rsidTr="00EC6631">
        <w:trPr>
          <w:tblHeader/>
          <w:tblCellSpacing w:w="15" w:type="dxa"/>
          <w:jc w:val="center"/>
        </w:trPr>
        <w:tc>
          <w:tcPr>
            <w:tcW w:w="0" w:type="auto"/>
            <w:vAlign w:val="center"/>
            <w:hideMark/>
          </w:tcPr>
          <w:p w14:paraId="53E94A4F"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lastRenderedPageBreak/>
              <w:t>Criterion</w:t>
            </w:r>
          </w:p>
        </w:tc>
        <w:tc>
          <w:tcPr>
            <w:tcW w:w="0" w:type="auto"/>
            <w:vAlign w:val="center"/>
            <w:hideMark/>
          </w:tcPr>
          <w:p w14:paraId="37D49A7C"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Assessment Outcome</w:t>
            </w:r>
          </w:p>
        </w:tc>
      </w:tr>
      <w:tr w:rsidR="00EC6631" w:rsidRPr="00EC6631" w14:paraId="75389277" w14:textId="77777777" w:rsidTr="00EC6631">
        <w:trPr>
          <w:tblCellSpacing w:w="15" w:type="dxa"/>
          <w:jc w:val="center"/>
        </w:trPr>
        <w:tc>
          <w:tcPr>
            <w:tcW w:w="0" w:type="auto"/>
            <w:vAlign w:val="center"/>
            <w:hideMark/>
          </w:tcPr>
          <w:p w14:paraId="4F7BCDEF"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Identification of alternatives</w:t>
            </w:r>
          </w:p>
        </w:tc>
        <w:tc>
          <w:tcPr>
            <w:tcW w:w="0" w:type="auto"/>
            <w:vAlign w:val="center"/>
            <w:hideMark/>
          </w:tcPr>
          <w:p w14:paraId="5B981A5F"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Adequate</w:t>
            </w:r>
          </w:p>
        </w:tc>
      </w:tr>
      <w:tr w:rsidR="00EC6631" w:rsidRPr="00EC6631" w14:paraId="223D609B" w14:textId="77777777" w:rsidTr="00EC6631">
        <w:trPr>
          <w:tblCellSpacing w:w="15" w:type="dxa"/>
          <w:jc w:val="center"/>
        </w:trPr>
        <w:tc>
          <w:tcPr>
            <w:tcW w:w="0" w:type="auto"/>
            <w:vAlign w:val="center"/>
            <w:hideMark/>
          </w:tcPr>
          <w:p w14:paraId="1657C4E9"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Description of alternatives</w:t>
            </w:r>
          </w:p>
        </w:tc>
        <w:tc>
          <w:tcPr>
            <w:tcW w:w="0" w:type="auto"/>
            <w:vAlign w:val="center"/>
            <w:hideMark/>
          </w:tcPr>
          <w:p w14:paraId="4029E4DA"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Descriptive but limited</w:t>
            </w:r>
          </w:p>
        </w:tc>
      </w:tr>
      <w:tr w:rsidR="00EC6631" w:rsidRPr="00EC6631" w14:paraId="0A75A542" w14:textId="77777777" w:rsidTr="00EC6631">
        <w:trPr>
          <w:tblCellSpacing w:w="15" w:type="dxa"/>
          <w:jc w:val="center"/>
        </w:trPr>
        <w:tc>
          <w:tcPr>
            <w:tcW w:w="0" w:type="auto"/>
            <w:vAlign w:val="center"/>
            <w:hideMark/>
          </w:tcPr>
          <w:p w14:paraId="27AFD2E2"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Comparative environmental analysis</w:t>
            </w:r>
          </w:p>
        </w:tc>
        <w:tc>
          <w:tcPr>
            <w:tcW w:w="0" w:type="auto"/>
            <w:vAlign w:val="center"/>
            <w:hideMark/>
          </w:tcPr>
          <w:p w14:paraId="1F39E0E6"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Weak</w:t>
            </w:r>
          </w:p>
        </w:tc>
      </w:tr>
      <w:tr w:rsidR="00EC6631" w:rsidRPr="00EC6631" w14:paraId="5904D9B9" w14:textId="77777777" w:rsidTr="00EC6631">
        <w:trPr>
          <w:tblCellSpacing w:w="15" w:type="dxa"/>
          <w:jc w:val="center"/>
        </w:trPr>
        <w:tc>
          <w:tcPr>
            <w:tcW w:w="0" w:type="auto"/>
            <w:vAlign w:val="center"/>
            <w:hideMark/>
          </w:tcPr>
          <w:p w14:paraId="5E519650"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Justification of preferred option</w:t>
            </w:r>
          </w:p>
        </w:tc>
        <w:tc>
          <w:tcPr>
            <w:tcW w:w="0" w:type="auto"/>
            <w:vAlign w:val="center"/>
            <w:hideMark/>
          </w:tcPr>
          <w:p w14:paraId="7B0063E2"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Insufficiently transparent</w:t>
            </w:r>
          </w:p>
        </w:tc>
      </w:tr>
      <w:tr w:rsidR="00EC6631" w:rsidRPr="00EC6631" w14:paraId="7057A5DE" w14:textId="77777777" w:rsidTr="00EC6631">
        <w:trPr>
          <w:tblCellSpacing w:w="15" w:type="dxa"/>
          <w:jc w:val="center"/>
        </w:trPr>
        <w:tc>
          <w:tcPr>
            <w:tcW w:w="0" w:type="auto"/>
            <w:vAlign w:val="center"/>
            <w:hideMark/>
          </w:tcPr>
          <w:p w14:paraId="2A217B87"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Integration with sustainability objectives</w:t>
            </w:r>
          </w:p>
        </w:tc>
        <w:tc>
          <w:tcPr>
            <w:tcW w:w="0" w:type="auto"/>
            <w:vAlign w:val="center"/>
            <w:hideMark/>
          </w:tcPr>
          <w:p w14:paraId="618CC468"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Minimal</w:t>
            </w:r>
          </w:p>
        </w:tc>
      </w:tr>
    </w:tbl>
    <w:p w14:paraId="79BCDFE9" w14:textId="5DE6D92A" w:rsidR="00BA3F73" w:rsidRPr="00A440FB" w:rsidRDefault="00EC6631" w:rsidP="00A440FB">
      <w:pPr>
        <w:jc w:val="both"/>
        <w:rPr>
          <w:rFonts w:ascii="Times New Roman" w:hAnsi="Times New Roman" w:cs="Times New Roman"/>
          <w:sz w:val="20"/>
          <w:szCs w:val="20"/>
        </w:rPr>
      </w:pPr>
      <w:r w:rsidRPr="00A440FB">
        <w:rPr>
          <w:rFonts w:ascii="Times New Roman" w:hAnsi="Times New Roman" w:cs="Times New Roman"/>
          <w:sz w:val="20"/>
          <w:szCs w:val="20"/>
        </w:rPr>
        <w:t>The absence of a multi-criteria comparison limits the extent to which environmental considerations can be seen to have influenced the final design choice.</w:t>
      </w:r>
    </w:p>
    <w:p w14:paraId="1B84E6B8" w14:textId="03E0A164" w:rsidR="00BA3F73" w:rsidRPr="00A440FB" w:rsidRDefault="00BA3F73" w:rsidP="00A440FB">
      <w:pPr>
        <w:jc w:val="both"/>
        <w:rPr>
          <w:rFonts w:ascii="Times New Roman" w:hAnsi="Times New Roman" w:cs="Times New Roman"/>
          <w:b/>
          <w:bCs/>
          <w:sz w:val="20"/>
          <w:szCs w:val="20"/>
        </w:rPr>
      </w:pPr>
      <w:r w:rsidRPr="00A440FB">
        <w:rPr>
          <w:rFonts w:ascii="Times New Roman" w:hAnsi="Times New Roman" w:cs="Times New Roman"/>
          <w:b/>
          <w:bCs/>
          <w:noProof/>
          <w:sz w:val="20"/>
          <w:szCs w:val="20"/>
        </w:rPr>
        <w:drawing>
          <wp:inline distT="0" distB="0" distL="0" distR="0" wp14:anchorId="7188AA46" wp14:editId="735D7000">
            <wp:extent cx="4685703" cy="6116955"/>
            <wp:effectExtent l="0" t="0" r="635" b="0"/>
            <wp:docPr id="1268479501" name="Picture 1" descr="Attachment &quot;A&quot; - Additional Guidance for Assessment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Attachment &quot;A&quot; - Additional Guidance for Assessment of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87979" cy="6119926"/>
                    </a:xfrm>
                    <a:prstGeom prst="rect">
                      <a:avLst/>
                    </a:prstGeom>
                    <a:noFill/>
                    <a:ln>
                      <a:noFill/>
                    </a:ln>
                  </pic:spPr>
                </pic:pic>
              </a:graphicData>
            </a:graphic>
          </wp:inline>
        </w:drawing>
      </w:r>
    </w:p>
    <w:p w14:paraId="0D6C0ECC" w14:textId="6B156BF5" w:rsidR="00BA3F73" w:rsidRPr="00A440FB" w:rsidRDefault="00BA3F73"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 xml:space="preserve">Figure 1: Schematic representation of the alternatives considered for the A487 New </w:t>
      </w:r>
      <w:proofErr w:type="spellStart"/>
      <w:r w:rsidRPr="00A440FB">
        <w:rPr>
          <w:rFonts w:ascii="Times New Roman" w:hAnsi="Times New Roman" w:cs="Times New Roman"/>
          <w:b/>
          <w:bCs/>
          <w:sz w:val="20"/>
          <w:szCs w:val="20"/>
        </w:rPr>
        <w:t>Dyfi</w:t>
      </w:r>
      <w:proofErr w:type="spellEnd"/>
      <w:r w:rsidRPr="00A440FB">
        <w:rPr>
          <w:rFonts w:ascii="Times New Roman" w:hAnsi="Times New Roman" w:cs="Times New Roman"/>
          <w:b/>
          <w:bCs/>
          <w:sz w:val="20"/>
          <w:szCs w:val="20"/>
        </w:rPr>
        <w:t xml:space="preserve"> Bridge scheme</w:t>
      </w:r>
    </w:p>
    <w:p w14:paraId="629EAE67"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space="708"/>
          <w:docGrid w:linePitch="360"/>
        </w:sectPr>
      </w:pPr>
    </w:p>
    <w:p w14:paraId="4B38B071"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lastRenderedPageBreak/>
        <w:t>4.3 Review Area 2: Baseline Environment, Scoping and Assessment Methods</w:t>
      </w:r>
    </w:p>
    <w:p w14:paraId="58D5B9F0"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Results for Review Area 2 indicate generally strong baseline data coverage, particularly for ecology, hydrology and landscape receptors. Surveys and data sources are broadly consistent with standard UK practice and DMRB guidance. However, gaps are evident in the temporal scope of baseline data, </w:t>
      </w:r>
      <w:r w:rsidRPr="00EC6631">
        <w:rPr>
          <w:rFonts w:ascii="Times New Roman" w:hAnsi="Times New Roman" w:cs="Times New Roman"/>
          <w:sz w:val="20"/>
          <w:szCs w:val="20"/>
        </w:rPr>
        <w:t>especially in relation to climate change and long-term ecological trends.</w:t>
      </w:r>
    </w:p>
    <w:p w14:paraId="1A4B12B1" w14:textId="0F14F72A"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Scoping outcomes are summarised within the ES, but the documentation of stakeholder engagement and scoping decisions lacks transparency. This limits confidence in whether all potentially significant impacts were appropriately scoped into the assessment</w:t>
      </w:r>
      <w:r w:rsidR="00A5018B">
        <w:rPr>
          <w:rFonts w:ascii="Times New Roman" w:hAnsi="Times New Roman" w:cs="Times New Roman"/>
          <w:sz w:val="20"/>
          <w:szCs w:val="20"/>
        </w:rPr>
        <w:t xml:space="preserve"> [7]</w:t>
      </w:r>
      <w:r w:rsidRPr="00EC6631">
        <w:rPr>
          <w:rFonts w:ascii="Times New Roman" w:hAnsi="Times New Roman" w:cs="Times New Roman"/>
          <w:sz w:val="20"/>
          <w:szCs w:val="20"/>
        </w:rPr>
        <w:t>.</w:t>
      </w:r>
    </w:p>
    <w:p w14:paraId="7C958FBD"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num="2" w:space="708"/>
          <w:docGrid w:linePitch="360"/>
        </w:sectPr>
      </w:pPr>
    </w:p>
    <w:p w14:paraId="4D18D65C"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b/>
          <w:bCs/>
          <w:sz w:val="20"/>
          <w:szCs w:val="20"/>
        </w:rPr>
        <w:t>Table 3: Assessment of Baseline Data and Methods (Review Area 2)</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32"/>
        <w:gridCol w:w="2914"/>
        <w:gridCol w:w="3017"/>
      </w:tblGrid>
      <w:tr w:rsidR="00EC6631" w:rsidRPr="00EC6631" w14:paraId="18830130" w14:textId="77777777" w:rsidTr="00EC6631">
        <w:trPr>
          <w:tblHeader/>
          <w:tblCellSpacing w:w="15" w:type="dxa"/>
          <w:jc w:val="center"/>
        </w:trPr>
        <w:tc>
          <w:tcPr>
            <w:tcW w:w="0" w:type="auto"/>
            <w:vAlign w:val="center"/>
            <w:hideMark/>
          </w:tcPr>
          <w:p w14:paraId="3194C3B1"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Aspect</w:t>
            </w:r>
          </w:p>
        </w:tc>
        <w:tc>
          <w:tcPr>
            <w:tcW w:w="0" w:type="auto"/>
            <w:vAlign w:val="center"/>
            <w:hideMark/>
          </w:tcPr>
          <w:p w14:paraId="33241845"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Strengths</w:t>
            </w:r>
          </w:p>
        </w:tc>
        <w:tc>
          <w:tcPr>
            <w:tcW w:w="0" w:type="auto"/>
            <w:vAlign w:val="center"/>
            <w:hideMark/>
          </w:tcPr>
          <w:p w14:paraId="0AC3E709"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Limitations</w:t>
            </w:r>
          </w:p>
        </w:tc>
      </w:tr>
      <w:tr w:rsidR="00EC6631" w:rsidRPr="00EC6631" w14:paraId="577B4AFF" w14:textId="77777777" w:rsidTr="00EC6631">
        <w:trPr>
          <w:tblCellSpacing w:w="15" w:type="dxa"/>
          <w:jc w:val="center"/>
        </w:trPr>
        <w:tc>
          <w:tcPr>
            <w:tcW w:w="0" w:type="auto"/>
            <w:vAlign w:val="center"/>
            <w:hideMark/>
          </w:tcPr>
          <w:p w14:paraId="74D15BC3"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Baseline coverage</w:t>
            </w:r>
          </w:p>
        </w:tc>
        <w:tc>
          <w:tcPr>
            <w:tcW w:w="0" w:type="auto"/>
            <w:vAlign w:val="center"/>
            <w:hideMark/>
          </w:tcPr>
          <w:p w14:paraId="1EBA3311"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Comprehensive for key receptors</w:t>
            </w:r>
          </w:p>
        </w:tc>
        <w:tc>
          <w:tcPr>
            <w:tcW w:w="0" w:type="auto"/>
            <w:vAlign w:val="center"/>
            <w:hideMark/>
          </w:tcPr>
          <w:p w14:paraId="6845C3F4"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Limited seasonal and long-term data</w:t>
            </w:r>
          </w:p>
        </w:tc>
      </w:tr>
      <w:tr w:rsidR="00EC6631" w:rsidRPr="00EC6631" w14:paraId="61F8190D" w14:textId="77777777" w:rsidTr="00EC6631">
        <w:trPr>
          <w:tblCellSpacing w:w="15" w:type="dxa"/>
          <w:jc w:val="center"/>
        </w:trPr>
        <w:tc>
          <w:tcPr>
            <w:tcW w:w="0" w:type="auto"/>
            <w:vAlign w:val="center"/>
            <w:hideMark/>
          </w:tcPr>
          <w:p w14:paraId="2FF8ECEF"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Methodological consistency</w:t>
            </w:r>
          </w:p>
        </w:tc>
        <w:tc>
          <w:tcPr>
            <w:tcW w:w="0" w:type="auto"/>
            <w:vAlign w:val="center"/>
            <w:hideMark/>
          </w:tcPr>
          <w:p w14:paraId="7BA64D8F"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Use of established DMRB methods</w:t>
            </w:r>
          </w:p>
        </w:tc>
        <w:tc>
          <w:tcPr>
            <w:tcW w:w="0" w:type="auto"/>
            <w:vAlign w:val="center"/>
            <w:hideMark/>
          </w:tcPr>
          <w:p w14:paraId="35FA64C1"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Variable detail between chapters</w:t>
            </w:r>
          </w:p>
        </w:tc>
      </w:tr>
      <w:tr w:rsidR="00EC6631" w:rsidRPr="00EC6631" w14:paraId="37489279" w14:textId="77777777" w:rsidTr="00EC6631">
        <w:trPr>
          <w:tblCellSpacing w:w="15" w:type="dxa"/>
          <w:jc w:val="center"/>
        </w:trPr>
        <w:tc>
          <w:tcPr>
            <w:tcW w:w="0" w:type="auto"/>
            <w:vAlign w:val="center"/>
            <w:hideMark/>
          </w:tcPr>
          <w:p w14:paraId="05E5F8DE"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Transparency of assumptions</w:t>
            </w:r>
          </w:p>
        </w:tc>
        <w:tc>
          <w:tcPr>
            <w:tcW w:w="0" w:type="auto"/>
            <w:vAlign w:val="center"/>
            <w:hideMark/>
          </w:tcPr>
          <w:p w14:paraId="62891AC3"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Some explanation provided</w:t>
            </w:r>
          </w:p>
        </w:tc>
        <w:tc>
          <w:tcPr>
            <w:tcW w:w="0" w:type="auto"/>
            <w:vAlign w:val="center"/>
            <w:hideMark/>
          </w:tcPr>
          <w:p w14:paraId="40D49AEF"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Key assumptions often implicit</w:t>
            </w:r>
          </w:p>
        </w:tc>
      </w:tr>
      <w:tr w:rsidR="00EC6631" w:rsidRPr="00EC6631" w14:paraId="4E751140" w14:textId="77777777" w:rsidTr="00EC6631">
        <w:trPr>
          <w:tblCellSpacing w:w="15" w:type="dxa"/>
          <w:jc w:val="center"/>
        </w:trPr>
        <w:tc>
          <w:tcPr>
            <w:tcW w:w="0" w:type="auto"/>
            <w:vAlign w:val="center"/>
            <w:hideMark/>
          </w:tcPr>
          <w:p w14:paraId="76280904"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Treatment of uncertainty</w:t>
            </w:r>
          </w:p>
        </w:tc>
        <w:tc>
          <w:tcPr>
            <w:tcW w:w="0" w:type="auto"/>
            <w:vAlign w:val="center"/>
            <w:hideMark/>
          </w:tcPr>
          <w:p w14:paraId="78EECF38"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Minimal</w:t>
            </w:r>
          </w:p>
        </w:tc>
        <w:tc>
          <w:tcPr>
            <w:tcW w:w="0" w:type="auto"/>
            <w:vAlign w:val="center"/>
            <w:hideMark/>
          </w:tcPr>
          <w:p w14:paraId="7C907F6A"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Largely absent</w:t>
            </w:r>
          </w:p>
        </w:tc>
      </w:tr>
    </w:tbl>
    <w:p w14:paraId="665A59B8" w14:textId="77777777" w:rsidR="00EC6631" w:rsidRPr="00A440FB" w:rsidRDefault="00EC6631" w:rsidP="00A440FB">
      <w:pPr>
        <w:jc w:val="both"/>
        <w:rPr>
          <w:rFonts w:ascii="Times New Roman" w:hAnsi="Times New Roman" w:cs="Times New Roman"/>
          <w:sz w:val="20"/>
          <w:szCs w:val="20"/>
        </w:rPr>
      </w:pPr>
    </w:p>
    <w:p w14:paraId="10B83C33" w14:textId="77777777" w:rsidR="00A440FB" w:rsidRDefault="00A440FB" w:rsidP="00A440FB">
      <w:pPr>
        <w:jc w:val="both"/>
        <w:rPr>
          <w:rFonts w:ascii="Times New Roman" w:hAnsi="Times New Roman" w:cs="Times New Roman"/>
          <w:sz w:val="20"/>
          <w:szCs w:val="20"/>
        </w:rPr>
        <w:sectPr w:rsidR="00A440FB" w:rsidSect="00A440FB">
          <w:type w:val="continuous"/>
          <w:pgSz w:w="11906" w:h="16838"/>
          <w:pgMar w:top="1440" w:right="1440" w:bottom="1440" w:left="1440" w:header="708" w:footer="708" w:gutter="0"/>
          <w:cols w:space="708"/>
          <w:docGrid w:linePitch="360"/>
        </w:sectPr>
      </w:pPr>
    </w:p>
    <w:p w14:paraId="5355B9F3"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The limited discussion of uncertainty reduces the robustness of impact predictions, particularly for dynamic environmental systems such as floodplains.</w:t>
      </w:r>
    </w:p>
    <w:p w14:paraId="1ACB8EEC" w14:textId="53529AD7" w:rsidR="00EC6631" w:rsidRPr="00EC6631" w:rsidRDefault="00EC6631" w:rsidP="00A440FB">
      <w:pPr>
        <w:jc w:val="both"/>
        <w:rPr>
          <w:rFonts w:ascii="Times New Roman" w:hAnsi="Times New Roman" w:cs="Times New Roman"/>
          <w:sz w:val="20"/>
          <w:szCs w:val="20"/>
        </w:rPr>
      </w:pPr>
    </w:p>
    <w:p w14:paraId="0E36BFF1"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4.4 Review Area 3: Impact Identification, Evaluation and Mitigation</w:t>
      </w:r>
    </w:p>
    <w:p w14:paraId="656E299C" w14:textId="51B347A0"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Review Area 3 reveals mixed performance across environmental topics. Impact pathways are well </w:t>
      </w:r>
      <w:r w:rsidRPr="00EC6631">
        <w:rPr>
          <w:rFonts w:ascii="Times New Roman" w:hAnsi="Times New Roman" w:cs="Times New Roman"/>
          <w:sz w:val="20"/>
          <w:szCs w:val="20"/>
        </w:rPr>
        <w:t>articulated for ecological and hydrological effects but are less clearly defined for air quality and noise, where generic descriptions dominate</w:t>
      </w:r>
      <w:r w:rsidR="00A5018B">
        <w:rPr>
          <w:rFonts w:ascii="Times New Roman" w:hAnsi="Times New Roman" w:cs="Times New Roman"/>
          <w:sz w:val="20"/>
          <w:szCs w:val="20"/>
        </w:rPr>
        <w:t xml:space="preserve"> [8]</w:t>
      </w:r>
      <w:r w:rsidRPr="00EC6631">
        <w:rPr>
          <w:rFonts w:ascii="Times New Roman" w:hAnsi="Times New Roman" w:cs="Times New Roman"/>
          <w:sz w:val="20"/>
          <w:szCs w:val="20"/>
        </w:rPr>
        <w:t>.</w:t>
      </w:r>
    </w:p>
    <w:p w14:paraId="4E3F3431" w14:textId="77777777" w:rsidR="00EC6631" w:rsidRPr="00A440FB"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Significance evaluation relies heavily on standard DMRB thresholds. While this ensures methodological consistency, narrative justification is often limited, and there is inconsistency in how receptor sensitivity and impact magnitude are combined.</w:t>
      </w:r>
    </w:p>
    <w:p w14:paraId="06EA31CB"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num="2" w:space="708"/>
          <w:docGrid w:linePitch="360"/>
        </w:sectPr>
      </w:pPr>
    </w:p>
    <w:p w14:paraId="6B4338F1" w14:textId="46E06AB1" w:rsidR="00BA3F73" w:rsidRPr="00A440FB" w:rsidRDefault="00BA3F73" w:rsidP="00A440FB">
      <w:pPr>
        <w:jc w:val="both"/>
        <w:rPr>
          <w:rFonts w:ascii="Times New Roman" w:hAnsi="Times New Roman" w:cs="Times New Roman"/>
          <w:b/>
          <w:bCs/>
          <w:sz w:val="20"/>
          <w:szCs w:val="20"/>
        </w:rPr>
      </w:pPr>
      <w:r w:rsidRPr="00A440FB">
        <w:rPr>
          <w:rFonts w:ascii="Times New Roman" w:hAnsi="Times New Roman" w:cs="Times New Roman"/>
          <w:b/>
          <w:bCs/>
          <w:noProof/>
          <w:sz w:val="20"/>
          <w:szCs w:val="20"/>
        </w:rPr>
        <w:drawing>
          <wp:inline distT="0" distB="0" distL="0" distR="0" wp14:anchorId="295433F4" wp14:editId="50839CC6">
            <wp:extent cx="4772618" cy="3273425"/>
            <wp:effectExtent l="0" t="0" r="9525" b="3175"/>
            <wp:docPr id="1395836726" name="Picture 2" descr="Classic Environmental Impact Assessment (EIA) Workflow Ch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Classic Environmental Impact Assessment (EIA) Workflow Char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79864" cy="3278395"/>
                    </a:xfrm>
                    <a:prstGeom prst="rect">
                      <a:avLst/>
                    </a:prstGeom>
                    <a:noFill/>
                    <a:ln>
                      <a:noFill/>
                    </a:ln>
                  </pic:spPr>
                </pic:pic>
              </a:graphicData>
            </a:graphic>
          </wp:inline>
        </w:drawing>
      </w:r>
    </w:p>
    <w:p w14:paraId="68624387" w14:textId="03BE16A2" w:rsidR="00BA3F73" w:rsidRPr="00EC6631" w:rsidRDefault="00BA3F73"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lastRenderedPageBreak/>
        <w:t xml:space="preserve">Figure 2: Conceptual impact pathway linking project activities, environmental pressures, receptors, mitigation measures and residual effects for the A487 New </w:t>
      </w:r>
      <w:proofErr w:type="spellStart"/>
      <w:r w:rsidRPr="00A440FB">
        <w:rPr>
          <w:rFonts w:ascii="Times New Roman" w:hAnsi="Times New Roman" w:cs="Times New Roman"/>
          <w:b/>
          <w:bCs/>
          <w:sz w:val="20"/>
          <w:szCs w:val="20"/>
        </w:rPr>
        <w:t>Dyfi</w:t>
      </w:r>
      <w:proofErr w:type="spellEnd"/>
      <w:r w:rsidRPr="00A440FB">
        <w:rPr>
          <w:rFonts w:ascii="Times New Roman" w:hAnsi="Times New Roman" w:cs="Times New Roman"/>
          <w:b/>
          <w:bCs/>
          <w:sz w:val="20"/>
          <w:szCs w:val="20"/>
        </w:rPr>
        <w:t xml:space="preserve"> Bridge scheme</w:t>
      </w:r>
    </w:p>
    <w:p w14:paraId="69C21291"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b/>
          <w:bCs/>
          <w:sz w:val="20"/>
          <w:szCs w:val="20"/>
        </w:rPr>
        <w:t>Table 4: Summary of Impact Evaluation Performance (Review Area 3)</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98"/>
        <w:gridCol w:w="1897"/>
        <w:gridCol w:w="2219"/>
        <w:gridCol w:w="1690"/>
      </w:tblGrid>
      <w:tr w:rsidR="00EC6631" w:rsidRPr="00EC6631" w14:paraId="683DC30E" w14:textId="77777777" w:rsidTr="00EC6631">
        <w:trPr>
          <w:tblHeader/>
          <w:tblCellSpacing w:w="15" w:type="dxa"/>
          <w:jc w:val="center"/>
        </w:trPr>
        <w:tc>
          <w:tcPr>
            <w:tcW w:w="0" w:type="auto"/>
            <w:vAlign w:val="center"/>
            <w:hideMark/>
          </w:tcPr>
          <w:p w14:paraId="6F301935"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Environmental Topic</w:t>
            </w:r>
          </w:p>
        </w:tc>
        <w:tc>
          <w:tcPr>
            <w:tcW w:w="0" w:type="auto"/>
            <w:vAlign w:val="center"/>
            <w:hideMark/>
          </w:tcPr>
          <w:p w14:paraId="2344003D"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Impact Identification</w:t>
            </w:r>
          </w:p>
        </w:tc>
        <w:tc>
          <w:tcPr>
            <w:tcW w:w="0" w:type="auto"/>
            <w:vAlign w:val="center"/>
            <w:hideMark/>
          </w:tcPr>
          <w:p w14:paraId="02C9F2EA"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Significance Justification</w:t>
            </w:r>
          </w:p>
        </w:tc>
        <w:tc>
          <w:tcPr>
            <w:tcW w:w="0" w:type="auto"/>
            <w:vAlign w:val="center"/>
            <w:hideMark/>
          </w:tcPr>
          <w:p w14:paraId="1878AAD1"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Mitigation Quality</w:t>
            </w:r>
          </w:p>
        </w:tc>
      </w:tr>
      <w:tr w:rsidR="00EC6631" w:rsidRPr="00EC6631" w14:paraId="77B65111" w14:textId="77777777" w:rsidTr="00EC6631">
        <w:trPr>
          <w:tblCellSpacing w:w="15" w:type="dxa"/>
          <w:jc w:val="center"/>
        </w:trPr>
        <w:tc>
          <w:tcPr>
            <w:tcW w:w="0" w:type="auto"/>
            <w:vAlign w:val="center"/>
            <w:hideMark/>
          </w:tcPr>
          <w:p w14:paraId="2470EA98"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Ecology</w:t>
            </w:r>
          </w:p>
        </w:tc>
        <w:tc>
          <w:tcPr>
            <w:tcW w:w="0" w:type="auto"/>
            <w:vAlign w:val="center"/>
            <w:hideMark/>
          </w:tcPr>
          <w:p w14:paraId="1AE4A263"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Strong</w:t>
            </w:r>
          </w:p>
        </w:tc>
        <w:tc>
          <w:tcPr>
            <w:tcW w:w="0" w:type="auto"/>
            <w:vAlign w:val="center"/>
            <w:hideMark/>
          </w:tcPr>
          <w:p w14:paraId="50366949"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Moderate</w:t>
            </w:r>
          </w:p>
        </w:tc>
        <w:tc>
          <w:tcPr>
            <w:tcW w:w="0" w:type="auto"/>
            <w:vAlign w:val="center"/>
            <w:hideMark/>
          </w:tcPr>
          <w:p w14:paraId="5271EDA2"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Moderate</w:t>
            </w:r>
          </w:p>
        </w:tc>
      </w:tr>
      <w:tr w:rsidR="00EC6631" w:rsidRPr="00EC6631" w14:paraId="6DF58515" w14:textId="77777777" w:rsidTr="00EC6631">
        <w:trPr>
          <w:tblCellSpacing w:w="15" w:type="dxa"/>
          <w:jc w:val="center"/>
        </w:trPr>
        <w:tc>
          <w:tcPr>
            <w:tcW w:w="0" w:type="auto"/>
            <w:vAlign w:val="center"/>
            <w:hideMark/>
          </w:tcPr>
          <w:p w14:paraId="2850E4A0"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Water environment</w:t>
            </w:r>
          </w:p>
        </w:tc>
        <w:tc>
          <w:tcPr>
            <w:tcW w:w="0" w:type="auto"/>
            <w:vAlign w:val="center"/>
            <w:hideMark/>
          </w:tcPr>
          <w:p w14:paraId="425F93E2"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Strong</w:t>
            </w:r>
          </w:p>
        </w:tc>
        <w:tc>
          <w:tcPr>
            <w:tcW w:w="0" w:type="auto"/>
            <w:vAlign w:val="center"/>
            <w:hideMark/>
          </w:tcPr>
          <w:p w14:paraId="67B9230F"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Moderate</w:t>
            </w:r>
          </w:p>
        </w:tc>
        <w:tc>
          <w:tcPr>
            <w:tcW w:w="0" w:type="auto"/>
            <w:vAlign w:val="center"/>
            <w:hideMark/>
          </w:tcPr>
          <w:p w14:paraId="4482EE1C"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Moderate</w:t>
            </w:r>
          </w:p>
        </w:tc>
      </w:tr>
      <w:tr w:rsidR="00EC6631" w:rsidRPr="00EC6631" w14:paraId="201CF70B" w14:textId="77777777" w:rsidTr="00EC6631">
        <w:trPr>
          <w:tblCellSpacing w:w="15" w:type="dxa"/>
          <w:jc w:val="center"/>
        </w:trPr>
        <w:tc>
          <w:tcPr>
            <w:tcW w:w="0" w:type="auto"/>
            <w:vAlign w:val="center"/>
            <w:hideMark/>
          </w:tcPr>
          <w:p w14:paraId="7EFF5975"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Landscape &amp; visual</w:t>
            </w:r>
          </w:p>
        </w:tc>
        <w:tc>
          <w:tcPr>
            <w:tcW w:w="0" w:type="auto"/>
            <w:vAlign w:val="center"/>
            <w:hideMark/>
          </w:tcPr>
          <w:p w14:paraId="2517CDD3"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Moderate</w:t>
            </w:r>
          </w:p>
        </w:tc>
        <w:tc>
          <w:tcPr>
            <w:tcW w:w="0" w:type="auto"/>
            <w:vAlign w:val="center"/>
            <w:hideMark/>
          </w:tcPr>
          <w:p w14:paraId="1D3FD5EC"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Weak</w:t>
            </w:r>
          </w:p>
        </w:tc>
        <w:tc>
          <w:tcPr>
            <w:tcW w:w="0" w:type="auto"/>
            <w:vAlign w:val="center"/>
            <w:hideMark/>
          </w:tcPr>
          <w:p w14:paraId="34FE700A"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Moderate</w:t>
            </w:r>
          </w:p>
        </w:tc>
      </w:tr>
      <w:tr w:rsidR="00EC6631" w:rsidRPr="00EC6631" w14:paraId="02320ADC" w14:textId="77777777" w:rsidTr="00EC6631">
        <w:trPr>
          <w:tblCellSpacing w:w="15" w:type="dxa"/>
          <w:jc w:val="center"/>
        </w:trPr>
        <w:tc>
          <w:tcPr>
            <w:tcW w:w="0" w:type="auto"/>
            <w:vAlign w:val="center"/>
            <w:hideMark/>
          </w:tcPr>
          <w:p w14:paraId="123E1872"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Noise &amp; air quality</w:t>
            </w:r>
          </w:p>
        </w:tc>
        <w:tc>
          <w:tcPr>
            <w:tcW w:w="0" w:type="auto"/>
            <w:vAlign w:val="center"/>
            <w:hideMark/>
          </w:tcPr>
          <w:p w14:paraId="733C90C6"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Weak</w:t>
            </w:r>
          </w:p>
        </w:tc>
        <w:tc>
          <w:tcPr>
            <w:tcW w:w="0" w:type="auto"/>
            <w:vAlign w:val="center"/>
            <w:hideMark/>
          </w:tcPr>
          <w:p w14:paraId="758AE114"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Weak</w:t>
            </w:r>
          </w:p>
        </w:tc>
        <w:tc>
          <w:tcPr>
            <w:tcW w:w="0" w:type="auto"/>
            <w:vAlign w:val="center"/>
            <w:hideMark/>
          </w:tcPr>
          <w:p w14:paraId="6BE9C4DC"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Generic</w:t>
            </w:r>
          </w:p>
        </w:tc>
      </w:tr>
    </w:tbl>
    <w:p w14:paraId="77CBB7C7" w14:textId="77777777" w:rsidR="00EC6631" w:rsidRPr="00A440FB" w:rsidRDefault="00EC6631" w:rsidP="00A440FB">
      <w:pPr>
        <w:jc w:val="both"/>
        <w:rPr>
          <w:rFonts w:ascii="Times New Roman" w:hAnsi="Times New Roman" w:cs="Times New Roman"/>
          <w:sz w:val="20"/>
          <w:szCs w:val="20"/>
        </w:rPr>
      </w:pPr>
    </w:p>
    <w:p w14:paraId="6184F43D" w14:textId="77777777" w:rsidR="00A440FB" w:rsidRDefault="00A440FB" w:rsidP="00A440FB">
      <w:pPr>
        <w:jc w:val="both"/>
        <w:rPr>
          <w:rFonts w:ascii="Times New Roman" w:hAnsi="Times New Roman" w:cs="Times New Roman"/>
          <w:sz w:val="20"/>
          <w:szCs w:val="20"/>
        </w:rPr>
        <w:sectPr w:rsidR="00A440FB" w:rsidSect="00A440FB">
          <w:type w:val="continuous"/>
          <w:pgSz w:w="11906" w:h="16838"/>
          <w:pgMar w:top="1440" w:right="1440" w:bottom="1440" w:left="1440" w:header="708" w:footer="708" w:gutter="0"/>
          <w:cols w:space="708"/>
          <w:docGrid w:linePitch="360"/>
        </w:sectPr>
      </w:pPr>
    </w:p>
    <w:p w14:paraId="40F172CA"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Mitigation measures are generally appropriate but are described in generic terms, with limited linkage to predicted impact severity or measurable outcomes.</w:t>
      </w:r>
    </w:p>
    <w:p w14:paraId="2A2AC301" w14:textId="5106E169" w:rsidR="00EC6631" w:rsidRPr="00EC6631" w:rsidRDefault="00EC6631" w:rsidP="00A440FB">
      <w:pPr>
        <w:jc w:val="both"/>
        <w:rPr>
          <w:rFonts w:ascii="Times New Roman" w:hAnsi="Times New Roman" w:cs="Times New Roman"/>
          <w:sz w:val="20"/>
          <w:szCs w:val="20"/>
        </w:rPr>
      </w:pPr>
    </w:p>
    <w:p w14:paraId="4587D40E"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4.5 Review Area 4: Presentation, Monitoring and Follow-Up</w:t>
      </w:r>
    </w:p>
    <w:p w14:paraId="06DEFCFF" w14:textId="60204198"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The results for Review Area 4 indicate the poorest performance across the ES. While the document is logically structured and includes a Non-Technical Summary, it relies heavily on dense text, limiting accessibility for non-specialist audiences</w:t>
      </w:r>
      <w:r w:rsidR="00A5018B">
        <w:rPr>
          <w:rFonts w:ascii="Times New Roman" w:hAnsi="Times New Roman" w:cs="Times New Roman"/>
          <w:sz w:val="20"/>
          <w:szCs w:val="20"/>
        </w:rPr>
        <w:t xml:space="preserve"> [9]</w:t>
      </w:r>
      <w:r w:rsidRPr="00EC6631">
        <w:rPr>
          <w:rFonts w:ascii="Times New Roman" w:hAnsi="Times New Roman" w:cs="Times New Roman"/>
          <w:sz w:val="20"/>
          <w:szCs w:val="20"/>
        </w:rPr>
        <w:t>.</w:t>
      </w:r>
    </w:p>
    <w:p w14:paraId="339C894C"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Post-consent monitoring is addressed only briefly, with minimal detail on indicators, responsibilities or reporting arrangements.</w:t>
      </w:r>
    </w:p>
    <w:p w14:paraId="449AAA8B"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num="2" w:space="708"/>
          <w:docGrid w:linePitch="360"/>
        </w:sectPr>
      </w:pPr>
    </w:p>
    <w:p w14:paraId="174BE71A"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b/>
          <w:bCs/>
          <w:sz w:val="20"/>
          <w:szCs w:val="20"/>
        </w:rPr>
        <w:t>Table 5: Evaluation of Monitoring and Follow-Up Provisions (Review Area 4)</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783"/>
        <w:gridCol w:w="1234"/>
      </w:tblGrid>
      <w:tr w:rsidR="00EC6631" w:rsidRPr="00EC6631" w14:paraId="52EEF91F" w14:textId="77777777" w:rsidTr="00A440FB">
        <w:trPr>
          <w:tblHeader/>
          <w:tblCellSpacing w:w="15" w:type="dxa"/>
          <w:jc w:val="center"/>
        </w:trPr>
        <w:tc>
          <w:tcPr>
            <w:tcW w:w="0" w:type="auto"/>
            <w:vAlign w:val="center"/>
            <w:hideMark/>
          </w:tcPr>
          <w:p w14:paraId="149E7839"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Criterion</w:t>
            </w:r>
          </w:p>
        </w:tc>
        <w:tc>
          <w:tcPr>
            <w:tcW w:w="0" w:type="auto"/>
            <w:vAlign w:val="center"/>
            <w:hideMark/>
          </w:tcPr>
          <w:p w14:paraId="1E76E9AB"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Assessment</w:t>
            </w:r>
          </w:p>
        </w:tc>
      </w:tr>
      <w:tr w:rsidR="00EC6631" w:rsidRPr="00EC6631" w14:paraId="5040D002" w14:textId="77777777" w:rsidTr="00A440FB">
        <w:trPr>
          <w:tblCellSpacing w:w="15" w:type="dxa"/>
          <w:jc w:val="center"/>
        </w:trPr>
        <w:tc>
          <w:tcPr>
            <w:tcW w:w="0" w:type="auto"/>
            <w:vAlign w:val="center"/>
            <w:hideMark/>
          </w:tcPr>
          <w:p w14:paraId="34D7F659"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Identification of impacts requiring monitoring</w:t>
            </w:r>
          </w:p>
        </w:tc>
        <w:tc>
          <w:tcPr>
            <w:tcW w:w="0" w:type="auto"/>
            <w:vAlign w:val="center"/>
            <w:hideMark/>
          </w:tcPr>
          <w:p w14:paraId="5C12973C"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Limited</w:t>
            </w:r>
          </w:p>
        </w:tc>
      </w:tr>
      <w:tr w:rsidR="00EC6631" w:rsidRPr="00EC6631" w14:paraId="6033E044" w14:textId="77777777" w:rsidTr="00A440FB">
        <w:trPr>
          <w:tblCellSpacing w:w="15" w:type="dxa"/>
          <w:jc w:val="center"/>
        </w:trPr>
        <w:tc>
          <w:tcPr>
            <w:tcW w:w="0" w:type="auto"/>
            <w:vAlign w:val="center"/>
            <w:hideMark/>
          </w:tcPr>
          <w:p w14:paraId="6178B630"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Definition of monitoring indicators</w:t>
            </w:r>
          </w:p>
        </w:tc>
        <w:tc>
          <w:tcPr>
            <w:tcW w:w="0" w:type="auto"/>
            <w:vAlign w:val="center"/>
            <w:hideMark/>
          </w:tcPr>
          <w:p w14:paraId="6EF24AFE"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Weak</w:t>
            </w:r>
          </w:p>
        </w:tc>
      </w:tr>
      <w:tr w:rsidR="00EC6631" w:rsidRPr="00EC6631" w14:paraId="3DBE26B6" w14:textId="77777777" w:rsidTr="00A440FB">
        <w:trPr>
          <w:tblCellSpacing w:w="15" w:type="dxa"/>
          <w:jc w:val="center"/>
        </w:trPr>
        <w:tc>
          <w:tcPr>
            <w:tcW w:w="0" w:type="auto"/>
            <w:vAlign w:val="center"/>
            <w:hideMark/>
          </w:tcPr>
          <w:p w14:paraId="412F836B"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Allocation of responsibilities</w:t>
            </w:r>
          </w:p>
        </w:tc>
        <w:tc>
          <w:tcPr>
            <w:tcW w:w="0" w:type="auto"/>
            <w:vAlign w:val="center"/>
            <w:hideMark/>
          </w:tcPr>
          <w:p w14:paraId="56D17D3B"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Absent</w:t>
            </w:r>
          </w:p>
        </w:tc>
      </w:tr>
      <w:tr w:rsidR="00EC6631" w:rsidRPr="00EC6631" w14:paraId="229870A1" w14:textId="77777777" w:rsidTr="00A440FB">
        <w:trPr>
          <w:tblCellSpacing w:w="15" w:type="dxa"/>
          <w:jc w:val="center"/>
        </w:trPr>
        <w:tc>
          <w:tcPr>
            <w:tcW w:w="0" w:type="auto"/>
            <w:vAlign w:val="center"/>
            <w:hideMark/>
          </w:tcPr>
          <w:p w14:paraId="42DFEBA2"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Feedback into adaptive management</w:t>
            </w:r>
          </w:p>
        </w:tc>
        <w:tc>
          <w:tcPr>
            <w:tcW w:w="0" w:type="auto"/>
            <w:vAlign w:val="center"/>
            <w:hideMark/>
          </w:tcPr>
          <w:p w14:paraId="235F85B0"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Not addressed</w:t>
            </w:r>
          </w:p>
        </w:tc>
      </w:tr>
    </w:tbl>
    <w:p w14:paraId="1130C69D" w14:textId="77777777" w:rsidR="00EC6631" w:rsidRPr="00A440FB" w:rsidRDefault="00EC6631" w:rsidP="00A440FB">
      <w:pPr>
        <w:jc w:val="both"/>
        <w:rPr>
          <w:rFonts w:ascii="Times New Roman" w:hAnsi="Times New Roman" w:cs="Times New Roman"/>
          <w:sz w:val="20"/>
          <w:szCs w:val="20"/>
        </w:rPr>
      </w:pPr>
    </w:p>
    <w:p w14:paraId="5EB2467F"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The absence of a clear monitoring framework undermines confidence that predicted impacts and mitigation measures will be verified in practice.</w:t>
      </w:r>
    </w:p>
    <w:p w14:paraId="78475631" w14:textId="632D1953" w:rsidR="00EC6631" w:rsidRPr="00A440FB" w:rsidRDefault="00BA3F73" w:rsidP="00A440FB">
      <w:pPr>
        <w:jc w:val="center"/>
        <w:rPr>
          <w:rFonts w:ascii="Times New Roman" w:hAnsi="Times New Roman" w:cs="Times New Roman"/>
          <w:sz w:val="20"/>
          <w:szCs w:val="20"/>
        </w:rPr>
      </w:pPr>
      <w:r w:rsidRPr="00A440FB">
        <w:rPr>
          <w:rFonts w:ascii="Times New Roman" w:hAnsi="Times New Roman" w:cs="Times New Roman"/>
          <w:noProof/>
          <w:sz w:val="20"/>
          <w:szCs w:val="20"/>
        </w:rPr>
        <w:drawing>
          <wp:inline distT="0" distB="0" distL="0" distR="0" wp14:anchorId="42BBBE06" wp14:editId="4FBCA572">
            <wp:extent cx="3883399" cy="2292350"/>
            <wp:effectExtent l="0" t="0" r="3175" b="0"/>
            <wp:docPr id="675437753" name="Picture 3" descr="Overall quality across Environmental Impact Assess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Overall quality across Environmental Impact Assessme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88702" cy="2295480"/>
                    </a:xfrm>
                    <a:prstGeom prst="rect">
                      <a:avLst/>
                    </a:prstGeom>
                    <a:noFill/>
                    <a:ln>
                      <a:noFill/>
                    </a:ln>
                  </pic:spPr>
                </pic:pic>
              </a:graphicData>
            </a:graphic>
          </wp:inline>
        </w:drawing>
      </w:r>
    </w:p>
    <w:p w14:paraId="36ADE249" w14:textId="48D382E9" w:rsidR="00BA3F73" w:rsidRPr="00EC6631" w:rsidRDefault="00BA3F73"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lastRenderedPageBreak/>
        <w:t xml:space="preserve">Figure 3: Comparative performance of the A487 New </w:t>
      </w:r>
      <w:proofErr w:type="spellStart"/>
      <w:r w:rsidRPr="00A440FB">
        <w:rPr>
          <w:rFonts w:ascii="Times New Roman" w:hAnsi="Times New Roman" w:cs="Times New Roman"/>
          <w:b/>
          <w:bCs/>
          <w:sz w:val="20"/>
          <w:szCs w:val="20"/>
        </w:rPr>
        <w:t>Dyfi</w:t>
      </w:r>
      <w:proofErr w:type="spellEnd"/>
      <w:r w:rsidRPr="00A440FB">
        <w:rPr>
          <w:rFonts w:ascii="Times New Roman" w:hAnsi="Times New Roman" w:cs="Times New Roman"/>
          <w:b/>
          <w:bCs/>
          <w:sz w:val="20"/>
          <w:szCs w:val="20"/>
        </w:rPr>
        <w:t xml:space="preserve"> Bridge Environmental Statement across the four Lee &amp; Colley Review Areas</w:t>
      </w:r>
    </w:p>
    <w:p w14:paraId="1323DC49"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space="708"/>
          <w:docGrid w:linePitch="360"/>
        </w:sectPr>
      </w:pPr>
    </w:p>
    <w:p w14:paraId="63C290C2" w14:textId="77777777" w:rsidR="00EC6631" w:rsidRPr="00EC6631" w:rsidRDefault="00EC6631" w:rsidP="00A440FB">
      <w:pPr>
        <w:jc w:val="both"/>
        <w:rPr>
          <w:rFonts w:ascii="Times New Roman" w:hAnsi="Times New Roman" w:cs="Times New Roman"/>
          <w:b/>
          <w:bCs/>
          <w:sz w:val="20"/>
          <w:szCs w:val="20"/>
        </w:rPr>
      </w:pPr>
      <w:r w:rsidRPr="00EC6631">
        <w:rPr>
          <w:rFonts w:ascii="Times New Roman" w:hAnsi="Times New Roman" w:cs="Times New Roman"/>
          <w:b/>
          <w:bCs/>
          <w:sz w:val="20"/>
          <w:szCs w:val="20"/>
        </w:rPr>
        <w:t>4.6 Summary of Results</w:t>
      </w:r>
    </w:p>
    <w:p w14:paraId="3A383F2A" w14:textId="14759DBA"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Overall, the results demonstrate that the A487 New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Environmental Statement achieves a reasonable level of procedural compliance but exhibits limited analytical depth in several critical areas. The strongest aspects relate to baseline data collection and application of standard methodologies, while the weakest aspects concern alternatives assessment, uncertainty treatment and post-consent monitoring</w:t>
      </w:r>
      <w:r w:rsidR="00A5018B">
        <w:rPr>
          <w:rFonts w:ascii="Times New Roman" w:hAnsi="Times New Roman" w:cs="Times New Roman"/>
          <w:sz w:val="20"/>
          <w:szCs w:val="20"/>
        </w:rPr>
        <w:t xml:space="preserve"> [10]</w:t>
      </w:r>
      <w:r w:rsidRPr="00EC6631">
        <w:rPr>
          <w:rFonts w:ascii="Times New Roman" w:hAnsi="Times New Roman" w:cs="Times New Roman"/>
          <w:sz w:val="20"/>
          <w:szCs w:val="20"/>
        </w:rPr>
        <w:t>.</w:t>
      </w:r>
    </w:p>
    <w:p w14:paraId="51CB6367" w14:textId="77777777" w:rsidR="00EC6631" w:rsidRPr="00EC6631" w:rsidRDefault="00EC6631" w:rsidP="00A440FB">
      <w:pPr>
        <w:jc w:val="both"/>
        <w:rPr>
          <w:rFonts w:ascii="Times New Roman" w:hAnsi="Times New Roman" w:cs="Times New Roman"/>
          <w:sz w:val="20"/>
          <w:szCs w:val="20"/>
        </w:rPr>
      </w:pPr>
    </w:p>
    <w:p w14:paraId="6647F114" w14:textId="5C86E32C" w:rsidR="00EC6631" w:rsidRPr="00EC6631" w:rsidRDefault="00EC6631"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5</w:t>
      </w:r>
      <w:r w:rsidRPr="00EC6631">
        <w:rPr>
          <w:rFonts w:ascii="Times New Roman" w:hAnsi="Times New Roman" w:cs="Times New Roman"/>
          <w:b/>
          <w:bCs/>
          <w:sz w:val="20"/>
          <w:szCs w:val="20"/>
        </w:rPr>
        <w:t>. Project Context and Description</w:t>
      </w:r>
    </w:p>
    <w:p w14:paraId="70F867FA" w14:textId="2F4D627A"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The A487 New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scheme is a trunk road improvement project located in Wales, designed to enhance the resilience and safety of the A487 transport corridor by providing a new crossing over the River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The project responds to longstanding issues associated with the existing bridge, including vulnerability to flooding, safety concerns and network reliability. Given the ecological sensitivity of the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estuary and surrounding landscape, the project presents a complex environmental context requiring careful assessment</w:t>
      </w:r>
      <w:r w:rsidR="00A5018B">
        <w:rPr>
          <w:rFonts w:ascii="Times New Roman" w:hAnsi="Times New Roman" w:cs="Times New Roman"/>
          <w:sz w:val="20"/>
          <w:szCs w:val="20"/>
        </w:rPr>
        <w:t xml:space="preserve"> [20]</w:t>
      </w:r>
      <w:r w:rsidRPr="00EC6631">
        <w:rPr>
          <w:rFonts w:ascii="Times New Roman" w:hAnsi="Times New Roman" w:cs="Times New Roman"/>
          <w:sz w:val="20"/>
          <w:szCs w:val="20"/>
        </w:rPr>
        <w:t>.</w:t>
      </w:r>
    </w:p>
    <w:p w14:paraId="04B9C840"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The Environmental Statement provides a description of the scheme, including the proposed bridge structure, approach roads, construction methods and supporting infrastructure. At a descriptive level, the ES meets the minimum statutory requirements by outlining the physical characteristics of the project and its geographical setting. However, contemporary best-practice guidance emphasises that project descriptions should extend beyond a </w:t>
      </w:r>
      <w:r w:rsidRPr="00EC6631">
        <w:rPr>
          <w:rFonts w:ascii="Times New Roman" w:hAnsi="Times New Roman" w:cs="Times New Roman"/>
          <w:sz w:val="20"/>
          <w:szCs w:val="20"/>
        </w:rPr>
        <w:t>catalogue of components to include clear explanations of design rationale, construction behaviours and impact pathways. In this respect, the ES provides limited insight into how specific design choices influence environmental outcomes, constraining its analytical value.</w:t>
      </w:r>
    </w:p>
    <w:p w14:paraId="6643FE6A" w14:textId="2BF6DEDE" w:rsidR="00EC6631" w:rsidRPr="00EC6631" w:rsidRDefault="00EC6631" w:rsidP="00A440FB">
      <w:pPr>
        <w:jc w:val="both"/>
        <w:rPr>
          <w:rFonts w:ascii="Times New Roman" w:hAnsi="Times New Roman" w:cs="Times New Roman"/>
          <w:sz w:val="20"/>
          <w:szCs w:val="20"/>
        </w:rPr>
      </w:pPr>
    </w:p>
    <w:p w14:paraId="59840711" w14:textId="70616BB4" w:rsidR="00EC6631" w:rsidRPr="00EC6631" w:rsidRDefault="00EC6631"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6</w:t>
      </w:r>
      <w:r w:rsidRPr="00EC6631">
        <w:rPr>
          <w:rFonts w:ascii="Times New Roman" w:hAnsi="Times New Roman" w:cs="Times New Roman"/>
          <w:b/>
          <w:bCs/>
          <w:sz w:val="20"/>
          <w:szCs w:val="20"/>
        </w:rPr>
        <w:t>. Critical Evaluation Using the Lee and Colley Framework</w:t>
      </w:r>
    </w:p>
    <w:p w14:paraId="390FF9DB" w14:textId="64B0B5D3" w:rsidR="00EC6631" w:rsidRPr="00EC6631" w:rsidRDefault="00EC6631"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6</w:t>
      </w:r>
      <w:r w:rsidRPr="00EC6631">
        <w:rPr>
          <w:rFonts w:ascii="Times New Roman" w:hAnsi="Times New Roman" w:cs="Times New Roman"/>
          <w:b/>
          <w:bCs/>
          <w:sz w:val="20"/>
          <w:szCs w:val="20"/>
        </w:rPr>
        <w:t>.1 Review Area 1: Description of the Project and Alternatives</w:t>
      </w:r>
    </w:p>
    <w:p w14:paraId="34F128DE"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A robust project description and meaningful consideration of alternatives are fundamental to effective EIA, as they shape the scope of assessment and inform environmentally preferable decision-making. The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ES provides a reasonable description of the engineering elements of the scheme and identifies several alternatives, including a do-nothing option, online improvements and an offline new bridge.</w:t>
      </w:r>
    </w:p>
    <w:p w14:paraId="22B98C1D" w14:textId="062A1FB4" w:rsidR="00EC6631" w:rsidRPr="00A440FB"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However, the analysis of alternatives is largely descriptive rather than comparative. While the ES outlines the existence of alternative options, it does not systematically evaluate them against environmental, social and technical criteria. This approach reflects a common criticism within EIA literature, where alternatives are often presented to satisfy procedural requirements rather than to genuinely influence decision-making. As a result, Review Area 1 was graded C, indicating adequate but analytically weak performance</w:t>
      </w:r>
      <w:r w:rsidR="00A5018B">
        <w:rPr>
          <w:rFonts w:ascii="Times New Roman" w:hAnsi="Times New Roman" w:cs="Times New Roman"/>
          <w:sz w:val="20"/>
          <w:szCs w:val="20"/>
        </w:rPr>
        <w:t xml:space="preserve"> [11]</w:t>
      </w:r>
      <w:r w:rsidRPr="00EC6631">
        <w:rPr>
          <w:rFonts w:ascii="Times New Roman" w:hAnsi="Times New Roman" w:cs="Times New Roman"/>
          <w:sz w:val="20"/>
          <w:szCs w:val="20"/>
        </w:rPr>
        <w:t>.</w:t>
      </w:r>
    </w:p>
    <w:p w14:paraId="61C69623"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num="2" w:space="708"/>
          <w:docGrid w:linePitch="360"/>
        </w:sectPr>
      </w:pPr>
    </w:p>
    <w:p w14:paraId="2C64611D" w14:textId="192500DB" w:rsidR="00BA3F73" w:rsidRPr="00A440FB" w:rsidRDefault="00BA3F73" w:rsidP="00A440FB">
      <w:pPr>
        <w:jc w:val="both"/>
        <w:rPr>
          <w:rFonts w:ascii="Times New Roman" w:hAnsi="Times New Roman" w:cs="Times New Roman"/>
          <w:b/>
          <w:bCs/>
          <w:sz w:val="20"/>
          <w:szCs w:val="20"/>
        </w:rPr>
      </w:pPr>
      <w:r w:rsidRPr="00A440FB">
        <w:rPr>
          <w:rFonts w:ascii="Times New Roman" w:hAnsi="Times New Roman" w:cs="Times New Roman"/>
          <w:b/>
          <w:bCs/>
          <w:noProof/>
          <w:sz w:val="20"/>
          <w:szCs w:val="20"/>
        </w:rPr>
        <w:lastRenderedPageBreak/>
        <w:drawing>
          <wp:inline distT="0" distB="0" distL="0" distR="0" wp14:anchorId="68A3A6CA" wp14:editId="759A0489">
            <wp:extent cx="5731510" cy="3582670"/>
            <wp:effectExtent l="0" t="0" r="2540" b="0"/>
            <wp:docPr id="2137933381" name="Picture 6" descr="The theory-practice gap conceptual model. The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The theory-practice gap conceptual model. The model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82670"/>
                    </a:xfrm>
                    <a:prstGeom prst="rect">
                      <a:avLst/>
                    </a:prstGeom>
                    <a:noFill/>
                    <a:ln>
                      <a:noFill/>
                    </a:ln>
                  </pic:spPr>
                </pic:pic>
              </a:graphicData>
            </a:graphic>
          </wp:inline>
        </w:drawing>
      </w:r>
    </w:p>
    <w:p w14:paraId="73C799C1" w14:textId="52F4B2AD" w:rsidR="00BA3F73" w:rsidRPr="00EC6631" w:rsidRDefault="00BA3F73"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 xml:space="preserve">Figure 6. Conceptual comparison between procedural compliance and analytical effectiveness in the A487 New </w:t>
      </w:r>
      <w:proofErr w:type="spellStart"/>
      <w:r w:rsidRPr="00A440FB">
        <w:rPr>
          <w:rFonts w:ascii="Times New Roman" w:hAnsi="Times New Roman" w:cs="Times New Roman"/>
          <w:b/>
          <w:bCs/>
          <w:sz w:val="20"/>
          <w:szCs w:val="20"/>
        </w:rPr>
        <w:t>Dyfi</w:t>
      </w:r>
      <w:proofErr w:type="spellEnd"/>
      <w:r w:rsidRPr="00A440FB">
        <w:rPr>
          <w:rFonts w:ascii="Times New Roman" w:hAnsi="Times New Roman" w:cs="Times New Roman"/>
          <w:b/>
          <w:bCs/>
          <w:sz w:val="20"/>
          <w:szCs w:val="20"/>
        </w:rPr>
        <w:t xml:space="preserve"> Bridge Environmental Statement.</w:t>
      </w:r>
    </w:p>
    <w:p w14:paraId="1A7AB0B5"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space="708"/>
          <w:docGrid w:linePitch="360"/>
        </w:sectPr>
      </w:pPr>
    </w:p>
    <w:p w14:paraId="4341089B" w14:textId="255672DA" w:rsidR="00EC6631" w:rsidRPr="00EC6631" w:rsidRDefault="00EC6631"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6</w:t>
      </w:r>
      <w:r w:rsidRPr="00EC6631">
        <w:rPr>
          <w:rFonts w:ascii="Times New Roman" w:hAnsi="Times New Roman" w:cs="Times New Roman"/>
          <w:b/>
          <w:bCs/>
          <w:sz w:val="20"/>
          <w:szCs w:val="20"/>
        </w:rPr>
        <w:t>.2 Review Area 2: Environmental Baseline, Scoping and Prediction Methods</w:t>
      </w:r>
    </w:p>
    <w:p w14:paraId="30F3F482" w14:textId="4B5AA6CA"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The ES includes baseline data covering key environmental receptors such as ecology, hydrology, landscape and cultural heritage. The data collection methods generally align with standard UK practice and DMRB requirements, resulting in a relatively robust baseline for impact assessment</w:t>
      </w:r>
      <w:r w:rsidR="00A5018B">
        <w:rPr>
          <w:rFonts w:ascii="Times New Roman" w:hAnsi="Times New Roman" w:cs="Times New Roman"/>
          <w:sz w:val="20"/>
          <w:szCs w:val="20"/>
        </w:rPr>
        <w:t xml:space="preserve"> [12]</w:t>
      </w:r>
      <w:r w:rsidRPr="00EC6631">
        <w:rPr>
          <w:rFonts w:ascii="Times New Roman" w:hAnsi="Times New Roman" w:cs="Times New Roman"/>
          <w:sz w:val="20"/>
          <w:szCs w:val="20"/>
        </w:rPr>
        <w:t>. However, limitations are evident in the treatment of temporal variability, particularly in relation to climate change and long-term ecological trends.</w:t>
      </w:r>
    </w:p>
    <w:p w14:paraId="19F7DCAC"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The scoping process is summarised in the ES but lacks transparency regarding stakeholder engagement and the rationale behind scoping decisions. Academic research consistently </w:t>
      </w:r>
      <w:r w:rsidRPr="00EC6631">
        <w:rPr>
          <w:rFonts w:ascii="Times New Roman" w:hAnsi="Times New Roman" w:cs="Times New Roman"/>
          <w:sz w:val="20"/>
          <w:szCs w:val="20"/>
        </w:rPr>
        <w:t>highlights scoping as a critical determinant of EIA effectiveness, and insufficient documentation undermines confidence in the comprehensiveness of the assessment.</w:t>
      </w:r>
    </w:p>
    <w:p w14:paraId="6FD9CA1F" w14:textId="77777777" w:rsidR="00A440FB" w:rsidRDefault="00EC6631" w:rsidP="00A440FB">
      <w:pPr>
        <w:jc w:val="both"/>
        <w:rPr>
          <w:rFonts w:ascii="Times New Roman" w:hAnsi="Times New Roman" w:cs="Times New Roman"/>
          <w:sz w:val="20"/>
          <w:szCs w:val="20"/>
        </w:rPr>
        <w:sectPr w:rsidR="00A440FB" w:rsidSect="00A440FB">
          <w:type w:val="continuous"/>
          <w:pgSz w:w="11906" w:h="16838"/>
          <w:pgMar w:top="1440" w:right="1440" w:bottom="1440" w:left="1440" w:header="708" w:footer="708" w:gutter="0"/>
          <w:cols w:num="2" w:space="708"/>
          <w:docGrid w:linePitch="360"/>
        </w:sectPr>
      </w:pPr>
      <w:r w:rsidRPr="00EC6631">
        <w:rPr>
          <w:rFonts w:ascii="Times New Roman" w:hAnsi="Times New Roman" w:cs="Times New Roman"/>
          <w:sz w:val="20"/>
          <w:szCs w:val="20"/>
        </w:rPr>
        <w:t>Impact prediction methods are outlined for most environmental topics, but the level of methodological detail varies between chapters. In several cases, key assumptions and limitations are not explicitly stated, and uncertainty is rarely discussed. Given the increasing emphasis on transparency and uncertainty management in contemporary EIA practice, these omissions represent a significant weakness. Overall, Review Area 2 was graded C+, reflecting generally sound baseline data but methodological limitations</w:t>
      </w:r>
    </w:p>
    <w:p w14:paraId="54D963DC" w14:textId="77777777" w:rsidR="00EC6631" w:rsidRPr="00A440FB"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w:t>
      </w:r>
    </w:p>
    <w:p w14:paraId="56A6940B" w14:textId="0F73A1DD" w:rsidR="00BA3F73" w:rsidRPr="00A440FB" w:rsidRDefault="00BA3F73" w:rsidP="00A440FB">
      <w:pPr>
        <w:jc w:val="center"/>
        <w:rPr>
          <w:rFonts w:ascii="Times New Roman" w:hAnsi="Times New Roman" w:cs="Times New Roman"/>
          <w:b/>
          <w:bCs/>
          <w:sz w:val="20"/>
          <w:szCs w:val="20"/>
        </w:rPr>
      </w:pPr>
      <w:r w:rsidRPr="00A440FB">
        <w:rPr>
          <w:rFonts w:ascii="Times New Roman" w:hAnsi="Times New Roman" w:cs="Times New Roman"/>
          <w:b/>
          <w:bCs/>
          <w:noProof/>
          <w:sz w:val="20"/>
          <w:szCs w:val="20"/>
        </w:rPr>
        <w:lastRenderedPageBreak/>
        <w:drawing>
          <wp:inline distT="0" distB="0" distL="0" distR="0" wp14:anchorId="66DC2223" wp14:editId="579F4AD4">
            <wp:extent cx="5731510" cy="2192020"/>
            <wp:effectExtent l="0" t="0" r="2540" b="0"/>
            <wp:docPr id="901535501" name="Picture 7" descr="Environmental impact assessment – The range of activities cover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Environmental impact assessment – The range of activities covere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92020"/>
                    </a:xfrm>
                    <a:prstGeom prst="rect">
                      <a:avLst/>
                    </a:prstGeom>
                    <a:noFill/>
                    <a:ln>
                      <a:noFill/>
                    </a:ln>
                  </pic:spPr>
                </pic:pic>
              </a:graphicData>
            </a:graphic>
          </wp:inline>
        </w:drawing>
      </w:r>
    </w:p>
    <w:p w14:paraId="35F19E93" w14:textId="77777777" w:rsidR="00BA3F73" w:rsidRPr="00A440FB" w:rsidRDefault="00BA3F73" w:rsidP="00A440FB">
      <w:pPr>
        <w:jc w:val="center"/>
        <w:rPr>
          <w:rFonts w:ascii="Times New Roman" w:hAnsi="Times New Roman" w:cs="Times New Roman"/>
          <w:b/>
          <w:bCs/>
          <w:sz w:val="20"/>
          <w:szCs w:val="20"/>
        </w:rPr>
      </w:pPr>
    </w:p>
    <w:p w14:paraId="43351F2D" w14:textId="68C9CB77" w:rsidR="00BA3F73" w:rsidRPr="00A440FB" w:rsidRDefault="00BA3F73" w:rsidP="00A440FB">
      <w:pPr>
        <w:jc w:val="center"/>
        <w:rPr>
          <w:rFonts w:ascii="Times New Roman" w:hAnsi="Times New Roman" w:cs="Times New Roman"/>
          <w:b/>
          <w:bCs/>
          <w:sz w:val="20"/>
          <w:szCs w:val="20"/>
        </w:rPr>
      </w:pPr>
      <w:r w:rsidRPr="00A440FB">
        <w:rPr>
          <w:rFonts w:ascii="Times New Roman" w:hAnsi="Times New Roman" w:cs="Times New Roman"/>
          <w:b/>
          <w:bCs/>
          <w:noProof/>
          <w:sz w:val="20"/>
          <w:szCs w:val="20"/>
        </w:rPr>
        <w:drawing>
          <wp:inline distT="0" distB="0" distL="0" distR="0" wp14:anchorId="0CFD4ACC" wp14:editId="224C6BA1">
            <wp:extent cx="4762500" cy="2667000"/>
            <wp:effectExtent l="0" t="0" r="0" b="0"/>
            <wp:docPr id="1931160351" name="Picture 8" descr="Full article: Quality of environmental impact assess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Full article: Quality of environmental impact assessmen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2667000"/>
                    </a:xfrm>
                    <a:prstGeom prst="rect">
                      <a:avLst/>
                    </a:prstGeom>
                    <a:noFill/>
                    <a:ln>
                      <a:noFill/>
                    </a:ln>
                  </pic:spPr>
                </pic:pic>
              </a:graphicData>
            </a:graphic>
          </wp:inline>
        </w:drawing>
      </w:r>
    </w:p>
    <w:p w14:paraId="3C45EA3E" w14:textId="057DF0D9" w:rsidR="00BA3F73" w:rsidRPr="00EC6631" w:rsidRDefault="00BA3F73" w:rsidP="00A440FB">
      <w:pPr>
        <w:jc w:val="center"/>
        <w:rPr>
          <w:rFonts w:ascii="Times New Roman" w:hAnsi="Times New Roman" w:cs="Times New Roman"/>
          <w:b/>
          <w:bCs/>
          <w:sz w:val="20"/>
          <w:szCs w:val="20"/>
        </w:rPr>
      </w:pPr>
      <w:r w:rsidRPr="00A440FB">
        <w:rPr>
          <w:rFonts w:ascii="Times New Roman" w:hAnsi="Times New Roman" w:cs="Times New Roman"/>
          <w:b/>
          <w:bCs/>
          <w:sz w:val="20"/>
          <w:szCs w:val="20"/>
        </w:rPr>
        <w:t xml:space="preserve">Figure Relative emphasis placed on different environmental topics within the A487 New </w:t>
      </w:r>
      <w:proofErr w:type="spellStart"/>
      <w:r w:rsidRPr="00A440FB">
        <w:rPr>
          <w:rFonts w:ascii="Times New Roman" w:hAnsi="Times New Roman" w:cs="Times New Roman"/>
          <w:b/>
          <w:bCs/>
          <w:sz w:val="20"/>
          <w:szCs w:val="20"/>
        </w:rPr>
        <w:t>Dyfi</w:t>
      </w:r>
      <w:proofErr w:type="spellEnd"/>
      <w:r w:rsidRPr="00A440FB">
        <w:rPr>
          <w:rFonts w:ascii="Times New Roman" w:hAnsi="Times New Roman" w:cs="Times New Roman"/>
          <w:b/>
          <w:bCs/>
          <w:sz w:val="20"/>
          <w:szCs w:val="20"/>
        </w:rPr>
        <w:t xml:space="preserve"> Bridge Environmental Statement.</w:t>
      </w:r>
    </w:p>
    <w:p w14:paraId="112BF436"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space="708"/>
          <w:docGrid w:linePitch="360"/>
        </w:sectPr>
      </w:pPr>
    </w:p>
    <w:p w14:paraId="32D8E3A9" w14:textId="67E71CEC" w:rsidR="00EC6631" w:rsidRPr="00EC6631" w:rsidRDefault="00EC6631"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6</w:t>
      </w:r>
      <w:r w:rsidRPr="00EC6631">
        <w:rPr>
          <w:rFonts w:ascii="Times New Roman" w:hAnsi="Times New Roman" w:cs="Times New Roman"/>
          <w:b/>
          <w:bCs/>
          <w:sz w:val="20"/>
          <w:szCs w:val="20"/>
        </w:rPr>
        <w:t>.3 Review Area 3: Identification and Evaluation of Impacts and Mitigation</w:t>
      </w:r>
    </w:p>
    <w:p w14:paraId="45A2A415" w14:textId="3E7EB53F"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Impact identification within the ES is uneven across environmental topics. While ecological and hydrological impact pathways are reasonably well defined, other topics such as air quality and noise rely on generic descriptions that fail to clearly articulate causal mechanisms. This lack of clarity reduces the transparency and credibility of impact predictions</w:t>
      </w:r>
      <w:r w:rsidR="00A5018B">
        <w:rPr>
          <w:rFonts w:ascii="Times New Roman" w:hAnsi="Times New Roman" w:cs="Times New Roman"/>
          <w:sz w:val="20"/>
          <w:szCs w:val="20"/>
        </w:rPr>
        <w:t xml:space="preserve"> [13]</w:t>
      </w:r>
      <w:r w:rsidRPr="00EC6631">
        <w:rPr>
          <w:rFonts w:ascii="Times New Roman" w:hAnsi="Times New Roman" w:cs="Times New Roman"/>
          <w:sz w:val="20"/>
          <w:szCs w:val="20"/>
        </w:rPr>
        <w:t>.</w:t>
      </w:r>
    </w:p>
    <w:p w14:paraId="0B7DA3BB"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The evaluation of impact significance largely follows DMRB thresholds, which is consistent with best practice for road schemes. However, the narrative justification for significance determinations is often limited, and there is </w:t>
      </w:r>
      <w:r w:rsidRPr="00EC6631">
        <w:rPr>
          <w:rFonts w:ascii="Times New Roman" w:hAnsi="Times New Roman" w:cs="Times New Roman"/>
          <w:sz w:val="20"/>
          <w:szCs w:val="20"/>
        </w:rPr>
        <w:t>inconsistency in how receptor sensitivity and impact magnitude are combined. This reliance on predefined categories without adequate explanation reflects a broader concern within EIA literature regarding the opacity of significance evaluation.</w:t>
      </w:r>
    </w:p>
    <w:p w14:paraId="6DFEF833" w14:textId="122965CC" w:rsidR="00EC6631" w:rsidRPr="00A440FB"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Mitigation measures are identified for most significant impacts and generally align with standard construction and operational controls. Nevertheless, mitigation is presented in largely generic terms, with limited emphasis on measurable outcomes or performance indicators. The absence of a clear link between predicted impacts and specific mitigation objectives reduces the effectiveness of mitigation as a tool for environmental management. Review Area 3 was therefore graded C</w:t>
      </w:r>
      <w:r w:rsidR="00A5018B">
        <w:rPr>
          <w:rFonts w:ascii="Times New Roman" w:hAnsi="Times New Roman" w:cs="Times New Roman"/>
          <w:sz w:val="20"/>
          <w:szCs w:val="20"/>
        </w:rPr>
        <w:t xml:space="preserve"> [14]</w:t>
      </w:r>
      <w:r w:rsidRPr="00EC6631">
        <w:rPr>
          <w:rFonts w:ascii="Times New Roman" w:hAnsi="Times New Roman" w:cs="Times New Roman"/>
          <w:sz w:val="20"/>
          <w:szCs w:val="20"/>
        </w:rPr>
        <w:t>.</w:t>
      </w:r>
    </w:p>
    <w:p w14:paraId="5E44734A"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num="2" w:space="708"/>
          <w:docGrid w:linePitch="360"/>
        </w:sectPr>
      </w:pPr>
    </w:p>
    <w:p w14:paraId="66014831" w14:textId="5FD882D0" w:rsidR="00BA3F73" w:rsidRPr="00A440FB" w:rsidRDefault="00BA3F73" w:rsidP="00A440FB">
      <w:pPr>
        <w:jc w:val="center"/>
        <w:rPr>
          <w:rFonts w:ascii="Times New Roman" w:hAnsi="Times New Roman" w:cs="Times New Roman"/>
          <w:b/>
          <w:bCs/>
          <w:sz w:val="20"/>
          <w:szCs w:val="20"/>
        </w:rPr>
      </w:pPr>
      <w:r w:rsidRPr="00A440FB">
        <w:rPr>
          <w:rFonts w:ascii="Times New Roman" w:hAnsi="Times New Roman" w:cs="Times New Roman"/>
          <w:b/>
          <w:bCs/>
          <w:noProof/>
          <w:sz w:val="20"/>
          <w:szCs w:val="20"/>
        </w:rPr>
        <w:lastRenderedPageBreak/>
        <w:drawing>
          <wp:inline distT="0" distB="0" distL="0" distR="0" wp14:anchorId="01D95095" wp14:editId="406E3992">
            <wp:extent cx="5731510" cy="3454400"/>
            <wp:effectExtent l="0" t="0" r="2540" b="0"/>
            <wp:docPr id="480002329" name="Picture 4" descr="An Evaluation of the Quality of Environmental Impact Assess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An Evaluation of the Quality of Environmental Impact Assessment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454400"/>
                    </a:xfrm>
                    <a:prstGeom prst="rect">
                      <a:avLst/>
                    </a:prstGeom>
                    <a:noFill/>
                    <a:ln>
                      <a:noFill/>
                    </a:ln>
                  </pic:spPr>
                </pic:pic>
              </a:graphicData>
            </a:graphic>
          </wp:inline>
        </w:drawing>
      </w:r>
    </w:p>
    <w:p w14:paraId="1C8C1677" w14:textId="35A183BF" w:rsidR="00BA3F73" w:rsidRPr="00EC6631" w:rsidRDefault="00BA3F73" w:rsidP="00A440FB">
      <w:pPr>
        <w:jc w:val="center"/>
        <w:rPr>
          <w:rFonts w:ascii="Times New Roman" w:hAnsi="Times New Roman" w:cs="Times New Roman"/>
          <w:b/>
          <w:bCs/>
          <w:sz w:val="20"/>
          <w:szCs w:val="20"/>
        </w:rPr>
      </w:pPr>
      <w:r w:rsidRPr="00A440FB">
        <w:rPr>
          <w:rFonts w:ascii="Times New Roman" w:hAnsi="Times New Roman" w:cs="Times New Roman"/>
          <w:b/>
          <w:bCs/>
          <w:sz w:val="20"/>
          <w:szCs w:val="20"/>
        </w:rPr>
        <w:t xml:space="preserve">Figure 4. Distribution of Lee &amp; Colley grades (A–D) across the four review areas for the A487 New </w:t>
      </w:r>
      <w:proofErr w:type="spellStart"/>
      <w:r w:rsidRPr="00A440FB">
        <w:rPr>
          <w:rFonts w:ascii="Times New Roman" w:hAnsi="Times New Roman" w:cs="Times New Roman"/>
          <w:b/>
          <w:bCs/>
          <w:sz w:val="20"/>
          <w:szCs w:val="20"/>
        </w:rPr>
        <w:t>Dyfi</w:t>
      </w:r>
      <w:proofErr w:type="spellEnd"/>
      <w:r w:rsidRPr="00A440FB">
        <w:rPr>
          <w:rFonts w:ascii="Times New Roman" w:hAnsi="Times New Roman" w:cs="Times New Roman"/>
          <w:b/>
          <w:bCs/>
          <w:sz w:val="20"/>
          <w:szCs w:val="20"/>
        </w:rPr>
        <w:t xml:space="preserve"> Bridge Environmental Statement.</w:t>
      </w:r>
    </w:p>
    <w:p w14:paraId="0307B627"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space="708"/>
          <w:docGrid w:linePitch="360"/>
        </w:sectPr>
      </w:pPr>
    </w:p>
    <w:p w14:paraId="6984B05D" w14:textId="3DAF677E" w:rsidR="00EC6631" w:rsidRPr="00EC6631" w:rsidRDefault="00EC6631"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6</w:t>
      </w:r>
      <w:r w:rsidRPr="00EC6631">
        <w:rPr>
          <w:rFonts w:ascii="Times New Roman" w:hAnsi="Times New Roman" w:cs="Times New Roman"/>
          <w:b/>
          <w:bCs/>
          <w:sz w:val="20"/>
          <w:szCs w:val="20"/>
        </w:rPr>
        <w:t>.4 Review Area 4: Presentation, Communication and Monitoring</w:t>
      </w:r>
    </w:p>
    <w:p w14:paraId="226ED919"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The Environmental Statement is structured logically and includes a Non-Technical Summary intended to enhance accessibility. However, the document relies heavily on textual descriptions, with limited use of diagrams or flowcharts to explain complex assessment processes. Contemporary guidance increasingly emphasises the importance of clear and accessible communication to support informed decision-making.</w:t>
      </w:r>
    </w:p>
    <w:p w14:paraId="118B4A7C" w14:textId="512D738B" w:rsid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Post-consent monitoring and follow-up represent the weakest aspect of the ES. Monitoring arrangements are described only briefly, with little detail regarding indicators, responsibilities or reporting mechanisms. Given the statutory requirement for monitoring of significant adverse effects and the growing recognition of follow-up as a cornerstone of effective EIA, this represents a significant shortcoming. Consequently, Review Area 4 was graded D</w:t>
      </w:r>
      <w:r w:rsidR="00A5018B">
        <w:rPr>
          <w:rFonts w:ascii="Times New Roman" w:hAnsi="Times New Roman" w:cs="Times New Roman"/>
          <w:sz w:val="20"/>
          <w:szCs w:val="20"/>
        </w:rPr>
        <w:t xml:space="preserve"> [15]</w:t>
      </w:r>
      <w:r w:rsidRPr="00EC6631">
        <w:rPr>
          <w:rFonts w:ascii="Times New Roman" w:hAnsi="Times New Roman" w:cs="Times New Roman"/>
          <w:sz w:val="20"/>
          <w:szCs w:val="20"/>
        </w:rPr>
        <w:t>.</w:t>
      </w:r>
    </w:p>
    <w:p w14:paraId="59E3A898" w14:textId="77777777" w:rsidR="00A440FB" w:rsidRDefault="00A440FB" w:rsidP="00A440FB">
      <w:pPr>
        <w:jc w:val="both"/>
        <w:rPr>
          <w:rFonts w:ascii="Times New Roman" w:hAnsi="Times New Roman" w:cs="Times New Roman"/>
          <w:sz w:val="20"/>
          <w:szCs w:val="20"/>
        </w:rPr>
        <w:sectPr w:rsidR="00A440FB" w:rsidSect="00A440FB">
          <w:type w:val="continuous"/>
          <w:pgSz w:w="11906" w:h="16838"/>
          <w:pgMar w:top="1440" w:right="1440" w:bottom="1440" w:left="1440" w:header="708" w:footer="708" w:gutter="0"/>
          <w:cols w:num="2" w:space="708"/>
          <w:docGrid w:linePitch="360"/>
        </w:sectPr>
      </w:pPr>
    </w:p>
    <w:p w14:paraId="12AC0E95" w14:textId="6CDEEB6C" w:rsidR="00A440FB" w:rsidRPr="00A440FB" w:rsidRDefault="00A440FB" w:rsidP="00A440FB">
      <w:pPr>
        <w:jc w:val="center"/>
        <w:rPr>
          <w:rFonts w:ascii="Times New Roman" w:hAnsi="Times New Roman" w:cs="Times New Roman"/>
          <w:b/>
          <w:bCs/>
          <w:sz w:val="20"/>
          <w:szCs w:val="20"/>
        </w:rPr>
      </w:pPr>
      <w:r w:rsidRPr="00A440FB">
        <w:rPr>
          <w:b/>
          <w:bCs/>
          <w:noProof/>
        </w:rPr>
        <w:lastRenderedPageBreak/>
        <w:drawing>
          <wp:inline distT="0" distB="0" distL="0" distR="0" wp14:anchorId="59A7A86B" wp14:editId="67AF4BBC">
            <wp:extent cx="4127500" cy="4355688"/>
            <wp:effectExtent l="0" t="0" r="6350" b="6985"/>
            <wp:docPr id="171588391" name="Picture 10" descr="List of rivers of Wale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List of rivers of Wales - Wikiped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33666" cy="4362195"/>
                    </a:xfrm>
                    <a:prstGeom prst="rect">
                      <a:avLst/>
                    </a:prstGeom>
                    <a:noFill/>
                    <a:ln>
                      <a:noFill/>
                    </a:ln>
                  </pic:spPr>
                </pic:pic>
              </a:graphicData>
            </a:graphic>
          </wp:inline>
        </w:drawing>
      </w:r>
    </w:p>
    <w:p w14:paraId="7445F3B6" w14:textId="679A2562" w:rsidR="00A440FB" w:rsidRPr="00EC6631" w:rsidRDefault="00A440FB" w:rsidP="00A440FB">
      <w:pPr>
        <w:jc w:val="center"/>
        <w:rPr>
          <w:rFonts w:ascii="Times New Roman" w:hAnsi="Times New Roman" w:cs="Times New Roman"/>
          <w:b/>
          <w:bCs/>
          <w:sz w:val="20"/>
          <w:szCs w:val="20"/>
        </w:rPr>
      </w:pPr>
      <w:r w:rsidRPr="00A440FB">
        <w:rPr>
          <w:rFonts w:ascii="Times New Roman" w:hAnsi="Times New Roman" w:cs="Times New Roman"/>
          <w:b/>
          <w:bCs/>
          <w:sz w:val="20"/>
          <w:szCs w:val="20"/>
        </w:rPr>
        <w:t xml:space="preserve">Figure 9. Location of the A487 New </w:t>
      </w:r>
      <w:proofErr w:type="spellStart"/>
      <w:r w:rsidRPr="00A440FB">
        <w:rPr>
          <w:rFonts w:ascii="Times New Roman" w:hAnsi="Times New Roman" w:cs="Times New Roman"/>
          <w:b/>
          <w:bCs/>
          <w:sz w:val="20"/>
          <w:szCs w:val="20"/>
        </w:rPr>
        <w:t>Dyfi</w:t>
      </w:r>
      <w:proofErr w:type="spellEnd"/>
      <w:r w:rsidRPr="00A440FB">
        <w:rPr>
          <w:rFonts w:ascii="Times New Roman" w:hAnsi="Times New Roman" w:cs="Times New Roman"/>
          <w:b/>
          <w:bCs/>
          <w:sz w:val="20"/>
          <w:szCs w:val="20"/>
        </w:rPr>
        <w:t xml:space="preserve"> Bridge scheme in Wales, showing the position of the proposed crossing over the River </w:t>
      </w:r>
      <w:proofErr w:type="spellStart"/>
      <w:r w:rsidRPr="00A440FB">
        <w:rPr>
          <w:rFonts w:ascii="Times New Roman" w:hAnsi="Times New Roman" w:cs="Times New Roman"/>
          <w:b/>
          <w:bCs/>
          <w:sz w:val="20"/>
          <w:szCs w:val="20"/>
        </w:rPr>
        <w:t>Dyfi</w:t>
      </w:r>
      <w:proofErr w:type="spellEnd"/>
      <w:r w:rsidRPr="00A440FB">
        <w:rPr>
          <w:rFonts w:ascii="Times New Roman" w:hAnsi="Times New Roman" w:cs="Times New Roman"/>
          <w:b/>
          <w:bCs/>
          <w:sz w:val="20"/>
          <w:szCs w:val="20"/>
        </w:rPr>
        <w:t xml:space="preserve"> within the </w:t>
      </w:r>
      <w:proofErr w:type="spellStart"/>
      <w:r w:rsidRPr="00A440FB">
        <w:rPr>
          <w:rFonts w:ascii="Times New Roman" w:hAnsi="Times New Roman" w:cs="Times New Roman"/>
          <w:b/>
          <w:bCs/>
          <w:sz w:val="20"/>
          <w:szCs w:val="20"/>
        </w:rPr>
        <w:t>Dyfi</w:t>
      </w:r>
      <w:proofErr w:type="spellEnd"/>
      <w:r w:rsidRPr="00A440FB">
        <w:rPr>
          <w:rFonts w:ascii="Times New Roman" w:hAnsi="Times New Roman" w:cs="Times New Roman"/>
          <w:b/>
          <w:bCs/>
          <w:sz w:val="20"/>
          <w:szCs w:val="20"/>
        </w:rPr>
        <w:t xml:space="preserve"> Estuary and its relationship to the A487 trunk road</w:t>
      </w:r>
    </w:p>
    <w:p w14:paraId="27B52594" w14:textId="010806BB" w:rsidR="00EC6631" w:rsidRPr="00EC6631" w:rsidRDefault="00EC6631" w:rsidP="00A440FB">
      <w:pPr>
        <w:jc w:val="both"/>
        <w:rPr>
          <w:rFonts w:ascii="Times New Roman" w:hAnsi="Times New Roman" w:cs="Times New Roman"/>
          <w:sz w:val="20"/>
          <w:szCs w:val="20"/>
        </w:rPr>
      </w:pPr>
    </w:p>
    <w:p w14:paraId="4220C2E5"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space="708"/>
          <w:docGrid w:linePitch="360"/>
        </w:sectPr>
      </w:pPr>
    </w:p>
    <w:p w14:paraId="6B6F70E2" w14:textId="72EDDE2B" w:rsidR="00EC6631" w:rsidRPr="00EC6631" w:rsidRDefault="00EC6631"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7</w:t>
      </w:r>
      <w:r w:rsidRPr="00EC6631">
        <w:rPr>
          <w:rFonts w:ascii="Times New Roman" w:hAnsi="Times New Roman" w:cs="Times New Roman"/>
          <w:b/>
          <w:bCs/>
          <w:sz w:val="20"/>
          <w:szCs w:val="20"/>
        </w:rPr>
        <w:t>. Discussion: Gaps Between Theory, Law and Practice</w:t>
      </w:r>
    </w:p>
    <w:p w14:paraId="2D4A914D" w14:textId="525311D9"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The findings of this review reveal a pattern of strengths and weaknesses that closely mirror those identified in wider EIA literature. While the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ES demonstrates procedural compliance and applies established methodologies, its analytical depth and transparency are limited in several key areas. This suggests a persistent gap between the theoretical objectives of EIA, legislative intent and practical implementation</w:t>
      </w:r>
      <w:r w:rsidR="00A5018B">
        <w:rPr>
          <w:rFonts w:ascii="Times New Roman" w:hAnsi="Times New Roman" w:cs="Times New Roman"/>
          <w:sz w:val="20"/>
          <w:szCs w:val="20"/>
        </w:rPr>
        <w:t xml:space="preserve"> [19]</w:t>
      </w:r>
      <w:r w:rsidRPr="00EC6631">
        <w:rPr>
          <w:rFonts w:ascii="Times New Roman" w:hAnsi="Times New Roman" w:cs="Times New Roman"/>
          <w:sz w:val="20"/>
          <w:szCs w:val="20"/>
        </w:rPr>
        <w:t>.</w:t>
      </w:r>
    </w:p>
    <w:p w14:paraId="20B512E9" w14:textId="3A610813"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The superficial treatment of alternatives, limited discussion of uncertainty and weak monitoring provisions undermine the ES’s ability to fully support sustainable decision-making</w:t>
      </w:r>
      <w:r w:rsidR="00A5018B">
        <w:rPr>
          <w:rFonts w:ascii="Times New Roman" w:hAnsi="Times New Roman" w:cs="Times New Roman"/>
          <w:sz w:val="20"/>
          <w:szCs w:val="20"/>
        </w:rPr>
        <w:t xml:space="preserve"> [16]</w:t>
      </w:r>
      <w:r w:rsidRPr="00EC6631">
        <w:rPr>
          <w:rFonts w:ascii="Times New Roman" w:hAnsi="Times New Roman" w:cs="Times New Roman"/>
          <w:sz w:val="20"/>
          <w:szCs w:val="20"/>
        </w:rPr>
        <w:t>. These issues are not unique to this project but reflect systemic challenges within UK EIA practice, particularly for large infrastructure schemes. The emphasis on procedural compliance over substantive quality risks reducing EIA to a box-ticking exercise, rather than a meaningful tool for environmental protection.</w:t>
      </w:r>
    </w:p>
    <w:p w14:paraId="7DE19C2F"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num="2" w:space="708"/>
          <w:docGrid w:linePitch="360"/>
        </w:sectPr>
      </w:pPr>
    </w:p>
    <w:p w14:paraId="5DA3499D" w14:textId="569944F6" w:rsidR="00EC6631" w:rsidRPr="00A440FB" w:rsidRDefault="00BA3F73" w:rsidP="00A440FB">
      <w:pPr>
        <w:jc w:val="center"/>
        <w:rPr>
          <w:rFonts w:ascii="Times New Roman" w:hAnsi="Times New Roman" w:cs="Times New Roman"/>
          <w:b/>
          <w:bCs/>
          <w:sz w:val="20"/>
          <w:szCs w:val="20"/>
        </w:rPr>
      </w:pPr>
      <w:r w:rsidRPr="00A440FB">
        <w:rPr>
          <w:rFonts w:ascii="Times New Roman" w:hAnsi="Times New Roman" w:cs="Times New Roman"/>
          <w:b/>
          <w:bCs/>
          <w:noProof/>
          <w:sz w:val="20"/>
          <w:szCs w:val="20"/>
        </w:rPr>
        <w:lastRenderedPageBreak/>
        <w:drawing>
          <wp:inline distT="0" distB="0" distL="0" distR="0" wp14:anchorId="7DB9B0A9" wp14:editId="2C2AE43A">
            <wp:extent cx="5731510" cy="3969385"/>
            <wp:effectExtent l="0" t="0" r="2540" b="0"/>
            <wp:docPr id="1779833745" name="Picture 5" descr="Radar graph for life cycle processes contribution (see Table SI-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Radar graph for life cycle processes contribution (see Table SI-2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969385"/>
                    </a:xfrm>
                    <a:prstGeom prst="rect">
                      <a:avLst/>
                    </a:prstGeom>
                    <a:noFill/>
                    <a:ln>
                      <a:noFill/>
                    </a:ln>
                  </pic:spPr>
                </pic:pic>
              </a:graphicData>
            </a:graphic>
          </wp:inline>
        </w:drawing>
      </w:r>
    </w:p>
    <w:p w14:paraId="172CB194" w14:textId="324BF168" w:rsidR="00BA3F73" w:rsidRPr="00EC6631" w:rsidRDefault="00BA3F73" w:rsidP="00A440FB">
      <w:pPr>
        <w:jc w:val="center"/>
        <w:rPr>
          <w:rFonts w:ascii="Times New Roman" w:hAnsi="Times New Roman" w:cs="Times New Roman"/>
          <w:b/>
          <w:bCs/>
          <w:sz w:val="20"/>
          <w:szCs w:val="20"/>
        </w:rPr>
      </w:pPr>
      <w:r w:rsidRPr="00A440FB">
        <w:rPr>
          <w:rFonts w:ascii="Times New Roman" w:hAnsi="Times New Roman" w:cs="Times New Roman"/>
          <w:b/>
          <w:bCs/>
          <w:sz w:val="20"/>
          <w:szCs w:val="20"/>
        </w:rPr>
        <w:t xml:space="preserve">Figure 5. Radar diagram illustrating relative performance of key Environmental Impact Assessment components for the A487 New </w:t>
      </w:r>
      <w:proofErr w:type="spellStart"/>
      <w:r w:rsidRPr="00A440FB">
        <w:rPr>
          <w:rFonts w:ascii="Times New Roman" w:hAnsi="Times New Roman" w:cs="Times New Roman"/>
          <w:b/>
          <w:bCs/>
          <w:sz w:val="20"/>
          <w:szCs w:val="20"/>
        </w:rPr>
        <w:t>Dyfi</w:t>
      </w:r>
      <w:proofErr w:type="spellEnd"/>
      <w:r w:rsidRPr="00A440FB">
        <w:rPr>
          <w:rFonts w:ascii="Times New Roman" w:hAnsi="Times New Roman" w:cs="Times New Roman"/>
          <w:b/>
          <w:bCs/>
          <w:sz w:val="20"/>
          <w:szCs w:val="20"/>
        </w:rPr>
        <w:t xml:space="preserve"> Bridge scheme.</w:t>
      </w:r>
    </w:p>
    <w:p w14:paraId="5331C4D6" w14:textId="77777777" w:rsidR="00A440FB" w:rsidRDefault="00A440FB" w:rsidP="00A440FB">
      <w:pPr>
        <w:jc w:val="both"/>
        <w:rPr>
          <w:rFonts w:ascii="Times New Roman" w:hAnsi="Times New Roman" w:cs="Times New Roman"/>
          <w:b/>
          <w:bCs/>
          <w:sz w:val="20"/>
          <w:szCs w:val="20"/>
        </w:rPr>
        <w:sectPr w:rsidR="00A440FB" w:rsidSect="00A440FB">
          <w:type w:val="continuous"/>
          <w:pgSz w:w="11906" w:h="16838"/>
          <w:pgMar w:top="1440" w:right="1440" w:bottom="1440" w:left="1440" w:header="708" w:footer="708" w:gutter="0"/>
          <w:cols w:space="708"/>
          <w:docGrid w:linePitch="360"/>
        </w:sectPr>
      </w:pPr>
    </w:p>
    <w:p w14:paraId="5C4BE520" w14:textId="4F165220" w:rsidR="00EC6631" w:rsidRPr="00EC6631" w:rsidRDefault="00EC6631"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8</w:t>
      </w:r>
      <w:r w:rsidRPr="00EC6631">
        <w:rPr>
          <w:rFonts w:ascii="Times New Roman" w:hAnsi="Times New Roman" w:cs="Times New Roman"/>
          <w:b/>
          <w:bCs/>
          <w:sz w:val="20"/>
          <w:szCs w:val="20"/>
        </w:rPr>
        <w:t>. Recommendations for Improving EIA Practice</w:t>
      </w:r>
    </w:p>
    <w:p w14:paraId="66A1D557" w14:textId="46BF496D"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To enhance the effectiveness of EIA in similar contexts, several improvements are recommended. First, alternatives assessment should be strengthened through the use of transparent, multi-criteria frameworks that integrate environmental, social and technical considerations. Early stakeholder engagement can further enhance the credibility and relevance of alternatives analysis</w:t>
      </w:r>
      <w:r w:rsidR="00A5018B">
        <w:rPr>
          <w:rFonts w:ascii="Times New Roman" w:hAnsi="Times New Roman" w:cs="Times New Roman"/>
          <w:sz w:val="20"/>
          <w:szCs w:val="20"/>
        </w:rPr>
        <w:t xml:space="preserve"> [17]</w:t>
      </w:r>
      <w:r w:rsidRPr="00EC6631">
        <w:rPr>
          <w:rFonts w:ascii="Times New Roman" w:hAnsi="Times New Roman" w:cs="Times New Roman"/>
          <w:sz w:val="20"/>
          <w:szCs w:val="20"/>
        </w:rPr>
        <w:t>.</w:t>
      </w:r>
    </w:p>
    <w:p w14:paraId="698246D7"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Second, baseline assessments should more explicitly address temporal change and climate resilience, particularly for projects located in dynamic environments such as floodplains. Third, significance evaluation should be accompanied by clear narrative justification and explicit discussion of uncertainty. Finally, monitoring and follow-up should be embedded as integral components of the EIA process, with clearly defined indicators, responsibilities and feedback mechanisms.</w:t>
      </w:r>
    </w:p>
    <w:p w14:paraId="45E496F3" w14:textId="1DBF37FA" w:rsidR="00EC6631" w:rsidRPr="00EC6631" w:rsidRDefault="00EC6631" w:rsidP="00A440FB">
      <w:pPr>
        <w:jc w:val="both"/>
        <w:rPr>
          <w:rFonts w:ascii="Times New Roman" w:hAnsi="Times New Roman" w:cs="Times New Roman"/>
          <w:sz w:val="20"/>
          <w:szCs w:val="20"/>
        </w:rPr>
      </w:pPr>
    </w:p>
    <w:p w14:paraId="6D7FB0E1" w14:textId="4EAEAA11" w:rsidR="00EC6631" w:rsidRPr="00EC6631" w:rsidRDefault="00EC6631"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9</w:t>
      </w:r>
      <w:r w:rsidRPr="00EC6631">
        <w:rPr>
          <w:rFonts w:ascii="Times New Roman" w:hAnsi="Times New Roman" w:cs="Times New Roman"/>
          <w:b/>
          <w:bCs/>
          <w:sz w:val="20"/>
          <w:szCs w:val="20"/>
        </w:rPr>
        <w:t>. Conclusion</w:t>
      </w:r>
    </w:p>
    <w:p w14:paraId="56B1A850" w14:textId="77777777"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 xml:space="preserve">This study has critically evaluated the A487 New </w:t>
      </w:r>
      <w:proofErr w:type="spellStart"/>
      <w:r w:rsidRPr="00EC6631">
        <w:rPr>
          <w:rFonts w:ascii="Times New Roman" w:hAnsi="Times New Roman" w:cs="Times New Roman"/>
          <w:sz w:val="20"/>
          <w:szCs w:val="20"/>
        </w:rPr>
        <w:t>Dyfi</w:t>
      </w:r>
      <w:proofErr w:type="spellEnd"/>
      <w:r w:rsidRPr="00EC6631">
        <w:rPr>
          <w:rFonts w:ascii="Times New Roman" w:hAnsi="Times New Roman" w:cs="Times New Roman"/>
          <w:sz w:val="20"/>
          <w:szCs w:val="20"/>
        </w:rPr>
        <w:t xml:space="preserve"> Bridge Environmental Statement using the Lee and Colley Review Package, contemporary academic literature and relevant legislative frameworks. While the ES meets many procedural requirements and reflects standard practice for transport infrastructure projects, significant weaknesses remain in alternatives assessment, significance evaluation, cumulative effects consideration and monitoring.</w:t>
      </w:r>
    </w:p>
    <w:p w14:paraId="7892F993" w14:textId="21CE1813" w:rsidR="00EC6631" w:rsidRPr="00EC6631" w:rsidRDefault="00EC6631" w:rsidP="00A440FB">
      <w:pPr>
        <w:jc w:val="both"/>
        <w:rPr>
          <w:rFonts w:ascii="Times New Roman" w:hAnsi="Times New Roman" w:cs="Times New Roman"/>
          <w:sz w:val="20"/>
          <w:szCs w:val="20"/>
        </w:rPr>
      </w:pPr>
      <w:r w:rsidRPr="00EC6631">
        <w:rPr>
          <w:rFonts w:ascii="Times New Roman" w:hAnsi="Times New Roman" w:cs="Times New Roman"/>
          <w:sz w:val="20"/>
          <w:szCs w:val="20"/>
        </w:rPr>
        <w:t>These findings reinforce longstanding critiques of EIA practice in the UK and highlight the need for a shift from procedural compliance towards more substantive, outcome-focused assessment. Addressing these challenges is essential if EIA is to fulfil its intended role as a tool for sustainable development and informed decision-making in Wales and beyond</w:t>
      </w:r>
      <w:r w:rsidR="00A5018B">
        <w:rPr>
          <w:rFonts w:ascii="Times New Roman" w:hAnsi="Times New Roman" w:cs="Times New Roman"/>
          <w:sz w:val="20"/>
          <w:szCs w:val="20"/>
        </w:rPr>
        <w:t xml:space="preserve"> [18]</w:t>
      </w:r>
      <w:r w:rsidRPr="00EC6631">
        <w:rPr>
          <w:rFonts w:ascii="Times New Roman" w:hAnsi="Times New Roman" w:cs="Times New Roman"/>
          <w:sz w:val="20"/>
          <w:szCs w:val="20"/>
        </w:rPr>
        <w:t>.</w:t>
      </w:r>
    </w:p>
    <w:p w14:paraId="3759390F" w14:textId="77777777" w:rsidR="00A440FB" w:rsidRDefault="00A440FB" w:rsidP="00A440FB">
      <w:pPr>
        <w:jc w:val="both"/>
        <w:rPr>
          <w:rFonts w:ascii="Times New Roman" w:hAnsi="Times New Roman" w:cs="Times New Roman"/>
          <w:sz w:val="20"/>
          <w:szCs w:val="20"/>
        </w:rPr>
        <w:sectPr w:rsidR="00A440FB" w:rsidSect="00A440FB">
          <w:type w:val="continuous"/>
          <w:pgSz w:w="11906" w:h="16838"/>
          <w:pgMar w:top="1440" w:right="1440" w:bottom="1440" w:left="1440" w:header="708" w:footer="708" w:gutter="0"/>
          <w:cols w:num="2" w:space="708"/>
          <w:docGrid w:linePitch="360"/>
        </w:sectPr>
      </w:pPr>
    </w:p>
    <w:p w14:paraId="23589C0B" w14:textId="1844EB48" w:rsidR="00632EEC" w:rsidRPr="00A440FB" w:rsidRDefault="004E1133" w:rsidP="00A440FB">
      <w:pPr>
        <w:jc w:val="both"/>
        <w:rPr>
          <w:rFonts w:ascii="Times New Roman" w:hAnsi="Times New Roman" w:cs="Times New Roman"/>
          <w:b/>
          <w:bCs/>
          <w:sz w:val="20"/>
          <w:szCs w:val="20"/>
        </w:rPr>
      </w:pPr>
      <w:r w:rsidRPr="00A440FB">
        <w:rPr>
          <w:rFonts w:ascii="Times New Roman" w:hAnsi="Times New Roman" w:cs="Times New Roman"/>
          <w:b/>
          <w:bCs/>
          <w:sz w:val="20"/>
          <w:szCs w:val="20"/>
        </w:rPr>
        <w:t>Reference list</w:t>
      </w:r>
    </w:p>
    <w:p w14:paraId="70C0C686" w14:textId="5C1B6E12" w:rsid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[1] </w:t>
      </w:r>
      <w:r w:rsidR="00A440FB" w:rsidRPr="00A440FB">
        <w:rPr>
          <w:rFonts w:ascii="Times New Roman" w:hAnsi="Times New Roman" w:cs="Times New Roman"/>
          <w:sz w:val="20"/>
          <w:szCs w:val="20"/>
        </w:rPr>
        <w:t xml:space="preserve">Barker, A. and Jones, R. (2022) ‘Strengthening monitoring and follow-up in UK Environmental </w:t>
      </w:r>
      <w:r w:rsidR="00A440FB" w:rsidRPr="00A440FB">
        <w:rPr>
          <w:rFonts w:ascii="Times New Roman" w:hAnsi="Times New Roman" w:cs="Times New Roman"/>
          <w:sz w:val="20"/>
          <w:szCs w:val="20"/>
        </w:rPr>
        <w:t xml:space="preserve">Impact Assessment’, </w:t>
      </w:r>
      <w:r w:rsidR="00A440FB" w:rsidRPr="00A440FB">
        <w:rPr>
          <w:rFonts w:ascii="Times New Roman" w:hAnsi="Times New Roman" w:cs="Times New Roman"/>
          <w:i/>
          <w:iCs/>
          <w:sz w:val="20"/>
          <w:szCs w:val="20"/>
        </w:rPr>
        <w:t>Environmental Impact Assessment Review</w:t>
      </w:r>
      <w:r w:rsidR="00A440FB" w:rsidRPr="00A440FB">
        <w:rPr>
          <w:rFonts w:ascii="Times New Roman" w:hAnsi="Times New Roman" w:cs="Times New Roman"/>
          <w:sz w:val="20"/>
          <w:szCs w:val="20"/>
        </w:rPr>
        <w:t>, 93, 106731.</w:t>
      </w:r>
      <w:r w:rsidR="00EC430E">
        <w:rPr>
          <w:rFonts w:ascii="Times New Roman" w:hAnsi="Times New Roman" w:cs="Times New Roman"/>
          <w:sz w:val="20"/>
          <w:szCs w:val="20"/>
        </w:rPr>
        <w:t xml:space="preserve"> </w:t>
      </w:r>
      <w:hyperlink r:id="rId15" w:history="1">
        <w:r w:rsidR="00EC430E" w:rsidRPr="0095356E">
          <w:rPr>
            <w:rStyle w:val="Hyperlink"/>
            <w:rFonts w:ascii="Times New Roman" w:hAnsi="Times New Roman" w:cs="Times New Roman"/>
            <w:sz w:val="20"/>
            <w:szCs w:val="20"/>
          </w:rPr>
          <w:t>https://www.researchgate.net/publication/262969975_Monitoring_and_Post-</w:t>
        </w:r>
        <w:r w:rsidR="00EC430E" w:rsidRPr="0095356E">
          <w:rPr>
            <w:rStyle w:val="Hyperlink"/>
            <w:rFonts w:ascii="Times New Roman" w:hAnsi="Times New Roman" w:cs="Times New Roman"/>
            <w:sz w:val="20"/>
            <w:szCs w:val="20"/>
          </w:rPr>
          <w:lastRenderedPageBreak/>
          <w:t>auditing_in_Environmental_Impact_Assessment_A_Review</w:t>
        </w:r>
      </w:hyperlink>
      <w:r w:rsidR="00EC430E">
        <w:rPr>
          <w:rFonts w:ascii="Times New Roman" w:hAnsi="Times New Roman" w:cs="Times New Roman"/>
          <w:sz w:val="20"/>
          <w:szCs w:val="20"/>
        </w:rPr>
        <w:t xml:space="preserve"> </w:t>
      </w:r>
    </w:p>
    <w:p w14:paraId="1C74B284" w14:textId="14557C1B" w:rsid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[2] </w:t>
      </w:r>
      <w:r w:rsidR="00A440FB" w:rsidRPr="00A440FB">
        <w:rPr>
          <w:rFonts w:ascii="Times New Roman" w:hAnsi="Times New Roman" w:cs="Times New Roman"/>
          <w:sz w:val="20"/>
          <w:szCs w:val="20"/>
        </w:rPr>
        <w:t xml:space="preserve">Bond, A. (2024) ‘Investigating communication of findings in Environmental Impact Assessment’, </w:t>
      </w:r>
      <w:r w:rsidR="00A440FB" w:rsidRPr="00A440FB">
        <w:rPr>
          <w:rFonts w:ascii="Times New Roman" w:hAnsi="Times New Roman" w:cs="Times New Roman"/>
          <w:i/>
          <w:iCs/>
          <w:sz w:val="20"/>
          <w:szCs w:val="20"/>
        </w:rPr>
        <w:t>Environmental Impact Assessment Review</w:t>
      </w:r>
      <w:r w:rsidR="00A440FB" w:rsidRPr="00A440FB">
        <w:rPr>
          <w:rFonts w:ascii="Times New Roman" w:hAnsi="Times New Roman" w:cs="Times New Roman"/>
          <w:sz w:val="20"/>
          <w:szCs w:val="20"/>
        </w:rPr>
        <w:t>, 95, 107–123.</w:t>
      </w:r>
      <w:r w:rsidR="00EC430E">
        <w:rPr>
          <w:rFonts w:ascii="Times New Roman" w:hAnsi="Times New Roman" w:cs="Times New Roman"/>
          <w:sz w:val="20"/>
          <w:szCs w:val="20"/>
        </w:rPr>
        <w:t xml:space="preserve"> </w:t>
      </w:r>
      <w:hyperlink r:id="rId16" w:history="1">
        <w:r w:rsidR="00EC430E" w:rsidRPr="0095356E">
          <w:rPr>
            <w:rStyle w:val="Hyperlink"/>
            <w:rFonts w:ascii="Times New Roman" w:hAnsi="Times New Roman" w:cs="Times New Roman"/>
            <w:sz w:val="20"/>
            <w:szCs w:val="20"/>
          </w:rPr>
          <w:t>https://www.researchgate.net/publication/378646636_Investigating_communication_of_findings_in_Environmental_Impact_Assessment_and_developing_a_research_agenda_for_improvement</w:t>
        </w:r>
      </w:hyperlink>
      <w:r w:rsidR="00EC430E">
        <w:rPr>
          <w:rFonts w:ascii="Times New Roman" w:hAnsi="Times New Roman" w:cs="Times New Roman"/>
          <w:sz w:val="20"/>
          <w:szCs w:val="20"/>
        </w:rPr>
        <w:t xml:space="preserve"> </w:t>
      </w:r>
    </w:p>
    <w:p w14:paraId="4F175E01" w14:textId="7B884EA0" w:rsid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[3] </w:t>
      </w:r>
      <w:r w:rsidR="00A440FB" w:rsidRPr="00A440FB">
        <w:rPr>
          <w:rFonts w:ascii="Times New Roman" w:hAnsi="Times New Roman" w:cs="Times New Roman"/>
          <w:sz w:val="20"/>
          <w:szCs w:val="20"/>
        </w:rPr>
        <w:t xml:space="preserve">Boyd, D. and Hughes, S. (2022) ‘Devolved environmental governance and sustainable development’, </w:t>
      </w:r>
      <w:r w:rsidR="00A440FB" w:rsidRPr="00A440FB">
        <w:rPr>
          <w:rFonts w:ascii="Times New Roman" w:hAnsi="Times New Roman" w:cs="Times New Roman"/>
          <w:i/>
          <w:iCs/>
          <w:sz w:val="20"/>
          <w:szCs w:val="20"/>
        </w:rPr>
        <w:t>Journal of Environmental Planning and Management</w:t>
      </w:r>
      <w:r w:rsidR="00A440FB" w:rsidRPr="00A440FB">
        <w:rPr>
          <w:rFonts w:ascii="Times New Roman" w:hAnsi="Times New Roman" w:cs="Times New Roman"/>
          <w:sz w:val="20"/>
          <w:szCs w:val="20"/>
        </w:rPr>
        <w:t>, 65(9), pp. 1601–1620.</w:t>
      </w:r>
      <w:r w:rsidR="00EC430E">
        <w:rPr>
          <w:rFonts w:ascii="Times New Roman" w:hAnsi="Times New Roman" w:cs="Times New Roman"/>
          <w:sz w:val="20"/>
          <w:szCs w:val="20"/>
        </w:rPr>
        <w:t xml:space="preserve"> </w:t>
      </w:r>
      <w:hyperlink r:id="rId17" w:history="1">
        <w:r w:rsidR="00EC430E" w:rsidRPr="0095356E">
          <w:rPr>
            <w:rStyle w:val="Hyperlink"/>
            <w:rFonts w:ascii="Times New Roman" w:hAnsi="Times New Roman" w:cs="Times New Roman"/>
            <w:sz w:val="20"/>
            <w:szCs w:val="20"/>
          </w:rPr>
          <w:t>https://www.researchgate.net/publication/390985182_Environmental_Governance_and_Sustainable_Development_A_Critical_Evaluation_of_Governmental_Interventions_in_Nigeria</w:t>
        </w:r>
      </w:hyperlink>
      <w:r w:rsidR="00EC430E">
        <w:rPr>
          <w:rFonts w:ascii="Times New Roman" w:hAnsi="Times New Roman" w:cs="Times New Roman"/>
          <w:sz w:val="20"/>
          <w:szCs w:val="20"/>
        </w:rPr>
        <w:t xml:space="preserve"> </w:t>
      </w:r>
    </w:p>
    <w:p w14:paraId="4CDC9169" w14:textId="311F43B4" w:rsid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[4] </w:t>
      </w:r>
      <w:r w:rsidR="00A440FB" w:rsidRPr="00A440FB">
        <w:rPr>
          <w:rFonts w:ascii="Times New Roman" w:hAnsi="Times New Roman" w:cs="Times New Roman"/>
          <w:sz w:val="20"/>
          <w:szCs w:val="20"/>
        </w:rPr>
        <w:t xml:space="preserve">Cashmore, M. and Axelsson, A. (2022) ‘Revisiting alternatives in impact assessment’, </w:t>
      </w:r>
      <w:r w:rsidR="00A440FB" w:rsidRPr="00A440FB">
        <w:rPr>
          <w:rFonts w:ascii="Times New Roman" w:hAnsi="Times New Roman" w:cs="Times New Roman"/>
          <w:i/>
          <w:iCs/>
          <w:sz w:val="20"/>
          <w:szCs w:val="20"/>
        </w:rPr>
        <w:t>Impact Assessment and Project Appraisal</w:t>
      </w:r>
      <w:r w:rsidR="00A440FB" w:rsidRPr="00A440FB">
        <w:rPr>
          <w:rFonts w:ascii="Times New Roman" w:hAnsi="Times New Roman" w:cs="Times New Roman"/>
          <w:sz w:val="20"/>
          <w:szCs w:val="20"/>
        </w:rPr>
        <w:t>, 40(5), pp. 395–408.</w:t>
      </w:r>
      <w:r w:rsidR="00EC430E">
        <w:rPr>
          <w:rFonts w:ascii="Times New Roman" w:hAnsi="Times New Roman" w:cs="Times New Roman"/>
          <w:sz w:val="20"/>
          <w:szCs w:val="20"/>
        </w:rPr>
        <w:t xml:space="preserve"> </w:t>
      </w:r>
      <w:hyperlink r:id="rId18" w:history="1">
        <w:r w:rsidR="00EC430E" w:rsidRPr="0095356E">
          <w:rPr>
            <w:rStyle w:val="Hyperlink"/>
            <w:rFonts w:ascii="Times New Roman" w:hAnsi="Times New Roman" w:cs="Times New Roman"/>
            <w:sz w:val="20"/>
            <w:szCs w:val="20"/>
          </w:rPr>
          <w:t>https://ideas.repec.org/a/taf/jenpmg/v65y2022i3p418-440.html</w:t>
        </w:r>
      </w:hyperlink>
      <w:r w:rsidR="00EC430E">
        <w:rPr>
          <w:rFonts w:ascii="Times New Roman" w:hAnsi="Times New Roman" w:cs="Times New Roman"/>
          <w:sz w:val="20"/>
          <w:szCs w:val="20"/>
        </w:rPr>
        <w:t xml:space="preserve"> </w:t>
      </w:r>
    </w:p>
    <w:p w14:paraId="69655752" w14:textId="14A251B0"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[5] </w:t>
      </w:r>
      <w:r w:rsidR="00A440FB" w:rsidRPr="00A440FB">
        <w:rPr>
          <w:rFonts w:ascii="Times New Roman" w:hAnsi="Times New Roman" w:cs="Times New Roman"/>
          <w:sz w:val="20"/>
          <w:szCs w:val="20"/>
        </w:rPr>
        <w:t xml:space="preserve">Fischer, T.B., Phylip-Jones, J. and Ramadani, A. (2022) ‘Recent developments in transport appraisal’, </w:t>
      </w:r>
      <w:r w:rsidR="00A440FB" w:rsidRPr="00A440FB">
        <w:rPr>
          <w:rFonts w:ascii="Times New Roman" w:hAnsi="Times New Roman" w:cs="Times New Roman"/>
          <w:i/>
          <w:iCs/>
          <w:sz w:val="20"/>
          <w:szCs w:val="20"/>
        </w:rPr>
        <w:t>Environmental Impact Assessment Review</w:t>
      </w:r>
      <w:r w:rsidR="00A440FB" w:rsidRPr="00A440FB">
        <w:rPr>
          <w:rFonts w:ascii="Times New Roman" w:hAnsi="Times New Roman" w:cs="Times New Roman"/>
          <w:sz w:val="20"/>
          <w:szCs w:val="20"/>
        </w:rPr>
        <w:t>, 94, 106747.</w:t>
      </w:r>
      <w:r w:rsidR="00EC430E">
        <w:rPr>
          <w:rFonts w:ascii="Times New Roman" w:hAnsi="Times New Roman" w:cs="Times New Roman"/>
          <w:sz w:val="20"/>
          <w:szCs w:val="20"/>
        </w:rPr>
        <w:t xml:space="preserve"> </w:t>
      </w:r>
      <w:hyperlink r:id="rId19" w:history="1">
        <w:r w:rsidR="00EC430E" w:rsidRPr="0095356E">
          <w:rPr>
            <w:rStyle w:val="Hyperlink"/>
            <w:rFonts w:ascii="Times New Roman" w:hAnsi="Times New Roman" w:cs="Times New Roman"/>
            <w:sz w:val="20"/>
            <w:szCs w:val="20"/>
          </w:rPr>
          <w:t>https://researchonline.jcu.edu.au/view/orgu/155600.type.html</w:t>
        </w:r>
      </w:hyperlink>
      <w:r w:rsidR="00EC430E">
        <w:rPr>
          <w:rFonts w:ascii="Times New Roman" w:hAnsi="Times New Roman" w:cs="Times New Roman"/>
          <w:sz w:val="20"/>
          <w:szCs w:val="20"/>
        </w:rPr>
        <w:t xml:space="preserve"> </w:t>
      </w:r>
    </w:p>
    <w:p w14:paraId="7B107434" w14:textId="2A8CF62B" w:rsid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[6] </w:t>
      </w:r>
      <w:r w:rsidR="00A440FB" w:rsidRPr="00A440FB">
        <w:rPr>
          <w:rFonts w:ascii="Times New Roman" w:hAnsi="Times New Roman" w:cs="Times New Roman"/>
          <w:sz w:val="20"/>
          <w:szCs w:val="20"/>
        </w:rPr>
        <w:t xml:space="preserve">Gazzola, P., Onyango, V. and </w:t>
      </w:r>
      <w:proofErr w:type="spellStart"/>
      <w:r w:rsidR="00A440FB" w:rsidRPr="00A440FB">
        <w:rPr>
          <w:rFonts w:ascii="Times New Roman" w:hAnsi="Times New Roman" w:cs="Times New Roman"/>
          <w:sz w:val="20"/>
          <w:szCs w:val="20"/>
        </w:rPr>
        <w:t>Sheate</w:t>
      </w:r>
      <w:proofErr w:type="spellEnd"/>
      <w:r w:rsidR="00A440FB" w:rsidRPr="00A440FB">
        <w:rPr>
          <w:rFonts w:ascii="Times New Roman" w:hAnsi="Times New Roman" w:cs="Times New Roman"/>
          <w:sz w:val="20"/>
          <w:szCs w:val="20"/>
        </w:rPr>
        <w:t xml:space="preserve">, W. (2019) ‘Enhancing quality and effectiveness of Environmental Impact Assessment through methodological pluralism’, </w:t>
      </w:r>
      <w:r w:rsidR="00A440FB" w:rsidRPr="00A440FB">
        <w:rPr>
          <w:rFonts w:ascii="Times New Roman" w:hAnsi="Times New Roman" w:cs="Times New Roman"/>
          <w:i/>
          <w:iCs/>
          <w:sz w:val="20"/>
          <w:szCs w:val="20"/>
        </w:rPr>
        <w:t>Impact Assessment and Project Appraisal</w:t>
      </w:r>
      <w:r w:rsidR="00A440FB" w:rsidRPr="00A440FB">
        <w:rPr>
          <w:rFonts w:ascii="Times New Roman" w:hAnsi="Times New Roman" w:cs="Times New Roman"/>
          <w:sz w:val="20"/>
          <w:szCs w:val="20"/>
        </w:rPr>
        <w:t>, 37(5), pp. 404–415.</w:t>
      </w:r>
      <w:r w:rsidR="00EC430E">
        <w:rPr>
          <w:rFonts w:ascii="Times New Roman" w:hAnsi="Times New Roman" w:cs="Times New Roman"/>
          <w:sz w:val="20"/>
          <w:szCs w:val="20"/>
        </w:rPr>
        <w:t xml:space="preserve"> </w:t>
      </w:r>
      <w:hyperlink r:id="rId20" w:history="1">
        <w:r w:rsidR="00EC430E" w:rsidRPr="0095356E">
          <w:rPr>
            <w:rStyle w:val="Hyperlink"/>
            <w:rFonts w:ascii="Times New Roman" w:hAnsi="Times New Roman" w:cs="Times New Roman"/>
            <w:sz w:val="20"/>
            <w:szCs w:val="20"/>
          </w:rPr>
          <w:t>https://core.ac.uk/download/613072527.pdf</w:t>
        </w:r>
      </w:hyperlink>
      <w:r w:rsidR="00EC430E">
        <w:rPr>
          <w:rFonts w:ascii="Times New Roman" w:hAnsi="Times New Roman" w:cs="Times New Roman"/>
          <w:sz w:val="20"/>
          <w:szCs w:val="20"/>
        </w:rPr>
        <w:t xml:space="preserve"> </w:t>
      </w:r>
    </w:p>
    <w:p w14:paraId="2D80A768" w14:textId="104E4DD2"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[7] </w:t>
      </w:r>
      <w:r w:rsidR="00A440FB" w:rsidRPr="00A440FB">
        <w:rPr>
          <w:rFonts w:ascii="Times New Roman" w:hAnsi="Times New Roman" w:cs="Times New Roman"/>
          <w:sz w:val="20"/>
          <w:szCs w:val="20"/>
        </w:rPr>
        <w:t xml:space="preserve">Gunn, J. and Noble, B. (2021) ‘Evaluating cumulative effects assessment practice’, </w:t>
      </w:r>
      <w:r w:rsidR="00A440FB" w:rsidRPr="00A440FB">
        <w:rPr>
          <w:rFonts w:ascii="Times New Roman" w:hAnsi="Times New Roman" w:cs="Times New Roman"/>
          <w:i/>
          <w:iCs/>
          <w:sz w:val="20"/>
          <w:szCs w:val="20"/>
        </w:rPr>
        <w:t xml:space="preserve">Impact </w:t>
      </w:r>
      <w:r w:rsidR="00A440FB" w:rsidRPr="00A440FB">
        <w:rPr>
          <w:rFonts w:ascii="Times New Roman" w:hAnsi="Times New Roman" w:cs="Times New Roman"/>
          <w:i/>
          <w:iCs/>
          <w:sz w:val="20"/>
          <w:szCs w:val="20"/>
        </w:rPr>
        <w:t>Assessment and Project Appraisal</w:t>
      </w:r>
      <w:r w:rsidR="00A440FB" w:rsidRPr="00A440FB">
        <w:rPr>
          <w:rFonts w:ascii="Times New Roman" w:hAnsi="Times New Roman" w:cs="Times New Roman"/>
          <w:sz w:val="20"/>
          <w:szCs w:val="20"/>
        </w:rPr>
        <w:t>, 39(1), pp. 44–56.</w:t>
      </w:r>
      <w:r w:rsidR="00EC430E">
        <w:rPr>
          <w:rFonts w:ascii="Times New Roman" w:hAnsi="Times New Roman" w:cs="Times New Roman"/>
          <w:sz w:val="20"/>
          <w:szCs w:val="20"/>
        </w:rPr>
        <w:t xml:space="preserve"> </w:t>
      </w:r>
      <w:hyperlink r:id="rId21" w:history="1">
        <w:r w:rsidR="00EC430E" w:rsidRPr="0095356E">
          <w:rPr>
            <w:rStyle w:val="Hyperlink"/>
            <w:rFonts w:ascii="Times New Roman" w:hAnsi="Times New Roman" w:cs="Times New Roman"/>
            <w:sz w:val="20"/>
            <w:szCs w:val="20"/>
          </w:rPr>
          <w:t>https://cdnsciencepub.com/doi/10.1139/er-2015-0073</w:t>
        </w:r>
      </w:hyperlink>
      <w:r w:rsidR="00EC430E">
        <w:rPr>
          <w:rFonts w:ascii="Times New Roman" w:hAnsi="Times New Roman" w:cs="Times New Roman"/>
          <w:sz w:val="20"/>
          <w:szCs w:val="20"/>
        </w:rPr>
        <w:t xml:space="preserve"> </w:t>
      </w:r>
    </w:p>
    <w:p w14:paraId="3BA30724" w14:textId="0E56E2D8"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[8] </w:t>
      </w:r>
      <w:r w:rsidR="00A440FB" w:rsidRPr="00A440FB">
        <w:rPr>
          <w:rFonts w:ascii="Times New Roman" w:hAnsi="Times New Roman" w:cs="Times New Roman"/>
          <w:sz w:val="20"/>
          <w:szCs w:val="20"/>
        </w:rPr>
        <w:t xml:space="preserve">Harris, R. and Owen, N. (2023) ‘Implementing the Well-being of Future Generations Act in Wales’, </w:t>
      </w:r>
      <w:r w:rsidR="00A440FB" w:rsidRPr="00A440FB">
        <w:rPr>
          <w:rFonts w:ascii="Times New Roman" w:hAnsi="Times New Roman" w:cs="Times New Roman"/>
          <w:i/>
          <w:iCs/>
          <w:sz w:val="20"/>
          <w:szCs w:val="20"/>
        </w:rPr>
        <w:t>Environment and Planning C</w:t>
      </w:r>
      <w:r w:rsidR="00A440FB" w:rsidRPr="00A440FB">
        <w:rPr>
          <w:rFonts w:ascii="Times New Roman" w:hAnsi="Times New Roman" w:cs="Times New Roman"/>
          <w:sz w:val="20"/>
          <w:szCs w:val="20"/>
        </w:rPr>
        <w:t>, 41(3), pp. 567–584.</w:t>
      </w:r>
      <w:r w:rsidR="00EC430E">
        <w:rPr>
          <w:rFonts w:ascii="Times New Roman" w:hAnsi="Times New Roman" w:cs="Times New Roman"/>
          <w:sz w:val="20"/>
          <w:szCs w:val="20"/>
        </w:rPr>
        <w:t xml:space="preserve"> </w:t>
      </w:r>
      <w:hyperlink r:id="rId22" w:history="1">
        <w:r w:rsidR="00EC430E" w:rsidRPr="0095356E">
          <w:rPr>
            <w:rStyle w:val="Hyperlink"/>
            <w:rFonts w:ascii="Times New Roman" w:hAnsi="Times New Roman" w:cs="Times New Roman"/>
            <w:sz w:val="20"/>
            <w:szCs w:val="20"/>
          </w:rPr>
          <w:t>https://audit.wales/sites/default/files/2020-11/implementing_wfg_act_wg_0.pdf</w:t>
        </w:r>
      </w:hyperlink>
      <w:r w:rsidR="00EC430E">
        <w:rPr>
          <w:rFonts w:ascii="Times New Roman" w:hAnsi="Times New Roman" w:cs="Times New Roman"/>
          <w:sz w:val="20"/>
          <w:szCs w:val="20"/>
        </w:rPr>
        <w:t xml:space="preserve"> </w:t>
      </w:r>
    </w:p>
    <w:p w14:paraId="7DC82ABE" w14:textId="5BEF03A3" w:rsid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[9] </w:t>
      </w:r>
      <w:r w:rsidR="00A440FB" w:rsidRPr="00A440FB">
        <w:rPr>
          <w:rFonts w:ascii="Times New Roman" w:hAnsi="Times New Roman" w:cs="Times New Roman"/>
          <w:sz w:val="20"/>
          <w:szCs w:val="20"/>
        </w:rPr>
        <w:t xml:space="preserve">IEMA (2020) </w:t>
      </w:r>
      <w:r w:rsidR="00A440FB" w:rsidRPr="00A440FB">
        <w:rPr>
          <w:rFonts w:ascii="Times New Roman" w:hAnsi="Times New Roman" w:cs="Times New Roman"/>
          <w:i/>
          <w:iCs/>
          <w:sz w:val="20"/>
          <w:szCs w:val="20"/>
        </w:rPr>
        <w:t>Delivering Proportionate EIA</w:t>
      </w:r>
      <w:r w:rsidR="00A440FB" w:rsidRPr="00A440FB">
        <w:rPr>
          <w:rFonts w:ascii="Times New Roman" w:hAnsi="Times New Roman" w:cs="Times New Roman"/>
          <w:sz w:val="20"/>
          <w:szCs w:val="20"/>
        </w:rPr>
        <w:t>. Lincoln: Institute of Environmental Management and Assessment.</w:t>
      </w:r>
      <w:r w:rsidR="00EC430E">
        <w:rPr>
          <w:rFonts w:ascii="Times New Roman" w:hAnsi="Times New Roman" w:cs="Times New Roman"/>
          <w:sz w:val="20"/>
          <w:szCs w:val="20"/>
        </w:rPr>
        <w:t xml:space="preserve"> </w:t>
      </w:r>
      <w:hyperlink r:id="rId23" w:history="1">
        <w:r w:rsidR="00EC430E" w:rsidRPr="0095356E">
          <w:rPr>
            <w:rStyle w:val="Hyperlink"/>
            <w:rFonts w:ascii="Times New Roman" w:hAnsi="Times New Roman" w:cs="Times New Roman"/>
            <w:sz w:val="20"/>
            <w:szCs w:val="20"/>
          </w:rPr>
          <w:t>https://www.iema.net/media/0t5fwyhj/iema-materials-and-waste-in-eia-march-2020.pdf</w:t>
        </w:r>
      </w:hyperlink>
      <w:r w:rsidR="00EC430E">
        <w:rPr>
          <w:rFonts w:ascii="Times New Roman" w:hAnsi="Times New Roman" w:cs="Times New Roman"/>
          <w:sz w:val="20"/>
          <w:szCs w:val="20"/>
        </w:rPr>
        <w:t xml:space="preserve"> </w:t>
      </w:r>
    </w:p>
    <w:p w14:paraId="0BA94B25" w14:textId="00F46F23"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[10] </w:t>
      </w:r>
      <w:r w:rsidR="00A440FB" w:rsidRPr="00A440FB">
        <w:rPr>
          <w:rFonts w:ascii="Times New Roman" w:hAnsi="Times New Roman" w:cs="Times New Roman"/>
          <w:sz w:val="20"/>
          <w:szCs w:val="20"/>
        </w:rPr>
        <w:t>Jay, S., Jones, C., Slinn, P. and Wood, C., 2007. Environmental impact assessment: Retrospect and prospect. </w:t>
      </w:r>
      <w:r w:rsidR="00A440FB" w:rsidRPr="00A440FB">
        <w:rPr>
          <w:rFonts w:ascii="Times New Roman" w:hAnsi="Times New Roman" w:cs="Times New Roman"/>
          <w:i/>
          <w:iCs/>
          <w:sz w:val="20"/>
          <w:szCs w:val="20"/>
        </w:rPr>
        <w:t>Environmental impact assessment review</w:t>
      </w:r>
      <w:r w:rsidR="00A440FB" w:rsidRPr="00A440FB">
        <w:rPr>
          <w:rFonts w:ascii="Times New Roman" w:hAnsi="Times New Roman" w:cs="Times New Roman"/>
          <w:sz w:val="20"/>
          <w:szCs w:val="20"/>
        </w:rPr>
        <w:t>, </w:t>
      </w:r>
      <w:r w:rsidR="00A440FB" w:rsidRPr="00A440FB">
        <w:rPr>
          <w:rFonts w:ascii="Times New Roman" w:hAnsi="Times New Roman" w:cs="Times New Roman"/>
          <w:i/>
          <w:iCs/>
          <w:sz w:val="20"/>
          <w:szCs w:val="20"/>
        </w:rPr>
        <w:t>27</w:t>
      </w:r>
      <w:r w:rsidR="00A440FB" w:rsidRPr="00A440FB">
        <w:rPr>
          <w:rFonts w:ascii="Times New Roman" w:hAnsi="Times New Roman" w:cs="Times New Roman"/>
          <w:sz w:val="20"/>
          <w:szCs w:val="20"/>
        </w:rPr>
        <w:t xml:space="preserve">(4), pp.287-300. </w:t>
      </w:r>
      <w:hyperlink r:id="rId24" w:history="1">
        <w:r w:rsidR="00A440FB" w:rsidRPr="00A440FB">
          <w:rPr>
            <w:rStyle w:val="Hyperlink"/>
            <w:rFonts w:ascii="Times New Roman" w:hAnsi="Times New Roman" w:cs="Times New Roman"/>
            <w:sz w:val="20"/>
            <w:szCs w:val="20"/>
          </w:rPr>
          <w:t>https://gefcoral.org/Portals/53/downloads/ebm/day5_refs/Jay%20et%20al-Environmental%20Impact%20Assessment.pdf</w:t>
        </w:r>
      </w:hyperlink>
      <w:r w:rsidR="00A440FB" w:rsidRPr="00A440FB">
        <w:rPr>
          <w:rFonts w:ascii="Times New Roman" w:hAnsi="Times New Roman" w:cs="Times New Roman"/>
          <w:sz w:val="20"/>
          <w:szCs w:val="20"/>
        </w:rPr>
        <w:t xml:space="preserve"> </w:t>
      </w:r>
    </w:p>
    <w:p w14:paraId="78B4840F" w14:textId="31D50D6C"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[11] </w:t>
      </w:r>
      <w:r w:rsidR="00A440FB" w:rsidRPr="00A440FB">
        <w:rPr>
          <w:rFonts w:ascii="Times New Roman" w:hAnsi="Times New Roman" w:cs="Times New Roman"/>
          <w:sz w:val="20"/>
          <w:szCs w:val="20"/>
        </w:rPr>
        <w:t xml:space="preserve">MacKinnon, A.J., </w:t>
      </w:r>
      <w:proofErr w:type="spellStart"/>
      <w:r w:rsidR="00A440FB" w:rsidRPr="00A440FB">
        <w:rPr>
          <w:rFonts w:ascii="Times New Roman" w:hAnsi="Times New Roman" w:cs="Times New Roman"/>
          <w:sz w:val="20"/>
          <w:szCs w:val="20"/>
        </w:rPr>
        <w:t>Duinker</w:t>
      </w:r>
      <w:proofErr w:type="spellEnd"/>
      <w:r w:rsidR="00A440FB" w:rsidRPr="00A440FB">
        <w:rPr>
          <w:rFonts w:ascii="Times New Roman" w:hAnsi="Times New Roman" w:cs="Times New Roman"/>
          <w:sz w:val="20"/>
          <w:szCs w:val="20"/>
        </w:rPr>
        <w:t xml:space="preserve">, P.N. and Walker, T.R. (2018) </w:t>
      </w:r>
      <w:r w:rsidR="00A440FB" w:rsidRPr="00A440FB">
        <w:rPr>
          <w:rFonts w:ascii="Times New Roman" w:hAnsi="Times New Roman" w:cs="Times New Roman"/>
          <w:i/>
          <w:iCs/>
          <w:sz w:val="20"/>
          <w:szCs w:val="20"/>
        </w:rPr>
        <w:t>The Application of Science in Environmental Impact Assessment</w:t>
      </w:r>
      <w:r w:rsidR="00A440FB" w:rsidRPr="00A440FB">
        <w:rPr>
          <w:rFonts w:ascii="Times New Roman" w:hAnsi="Times New Roman" w:cs="Times New Roman"/>
          <w:sz w:val="20"/>
          <w:szCs w:val="20"/>
        </w:rPr>
        <w:t xml:space="preserve">. Routledge. </w:t>
      </w:r>
      <w:hyperlink r:id="rId25" w:history="1">
        <w:r w:rsidR="00EC430E" w:rsidRPr="0095356E">
          <w:rPr>
            <w:rStyle w:val="Hyperlink"/>
            <w:rFonts w:ascii="Times New Roman" w:hAnsi="Times New Roman" w:cs="Times New Roman"/>
            <w:sz w:val="20"/>
            <w:szCs w:val="20"/>
          </w:rPr>
          <w:t>https://www.researchgate.net/publication/321654472_The_Application_of_Science_in_Environmental_Impact_Assessment</w:t>
        </w:r>
      </w:hyperlink>
      <w:r w:rsidR="00EC430E">
        <w:rPr>
          <w:rFonts w:ascii="Times New Roman" w:hAnsi="Times New Roman" w:cs="Times New Roman"/>
          <w:sz w:val="20"/>
          <w:szCs w:val="20"/>
        </w:rPr>
        <w:t xml:space="preserve"> </w:t>
      </w:r>
    </w:p>
    <w:p w14:paraId="403B2770" w14:textId="0ADFEF8E"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[12] </w:t>
      </w:r>
      <w:r w:rsidR="00A440FB" w:rsidRPr="00A440FB">
        <w:rPr>
          <w:rFonts w:ascii="Times New Roman" w:hAnsi="Times New Roman" w:cs="Times New Roman"/>
          <w:sz w:val="20"/>
          <w:szCs w:val="20"/>
        </w:rPr>
        <w:t xml:space="preserve">McGrath, C. and Bond, A. (2021) ‘Relevance of the Lee–Colley review package today’, </w:t>
      </w:r>
      <w:r w:rsidR="00A440FB" w:rsidRPr="00A440FB">
        <w:rPr>
          <w:rFonts w:ascii="Times New Roman" w:hAnsi="Times New Roman" w:cs="Times New Roman"/>
          <w:i/>
          <w:iCs/>
          <w:sz w:val="20"/>
          <w:szCs w:val="20"/>
        </w:rPr>
        <w:t>Impact Assessment and Project Appraisal</w:t>
      </w:r>
      <w:r w:rsidR="00A440FB" w:rsidRPr="00A440FB">
        <w:rPr>
          <w:rFonts w:ascii="Times New Roman" w:hAnsi="Times New Roman" w:cs="Times New Roman"/>
          <w:sz w:val="20"/>
          <w:szCs w:val="20"/>
        </w:rPr>
        <w:t>, 39(6), pp. 480–492.</w:t>
      </w:r>
      <w:r w:rsidR="00EC430E">
        <w:rPr>
          <w:rFonts w:ascii="Times New Roman" w:hAnsi="Times New Roman" w:cs="Times New Roman"/>
          <w:sz w:val="20"/>
          <w:szCs w:val="20"/>
        </w:rPr>
        <w:t xml:space="preserve"> </w:t>
      </w:r>
      <w:hyperlink r:id="rId26" w:history="1">
        <w:r w:rsidR="00EC430E" w:rsidRPr="0095356E">
          <w:rPr>
            <w:rStyle w:val="Hyperlink"/>
            <w:rFonts w:ascii="Times New Roman" w:hAnsi="Times New Roman" w:cs="Times New Roman"/>
            <w:sz w:val="20"/>
            <w:szCs w:val="20"/>
          </w:rPr>
          <w:t>https://aardlink.files.wordpress.com/2013/08/op55.pdf</w:t>
        </w:r>
      </w:hyperlink>
      <w:r w:rsidR="00EC430E">
        <w:rPr>
          <w:rFonts w:ascii="Times New Roman" w:hAnsi="Times New Roman" w:cs="Times New Roman"/>
          <w:sz w:val="20"/>
          <w:szCs w:val="20"/>
        </w:rPr>
        <w:t xml:space="preserve"> </w:t>
      </w:r>
    </w:p>
    <w:p w14:paraId="3864D46C" w14:textId="67E33469"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[13] </w:t>
      </w:r>
      <w:r w:rsidR="00A440FB" w:rsidRPr="00A440FB">
        <w:rPr>
          <w:rFonts w:ascii="Times New Roman" w:hAnsi="Times New Roman" w:cs="Times New Roman"/>
          <w:sz w:val="20"/>
          <w:szCs w:val="20"/>
        </w:rPr>
        <w:t xml:space="preserve">Morgan, R. (2020) ‘Impact Assessment and sustainability: reflections on progress and challenges’, </w:t>
      </w:r>
      <w:r w:rsidR="00A440FB" w:rsidRPr="00A440FB">
        <w:rPr>
          <w:rFonts w:ascii="Times New Roman" w:hAnsi="Times New Roman" w:cs="Times New Roman"/>
          <w:i/>
          <w:iCs/>
          <w:sz w:val="20"/>
          <w:szCs w:val="20"/>
        </w:rPr>
        <w:t>Impact Assessment and Project Appraisal</w:t>
      </w:r>
      <w:r w:rsidR="00A440FB" w:rsidRPr="00A440FB">
        <w:rPr>
          <w:rFonts w:ascii="Times New Roman" w:hAnsi="Times New Roman" w:cs="Times New Roman"/>
          <w:sz w:val="20"/>
          <w:szCs w:val="20"/>
        </w:rPr>
        <w:t>, 38(4), pp. 289–292.</w:t>
      </w:r>
      <w:r w:rsidR="00EC430E">
        <w:rPr>
          <w:rFonts w:ascii="Times New Roman" w:hAnsi="Times New Roman" w:cs="Times New Roman"/>
          <w:sz w:val="20"/>
          <w:szCs w:val="20"/>
        </w:rPr>
        <w:t xml:space="preserve"> </w:t>
      </w:r>
      <w:hyperlink r:id="rId27" w:history="1">
        <w:r w:rsidR="00EC430E" w:rsidRPr="0095356E">
          <w:rPr>
            <w:rStyle w:val="Hyperlink"/>
            <w:rFonts w:ascii="Times New Roman" w:hAnsi="Times New Roman" w:cs="Times New Roman"/>
            <w:sz w:val="20"/>
            <w:szCs w:val="20"/>
          </w:rPr>
          <w:t>https://www.researchgate.net/publication/254241854_Environmental_impact_assessment_The_state_o</w:t>
        </w:r>
        <w:r w:rsidR="00EC430E" w:rsidRPr="0095356E">
          <w:rPr>
            <w:rStyle w:val="Hyperlink"/>
            <w:rFonts w:ascii="Times New Roman" w:hAnsi="Times New Roman" w:cs="Times New Roman"/>
            <w:sz w:val="20"/>
            <w:szCs w:val="20"/>
          </w:rPr>
          <w:lastRenderedPageBreak/>
          <w:t>f_the_art</w:t>
        </w:r>
      </w:hyperlink>
      <w:r w:rsidR="00EC430E">
        <w:rPr>
          <w:rFonts w:ascii="Times New Roman" w:hAnsi="Times New Roman" w:cs="Times New Roman"/>
          <w:sz w:val="20"/>
          <w:szCs w:val="20"/>
        </w:rPr>
        <w:t xml:space="preserve"> </w:t>
      </w:r>
      <w:r w:rsidR="00A440FB" w:rsidRPr="00A440FB">
        <w:rPr>
          <w:rFonts w:ascii="Times New Roman" w:hAnsi="Times New Roman" w:cs="Times New Roman"/>
          <w:sz w:val="20"/>
          <w:szCs w:val="20"/>
        </w:rPr>
        <w:br/>
      </w:r>
      <w:r>
        <w:rPr>
          <w:rFonts w:ascii="Times New Roman" w:hAnsi="Times New Roman" w:cs="Times New Roman"/>
          <w:sz w:val="20"/>
          <w:szCs w:val="20"/>
        </w:rPr>
        <w:t xml:space="preserve">[14] </w:t>
      </w:r>
      <w:r w:rsidR="00A440FB" w:rsidRPr="00A440FB">
        <w:rPr>
          <w:rFonts w:ascii="Times New Roman" w:hAnsi="Times New Roman" w:cs="Times New Roman"/>
          <w:sz w:val="20"/>
          <w:szCs w:val="20"/>
        </w:rPr>
        <w:t xml:space="preserve">Morrison-Saunders, A. and Retief, F. (2020) ‘Significance thresholds in EIA’, </w:t>
      </w:r>
      <w:r w:rsidR="00A440FB" w:rsidRPr="00A440FB">
        <w:rPr>
          <w:rFonts w:ascii="Times New Roman" w:hAnsi="Times New Roman" w:cs="Times New Roman"/>
          <w:i/>
          <w:iCs/>
          <w:sz w:val="20"/>
          <w:szCs w:val="20"/>
        </w:rPr>
        <w:t>Journal of Environmental Assessment Policy and Management</w:t>
      </w:r>
      <w:r w:rsidR="00A440FB" w:rsidRPr="00A440FB">
        <w:rPr>
          <w:rFonts w:ascii="Times New Roman" w:hAnsi="Times New Roman" w:cs="Times New Roman"/>
          <w:sz w:val="20"/>
          <w:szCs w:val="20"/>
        </w:rPr>
        <w:t>, 22(3), 2050022.</w:t>
      </w:r>
      <w:r w:rsidR="00EC430E">
        <w:rPr>
          <w:rFonts w:ascii="Times New Roman" w:hAnsi="Times New Roman" w:cs="Times New Roman"/>
          <w:sz w:val="20"/>
          <w:szCs w:val="20"/>
        </w:rPr>
        <w:t xml:space="preserve"> </w:t>
      </w:r>
      <w:hyperlink r:id="rId28" w:history="1">
        <w:r w:rsidR="00EC430E" w:rsidRPr="0095356E">
          <w:rPr>
            <w:rStyle w:val="Hyperlink"/>
            <w:rFonts w:ascii="Times New Roman" w:hAnsi="Times New Roman" w:cs="Times New Roman"/>
            <w:sz w:val="20"/>
            <w:szCs w:val="20"/>
          </w:rPr>
          <w:t>https://www.researchgate.net/publication/291950967_Making_sense_of_significance_in_environmental_impact_assessment</w:t>
        </w:r>
      </w:hyperlink>
      <w:r w:rsidR="00EC430E">
        <w:rPr>
          <w:rFonts w:ascii="Times New Roman" w:hAnsi="Times New Roman" w:cs="Times New Roman"/>
          <w:sz w:val="20"/>
          <w:szCs w:val="20"/>
        </w:rPr>
        <w:t xml:space="preserve"> </w:t>
      </w:r>
    </w:p>
    <w:p w14:paraId="348B17C0" w14:textId="19B03BB1" w:rsid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[15] </w:t>
      </w:r>
      <w:r w:rsidR="00A440FB" w:rsidRPr="00A440FB">
        <w:rPr>
          <w:rFonts w:ascii="Times New Roman" w:hAnsi="Times New Roman" w:cs="Times New Roman"/>
          <w:sz w:val="20"/>
          <w:szCs w:val="20"/>
        </w:rPr>
        <w:t xml:space="preserve">Onyango, V. and Gazzola, P. (2024) ‘Change-making in Environmental Impact Assessment (EIA): piloting </w:t>
      </w:r>
      <w:proofErr w:type="spellStart"/>
      <w:r w:rsidR="00A440FB" w:rsidRPr="00A440FB">
        <w:rPr>
          <w:rFonts w:ascii="Times New Roman" w:hAnsi="Times New Roman" w:cs="Times New Roman"/>
          <w:sz w:val="20"/>
          <w:szCs w:val="20"/>
        </w:rPr>
        <w:t>changeology</w:t>
      </w:r>
      <w:proofErr w:type="spellEnd"/>
      <w:r w:rsidR="00A440FB" w:rsidRPr="00A440FB">
        <w:rPr>
          <w:rFonts w:ascii="Times New Roman" w:hAnsi="Times New Roman" w:cs="Times New Roman"/>
          <w:sz w:val="20"/>
          <w:szCs w:val="20"/>
        </w:rPr>
        <w:t xml:space="preserve"> approach using England as a case study’, </w:t>
      </w:r>
      <w:r w:rsidR="00A440FB" w:rsidRPr="00A440FB">
        <w:rPr>
          <w:rFonts w:ascii="Times New Roman" w:hAnsi="Times New Roman" w:cs="Times New Roman"/>
          <w:i/>
          <w:iCs/>
          <w:sz w:val="20"/>
          <w:szCs w:val="20"/>
        </w:rPr>
        <w:t>Impact Assessment and Project Appraisal</w:t>
      </w:r>
      <w:r w:rsidR="00A440FB" w:rsidRPr="00A440FB">
        <w:rPr>
          <w:rFonts w:ascii="Times New Roman" w:hAnsi="Times New Roman" w:cs="Times New Roman"/>
          <w:sz w:val="20"/>
          <w:szCs w:val="20"/>
        </w:rPr>
        <w:t xml:space="preserve">, 42(3), pp. 251–266. </w:t>
      </w:r>
      <w:hyperlink r:id="rId29" w:history="1">
        <w:r w:rsidR="00EC430E" w:rsidRPr="0095356E">
          <w:rPr>
            <w:rStyle w:val="Hyperlink"/>
            <w:rFonts w:ascii="Times New Roman" w:hAnsi="Times New Roman" w:cs="Times New Roman"/>
            <w:sz w:val="20"/>
            <w:szCs w:val="20"/>
          </w:rPr>
          <w:t>https://www.tandfonline.com/doi/full/10.1080/14615517.2024.2345492</w:t>
        </w:r>
      </w:hyperlink>
      <w:r w:rsidR="00EC430E">
        <w:rPr>
          <w:rFonts w:ascii="Times New Roman" w:hAnsi="Times New Roman" w:cs="Times New Roman"/>
          <w:sz w:val="20"/>
          <w:szCs w:val="20"/>
        </w:rPr>
        <w:t xml:space="preserve"> </w:t>
      </w:r>
      <w:r w:rsidR="00A440FB" w:rsidRPr="00A440FB">
        <w:rPr>
          <w:rFonts w:ascii="Times New Roman" w:hAnsi="Times New Roman" w:cs="Times New Roman"/>
          <w:sz w:val="20"/>
          <w:szCs w:val="20"/>
        </w:rPr>
        <w:br/>
      </w:r>
      <w:r>
        <w:rPr>
          <w:rFonts w:ascii="Times New Roman" w:hAnsi="Times New Roman" w:cs="Times New Roman"/>
          <w:sz w:val="20"/>
          <w:szCs w:val="20"/>
        </w:rPr>
        <w:t xml:space="preserve">[16] </w:t>
      </w:r>
      <w:r w:rsidR="00A440FB" w:rsidRPr="00A440FB">
        <w:rPr>
          <w:rFonts w:ascii="Times New Roman" w:hAnsi="Times New Roman" w:cs="Times New Roman"/>
          <w:sz w:val="20"/>
          <w:szCs w:val="20"/>
        </w:rPr>
        <w:t xml:space="preserve">Phylip-Jones, J. and Fischer, T.B. (2023) ‘Embedding proportionality in EIA’, </w:t>
      </w:r>
      <w:r w:rsidR="00A440FB" w:rsidRPr="00A440FB">
        <w:rPr>
          <w:rFonts w:ascii="Times New Roman" w:hAnsi="Times New Roman" w:cs="Times New Roman"/>
          <w:i/>
          <w:iCs/>
          <w:sz w:val="20"/>
          <w:szCs w:val="20"/>
        </w:rPr>
        <w:t>Environmental Impact Assessment Review</w:t>
      </w:r>
      <w:r w:rsidR="00A440FB" w:rsidRPr="00A440FB">
        <w:rPr>
          <w:rFonts w:ascii="Times New Roman" w:hAnsi="Times New Roman" w:cs="Times New Roman"/>
          <w:sz w:val="20"/>
          <w:szCs w:val="20"/>
        </w:rPr>
        <w:t>, 99, 107001.</w:t>
      </w:r>
      <w:r w:rsidR="00EC430E">
        <w:rPr>
          <w:rFonts w:ascii="Times New Roman" w:hAnsi="Times New Roman" w:cs="Times New Roman"/>
          <w:sz w:val="20"/>
          <w:szCs w:val="20"/>
        </w:rPr>
        <w:t xml:space="preserve"> </w:t>
      </w:r>
      <w:hyperlink r:id="rId30" w:history="1">
        <w:r w:rsidR="00EC430E" w:rsidRPr="0095356E">
          <w:rPr>
            <w:rStyle w:val="Hyperlink"/>
            <w:rFonts w:ascii="Times New Roman" w:hAnsi="Times New Roman" w:cs="Times New Roman"/>
            <w:sz w:val="20"/>
            <w:szCs w:val="20"/>
          </w:rPr>
          <w:t>https://www.researchgate.net/publication/232703181_Scoping_in_environmental_assessment</w:t>
        </w:r>
      </w:hyperlink>
      <w:r w:rsidR="00EC430E">
        <w:rPr>
          <w:rFonts w:ascii="Times New Roman" w:hAnsi="Times New Roman" w:cs="Times New Roman"/>
          <w:sz w:val="20"/>
          <w:szCs w:val="20"/>
        </w:rPr>
        <w:t xml:space="preserve"> </w:t>
      </w:r>
    </w:p>
    <w:p w14:paraId="49AE540F" w14:textId="376AA14D" w:rsid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[17] </w:t>
      </w:r>
      <w:r w:rsidR="00A440FB" w:rsidRPr="00A440FB">
        <w:rPr>
          <w:rFonts w:ascii="Times New Roman" w:hAnsi="Times New Roman" w:cs="Times New Roman"/>
          <w:sz w:val="20"/>
          <w:szCs w:val="20"/>
        </w:rPr>
        <w:t xml:space="preserve">Pinho, P., Maia, R. and Monterroso, A. (2020) ‘Why does EIA quality remain variable?’, </w:t>
      </w:r>
      <w:r w:rsidR="00A440FB" w:rsidRPr="00A440FB">
        <w:rPr>
          <w:rFonts w:ascii="Times New Roman" w:hAnsi="Times New Roman" w:cs="Times New Roman"/>
          <w:i/>
          <w:iCs/>
          <w:sz w:val="20"/>
          <w:szCs w:val="20"/>
        </w:rPr>
        <w:t>Environmental Impact Assessment Review</w:t>
      </w:r>
      <w:r w:rsidR="00A440FB" w:rsidRPr="00A440FB">
        <w:rPr>
          <w:rFonts w:ascii="Times New Roman" w:hAnsi="Times New Roman" w:cs="Times New Roman"/>
          <w:sz w:val="20"/>
          <w:szCs w:val="20"/>
        </w:rPr>
        <w:t>, 83, 106406.</w:t>
      </w:r>
      <w:r w:rsidR="00EC430E">
        <w:rPr>
          <w:rFonts w:ascii="Times New Roman" w:hAnsi="Times New Roman" w:cs="Times New Roman"/>
          <w:sz w:val="20"/>
          <w:szCs w:val="20"/>
        </w:rPr>
        <w:t xml:space="preserve"> </w:t>
      </w:r>
      <w:hyperlink r:id="rId31" w:history="1">
        <w:r w:rsidR="00EC430E" w:rsidRPr="0095356E">
          <w:rPr>
            <w:rStyle w:val="Hyperlink"/>
            <w:rFonts w:ascii="Times New Roman" w:hAnsi="Times New Roman" w:cs="Times New Roman"/>
            <w:sz w:val="20"/>
            <w:szCs w:val="20"/>
          </w:rPr>
          <w:t>https://www.irjet.net/archives/V10/i4/IRJET-V10I4277.pdf</w:t>
        </w:r>
      </w:hyperlink>
      <w:r w:rsidR="00EC430E">
        <w:rPr>
          <w:rFonts w:ascii="Times New Roman" w:hAnsi="Times New Roman" w:cs="Times New Roman"/>
          <w:sz w:val="20"/>
          <w:szCs w:val="20"/>
        </w:rPr>
        <w:t xml:space="preserve"> </w:t>
      </w:r>
    </w:p>
    <w:p w14:paraId="24BDA4D0" w14:textId="097FADED"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[18] </w:t>
      </w:r>
      <w:r w:rsidR="00A440FB" w:rsidRPr="00A440FB">
        <w:rPr>
          <w:rFonts w:ascii="Times New Roman" w:hAnsi="Times New Roman" w:cs="Times New Roman"/>
          <w:sz w:val="20"/>
          <w:szCs w:val="20"/>
        </w:rPr>
        <w:t xml:space="preserve">Pope, J., Bond, A. and Morrison-Saunders, A. (2021) ‘Advancing alternatives assessment’, </w:t>
      </w:r>
      <w:r w:rsidR="00A440FB" w:rsidRPr="00A440FB">
        <w:rPr>
          <w:rFonts w:ascii="Times New Roman" w:hAnsi="Times New Roman" w:cs="Times New Roman"/>
          <w:i/>
          <w:iCs/>
          <w:sz w:val="20"/>
          <w:szCs w:val="20"/>
        </w:rPr>
        <w:t>Impact Assessment and Project Appraisal</w:t>
      </w:r>
      <w:r w:rsidR="00A440FB" w:rsidRPr="00A440FB">
        <w:rPr>
          <w:rFonts w:ascii="Times New Roman" w:hAnsi="Times New Roman" w:cs="Times New Roman"/>
          <w:sz w:val="20"/>
          <w:szCs w:val="20"/>
        </w:rPr>
        <w:t>, 39(4), pp. 308–321.</w:t>
      </w:r>
      <w:r w:rsidR="00EC430E">
        <w:rPr>
          <w:rFonts w:ascii="Times New Roman" w:hAnsi="Times New Roman" w:cs="Times New Roman"/>
          <w:sz w:val="20"/>
          <w:szCs w:val="20"/>
        </w:rPr>
        <w:t xml:space="preserve"> </w:t>
      </w:r>
      <w:hyperlink r:id="rId32" w:history="1">
        <w:r w:rsidR="00EC430E" w:rsidRPr="0095356E">
          <w:rPr>
            <w:rStyle w:val="Hyperlink"/>
            <w:rFonts w:ascii="Times New Roman" w:hAnsi="Times New Roman" w:cs="Times New Roman"/>
            <w:sz w:val="20"/>
            <w:szCs w:val="20"/>
          </w:rPr>
          <w:t>https://www.semanticscholar.org/paper/Impact-Assessment-and-Project-Appraisal-Morrison%E2%80%90Saunders-Bond/f71e3b40d4f139332a065a6f752ad8a513b03ec3</w:t>
        </w:r>
      </w:hyperlink>
      <w:r w:rsidR="00EC430E">
        <w:rPr>
          <w:rFonts w:ascii="Times New Roman" w:hAnsi="Times New Roman" w:cs="Times New Roman"/>
          <w:sz w:val="20"/>
          <w:szCs w:val="20"/>
        </w:rPr>
        <w:t xml:space="preserve"> </w:t>
      </w:r>
    </w:p>
    <w:p w14:paraId="1A6889E5" w14:textId="69A112C9"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[19] </w:t>
      </w:r>
      <w:r w:rsidR="00A440FB" w:rsidRPr="00A440FB">
        <w:rPr>
          <w:rFonts w:ascii="Times New Roman" w:hAnsi="Times New Roman" w:cs="Times New Roman"/>
          <w:sz w:val="20"/>
          <w:szCs w:val="20"/>
        </w:rPr>
        <w:t xml:space="preserve">UN Economic Commission for Europe (UNECE) (2019) </w:t>
      </w:r>
      <w:r w:rsidR="00A440FB" w:rsidRPr="00A440FB">
        <w:rPr>
          <w:rFonts w:ascii="Times New Roman" w:hAnsi="Times New Roman" w:cs="Times New Roman"/>
          <w:i/>
          <w:iCs/>
          <w:sz w:val="20"/>
          <w:szCs w:val="20"/>
        </w:rPr>
        <w:t>International Study of the Effectiveness of Environmental Assessment</w:t>
      </w:r>
      <w:r w:rsidR="00A440FB" w:rsidRPr="00A440FB">
        <w:rPr>
          <w:rFonts w:ascii="Times New Roman" w:hAnsi="Times New Roman" w:cs="Times New Roman"/>
          <w:sz w:val="20"/>
          <w:szCs w:val="20"/>
        </w:rPr>
        <w:t>. Geneva: UNECE.</w:t>
      </w:r>
      <w:r w:rsidR="00EC430E">
        <w:rPr>
          <w:rFonts w:ascii="Times New Roman" w:hAnsi="Times New Roman" w:cs="Times New Roman"/>
          <w:sz w:val="20"/>
          <w:szCs w:val="20"/>
        </w:rPr>
        <w:t xml:space="preserve"> </w:t>
      </w:r>
      <w:hyperlink r:id="rId33" w:history="1">
        <w:r w:rsidR="00EC430E" w:rsidRPr="0095356E">
          <w:rPr>
            <w:rStyle w:val="Hyperlink"/>
            <w:rFonts w:ascii="Times New Roman" w:hAnsi="Times New Roman" w:cs="Times New Roman"/>
            <w:sz w:val="20"/>
            <w:szCs w:val="20"/>
          </w:rPr>
          <w:t>https://unece.org/DAM/env/eia/documents/StudyEffectivenessEA.pdf</w:t>
        </w:r>
      </w:hyperlink>
      <w:r w:rsidR="00EC430E">
        <w:rPr>
          <w:rFonts w:ascii="Times New Roman" w:hAnsi="Times New Roman" w:cs="Times New Roman"/>
          <w:sz w:val="20"/>
          <w:szCs w:val="20"/>
        </w:rPr>
        <w:t xml:space="preserve"> </w:t>
      </w:r>
    </w:p>
    <w:p w14:paraId="377ED0DC" w14:textId="2E0ECC47"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[20] </w:t>
      </w:r>
      <w:r w:rsidR="00A440FB" w:rsidRPr="00A440FB">
        <w:rPr>
          <w:rFonts w:ascii="Times New Roman" w:hAnsi="Times New Roman" w:cs="Times New Roman"/>
          <w:sz w:val="20"/>
          <w:szCs w:val="20"/>
        </w:rPr>
        <w:t xml:space="preserve">UK Government (2017) </w:t>
      </w:r>
      <w:r w:rsidR="00A440FB" w:rsidRPr="00A440FB">
        <w:rPr>
          <w:rFonts w:ascii="Times New Roman" w:hAnsi="Times New Roman" w:cs="Times New Roman"/>
          <w:i/>
          <w:iCs/>
          <w:sz w:val="20"/>
          <w:szCs w:val="20"/>
        </w:rPr>
        <w:t>Town and Country Planning (Environmental Impact Assessment) Regulations 2017</w:t>
      </w:r>
      <w:r w:rsidR="00A440FB" w:rsidRPr="00A440FB">
        <w:rPr>
          <w:rFonts w:ascii="Times New Roman" w:hAnsi="Times New Roman" w:cs="Times New Roman"/>
          <w:sz w:val="20"/>
          <w:szCs w:val="20"/>
        </w:rPr>
        <w:t>. London: HMSO.</w:t>
      </w:r>
      <w:r w:rsidR="00EC430E">
        <w:rPr>
          <w:rFonts w:ascii="Times New Roman" w:hAnsi="Times New Roman" w:cs="Times New Roman"/>
          <w:sz w:val="20"/>
          <w:szCs w:val="20"/>
        </w:rPr>
        <w:t xml:space="preserve"> </w:t>
      </w:r>
      <w:hyperlink r:id="rId34" w:history="1">
        <w:r w:rsidR="00EC430E" w:rsidRPr="0095356E">
          <w:rPr>
            <w:rStyle w:val="Hyperlink"/>
            <w:rFonts w:ascii="Times New Roman" w:hAnsi="Times New Roman" w:cs="Times New Roman"/>
            <w:sz w:val="20"/>
            <w:szCs w:val="20"/>
          </w:rPr>
          <w:t>https://www.legislation.gov.uk/uksi/2017/571/contents</w:t>
        </w:r>
      </w:hyperlink>
      <w:r w:rsidR="00EC430E">
        <w:rPr>
          <w:rFonts w:ascii="Times New Roman" w:hAnsi="Times New Roman" w:cs="Times New Roman"/>
          <w:sz w:val="20"/>
          <w:szCs w:val="20"/>
        </w:rPr>
        <w:t xml:space="preserve"> </w:t>
      </w:r>
    </w:p>
    <w:p w14:paraId="171F6A61" w14:textId="49F7ACE3"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[21] </w:t>
      </w:r>
      <w:r w:rsidR="00A440FB" w:rsidRPr="00A440FB">
        <w:rPr>
          <w:rFonts w:ascii="Times New Roman" w:hAnsi="Times New Roman" w:cs="Times New Roman"/>
          <w:sz w:val="20"/>
          <w:szCs w:val="20"/>
        </w:rPr>
        <w:t xml:space="preserve">Weston, J. and Jackson, T. (2021) ‘UK environmental assessment post-Brexit: continuity or divergence?’, </w:t>
      </w:r>
      <w:r w:rsidR="00A440FB" w:rsidRPr="00A440FB">
        <w:rPr>
          <w:rFonts w:ascii="Times New Roman" w:hAnsi="Times New Roman" w:cs="Times New Roman"/>
          <w:i/>
          <w:iCs/>
          <w:sz w:val="20"/>
          <w:szCs w:val="20"/>
        </w:rPr>
        <w:t>Environmental Law Review</w:t>
      </w:r>
      <w:r w:rsidR="00A440FB" w:rsidRPr="00A440FB">
        <w:rPr>
          <w:rFonts w:ascii="Times New Roman" w:hAnsi="Times New Roman" w:cs="Times New Roman"/>
          <w:sz w:val="20"/>
          <w:szCs w:val="20"/>
        </w:rPr>
        <w:t>, 23(4), pp. 267–281.</w:t>
      </w:r>
      <w:r w:rsidR="00EC430E">
        <w:rPr>
          <w:rFonts w:ascii="Times New Roman" w:hAnsi="Times New Roman" w:cs="Times New Roman"/>
          <w:sz w:val="20"/>
          <w:szCs w:val="20"/>
        </w:rPr>
        <w:t xml:space="preserve"> </w:t>
      </w:r>
      <w:hyperlink r:id="rId35" w:history="1">
        <w:r w:rsidR="00EC430E" w:rsidRPr="0095356E">
          <w:rPr>
            <w:rStyle w:val="Hyperlink"/>
            <w:rFonts w:ascii="Times New Roman" w:hAnsi="Times New Roman" w:cs="Times New Roman"/>
            <w:sz w:val="20"/>
            <w:szCs w:val="20"/>
          </w:rPr>
          <w:t>https://ieep.eu/wp-content/uploads/2022/12/Divergence-of-environmental-policy-post-Brexit_IEEP-UK-2022.pdf</w:t>
        </w:r>
      </w:hyperlink>
      <w:r w:rsidR="00EC430E">
        <w:rPr>
          <w:rFonts w:ascii="Times New Roman" w:hAnsi="Times New Roman" w:cs="Times New Roman"/>
          <w:sz w:val="20"/>
          <w:szCs w:val="20"/>
        </w:rPr>
        <w:t xml:space="preserve"> </w:t>
      </w:r>
    </w:p>
    <w:p w14:paraId="2B40D8A4" w14:textId="68989283" w:rsidR="00A440FB" w:rsidRPr="00A440FB" w:rsidRDefault="00A5018B" w:rsidP="00A440FB">
      <w:pPr>
        <w:spacing w:line="360" w:lineRule="auto"/>
        <w:jc w:val="both"/>
        <w:rPr>
          <w:rFonts w:ascii="Times New Roman" w:hAnsi="Times New Roman" w:cs="Times New Roman"/>
          <w:sz w:val="20"/>
          <w:szCs w:val="20"/>
        </w:rPr>
      </w:pPr>
      <w:r>
        <w:rPr>
          <w:rFonts w:ascii="Times New Roman" w:hAnsi="Times New Roman" w:cs="Times New Roman"/>
          <w:sz w:val="20"/>
          <w:szCs w:val="20"/>
        </w:rPr>
        <w:t xml:space="preserve">[22] </w:t>
      </w:r>
      <w:r w:rsidR="00A440FB" w:rsidRPr="00A440FB">
        <w:rPr>
          <w:rFonts w:ascii="Times New Roman" w:hAnsi="Times New Roman" w:cs="Times New Roman"/>
          <w:sz w:val="20"/>
          <w:szCs w:val="20"/>
        </w:rPr>
        <w:t xml:space="preserve">Welsh Government (2019) </w:t>
      </w:r>
      <w:r w:rsidR="00A440FB" w:rsidRPr="00A440FB">
        <w:rPr>
          <w:rFonts w:ascii="Times New Roman" w:hAnsi="Times New Roman" w:cs="Times New Roman"/>
          <w:i/>
          <w:iCs/>
          <w:sz w:val="20"/>
          <w:szCs w:val="20"/>
        </w:rPr>
        <w:t xml:space="preserve">A487 New </w:t>
      </w:r>
      <w:proofErr w:type="spellStart"/>
      <w:r w:rsidR="00A440FB" w:rsidRPr="00A440FB">
        <w:rPr>
          <w:rFonts w:ascii="Times New Roman" w:hAnsi="Times New Roman" w:cs="Times New Roman"/>
          <w:i/>
          <w:iCs/>
          <w:sz w:val="20"/>
          <w:szCs w:val="20"/>
        </w:rPr>
        <w:t>Dyfi</w:t>
      </w:r>
      <w:proofErr w:type="spellEnd"/>
      <w:r w:rsidR="00A440FB" w:rsidRPr="00A440FB">
        <w:rPr>
          <w:rFonts w:ascii="Times New Roman" w:hAnsi="Times New Roman" w:cs="Times New Roman"/>
          <w:i/>
          <w:iCs/>
          <w:sz w:val="20"/>
          <w:szCs w:val="20"/>
        </w:rPr>
        <w:t xml:space="preserve"> Bridge Environmental Statement</w:t>
      </w:r>
      <w:r w:rsidR="00A440FB" w:rsidRPr="00A440FB">
        <w:rPr>
          <w:rFonts w:ascii="Times New Roman" w:hAnsi="Times New Roman" w:cs="Times New Roman"/>
          <w:sz w:val="20"/>
          <w:szCs w:val="20"/>
        </w:rPr>
        <w:t>. Cardiff: Welsh Government.</w:t>
      </w:r>
    </w:p>
    <w:p w14:paraId="3FDBA0A9" w14:textId="1254FF19" w:rsidR="00A440FB" w:rsidRDefault="00EC430E" w:rsidP="00A440FB">
      <w:pPr>
        <w:jc w:val="both"/>
        <w:rPr>
          <w:rFonts w:ascii="Times New Roman" w:hAnsi="Times New Roman" w:cs="Times New Roman"/>
          <w:sz w:val="20"/>
          <w:szCs w:val="20"/>
        </w:rPr>
        <w:sectPr w:rsidR="00A440FB" w:rsidSect="00A440FB">
          <w:type w:val="continuous"/>
          <w:pgSz w:w="11906" w:h="16838"/>
          <w:pgMar w:top="1440" w:right="1440" w:bottom="1440" w:left="1440" w:header="708" w:footer="708" w:gutter="0"/>
          <w:cols w:num="2" w:space="708"/>
          <w:docGrid w:linePitch="360"/>
        </w:sectPr>
      </w:pPr>
      <w:hyperlink r:id="rId36" w:history="1">
        <w:r w:rsidRPr="0095356E">
          <w:rPr>
            <w:rStyle w:val="Hyperlink"/>
            <w:rFonts w:ascii="Times New Roman" w:hAnsi="Times New Roman" w:cs="Times New Roman"/>
            <w:sz w:val="20"/>
            <w:szCs w:val="20"/>
          </w:rPr>
          <w:t>https://www.gov.wales/sites/default/files/publications/2017-11/a487-dyfi-bridge-environmental-statement-vol-1-chapter-1-introduction.pdf</w:t>
        </w:r>
      </w:hyperlink>
      <w:r>
        <w:rPr>
          <w:rFonts w:ascii="Times New Roman" w:hAnsi="Times New Roman" w:cs="Times New Roman"/>
          <w:sz w:val="20"/>
          <w:szCs w:val="20"/>
        </w:rPr>
        <w:t xml:space="preserve"> </w:t>
      </w:r>
    </w:p>
    <w:p w14:paraId="37F31531" w14:textId="77777777" w:rsidR="004E1133" w:rsidRPr="00A440FB" w:rsidRDefault="004E1133" w:rsidP="00A440FB">
      <w:pPr>
        <w:jc w:val="both"/>
        <w:rPr>
          <w:rFonts w:ascii="Times New Roman" w:hAnsi="Times New Roman" w:cs="Times New Roman"/>
          <w:sz w:val="20"/>
          <w:szCs w:val="20"/>
        </w:rPr>
      </w:pPr>
    </w:p>
    <w:sectPr w:rsidR="004E1133" w:rsidRPr="00A440FB" w:rsidSect="00A440FB">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631"/>
    <w:rsid w:val="00025910"/>
    <w:rsid w:val="0013448A"/>
    <w:rsid w:val="00241519"/>
    <w:rsid w:val="0049208B"/>
    <w:rsid w:val="004E1133"/>
    <w:rsid w:val="005D7AD8"/>
    <w:rsid w:val="005E3C9E"/>
    <w:rsid w:val="00632EEC"/>
    <w:rsid w:val="008774C2"/>
    <w:rsid w:val="008905E6"/>
    <w:rsid w:val="008C7621"/>
    <w:rsid w:val="00946BC7"/>
    <w:rsid w:val="00A440FB"/>
    <w:rsid w:val="00A5018B"/>
    <w:rsid w:val="00B06E41"/>
    <w:rsid w:val="00BA3F73"/>
    <w:rsid w:val="00BA57F2"/>
    <w:rsid w:val="00BE4397"/>
    <w:rsid w:val="00C43632"/>
    <w:rsid w:val="00D83342"/>
    <w:rsid w:val="00E82160"/>
    <w:rsid w:val="00E91C38"/>
    <w:rsid w:val="00EC430E"/>
    <w:rsid w:val="00EC6631"/>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A64BB"/>
  <w15:chartTrackingRefBased/>
  <w15:docId w15:val="{BA110C68-565A-4956-9C0C-1E78859FC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06E41"/>
    <w:pPr>
      <w:keepNext/>
      <w:keepLines/>
      <w:spacing w:before="480" w:after="200" w:line="480" w:lineRule="auto"/>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8774C2"/>
    <w:pPr>
      <w:keepNext/>
      <w:keepLines/>
      <w:spacing w:before="480" w:after="240" w:line="480" w:lineRule="auto"/>
      <w:jc w:val="both"/>
      <w:outlineLvl w:val="1"/>
    </w:pPr>
    <w:rPr>
      <w:rFonts w:ascii="Times New Roman" w:eastAsia="Times New Roman" w:hAnsi="Times New Roman" w:cs="Times New Roman"/>
      <w:b/>
      <w:kern w:val="0"/>
      <w:sz w:val="26"/>
      <w:szCs w:val="26"/>
      <w:lang w:val="en-GB"/>
      <w14:ligatures w14:val="none"/>
    </w:rPr>
  </w:style>
  <w:style w:type="paragraph" w:styleId="Heading3">
    <w:name w:val="heading 3"/>
    <w:basedOn w:val="Normal"/>
    <w:next w:val="Normal"/>
    <w:link w:val="Heading3Char"/>
    <w:uiPriority w:val="9"/>
    <w:semiHidden/>
    <w:unhideWhenUsed/>
    <w:qFormat/>
    <w:rsid w:val="00EC663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663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663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66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6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6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6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E41"/>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8774C2"/>
    <w:rPr>
      <w:rFonts w:ascii="Times New Roman" w:eastAsia="Times New Roman" w:hAnsi="Times New Roman" w:cs="Times New Roman"/>
      <w:b/>
      <w:kern w:val="0"/>
      <w:sz w:val="26"/>
      <w:szCs w:val="26"/>
      <w:lang w:val="en-GB"/>
      <w14:ligatures w14:val="none"/>
    </w:rPr>
  </w:style>
  <w:style w:type="character" w:customStyle="1" w:styleId="Heading3Char">
    <w:name w:val="Heading 3 Char"/>
    <w:basedOn w:val="DefaultParagraphFont"/>
    <w:link w:val="Heading3"/>
    <w:uiPriority w:val="9"/>
    <w:semiHidden/>
    <w:rsid w:val="00EC663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C663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C663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C66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6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6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631"/>
    <w:rPr>
      <w:rFonts w:eastAsiaTheme="majorEastAsia" w:cstheme="majorBidi"/>
      <w:color w:val="272727" w:themeColor="text1" w:themeTint="D8"/>
    </w:rPr>
  </w:style>
  <w:style w:type="paragraph" w:styleId="Title">
    <w:name w:val="Title"/>
    <w:basedOn w:val="Normal"/>
    <w:next w:val="Normal"/>
    <w:link w:val="TitleChar"/>
    <w:uiPriority w:val="10"/>
    <w:qFormat/>
    <w:rsid w:val="00EC66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6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6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6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631"/>
    <w:pPr>
      <w:spacing w:before="160"/>
      <w:jc w:val="center"/>
    </w:pPr>
    <w:rPr>
      <w:i/>
      <w:iCs/>
      <w:color w:val="404040" w:themeColor="text1" w:themeTint="BF"/>
    </w:rPr>
  </w:style>
  <w:style w:type="character" w:customStyle="1" w:styleId="QuoteChar">
    <w:name w:val="Quote Char"/>
    <w:basedOn w:val="DefaultParagraphFont"/>
    <w:link w:val="Quote"/>
    <w:uiPriority w:val="29"/>
    <w:rsid w:val="00EC6631"/>
    <w:rPr>
      <w:i/>
      <w:iCs/>
      <w:color w:val="404040" w:themeColor="text1" w:themeTint="BF"/>
    </w:rPr>
  </w:style>
  <w:style w:type="paragraph" w:styleId="ListParagraph">
    <w:name w:val="List Paragraph"/>
    <w:basedOn w:val="Normal"/>
    <w:uiPriority w:val="34"/>
    <w:qFormat/>
    <w:rsid w:val="00EC6631"/>
    <w:pPr>
      <w:ind w:left="720"/>
      <w:contextualSpacing/>
    </w:pPr>
  </w:style>
  <w:style w:type="character" w:styleId="IntenseEmphasis">
    <w:name w:val="Intense Emphasis"/>
    <w:basedOn w:val="DefaultParagraphFont"/>
    <w:uiPriority w:val="21"/>
    <w:qFormat/>
    <w:rsid w:val="00EC6631"/>
    <w:rPr>
      <w:i/>
      <w:iCs/>
      <w:color w:val="2F5496" w:themeColor="accent1" w:themeShade="BF"/>
    </w:rPr>
  </w:style>
  <w:style w:type="paragraph" w:styleId="IntenseQuote">
    <w:name w:val="Intense Quote"/>
    <w:basedOn w:val="Normal"/>
    <w:next w:val="Normal"/>
    <w:link w:val="IntenseQuoteChar"/>
    <w:uiPriority w:val="30"/>
    <w:qFormat/>
    <w:rsid w:val="00EC66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6631"/>
    <w:rPr>
      <w:i/>
      <w:iCs/>
      <w:color w:val="2F5496" w:themeColor="accent1" w:themeShade="BF"/>
    </w:rPr>
  </w:style>
  <w:style w:type="character" w:styleId="IntenseReference">
    <w:name w:val="Intense Reference"/>
    <w:basedOn w:val="DefaultParagraphFont"/>
    <w:uiPriority w:val="32"/>
    <w:qFormat/>
    <w:rsid w:val="00EC6631"/>
    <w:rPr>
      <w:b/>
      <w:bCs/>
      <w:smallCaps/>
      <w:color w:val="2F5496" w:themeColor="accent1" w:themeShade="BF"/>
      <w:spacing w:val="5"/>
    </w:rPr>
  </w:style>
  <w:style w:type="character" w:styleId="Hyperlink">
    <w:name w:val="Hyperlink"/>
    <w:basedOn w:val="DefaultParagraphFont"/>
    <w:uiPriority w:val="99"/>
    <w:unhideWhenUsed/>
    <w:rsid w:val="00A440FB"/>
    <w:rPr>
      <w:color w:val="0563C1" w:themeColor="hyperlink"/>
      <w:u w:val="single"/>
    </w:rPr>
  </w:style>
  <w:style w:type="character" w:styleId="UnresolvedMention">
    <w:name w:val="Unresolved Mention"/>
    <w:basedOn w:val="DefaultParagraphFont"/>
    <w:uiPriority w:val="99"/>
    <w:semiHidden/>
    <w:unhideWhenUsed/>
    <w:rsid w:val="00EC43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jpeg"/><Relationship Id="rId18" Type="http://schemas.openxmlformats.org/officeDocument/2006/relationships/hyperlink" Target="https://ideas.repec.org/a/taf/jenpmg/v65y2022i3p418-440.html" TargetMode="External"/><Relationship Id="rId26" Type="http://schemas.openxmlformats.org/officeDocument/2006/relationships/hyperlink" Target="https://aardlink.files.wordpress.com/2013/08/op55.pdf" TargetMode="External"/><Relationship Id="rId21" Type="http://schemas.openxmlformats.org/officeDocument/2006/relationships/hyperlink" Target="https://cdnsciencepub.com/doi/10.1139/er-2015-0073" TargetMode="External"/><Relationship Id="rId34" Type="http://schemas.openxmlformats.org/officeDocument/2006/relationships/hyperlink" Target="https://www.legislation.gov.uk/uksi/2017/571/contents"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www.researchgate.net/publication/390985182_Environmental_Governance_and_Sustainable_Development_A_Critical_Evaluation_of_Governmental_Interventions_in_Nigeria" TargetMode="External"/><Relationship Id="rId25" Type="http://schemas.openxmlformats.org/officeDocument/2006/relationships/hyperlink" Target="https://www.researchgate.net/publication/321654472_The_Application_of_Science_in_Environmental_Impact_Assessment" TargetMode="External"/><Relationship Id="rId33" Type="http://schemas.openxmlformats.org/officeDocument/2006/relationships/hyperlink" Target="https://unece.org/DAM/env/eia/documents/StudyEffectivenessEA.pdf"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esearchgate.net/publication/378646636_Investigating_communication_of_findings_in_Environmental_Impact_Assessment_and_developing_a_research_agenda_for_improvement" TargetMode="External"/><Relationship Id="rId20" Type="http://schemas.openxmlformats.org/officeDocument/2006/relationships/hyperlink" Target="https://core.ac.uk/download/613072527.pdf" TargetMode="External"/><Relationship Id="rId29" Type="http://schemas.openxmlformats.org/officeDocument/2006/relationships/hyperlink" Target="https://www.tandfonline.com/doi/full/10.1080/14615517.2024.2345492" TargetMode="External"/><Relationship Id="rId1" Type="http://schemas.openxmlformats.org/officeDocument/2006/relationships/styles" Target="styles.xml"/><Relationship Id="rId6" Type="http://schemas.openxmlformats.org/officeDocument/2006/relationships/image" Target="media/image3.gif"/><Relationship Id="rId11" Type="http://schemas.openxmlformats.org/officeDocument/2006/relationships/image" Target="media/image8.jpeg"/><Relationship Id="rId24" Type="http://schemas.openxmlformats.org/officeDocument/2006/relationships/hyperlink" Target="https://gefcoral.org/Portals/53/downloads/ebm/day5_refs/Jay%20et%20al-Environmental%20Impact%20Assessment.pdf" TargetMode="External"/><Relationship Id="rId32" Type="http://schemas.openxmlformats.org/officeDocument/2006/relationships/hyperlink" Target="https://www.semanticscholar.org/paper/Impact-Assessment-and-Project-Appraisal-Morrison%E2%80%90Saunders-Bond/f71e3b40d4f139332a065a6f752ad8a513b03ec3" TargetMode="External"/><Relationship Id="rId37"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www.researchgate.net/publication/262969975_Monitoring_and_Post-auditing_in_Environmental_Impact_Assessment_A_Review" TargetMode="External"/><Relationship Id="rId23" Type="http://schemas.openxmlformats.org/officeDocument/2006/relationships/hyperlink" Target="https://www.iema.net/media/0t5fwyhj/iema-materials-and-waste-in-eia-march-2020.pdf" TargetMode="External"/><Relationship Id="rId28" Type="http://schemas.openxmlformats.org/officeDocument/2006/relationships/hyperlink" Target="https://www.researchgate.net/publication/291950967_Making_sense_of_significance_in_environmental_impact_assessment" TargetMode="External"/><Relationship Id="rId36" Type="http://schemas.openxmlformats.org/officeDocument/2006/relationships/hyperlink" Target="https://www.gov.wales/sites/default/files/publications/2017-11/a487-dyfi-bridge-environmental-statement-vol-1-chapter-1-introduction.pdf" TargetMode="External"/><Relationship Id="rId10" Type="http://schemas.openxmlformats.org/officeDocument/2006/relationships/image" Target="media/image7.jpeg"/><Relationship Id="rId19" Type="http://schemas.openxmlformats.org/officeDocument/2006/relationships/hyperlink" Target="https://researchonline.jcu.edu.au/view/orgu/155600.type.html" TargetMode="External"/><Relationship Id="rId31" Type="http://schemas.openxmlformats.org/officeDocument/2006/relationships/hyperlink" Target="https://www.irjet.net/archives/V10/i4/IRJET-V10I4277.pdf"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hyperlink" Target="https://audit.wales/sites/default/files/2020-11/implementing_wfg_act_wg_0.pdf" TargetMode="External"/><Relationship Id="rId27" Type="http://schemas.openxmlformats.org/officeDocument/2006/relationships/hyperlink" Target="https://www.researchgate.net/publication/254241854_Environmental_impact_assessment_The_state_of_the_art" TargetMode="External"/><Relationship Id="rId30" Type="http://schemas.openxmlformats.org/officeDocument/2006/relationships/hyperlink" Target="https://www.researchgate.net/publication/232703181_Scoping_in_environmental_assessment" TargetMode="External"/><Relationship Id="rId35" Type="http://schemas.openxmlformats.org/officeDocument/2006/relationships/hyperlink" Target="https://ieep.eu/wp-content/uploads/2022/12/Divergence-of-environmental-policy-post-Brexit_IEEP-UK-2022.pdf" TargetMode="External"/><Relationship Id="rId8" Type="http://schemas.openxmlformats.org/officeDocument/2006/relationships/image" Target="media/image5.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5337</Words>
  <Characters>30427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P</dc:creator>
  <cp:keywords/>
  <dc:description/>
  <cp:lastModifiedBy>Ahsan Alahi Rafi</cp:lastModifiedBy>
  <cp:revision>2</cp:revision>
  <dcterms:created xsi:type="dcterms:W3CDTF">2026-01-20T13:14:00Z</dcterms:created>
  <dcterms:modified xsi:type="dcterms:W3CDTF">2026-01-20T13:14:00Z</dcterms:modified>
</cp:coreProperties>
</file>