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C0A52" w14:textId="2A6A315D" w:rsidR="00F75900" w:rsidRDefault="00015969" w:rsidP="00E73D48">
      <w:pPr>
        <w:jc w:val="center"/>
        <w:rPr>
          <w:rFonts w:ascii="Arial" w:hAnsi="Arial" w:cs="Arial"/>
          <w:b/>
          <w:bCs/>
          <w:sz w:val="40"/>
          <w:szCs w:val="40"/>
        </w:rPr>
      </w:pPr>
      <w:r>
        <w:rPr>
          <w:rFonts w:ascii="Arial" w:hAnsi="Arial" w:cs="Arial"/>
          <w:b/>
          <w:bCs/>
          <w:sz w:val="40"/>
          <w:szCs w:val="40"/>
        </w:rPr>
        <w:t>ECEY6012:</w:t>
      </w:r>
    </w:p>
    <w:p w14:paraId="484B0D63" w14:textId="77777777" w:rsidR="00F01980" w:rsidRPr="00F01980" w:rsidRDefault="00F01980" w:rsidP="00F01980">
      <w:pPr>
        <w:jc w:val="center"/>
        <w:rPr>
          <w:rFonts w:ascii="Arial" w:hAnsi="Arial" w:cs="Arial"/>
          <w:b/>
          <w:bCs/>
          <w:sz w:val="40"/>
          <w:szCs w:val="40"/>
        </w:rPr>
      </w:pPr>
      <w:r w:rsidRPr="00F01980">
        <w:rPr>
          <w:rFonts w:ascii="Arial" w:hAnsi="Arial" w:cs="Arial"/>
          <w:b/>
          <w:bCs/>
          <w:sz w:val="40"/>
          <w:szCs w:val="40"/>
        </w:rPr>
        <w:t>Leadership skills in entrepreneurship</w:t>
      </w:r>
    </w:p>
    <w:p w14:paraId="30ADA503" w14:textId="77777777" w:rsidR="00015969" w:rsidRDefault="00015969" w:rsidP="00E73D48">
      <w:pPr>
        <w:jc w:val="center"/>
        <w:rPr>
          <w:rFonts w:ascii="Arial" w:hAnsi="Arial" w:cs="Arial"/>
          <w:b/>
          <w:bCs/>
          <w:sz w:val="40"/>
          <w:szCs w:val="40"/>
        </w:rPr>
      </w:pPr>
    </w:p>
    <w:p w14:paraId="3E614CF3" w14:textId="037FB875" w:rsidR="00F63013" w:rsidRDefault="00F63013" w:rsidP="00F63013">
      <w:pPr>
        <w:rPr>
          <w:rFonts w:ascii="Arial" w:hAnsi="Arial" w:cs="Arial"/>
          <w:b/>
          <w:bCs/>
          <w:sz w:val="32"/>
          <w:szCs w:val="32"/>
          <w:u w:val="single"/>
        </w:rPr>
      </w:pPr>
      <w:r>
        <w:rPr>
          <w:rFonts w:ascii="Arial" w:hAnsi="Arial" w:cs="Arial"/>
          <w:b/>
          <w:bCs/>
          <w:sz w:val="32"/>
          <w:szCs w:val="32"/>
          <w:u w:val="single"/>
        </w:rPr>
        <w:t>Contents:</w:t>
      </w:r>
    </w:p>
    <w:p w14:paraId="43D5D871" w14:textId="080A9FA7" w:rsidR="00F63013" w:rsidRPr="00F63013" w:rsidRDefault="00F63013" w:rsidP="00F63013">
      <w:pPr>
        <w:pStyle w:val="ListParagraph"/>
        <w:numPr>
          <w:ilvl w:val="0"/>
          <w:numId w:val="1"/>
        </w:numPr>
        <w:rPr>
          <w:rFonts w:ascii="Arial" w:hAnsi="Arial" w:cs="Arial"/>
          <w:b/>
          <w:bCs/>
          <w:sz w:val="32"/>
          <w:szCs w:val="32"/>
          <w:u w:val="single"/>
        </w:rPr>
      </w:pPr>
      <w:r>
        <w:rPr>
          <w:rFonts w:ascii="Arial" w:hAnsi="Arial" w:cs="Arial"/>
          <w:sz w:val="32"/>
          <w:szCs w:val="32"/>
        </w:rPr>
        <w:t>Business Plan</w:t>
      </w:r>
    </w:p>
    <w:p w14:paraId="5AB23F63" w14:textId="2AEF084D" w:rsidR="00F63013" w:rsidRPr="00540D0A" w:rsidRDefault="00540D0A" w:rsidP="00F63013">
      <w:pPr>
        <w:pStyle w:val="ListParagraph"/>
        <w:numPr>
          <w:ilvl w:val="0"/>
          <w:numId w:val="1"/>
        </w:numPr>
        <w:rPr>
          <w:rFonts w:ascii="Arial" w:hAnsi="Arial" w:cs="Arial"/>
          <w:b/>
          <w:bCs/>
          <w:sz w:val="32"/>
          <w:szCs w:val="32"/>
          <w:u w:val="single"/>
        </w:rPr>
      </w:pPr>
      <w:r>
        <w:rPr>
          <w:rFonts w:ascii="Arial" w:hAnsi="Arial" w:cs="Arial"/>
          <w:sz w:val="32"/>
          <w:szCs w:val="32"/>
        </w:rPr>
        <w:t>Critical Analysis</w:t>
      </w:r>
    </w:p>
    <w:p w14:paraId="336CD47E" w14:textId="3EF0F866" w:rsidR="00540D0A" w:rsidRPr="00540D0A" w:rsidRDefault="00540D0A" w:rsidP="00F63013">
      <w:pPr>
        <w:pStyle w:val="ListParagraph"/>
        <w:numPr>
          <w:ilvl w:val="0"/>
          <w:numId w:val="1"/>
        </w:numPr>
        <w:rPr>
          <w:rFonts w:ascii="Arial" w:hAnsi="Arial" w:cs="Arial"/>
          <w:b/>
          <w:bCs/>
          <w:sz w:val="32"/>
          <w:szCs w:val="32"/>
          <w:u w:val="single"/>
        </w:rPr>
      </w:pPr>
      <w:r>
        <w:rPr>
          <w:rFonts w:ascii="Arial" w:hAnsi="Arial" w:cs="Arial"/>
          <w:sz w:val="32"/>
          <w:szCs w:val="32"/>
        </w:rPr>
        <w:t>References</w:t>
      </w:r>
    </w:p>
    <w:p w14:paraId="7D424367" w14:textId="77777777" w:rsidR="00540D0A" w:rsidRDefault="00540D0A" w:rsidP="00540D0A">
      <w:pPr>
        <w:rPr>
          <w:rFonts w:ascii="Arial" w:hAnsi="Arial" w:cs="Arial"/>
          <w:b/>
          <w:bCs/>
          <w:sz w:val="32"/>
          <w:szCs w:val="32"/>
          <w:u w:val="single"/>
        </w:rPr>
      </w:pPr>
    </w:p>
    <w:p w14:paraId="4CB477CA" w14:textId="1EA7F4B9" w:rsidR="006C2C7C" w:rsidRDefault="006C2C7C" w:rsidP="00540D0A">
      <w:pPr>
        <w:rPr>
          <w:rFonts w:ascii="Arial" w:hAnsi="Arial" w:cs="Arial"/>
          <w:sz w:val="28"/>
          <w:szCs w:val="28"/>
        </w:rPr>
      </w:pPr>
      <w:r w:rsidRPr="006C2C7C">
        <w:rPr>
          <w:rFonts w:ascii="Arial" w:hAnsi="Arial" w:cs="Arial"/>
          <w:sz w:val="28"/>
          <w:szCs w:val="28"/>
        </w:rPr>
        <w:t>I acknowledge the use of Grammarly (</w:t>
      </w:r>
      <w:hyperlink r:id="rId7" w:history="1">
        <w:r w:rsidRPr="001D34C1">
          <w:rPr>
            <w:rStyle w:val="Hyperlink"/>
            <w:rFonts w:ascii="Arial" w:hAnsi="Arial" w:cs="Arial"/>
            <w:sz w:val="28"/>
            <w:szCs w:val="28"/>
          </w:rPr>
          <w:t>https://www.grammarly.com/</w:t>
        </w:r>
      </w:hyperlink>
      <w:r w:rsidRPr="006C2C7C">
        <w:rPr>
          <w:rFonts w:ascii="Arial" w:hAnsi="Arial" w:cs="Arial"/>
          <w:sz w:val="28"/>
          <w:szCs w:val="28"/>
        </w:rPr>
        <w:t>)</w:t>
      </w:r>
      <w:r>
        <w:rPr>
          <w:rFonts w:ascii="Arial" w:hAnsi="Arial" w:cs="Arial"/>
          <w:sz w:val="28"/>
          <w:szCs w:val="28"/>
        </w:rPr>
        <w:t xml:space="preserve"> </w:t>
      </w:r>
      <w:r w:rsidRPr="006C2C7C">
        <w:rPr>
          <w:rFonts w:ascii="Arial" w:hAnsi="Arial" w:cs="Arial"/>
          <w:sz w:val="28"/>
          <w:szCs w:val="28"/>
        </w:rPr>
        <w:t>on 2</w:t>
      </w:r>
      <w:r>
        <w:rPr>
          <w:rFonts w:ascii="Arial" w:hAnsi="Arial" w:cs="Arial"/>
          <w:sz w:val="28"/>
          <w:szCs w:val="28"/>
        </w:rPr>
        <w:t>8</w:t>
      </w:r>
      <w:r w:rsidRPr="006C2C7C">
        <w:rPr>
          <w:rFonts w:ascii="Arial" w:hAnsi="Arial" w:cs="Arial"/>
          <w:sz w:val="28"/>
          <w:szCs w:val="28"/>
        </w:rPr>
        <w:t xml:space="preserve"> </w:t>
      </w:r>
      <w:r>
        <w:rPr>
          <w:rFonts w:ascii="Arial" w:hAnsi="Arial" w:cs="Arial"/>
          <w:sz w:val="28"/>
          <w:szCs w:val="28"/>
        </w:rPr>
        <w:t>February</w:t>
      </w:r>
      <w:r w:rsidRPr="006C2C7C">
        <w:rPr>
          <w:rFonts w:ascii="Arial" w:hAnsi="Arial" w:cs="Arial"/>
          <w:sz w:val="28"/>
          <w:szCs w:val="28"/>
        </w:rPr>
        <w:t xml:space="preserve"> 2026 to check my work using the following prompt: </w:t>
      </w:r>
    </w:p>
    <w:p w14:paraId="1A47A88E" w14:textId="4A19FE6A" w:rsidR="006C2C7C" w:rsidRPr="006C2C7C" w:rsidRDefault="006C2C7C" w:rsidP="006C2C7C">
      <w:pPr>
        <w:pStyle w:val="ListParagraph"/>
        <w:numPr>
          <w:ilvl w:val="0"/>
          <w:numId w:val="2"/>
        </w:numPr>
        <w:rPr>
          <w:rFonts w:ascii="Arial" w:hAnsi="Arial" w:cs="Arial"/>
          <w:sz w:val="28"/>
          <w:szCs w:val="28"/>
        </w:rPr>
      </w:pPr>
      <w:r w:rsidRPr="006C2C7C">
        <w:rPr>
          <w:rFonts w:ascii="Arial" w:hAnsi="Arial" w:cs="Arial"/>
          <w:sz w:val="28"/>
          <w:szCs w:val="28"/>
        </w:rPr>
        <w:t xml:space="preserve">Please check the following text for readability and grammar. </w:t>
      </w:r>
    </w:p>
    <w:p w14:paraId="35AB54E9" w14:textId="2D88802B" w:rsidR="00540D0A" w:rsidRDefault="006C2C7C" w:rsidP="006C2C7C">
      <w:pPr>
        <w:rPr>
          <w:rFonts w:ascii="Arial" w:hAnsi="Arial" w:cs="Arial"/>
          <w:sz w:val="28"/>
          <w:szCs w:val="28"/>
        </w:rPr>
      </w:pPr>
      <w:r w:rsidRPr="006C2C7C">
        <w:rPr>
          <w:rFonts w:ascii="Arial" w:hAnsi="Arial" w:cs="Arial"/>
          <w:sz w:val="28"/>
          <w:szCs w:val="28"/>
        </w:rPr>
        <w:t xml:space="preserve">I confirm that I have not presented any AI-generated text as my work. I confirm I have copies of my drafts and notes before the use of AI tools. </w:t>
      </w:r>
    </w:p>
    <w:p w14:paraId="607EDB2B" w14:textId="77777777" w:rsidR="006C2C7C" w:rsidRDefault="006C2C7C" w:rsidP="006C2C7C">
      <w:pPr>
        <w:rPr>
          <w:rFonts w:ascii="Arial" w:hAnsi="Arial" w:cs="Arial"/>
          <w:sz w:val="28"/>
          <w:szCs w:val="28"/>
        </w:rPr>
      </w:pPr>
    </w:p>
    <w:p w14:paraId="2206CA73" w14:textId="444B36D1" w:rsidR="006C2C7C" w:rsidRDefault="006F0E8E" w:rsidP="006C2C7C">
      <w:pPr>
        <w:rPr>
          <w:rFonts w:ascii="Arial" w:hAnsi="Arial" w:cs="Arial"/>
          <w:sz w:val="28"/>
          <w:szCs w:val="28"/>
        </w:rPr>
      </w:pPr>
      <w:r>
        <w:rPr>
          <w:rFonts w:ascii="Arial" w:hAnsi="Arial" w:cs="Arial"/>
          <w:sz w:val="28"/>
          <w:szCs w:val="28"/>
        </w:rPr>
        <w:t xml:space="preserve">I acknowledge the use of Chat GBT </w:t>
      </w:r>
      <w:r w:rsidRPr="006F0E8E">
        <w:rPr>
          <w:rFonts w:ascii="Arial" w:hAnsi="Arial" w:cs="Arial"/>
          <w:sz w:val="28"/>
          <w:szCs w:val="28"/>
        </w:rPr>
        <w:t>(</w:t>
      </w:r>
      <w:hyperlink r:id="rId8" w:tgtFrame="_new" w:history="1">
        <w:r w:rsidRPr="006F0E8E">
          <w:rPr>
            <w:rStyle w:val="Hyperlink"/>
            <w:rFonts w:ascii="Arial" w:hAnsi="Arial" w:cs="Arial"/>
            <w:sz w:val="28"/>
            <w:szCs w:val="28"/>
          </w:rPr>
          <w:t>https://chat.openai.com/</w:t>
        </w:r>
      </w:hyperlink>
      <w:r>
        <w:rPr>
          <w:rFonts w:ascii="Arial" w:hAnsi="Arial" w:cs="Arial"/>
          <w:sz w:val="28"/>
          <w:szCs w:val="28"/>
        </w:rPr>
        <w:t>) on 20 February</w:t>
      </w:r>
      <w:r w:rsidR="00427BF5">
        <w:rPr>
          <w:rFonts w:ascii="Arial" w:hAnsi="Arial" w:cs="Arial"/>
          <w:sz w:val="28"/>
          <w:szCs w:val="28"/>
        </w:rPr>
        <w:t xml:space="preserve"> 2026 to create an image using the following prompt:</w:t>
      </w:r>
    </w:p>
    <w:p w14:paraId="79F8E50F" w14:textId="48144209" w:rsidR="00427BF5" w:rsidRDefault="008A3C73" w:rsidP="00427BF5">
      <w:pPr>
        <w:pStyle w:val="ListParagraph"/>
        <w:numPr>
          <w:ilvl w:val="0"/>
          <w:numId w:val="3"/>
        </w:numPr>
        <w:rPr>
          <w:rFonts w:ascii="Arial" w:hAnsi="Arial" w:cs="Arial"/>
          <w:sz w:val="28"/>
          <w:szCs w:val="28"/>
        </w:rPr>
      </w:pPr>
      <w:r>
        <w:rPr>
          <w:rFonts w:ascii="Arial" w:hAnsi="Arial" w:cs="Arial"/>
          <w:sz w:val="28"/>
          <w:szCs w:val="28"/>
        </w:rPr>
        <w:t>Create me a logo for my business idea ChildLink Cymru</w:t>
      </w:r>
      <w:r w:rsidR="00727416">
        <w:rPr>
          <w:rFonts w:ascii="Arial" w:hAnsi="Arial" w:cs="Arial"/>
          <w:sz w:val="28"/>
          <w:szCs w:val="28"/>
        </w:rPr>
        <w:t>.</w:t>
      </w:r>
    </w:p>
    <w:p w14:paraId="11E093A4" w14:textId="77777777" w:rsidR="00727416" w:rsidRDefault="00727416" w:rsidP="00727416">
      <w:pPr>
        <w:rPr>
          <w:rFonts w:ascii="Arial" w:hAnsi="Arial" w:cs="Arial"/>
          <w:sz w:val="28"/>
          <w:szCs w:val="28"/>
        </w:rPr>
      </w:pPr>
      <w:r w:rsidRPr="006C2C7C">
        <w:rPr>
          <w:rFonts w:ascii="Arial" w:hAnsi="Arial" w:cs="Arial"/>
          <w:sz w:val="28"/>
          <w:szCs w:val="28"/>
        </w:rPr>
        <w:t xml:space="preserve">I confirm that I have not presented any AI-generated text as my work. I confirm I have copies of my drafts and notes before the use of AI tools. </w:t>
      </w:r>
    </w:p>
    <w:p w14:paraId="0E286126" w14:textId="77777777" w:rsidR="00096015" w:rsidRDefault="00096015" w:rsidP="00727416">
      <w:pPr>
        <w:rPr>
          <w:rFonts w:ascii="Arial" w:hAnsi="Arial" w:cs="Arial"/>
          <w:sz w:val="28"/>
          <w:szCs w:val="28"/>
        </w:rPr>
      </w:pPr>
    </w:p>
    <w:p w14:paraId="7B9EED16" w14:textId="00F1E943" w:rsidR="00096015" w:rsidRDefault="00501136" w:rsidP="00501136">
      <w:pPr>
        <w:pStyle w:val="ListParagraph"/>
        <w:numPr>
          <w:ilvl w:val="0"/>
          <w:numId w:val="4"/>
        </w:numPr>
        <w:rPr>
          <w:rFonts w:ascii="Arial" w:hAnsi="Arial" w:cs="Arial"/>
          <w:b/>
          <w:bCs/>
          <w:sz w:val="28"/>
          <w:szCs w:val="28"/>
        </w:rPr>
      </w:pPr>
      <w:r>
        <w:rPr>
          <w:rFonts w:ascii="Arial" w:hAnsi="Arial" w:cs="Arial"/>
          <w:b/>
          <w:bCs/>
          <w:sz w:val="28"/>
          <w:szCs w:val="28"/>
        </w:rPr>
        <w:t>Business Plan:</w:t>
      </w:r>
    </w:p>
    <w:p w14:paraId="7F32ABF3" w14:textId="267468D5" w:rsidR="00501136" w:rsidRPr="00501136" w:rsidRDefault="00501136" w:rsidP="00501136">
      <w:pPr>
        <w:rPr>
          <w:rFonts w:ascii="Arial" w:hAnsi="Arial" w:cs="Arial"/>
          <w:b/>
          <w:bCs/>
          <w:sz w:val="28"/>
          <w:szCs w:val="28"/>
        </w:rPr>
      </w:pPr>
      <w:r>
        <w:rPr>
          <w:rFonts w:ascii="Arial" w:hAnsi="Arial" w:cs="Arial"/>
          <w:b/>
          <w:bCs/>
          <w:noProof/>
          <w:sz w:val="28"/>
          <w:szCs w:val="28"/>
        </w:rPr>
        <w:lastRenderedPageBreak/>
        <w:drawing>
          <wp:inline distT="0" distB="0" distL="0" distR="0" wp14:anchorId="5AE68782" wp14:editId="5A8D2FF2">
            <wp:extent cx="5731510" cy="4057650"/>
            <wp:effectExtent l="0" t="0" r="2540" b="0"/>
            <wp:docPr id="1365575355" name="Picture 1" descr="A logo of a child link cymr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75355" name="Picture 1" descr="A logo of a child link cymru&#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057650"/>
                    </a:xfrm>
                    <a:prstGeom prst="rect">
                      <a:avLst/>
                    </a:prstGeom>
                  </pic:spPr>
                </pic:pic>
              </a:graphicData>
            </a:graphic>
          </wp:inline>
        </w:drawing>
      </w:r>
    </w:p>
    <w:p w14:paraId="40803791" w14:textId="77777777" w:rsidR="00727416" w:rsidRPr="00727416" w:rsidRDefault="00727416" w:rsidP="00727416">
      <w:pPr>
        <w:rPr>
          <w:rFonts w:ascii="Arial" w:hAnsi="Arial" w:cs="Arial"/>
          <w:sz w:val="28"/>
          <w:szCs w:val="28"/>
        </w:rPr>
      </w:pPr>
    </w:p>
    <w:p w14:paraId="5322F73A" w14:textId="1DD36D04" w:rsidR="00727416" w:rsidRDefault="00742F76" w:rsidP="00727416">
      <w:pPr>
        <w:rPr>
          <w:rFonts w:ascii="Arial" w:hAnsi="Arial" w:cs="Arial"/>
          <w:sz w:val="28"/>
          <w:szCs w:val="28"/>
        </w:rPr>
      </w:pPr>
      <w:r>
        <w:rPr>
          <w:rFonts w:ascii="Arial" w:hAnsi="Arial" w:cs="Arial"/>
          <w:noProof/>
          <w:sz w:val="28"/>
          <w:szCs w:val="28"/>
        </w:rPr>
        <w:drawing>
          <wp:inline distT="0" distB="0" distL="0" distR="0" wp14:anchorId="5309E853" wp14:editId="2EAA1978">
            <wp:extent cx="5731510" cy="4081780"/>
            <wp:effectExtent l="0" t="0" r="2540" b="0"/>
            <wp:docPr id="724151684"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51684" name="Picture 2" descr="A screenshot of a websit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081780"/>
                    </a:xfrm>
                    <a:prstGeom prst="rect">
                      <a:avLst/>
                    </a:prstGeom>
                  </pic:spPr>
                </pic:pic>
              </a:graphicData>
            </a:graphic>
          </wp:inline>
        </w:drawing>
      </w:r>
    </w:p>
    <w:p w14:paraId="51D9E16E" w14:textId="54A169B7" w:rsidR="00742F76" w:rsidRDefault="00742F76" w:rsidP="00727416">
      <w:pPr>
        <w:rPr>
          <w:rFonts w:ascii="Arial" w:hAnsi="Arial" w:cs="Arial"/>
          <w:b/>
          <w:bCs/>
          <w:sz w:val="40"/>
          <w:szCs w:val="40"/>
        </w:rPr>
      </w:pPr>
      <w:r>
        <w:rPr>
          <w:rFonts w:ascii="Arial" w:hAnsi="Arial" w:cs="Arial"/>
          <w:noProof/>
          <w:sz w:val="28"/>
          <w:szCs w:val="28"/>
        </w:rPr>
        <w:lastRenderedPageBreak/>
        <w:drawing>
          <wp:inline distT="0" distB="0" distL="0" distR="0" wp14:anchorId="1CB2AA66" wp14:editId="4F61652D">
            <wp:extent cx="5731510" cy="4090670"/>
            <wp:effectExtent l="0" t="0" r="2540" b="5080"/>
            <wp:docPr id="183735964" name="Picture 3"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5964" name="Picture 3" descr="A screenshot of a dia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4090670"/>
                    </a:xfrm>
                    <a:prstGeom prst="rect">
                      <a:avLst/>
                    </a:prstGeom>
                  </pic:spPr>
                </pic:pic>
              </a:graphicData>
            </a:graphic>
          </wp:inline>
        </w:drawing>
      </w:r>
    </w:p>
    <w:p w14:paraId="0931DEC1" w14:textId="77777777" w:rsidR="0073460E" w:rsidRDefault="0073460E" w:rsidP="0073460E">
      <w:pPr>
        <w:rPr>
          <w:rFonts w:ascii="Arial" w:hAnsi="Arial" w:cs="Arial"/>
          <w:sz w:val="28"/>
          <w:szCs w:val="28"/>
        </w:rPr>
      </w:pPr>
    </w:p>
    <w:p w14:paraId="7A36EF80" w14:textId="0EBD451C" w:rsidR="0073460E" w:rsidRDefault="0073460E" w:rsidP="0073460E">
      <w:pPr>
        <w:rPr>
          <w:rFonts w:ascii="Arial" w:hAnsi="Arial" w:cs="Arial"/>
          <w:sz w:val="28"/>
          <w:szCs w:val="28"/>
        </w:rPr>
      </w:pPr>
      <w:r>
        <w:rPr>
          <w:rFonts w:ascii="Arial" w:hAnsi="Arial" w:cs="Arial"/>
          <w:noProof/>
          <w:sz w:val="28"/>
          <w:szCs w:val="28"/>
        </w:rPr>
        <w:drawing>
          <wp:inline distT="0" distB="0" distL="0" distR="0" wp14:anchorId="0E10FF91" wp14:editId="24AE7A95">
            <wp:extent cx="5731510" cy="4036695"/>
            <wp:effectExtent l="0" t="0" r="2540" b="1905"/>
            <wp:docPr id="87196124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61246" name="Picture 5"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036695"/>
                    </a:xfrm>
                    <a:prstGeom prst="rect">
                      <a:avLst/>
                    </a:prstGeom>
                  </pic:spPr>
                </pic:pic>
              </a:graphicData>
            </a:graphic>
          </wp:inline>
        </w:drawing>
      </w:r>
    </w:p>
    <w:p w14:paraId="2DD86ECF" w14:textId="21CAEE17" w:rsidR="0073460E" w:rsidRDefault="0073460E" w:rsidP="0073460E">
      <w:pPr>
        <w:rPr>
          <w:rFonts w:ascii="Arial" w:hAnsi="Arial" w:cs="Arial"/>
          <w:noProof/>
          <w:sz w:val="28"/>
          <w:szCs w:val="28"/>
        </w:rPr>
      </w:pPr>
      <w:r>
        <w:rPr>
          <w:rFonts w:ascii="Arial" w:hAnsi="Arial" w:cs="Arial"/>
          <w:noProof/>
          <w:sz w:val="28"/>
          <w:szCs w:val="28"/>
        </w:rPr>
        <w:lastRenderedPageBreak/>
        <w:drawing>
          <wp:inline distT="0" distB="0" distL="0" distR="0" wp14:anchorId="011C9F0F" wp14:editId="0BFD648D">
            <wp:extent cx="5731510" cy="4103370"/>
            <wp:effectExtent l="0" t="0" r="2540" b="0"/>
            <wp:docPr id="1177211585" name="Picture 6" descr="A diagram of market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211585" name="Picture 6" descr="A diagram of marketing strateg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4103370"/>
                    </a:xfrm>
                    <a:prstGeom prst="rect">
                      <a:avLst/>
                    </a:prstGeom>
                  </pic:spPr>
                </pic:pic>
              </a:graphicData>
            </a:graphic>
          </wp:inline>
        </w:drawing>
      </w:r>
    </w:p>
    <w:p w14:paraId="71CE4D1E" w14:textId="21DAC014" w:rsidR="0073460E" w:rsidRDefault="0073460E" w:rsidP="0073460E">
      <w:pPr>
        <w:rPr>
          <w:rFonts w:ascii="Arial" w:hAnsi="Arial" w:cs="Arial"/>
          <w:noProof/>
          <w:sz w:val="28"/>
          <w:szCs w:val="28"/>
        </w:rPr>
      </w:pPr>
      <w:r>
        <w:rPr>
          <w:rFonts w:ascii="Arial" w:hAnsi="Arial" w:cs="Arial"/>
          <w:noProof/>
          <w:sz w:val="28"/>
          <w:szCs w:val="28"/>
        </w:rPr>
        <w:drawing>
          <wp:inline distT="0" distB="0" distL="0" distR="0" wp14:anchorId="6007907C" wp14:editId="646B240E">
            <wp:extent cx="5731510" cy="4015740"/>
            <wp:effectExtent l="0" t="0" r="2540" b="3810"/>
            <wp:docPr id="667668307" name="Picture 7" descr="A diagram of a piggy bank and co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68307" name="Picture 7" descr="A diagram of a piggy bank and coin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4015740"/>
                    </a:xfrm>
                    <a:prstGeom prst="rect">
                      <a:avLst/>
                    </a:prstGeom>
                  </pic:spPr>
                </pic:pic>
              </a:graphicData>
            </a:graphic>
          </wp:inline>
        </w:drawing>
      </w:r>
    </w:p>
    <w:p w14:paraId="5CFC85B6" w14:textId="77777777" w:rsidR="0073460E" w:rsidRDefault="0073460E" w:rsidP="0073460E">
      <w:pPr>
        <w:rPr>
          <w:rFonts w:ascii="Arial" w:hAnsi="Arial" w:cs="Arial"/>
          <w:noProof/>
          <w:sz w:val="28"/>
          <w:szCs w:val="28"/>
        </w:rPr>
      </w:pPr>
    </w:p>
    <w:p w14:paraId="5EBBC98C" w14:textId="0C5947B4" w:rsidR="00D63C22" w:rsidRDefault="00D63C22" w:rsidP="0073460E">
      <w:pPr>
        <w:rPr>
          <w:rFonts w:ascii="Arial" w:hAnsi="Arial" w:cs="Arial"/>
          <w:noProof/>
          <w:sz w:val="28"/>
          <w:szCs w:val="28"/>
        </w:rPr>
      </w:pPr>
      <w:r>
        <w:rPr>
          <w:rFonts w:ascii="Arial" w:hAnsi="Arial" w:cs="Arial"/>
          <w:noProof/>
          <w:sz w:val="28"/>
          <w:szCs w:val="28"/>
        </w:rPr>
        <w:lastRenderedPageBreak/>
        <w:drawing>
          <wp:inline distT="0" distB="0" distL="0" distR="0" wp14:anchorId="582077A4" wp14:editId="26F72564">
            <wp:extent cx="5731510" cy="3999230"/>
            <wp:effectExtent l="0" t="0" r="2540" b="1270"/>
            <wp:docPr id="702247181" name="Picture 9" descr="A blue rectangular box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47181" name="Picture 9" descr="A blue rectangular box with white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999230"/>
                    </a:xfrm>
                    <a:prstGeom prst="rect">
                      <a:avLst/>
                    </a:prstGeom>
                  </pic:spPr>
                </pic:pic>
              </a:graphicData>
            </a:graphic>
          </wp:inline>
        </w:drawing>
      </w:r>
    </w:p>
    <w:p w14:paraId="5BE9845C" w14:textId="77777777" w:rsidR="00165812" w:rsidRDefault="00165812" w:rsidP="0073460E">
      <w:pPr>
        <w:tabs>
          <w:tab w:val="left" w:pos="1875"/>
        </w:tabs>
        <w:rPr>
          <w:rFonts w:ascii="Arial" w:hAnsi="Arial" w:cs="Arial"/>
          <w:sz w:val="28"/>
          <w:szCs w:val="28"/>
        </w:rPr>
      </w:pPr>
      <w:r>
        <w:rPr>
          <w:rFonts w:ascii="Arial" w:hAnsi="Arial" w:cs="Arial"/>
          <w:noProof/>
          <w:sz w:val="28"/>
          <w:szCs w:val="28"/>
        </w:rPr>
        <w:drawing>
          <wp:inline distT="0" distB="0" distL="0" distR="0" wp14:anchorId="589F1F5C" wp14:editId="4C92B1B8">
            <wp:extent cx="5731510" cy="4069715"/>
            <wp:effectExtent l="0" t="0" r="2540" b="6985"/>
            <wp:docPr id="2025746044" name="Picture 10" descr="A blue rectangular box with green arrow pointing to a blue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746044" name="Picture 10" descr="A blue rectangular box with green arrow pointing to a blue rectangl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4069715"/>
                    </a:xfrm>
                    <a:prstGeom prst="rect">
                      <a:avLst/>
                    </a:prstGeom>
                  </pic:spPr>
                </pic:pic>
              </a:graphicData>
            </a:graphic>
          </wp:inline>
        </w:drawing>
      </w:r>
    </w:p>
    <w:p w14:paraId="10FEFFF3" w14:textId="77777777" w:rsidR="00FC0B14" w:rsidRDefault="00FC0B14" w:rsidP="0073460E">
      <w:pPr>
        <w:tabs>
          <w:tab w:val="left" w:pos="1875"/>
        </w:tabs>
        <w:rPr>
          <w:rFonts w:ascii="Arial" w:hAnsi="Arial" w:cs="Arial"/>
          <w:sz w:val="28"/>
          <w:szCs w:val="28"/>
        </w:rPr>
      </w:pPr>
    </w:p>
    <w:p w14:paraId="1BB06523" w14:textId="77777777" w:rsidR="00FC0B14" w:rsidRDefault="00FC0B14" w:rsidP="0073460E">
      <w:pPr>
        <w:tabs>
          <w:tab w:val="left" w:pos="1875"/>
        </w:tabs>
        <w:rPr>
          <w:rFonts w:ascii="Arial" w:hAnsi="Arial" w:cs="Arial"/>
          <w:sz w:val="28"/>
          <w:szCs w:val="28"/>
        </w:rPr>
      </w:pPr>
      <w:r>
        <w:rPr>
          <w:rFonts w:ascii="Arial" w:hAnsi="Arial" w:cs="Arial"/>
          <w:noProof/>
          <w:sz w:val="28"/>
          <w:szCs w:val="28"/>
        </w:rPr>
        <w:lastRenderedPageBreak/>
        <w:drawing>
          <wp:inline distT="0" distB="0" distL="0" distR="0" wp14:anchorId="0912F923" wp14:editId="3E9D8DCA">
            <wp:extent cx="5731510" cy="4102100"/>
            <wp:effectExtent l="0" t="0" r="2540" b="0"/>
            <wp:docPr id="27028177" name="Picture 11" descr="A blue and green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8177" name="Picture 11" descr="A blue and green text on a white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4102100"/>
                    </a:xfrm>
                    <a:prstGeom prst="rect">
                      <a:avLst/>
                    </a:prstGeom>
                  </pic:spPr>
                </pic:pic>
              </a:graphicData>
            </a:graphic>
          </wp:inline>
        </w:drawing>
      </w:r>
    </w:p>
    <w:p w14:paraId="1016741D" w14:textId="77777777" w:rsidR="00FC0B14" w:rsidRPr="00FC0B14" w:rsidRDefault="00FC0B14" w:rsidP="00FC0B14">
      <w:pPr>
        <w:pStyle w:val="ListParagraph"/>
        <w:numPr>
          <w:ilvl w:val="0"/>
          <w:numId w:val="4"/>
        </w:numPr>
        <w:tabs>
          <w:tab w:val="left" w:pos="1875"/>
        </w:tabs>
        <w:rPr>
          <w:rFonts w:ascii="Arial" w:hAnsi="Arial" w:cs="Arial"/>
          <w:sz w:val="28"/>
          <w:szCs w:val="28"/>
        </w:rPr>
      </w:pPr>
      <w:r>
        <w:rPr>
          <w:rFonts w:ascii="Arial" w:hAnsi="Arial" w:cs="Arial"/>
          <w:b/>
          <w:bCs/>
          <w:sz w:val="28"/>
          <w:szCs w:val="28"/>
        </w:rPr>
        <w:t>Critical Analysis:</w:t>
      </w:r>
    </w:p>
    <w:p w14:paraId="0D9C3656" w14:textId="77777777" w:rsidR="007C3185" w:rsidRDefault="007C3185" w:rsidP="00FC0B14">
      <w:pPr>
        <w:tabs>
          <w:tab w:val="left" w:pos="1875"/>
        </w:tabs>
        <w:rPr>
          <w:rFonts w:ascii="Arial" w:hAnsi="Arial" w:cs="Arial"/>
          <w:sz w:val="28"/>
          <w:szCs w:val="28"/>
        </w:rPr>
      </w:pPr>
    </w:p>
    <w:p w14:paraId="10B44E24" w14:textId="77777777" w:rsidR="00A366A4" w:rsidRPr="00680349" w:rsidRDefault="00A366A4" w:rsidP="00A366A4">
      <w:pPr>
        <w:rPr>
          <w:rFonts w:ascii="Arial" w:hAnsi="Arial" w:cs="Arial"/>
          <w:sz w:val="24"/>
          <w:szCs w:val="24"/>
        </w:rPr>
      </w:pPr>
      <w:r w:rsidRPr="00680349">
        <w:rPr>
          <w:rFonts w:ascii="Arial" w:hAnsi="Arial" w:cs="Arial"/>
          <w:b/>
          <w:bCs/>
          <w:sz w:val="24"/>
          <w:szCs w:val="24"/>
        </w:rPr>
        <w:t>Critical Analysis of the Potential Impact of ChildLink Cymru on the Development of Looked-After Children in Wales.</w:t>
      </w:r>
    </w:p>
    <w:p w14:paraId="70267AFD" w14:textId="77777777" w:rsidR="00A366A4" w:rsidRPr="00680349" w:rsidRDefault="00A366A4" w:rsidP="00A366A4">
      <w:pPr>
        <w:rPr>
          <w:rFonts w:ascii="Arial" w:hAnsi="Arial" w:cs="Arial"/>
          <w:sz w:val="24"/>
          <w:szCs w:val="24"/>
        </w:rPr>
      </w:pPr>
      <w:r w:rsidRPr="00680349">
        <w:rPr>
          <w:rFonts w:ascii="Arial" w:hAnsi="Arial" w:cs="Arial"/>
          <w:sz w:val="24"/>
          <w:szCs w:val="24"/>
        </w:rPr>
        <w:t xml:space="preserve">The development, safety, and identity of looked-after children in Wales are ongoing concerns for public policy and practice. As of 31 March 2024, 7,198 children were in care, showing a steady rise over the past decade (Welsh Government, 2025). Placement instability remains an issue, with 8.6% of children experiencing three or more moves in a year. This instability is linked to problems with continuity, belonging, and long-term outcomes. Research by Mendis </w:t>
      </w:r>
      <w:r w:rsidRPr="00680349">
        <w:rPr>
          <w:rFonts w:ascii="Arial" w:hAnsi="Arial" w:cs="Arial"/>
          <w:i/>
          <w:iCs/>
          <w:sz w:val="24"/>
          <w:szCs w:val="24"/>
        </w:rPr>
        <w:t>et al</w:t>
      </w:r>
      <w:r w:rsidRPr="00680349">
        <w:rPr>
          <w:rFonts w:ascii="Arial" w:hAnsi="Arial" w:cs="Arial"/>
          <w:sz w:val="24"/>
          <w:szCs w:val="24"/>
        </w:rPr>
        <w:t>. (2011) shows that instability can weaken a child’s sense of permanence, and studies on adoption disruption also connect relational breaks to emotional and behavioural challenges (Wijedasa and Selwyn, 2017). Inspections by Healthcare Inspectorate Wales and Care Inspectorate Wales point to fragmented IT systems and slow multi-agency communication as key barriers to effective safeguarding (Healthcare Inspectorate Wales, 2024; Care Inspectorate Wales, 2023). In response, ChildLink Cymru is a secure digital platform that brings together statutory safeguarding records and participatory life story work. This analysis looks at the platform’s developmental potential, linking it to early years theory, Welsh policy, and current research.</w:t>
      </w:r>
    </w:p>
    <w:p w14:paraId="0F4939CB" w14:textId="77777777" w:rsidR="00A366A4" w:rsidRPr="00680349" w:rsidRDefault="00A366A4" w:rsidP="00A366A4">
      <w:pPr>
        <w:rPr>
          <w:rFonts w:ascii="Arial" w:hAnsi="Arial" w:cs="Arial"/>
          <w:sz w:val="24"/>
          <w:szCs w:val="24"/>
        </w:rPr>
      </w:pPr>
      <w:r w:rsidRPr="00680349">
        <w:rPr>
          <w:rFonts w:ascii="Arial" w:hAnsi="Arial" w:cs="Arial"/>
          <w:sz w:val="24"/>
          <w:szCs w:val="24"/>
        </w:rPr>
        <w:lastRenderedPageBreak/>
        <w:t xml:space="preserve">Narrative identity and life story work are important for children’s social and emotional development, especially for those who have experienced disrupted care. Research on autobiographical memory and narrative development shows that building and revisiting personal stories helps children understand their emotions, create coherence, and support well-being (Fivush, 2019; McLean </w:t>
      </w:r>
      <w:r w:rsidRPr="00680349">
        <w:rPr>
          <w:rFonts w:ascii="Arial" w:hAnsi="Arial" w:cs="Arial"/>
          <w:i/>
          <w:iCs/>
          <w:sz w:val="24"/>
          <w:szCs w:val="24"/>
        </w:rPr>
        <w:t>et al</w:t>
      </w:r>
      <w:r w:rsidRPr="00680349">
        <w:rPr>
          <w:rFonts w:ascii="Arial" w:hAnsi="Arial" w:cs="Arial"/>
          <w:sz w:val="24"/>
          <w:szCs w:val="24"/>
        </w:rPr>
        <w:t>., 2007; Reese, 2025). This is particularly important for looked-after children, whose histories may be scattered across different placements and professionals. Including participatory life story work in safeguarding systems can help maintain a sense of identity during transitions. Early years practitioners, such as nursery and reception staff, can support narrative development through guided conversations, story-based play, and digital storytelling tailored to young children. These activities are especially effective in the early years, when children are learning to communicate and make sense of their experiences through play and storytelling. Research also shows that technology can help children express themselves and reflect, provided it is used in supportive relationships (Livingstone and Blum-Ross, 2020).</w:t>
      </w:r>
    </w:p>
    <w:p w14:paraId="073ADA38" w14:textId="77777777" w:rsidR="00A366A4" w:rsidRPr="00680349" w:rsidRDefault="00A366A4" w:rsidP="00A366A4">
      <w:pPr>
        <w:rPr>
          <w:rFonts w:ascii="Arial" w:hAnsi="Arial" w:cs="Arial"/>
          <w:sz w:val="24"/>
          <w:szCs w:val="24"/>
        </w:rPr>
      </w:pPr>
      <w:r w:rsidRPr="00680349">
        <w:rPr>
          <w:rFonts w:ascii="Arial" w:hAnsi="Arial" w:cs="Arial"/>
          <w:sz w:val="24"/>
          <w:szCs w:val="24"/>
        </w:rPr>
        <w:t xml:space="preserve">Attachment theory offers another way to assess ChildLink Cymru. Bowlby’s research shows that secure attachments are key for social, emotional, and cognitive development (Bowlby, 1969). Studies on attachment disorders reveal that early disruptions in relationships can lead to emotional and behavioural problems (Zeanah and Gleason, 2015). Looked-after children are especially vulnerable to these issues, particularly when they experience frequent placement changes (Mendis </w:t>
      </w:r>
      <w:r w:rsidRPr="00680349">
        <w:rPr>
          <w:rFonts w:ascii="Arial" w:hAnsi="Arial" w:cs="Arial"/>
          <w:i/>
          <w:iCs/>
          <w:sz w:val="24"/>
          <w:szCs w:val="24"/>
        </w:rPr>
        <w:t>et al</w:t>
      </w:r>
      <w:r w:rsidRPr="00680349">
        <w:rPr>
          <w:rFonts w:ascii="Arial" w:hAnsi="Arial" w:cs="Arial"/>
          <w:sz w:val="24"/>
          <w:szCs w:val="24"/>
        </w:rPr>
        <w:t xml:space="preserve">., 2011; Wijedasa and Selwyn, 2017). ChildLink Cymru can help by giving consistent access to personal histories and making it easier for foster carers, social workers, and educators to communicate. For young children, having practitioners who can access accurate, up-to-date information may lower anxiety and facilitate smoother transitions. Still, technology cannot replace caring, responsive relationships. Early years practitioners need to use digital narrative tools as part of a relationship-based approach to support secure attachments and healthy development (Fivush, 2019; McLean </w:t>
      </w:r>
      <w:r w:rsidRPr="00680349">
        <w:rPr>
          <w:rFonts w:ascii="Arial" w:hAnsi="Arial" w:cs="Arial"/>
          <w:i/>
          <w:iCs/>
          <w:sz w:val="24"/>
          <w:szCs w:val="24"/>
        </w:rPr>
        <w:t>et al</w:t>
      </w:r>
      <w:r w:rsidRPr="00680349">
        <w:rPr>
          <w:rFonts w:ascii="Arial" w:hAnsi="Arial" w:cs="Arial"/>
          <w:sz w:val="24"/>
          <w:szCs w:val="24"/>
        </w:rPr>
        <w:t>., 2007).</w:t>
      </w:r>
    </w:p>
    <w:p w14:paraId="77D25608" w14:textId="77777777" w:rsidR="00A366A4" w:rsidRPr="00680349" w:rsidRDefault="00A366A4" w:rsidP="00A366A4">
      <w:pPr>
        <w:rPr>
          <w:rFonts w:ascii="Arial" w:hAnsi="Arial" w:cs="Arial"/>
          <w:sz w:val="24"/>
          <w:szCs w:val="24"/>
        </w:rPr>
      </w:pPr>
      <w:r w:rsidRPr="00680349">
        <w:rPr>
          <w:rFonts w:ascii="Arial" w:hAnsi="Arial" w:cs="Arial"/>
          <w:sz w:val="24"/>
          <w:szCs w:val="24"/>
        </w:rPr>
        <w:t>The ecological systems perspective also supports the use of a platform like ChildLink Cymru. Bronfenbrenner’s model explains that child development happens through interactions across different systems (Bronfenbrenner, 1996). For looked-after children, problems in these systems, like fragmented IT, poor information sharing, and slow communication, can make it hard to provide coordinated support (Care Inspectorate Wales, 2023; Healthcare Inspectorate Wales, 2024). ChildLink Cymru helps by centralising information and allowing real-time updates across health, education, and social care. For early years practitioners, especially those in Flying Start or similar programmes, this means they can offer timely, preventive support that aligns with Welsh policy goals (Welsh Government, 2024; Social Care Wales, 2025). Stewart, MacDonald, and Waters-Davies (2024) note that early years services in Wales often struggle to put policy into practice due to limited resources, workforce challenges, and differences across settings. A platform that improves communication and reduces paperwork may help practitioners focus more on building relationships and supporting development.</w:t>
      </w:r>
    </w:p>
    <w:p w14:paraId="5B3B59E1" w14:textId="77777777" w:rsidR="00A366A4" w:rsidRPr="00680349" w:rsidRDefault="00A366A4" w:rsidP="00A366A4">
      <w:pPr>
        <w:rPr>
          <w:rFonts w:ascii="Arial" w:hAnsi="Arial" w:cs="Arial"/>
          <w:sz w:val="24"/>
          <w:szCs w:val="24"/>
        </w:rPr>
      </w:pPr>
      <w:r w:rsidRPr="00680349">
        <w:rPr>
          <w:rFonts w:ascii="Arial" w:hAnsi="Arial" w:cs="Arial"/>
          <w:sz w:val="24"/>
          <w:szCs w:val="24"/>
        </w:rPr>
        <w:lastRenderedPageBreak/>
        <w:t xml:space="preserve">Legislative and policy alignment further underscores the platform’s potential. The Rights of Children and Young Persons (Wales) Measure, and Related Legislation and policy, also highlight the platform’s potential. The Rights of Children and Young Persons (Wales) Measure 2011 brings the UNCRC into Welsh law and stresses children’s right to participate in decisions about their lives (Welsh Government, 2024). ChildLink Cymru puts these ideas into practice by letting children add to their own life stories, which supports their agency and self-expression. Social Care Wales’ digital and workforce plans focus on working together and promoting wellbeing, showing the value of digital tools for multi-agency work (Social Care Wales, 2025). For early years practitioners, this fits with child-centred approaches that respect children’s voices and experiences. Stewart </w:t>
      </w:r>
      <w:r w:rsidRPr="00680349">
        <w:rPr>
          <w:rFonts w:ascii="Arial" w:hAnsi="Arial" w:cs="Arial"/>
          <w:i/>
          <w:iCs/>
          <w:sz w:val="24"/>
          <w:szCs w:val="24"/>
        </w:rPr>
        <w:t>et a</w:t>
      </w:r>
      <w:r w:rsidRPr="00680349">
        <w:rPr>
          <w:rFonts w:ascii="Arial" w:hAnsi="Arial" w:cs="Arial"/>
          <w:sz w:val="24"/>
          <w:szCs w:val="24"/>
        </w:rPr>
        <w:t xml:space="preserve">l. (2024) point out that, while Welsh early years policy values children’s rights and holistic development, it can be hard for practitioners to apply these principles consistently. ChildLink Cymru could help by making children’s perspectives a regular part of professional systems.ales and the Early Childhood Play, Learning and Care Plan emphasise wellbeing, belonging, and the development of personal and social capabilities (Welsh Government, 2024). Narrative work directly supports these aims by fostering self-awareness, social understanding, and emotional regulation (Fivush, 2019; Reese, 2025; McLean </w:t>
      </w:r>
      <w:r w:rsidRPr="00680349">
        <w:rPr>
          <w:rFonts w:ascii="Arial" w:hAnsi="Arial" w:cs="Arial"/>
          <w:i/>
          <w:iCs/>
          <w:sz w:val="24"/>
          <w:szCs w:val="24"/>
        </w:rPr>
        <w:t>et al</w:t>
      </w:r>
      <w:r w:rsidRPr="00680349">
        <w:rPr>
          <w:rFonts w:ascii="Arial" w:hAnsi="Arial" w:cs="Arial"/>
          <w:sz w:val="24"/>
          <w:szCs w:val="24"/>
        </w:rPr>
        <w:t>., 2007). Early years staff can use ChildLink Cymru to scaffold children’s expression, facilitate reflective conversations, and track developmental milestones. Careful implementation ensures digital participation remains age-appropriate, complements relational and play-based learning, and avoids over-reliance on technology (Livingstone and Blum-Ross, 2020; Social Care Wales, 2025). Stewart et al. (2024) argue that early years practitioners often navigate tensions between curriculum expectations and the realities of practice; a tool that supports a holistic understanding of children’s experiences may help practitioners meet curriculum aims more effectively.</w:t>
      </w:r>
    </w:p>
    <w:p w14:paraId="0EF3F903" w14:textId="77777777" w:rsidR="00A366A4" w:rsidRPr="00680349" w:rsidRDefault="00A366A4" w:rsidP="00A366A4">
      <w:pPr>
        <w:rPr>
          <w:rFonts w:ascii="Arial" w:hAnsi="Arial" w:cs="Arial"/>
          <w:sz w:val="24"/>
          <w:szCs w:val="24"/>
        </w:rPr>
      </w:pPr>
      <w:r w:rsidRPr="00680349">
        <w:rPr>
          <w:rFonts w:ascii="Arial" w:hAnsi="Arial" w:cs="Arial"/>
          <w:sz w:val="24"/>
          <w:szCs w:val="24"/>
        </w:rPr>
        <w:t xml:space="preserve">ChildLink Cymru also addresses systemic challenges identified in research on record-keeping. ChildLink Cymru also addresses issues identified in research on record-keeping and identity. Studies show that children and care leavers often have trouble getting complete and clear personal records, which can leave gaps in their sense of identity and understanding (Mendis </w:t>
      </w:r>
      <w:r w:rsidRPr="00680349">
        <w:rPr>
          <w:rFonts w:ascii="Arial" w:hAnsi="Arial" w:cs="Arial"/>
          <w:i/>
          <w:iCs/>
          <w:sz w:val="24"/>
          <w:szCs w:val="24"/>
        </w:rPr>
        <w:t>et al</w:t>
      </w:r>
      <w:r w:rsidRPr="00680349">
        <w:rPr>
          <w:rFonts w:ascii="Arial" w:hAnsi="Arial" w:cs="Arial"/>
          <w:sz w:val="24"/>
          <w:szCs w:val="24"/>
        </w:rPr>
        <w:t xml:space="preserve">., 2011). By adding child-created content to official records, the platform makes documentation more personal and helps maintain continuity across placements. There are still ethical issues to consider, such as consent, how long data is kept, and the changing nature of children’s stories. Following UK GDPR and the Data Protection Act 2018 is crucial, but it is also important to have child-focused consent processes and participatory governance to protect autonomy and sensitive information (Livingstone and Blum-Ross, 2020; Social Care Wales, 2025). Early years practitioners need training to handle digital contributions carefully, ensuring children’s voices are included without risking their safety or wellbeing, and social care demonstrates that co-design, training, and organisational alignment are critical to successful adoption (Greenhalgh </w:t>
      </w:r>
      <w:r w:rsidRPr="00680349">
        <w:rPr>
          <w:rFonts w:ascii="Arial" w:hAnsi="Arial" w:cs="Arial"/>
          <w:i/>
          <w:iCs/>
          <w:sz w:val="24"/>
          <w:szCs w:val="24"/>
        </w:rPr>
        <w:t>et al</w:t>
      </w:r>
      <w:r w:rsidRPr="00680349">
        <w:rPr>
          <w:rFonts w:ascii="Arial" w:hAnsi="Arial" w:cs="Arial"/>
          <w:sz w:val="24"/>
          <w:szCs w:val="24"/>
        </w:rPr>
        <w:t xml:space="preserve">., 2017). Variability in digital literacy across the Welsh early years and social care workforce represents a potential barrier (Social Care Wales, 2025). ChildLink Cymru’s phased rollout, pilot programmes, and professional development workshops </w:t>
      </w:r>
      <w:r w:rsidRPr="00680349">
        <w:rPr>
          <w:rFonts w:ascii="Arial" w:hAnsi="Arial" w:cs="Arial"/>
          <w:sz w:val="24"/>
          <w:szCs w:val="24"/>
        </w:rPr>
        <w:lastRenderedPageBreak/>
        <w:t>reflect best practice in implementation, while ongoing evaluation is necessary to ensure both practitioner adoption and developmental benefits for children. Financial sustainability is linked to evidence of improved placement stability, enhanced practitioner communication, and measurable well-being outcomes, highlighting the interplay between operational and developmental success.</w:t>
      </w:r>
    </w:p>
    <w:p w14:paraId="40A4ADA0" w14:textId="77777777" w:rsidR="00A366A4" w:rsidRDefault="00A366A4" w:rsidP="00A366A4">
      <w:pPr>
        <w:rPr>
          <w:rFonts w:ascii="Arial" w:hAnsi="Arial" w:cs="Arial"/>
          <w:sz w:val="24"/>
          <w:szCs w:val="24"/>
        </w:rPr>
      </w:pPr>
      <w:r w:rsidRPr="00680349">
        <w:rPr>
          <w:rFonts w:ascii="Arial" w:hAnsi="Arial" w:cs="Arial"/>
          <w:sz w:val="24"/>
          <w:szCs w:val="24"/>
        </w:rPr>
        <w:t>Considering scale and future potential, ChildLink Cymru aligns with strategic Welsh objectives for digital innovation, workforce development, and early intervention (Social Care Wales, 2025; Welsh Government, 2024). While initially designed for small-scale implementatioLooking at scale and future potential, ChildLink Cymru fits with Welsh goals for digital innovation, workforce development, and early intervention (Social Care Wales, 2025; Welsh Government, 2024). Although it started as a small-scale project in selected local authorities, the platform could be used across Wales if it proves to improve attachment, emotional resilience, and early learning outcomes. Future research should use long-term, mixed-method studies to measure its impact on development, especially in early years learning, social skills, and identity. This research will help determine whether the platform can be expanded and incorporated into broader Welsh early childhood and safeguarding systems. The rationale underpinning the platform, and alignment with Welsh legislation and policy strengthens its credibility (Bowlby, 2005; Fivush, 2019; Social Care Wales, 2025). The platform has clear potential to support early years practice by promoting identity formation, emotional regulation, and multi-agency collaboration. Its impact, however, depends on trauma-informed implementation, professional development, ethical data governance, and sustained funding. With careful evaluation and strategic rollout, ChildLink Cymru offers an evidence-informed, child-centred approach that can enhance outcomes for looked-after children across Wales.</w:t>
      </w:r>
    </w:p>
    <w:p w14:paraId="30C20B7D" w14:textId="77777777" w:rsidR="00A366A4" w:rsidRDefault="00A366A4" w:rsidP="00A366A4">
      <w:pPr>
        <w:rPr>
          <w:rFonts w:ascii="Arial" w:hAnsi="Arial" w:cs="Arial"/>
          <w:sz w:val="24"/>
          <w:szCs w:val="24"/>
        </w:rPr>
      </w:pPr>
    </w:p>
    <w:p w14:paraId="63B45D9A" w14:textId="6831E662" w:rsidR="00A366A4" w:rsidRDefault="00A366A4" w:rsidP="00A366A4">
      <w:pPr>
        <w:pStyle w:val="ListParagraph"/>
        <w:numPr>
          <w:ilvl w:val="0"/>
          <w:numId w:val="4"/>
        </w:numPr>
        <w:rPr>
          <w:rFonts w:ascii="Arial" w:hAnsi="Arial" w:cs="Arial"/>
          <w:b/>
          <w:bCs/>
          <w:sz w:val="28"/>
          <w:szCs w:val="28"/>
        </w:rPr>
      </w:pPr>
      <w:r>
        <w:rPr>
          <w:rFonts w:ascii="Arial" w:hAnsi="Arial" w:cs="Arial"/>
          <w:b/>
          <w:bCs/>
          <w:sz w:val="28"/>
          <w:szCs w:val="28"/>
        </w:rPr>
        <w:t>References:</w:t>
      </w:r>
    </w:p>
    <w:p w14:paraId="231D5D04" w14:textId="77777777" w:rsidR="0017144D" w:rsidRDefault="0017144D" w:rsidP="00A366A4">
      <w:pPr>
        <w:rPr>
          <w:rFonts w:ascii="Arial" w:hAnsi="Arial" w:cs="Arial"/>
          <w:b/>
          <w:bCs/>
          <w:sz w:val="28"/>
          <w:szCs w:val="28"/>
        </w:rPr>
      </w:pPr>
    </w:p>
    <w:p w14:paraId="1A3EEEC2"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ACE Hub Wales (2022) </w:t>
      </w:r>
      <w:r w:rsidRPr="00B06F58">
        <w:rPr>
          <w:rFonts w:ascii="Arial" w:hAnsi="Arial" w:cs="Arial"/>
          <w:i/>
          <w:iCs/>
          <w:sz w:val="24"/>
          <w:szCs w:val="24"/>
        </w:rPr>
        <w:t xml:space="preserve">Trauma-Informed Wales: A Societal Approach to Understanding, Preventing and Supporting the Impacts of Trauma and Adversity. </w:t>
      </w:r>
      <w:r w:rsidRPr="00B06F58">
        <w:rPr>
          <w:rFonts w:ascii="Arial" w:hAnsi="Arial" w:cs="Arial"/>
          <w:sz w:val="24"/>
          <w:szCs w:val="24"/>
        </w:rPr>
        <w:t xml:space="preserve">Available at: </w:t>
      </w:r>
      <w:hyperlink r:id="rId18" w:history="1">
        <w:r w:rsidRPr="00B06F58">
          <w:rPr>
            <w:rStyle w:val="Hyperlink"/>
            <w:rFonts w:ascii="Arial" w:hAnsi="Arial" w:cs="Arial"/>
            <w:sz w:val="24"/>
            <w:szCs w:val="24"/>
          </w:rPr>
          <w:t>https://traumaframeworkcymru.com/wp-content/uploads/2022/07/Trauma-Informed-Wales-Framework.pdf</w:t>
        </w:r>
      </w:hyperlink>
      <w:r w:rsidRPr="00B06F58">
        <w:rPr>
          <w:rFonts w:ascii="Arial" w:hAnsi="Arial" w:cs="Arial"/>
          <w:sz w:val="24"/>
          <w:szCs w:val="24"/>
        </w:rPr>
        <w:t xml:space="preserve"> (Accessed: 20 February 2026).</w:t>
      </w:r>
    </w:p>
    <w:p w14:paraId="7B5A4910"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Afa Fostering (2019) </w:t>
      </w:r>
      <w:r w:rsidRPr="00B06F58">
        <w:rPr>
          <w:rFonts w:ascii="Arial" w:hAnsi="Arial" w:cs="Arial"/>
          <w:i/>
          <w:iCs/>
          <w:sz w:val="24"/>
          <w:szCs w:val="24"/>
        </w:rPr>
        <w:t xml:space="preserve">Why Are Case Records and Logs So Important to Young People? </w:t>
      </w:r>
      <w:r w:rsidRPr="00B06F58">
        <w:rPr>
          <w:rFonts w:ascii="Arial" w:hAnsi="Arial" w:cs="Arial"/>
          <w:sz w:val="24"/>
          <w:szCs w:val="24"/>
        </w:rPr>
        <w:t xml:space="preserve">Available at: </w:t>
      </w:r>
      <w:hyperlink r:id="rId19" w:anchor=":~:text=One%20young%20woman%2C%20faced%20with,create%20a%20cohesive%20back%20story" w:history="1">
        <w:r w:rsidRPr="00B06F58">
          <w:rPr>
            <w:rStyle w:val="Hyperlink"/>
            <w:rFonts w:ascii="Arial" w:hAnsi="Arial" w:cs="Arial"/>
            <w:sz w:val="24"/>
            <w:szCs w:val="24"/>
          </w:rPr>
          <w:t>https://afafostering.com/why-are-case-records-and-logs-so-important-to-young-people/#:~:text=One%20young%20woman%2C%20faced%20with,create%20a%20cohesive%20back%20story</w:t>
        </w:r>
      </w:hyperlink>
      <w:r w:rsidRPr="00B06F58">
        <w:rPr>
          <w:rFonts w:ascii="Arial" w:hAnsi="Arial" w:cs="Arial"/>
          <w:sz w:val="24"/>
          <w:szCs w:val="24"/>
        </w:rPr>
        <w:t>. (Accessed: 21 February 2026).</w:t>
      </w:r>
    </w:p>
    <w:p w14:paraId="51B1DAAE"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Alderson, H. </w:t>
      </w:r>
      <w:r w:rsidRPr="00B06F58">
        <w:rPr>
          <w:rFonts w:ascii="Arial" w:hAnsi="Arial" w:cs="Arial"/>
          <w:i/>
          <w:iCs/>
          <w:sz w:val="24"/>
          <w:szCs w:val="24"/>
        </w:rPr>
        <w:t>et al.</w:t>
      </w:r>
      <w:r w:rsidRPr="00B06F58">
        <w:rPr>
          <w:rFonts w:ascii="Arial" w:hAnsi="Arial" w:cs="Arial"/>
          <w:sz w:val="24"/>
          <w:szCs w:val="24"/>
        </w:rPr>
        <w:t xml:space="preserve"> (2023) “Moving from ‘what we know works’ to ‘what we do in practice’: An evidence overview of implementation and diffusion of innovation in transition to adulthood for care experienced young people,” </w:t>
      </w:r>
      <w:r w:rsidRPr="00B06F58">
        <w:rPr>
          <w:rFonts w:ascii="Arial" w:hAnsi="Arial" w:cs="Arial"/>
          <w:i/>
          <w:iCs/>
          <w:sz w:val="24"/>
          <w:szCs w:val="24"/>
        </w:rPr>
        <w:t xml:space="preserve">Child &amp; family social </w:t>
      </w:r>
      <w:r w:rsidRPr="00B06F58">
        <w:rPr>
          <w:rFonts w:ascii="Arial" w:hAnsi="Arial" w:cs="Arial"/>
          <w:i/>
          <w:iCs/>
          <w:sz w:val="24"/>
          <w:szCs w:val="24"/>
        </w:rPr>
        <w:lastRenderedPageBreak/>
        <w:t>work</w:t>
      </w:r>
      <w:r w:rsidRPr="00B06F58">
        <w:rPr>
          <w:rFonts w:ascii="Arial" w:hAnsi="Arial" w:cs="Arial"/>
          <w:sz w:val="24"/>
          <w:szCs w:val="24"/>
        </w:rPr>
        <w:t xml:space="preserve">, 28(3), pp. 869–896. Available at: </w:t>
      </w:r>
      <w:hyperlink r:id="rId20" w:history="1">
        <w:r w:rsidRPr="00B06F58">
          <w:rPr>
            <w:rStyle w:val="Hyperlink"/>
            <w:rFonts w:ascii="Arial" w:hAnsi="Arial" w:cs="Arial"/>
            <w:sz w:val="24"/>
            <w:szCs w:val="24"/>
          </w:rPr>
          <w:t>https://doi.org/10.1111/cfs.12998</w:t>
        </w:r>
      </w:hyperlink>
      <w:r w:rsidRPr="00B06F58">
        <w:rPr>
          <w:rFonts w:ascii="Arial" w:hAnsi="Arial" w:cs="Arial"/>
          <w:sz w:val="24"/>
          <w:szCs w:val="24"/>
        </w:rPr>
        <w:t xml:space="preserve">. </w:t>
      </w:r>
      <w:r>
        <w:rPr>
          <w:rFonts w:ascii="Arial" w:hAnsi="Arial" w:cs="Arial"/>
          <w:sz w:val="24"/>
          <w:szCs w:val="24"/>
        </w:rPr>
        <w:t>(Accessed: 21 February 2026).</w:t>
      </w:r>
    </w:p>
    <w:p w14:paraId="2F1F2665" w14:textId="77777777" w:rsidR="0017144D" w:rsidRPr="00B06F58" w:rsidRDefault="0017144D" w:rsidP="0017144D">
      <w:pPr>
        <w:rPr>
          <w:rFonts w:ascii="Arial" w:hAnsi="Arial" w:cs="Arial"/>
          <w:sz w:val="24"/>
          <w:szCs w:val="24"/>
        </w:rPr>
      </w:pPr>
      <w:r w:rsidRPr="00B06F58">
        <w:rPr>
          <w:rFonts w:ascii="Arial" w:hAnsi="Arial" w:cs="Arial"/>
          <w:sz w:val="24"/>
          <w:szCs w:val="24"/>
        </w:rPr>
        <w:t>Behan-Devlin, J. (2024) ‘Digital Technology in Children’s Safeguarding Social Work Practice in the 21</w:t>
      </w:r>
      <w:r w:rsidRPr="00B06F58">
        <w:rPr>
          <w:rFonts w:ascii="Arial" w:hAnsi="Arial" w:cs="Arial"/>
          <w:sz w:val="24"/>
          <w:szCs w:val="24"/>
          <w:vertAlign w:val="superscript"/>
        </w:rPr>
        <w:t>st</w:t>
      </w:r>
      <w:r w:rsidRPr="00B06F58">
        <w:rPr>
          <w:rFonts w:ascii="Arial" w:hAnsi="Arial" w:cs="Arial"/>
          <w:sz w:val="24"/>
          <w:szCs w:val="24"/>
        </w:rPr>
        <w:t xml:space="preserve"> Century: A Scoping Review’. </w:t>
      </w:r>
      <w:r w:rsidRPr="00B06F58">
        <w:rPr>
          <w:rFonts w:ascii="Arial" w:hAnsi="Arial" w:cs="Arial"/>
          <w:i/>
          <w:iCs/>
          <w:sz w:val="24"/>
          <w:szCs w:val="24"/>
        </w:rPr>
        <w:t xml:space="preserve">The British Journal of Social Work, </w:t>
      </w:r>
      <w:r w:rsidRPr="00B06F58">
        <w:rPr>
          <w:rFonts w:ascii="Arial" w:hAnsi="Arial" w:cs="Arial"/>
          <w:sz w:val="24"/>
          <w:szCs w:val="24"/>
        </w:rPr>
        <w:t xml:space="preserve">Volume 54, Issue 7(October). Available at: </w:t>
      </w:r>
      <w:hyperlink r:id="rId21" w:history="1">
        <w:r w:rsidRPr="00B06F58">
          <w:rPr>
            <w:rStyle w:val="Hyperlink"/>
            <w:rFonts w:ascii="Arial" w:hAnsi="Arial" w:cs="Arial"/>
            <w:sz w:val="24"/>
            <w:szCs w:val="24"/>
          </w:rPr>
          <w:t>Digital Technology in Children’s Safeguarding Social Work Practice in the 21st Century: A Scoping Review | The British Journal of Social Work | Oxford Academic</w:t>
        </w:r>
      </w:hyperlink>
      <w:r w:rsidRPr="00B06F58">
        <w:rPr>
          <w:rFonts w:ascii="Arial" w:hAnsi="Arial" w:cs="Arial"/>
          <w:sz w:val="24"/>
          <w:szCs w:val="24"/>
        </w:rPr>
        <w:t xml:space="preserve"> (Accessed 21 February 2026).</w:t>
      </w:r>
    </w:p>
    <w:p w14:paraId="5910BAB8"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Big Ideas Wales (No date) </w:t>
      </w:r>
      <w:r w:rsidRPr="00B06F58">
        <w:rPr>
          <w:rFonts w:ascii="Arial" w:hAnsi="Arial" w:cs="Arial"/>
          <w:i/>
          <w:iCs/>
          <w:sz w:val="24"/>
          <w:szCs w:val="24"/>
        </w:rPr>
        <w:t xml:space="preserve">Young Persons Start Up Grant Guidance Notes. </w:t>
      </w:r>
      <w:r w:rsidRPr="00B06F58">
        <w:rPr>
          <w:rFonts w:ascii="Arial" w:hAnsi="Arial" w:cs="Arial"/>
          <w:sz w:val="24"/>
          <w:szCs w:val="24"/>
        </w:rPr>
        <w:t xml:space="preserve">Available at: </w:t>
      </w:r>
      <w:hyperlink r:id="rId22" w:history="1">
        <w:r w:rsidRPr="00AC6A64">
          <w:rPr>
            <w:rStyle w:val="Hyperlink"/>
            <w:rFonts w:ascii="Arial" w:hAnsi="Arial" w:cs="Arial"/>
            <w:sz w:val="24"/>
            <w:szCs w:val="24"/>
          </w:rPr>
          <w:t>Young Person's Start Up Grant Guidance Notes | Big Ideas Wales</w:t>
        </w:r>
      </w:hyperlink>
      <w:r w:rsidRPr="00B06F58">
        <w:rPr>
          <w:rFonts w:ascii="Arial" w:hAnsi="Arial" w:cs="Arial"/>
          <w:sz w:val="24"/>
          <w:szCs w:val="24"/>
        </w:rPr>
        <w:t xml:space="preserve"> (Accessed: 23 February 2026).</w:t>
      </w:r>
    </w:p>
    <w:p w14:paraId="71D8105D"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Bowlby, J. (2005) </w:t>
      </w:r>
      <w:r w:rsidRPr="00B06F58">
        <w:rPr>
          <w:rFonts w:ascii="Arial" w:hAnsi="Arial" w:cs="Arial"/>
          <w:i/>
          <w:iCs/>
          <w:sz w:val="24"/>
          <w:szCs w:val="24"/>
        </w:rPr>
        <w:t>A secure base : clinical applications of attachment theory</w:t>
      </w:r>
      <w:r w:rsidRPr="00B06F58">
        <w:rPr>
          <w:rFonts w:ascii="Arial" w:hAnsi="Arial" w:cs="Arial"/>
          <w:sz w:val="24"/>
          <w:szCs w:val="24"/>
        </w:rPr>
        <w:t xml:space="preserve">. Oxon [England: Routledge. Available at: </w:t>
      </w:r>
      <w:hyperlink r:id="rId23" w:history="1">
        <w:r w:rsidRPr="00B06F58">
          <w:rPr>
            <w:rStyle w:val="Hyperlink"/>
            <w:rFonts w:ascii="Arial" w:hAnsi="Arial" w:cs="Arial"/>
            <w:sz w:val="24"/>
            <w:szCs w:val="24"/>
          </w:rPr>
          <w:t>https://doi.org/10.4324/9780203440841</w:t>
        </w:r>
      </w:hyperlink>
      <w:r w:rsidRPr="00B06F58">
        <w:rPr>
          <w:rFonts w:ascii="Arial" w:hAnsi="Arial" w:cs="Arial"/>
          <w:sz w:val="24"/>
          <w:szCs w:val="24"/>
        </w:rPr>
        <w:t xml:space="preserve">. </w:t>
      </w:r>
      <w:r>
        <w:rPr>
          <w:rFonts w:ascii="Arial" w:hAnsi="Arial" w:cs="Arial"/>
          <w:sz w:val="24"/>
          <w:szCs w:val="24"/>
        </w:rPr>
        <w:t>(Accessed: 28 February 2026).</w:t>
      </w:r>
    </w:p>
    <w:p w14:paraId="08F8B2BB"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Bronfenbrenner, U. (1996) </w:t>
      </w:r>
      <w:r w:rsidRPr="00B06F58">
        <w:rPr>
          <w:rFonts w:ascii="Arial" w:hAnsi="Arial" w:cs="Arial"/>
          <w:i/>
          <w:iCs/>
          <w:sz w:val="24"/>
          <w:szCs w:val="24"/>
        </w:rPr>
        <w:t>The ecology of human development : experiments by nature and design</w:t>
      </w:r>
      <w:r w:rsidRPr="00B06F58">
        <w:rPr>
          <w:rFonts w:ascii="Arial" w:hAnsi="Arial" w:cs="Arial"/>
          <w:sz w:val="24"/>
          <w:szCs w:val="24"/>
        </w:rPr>
        <w:t>. Cambridge, MA: Harvard University Press.</w:t>
      </w:r>
    </w:p>
    <w:p w14:paraId="47ED559F"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Burns, P. (2016) </w:t>
      </w:r>
      <w:r w:rsidRPr="00B06F58">
        <w:rPr>
          <w:rFonts w:ascii="Arial" w:hAnsi="Arial" w:cs="Arial"/>
          <w:i/>
          <w:iCs/>
          <w:sz w:val="24"/>
          <w:szCs w:val="24"/>
        </w:rPr>
        <w:t>Entrepreneurship and small business : start-up, growth and maturity</w:t>
      </w:r>
      <w:r w:rsidRPr="00B06F58">
        <w:rPr>
          <w:rFonts w:ascii="Arial" w:hAnsi="Arial" w:cs="Arial"/>
          <w:sz w:val="24"/>
          <w:szCs w:val="24"/>
        </w:rPr>
        <w:t>. Fourth edition. Basingstoke, Hampshire: Palgrave Macmillan.</w:t>
      </w:r>
    </w:p>
    <w:p w14:paraId="76FA9C9C"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Business Wales (2026) </w:t>
      </w:r>
      <w:r w:rsidRPr="00B06F58">
        <w:rPr>
          <w:rFonts w:ascii="Arial" w:hAnsi="Arial" w:cs="Arial"/>
          <w:i/>
          <w:iCs/>
          <w:sz w:val="24"/>
          <w:szCs w:val="24"/>
        </w:rPr>
        <w:t xml:space="preserve">SWEF- Enterprise and Business Grants. </w:t>
      </w:r>
      <w:r w:rsidRPr="00B06F58">
        <w:rPr>
          <w:rFonts w:ascii="Arial" w:hAnsi="Arial" w:cs="Arial"/>
          <w:sz w:val="24"/>
          <w:szCs w:val="24"/>
        </w:rPr>
        <w:t>Available a</w:t>
      </w:r>
      <w:r>
        <w:rPr>
          <w:rFonts w:ascii="Arial" w:hAnsi="Arial" w:cs="Arial"/>
          <w:sz w:val="24"/>
          <w:szCs w:val="24"/>
        </w:rPr>
        <w:t xml:space="preserve">t: </w:t>
      </w:r>
      <w:hyperlink r:id="rId24" w:history="1">
        <w:r w:rsidRPr="006040F9">
          <w:rPr>
            <w:rStyle w:val="Hyperlink"/>
            <w:rFonts w:ascii="Arial" w:hAnsi="Arial" w:cs="Arial"/>
            <w:sz w:val="24"/>
            <w:szCs w:val="24"/>
          </w:rPr>
          <w:t>SWEF – Enterprise and Business Grants | Business Wales</w:t>
        </w:r>
      </w:hyperlink>
      <w:r>
        <w:rPr>
          <w:rFonts w:ascii="Arial" w:hAnsi="Arial" w:cs="Arial"/>
          <w:sz w:val="24"/>
          <w:szCs w:val="24"/>
        </w:rPr>
        <w:t xml:space="preserve"> </w:t>
      </w:r>
      <w:r w:rsidRPr="00B06F58">
        <w:rPr>
          <w:rFonts w:ascii="Arial" w:hAnsi="Arial" w:cs="Arial"/>
          <w:sz w:val="24"/>
          <w:szCs w:val="24"/>
        </w:rPr>
        <w:t>(Accessed: 23 February 2026).</w:t>
      </w:r>
    </w:p>
    <w:p w14:paraId="07570370"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Care Inspectorate Wales (2023) </w:t>
      </w:r>
      <w:r w:rsidRPr="00B06F58">
        <w:rPr>
          <w:rFonts w:ascii="Arial" w:hAnsi="Arial" w:cs="Arial"/>
          <w:i/>
          <w:iCs/>
          <w:sz w:val="24"/>
          <w:szCs w:val="24"/>
        </w:rPr>
        <w:t xml:space="preserve">Chief Inspectors Annual Report. </w:t>
      </w:r>
      <w:r w:rsidRPr="00B06F58">
        <w:rPr>
          <w:rFonts w:ascii="Arial" w:hAnsi="Arial" w:cs="Arial"/>
          <w:sz w:val="24"/>
          <w:szCs w:val="24"/>
        </w:rPr>
        <w:t xml:space="preserve">Available at: </w:t>
      </w:r>
      <w:hyperlink r:id="rId25" w:history="1">
        <w:r w:rsidRPr="00B06F58">
          <w:rPr>
            <w:rStyle w:val="Hyperlink"/>
            <w:rFonts w:ascii="Arial" w:hAnsi="Arial" w:cs="Arial"/>
            <w:sz w:val="24"/>
            <w:szCs w:val="24"/>
          </w:rPr>
          <w:t>https://www.careinspectorate.wales/sites/default/files/2023-10/231013-Easy-Read-What-Care-Inspectorate-Wales-did-from-2022-2023-en.pdf</w:t>
        </w:r>
      </w:hyperlink>
      <w:r w:rsidRPr="00B06F58">
        <w:rPr>
          <w:rFonts w:ascii="Arial" w:hAnsi="Arial" w:cs="Arial"/>
          <w:sz w:val="24"/>
          <w:szCs w:val="24"/>
        </w:rPr>
        <w:t xml:space="preserve"> (Accessed: 28 February 2026).</w:t>
      </w:r>
    </w:p>
    <w:p w14:paraId="302B8F6B"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Copson, R. </w:t>
      </w:r>
      <w:r w:rsidRPr="00B06F58">
        <w:rPr>
          <w:rFonts w:ascii="Arial" w:hAnsi="Arial" w:cs="Arial"/>
          <w:i/>
          <w:iCs/>
          <w:sz w:val="24"/>
          <w:szCs w:val="24"/>
        </w:rPr>
        <w:t xml:space="preserve">et al. </w:t>
      </w:r>
      <w:r w:rsidRPr="00B06F58">
        <w:rPr>
          <w:rFonts w:ascii="Arial" w:hAnsi="Arial" w:cs="Arial"/>
          <w:sz w:val="24"/>
          <w:szCs w:val="24"/>
        </w:rPr>
        <w:t xml:space="preserve">(2022) ‘Relationship-based practice and digital technology in child and family social work: Learning from practice during the COVID-19 pandemic’ </w:t>
      </w:r>
      <w:r w:rsidRPr="00B06F58">
        <w:rPr>
          <w:rFonts w:ascii="Arial" w:hAnsi="Arial" w:cs="Arial"/>
          <w:i/>
          <w:iCs/>
          <w:sz w:val="24"/>
          <w:szCs w:val="24"/>
        </w:rPr>
        <w:t xml:space="preserve">Developmental Child Welfare, </w:t>
      </w:r>
      <w:r w:rsidRPr="00B06F58">
        <w:rPr>
          <w:rFonts w:ascii="Arial" w:hAnsi="Arial" w:cs="Arial"/>
          <w:sz w:val="24"/>
          <w:szCs w:val="24"/>
        </w:rPr>
        <w:t xml:space="preserve">Volume 4 (March). Available at: </w:t>
      </w:r>
      <w:hyperlink r:id="rId26" w:history="1">
        <w:r w:rsidRPr="003B484E">
          <w:rPr>
            <w:rStyle w:val="Hyperlink"/>
            <w:rFonts w:ascii="Arial" w:hAnsi="Arial" w:cs="Arial"/>
            <w:sz w:val="24"/>
            <w:szCs w:val="24"/>
          </w:rPr>
          <w:t>Relationship-based practice and digital technology in child and family social work: Learning from practice during the COVID-19 pandemic - PMC</w:t>
        </w:r>
      </w:hyperlink>
      <w:r w:rsidRPr="00B06F58">
        <w:rPr>
          <w:rFonts w:ascii="Arial" w:hAnsi="Arial" w:cs="Arial"/>
          <w:sz w:val="24"/>
          <w:szCs w:val="24"/>
        </w:rPr>
        <w:t xml:space="preserve"> (Accessed 21 February 2026).</w:t>
      </w:r>
    </w:p>
    <w:p w14:paraId="1229CA66" w14:textId="77777777" w:rsidR="0017144D" w:rsidRPr="00B06F58" w:rsidRDefault="0017144D" w:rsidP="0017144D">
      <w:pPr>
        <w:rPr>
          <w:rFonts w:ascii="Arial" w:hAnsi="Arial" w:cs="Arial"/>
          <w:sz w:val="24"/>
          <w:szCs w:val="24"/>
        </w:rPr>
      </w:pPr>
      <w:r w:rsidRPr="00B06F58">
        <w:rPr>
          <w:rFonts w:ascii="Arial" w:hAnsi="Arial" w:cs="Arial"/>
          <w:sz w:val="24"/>
          <w:szCs w:val="24"/>
        </w:rPr>
        <w:t>Dagan, O. and Sagi</w:t>
      </w:r>
      <w:r w:rsidRPr="00B06F58">
        <w:rPr>
          <w:rFonts w:ascii="Cambria Math" w:hAnsi="Cambria Math" w:cs="Cambria Math"/>
          <w:sz w:val="24"/>
          <w:szCs w:val="24"/>
        </w:rPr>
        <w:t>‐</w:t>
      </w:r>
      <w:r w:rsidRPr="00B06F58">
        <w:rPr>
          <w:rFonts w:ascii="Arial" w:hAnsi="Arial" w:cs="Arial"/>
          <w:sz w:val="24"/>
          <w:szCs w:val="24"/>
        </w:rPr>
        <w:t xml:space="preserve">Schwartz, A. (2018) “Early Attachment Network with Mother and Father: An Unsettled Issue,” </w:t>
      </w:r>
      <w:r w:rsidRPr="00B06F58">
        <w:rPr>
          <w:rFonts w:ascii="Arial" w:hAnsi="Arial" w:cs="Arial"/>
          <w:i/>
          <w:iCs/>
          <w:sz w:val="24"/>
          <w:szCs w:val="24"/>
        </w:rPr>
        <w:t>Child development perspectives</w:t>
      </w:r>
      <w:r w:rsidRPr="00B06F58">
        <w:rPr>
          <w:rFonts w:ascii="Arial" w:hAnsi="Arial" w:cs="Arial"/>
          <w:sz w:val="24"/>
          <w:szCs w:val="24"/>
        </w:rPr>
        <w:t xml:space="preserve">, 12(2), pp. 115–121. Available at: </w:t>
      </w:r>
      <w:hyperlink r:id="rId27" w:history="1">
        <w:r w:rsidRPr="00B06F58">
          <w:rPr>
            <w:rStyle w:val="Hyperlink"/>
            <w:rFonts w:ascii="Arial" w:hAnsi="Arial" w:cs="Arial"/>
            <w:sz w:val="24"/>
            <w:szCs w:val="24"/>
          </w:rPr>
          <w:t>https://doi.org/10.1111/cdep.12272</w:t>
        </w:r>
      </w:hyperlink>
      <w:r w:rsidRPr="00B06F58">
        <w:rPr>
          <w:rFonts w:ascii="Arial" w:hAnsi="Arial" w:cs="Arial"/>
          <w:sz w:val="24"/>
          <w:szCs w:val="24"/>
        </w:rPr>
        <w:t>.</w:t>
      </w:r>
      <w:r>
        <w:rPr>
          <w:rFonts w:ascii="Arial" w:hAnsi="Arial" w:cs="Arial"/>
          <w:sz w:val="24"/>
          <w:szCs w:val="24"/>
        </w:rPr>
        <w:t xml:space="preserve"> (Accessed: 28 February 2026).</w:t>
      </w:r>
    </w:p>
    <w:p w14:paraId="68466C51" w14:textId="77777777" w:rsidR="0017144D" w:rsidRPr="00B06F58" w:rsidRDefault="0017144D" w:rsidP="0017144D">
      <w:pPr>
        <w:rPr>
          <w:rFonts w:ascii="Arial" w:hAnsi="Arial" w:cs="Arial"/>
          <w:sz w:val="24"/>
          <w:szCs w:val="24"/>
        </w:rPr>
      </w:pPr>
      <w:r w:rsidRPr="00B06F58">
        <w:rPr>
          <w:rFonts w:ascii="Arial" w:hAnsi="Arial" w:cs="Arial"/>
          <w:sz w:val="24"/>
          <w:szCs w:val="24"/>
        </w:rPr>
        <w:t>Department for Education (2025)</w:t>
      </w:r>
      <w:r w:rsidRPr="00B06F58">
        <w:rPr>
          <w:rFonts w:ascii="Arial" w:hAnsi="Arial" w:cs="Arial"/>
          <w:i/>
          <w:iCs/>
          <w:sz w:val="24"/>
          <w:szCs w:val="24"/>
        </w:rPr>
        <w:t xml:space="preserve">. Early Years Foundation Stage (EYFS) statutory framework. </w:t>
      </w:r>
      <w:r w:rsidRPr="00B06F58">
        <w:rPr>
          <w:rFonts w:ascii="Arial" w:hAnsi="Arial" w:cs="Arial"/>
          <w:sz w:val="24"/>
          <w:szCs w:val="24"/>
        </w:rPr>
        <w:t xml:space="preserve">Available at: </w:t>
      </w:r>
      <w:hyperlink r:id="rId28" w:history="1">
        <w:r w:rsidRPr="00B06F58">
          <w:rPr>
            <w:rStyle w:val="Hyperlink"/>
            <w:rFonts w:ascii="Arial" w:hAnsi="Arial" w:cs="Arial"/>
            <w:sz w:val="24"/>
            <w:szCs w:val="24"/>
          </w:rPr>
          <w:t>EYFS statutory framework for group and school-based providers</w:t>
        </w:r>
      </w:hyperlink>
      <w:r w:rsidRPr="00B06F58">
        <w:rPr>
          <w:rFonts w:ascii="Arial" w:hAnsi="Arial" w:cs="Arial"/>
          <w:sz w:val="24"/>
          <w:szCs w:val="24"/>
        </w:rPr>
        <w:t xml:space="preserve"> (Accessed: 21 February 2026).</w:t>
      </w:r>
    </w:p>
    <w:p w14:paraId="70B64148"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Echavarria, M. (2016) </w:t>
      </w:r>
      <w:r w:rsidRPr="00B06F58">
        <w:rPr>
          <w:rFonts w:ascii="Arial" w:hAnsi="Arial" w:cs="Arial"/>
          <w:i/>
          <w:iCs/>
          <w:sz w:val="24"/>
          <w:szCs w:val="24"/>
        </w:rPr>
        <w:t>Enabling collaboration : achieving success through strategic alliances and partnerships</w:t>
      </w:r>
      <w:r w:rsidRPr="00B06F58">
        <w:rPr>
          <w:rFonts w:ascii="Arial" w:hAnsi="Arial" w:cs="Arial"/>
          <w:sz w:val="24"/>
          <w:szCs w:val="24"/>
        </w:rPr>
        <w:t>. London: LID.</w:t>
      </w:r>
    </w:p>
    <w:p w14:paraId="1AF3498A"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Fivush, R. (2019) </w:t>
      </w:r>
      <w:r w:rsidRPr="00B06F58">
        <w:rPr>
          <w:rFonts w:ascii="Arial" w:hAnsi="Arial" w:cs="Arial"/>
          <w:i/>
          <w:iCs/>
          <w:sz w:val="24"/>
          <w:szCs w:val="24"/>
        </w:rPr>
        <w:t xml:space="preserve">Family Narratives and the Development of an Autobiograpgical Self. </w:t>
      </w:r>
      <w:r w:rsidRPr="00B06F58">
        <w:rPr>
          <w:rFonts w:ascii="Arial" w:hAnsi="Arial" w:cs="Arial"/>
          <w:sz w:val="24"/>
          <w:szCs w:val="24"/>
        </w:rPr>
        <w:t xml:space="preserve">London: Routledge. Available at: </w:t>
      </w:r>
      <w:hyperlink r:id="rId29" w:history="1">
        <w:r w:rsidRPr="00B06F58">
          <w:rPr>
            <w:rStyle w:val="Hyperlink"/>
            <w:rFonts w:ascii="Arial" w:hAnsi="Arial" w:cs="Arial"/>
            <w:sz w:val="24"/>
            <w:szCs w:val="24"/>
          </w:rPr>
          <w:t>https://scholar.google.co.uk/scholar_url?url=https://api.taylorfrancis.com/content/boo</w:t>
        </w:r>
        <w:r w:rsidRPr="00B06F58">
          <w:rPr>
            <w:rStyle w:val="Hyperlink"/>
            <w:rFonts w:ascii="Arial" w:hAnsi="Arial" w:cs="Arial"/>
            <w:sz w:val="24"/>
            <w:szCs w:val="24"/>
          </w:rPr>
          <w:lastRenderedPageBreak/>
          <w:t>ks/mono/download%3FidentifierName%3Ddoi%26identifierValue%3D10.4324/9780429029158%26type%3Dgooglepdf&amp;hl=en&amp;sa=X&amp;ei=B7WZabz_Df6GieoP44rvqAI&amp;scisig=AFtJQixcezDoINV54TKCRHtZDYET&amp;oi=scholarr</w:t>
        </w:r>
      </w:hyperlink>
      <w:r w:rsidRPr="00B06F58">
        <w:rPr>
          <w:rFonts w:ascii="Arial" w:hAnsi="Arial" w:cs="Arial"/>
          <w:sz w:val="24"/>
          <w:szCs w:val="24"/>
        </w:rPr>
        <w:t xml:space="preserve"> (Accessed: 21 February 2026).</w:t>
      </w:r>
    </w:p>
    <w:p w14:paraId="0258F9A5"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Gov.uk (2011) </w:t>
      </w:r>
      <w:r w:rsidRPr="00B06F58">
        <w:rPr>
          <w:rFonts w:ascii="Arial" w:hAnsi="Arial" w:cs="Arial"/>
          <w:i/>
          <w:iCs/>
          <w:sz w:val="24"/>
          <w:szCs w:val="24"/>
        </w:rPr>
        <w:t xml:space="preserve">Munro review of child protection: a child centred system. </w:t>
      </w:r>
      <w:r w:rsidRPr="00B06F58">
        <w:rPr>
          <w:rFonts w:ascii="Arial" w:hAnsi="Arial" w:cs="Arial"/>
          <w:sz w:val="24"/>
          <w:szCs w:val="24"/>
        </w:rPr>
        <w:t xml:space="preserve">Available at: </w:t>
      </w:r>
      <w:hyperlink r:id="rId30" w:history="1">
        <w:r w:rsidRPr="00B06F58">
          <w:rPr>
            <w:rStyle w:val="Hyperlink"/>
            <w:rFonts w:ascii="Arial" w:hAnsi="Arial" w:cs="Arial"/>
            <w:sz w:val="24"/>
            <w:szCs w:val="24"/>
          </w:rPr>
          <w:t>https://www.gov.uk/government/publications/munro-review-of-child-protection-final-report-a-child-centred-system</w:t>
        </w:r>
      </w:hyperlink>
      <w:r w:rsidRPr="00B06F58">
        <w:rPr>
          <w:rFonts w:ascii="Arial" w:hAnsi="Arial" w:cs="Arial"/>
          <w:sz w:val="24"/>
          <w:szCs w:val="24"/>
        </w:rPr>
        <w:t xml:space="preserve"> (Accessed: 20 February 2026).</w:t>
      </w:r>
    </w:p>
    <w:p w14:paraId="2A6DDF7F"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Greenhalgh, T., Wherton, J., Papoutsi, C. </w:t>
      </w:r>
      <w:r w:rsidRPr="00B06F58">
        <w:rPr>
          <w:rFonts w:ascii="Arial" w:hAnsi="Arial" w:cs="Arial"/>
          <w:i/>
          <w:iCs/>
          <w:sz w:val="24"/>
          <w:szCs w:val="24"/>
        </w:rPr>
        <w:t xml:space="preserve">et al. </w:t>
      </w:r>
      <w:r w:rsidRPr="00B06F58">
        <w:rPr>
          <w:rFonts w:ascii="Arial" w:hAnsi="Arial" w:cs="Arial"/>
          <w:sz w:val="24"/>
          <w:szCs w:val="24"/>
        </w:rPr>
        <w:t xml:space="preserve">(2017) ‘Beyond adoption: a new framework for theorising and evaluating nonadoption, abandonment, and challenges to the scale-up, spread, and sustainability of health and care technologies’, </w:t>
      </w:r>
      <w:r w:rsidRPr="00B06F58">
        <w:rPr>
          <w:rFonts w:ascii="Arial" w:hAnsi="Arial" w:cs="Arial"/>
          <w:i/>
          <w:iCs/>
          <w:sz w:val="24"/>
          <w:szCs w:val="24"/>
        </w:rPr>
        <w:t xml:space="preserve">Journal of Medical Internet Research, </w:t>
      </w:r>
      <w:r w:rsidRPr="00B06F58">
        <w:rPr>
          <w:rFonts w:ascii="Arial" w:hAnsi="Arial" w:cs="Arial"/>
          <w:sz w:val="24"/>
          <w:szCs w:val="24"/>
        </w:rPr>
        <w:t xml:space="preserve">volume 19, (November). Available at: </w:t>
      </w:r>
      <w:hyperlink r:id="rId31" w:history="1">
        <w:r w:rsidRPr="00B06F58">
          <w:rPr>
            <w:rStyle w:val="Hyperlink"/>
            <w:rFonts w:ascii="Arial" w:hAnsi="Arial" w:cs="Arial"/>
            <w:sz w:val="24"/>
            <w:szCs w:val="24"/>
          </w:rPr>
          <w:t>Journal of Medical Internet Research - Beyond Adoption: A New Framework for Theorizing and Evaluating Nonadoption, Abandonment, and Challenges to the Scale-Up, Spread, and Sustainability of Health and Care Technologies</w:t>
        </w:r>
      </w:hyperlink>
      <w:r w:rsidRPr="00B06F58">
        <w:rPr>
          <w:rFonts w:ascii="Arial" w:hAnsi="Arial" w:cs="Arial"/>
          <w:sz w:val="24"/>
          <w:szCs w:val="24"/>
        </w:rPr>
        <w:t xml:space="preserve"> (Accessed:21 February 2026).</w:t>
      </w:r>
    </w:p>
    <w:p w14:paraId="5423D997" w14:textId="77777777" w:rsidR="0017144D" w:rsidRPr="00B06F58" w:rsidRDefault="0017144D" w:rsidP="0017144D">
      <w:pPr>
        <w:rPr>
          <w:rFonts w:ascii="Arial" w:hAnsi="Arial" w:cs="Arial"/>
          <w:sz w:val="24"/>
          <w:szCs w:val="24"/>
        </w:rPr>
      </w:pPr>
      <w:r w:rsidRPr="00B06F58">
        <w:rPr>
          <w:rFonts w:ascii="Arial" w:hAnsi="Arial" w:cs="Arial"/>
          <w:sz w:val="24"/>
          <w:szCs w:val="24"/>
        </w:rPr>
        <w:t>Healthcare Inspectorate Wales [HIW] (2024) Inspection report</w:t>
      </w:r>
      <w:r w:rsidRPr="00B06F58">
        <w:rPr>
          <w:rFonts w:ascii="Arial" w:hAnsi="Arial" w:cs="Arial"/>
          <w:i/>
          <w:iCs/>
          <w:sz w:val="24"/>
          <w:szCs w:val="24"/>
        </w:rPr>
        <w:t xml:space="preserve"> for Child Protection in Wales published. </w:t>
      </w:r>
      <w:r w:rsidRPr="00B06F58">
        <w:rPr>
          <w:rFonts w:ascii="Arial" w:hAnsi="Arial" w:cs="Arial"/>
          <w:sz w:val="24"/>
          <w:szCs w:val="24"/>
        </w:rPr>
        <w:t xml:space="preserve">Available at: </w:t>
      </w:r>
      <w:hyperlink r:id="rId32" w:history="1">
        <w:r w:rsidRPr="00B06F58">
          <w:rPr>
            <w:rStyle w:val="Hyperlink"/>
            <w:rFonts w:ascii="Arial" w:hAnsi="Arial" w:cs="Arial"/>
            <w:sz w:val="24"/>
            <w:szCs w:val="24"/>
          </w:rPr>
          <w:t>Inspection report for Child Protection in Wales published | Healthcare Inspectorate Wales</w:t>
        </w:r>
      </w:hyperlink>
      <w:r w:rsidRPr="00B06F58">
        <w:rPr>
          <w:rFonts w:ascii="Arial" w:hAnsi="Arial" w:cs="Arial"/>
          <w:sz w:val="24"/>
          <w:szCs w:val="24"/>
        </w:rPr>
        <w:t xml:space="preserve"> (Accessed: 20 February 2026).</w:t>
      </w:r>
    </w:p>
    <w:p w14:paraId="7E5F4726" w14:textId="77777777" w:rsidR="0017144D" w:rsidRPr="00B06F58" w:rsidRDefault="0017144D" w:rsidP="0017144D">
      <w:pPr>
        <w:rPr>
          <w:rFonts w:ascii="Arial" w:hAnsi="Arial" w:cs="Arial"/>
          <w:sz w:val="24"/>
          <w:szCs w:val="24"/>
        </w:rPr>
      </w:pPr>
      <w:r w:rsidRPr="00B06F58">
        <w:rPr>
          <w:rFonts w:ascii="Arial" w:hAnsi="Arial" w:cs="Arial"/>
          <w:sz w:val="24"/>
          <w:szCs w:val="24"/>
        </w:rPr>
        <w:t>Hooley, K., Stokes, L. and Combes, H. (2016) “Life story work with looked after and adopted children: how professional training and experience determine perceptions of its value,” Adoption &amp; fostering, 40(3), pp. 219–233. Available at:</w:t>
      </w:r>
      <w:r>
        <w:rPr>
          <w:rFonts w:ascii="Arial" w:hAnsi="Arial" w:cs="Arial"/>
          <w:sz w:val="24"/>
          <w:szCs w:val="24"/>
        </w:rPr>
        <w:t xml:space="preserve"> </w:t>
      </w:r>
      <w:hyperlink r:id="rId33" w:history="1">
        <w:r w:rsidRPr="001D34C1">
          <w:rPr>
            <w:rStyle w:val="Hyperlink"/>
            <w:rFonts w:ascii="Arial" w:hAnsi="Arial" w:cs="Arial"/>
            <w:sz w:val="24"/>
            <w:szCs w:val="24"/>
          </w:rPr>
          <w:t>https://doi.org/10.1177/0308575916661129</w:t>
        </w:r>
      </w:hyperlink>
      <w:r>
        <w:rPr>
          <w:rFonts w:ascii="Arial" w:hAnsi="Arial" w:cs="Arial"/>
          <w:sz w:val="24"/>
          <w:szCs w:val="24"/>
        </w:rPr>
        <w:t xml:space="preserve"> (Accessed: 21 February 2026).</w:t>
      </w:r>
    </w:p>
    <w:p w14:paraId="28398015"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Hoyle, V. (2018) Introducing the MIRRA project. Available at: </w:t>
      </w:r>
      <w:hyperlink r:id="rId34" w:history="1">
        <w:r w:rsidRPr="00FA3CCD">
          <w:rPr>
            <w:rStyle w:val="Hyperlink"/>
            <w:rFonts w:ascii="Arial" w:hAnsi="Arial" w:cs="Arial"/>
            <w:sz w:val="24"/>
            <w:szCs w:val="24"/>
          </w:rPr>
          <w:t>Introducing the MIRRA project | UCL MIRRA: Memory – Identity – Rights in Records – Access</w:t>
        </w:r>
      </w:hyperlink>
      <w:r w:rsidRPr="00B06F58">
        <w:rPr>
          <w:rFonts w:ascii="Arial" w:hAnsi="Arial" w:cs="Arial"/>
          <w:sz w:val="24"/>
          <w:szCs w:val="24"/>
        </w:rPr>
        <w:t xml:space="preserve"> (Accessed: 21 February 2026).</w:t>
      </w:r>
    </w:p>
    <w:p w14:paraId="40F36219"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Information Commissioner’s Office (No date) UK GDPR guidance and resources. Available at: </w:t>
      </w:r>
      <w:hyperlink r:id="rId35" w:history="1">
        <w:r w:rsidRPr="004B4804">
          <w:rPr>
            <w:rStyle w:val="Hyperlink"/>
            <w:rFonts w:ascii="Arial" w:hAnsi="Arial" w:cs="Arial"/>
            <w:sz w:val="24"/>
            <w:szCs w:val="24"/>
          </w:rPr>
          <w:t>UK GDPR guidance and resources | ICO</w:t>
        </w:r>
      </w:hyperlink>
      <w:r w:rsidRPr="00B06F58">
        <w:rPr>
          <w:rFonts w:ascii="Arial" w:hAnsi="Arial" w:cs="Arial"/>
          <w:sz w:val="24"/>
          <w:szCs w:val="24"/>
        </w:rPr>
        <w:t xml:space="preserve"> (Accessed: 23 February).</w:t>
      </w:r>
    </w:p>
    <w:p w14:paraId="540722F6" w14:textId="77777777" w:rsidR="0017144D" w:rsidRPr="00B06F58" w:rsidRDefault="0017144D" w:rsidP="0017144D">
      <w:pPr>
        <w:rPr>
          <w:rFonts w:ascii="Arial" w:hAnsi="Arial" w:cs="Arial"/>
          <w:sz w:val="24"/>
          <w:szCs w:val="24"/>
        </w:rPr>
      </w:pPr>
      <w:r w:rsidRPr="00C93B37">
        <w:rPr>
          <w:rFonts w:ascii="Arial" w:hAnsi="Arial" w:cs="Arial"/>
          <w:sz w:val="24"/>
          <w:szCs w:val="24"/>
        </w:rPr>
        <w:t xml:space="preserve">Kouvelis, G. and Kangas, M. (2021) “Evaluating the Association Between Interpersonal Trauma and Self-Identity: A Systematic Review,” </w:t>
      </w:r>
      <w:r w:rsidRPr="00C93B37">
        <w:rPr>
          <w:rFonts w:ascii="Arial" w:hAnsi="Arial" w:cs="Arial"/>
          <w:i/>
          <w:iCs/>
          <w:sz w:val="24"/>
          <w:szCs w:val="24"/>
        </w:rPr>
        <w:t>Traumatology (Tallahassee, Fla.)</w:t>
      </w:r>
      <w:r w:rsidRPr="00C93B37">
        <w:rPr>
          <w:rFonts w:ascii="Arial" w:hAnsi="Arial" w:cs="Arial"/>
          <w:sz w:val="24"/>
          <w:szCs w:val="24"/>
        </w:rPr>
        <w:t xml:space="preserve">, 27(2), pp. 118–148. Available at: </w:t>
      </w:r>
      <w:hyperlink r:id="rId36" w:history="1">
        <w:r w:rsidRPr="00C93B37">
          <w:rPr>
            <w:rStyle w:val="Hyperlink"/>
            <w:rFonts w:ascii="Arial" w:hAnsi="Arial" w:cs="Arial"/>
            <w:sz w:val="24"/>
            <w:szCs w:val="24"/>
          </w:rPr>
          <w:t>https://doi.org/10.1037/trm0000325</w:t>
        </w:r>
      </w:hyperlink>
      <w:r w:rsidRPr="00C93B37">
        <w:rPr>
          <w:rFonts w:ascii="Arial" w:hAnsi="Arial" w:cs="Arial"/>
          <w:sz w:val="24"/>
          <w:szCs w:val="24"/>
        </w:rPr>
        <w:t>.</w:t>
      </w:r>
      <w:r w:rsidRPr="00B06F58">
        <w:rPr>
          <w:rFonts w:ascii="Arial" w:hAnsi="Arial" w:cs="Arial"/>
          <w:sz w:val="24"/>
          <w:szCs w:val="24"/>
        </w:rPr>
        <w:t xml:space="preserve"> (Accessed: 21 February 2026).</w:t>
      </w:r>
    </w:p>
    <w:p w14:paraId="30D514F4" w14:textId="77777777" w:rsidR="0017144D" w:rsidRPr="00EE1A78" w:rsidRDefault="0017144D" w:rsidP="0017144D">
      <w:pPr>
        <w:rPr>
          <w:rFonts w:ascii="Arial" w:hAnsi="Arial" w:cs="Arial"/>
          <w:sz w:val="24"/>
          <w:szCs w:val="24"/>
        </w:rPr>
      </w:pPr>
      <w:r w:rsidRPr="00EE1A78">
        <w:rPr>
          <w:rFonts w:ascii="Arial" w:hAnsi="Arial" w:cs="Arial"/>
          <w:sz w:val="24"/>
          <w:szCs w:val="24"/>
        </w:rPr>
        <w:t xml:space="preserve">Livingstone, S.M. and Blum-Ross, A. (2020) </w:t>
      </w:r>
      <w:r w:rsidRPr="00EE1A78">
        <w:rPr>
          <w:rFonts w:ascii="Arial" w:hAnsi="Arial" w:cs="Arial"/>
          <w:i/>
          <w:iCs/>
          <w:sz w:val="24"/>
          <w:szCs w:val="24"/>
        </w:rPr>
        <w:t>Parenting for a digital future : how hopes and fears about technology shape children’s lives</w:t>
      </w:r>
      <w:r w:rsidRPr="00EE1A78">
        <w:rPr>
          <w:rFonts w:ascii="Arial" w:hAnsi="Arial" w:cs="Arial"/>
          <w:sz w:val="24"/>
          <w:szCs w:val="24"/>
        </w:rPr>
        <w:t>. New York, New York State: Oxford University Press USA - OSO.</w:t>
      </w:r>
    </w:p>
    <w:p w14:paraId="7991A975" w14:textId="77777777" w:rsidR="0017144D" w:rsidRPr="00B06F58" w:rsidRDefault="0017144D" w:rsidP="0017144D">
      <w:pPr>
        <w:rPr>
          <w:rFonts w:ascii="Arial" w:hAnsi="Arial" w:cs="Arial"/>
          <w:sz w:val="24"/>
          <w:szCs w:val="24"/>
        </w:rPr>
      </w:pPr>
      <w:r w:rsidRPr="00FD3C15">
        <w:rPr>
          <w:rFonts w:ascii="Arial" w:hAnsi="Arial" w:cs="Arial"/>
          <w:sz w:val="24"/>
          <w:szCs w:val="24"/>
        </w:rPr>
        <w:t xml:space="preserve">Mair, J.L. </w:t>
      </w:r>
      <w:r w:rsidRPr="00FD3C15">
        <w:rPr>
          <w:rFonts w:ascii="Arial" w:hAnsi="Arial" w:cs="Arial"/>
          <w:i/>
          <w:iCs/>
          <w:sz w:val="24"/>
          <w:szCs w:val="24"/>
        </w:rPr>
        <w:t>et al.</w:t>
      </w:r>
      <w:r w:rsidRPr="00FD3C15">
        <w:rPr>
          <w:rFonts w:ascii="Arial" w:hAnsi="Arial" w:cs="Arial"/>
          <w:sz w:val="24"/>
          <w:szCs w:val="24"/>
        </w:rPr>
        <w:t xml:space="preserve"> (2025) “Understanding and overcoming barriers to digital health adoption: a patient and public involvement study,” </w:t>
      </w:r>
      <w:r w:rsidRPr="00FD3C15">
        <w:rPr>
          <w:rFonts w:ascii="Arial" w:hAnsi="Arial" w:cs="Arial"/>
          <w:i/>
          <w:iCs/>
          <w:sz w:val="24"/>
          <w:szCs w:val="24"/>
        </w:rPr>
        <w:t>Translational behavioral medicine</w:t>
      </w:r>
      <w:r w:rsidRPr="00FD3C15">
        <w:rPr>
          <w:rFonts w:ascii="Arial" w:hAnsi="Arial" w:cs="Arial"/>
          <w:sz w:val="24"/>
          <w:szCs w:val="24"/>
        </w:rPr>
        <w:t xml:space="preserve">, 15(1), p. 1. Available at: </w:t>
      </w:r>
      <w:hyperlink r:id="rId37" w:history="1">
        <w:r w:rsidRPr="00FD3C15">
          <w:rPr>
            <w:rStyle w:val="Hyperlink"/>
            <w:rFonts w:ascii="Arial" w:hAnsi="Arial" w:cs="Arial"/>
            <w:sz w:val="24"/>
            <w:szCs w:val="24"/>
          </w:rPr>
          <w:t>https://doi.org/10.1093/tbm/ibaf010</w:t>
        </w:r>
      </w:hyperlink>
      <w:r w:rsidRPr="00FD3C15">
        <w:rPr>
          <w:rFonts w:ascii="Arial" w:hAnsi="Arial" w:cs="Arial"/>
          <w:sz w:val="24"/>
          <w:szCs w:val="24"/>
        </w:rPr>
        <w:t>.</w:t>
      </w:r>
      <w:r w:rsidRPr="00B06F58">
        <w:rPr>
          <w:rFonts w:ascii="Arial" w:hAnsi="Arial" w:cs="Arial"/>
          <w:sz w:val="24"/>
          <w:szCs w:val="24"/>
        </w:rPr>
        <w:t xml:space="preserve"> (Accessed 21 February 2026). </w:t>
      </w:r>
    </w:p>
    <w:p w14:paraId="641EDF05"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McAdams, D.P. (2001) “The Psychology of Life Stories,” </w:t>
      </w:r>
      <w:r w:rsidRPr="00B06F58">
        <w:rPr>
          <w:rFonts w:ascii="Arial" w:hAnsi="Arial" w:cs="Arial"/>
          <w:i/>
          <w:iCs/>
          <w:sz w:val="24"/>
          <w:szCs w:val="24"/>
        </w:rPr>
        <w:t>Review of general psychology</w:t>
      </w:r>
      <w:r w:rsidRPr="00B06F58">
        <w:rPr>
          <w:rFonts w:ascii="Arial" w:hAnsi="Arial" w:cs="Arial"/>
          <w:sz w:val="24"/>
          <w:szCs w:val="24"/>
        </w:rPr>
        <w:t xml:space="preserve">, 5(2), pp. 100–122. Available at: </w:t>
      </w:r>
      <w:hyperlink r:id="rId38" w:history="1">
        <w:r w:rsidRPr="00B06F58">
          <w:rPr>
            <w:rStyle w:val="Hyperlink"/>
            <w:rFonts w:ascii="Arial" w:hAnsi="Arial" w:cs="Arial"/>
            <w:sz w:val="24"/>
            <w:szCs w:val="24"/>
          </w:rPr>
          <w:t>https://doi.org/10.1037/1089-2680.5.2.100</w:t>
        </w:r>
      </w:hyperlink>
      <w:r w:rsidRPr="00B06F58">
        <w:rPr>
          <w:rFonts w:ascii="Arial" w:hAnsi="Arial" w:cs="Arial"/>
          <w:sz w:val="24"/>
          <w:szCs w:val="24"/>
        </w:rPr>
        <w:t xml:space="preserve">. </w:t>
      </w:r>
      <w:r>
        <w:rPr>
          <w:rFonts w:ascii="Arial" w:hAnsi="Arial" w:cs="Arial"/>
          <w:sz w:val="24"/>
          <w:szCs w:val="24"/>
        </w:rPr>
        <w:t>(Accessed: 23 February 2026).</w:t>
      </w:r>
    </w:p>
    <w:p w14:paraId="0F5EA3DA" w14:textId="77777777" w:rsidR="0017144D" w:rsidRPr="00B06F58" w:rsidRDefault="0017144D" w:rsidP="0017144D">
      <w:pPr>
        <w:rPr>
          <w:rFonts w:ascii="Arial" w:hAnsi="Arial" w:cs="Arial"/>
          <w:sz w:val="24"/>
          <w:szCs w:val="24"/>
        </w:rPr>
      </w:pPr>
      <w:r w:rsidRPr="007C21D6">
        <w:rPr>
          <w:rFonts w:ascii="Arial" w:hAnsi="Arial" w:cs="Arial"/>
          <w:sz w:val="24"/>
          <w:szCs w:val="24"/>
        </w:rPr>
        <w:lastRenderedPageBreak/>
        <w:t xml:space="preserve">McLean, K.C., Pasupathi, M. and Pals, J.L. (2007) “Selves Creating Stories Creating Selves: A Process Model of Self-Development,” </w:t>
      </w:r>
      <w:r w:rsidRPr="007C21D6">
        <w:rPr>
          <w:rFonts w:ascii="Arial" w:hAnsi="Arial" w:cs="Arial"/>
          <w:i/>
          <w:iCs/>
          <w:sz w:val="24"/>
          <w:szCs w:val="24"/>
        </w:rPr>
        <w:t>Personality and social psychology review</w:t>
      </w:r>
      <w:r w:rsidRPr="007C21D6">
        <w:rPr>
          <w:rFonts w:ascii="Arial" w:hAnsi="Arial" w:cs="Arial"/>
          <w:sz w:val="24"/>
          <w:szCs w:val="24"/>
        </w:rPr>
        <w:t xml:space="preserve">, 11(3), pp. 262–278. Available at: </w:t>
      </w:r>
      <w:hyperlink r:id="rId39" w:history="1">
        <w:r w:rsidRPr="007C21D6">
          <w:rPr>
            <w:rStyle w:val="Hyperlink"/>
            <w:rFonts w:ascii="Arial" w:hAnsi="Arial" w:cs="Arial"/>
            <w:sz w:val="24"/>
            <w:szCs w:val="24"/>
          </w:rPr>
          <w:t>https://doi.org/10.1177/1088868307301034</w:t>
        </w:r>
      </w:hyperlink>
      <w:r w:rsidRPr="007C21D6">
        <w:rPr>
          <w:rFonts w:ascii="Arial" w:hAnsi="Arial" w:cs="Arial"/>
          <w:sz w:val="24"/>
          <w:szCs w:val="24"/>
        </w:rPr>
        <w:t>.</w:t>
      </w:r>
      <w:r>
        <w:rPr>
          <w:rFonts w:ascii="Arial" w:hAnsi="Arial" w:cs="Arial"/>
          <w:sz w:val="24"/>
          <w:szCs w:val="24"/>
        </w:rPr>
        <w:t xml:space="preserve"> (Accessed: 28 February 2026).</w:t>
      </w:r>
    </w:p>
    <w:p w14:paraId="3CC09E4A"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Mendis, K. </w:t>
      </w:r>
      <w:r w:rsidRPr="00B06F58">
        <w:rPr>
          <w:rFonts w:ascii="Arial" w:hAnsi="Arial" w:cs="Arial"/>
          <w:i/>
          <w:iCs/>
          <w:sz w:val="24"/>
          <w:szCs w:val="24"/>
        </w:rPr>
        <w:t>et al.</w:t>
      </w:r>
      <w:r w:rsidRPr="00B06F58">
        <w:rPr>
          <w:rFonts w:ascii="Arial" w:hAnsi="Arial" w:cs="Arial"/>
          <w:sz w:val="24"/>
          <w:szCs w:val="24"/>
        </w:rPr>
        <w:t xml:space="preserve"> (2011) “Belonging and Permanence: Outcomes in Long-Term Foster Care and AdoptionNina Biehal, Sarah Ellison, Claire Baker and Ian Sinclair (2010). London: British Association for Adoption &amp; Fostering, ISBN 9781907585012 - Understanding and Working With Parents of Children in Long-Term Foster CareG. Schofield &amp; E. Ward (2010). London: Jessica Kingsley, ISBN 9781849050265, £22.99, pp. 224. - Physical Punishment in Childhood: The Rights of the ChildBernadette Saunders and Chris Goddard (2010)/ Sussex, UK: W,” </w:t>
      </w:r>
      <w:r w:rsidRPr="00B06F58">
        <w:rPr>
          <w:rFonts w:ascii="Arial" w:hAnsi="Arial" w:cs="Arial"/>
          <w:i/>
          <w:iCs/>
          <w:sz w:val="24"/>
          <w:szCs w:val="24"/>
        </w:rPr>
        <w:t>Children australia</w:t>
      </w:r>
      <w:r w:rsidRPr="00B06F58">
        <w:rPr>
          <w:rFonts w:ascii="Arial" w:hAnsi="Arial" w:cs="Arial"/>
          <w:sz w:val="24"/>
          <w:szCs w:val="24"/>
        </w:rPr>
        <w:t xml:space="preserve">, pp. 36–40. Available at: </w:t>
      </w:r>
      <w:hyperlink r:id="rId40" w:history="1">
        <w:r w:rsidRPr="00B06F58">
          <w:rPr>
            <w:rStyle w:val="Hyperlink"/>
            <w:rFonts w:ascii="Arial" w:hAnsi="Arial" w:cs="Arial"/>
            <w:sz w:val="24"/>
            <w:szCs w:val="24"/>
          </w:rPr>
          <w:t>https://doi.org/10.1375/jcas.36.1.36</w:t>
        </w:r>
      </w:hyperlink>
      <w:r w:rsidRPr="00B06F58">
        <w:rPr>
          <w:rFonts w:ascii="Arial" w:hAnsi="Arial" w:cs="Arial"/>
          <w:sz w:val="24"/>
          <w:szCs w:val="24"/>
        </w:rPr>
        <w:t>.</w:t>
      </w:r>
      <w:r>
        <w:rPr>
          <w:rFonts w:ascii="Arial" w:hAnsi="Arial" w:cs="Arial"/>
          <w:sz w:val="24"/>
          <w:szCs w:val="24"/>
        </w:rPr>
        <w:t xml:space="preserve"> (Accessed: 21 February 2026).</w:t>
      </w:r>
      <w:r w:rsidRPr="00B06F58">
        <w:rPr>
          <w:rFonts w:ascii="Arial" w:hAnsi="Arial" w:cs="Arial"/>
          <w:sz w:val="24"/>
          <w:szCs w:val="24"/>
        </w:rPr>
        <w:t xml:space="preserve"> </w:t>
      </w:r>
    </w:p>
    <w:p w14:paraId="44854A49"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OpenAI (2026) </w:t>
      </w:r>
      <w:r w:rsidRPr="00B06F58">
        <w:rPr>
          <w:rFonts w:ascii="Arial" w:hAnsi="Arial" w:cs="Arial"/>
          <w:i/>
          <w:iCs/>
          <w:sz w:val="24"/>
          <w:szCs w:val="24"/>
        </w:rPr>
        <w:t>ChatGPT (20 February version)</w:t>
      </w:r>
      <w:r w:rsidRPr="00B06F58">
        <w:rPr>
          <w:rFonts w:ascii="Arial" w:hAnsi="Arial" w:cs="Arial"/>
          <w:sz w:val="24"/>
          <w:szCs w:val="24"/>
        </w:rPr>
        <w:t xml:space="preserve"> [Large language model]. Available at: </w:t>
      </w:r>
      <w:hyperlink r:id="rId41" w:tgtFrame="_new" w:history="1">
        <w:r w:rsidRPr="00B06F58">
          <w:rPr>
            <w:rStyle w:val="Hyperlink"/>
            <w:rFonts w:ascii="Arial" w:hAnsi="Arial" w:cs="Arial"/>
            <w:sz w:val="24"/>
            <w:szCs w:val="24"/>
          </w:rPr>
          <w:t>https://chat.openai.com/</w:t>
        </w:r>
      </w:hyperlink>
      <w:r w:rsidRPr="00B06F58">
        <w:rPr>
          <w:rFonts w:ascii="Arial" w:hAnsi="Arial" w:cs="Arial"/>
          <w:sz w:val="24"/>
          <w:szCs w:val="24"/>
        </w:rPr>
        <w:t xml:space="preserve"> (Accessed: 20 February 2026).</w:t>
      </w:r>
    </w:p>
    <w:p w14:paraId="487F9E59"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Patel, S.B. </w:t>
      </w:r>
      <w:r w:rsidRPr="00B06F58">
        <w:rPr>
          <w:rFonts w:ascii="Arial" w:hAnsi="Arial" w:cs="Arial"/>
          <w:i/>
          <w:iCs/>
          <w:sz w:val="24"/>
          <w:szCs w:val="24"/>
        </w:rPr>
        <w:t xml:space="preserve">et al. </w:t>
      </w:r>
      <w:r w:rsidRPr="00B06F58">
        <w:rPr>
          <w:rFonts w:ascii="Arial" w:hAnsi="Arial" w:cs="Arial"/>
          <w:sz w:val="24"/>
          <w:szCs w:val="24"/>
        </w:rPr>
        <w:t xml:space="preserve">(2025) ‘Characterising behaviour that influence the implementation of digital-based interventions in healthcare: A systematic review’. </w:t>
      </w:r>
      <w:r w:rsidRPr="00B06F58">
        <w:rPr>
          <w:rFonts w:ascii="Arial" w:hAnsi="Arial" w:cs="Arial"/>
          <w:i/>
          <w:iCs/>
          <w:sz w:val="24"/>
          <w:szCs w:val="24"/>
        </w:rPr>
        <w:t xml:space="preserve">Journal of Medical Internet Research, </w:t>
      </w:r>
      <w:r w:rsidRPr="00B06F58">
        <w:rPr>
          <w:rFonts w:ascii="Arial" w:hAnsi="Arial" w:cs="Arial"/>
          <w:sz w:val="24"/>
          <w:szCs w:val="24"/>
        </w:rPr>
        <w:t xml:space="preserve">volume 27, (January). Available at: </w:t>
      </w:r>
      <w:hyperlink r:id="rId42" w:history="1">
        <w:r w:rsidRPr="00C839FC">
          <w:rPr>
            <w:rStyle w:val="Hyperlink"/>
            <w:rFonts w:ascii="Arial" w:hAnsi="Arial" w:cs="Arial"/>
            <w:sz w:val="24"/>
            <w:szCs w:val="24"/>
          </w:rPr>
          <w:t>Journal of Medical Internet Research - Characterizing Behaviors That Influence the Implementation of Digital-Based Interventions in Health Care: Systematic Review</w:t>
        </w:r>
      </w:hyperlink>
      <w:r w:rsidRPr="00B06F58">
        <w:rPr>
          <w:rFonts w:ascii="Arial" w:hAnsi="Arial" w:cs="Arial"/>
          <w:sz w:val="24"/>
          <w:szCs w:val="24"/>
        </w:rPr>
        <w:t xml:space="preserve"> (Accessed: 21 February 2026).</w:t>
      </w:r>
    </w:p>
    <w:p w14:paraId="62EA8F47" w14:textId="77777777" w:rsidR="0017144D" w:rsidRPr="00B06F58" w:rsidRDefault="0017144D" w:rsidP="0017144D">
      <w:pPr>
        <w:rPr>
          <w:rFonts w:ascii="Arial" w:hAnsi="Arial" w:cs="Arial"/>
          <w:sz w:val="24"/>
          <w:szCs w:val="24"/>
        </w:rPr>
      </w:pPr>
      <w:r w:rsidRPr="0076001D">
        <w:rPr>
          <w:rFonts w:ascii="Arial" w:hAnsi="Arial" w:cs="Arial"/>
          <w:sz w:val="24"/>
          <w:szCs w:val="24"/>
        </w:rPr>
        <w:t xml:space="preserve">Reese, E. (2025) “Autobiographical Memory and Narrative: Integrating Stories From Reality and Imagination Across the Lifespan,” </w:t>
      </w:r>
      <w:r w:rsidRPr="0076001D">
        <w:rPr>
          <w:rFonts w:ascii="Arial" w:hAnsi="Arial" w:cs="Arial"/>
          <w:i/>
          <w:iCs/>
          <w:sz w:val="24"/>
          <w:szCs w:val="24"/>
        </w:rPr>
        <w:t>Journal of applied research in memory and cognition</w:t>
      </w:r>
      <w:r w:rsidRPr="0076001D">
        <w:rPr>
          <w:rFonts w:ascii="Arial" w:hAnsi="Arial" w:cs="Arial"/>
          <w:sz w:val="24"/>
          <w:szCs w:val="24"/>
        </w:rPr>
        <w:t xml:space="preserve">, 14(3), pp. 444–450. Available at: </w:t>
      </w:r>
      <w:hyperlink r:id="rId43" w:history="1">
        <w:r w:rsidRPr="0076001D">
          <w:rPr>
            <w:rStyle w:val="Hyperlink"/>
            <w:rFonts w:ascii="Arial" w:hAnsi="Arial" w:cs="Arial"/>
            <w:sz w:val="24"/>
            <w:szCs w:val="24"/>
          </w:rPr>
          <w:t>https://doi.org/10.1037/mac0000252</w:t>
        </w:r>
      </w:hyperlink>
      <w:r w:rsidRPr="0076001D">
        <w:rPr>
          <w:rFonts w:ascii="Arial" w:hAnsi="Arial" w:cs="Arial"/>
          <w:sz w:val="24"/>
          <w:szCs w:val="24"/>
        </w:rPr>
        <w:t>.</w:t>
      </w:r>
      <w:r w:rsidRPr="00B06F58">
        <w:rPr>
          <w:rFonts w:ascii="Arial" w:hAnsi="Arial" w:cs="Arial"/>
          <w:sz w:val="24"/>
          <w:szCs w:val="24"/>
        </w:rPr>
        <w:t xml:space="preserve"> </w:t>
      </w:r>
      <w:r>
        <w:rPr>
          <w:rFonts w:ascii="Arial" w:hAnsi="Arial" w:cs="Arial"/>
          <w:sz w:val="24"/>
          <w:szCs w:val="24"/>
        </w:rPr>
        <w:t>(Accessed: 28 February 2026).</w:t>
      </w:r>
    </w:p>
    <w:p w14:paraId="5B87738E"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Social Care Wales (2025) </w:t>
      </w:r>
      <w:r w:rsidRPr="00B06F58">
        <w:rPr>
          <w:rFonts w:ascii="Arial" w:hAnsi="Arial" w:cs="Arial"/>
          <w:i/>
          <w:iCs/>
          <w:sz w:val="24"/>
          <w:szCs w:val="24"/>
        </w:rPr>
        <w:t xml:space="preserve">Overview: Social Services and Well-being (Wales) Act 2014. </w:t>
      </w:r>
      <w:r w:rsidRPr="00B06F58">
        <w:rPr>
          <w:rFonts w:ascii="Arial" w:hAnsi="Arial" w:cs="Arial"/>
          <w:sz w:val="24"/>
          <w:szCs w:val="24"/>
        </w:rPr>
        <w:t xml:space="preserve">Available at: </w:t>
      </w:r>
      <w:hyperlink r:id="rId44" w:history="1">
        <w:r w:rsidRPr="00B06F58">
          <w:rPr>
            <w:rStyle w:val="Hyperlink"/>
            <w:rFonts w:ascii="Arial" w:hAnsi="Arial" w:cs="Arial"/>
            <w:sz w:val="24"/>
            <w:szCs w:val="24"/>
          </w:rPr>
          <w:t>https://socialcare.wales/resources-guidance/information-and-learning-hub/sswbact/overview</w:t>
        </w:r>
      </w:hyperlink>
      <w:r w:rsidRPr="00B06F58">
        <w:rPr>
          <w:rFonts w:ascii="Arial" w:hAnsi="Arial" w:cs="Arial"/>
          <w:sz w:val="24"/>
          <w:szCs w:val="24"/>
        </w:rPr>
        <w:t xml:space="preserve"> (Accessed: 28 February 2026).</w:t>
      </w:r>
    </w:p>
    <w:p w14:paraId="7668E37A"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Social Care Wales (2025) </w:t>
      </w:r>
      <w:r w:rsidRPr="00B06F58">
        <w:rPr>
          <w:rFonts w:ascii="Arial" w:hAnsi="Arial" w:cs="Arial"/>
          <w:i/>
          <w:iCs/>
          <w:sz w:val="24"/>
          <w:szCs w:val="24"/>
        </w:rPr>
        <w:t xml:space="preserve">The digital potential tool: An insight into the digital maturity and literacy of social care in Wales. </w:t>
      </w:r>
      <w:r w:rsidRPr="00B06F58">
        <w:rPr>
          <w:rFonts w:ascii="Arial" w:hAnsi="Arial" w:cs="Arial"/>
          <w:sz w:val="24"/>
          <w:szCs w:val="24"/>
        </w:rPr>
        <w:t xml:space="preserve">Available at: </w:t>
      </w:r>
      <w:hyperlink r:id="rId45" w:history="1">
        <w:r w:rsidRPr="00A04ACD">
          <w:rPr>
            <w:rStyle w:val="Hyperlink"/>
            <w:rFonts w:ascii="Arial" w:hAnsi="Arial" w:cs="Arial"/>
            <w:sz w:val="24"/>
            <w:szCs w:val="24"/>
          </w:rPr>
          <w:t>The digital potential tool: An insight into the digital maturity and literacy of social care in Wales - Social Care Wales - Research, Data &amp; Innovation</w:t>
        </w:r>
      </w:hyperlink>
      <w:r>
        <w:rPr>
          <w:rFonts w:ascii="Arial" w:hAnsi="Arial" w:cs="Arial"/>
          <w:sz w:val="24"/>
          <w:szCs w:val="24"/>
        </w:rPr>
        <w:t xml:space="preserve"> </w:t>
      </w:r>
      <w:r w:rsidRPr="00B06F58">
        <w:rPr>
          <w:rFonts w:ascii="Arial" w:hAnsi="Arial" w:cs="Arial"/>
          <w:sz w:val="24"/>
          <w:szCs w:val="24"/>
        </w:rPr>
        <w:t>(Accessed: 21 February 2026).</w:t>
      </w:r>
    </w:p>
    <w:p w14:paraId="30EBB7CE"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Stewart, S., MacDonald, N. and Waters-Davies, J. (2024) ‘Early Childhood Education in Wales: Policy, Promises and Practice Realities’, </w:t>
      </w:r>
      <w:r w:rsidRPr="00B06F58">
        <w:rPr>
          <w:rFonts w:ascii="Arial" w:hAnsi="Arial" w:cs="Arial"/>
          <w:i/>
          <w:iCs/>
          <w:sz w:val="24"/>
          <w:szCs w:val="24"/>
        </w:rPr>
        <w:t xml:space="preserve">Wales Journal of Education, </w:t>
      </w:r>
      <w:r w:rsidRPr="00B06F58">
        <w:rPr>
          <w:rFonts w:ascii="Arial" w:hAnsi="Arial" w:cs="Arial"/>
          <w:sz w:val="24"/>
          <w:szCs w:val="24"/>
        </w:rPr>
        <w:t xml:space="preserve">26 (2), 124-139. Available at: </w:t>
      </w:r>
      <w:hyperlink r:id="rId46" w:history="1">
        <w:r w:rsidRPr="00B06F58">
          <w:rPr>
            <w:rStyle w:val="Hyperlink"/>
            <w:rFonts w:ascii="Arial" w:hAnsi="Arial" w:cs="Arial"/>
            <w:sz w:val="24"/>
            <w:szCs w:val="24"/>
          </w:rPr>
          <w:t>https://journal.uwp.co.uk/wje/article/id/695/</w:t>
        </w:r>
      </w:hyperlink>
      <w:r w:rsidRPr="00B06F58">
        <w:rPr>
          <w:rFonts w:ascii="Arial" w:hAnsi="Arial" w:cs="Arial"/>
          <w:sz w:val="24"/>
          <w:szCs w:val="24"/>
        </w:rPr>
        <w:t xml:space="preserve"> (Accessed: 28 February 2026).</w:t>
      </w:r>
    </w:p>
    <w:p w14:paraId="5DF736AC"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Swansea Council (2022) </w:t>
      </w:r>
      <w:r w:rsidRPr="00B06F58">
        <w:rPr>
          <w:rFonts w:ascii="Arial" w:hAnsi="Arial" w:cs="Arial"/>
          <w:i/>
          <w:iCs/>
          <w:sz w:val="24"/>
          <w:szCs w:val="24"/>
        </w:rPr>
        <w:t xml:space="preserve">Childcare sufficiency assessment- executive summary. </w:t>
      </w:r>
      <w:r w:rsidRPr="00B06F58">
        <w:rPr>
          <w:rFonts w:ascii="Arial" w:hAnsi="Arial" w:cs="Arial"/>
          <w:sz w:val="24"/>
          <w:szCs w:val="24"/>
        </w:rPr>
        <w:t xml:space="preserve">Available at: </w:t>
      </w:r>
      <w:hyperlink r:id="rId47" w:history="1">
        <w:r w:rsidRPr="00B06F58">
          <w:rPr>
            <w:rStyle w:val="Hyperlink"/>
            <w:rFonts w:ascii="Arial" w:hAnsi="Arial" w:cs="Arial"/>
            <w:sz w:val="24"/>
            <w:szCs w:val="24"/>
          </w:rPr>
          <w:t>Childcare sufficiency assessment - executive summary - Swansea</w:t>
        </w:r>
      </w:hyperlink>
      <w:r w:rsidRPr="00B06F58">
        <w:rPr>
          <w:rFonts w:ascii="Arial" w:hAnsi="Arial" w:cs="Arial"/>
          <w:sz w:val="24"/>
          <w:szCs w:val="24"/>
        </w:rPr>
        <w:t xml:space="preserve"> (Accessed: 23 February 2026).</w:t>
      </w:r>
    </w:p>
    <w:p w14:paraId="6FF94058" w14:textId="77777777" w:rsidR="0017144D" w:rsidRPr="00B06F58" w:rsidRDefault="0017144D" w:rsidP="0017144D">
      <w:pPr>
        <w:rPr>
          <w:rFonts w:ascii="Arial" w:hAnsi="Arial" w:cs="Arial"/>
          <w:sz w:val="24"/>
          <w:szCs w:val="24"/>
        </w:rPr>
      </w:pPr>
      <w:r w:rsidRPr="00B06F58">
        <w:rPr>
          <w:rFonts w:ascii="Arial" w:hAnsi="Arial" w:cs="Arial"/>
          <w:sz w:val="24"/>
          <w:szCs w:val="24"/>
        </w:rPr>
        <w:lastRenderedPageBreak/>
        <w:t xml:space="preserve">The Conversation (2019) </w:t>
      </w:r>
      <w:r w:rsidRPr="00B06F58">
        <w:rPr>
          <w:rFonts w:ascii="Arial" w:hAnsi="Arial" w:cs="Arial"/>
          <w:i/>
          <w:iCs/>
          <w:sz w:val="24"/>
          <w:szCs w:val="24"/>
        </w:rPr>
        <w:t xml:space="preserve">Care leavers: ‘Trying to access childhood records is distressing and dehumanising’. </w:t>
      </w:r>
      <w:r w:rsidRPr="00B06F58">
        <w:rPr>
          <w:rFonts w:ascii="Arial" w:hAnsi="Arial" w:cs="Arial"/>
          <w:sz w:val="24"/>
          <w:szCs w:val="24"/>
        </w:rPr>
        <w:t xml:space="preserve">Available at: </w:t>
      </w:r>
      <w:hyperlink r:id="rId48" w:history="1">
        <w:r w:rsidRPr="00B06F58">
          <w:rPr>
            <w:rStyle w:val="Hyperlink"/>
            <w:rFonts w:ascii="Arial" w:hAnsi="Arial" w:cs="Arial"/>
            <w:sz w:val="24"/>
            <w:szCs w:val="24"/>
          </w:rPr>
          <w:t>Care leavers: ‘Trying to access childhood records is distressing and dehumanising’</w:t>
        </w:r>
      </w:hyperlink>
      <w:r w:rsidRPr="00B06F58">
        <w:rPr>
          <w:rFonts w:ascii="Arial" w:hAnsi="Arial" w:cs="Arial"/>
          <w:sz w:val="24"/>
          <w:szCs w:val="24"/>
        </w:rPr>
        <w:t xml:space="preserve"> (Accessed: 20 February 2026).</w:t>
      </w:r>
    </w:p>
    <w:p w14:paraId="48266455"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UCL (2020) </w:t>
      </w:r>
      <w:r w:rsidRPr="00B06F58">
        <w:rPr>
          <w:rFonts w:ascii="Arial" w:hAnsi="Arial" w:cs="Arial"/>
          <w:i/>
          <w:iCs/>
          <w:sz w:val="24"/>
          <w:szCs w:val="24"/>
        </w:rPr>
        <w:t xml:space="preserve">Helping people who lived in care as children to understand their past. </w:t>
      </w:r>
      <w:r w:rsidRPr="00B06F58">
        <w:rPr>
          <w:rFonts w:ascii="Arial" w:hAnsi="Arial" w:cs="Arial"/>
          <w:sz w:val="24"/>
          <w:szCs w:val="24"/>
        </w:rPr>
        <w:t xml:space="preserve">Available at: </w:t>
      </w:r>
      <w:hyperlink r:id="rId49" w:history="1">
        <w:r w:rsidRPr="00B06F58">
          <w:rPr>
            <w:rStyle w:val="Hyperlink"/>
            <w:rFonts w:ascii="Arial" w:hAnsi="Arial" w:cs="Arial"/>
            <w:sz w:val="24"/>
            <w:szCs w:val="24"/>
          </w:rPr>
          <w:t>Helping people who lived in care as children to understand their past | Sustainable Development Goals - UCL – University College London</w:t>
        </w:r>
      </w:hyperlink>
      <w:r w:rsidRPr="00B06F58">
        <w:rPr>
          <w:rFonts w:ascii="Arial" w:hAnsi="Arial" w:cs="Arial"/>
          <w:sz w:val="24"/>
          <w:szCs w:val="24"/>
        </w:rPr>
        <w:t xml:space="preserve"> (Accessed: 20 February 2026).</w:t>
      </w:r>
    </w:p>
    <w:p w14:paraId="03E3EE2B"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United Nations (1989) </w:t>
      </w:r>
      <w:r w:rsidRPr="00B06F58">
        <w:rPr>
          <w:rFonts w:ascii="Arial" w:hAnsi="Arial" w:cs="Arial"/>
          <w:i/>
          <w:iCs/>
          <w:sz w:val="24"/>
          <w:szCs w:val="24"/>
        </w:rPr>
        <w:t xml:space="preserve">Convention on the Rights of the Child. </w:t>
      </w:r>
      <w:r w:rsidRPr="00B06F58">
        <w:rPr>
          <w:rFonts w:ascii="Arial" w:hAnsi="Arial" w:cs="Arial"/>
          <w:sz w:val="24"/>
          <w:szCs w:val="24"/>
        </w:rPr>
        <w:t xml:space="preserve">Available at: </w:t>
      </w:r>
      <w:hyperlink r:id="rId50" w:history="1">
        <w:r w:rsidRPr="00B06F58">
          <w:rPr>
            <w:rStyle w:val="Hyperlink"/>
            <w:rFonts w:ascii="Arial" w:hAnsi="Arial" w:cs="Arial"/>
            <w:sz w:val="24"/>
            <w:szCs w:val="24"/>
          </w:rPr>
          <w:t>Convention on the Rights of the Child | OHCHR</w:t>
        </w:r>
      </w:hyperlink>
      <w:r w:rsidRPr="00B06F58">
        <w:rPr>
          <w:rFonts w:ascii="Arial" w:hAnsi="Arial" w:cs="Arial"/>
          <w:sz w:val="24"/>
          <w:szCs w:val="24"/>
        </w:rPr>
        <w:t xml:space="preserve"> (Accessed: 21 February 2026).</w:t>
      </w:r>
    </w:p>
    <w:p w14:paraId="5A34A091"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UnLtd (No date) </w:t>
      </w:r>
      <w:r w:rsidRPr="00B06F58">
        <w:rPr>
          <w:rFonts w:ascii="Arial" w:hAnsi="Arial" w:cs="Arial"/>
          <w:i/>
          <w:iCs/>
          <w:sz w:val="24"/>
          <w:szCs w:val="24"/>
        </w:rPr>
        <w:t xml:space="preserve">Awards. </w:t>
      </w:r>
      <w:r w:rsidRPr="00B06F58">
        <w:rPr>
          <w:rFonts w:ascii="Arial" w:hAnsi="Arial" w:cs="Arial"/>
          <w:sz w:val="24"/>
          <w:szCs w:val="24"/>
        </w:rPr>
        <w:t xml:space="preserve">Available at: </w:t>
      </w:r>
      <w:hyperlink r:id="rId51" w:history="1">
        <w:r w:rsidRPr="00B06F58">
          <w:rPr>
            <w:rStyle w:val="Hyperlink"/>
            <w:rFonts w:ascii="Arial" w:hAnsi="Arial" w:cs="Arial"/>
            <w:sz w:val="24"/>
            <w:szCs w:val="24"/>
          </w:rPr>
          <w:t>Awards | UnLtd</w:t>
        </w:r>
      </w:hyperlink>
      <w:r w:rsidRPr="00B06F58">
        <w:rPr>
          <w:rFonts w:ascii="Arial" w:hAnsi="Arial" w:cs="Arial"/>
          <w:sz w:val="24"/>
          <w:szCs w:val="24"/>
        </w:rPr>
        <w:t xml:space="preserve"> (Accessed: 23 February 2026).</w:t>
      </w:r>
    </w:p>
    <w:p w14:paraId="3000B650"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WASPI (2023) </w:t>
      </w:r>
      <w:r w:rsidRPr="00B06F58">
        <w:rPr>
          <w:rFonts w:ascii="Arial" w:hAnsi="Arial" w:cs="Arial"/>
          <w:i/>
          <w:iCs/>
          <w:sz w:val="24"/>
          <w:szCs w:val="24"/>
        </w:rPr>
        <w:t xml:space="preserve">Wales Accord on the Sharing if Personal Information. </w:t>
      </w:r>
      <w:r w:rsidRPr="00B06F58">
        <w:rPr>
          <w:rFonts w:ascii="Arial" w:hAnsi="Arial" w:cs="Arial"/>
          <w:sz w:val="24"/>
          <w:szCs w:val="24"/>
        </w:rPr>
        <w:t xml:space="preserve">Available at: </w:t>
      </w:r>
      <w:hyperlink r:id="rId52" w:history="1">
        <w:r w:rsidRPr="00B06F58">
          <w:rPr>
            <w:rStyle w:val="Hyperlink"/>
            <w:rFonts w:ascii="Arial" w:hAnsi="Arial" w:cs="Arial"/>
            <w:sz w:val="24"/>
            <w:szCs w:val="24"/>
          </w:rPr>
          <w:t>https://www.waspi.gov.wales/</w:t>
        </w:r>
      </w:hyperlink>
      <w:r w:rsidRPr="00B06F58">
        <w:rPr>
          <w:rFonts w:ascii="Arial" w:hAnsi="Arial" w:cs="Arial"/>
          <w:sz w:val="24"/>
          <w:szCs w:val="24"/>
        </w:rPr>
        <w:t xml:space="preserve"> (Accessed: 21 February 2026).</w:t>
      </w:r>
    </w:p>
    <w:p w14:paraId="265EFA86"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(2024) </w:t>
      </w:r>
      <w:r w:rsidRPr="00B06F58">
        <w:rPr>
          <w:rFonts w:ascii="Arial" w:hAnsi="Arial" w:cs="Arial"/>
          <w:i/>
          <w:iCs/>
          <w:sz w:val="24"/>
          <w:szCs w:val="24"/>
        </w:rPr>
        <w:t xml:space="preserve">Children Receiving Care and Support Census: On 31 March 2023 (official statistics in development). </w:t>
      </w:r>
      <w:r w:rsidRPr="00B06F58">
        <w:rPr>
          <w:rFonts w:ascii="Arial" w:hAnsi="Arial" w:cs="Arial"/>
          <w:sz w:val="24"/>
          <w:szCs w:val="24"/>
        </w:rPr>
        <w:t xml:space="preserve">Available at: </w:t>
      </w:r>
      <w:hyperlink r:id="rId53" w:history="1">
        <w:r w:rsidRPr="00C64C74">
          <w:rPr>
            <w:rStyle w:val="Hyperlink"/>
            <w:rFonts w:ascii="Arial" w:hAnsi="Arial" w:cs="Arial"/>
            <w:sz w:val="24"/>
            <w:szCs w:val="24"/>
          </w:rPr>
          <w:t>Children Receiving Care and Support Census: on 31 March 2023 (official statistics in development) [HTML] | GOV.WALES</w:t>
        </w:r>
      </w:hyperlink>
      <w:r w:rsidRPr="00B06F58">
        <w:rPr>
          <w:rFonts w:ascii="Arial" w:hAnsi="Arial" w:cs="Arial"/>
          <w:sz w:val="24"/>
          <w:szCs w:val="24"/>
        </w:rPr>
        <w:t xml:space="preserve"> (Accessed: 21 February 2026).</w:t>
      </w:r>
    </w:p>
    <w:p w14:paraId="24BDA9E4"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(2024) </w:t>
      </w:r>
      <w:r w:rsidRPr="00B06F58">
        <w:rPr>
          <w:rFonts w:ascii="Arial" w:hAnsi="Arial" w:cs="Arial"/>
          <w:i/>
          <w:iCs/>
          <w:sz w:val="24"/>
          <w:szCs w:val="24"/>
        </w:rPr>
        <w:t xml:space="preserve">Early Childhood Play, Learning and Care. </w:t>
      </w:r>
      <w:r w:rsidRPr="00B06F58">
        <w:rPr>
          <w:rFonts w:ascii="Arial" w:hAnsi="Arial" w:cs="Arial"/>
          <w:sz w:val="24"/>
          <w:szCs w:val="24"/>
        </w:rPr>
        <w:t xml:space="preserve">Available at: </w:t>
      </w:r>
      <w:hyperlink r:id="rId54" w:history="1">
        <w:r w:rsidRPr="00B06F58">
          <w:rPr>
            <w:rStyle w:val="Hyperlink"/>
            <w:rFonts w:ascii="Arial" w:hAnsi="Arial" w:cs="Arial"/>
            <w:sz w:val="24"/>
            <w:szCs w:val="24"/>
          </w:rPr>
          <w:t>https://www.gov.wales/sites/default/files/publications/2024-03/early-childhood-play-learning-care-plan.pdf</w:t>
        </w:r>
      </w:hyperlink>
      <w:r w:rsidRPr="00B06F58">
        <w:rPr>
          <w:rFonts w:ascii="Arial" w:hAnsi="Arial" w:cs="Arial"/>
          <w:sz w:val="24"/>
          <w:szCs w:val="24"/>
        </w:rPr>
        <w:t xml:space="preserve"> (Accessed: 28 February 2026).</w:t>
      </w:r>
    </w:p>
    <w:p w14:paraId="1B2B670C"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(2024) </w:t>
      </w:r>
      <w:r w:rsidRPr="00B06F58">
        <w:rPr>
          <w:rFonts w:ascii="Arial" w:hAnsi="Arial" w:cs="Arial"/>
          <w:i/>
          <w:iCs/>
          <w:sz w:val="24"/>
          <w:szCs w:val="24"/>
        </w:rPr>
        <w:t xml:space="preserve">Introduction to Curriculum for Wales guidance. </w:t>
      </w:r>
      <w:r w:rsidRPr="00B06F58">
        <w:rPr>
          <w:rFonts w:ascii="Arial" w:hAnsi="Arial" w:cs="Arial"/>
          <w:sz w:val="24"/>
          <w:szCs w:val="24"/>
        </w:rPr>
        <w:t xml:space="preserve">Available at: </w:t>
      </w:r>
      <w:hyperlink r:id="rId55" w:history="1">
        <w:r w:rsidRPr="00B06F58">
          <w:rPr>
            <w:rStyle w:val="Hyperlink"/>
            <w:rFonts w:ascii="Arial" w:hAnsi="Arial" w:cs="Arial"/>
            <w:sz w:val="24"/>
            <w:szCs w:val="24"/>
          </w:rPr>
          <w:t>https://hwb.gov.wales/curriculum-for-wales/introduction-to-curriculum-for-wales-guidance/</w:t>
        </w:r>
      </w:hyperlink>
      <w:r w:rsidRPr="00B06F58">
        <w:rPr>
          <w:rFonts w:ascii="Arial" w:hAnsi="Arial" w:cs="Arial"/>
          <w:sz w:val="24"/>
          <w:szCs w:val="24"/>
        </w:rPr>
        <w:t xml:space="preserve"> (Accessed 28 February 2026).</w:t>
      </w:r>
    </w:p>
    <w:p w14:paraId="6B1CFB51"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(2024) </w:t>
      </w:r>
      <w:r w:rsidRPr="00B06F58">
        <w:rPr>
          <w:rFonts w:ascii="Arial" w:hAnsi="Arial" w:cs="Arial"/>
          <w:i/>
          <w:iCs/>
          <w:sz w:val="24"/>
          <w:szCs w:val="24"/>
        </w:rPr>
        <w:t xml:space="preserve">Rights of Children and Young Persons (Wales) Measure 2011. </w:t>
      </w:r>
      <w:r w:rsidRPr="00B06F58">
        <w:rPr>
          <w:rFonts w:ascii="Arial" w:hAnsi="Arial" w:cs="Arial"/>
          <w:sz w:val="24"/>
          <w:szCs w:val="24"/>
        </w:rPr>
        <w:t xml:space="preserve">Available at: </w:t>
      </w:r>
      <w:hyperlink r:id="rId56" w:history="1">
        <w:r w:rsidRPr="00B06F58">
          <w:rPr>
            <w:rStyle w:val="Hyperlink"/>
            <w:rFonts w:ascii="Arial" w:hAnsi="Arial" w:cs="Arial"/>
            <w:sz w:val="24"/>
            <w:szCs w:val="24"/>
          </w:rPr>
          <w:t>https://law.gov.wales/rights-children-and-young-persons-wales-measure-2011</w:t>
        </w:r>
      </w:hyperlink>
      <w:r w:rsidRPr="00B06F58">
        <w:rPr>
          <w:rFonts w:ascii="Arial" w:hAnsi="Arial" w:cs="Arial"/>
          <w:sz w:val="24"/>
          <w:szCs w:val="24"/>
        </w:rPr>
        <w:t xml:space="preserve"> (Accessed: 21 February 2026). </w:t>
      </w:r>
    </w:p>
    <w:p w14:paraId="51E248F6"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(2025) </w:t>
      </w:r>
      <w:r w:rsidRPr="00B06F58">
        <w:rPr>
          <w:rFonts w:ascii="Arial" w:hAnsi="Arial" w:cs="Arial"/>
          <w:i/>
          <w:iCs/>
          <w:sz w:val="24"/>
          <w:szCs w:val="24"/>
        </w:rPr>
        <w:t xml:space="preserve">Children looked after by local authorities, April 2023 to March 2024 (official statistics in development). </w:t>
      </w:r>
      <w:r w:rsidRPr="00B06F58">
        <w:rPr>
          <w:rFonts w:ascii="Arial" w:hAnsi="Arial" w:cs="Arial"/>
          <w:sz w:val="24"/>
          <w:szCs w:val="24"/>
        </w:rPr>
        <w:t xml:space="preserve">Available at: </w:t>
      </w:r>
      <w:hyperlink r:id="rId57" w:history="1">
        <w:r w:rsidRPr="00B06F58">
          <w:rPr>
            <w:rStyle w:val="Hyperlink"/>
            <w:rFonts w:ascii="Arial" w:hAnsi="Arial" w:cs="Arial"/>
            <w:sz w:val="24"/>
            <w:szCs w:val="24"/>
          </w:rPr>
          <w:t>Children looked after by local authorities, April 2023 to March 2024 (official statistics in development) [HTML] | GOV.WALES</w:t>
        </w:r>
      </w:hyperlink>
      <w:r w:rsidRPr="00B06F58">
        <w:rPr>
          <w:rFonts w:ascii="Arial" w:hAnsi="Arial" w:cs="Arial"/>
          <w:sz w:val="24"/>
          <w:szCs w:val="24"/>
        </w:rPr>
        <w:t xml:space="preserve"> (Accessed: 20 February 2026).</w:t>
      </w:r>
    </w:p>
    <w:p w14:paraId="7115ECFE"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(2025) </w:t>
      </w:r>
      <w:r w:rsidRPr="00B06F58">
        <w:rPr>
          <w:rFonts w:ascii="Arial" w:hAnsi="Arial" w:cs="Arial"/>
          <w:i/>
          <w:iCs/>
          <w:sz w:val="24"/>
          <w:szCs w:val="24"/>
        </w:rPr>
        <w:t xml:space="preserve">Children looked after by local authorities, April 2023 to March 2024 (official statistics in development). </w:t>
      </w:r>
      <w:r w:rsidRPr="00B06F58">
        <w:rPr>
          <w:rFonts w:ascii="Arial" w:hAnsi="Arial" w:cs="Arial"/>
          <w:sz w:val="24"/>
          <w:szCs w:val="24"/>
        </w:rPr>
        <w:t xml:space="preserve">Available at: </w:t>
      </w:r>
      <w:hyperlink r:id="rId58" w:history="1">
        <w:r w:rsidRPr="00B06F58">
          <w:rPr>
            <w:rStyle w:val="Hyperlink"/>
            <w:rFonts w:ascii="Arial" w:hAnsi="Arial" w:cs="Arial"/>
            <w:sz w:val="24"/>
            <w:szCs w:val="24"/>
          </w:rPr>
          <w:t>Children looked after by local authorities, April 2023 to March 2024 (official statistics in development) [HTML] | GOV.WALES</w:t>
        </w:r>
      </w:hyperlink>
      <w:r w:rsidRPr="00B06F58">
        <w:rPr>
          <w:rFonts w:ascii="Arial" w:hAnsi="Arial" w:cs="Arial"/>
          <w:sz w:val="24"/>
          <w:szCs w:val="24"/>
        </w:rPr>
        <w:t xml:space="preserve"> (Accessed: 20 February 2026).</w:t>
      </w:r>
    </w:p>
    <w:p w14:paraId="7131AE21"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(2025) </w:t>
      </w:r>
      <w:r w:rsidRPr="00B06F58">
        <w:rPr>
          <w:rFonts w:ascii="Arial" w:hAnsi="Arial" w:cs="Arial"/>
          <w:i/>
          <w:iCs/>
          <w:sz w:val="24"/>
          <w:szCs w:val="24"/>
        </w:rPr>
        <w:t xml:space="preserve">National multi-agency practice framework for children’s services. </w:t>
      </w:r>
      <w:r w:rsidRPr="00B06F58">
        <w:rPr>
          <w:rFonts w:ascii="Arial" w:hAnsi="Arial" w:cs="Arial"/>
          <w:sz w:val="24"/>
          <w:szCs w:val="24"/>
        </w:rPr>
        <w:t xml:space="preserve">Available at: </w:t>
      </w:r>
      <w:hyperlink r:id="rId59" w:history="1">
        <w:r w:rsidRPr="00B06F58">
          <w:rPr>
            <w:rStyle w:val="Hyperlink"/>
            <w:rFonts w:ascii="Arial" w:hAnsi="Arial" w:cs="Arial"/>
            <w:sz w:val="24"/>
            <w:szCs w:val="24"/>
          </w:rPr>
          <w:t>https://www.gov.wales/national-multi-agency-practice-framework-childrens-services-html</w:t>
        </w:r>
      </w:hyperlink>
      <w:r w:rsidRPr="00B06F58">
        <w:rPr>
          <w:rFonts w:ascii="Arial" w:hAnsi="Arial" w:cs="Arial"/>
          <w:sz w:val="24"/>
          <w:szCs w:val="24"/>
        </w:rPr>
        <w:t xml:space="preserve"> (Accessed: 20 February 2026).</w:t>
      </w:r>
    </w:p>
    <w:p w14:paraId="19F20A86"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(2025) </w:t>
      </w:r>
      <w:r w:rsidRPr="00B06F58">
        <w:rPr>
          <w:rFonts w:ascii="Arial" w:hAnsi="Arial" w:cs="Arial"/>
          <w:i/>
          <w:iCs/>
          <w:sz w:val="24"/>
          <w:szCs w:val="24"/>
        </w:rPr>
        <w:t xml:space="preserve">National practice guidance for therapeutic support for care experienced children and young people. </w:t>
      </w:r>
      <w:r w:rsidRPr="00B06F58">
        <w:rPr>
          <w:rFonts w:ascii="Arial" w:hAnsi="Arial" w:cs="Arial"/>
          <w:sz w:val="24"/>
          <w:szCs w:val="24"/>
        </w:rPr>
        <w:t xml:space="preserve">Available at: </w:t>
      </w:r>
      <w:hyperlink r:id="rId60" w:history="1">
        <w:r w:rsidRPr="00B06F58">
          <w:rPr>
            <w:rStyle w:val="Hyperlink"/>
            <w:rFonts w:ascii="Arial" w:hAnsi="Arial" w:cs="Arial"/>
            <w:sz w:val="24"/>
            <w:szCs w:val="24"/>
          </w:rPr>
          <w:t>https://www.gov.wales/national-practice-guidance-therapeutic-support-care-experienced-children-and-young-people-html</w:t>
        </w:r>
      </w:hyperlink>
      <w:r w:rsidRPr="00B06F58">
        <w:rPr>
          <w:rFonts w:ascii="Arial" w:hAnsi="Arial" w:cs="Arial"/>
          <w:sz w:val="24"/>
          <w:szCs w:val="24"/>
        </w:rPr>
        <w:t xml:space="preserve"> (Accessed: 20 February 2026).</w:t>
      </w:r>
    </w:p>
    <w:p w14:paraId="758A64C2"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Welsh Government (2026) </w:t>
      </w:r>
      <w:r w:rsidRPr="00B06F58">
        <w:rPr>
          <w:rFonts w:ascii="Arial" w:hAnsi="Arial" w:cs="Arial"/>
          <w:i/>
          <w:iCs/>
          <w:sz w:val="24"/>
          <w:szCs w:val="24"/>
        </w:rPr>
        <w:t xml:space="preserve">Apply for the Digital Inclusion Wales Grant. </w:t>
      </w:r>
      <w:r w:rsidRPr="00B06F58">
        <w:rPr>
          <w:rFonts w:ascii="Arial" w:hAnsi="Arial" w:cs="Arial"/>
          <w:sz w:val="24"/>
          <w:szCs w:val="24"/>
        </w:rPr>
        <w:t xml:space="preserve">Available at: </w:t>
      </w:r>
      <w:hyperlink r:id="rId61" w:anchor="187628" w:history="1">
        <w:r w:rsidRPr="00B06F58">
          <w:rPr>
            <w:rStyle w:val="Hyperlink"/>
            <w:rFonts w:ascii="Arial" w:hAnsi="Arial" w:cs="Arial"/>
            <w:sz w:val="24"/>
            <w:szCs w:val="24"/>
          </w:rPr>
          <w:t>Apply for the Digital Inclusion Wales Grant | GOV.WALES</w:t>
        </w:r>
      </w:hyperlink>
      <w:r w:rsidRPr="00B06F58">
        <w:rPr>
          <w:rFonts w:ascii="Arial" w:hAnsi="Arial" w:cs="Arial"/>
          <w:sz w:val="24"/>
          <w:szCs w:val="24"/>
        </w:rPr>
        <w:t xml:space="preserve"> (Accessed: 23 February 2026).</w:t>
      </w:r>
    </w:p>
    <w:p w14:paraId="59485B83"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Whitters, H.G. (2020) </w:t>
      </w:r>
      <w:r w:rsidRPr="00B06F58">
        <w:rPr>
          <w:rFonts w:ascii="Arial" w:hAnsi="Arial" w:cs="Arial"/>
          <w:i/>
          <w:iCs/>
          <w:sz w:val="24"/>
          <w:szCs w:val="24"/>
        </w:rPr>
        <w:t>Adverse childhood experiences, attachment, and the early years learning environment : research and inclusive practice</w:t>
      </w:r>
      <w:r w:rsidRPr="00B06F58">
        <w:rPr>
          <w:rFonts w:ascii="Arial" w:hAnsi="Arial" w:cs="Arial"/>
          <w:sz w:val="24"/>
          <w:szCs w:val="24"/>
        </w:rPr>
        <w:t>. 1st ed. Abingdon, Oxon: Routledge.</w:t>
      </w:r>
    </w:p>
    <w:p w14:paraId="47EBA64D" w14:textId="77777777" w:rsidR="0017144D" w:rsidRPr="00B06F58" w:rsidRDefault="0017144D" w:rsidP="0017144D">
      <w:pPr>
        <w:rPr>
          <w:rFonts w:ascii="Arial" w:hAnsi="Arial" w:cs="Arial"/>
          <w:sz w:val="24"/>
          <w:szCs w:val="24"/>
        </w:rPr>
      </w:pPr>
      <w:r w:rsidRPr="00B06F58">
        <w:rPr>
          <w:rFonts w:ascii="Arial" w:hAnsi="Arial" w:cs="Arial"/>
          <w:sz w:val="24"/>
          <w:szCs w:val="24"/>
        </w:rPr>
        <w:t xml:space="preserve">Wijedasa, D. and Selwyn, J. (2017) ‘Examining rates and risk factors for post-order adoption disruption in England and Wales through survival analyses’, </w:t>
      </w:r>
      <w:r w:rsidRPr="00B06F58">
        <w:rPr>
          <w:rFonts w:ascii="Arial" w:hAnsi="Arial" w:cs="Arial"/>
          <w:i/>
          <w:iCs/>
          <w:sz w:val="24"/>
          <w:szCs w:val="24"/>
        </w:rPr>
        <w:t xml:space="preserve">Children and Youth Services Review, </w:t>
      </w:r>
      <w:r w:rsidRPr="00B06F58">
        <w:rPr>
          <w:rFonts w:ascii="Arial" w:hAnsi="Arial" w:cs="Arial"/>
          <w:sz w:val="24"/>
          <w:szCs w:val="24"/>
        </w:rPr>
        <w:t xml:space="preserve">Vol.83, pp. 179-189. Available at: </w:t>
      </w:r>
      <w:hyperlink r:id="rId62" w:history="1">
        <w:r w:rsidRPr="00B06F58">
          <w:rPr>
            <w:rStyle w:val="Hyperlink"/>
            <w:rFonts w:ascii="Arial" w:hAnsi="Arial" w:cs="Arial"/>
            <w:sz w:val="24"/>
            <w:szCs w:val="24"/>
          </w:rPr>
          <w:t>https://doi.org/10.1016/j.childyouth.2017.10.005</w:t>
        </w:r>
      </w:hyperlink>
      <w:r w:rsidRPr="00B06F58">
        <w:rPr>
          <w:rFonts w:ascii="Arial" w:hAnsi="Arial" w:cs="Arial"/>
          <w:sz w:val="24"/>
          <w:szCs w:val="24"/>
        </w:rPr>
        <w:t xml:space="preserve"> (Accessed 28 February 2026).</w:t>
      </w:r>
    </w:p>
    <w:p w14:paraId="3657BF86" w14:textId="77777777" w:rsidR="0017144D" w:rsidRDefault="0017144D" w:rsidP="0017144D">
      <w:pPr>
        <w:rPr>
          <w:rFonts w:ascii="Arial" w:hAnsi="Arial" w:cs="Arial"/>
          <w:sz w:val="24"/>
          <w:szCs w:val="24"/>
        </w:rPr>
      </w:pPr>
      <w:r w:rsidRPr="008F5C52">
        <w:rPr>
          <w:rFonts w:ascii="Arial" w:hAnsi="Arial" w:cs="Arial"/>
          <w:sz w:val="24"/>
          <w:szCs w:val="24"/>
        </w:rPr>
        <w:t xml:space="preserve">Zeanah, C.H. and Gleason, M.M. (2015) “Annual Research Review: Attachment disorders in early childhood - clinical presentation, causes, correlates, and treatment,” </w:t>
      </w:r>
      <w:r w:rsidRPr="008F5C52">
        <w:rPr>
          <w:rFonts w:ascii="Arial" w:hAnsi="Arial" w:cs="Arial"/>
          <w:i/>
          <w:iCs/>
          <w:sz w:val="24"/>
          <w:szCs w:val="24"/>
        </w:rPr>
        <w:t>Journal of child psychology and psychiatry</w:t>
      </w:r>
      <w:r w:rsidRPr="008F5C52">
        <w:rPr>
          <w:rFonts w:ascii="Arial" w:hAnsi="Arial" w:cs="Arial"/>
          <w:sz w:val="24"/>
          <w:szCs w:val="24"/>
        </w:rPr>
        <w:t xml:space="preserve">, 56(3), pp. 207–222. Available at: </w:t>
      </w:r>
      <w:hyperlink r:id="rId63" w:history="1">
        <w:r w:rsidRPr="008F5C52">
          <w:rPr>
            <w:rStyle w:val="Hyperlink"/>
            <w:rFonts w:ascii="Arial" w:hAnsi="Arial" w:cs="Arial"/>
            <w:sz w:val="24"/>
            <w:szCs w:val="24"/>
          </w:rPr>
          <w:t>https://doi.org/10.1111/jcpp.12347</w:t>
        </w:r>
      </w:hyperlink>
      <w:r w:rsidRPr="008F5C52">
        <w:rPr>
          <w:rFonts w:ascii="Arial" w:hAnsi="Arial" w:cs="Arial"/>
          <w:sz w:val="24"/>
          <w:szCs w:val="24"/>
        </w:rPr>
        <w:t>.</w:t>
      </w:r>
      <w:r w:rsidRPr="00B06F58">
        <w:rPr>
          <w:rFonts w:ascii="Arial" w:hAnsi="Arial" w:cs="Arial"/>
          <w:sz w:val="24"/>
          <w:szCs w:val="24"/>
        </w:rPr>
        <w:t xml:space="preserve"> </w:t>
      </w:r>
      <w:r>
        <w:rPr>
          <w:rFonts w:ascii="Arial" w:hAnsi="Arial" w:cs="Arial"/>
          <w:sz w:val="24"/>
          <w:szCs w:val="24"/>
        </w:rPr>
        <w:t>(Accessed: 28 February 2026).</w:t>
      </w:r>
    </w:p>
    <w:p w14:paraId="5F5B5291" w14:textId="77777777" w:rsidR="0017144D" w:rsidRPr="00B06F58" w:rsidRDefault="0017144D" w:rsidP="0017144D">
      <w:pPr>
        <w:rPr>
          <w:rFonts w:ascii="Arial" w:hAnsi="Arial" w:cs="Arial"/>
          <w:sz w:val="24"/>
          <w:szCs w:val="24"/>
        </w:rPr>
      </w:pPr>
    </w:p>
    <w:p w14:paraId="392D4F10" w14:textId="77777777" w:rsidR="0017144D" w:rsidRPr="00A366A4" w:rsidRDefault="0017144D" w:rsidP="00A366A4">
      <w:pPr>
        <w:rPr>
          <w:rFonts w:ascii="Arial" w:hAnsi="Arial" w:cs="Arial"/>
          <w:b/>
          <w:bCs/>
          <w:sz w:val="28"/>
          <w:szCs w:val="28"/>
        </w:rPr>
      </w:pPr>
    </w:p>
    <w:p w14:paraId="08A59C2F" w14:textId="77777777" w:rsidR="00A366A4" w:rsidRPr="00680349" w:rsidRDefault="00A366A4" w:rsidP="00A366A4">
      <w:pPr>
        <w:rPr>
          <w:rFonts w:ascii="Arial" w:hAnsi="Arial" w:cs="Arial"/>
          <w:sz w:val="24"/>
          <w:szCs w:val="24"/>
        </w:rPr>
      </w:pPr>
    </w:p>
    <w:p w14:paraId="194CF33F" w14:textId="025A4C4A" w:rsidR="0073460E" w:rsidRPr="00A366A4" w:rsidRDefault="0073460E" w:rsidP="00FC0B14">
      <w:pPr>
        <w:tabs>
          <w:tab w:val="left" w:pos="1875"/>
        </w:tabs>
        <w:rPr>
          <w:rFonts w:ascii="Arial" w:hAnsi="Arial" w:cs="Arial"/>
          <w:sz w:val="24"/>
          <w:szCs w:val="24"/>
        </w:rPr>
      </w:pPr>
    </w:p>
    <w:sectPr w:rsidR="0073460E" w:rsidRPr="00A366A4">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D05BB" w14:textId="77777777" w:rsidR="00F35611" w:rsidRDefault="00F35611" w:rsidP="00BB2AAD">
      <w:pPr>
        <w:spacing w:after="0" w:line="240" w:lineRule="auto"/>
      </w:pPr>
      <w:r>
        <w:separator/>
      </w:r>
    </w:p>
  </w:endnote>
  <w:endnote w:type="continuationSeparator" w:id="0">
    <w:p w14:paraId="38C4F9B5" w14:textId="77777777" w:rsidR="00F35611" w:rsidRDefault="00F35611" w:rsidP="00BB2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4861477"/>
      <w:docPartObj>
        <w:docPartGallery w:val="Page Numbers (Bottom of Page)"/>
        <w:docPartUnique/>
      </w:docPartObj>
    </w:sdtPr>
    <w:sdtContent>
      <w:p w14:paraId="118C0085" w14:textId="745E51CF" w:rsidR="00E73D48" w:rsidRDefault="00E73D48">
        <w:pPr>
          <w:pStyle w:val="Footer"/>
          <w:jc w:val="center"/>
        </w:pPr>
        <w:r>
          <w:fldChar w:fldCharType="begin"/>
        </w:r>
        <w:r>
          <w:instrText>PAGE   \* MERGEFORMAT</w:instrText>
        </w:r>
        <w:r>
          <w:fldChar w:fldCharType="separate"/>
        </w:r>
        <w:r>
          <w:t>2</w:t>
        </w:r>
        <w:r>
          <w:fldChar w:fldCharType="end"/>
        </w:r>
      </w:p>
    </w:sdtContent>
  </w:sdt>
  <w:p w14:paraId="3DE42439" w14:textId="77777777" w:rsidR="00E73D48" w:rsidRDefault="00E73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8C473" w14:textId="77777777" w:rsidR="00F35611" w:rsidRDefault="00F35611" w:rsidP="00BB2AAD">
      <w:pPr>
        <w:spacing w:after="0" w:line="240" w:lineRule="auto"/>
      </w:pPr>
      <w:r>
        <w:separator/>
      </w:r>
    </w:p>
  </w:footnote>
  <w:footnote w:type="continuationSeparator" w:id="0">
    <w:p w14:paraId="6AE650AF" w14:textId="77777777" w:rsidR="00F35611" w:rsidRDefault="00F35611" w:rsidP="00BB2A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33F6A" w14:textId="3A871313" w:rsidR="00BB2AAD" w:rsidRDefault="00E73D48" w:rsidP="00E73D48">
    <w:pPr>
      <w:pStyle w:val="Header"/>
      <w:jc w:val="right"/>
    </w:pPr>
    <w:r>
      <w:t>ECEY6012</w:t>
    </w:r>
  </w:p>
  <w:p w14:paraId="1C4CF77E" w14:textId="14082648" w:rsidR="00E73D48" w:rsidRDefault="00E73D48" w:rsidP="00E73D48">
    <w:pPr>
      <w:pStyle w:val="Header"/>
      <w:jc w:val="right"/>
    </w:pPr>
    <w:r>
      <w:t>2404314</w:t>
    </w:r>
  </w:p>
  <w:p w14:paraId="0B7AEBD1" w14:textId="39CB3BC2" w:rsidR="00E73D48" w:rsidRPr="00A366A4" w:rsidRDefault="00E73D48" w:rsidP="00E73D48">
    <w:pPr>
      <w:pStyle w:val="Header"/>
      <w:jc w:val="right"/>
    </w:pPr>
    <w:r w:rsidRPr="00A366A4">
      <w:t>Total Word Count:</w:t>
    </w:r>
    <w:r w:rsidR="00A366A4" w:rsidRPr="00A366A4">
      <w:t xml:space="preserve"> 3067</w:t>
    </w:r>
  </w:p>
  <w:p w14:paraId="52640466" w14:textId="77777777" w:rsidR="00BB2AAD" w:rsidRDefault="00BB2A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138FB"/>
    <w:multiLevelType w:val="hybridMultilevel"/>
    <w:tmpl w:val="4B185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865D7"/>
    <w:multiLevelType w:val="hybridMultilevel"/>
    <w:tmpl w:val="B748F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64892"/>
    <w:multiLevelType w:val="hybridMultilevel"/>
    <w:tmpl w:val="BBEA9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337A5F"/>
    <w:multiLevelType w:val="hybridMultilevel"/>
    <w:tmpl w:val="6B8E8528"/>
    <w:lvl w:ilvl="0" w:tplc="F1248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111581400">
    <w:abstractNumId w:val="0"/>
  </w:num>
  <w:num w:numId="2" w16cid:durableId="1597445388">
    <w:abstractNumId w:val="1"/>
  </w:num>
  <w:num w:numId="3" w16cid:durableId="2051682012">
    <w:abstractNumId w:val="3"/>
  </w:num>
  <w:num w:numId="4" w16cid:durableId="18659706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091"/>
    <w:rsid w:val="00015969"/>
    <w:rsid w:val="00067C35"/>
    <w:rsid w:val="00096015"/>
    <w:rsid w:val="00165812"/>
    <w:rsid w:val="0017144D"/>
    <w:rsid w:val="00244CE8"/>
    <w:rsid w:val="00325E6D"/>
    <w:rsid w:val="00427BF5"/>
    <w:rsid w:val="004C5893"/>
    <w:rsid w:val="00501136"/>
    <w:rsid w:val="00540D0A"/>
    <w:rsid w:val="0059734C"/>
    <w:rsid w:val="006C2C7C"/>
    <w:rsid w:val="006F0E8E"/>
    <w:rsid w:val="00727416"/>
    <w:rsid w:val="0073460E"/>
    <w:rsid w:val="00742F76"/>
    <w:rsid w:val="007C3185"/>
    <w:rsid w:val="008A3C73"/>
    <w:rsid w:val="00A366A4"/>
    <w:rsid w:val="00A52E7D"/>
    <w:rsid w:val="00B72896"/>
    <w:rsid w:val="00B96C4D"/>
    <w:rsid w:val="00BB2AAD"/>
    <w:rsid w:val="00D63C22"/>
    <w:rsid w:val="00E73D48"/>
    <w:rsid w:val="00F01980"/>
    <w:rsid w:val="00F35611"/>
    <w:rsid w:val="00F63013"/>
    <w:rsid w:val="00F75900"/>
    <w:rsid w:val="00FC0B14"/>
    <w:rsid w:val="00FF7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FB5B8"/>
  <w15:chartTrackingRefBased/>
  <w15:docId w15:val="{5C95854C-E4C8-45B4-8957-62ABA6140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416"/>
  </w:style>
  <w:style w:type="paragraph" w:styleId="Heading1">
    <w:name w:val="heading 1"/>
    <w:basedOn w:val="Normal"/>
    <w:next w:val="Normal"/>
    <w:link w:val="Heading1Char"/>
    <w:uiPriority w:val="9"/>
    <w:qFormat/>
    <w:rsid w:val="00FF70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0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0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0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0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0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0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0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0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0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0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0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0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0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0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0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0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091"/>
    <w:rPr>
      <w:rFonts w:eastAsiaTheme="majorEastAsia" w:cstheme="majorBidi"/>
      <w:color w:val="272727" w:themeColor="text1" w:themeTint="D8"/>
    </w:rPr>
  </w:style>
  <w:style w:type="paragraph" w:styleId="Title">
    <w:name w:val="Title"/>
    <w:basedOn w:val="Normal"/>
    <w:next w:val="Normal"/>
    <w:link w:val="TitleChar"/>
    <w:uiPriority w:val="10"/>
    <w:qFormat/>
    <w:rsid w:val="00FF70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0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0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0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091"/>
    <w:pPr>
      <w:spacing w:before="160"/>
      <w:jc w:val="center"/>
    </w:pPr>
    <w:rPr>
      <w:i/>
      <w:iCs/>
      <w:color w:val="404040" w:themeColor="text1" w:themeTint="BF"/>
    </w:rPr>
  </w:style>
  <w:style w:type="character" w:customStyle="1" w:styleId="QuoteChar">
    <w:name w:val="Quote Char"/>
    <w:basedOn w:val="DefaultParagraphFont"/>
    <w:link w:val="Quote"/>
    <w:uiPriority w:val="29"/>
    <w:rsid w:val="00FF7091"/>
    <w:rPr>
      <w:i/>
      <w:iCs/>
      <w:color w:val="404040" w:themeColor="text1" w:themeTint="BF"/>
    </w:rPr>
  </w:style>
  <w:style w:type="paragraph" w:styleId="ListParagraph">
    <w:name w:val="List Paragraph"/>
    <w:basedOn w:val="Normal"/>
    <w:uiPriority w:val="34"/>
    <w:qFormat/>
    <w:rsid w:val="00FF7091"/>
    <w:pPr>
      <w:ind w:left="720"/>
      <w:contextualSpacing/>
    </w:pPr>
  </w:style>
  <w:style w:type="character" w:styleId="IntenseEmphasis">
    <w:name w:val="Intense Emphasis"/>
    <w:basedOn w:val="DefaultParagraphFont"/>
    <w:uiPriority w:val="21"/>
    <w:qFormat/>
    <w:rsid w:val="00FF7091"/>
    <w:rPr>
      <w:i/>
      <w:iCs/>
      <w:color w:val="0F4761" w:themeColor="accent1" w:themeShade="BF"/>
    </w:rPr>
  </w:style>
  <w:style w:type="paragraph" w:styleId="IntenseQuote">
    <w:name w:val="Intense Quote"/>
    <w:basedOn w:val="Normal"/>
    <w:next w:val="Normal"/>
    <w:link w:val="IntenseQuoteChar"/>
    <w:uiPriority w:val="30"/>
    <w:qFormat/>
    <w:rsid w:val="00FF70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091"/>
    <w:rPr>
      <w:i/>
      <w:iCs/>
      <w:color w:val="0F4761" w:themeColor="accent1" w:themeShade="BF"/>
    </w:rPr>
  </w:style>
  <w:style w:type="character" w:styleId="IntenseReference">
    <w:name w:val="Intense Reference"/>
    <w:basedOn w:val="DefaultParagraphFont"/>
    <w:uiPriority w:val="32"/>
    <w:qFormat/>
    <w:rsid w:val="00FF7091"/>
    <w:rPr>
      <w:b/>
      <w:bCs/>
      <w:smallCaps/>
      <w:color w:val="0F4761" w:themeColor="accent1" w:themeShade="BF"/>
      <w:spacing w:val="5"/>
    </w:rPr>
  </w:style>
  <w:style w:type="paragraph" w:styleId="Header">
    <w:name w:val="header"/>
    <w:basedOn w:val="Normal"/>
    <w:link w:val="HeaderChar"/>
    <w:uiPriority w:val="99"/>
    <w:unhideWhenUsed/>
    <w:rsid w:val="00BB2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AAD"/>
  </w:style>
  <w:style w:type="paragraph" w:styleId="Footer">
    <w:name w:val="footer"/>
    <w:basedOn w:val="Normal"/>
    <w:link w:val="FooterChar"/>
    <w:uiPriority w:val="99"/>
    <w:unhideWhenUsed/>
    <w:rsid w:val="00BB2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AAD"/>
  </w:style>
  <w:style w:type="character" w:styleId="Hyperlink">
    <w:name w:val="Hyperlink"/>
    <w:basedOn w:val="DefaultParagraphFont"/>
    <w:uiPriority w:val="99"/>
    <w:unhideWhenUsed/>
    <w:rsid w:val="006C2C7C"/>
    <w:rPr>
      <w:color w:val="467886" w:themeColor="hyperlink"/>
      <w:u w:val="single"/>
    </w:rPr>
  </w:style>
  <w:style w:type="character" w:styleId="UnresolvedMention">
    <w:name w:val="Unresolved Mention"/>
    <w:basedOn w:val="DefaultParagraphFont"/>
    <w:uiPriority w:val="99"/>
    <w:semiHidden/>
    <w:unhideWhenUsed/>
    <w:rsid w:val="006C2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8891247/" TargetMode="External"/><Relationship Id="rId21" Type="http://schemas.openxmlformats.org/officeDocument/2006/relationships/hyperlink" Target="https://academic.oup.com/bjsw/article/54/7/2957/7682339?login=false" TargetMode="External"/><Relationship Id="rId34" Type="http://schemas.openxmlformats.org/officeDocument/2006/relationships/hyperlink" Target="https://blogs.ucl.ac.uk/mirra/2018/06/12/introducing-the-mirra-project/" TargetMode="External"/><Relationship Id="rId42" Type="http://schemas.openxmlformats.org/officeDocument/2006/relationships/hyperlink" Target="https://www.jmir.org/2025/1/e56711" TargetMode="External"/><Relationship Id="rId47" Type="http://schemas.openxmlformats.org/officeDocument/2006/relationships/hyperlink" Target="https://www.swansea.gov.uk/csaexecutivesummary?lang=en" TargetMode="External"/><Relationship Id="rId50" Type="http://schemas.openxmlformats.org/officeDocument/2006/relationships/hyperlink" Target="https://www.ohchr.org/en/instruments-mechanisms/instruments/convention-rights-child" TargetMode="External"/><Relationship Id="rId55" Type="http://schemas.openxmlformats.org/officeDocument/2006/relationships/hyperlink" Target="https://hwb.gov.wales/curriculum-for-wales/introduction-to-curriculum-for-wales-guidance/" TargetMode="External"/><Relationship Id="rId63" Type="http://schemas.openxmlformats.org/officeDocument/2006/relationships/hyperlink" Target="https://doi.org/10.1111/jcpp.12347" TargetMode="External"/><Relationship Id="rId7" Type="http://schemas.openxmlformats.org/officeDocument/2006/relationships/hyperlink" Target="https://www.grammarly.com/" TargetMode="Externa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hyperlink" Target="https://scholar.google.co.uk/scholar_url?url=https://api.taylorfrancis.com/content/books/mono/download%3FidentifierName%3Ddoi%26identifierValue%3D10.4324/9780429029158%26type%3Dgooglepdf&amp;hl=en&amp;sa=X&amp;ei=B7WZabz_Df6GieoP44rvqAI&amp;scisig=AFtJQixcezDoINV54TKCRHtZDYET&amp;oi=scholarr" TargetMode="External"/><Relationship Id="rId11" Type="http://schemas.openxmlformats.org/officeDocument/2006/relationships/image" Target="media/image3.png"/><Relationship Id="rId24" Type="http://schemas.openxmlformats.org/officeDocument/2006/relationships/hyperlink" Target="https://businesswales.gov.wales/news-and-blog/swef-enterprise-and-business-grants-1" TargetMode="External"/><Relationship Id="rId32" Type="http://schemas.openxmlformats.org/officeDocument/2006/relationships/hyperlink" Target="https://www.hiw.org.uk/inspection-report-child-protection-wales-published" TargetMode="External"/><Relationship Id="rId37" Type="http://schemas.openxmlformats.org/officeDocument/2006/relationships/hyperlink" Target="https://doi.org/10.1093/tbm/ibaf010" TargetMode="External"/><Relationship Id="rId40" Type="http://schemas.openxmlformats.org/officeDocument/2006/relationships/hyperlink" Target="https://doi.org/10.1375/jcas.36.1.36" TargetMode="External"/><Relationship Id="rId45" Type="http://schemas.openxmlformats.org/officeDocument/2006/relationships/hyperlink" Target="https://insightcollective.socialcare.wales/reports/the-digital-potential-tool-an-insight-into-the-digital-maturity-and-literacy-of-social-care-in-wales" TargetMode="External"/><Relationship Id="rId53" Type="http://schemas.openxmlformats.org/officeDocument/2006/relationships/hyperlink" Target="https://www.gov.wales/children-receiving-care-and-support-census-31-march-2023-official-statistics-development-html" TargetMode="External"/><Relationship Id="rId58" Type="http://schemas.openxmlformats.org/officeDocument/2006/relationships/hyperlink" Target="https://www.gov.wales/children-looked-after-local-authorities-april-2023-march-2024-official-statistics-development-html"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gov.wales/apply-digital-inclusion-wales-grant" TargetMode="External"/><Relationship Id="rId19" Type="http://schemas.openxmlformats.org/officeDocument/2006/relationships/hyperlink" Target="https://afafostering.com/why-are-case-records-and-logs-so-important-to-young-people/" TargetMode="External"/><Relationship Id="rId14" Type="http://schemas.openxmlformats.org/officeDocument/2006/relationships/image" Target="media/image6.png"/><Relationship Id="rId22" Type="http://schemas.openxmlformats.org/officeDocument/2006/relationships/hyperlink" Target="https://businesswales.gov.wales/bigideas/young-persons-start-grant-guidance-notes" TargetMode="External"/><Relationship Id="rId27" Type="http://schemas.openxmlformats.org/officeDocument/2006/relationships/hyperlink" Target="https://doi.org/10.1111/cdep.12272" TargetMode="External"/><Relationship Id="rId30" Type="http://schemas.openxmlformats.org/officeDocument/2006/relationships/hyperlink" Target="https://www.gov.uk/government/publications/munro-review-of-child-protection-final-report-a-child-centred-system" TargetMode="External"/><Relationship Id="rId35" Type="http://schemas.openxmlformats.org/officeDocument/2006/relationships/hyperlink" Target="https://ico.org.uk/for-organisations/uk-gdpr-guidance-and-resources/" TargetMode="External"/><Relationship Id="rId43" Type="http://schemas.openxmlformats.org/officeDocument/2006/relationships/hyperlink" Target="https://doi.org/10.1037/mac0000252" TargetMode="External"/><Relationship Id="rId48" Type="http://schemas.openxmlformats.org/officeDocument/2006/relationships/hyperlink" Target="https://theconversation.com/care-leavers-trying-to-access-childhood-records-is-distressing-and-dehumanising-124381" TargetMode="External"/><Relationship Id="rId56" Type="http://schemas.openxmlformats.org/officeDocument/2006/relationships/hyperlink" Target="https://law.gov.wales/rights-children-and-young-persons-wales-measure-2011" TargetMode="External"/><Relationship Id="rId64" Type="http://schemas.openxmlformats.org/officeDocument/2006/relationships/header" Target="header1.xml"/><Relationship Id="rId8" Type="http://schemas.openxmlformats.org/officeDocument/2006/relationships/hyperlink" Target="https://chat.openai.com/" TargetMode="External"/><Relationship Id="rId51" Type="http://schemas.openxmlformats.org/officeDocument/2006/relationships/hyperlink" Target="https://unltd.org.uk/awards/"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areinspectorate.wales/sites/default/files/2023-10/231013-Easy-Read-What-Care-Inspectorate-Wales-did-from-2022-2023-en.pdf" TargetMode="External"/><Relationship Id="rId33" Type="http://schemas.openxmlformats.org/officeDocument/2006/relationships/hyperlink" Target="https://doi.org/10.1177/0308575916661129" TargetMode="External"/><Relationship Id="rId38" Type="http://schemas.openxmlformats.org/officeDocument/2006/relationships/hyperlink" Target="https://doi.org/10.1037/1089-2680.5.2.100" TargetMode="External"/><Relationship Id="rId46" Type="http://schemas.openxmlformats.org/officeDocument/2006/relationships/hyperlink" Target="https://journal.uwp.co.uk/wje/article/id/695/" TargetMode="External"/><Relationship Id="rId59" Type="http://schemas.openxmlformats.org/officeDocument/2006/relationships/hyperlink" Target="https://www.gov.wales/national-multi-agency-practice-framework-childrens-services-html" TargetMode="External"/><Relationship Id="rId67" Type="http://schemas.openxmlformats.org/officeDocument/2006/relationships/theme" Target="theme/theme1.xml"/><Relationship Id="rId20" Type="http://schemas.openxmlformats.org/officeDocument/2006/relationships/hyperlink" Target="https://doi.org/10.1111/cfs.12998" TargetMode="External"/><Relationship Id="rId41" Type="http://schemas.openxmlformats.org/officeDocument/2006/relationships/hyperlink" Target="https://chat.openai.com/" TargetMode="External"/><Relationship Id="rId54" Type="http://schemas.openxmlformats.org/officeDocument/2006/relationships/hyperlink" Target="https://www.gov.wales/sites/default/files/publications/2024-03/early-childhood-play-learning-care-plan.pdf" TargetMode="External"/><Relationship Id="rId62" Type="http://schemas.openxmlformats.org/officeDocument/2006/relationships/hyperlink" Target="https://doi.org/10.1016/j.childyouth.2017.10.00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doi.org/10.4324/9780203440841" TargetMode="External"/><Relationship Id="rId28" Type="http://schemas.openxmlformats.org/officeDocument/2006/relationships/hyperlink" Target="https://assets.publishing.service.gov.uk/media/68c024cb8c6d992f23edd79c/Early_years_foundation_stage_statutory_framework_-_for_group_and_school-based_providers.pdf.pdf" TargetMode="External"/><Relationship Id="rId36" Type="http://schemas.openxmlformats.org/officeDocument/2006/relationships/hyperlink" Target="https://doi.org/10.1037/trm0000325" TargetMode="External"/><Relationship Id="rId49" Type="http://schemas.openxmlformats.org/officeDocument/2006/relationships/hyperlink" Target="https://www.ucl.ac.uk/sustainable-development-goals/case-studies/2020/dec/helping-people-who-lived-care-children-understand-their-past" TargetMode="External"/><Relationship Id="rId57" Type="http://schemas.openxmlformats.org/officeDocument/2006/relationships/hyperlink" Target="https://www.gov.wales/children-looked-after-local-authorities-april-2023-march-2024-official-statistics-development-html" TargetMode="External"/><Relationship Id="rId10" Type="http://schemas.openxmlformats.org/officeDocument/2006/relationships/image" Target="media/image2.png"/><Relationship Id="rId31" Type="http://schemas.openxmlformats.org/officeDocument/2006/relationships/hyperlink" Target="https://www.jmir.org/2017/11/e367/" TargetMode="External"/><Relationship Id="rId44" Type="http://schemas.openxmlformats.org/officeDocument/2006/relationships/hyperlink" Target="https://socialcare.wales/resources-guidance/information-and-learning-hub/sswbact/overview" TargetMode="External"/><Relationship Id="rId52" Type="http://schemas.openxmlformats.org/officeDocument/2006/relationships/hyperlink" Target="https://www.waspi.gov.wales/" TargetMode="External"/><Relationship Id="rId60" Type="http://schemas.openxmlformats.org/officeDocument/2006/relationships/hyperlink" Target="https://www.gov.wales/national-practice-guidance-therapeutic-support-care-experienced-children-and-young-people-html"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traumaframeworkcymru.com/wp-content/uploads/2022/07/Trauma-Informed-Wales-Framework.pdf" TargetMode="External"/><Relationship Id="rId39" Type="http://schemas.openxmlformats.org/officeDocument/2006/relationships/hyperlink" Target="https://doi.org/10.1177/10888683073010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14</Pages>
  <Words>4271</Words>
  <Characters>24348</Characters>
  <Application>Microsoft Office Word</Application>
  <DocSecurity>0</DocSecurity>
  <Lines>202</Lines>
  <Paragraphs>57</Paragraphs>
  <ScaleCrop>false</ScaleCrop>
  <Company/>
  <LinksUpToDate>false</LinksUpToDate>
  <CharactersWithSpaces>28562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lynsey smith</dc:creator>
  <cp:keywords/>
  <dc:description/>
  <cp:lastModifiedBy>lynsey smith</cp:lastModifiedBy>
  <cp:revision>23</cp:revision>
  <dcterms:created xsi:type="dcterms:W3CDTF">2026-02-28T13:05:00Z</dcterms:created>
  <dcterms:modified xsi:type="dcterms:W3CDTF">2026-02-28T17:56:00Z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3287420c-b821-4e5e-a47d-16e5c65c1a69</vt:lpwstr>
  </property>
</Properties>
</file>