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E6238" w14:textId="3418D596" w:rsidR="00E849CF" w:rsidRDefault="00E849CF" w:rsidP="00E849CF">
      <w:pPr>
        <w:rPr>
          <w:rFonts w:ascii="Roboto" w:eastAsia="Times New Roman" w:hAnsi="Roboto" w:cs="Times New Roman"/>
          <w:color w:val="000000" w:themeColor="text1"/>
          <w:kern w:val="0"/>
          <w:lang w:eastAsia="en-GB"/>
          <w14:ligatures w14:val="none"/>
        </w:rPr>
      </w:pPr>
      <w:r>
        <w:rPr>
          <w:rFonts w:ascii="Roboto" w:eastAsia="Times New Roman" w:hAnsi="Roboto" w:cs="Times New Roman"/>
          <w:color w:val="000000" w:themeColor="text1"/>
          <w:kern w:val="0"/>
          <w:lang w:eastAsia="en-GB"/>
          <w14:ligatures w14:val="none"/>
        </w:rPr>
        <w:t>A major current issue in the UK health and social care sector is the severe workforce shortage, driven by a combination of underfunding, increasing demand and the lasting impact of the pandemic (also known as Covid-19). This has led to significant staffing gaps, threatening the ability to provide quality, timely care. Especially in areas where social care is low-paid and in poor conditions, which exacerbate recruitment and retention problems.</w:t>
      </w:r>
    </w:p>
    <w:p w14:paraId="59811995" w14:textId="6044740B" w:rsidR="00E849CF" w:rsidRDefault="00E849CF" w:rsidP="00E849CF">
      <w:pPr>
        <w:rPr>
          <w:rFonts w:ascii="Roboto" w:eastAsia="Times New Roman" w:hAnsi="Roboto" w:cs="Times New Roman"/>
          <w:color w:val="000000" w:themeColor="text1"/>
          <w:kern w:val="0"/>
          <w:lang w:eastAsia="en-GB"/>
          <w14:ligatures w14:val="none"/>
        </w:rPr>
      </w:pPr>
      <w:r>
        <w:rPr>
          <w:rFonts w:ascii="Roboto" w:eastAsia="Times New Roman" w:hAnsi="Roboto" w:cs="Times New Roman"/>
          <w:color w:val="000000" w:themeColor="text1"/>
          <w:kern w:val="0"/>
          <w:lang w:eastAsia="en-GB"/>
          <w14:ligatures w14:val="none"/>
        </w:rPr>
        <w:t>The workforce shortages: Scale of the problem: there are over 100,000 fewer full</w:t>
      </w:r>
      <w:r w:rsidR="00FB704A">
        <w:rPr>
          <w:rFonts w:ascii="Roboto" w:eastAsia="Times New Roman" w:hAnsi="Roboto" w:cs="Times New Roman"/>
          <w:color w:val="000000" w:themeColor="text1"/>
          <w:kern w:val="0"/>
          <w:lang w:eastAsia="en-GB"/>
          <w14:ligatures w14:val="none"/>
        </w:rPr>
        <w:t>-</w:t>
      </w:r>
      <w:r>
        <w:rPr>
          <w:rFonts w:ascii="Roboto" w:eastAsia="Times New Roman" w:hAnsi="Roboto" w:cs="Times New Roman"/>
          <w:color w:val="000000" w:themeColor="text1"/>
          <w:kern w:val="0"/>
          <w:lang w:eastAsia="en-GB"/>
          <w14:ligatures w14:val="none"/>
        </w:rPr>
        <w:t xml:space="preserve">time equivalent staff in the NHS trusts in England alone, and social care is also facing over 100,000 </w:t>
      </w:r>
      <w:r w:rsidR="00FB704A">
        <w:rPr>
          <w:rFonts w:ascii="Roboto" w:eastAsia="Times New Roman" w:hAnsi="Roboto" w:cs="Times New Roman"/>
          <w:color w:val="000000" w:themeColor="text1"/>
          <w:kern w:val="0"/>
          <w:lang w:eastAsia="en-GB"/>
          <w14:ligatures w14:val="none"/>
        </w:rPr>
        <w:t xml:space="preserve">vacancies. </w:t>
      </w:r>
    </w:p>
    <w:p w14:paraId="526AB27A" w14:textId="72A8E9B7" w:rsidR="00FB704A" w:rsidRDefault="00FB704A" w:rsidP="00E849CF">
      <w:pPr>
        <w:rPr>
          <w:color w:val="000000" w:themeColor="text1"/>
        </w:rPr>
      </w:pPr>
      <w:r>
        <w:rPr>
          <w:color w:val="000000" w:themeColor="text1"/>
        </w:rPr>
        <w:t>Causes: Staff shortages are the result of multiple factors that include underfunding, increasing patient demand, and stress-related sickness, which have led to high staff turnover.</w:t>
      </w:r>
    </w:p>
    <w:p w14:paraId="0974047B" w14:textId="27CD278F" w:rsidR="00FB704A" w:rsidRDefault="00FB704A" w:rsidP="00E849CF">
      <w:pPr>
        <w:rPr>
          <w:color w:val="000000" w:themeColor="text1"/>
        </w:rPr>
      </w:pPr>
      <w:r>
        <w:rPr>
          <w:color w:val="000000" w:themeColor="text1"/>
        </w:rPr>
        <w:t>And lastly, the impact; these shortages reduce the capacity to deliver care, len</w:t>
      </w:r>
      <w:r w:rsidR="00736A79">
        <w:rPr>
          <w:color w:val="000000" w:themeColor="text1"/>
        </w:rPr>
        <w:t xml:space="preserve">gthen waiting times and increase stress on the remaining staff. </w:t>
      </w:r>
    </w:p>
    <w:p w14:paraId="2E1D2710" w14:textId="462ED8A3" w:rsidR="00736A79" w:rsidRDefault="00736A79" w:rsidP="00E849CF">
      <w:pPr>
        <w:rPr>
          <w:color w:val="000000" w:themeColor="text1"/>
        </w:rPr>
      </w:pPr>
    </w:p>
    <w:p w14:paraId="2C907FC9" w14:textId="2B0BD0DB" w:rsidR="008E09CB" w:rsidRDefault="00736A79" w:rsidP="00E849CF">
      <w:pPr>
        <w:rPr>
          <w:color w:val="000000" w:themeColor="text1"/>
        </w:rPr>
      </w:pPr>
      <w:r>
        <w:rPr>
          <w:color w:val="000000" w:themeColor="text1"/>
        </w:rPr>
        <w:t xml:space="preserve">Underfunding and increasing demand; Pressure on resources: The system is under pressure </w:t>
      </w:r>
      <w:r w:rsidR="008E09CB">
        <w:rPr>
          <w:color w:val="000000" w:themeColor="text1"/>
        </w:rPr>
        <w:t xml:space="preserve">from an ageing population, rising care costs and demand. And long-term consequences of the pandemic, which have increased the demand. </w:t>
      </w:r>
    </w:p>
    <w:p w14:paraId="57FEB248" w14:textId="7F5836D3" w:rsidR="00736A79" w:rsidRDefault="008E09CB" w:rsidP="00E849CF">
      <w:pPr>
        <w:rPr>
          <w:color w:val="000000" w:themeColor="text1"/>
        </w:rPr>
      </w:pPr>
      <w:r>
        <w:rPr>
          <w:color w:val="000000" w:themeColor="text1"/>
        </w:rPr>
        <w:t>Funding gap: Despite the governmental investment, the funding is not keeping pace with the rising costs and demand. Particularly in social care, where spending needs to grow substantially to meet what the population needs.</w:t>
      </w:r>
    </w:p>
    <w:p w14:paraId="1FEF70C8" w14:textId="6AD3F9A1" w:rsidR="008E09CB" w:rsidRPr="008E09CB" w:rsidRDefault="008E09CB" w:rsidP="008E09CB">
      <w:pPr>
        <w:spacing w:after="150" w:line="240" w:lineRule="auto"/>
        <w:rPr>
          <w:rFonts w:eastAsia="Times New Roman" w:cs="Times New Roman"/>
          <w:b/>
          <w:bCs/>
          <w:color w:val="000000" w:themeColor="text1"/>
          <w:kern w:val="0"/>
          <w:lang w:eastAsia="en-GB"/>
          <w14:ligatures w14:val="none"/>
        </w:rPr>
      </w:pPr>
      <w:r w:rsidRPr="008E09CB">
        <w:rPr>
          <w:rFonts w:eastAsia="Times New Roman" w:cs="Times New Roman"/>
          <w:b/>
          <w:bCs/>
          <w:color w:val="000000" w:themeColor="text1"/>
          <w:kern w:val="0"/>
          <w:lang w:eastAsia="en-GB"/>
          <w14:ligatures w14:val="none"/>
        </w:rPr>
        <w:t>Impact on social care</w:t>
      </w:r>
      <w:r>
        <w:rPr>
          <w:rFonts w:eastAsia="Times New Roman" w:cs="Times New Roman"/>
          <w:b/>
          <w:bCs/>
          <w:color w:val="000000" w:themeColor="text1"/>
          <w:kern w:val="0"/>
          <w:lang w:eastAsia="en-GB"/>
          <w14:ligatures w14:val="none"/>
        </w:rPr>
        <w:t xml:space="preserve">:  </w:t>
      </w:r>
      <w:r w:rsidRPr="008E09CB">
        <w:rPr>
          <w:rFonts w:eastAsia="Times New Roman" w:cs="Times New Roman"/>
          <w:b/>
          <w:bCs/>
          <w:color w:val="000000" w:themeColor="text1"/>
          <w:kern w:val="0"/>
          <w:lang w:eastAsia="en-GB"/>
          <w14:ligatures w14:val="none"/>
        </w:rPr>
        <w:t>Low pay:</w:t>
      </w:r>
      <w:r w:rsidRPr="008E09CB">
        <w:rPr>
          <w:rFonts w:eastAsia="Times New Roman" w:cs="Times New Roman"/>
          <w:color w:val="000000" w:themeColor="text1"/>
          <w:kern w:val="0"/>
          <w:lang w:eastAsia="en-GB"/>
          <w14:ligatures w14:val="none"/>
        </w:rPr>
        <w:t> The social care sector is struggling with low pay, with a significant number of workers earning below the </w:t>
      </w:r>
      <w:hyperlink r:id="rId5" w:history="1">
        <w:r w:rsidRPr="008E09CB">
          <w:rPr>
            <w:rFonts w:eastAsia="Times New Roman" w:cs="Times New Roman"/>
            <w:color w:val="000000" w:themeColor="text1"/>
            <w:kern w:val="0"/>
            <w:lang w:eastAsia="en-GB"/>
            <w14:ligatures w14:val="none"/>
          </w:rPr>
          <w:t>National Living Wage</w:t>
        </w:r>
      </w:hyperlink>
      <w:r w:rsidRPr="008E09CB">
        <w:rPr>
          <w:rFonts w:eastAsia="Times New Roman" w:cs="Times New Roman"/>
          <w:color w:val="000000" w:themeColor="text1"/>
          <w:kern w:val="0"/>
          <w:lang w:eastAsia="en-GB"/>
          <w14:ligatures w14:val="none"/>
        </w:rPr>
        <w:t>. This is worsened by the fact that NHS nurses earn more, creating a recruitment and retention crisis.</w:t>
      </w:r>
    </w:p>
    <w:p w14:paraId="6B990F29" w14:textId="702C9FBF" w:rsidR="008E09CB" w:rsidRDefault="008E09CB" w:rsidP="008E09CB">
      <w:pPr>
        <w:spacing w:after="180" w:line="240" w:lineRule="auto"/>
        <w:rPr>
          <w:rFonts w:eastAsia="Times New Roman" w:cs="Times New Roman"/>
          <w:color w:val="000000" w:themeColor="text1"/>
          <w:kern w:val="0"/>
          <w:lang w:eastAsia="en-GB"/>
          <w14:ligatures w14:val="none"/>
        </w:rPr>
      </w:pPr>
      <w:r w:rsidRPr="008E09CB">
        <w:rPr>
          <w:rFonts w:eastAsia="Times New Roman" w:cs="Times New Roman"/>
          <w:b/>
          <w:bCs/>
          <w:color w:val="000000" w:themeColor="text1"/>
          <w:kern w:val="0"/>
          <w:lang w:eastAsia="en-GB"/>
          <w14:ligatures w14:val="none"/>
        </w:rPr>
        <w:t>Gender inequality:</w:t>
      </w:r>
      <w:r w:rsidRPr="008E09CB">
        <w:rPr>
          <w:rFonts w:eastAsia="Times New Roman" w:cs="Times New Roman"/>
          <w:color w:val="000000" w:themeColor="text1"/>
          <w:kern w:val="0"/>
          <w:lang w:eastAsia="en-GB"/>
          <w14:ligatures w14:val="none"/>
        </w:rPr>
        <w:t> Most of the social care workforce are women, meaning poor working conditions have a disproportionate impact and exacerbate gender inequalities. </w:t>
      </w:r>
    </w:p>
    <w:p w14:paraId="02AB3564" w14:textId="7026EC20" w:rsidR="008E09CB" w:rsidRPr="008E09CB" w:rsidRDefault="008E09CB" w:rsidP="008E09CB">
      <w:pPr>
        <w:spacing w:after="180" w:line="240" w:lineRule="auto"/>
        <w:rPr>
          <w:rFonts w:eastAsia="Times New Roman" w:cs="Times New Roman"/>
          <w:color w:val="000000" w:themeColor="text1"/>
          <w:kern w:val="0"/>
          <w:lang w:eastAsia="en-GB"/>
          <w14:ligatures w14:val="none"/>
        </w:rPr>
      </w:pPr>
      <w:r w:rsidRPr="008E09CB">
        <w:rPr>
          <w:rFonts w:eastAsia="Times New Roman" w:cs="Times New Roman"/>
          <w:b/>
          <w:bCs/>
          <w:color w:val="000000" w:themeColor="text1"/>
          <w:kern w:val="0"/>
          <w:lang w:eastAsia="en-GB"/>
          <w14:ligatures w14:val="none"/>
        </w:rPr>
        <w:t>Other contributing factors</w:t>
      </w:r>
      <w:r>
        <w:rPr>
          <w:rFonts w:eastAsia="Times New Roman" w:cs="Times New Roman"/>
          <w:color w:val="000000" w:themeColor="text1"/>
          <w:kern w:val="0"/>
          <w:lang w:eastAsia="en-GB"/>
          <w14:ligatures w14:val="none"/>
        </w:rPr>
        <w:t xml:space="preserve">: </w:t>
      </w:r>
      <w:r w:rsidRPr="008E09CB">
        <w:rPr>
          <w:rFonts w:eastAsia="Times New Roman" w:cs="Times New Roman"/>
          <w:b/>
          <w:bCs/>
          <w:color w:val="000000" w:themeColor="text1"/>
          <w:kern w:val="0"/>
          <w:lang w:eastAsia="en-GB"/>
          <w14:ligatures w14:val="none"/>
        </w:rPr>
        <w:t>Pandemic impact:</w:t>
      </w:r>
      <w:r w:rsidRPr="008E09CB">
        <w:rPr>
          <w:rFonts w:eastAsia="Times New Roman" w:cs="Times New Roman"/>
          <w:color w:val="000000" w:themeColor="text1"/>
          <w:kern w:val="0"/>
          <w:lang w:eastAsia="en-GB"/>
          <w14:ligatures w14:val="none"/>
        </w:rPr>
        <w:t> The pandemic significantly disrupted services, reduced capacity, and increased the pressure on already strained resources and staff.</w:t>
      </w:r>
    </w:p>
    <w:p w14:paraId="7D2BF645" w14:textId="77777777" w:rsidR="008E09CB" w:rsidRPr="008E09CB" w:rsidRDefault="008E09CB" w:rsidP="008E09CB">
      <w:pPr>
        <w:spacing w:after="180" w:line="240" w:lineRule="auto"/>
        <w:rPr>
          <w:rFonts w:eastAsia="Times New Roman" w:cs="Times New Roman"/>
          <w:color w:val="000000" w:themeColor="text1"/>
          <w:kern w:val="0"/>
          <w:lang w:eastAsia="en-GB"/>
          <w14:ligatures w14:val="none"/>
        </w:rPr>
      </w:pPr>
      <w:r w:rsidRPr="008E09CB">
        <w:rPr>
          <w:rFonts w:eastAsia="Times New Roman" w:cs="Times New Roman"/>
          <w:b/>
          <w:bCs/>
          <w:color w:val="000000" w:themeColor="text1"/>
          <w:kern w:val="0"/>
          <w:lang w:eastAsia="en-GB"/>
          <w14:ligatures w14:val="none"/>
        </w:rPr>
        <w:t>Management and systems:</w:t>
      </w:r>
      <w:r w:rsidRPr="008E09CB">
        <w:rPr>
          <w:rFonts w:eastAsia="Times New Roman" w:cs="Times New Roman"/>
          <w:color w:val="000000" w:themeColor="text1"/>
          <w:kern w:val="0"/>
          <w:lang w:eastAsia="en-GB"/>
          <w14:ligatures w14:val="none"/>
        </w:rPr>
        <w:t> Some of the issues are also linked to poor management, bureaucracy, and a slow adoption of modern technology.</w:t>
      </w:r>
    </w:p>
    <w:p w14:paraId="1A93B712" w14:textId="77777777" w:rsidR="008E09CB" w:rsidRPr="008E09CB" w:rsidRDefault="008E09CB" w:rsidP="008E09CB">
      <w:pPr>
        <w:spacing w:after="180" w:line="240" w:lineRule="auto"/>
        <w:rPr>
          <w:rFonts w:eastAsia="Times New Roman" w:cs="Times New Roman"/>
          <w:color w:val="000000" w:themeColor="text1"/>
          <w:kern w:val="0"/>
          <w:lang w:eastAsia="en-GB"/>
          <w14:ligatures w14:val="none"/>
        </w:rPr>
      </w:pPr>
      <w:r w:rsidRPr="008E09CB">
        <w:rPr>
          <w:rFonts w:eastAsia="Times New Roman" w:cs="Times New Roman"/>
          <w:b/>
          <w:bCs/>
          <w:color w:val="000000" w:themeColor="text1"/>
          <w:kern w:val="0"/>
          <w:lang w:eastAsia="en-GB"/>
          <w14:ligatures w14:val="none"/>
        </w:rPr>
        <w:t>Waiting times:</w:t>
      </w:r>
      <w:r w:rsidRPr="008E09CB">
        <w:rPr>
          <w:rFonts w:eastAsia="Times New Roman" w:cs="Times New Roman"/>
          <w:color w:val="000000" w:themeColor="text1"/>
          <w:kern w:val="0"/>
          <w:lang w:eastAsia="en-GB"/>
          <w14:ligatures w14:val="none"/>
        </w:rPr>
        <w:t> Waiting times for both GP and hospital appointments are a major cause of public dissatisfaction, with millions now waiting for non-emergency treatments. </w:t>
      </w:r>
    </w:p>
    <w:p w14:paraId="761C7EAA" w14:textId="77777777" w:rsidR="00FB704A" w:rsidRPr="008E09CB" w:rsidRDefault="00FB704A" w:rsidP="008E09CB">
      <w:pPr>
        <w:rPr>
          <w:b/>
          <w:bCs/>
          <w:color w:val="000000" w:themeColor="text1"/>
        </w:rPr>
      </w:pPr>
    </w:p>
    <w:p w14:paraId="066733CC" w14:textId="2D57AC08" w:rsidR="008E09CB" w:rsidRDefault="008E09CB" w:rsidP="008E09CB">
      <w:pPr>
        <w:rPr>
          <w:b/>
          <w:bCs/>
          <w:color w:val="000000" w:themeColor="text1"/>
        </w:rPr>
      </w:pPr>
      <w:r w:rsidRPr="008E09CB">
        <w:rPr>
          <w:b/>
          <w:bCs/>
          <w:color w:val="000000" w:themeColor="text1"/>
        </w:rPr>
        <w:t xml:space="preserve">Task 1 – Research Topic Identification </w:t>
      </w:r>
    </w:p>
    <w:p w14:paraId="3784DEBC" w14:textId="77777777" w:rsidR="008E09CB" w:rsidRDefault="008E09CB" w:rsidP="008E09CB">
      <w:pPr>
        <w:rPr>
          <w:b/>
          <w:bCs/>
          <w:color w:val="000000" w:themeColor="text1"/>
        </w:rPr>
      </w:pPr>
    </w:p>
    <w:p w14:paraId="380F393D" w14:textId="4C57DB76" w:rsidR="008A01A1" w:rsidRDefault="008A01A1" w:rsidP="008E09CB">
      <w:pPr>
        <w:rPr>
          <w:color w:val="000000" w:themeColor="text1"/>
        </w:rPr>
      </w:pPr>
      <w:r>
        <w:rPr>
          <w:color w:val="000000" w:themeColor="text1"/>
        </w:rPr>
        <w:t>The topic that I chose is the pandemic.  The pandemic happened in early 2020 (March of 2020) and lasted till the year 2023 (May of 2023. They named the virus “severe acute respiratory syndrome coronavirus 2” or “SARS-CoV-2.” The WHO officially declared the COVID-19 outbreak a pandemic.</w:t>
      </w:r>
    </w:p>
    <w:p w14:paraId="49CEFB66" w14:textId="77777777" w:rsidR="00845A46" w:rsidRPr="00845A46" w:rsidRDefault="00845A46" w:rsidP="00845A46">
      <w:pPr>
        <w:numPr>
          <w:ilvl w:val="0"/>
          <w:numId w:val="28"/>
        </w:numPr>
        <w:spacing w:before="100" w:beforeAutospacing="1" w:after="100" w:afterAutospacing="1" w:line="240" w:lineRule="auto"/>
        <w:ind w:left="960" w:right="240"/>
        <w:rPr>
          <w:rFonts w:ascii="Times New Roman" w:eastAsia="Times New Roman" w:hAnsi="Times New Roman" w:cs="Times New Roman"/>
          <w:color w:val="C4C7C5"/>
          <w:kern w:val="0"/>
          <w:lang w:eastAsia="en-GB"/>
          <w14:ligatures w14:val="none"/>
        </w:rPr>
      </w:pPr>
    </w:p>
    <w:p w14:paraId="248F5006"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The COVID-19 pandemic caused </w:t>
      </w:r>
      <w:r w:rsidRPr="00845A46">
        <w:rPr>
          <w:rFonts w:ascii="Helvetica Neue" w:eastAsia="Times New Roman" w:hAnsi="Helvetica Neue" w:cs="Times New Roman"/>
          <w:b/>
          <w:bCs/>
          <w:color w:val="FFFFFF"/>
          <w:kern w:val="0"/>
          <w:lang w:eastAsia="en-GB"/>
          <w14:ligatures w14:val="none"/>
        </w:rPr>
        <w:t>major, long-lasting disruptions</w:t>
      </w:r>
      <w:r w:rsidRPr="00845A46">
        <w:rPr>
          <w:rFonts w:ascii="Helvetica Neue" w:eastAsia="Times New Roman" w:hAnsi="Helvetica Neue" w:cs="Times New Roman"/>
          <w:color w:val="FFFFFF"/>
          <w:kern w:val="0"/>
          <w:lang w:eastAsia="en-GB"/>
          <w14:ligatures w14:val="none"/>
        </w:rPr>
        <w:t> in the UK's health and social care sector, intensifying pressure on the NHS, triggering widespread staff sickness, and creating immense backlogs in treatment.</w:t>
      </w:r>
    </w:p>
    <w:p w14:paraId="28FDB319" w14:textId="77777777" w:rsidR="00845A46" w:rsidRPr="00845A46" w:rsidRDefault="000E65C2" w:rsidP="00845A46">
      <w:pPr>
        <w:shd w:val="clear" w:color="auto" w:fill="1B1C1D"/>
        <w:spacing w:after="0" w:line="240" w:lineRule="auto"/>
        <w:rPr>
          <w:rFonts w:ascii="Helvetica Neue" w:eastAsia="Times New Roman" w:hAnsi="Helvetica Neue" w:cs="Times New Roman"/>
          <w:color w:val="FFFFFF"/>
          <w:kern w:val="0"/>
          <w:lang w:eastAsia="en-GB"/>
          <w14:ligatures w14:val="none"/>
        </w:rPr>
      </w:pPr>
      <w:r w:rsidRPr="000E65C2">
        <w:rPr>
          <w:rFonts w:ascii="Helvetica Neue" w:eastAsia="Times New Roman" w:hAnsi="Helvetica Neue" w:cs="Times New Roman"/>
          <w:noProof/>
          <w:color w:val="FFFFFF"/>
          <w:kern w:val="0"/>
          <w:lang w:eastAsia="en-GB"/>
        </w:rPr>
        <w:pict w14:anchorId="1E33F6A4">
          <v:rect id="_x0000_i1029" alt="" style="width:451.3pt;height:.05pt;mso-width-percent:0;mso-height-percent:0;mso-width-percent:0;mso-height-percent:0" o:hralign="center" o:hrstd="t" o:hr="t" fillcolor="#a0a0a0" stroked="f"/>
        </w:pict>
      </w:r>
    </w:p>
    <w:p w14:paraId="27CC9369" w14:textId="77777777" w:rsidR="00845A46" w:rsidRPr="00845A46" w:rsidRDefault="00845A46" w:rsidP="00845A46">
      <w:pPr>
        <w:shd w:val="clear" w:color="auto" w:fill="1B1C1D"/>
        <w:spacing w:before="420" w:after="120" w:line="420" w:lineRule="atLeast"/>
        <w:outlineLvl w:val="1"/>
        <w:rPr>
          <w:rFonts w:ascii="Helvetica Neue" w:eastAsia="Times New Roman" w:hAnsi="Helvetica Neue" w:cs="Times New Roman"/>
          <w:b/>
          <w:bCs/>
          <w:color w:val="FFFFFF"/>
          <w:kern w:val="0"/>
          <w:sz w:val="30"/>
          <w:szCs w:val="30"/>
          <w:lang w:eastAsia="en-GB"/>
          <w14:ligatures w14:val="none"/>
        </w:rPr>
      </w:pPr>
      <w:r w:rsidRPr="00845A46">
        <w:rPr>
          <w:rFonts w:ascii="Helvetica Neue" w:eastAsia="Times New Roman" w:hAnsi="Helvetica Neue" w:cs="Times New Roman"/>
          <w:b/>
          <w:bCs/>
          <w:color w:val="FFFFFF"/>
          <w:kern w:val="0"/>
          <w:sz w:val="30"/>
          <w:szCs w:val="30"/>
          <w:lang w:eastAsia="en-GB"/>
          <w14:ligatures w14:val="none"/>
        </w:rPr>
        <w:t>The Immediate and Systemic Impact of the Pandemic</w:t>
      </w:r>
    </w:p>
    <w:p w14:paraId="6E3FE800"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Strain on Healthcare Services and Staffing</w:t>
      </w:r>
    </w:p>
    <w:p w14:paraId="24B4456F"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The crisis led to a rapid surge in demand for care while simultaneously reducing available staff, as many healthcare workers were ill or isolating. Hospitals experienced </w:t>
      </w:r>
      <w:r w:rsidRPr="00845A46">
        <w:rPr>
          <w:rFonts w:ascii="Helvetica Neue" w:eastAsia="Times New Roman" w:hAnsi="Helvetica Neue" w:cs="Times New Roman"/>
          <w:b/>
          <w:bCs/>
          <w:color w:val="FFFFFF"/>
          <w:kern w:val="0"/>
          <w:lang w:eastAsia="en-GB"/>
          <w14:ligatures w14:val="none"/>
        </w:rPr>
        <w:t>huge surges of patients</w:t>
      </w:r>
      <w:r w:rsidRPr="00845A46">
        <w:rPr>
          <w:rFonts w:ascii="Helvetica Neue" w:eastAsia="Times New Roman" w:hAnsi="Helvetica Neue" w:cs="Times New Roman"/>
          <w:color w:val="FFFFFF"/>
          <w:kern w:val="0"/>
          <w:lang w:eastAsia="en-GB"/>
          <w14:ligatures w14:val="none"/>
        </w:rPr>
        <w:t>, especially during the first and second waves, which forced the postponement of many non-urgent appointments and procedures.</w:t>
      </w:r>
    </w:p>
    <w:p w14:paraId="32D86980"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Mental Health and Burnout</w:t>
      </w:r>
    </w:p>
    <w:p w14:paraId="3354137D"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 xml:space="preserve">Both staff and the </w:t>
      </w:r>
      <w:proofErr w:type="gramStart"/>
      <w:r w:rsidRPr="00845A46">
        <w:rPr>
          <w:rFonts w:ascii="Helvetica Neue" w:eastAsia="Times New Roman" w:hAnsi="Helvetica Neue" w:cs="Times New Roman"/>
          <w:color w:val="FFFFFF"/>
          <w:kern w:val="0"/>
          <w:lang w:eastAsia="en-GB"/>
          <w14:ligatures w14:val="none"/>
        </w:rPr>
        <w:t>general public</w:t>
      </w:r>
      <w:proofErr w:type="gramEnd"/>
      <w:r w:rsidRPr="00845A46">
        <w:rPr>
          <w:rFonts w:ascii="Helvetica Neue" w:eastAsia="Times New Roman" w:hAnsi="Helvetica Neue" w:cs="Times New Roman"/>
          <w:color w:val="FFFFFF"/>
          <w:kern w:val="0"/>
          <w:lang w:eastAsia="en-GB"/>
          <w14:ligatures w14:val="none"/>
        </w:rPr>
        <w:t xml:space="preserve"> experienced rising levels of </w:t>
      </w:r>
      <w:r w:rsidRPr="00845A46">
        <w:rPr>
          <w:rFonts w:ascii="Helvetica Neue" w:eastAsia="Times New Roman" w:hAnsi="Helvetica Neue" w:cs="Times New Roman"/>
          <w:b/>
          <w:bCs/>
          <w:color w:val="FFFFFF"/>
          <w:kern w:val="0"/>
          <w:lang w:eastAsia="en-GB"/>
          <w14:ligatures w14:val="none"/>
        </w:rPr>
        <w:t>anxiety, stress, and trauma</w:t>
      </w:r>
      <w:r w:rsidRPr="00845A46">
        <w:rPr>
          <w:rFonts w:ascii="Helvetica Neue" w:eastAsia="Times New Roman" w:hAnsi="Helvetica Neue" w:cs="Times New Roman"/>
          <w:color w:val="FFFFFF"/>
          <w:kern w:val="0"/>
          <w:lang w:eastAsia="en-GB"/>
          <w14:ligatures w14:val="none"/>
        </w:rPr>
        <w:t>. Healthcare workers</w:t>
      </w:r>
      <w:proofErr w:type="gramStart"/>
      <w:r w:rsidRPr="00845A46">
        <w:rPr>
          <w:rFonts w:ascii="Helvetica Neue" w:eastAsia="Times New Roman" w:hAnsi="Helvetica Neue" w:cs="Times New Roman"/>
          <w:color w:val="FFFFFF"/>
          <w:kern w:val="0"/>
          <w:lang w:eastAsia="en-GB"/>
          <w14:ligatures w14:val="none"/>
        </w:rPr>
        <w:t>, in particular, were</w:t>
      </w:r>
      <w:proofErr w:type="gramEnd"/>
      <w:r w:rsidRPr="00845A46">
        <w:rPr>
          <w:rFonts w:ascii="Helvetica Neue" w:eastAsia="Times New Roman" w:hAnsi="Helvetica Neue" w:cs="Times New Roman"/>
          <w:color w:val="FFFFFF"/>
          <w:kern w:val="0"/>
          <w:lang w:eastAsia="en-GB"/>
          <w14:ligatures w14:val="none"/>
        </w:rPr>
        <w:t xml:space="preserve"> exposed to high-risk environments and emotionally draining situations, contributing to widespread </w:t>
      </w:r>
      <w:r w:rsidRPr="00845A46">
        <w:rPr>
          <w:rFonts w:ascii="Helvetica Neue" w:eastAsia="Times New Roman" w:hAnsi="Helvetica Neue" w:cs="Times New Roman"/>
          <w:b/>
          <w:bCs/>
          <w:color w:val="FFFFFF"/>
          <w:kern w:val="0"/>
          <w:lang w:eastAsia="en-GB"/>
          <w14:ligatures w14:val="none"/>
        </w:rPr>
        <w:t>burnout</w:t>
      </w:r>
      <w:r w:rsidRPr="00845A46">
        <w:rPr>
          <w:rFonts w:ascii="Helvetica Neue" w:eastAsia="Times New Roman" w:hAnsi="Helvetica Neue" w:cs="Times New Roman"/>
          <w:color w:val="FFFFFF"/>
          <w:kern w:val="0"/>
          <w:lang w:eastAsia="en-GB"/>
          <w14:ligatures w14:val="none"/>
        </w:rPr>
        <w:t>. This led many to </w:t>
      </w:r>
      <w:r w:rsidRPr="00845A46">
        <w:rPr>
          <w:rFonts w:ascii="Helvetica Neue" w:eastAsia="Times New Roman" w:hAnsi="Helvetica Neue" w:cs="Times New Roman"/>
          <w:b/>
          <w:bCs/>
          <w:color w:val="FFFFFF"/>
          <w:kern w:val="0"/>
          <w:lang w:eastAsia="en-GB"/>
          <w14:ligatures w14:val="none"/>
        </w:rPr>
        <w:t>leave the sector</w:t>
      </w:r>
      <w:r w:rsidRPr="00845A46">
        <w:rPr>
          <w:rFonts w:ascii="Helvetica Neue" w:eastAsia="Times New Roman" w:hAnsi="Helvetica Neue" w:cs="Times New Roman"/>
          <w:color w:val="FFFFFF"/>
          <w:kern w:val="0"/>
          <w:lang w:eastAsia="en-GB"/>
          <w14:ligatures w14:val="none"/>
        </w:rPr>
        <w:t> after the pandemic, worsening existing workforce shortages.</w:t>
      </w:r>
    </w:p>
    <w:p w14:paraId="3B7C80E5"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Social Care Crisis</w:t>
      </w:r>
    </w:p>
    <w:p w14:paraId="3269ACE8"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Social care services were severely affected. Care homes struggled with outbreaks, a lack of </w:t>
      </w:r>
      <w:r w:rsidRPr="00845A46">
        <w:rPr>
          <w:rFonts w:ascii="Helvetica Neue" w:eastAsia="Times New Roman" w:hAnsi="Helvetica Neue" w:cs="Times New Roman"/>
          <w:b/>
          <w:bCs/>
          <w:color w:val="FFFFFF"/>
          <w:kern w:val="0"/>
          <w:lang w:eastAsia="en-GB"/>
          <w14:ligatures w14:val="none"/>
        </w:rPr>
        <w:t>Personal Protective Equipment (PPE)</w:t>
      </w:r>
      <w:r w:rsidRPr="00845A46">
        <w:rPr>
          <w:rFonts w:ascii="Helvetica Neue" w:eastAsia="Times New Roman" w:hAnsi="Helvetica Neue" w:cs="Times New Roman"/>
          <w:color w:val="FFFFFF"/>
          <w:kern w:val="0"/>
          <w:lang w:eastAsia="en-GB"/>
          <w14:ligatures w14:val="none"/>
        </w:rPr>
        <w:t>, and limited support, resulting in </w:t>
      </w:r>
      <w:r w:rsidRPr="00845A46">
        <w:rPr>
          <w:rFonts w:ascii="Helvetica Neue" w:eastAsia="Times New Roman" w:hAnsi="Helvetica Neue" w:cs="Times New Roman"/>
          <w:b/>
          <w:bCs/>
          <w:color w:val="FFFFFF"/>
          <w:kern w:val="0"/>
          <w:lang w:eastAsia="en-GB"/>
          <w14:ligatures w14:val="none"/>
        </w:rPr>
        <w:t>high mortality rates</w:t>
      </w:r>
      <w:r w:rsidRPr="00845A46">
        <w:rPr>
          <w:rFonts w:ascii="Helvetica Neue" w:eastAsia="Times New Roman" w:hAnsi="Helvetica Neue" w:cs="Times New Roman"/>
          <w:color w:val="FFFFFF"/>
          <w:kern w:val="0"/>
          <w:lang w:eastAsia="en-GB"/>
          <w14:ligatures w14:val="none"/>
        </w:rPr>
        <w:t> among vulnerable residents. Long periods of visitor restrictions also negatively impacted the wellbeing of residents and put emotional pressure on staff.</w:t>
      </w:r>
    </w:p>
    <w:p w14:paraId="1B1B0059"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Exposed Weaknesses and Policy Shifts</w:t>
      </w:r>
    </w:p>
    <w:p w14:paraId="75E9156B"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The pandemic revealed significant weaknesses in the UK’s preparedness for large-scale health emergencies, including insufficient PPE stockpiles and slow initial testing capacity. In response, services shifted towards </w:t>
      </w:r>
      <w:r w:rsidRPr="00845A46">
        <w:rPr>
          <w:rFonts w:ascii="Helvetica Neue" w:eastAsia="Times New Roman" w:hAnsi="Helvetica Neue" w:cs="Times New Roman"/>
          <w:b/>
          <w:bCs/>
          <w:color w:val="FFFFFF"/>
          <w:kern w:val="0"/>
          <w:lang w:eastAsia="en-GB"/>
          <w14:ligatures w14:val="none"/>
        </w:rPr>
        <w:t>digital healthcare</w:t>
      </w:r>
      <w:r w:rsidRPr="00845A46">
        <w:rPr>
          <w:rFonts w:ascii="Helvetica Neue" w:eastAsia="Times New Roman" w:hAnsi="Helvetica Neue" w:cs="Times New Roman"/>
          <w:color w:val="FFFFFF"/>
          <w:kern w:val="0"/>
          <w:lang w:eastAsia="en-GB"/>
          <w14:ligatures w14:val="none"/>
        </w:rPr>
        <w:t xml:space="preserve"> (like </w:t>
      </w:r>
      <w:r w:rsidRPr="00845A46">
        <w:rPr>
          <w:rFonts w:ascii="Helvetica Neue" w:eastAsia="Times New Roman" w:hAnsi="Helvetica Neue" w:cs="Times New Roman"/>
          <w:color w:val="FFFFFF"/>
          <w:kern w:val="0"/>
          <w:lang w:eastAsia="en-GB"/>
          <w14:ligatures w14:val="none"/>
        </w:rPr>
        <w:lastRenderedPageBreak/>
        <w:t>online GP consultations), which helped maintain services but created barriers and contributed to </w:t>
      </w:r>
      <w:r w:rsidRPr="00845A46">
        <w:rPr>
          <w:rFonts w:ascii="Helvetica Neue" w:eastAsia="Times New Roman" w:hAnsi="Helvetica Neue" w:cs="Times New Roman"/>
          <w:b/>
          <w:bCs/>
          <w:color w:val="FFFFFF"/>
          <w:kern w:val="0"/>
          <w:lang w:eastAsia="en-GB"/>
          <w14:ligatures w14:val="none"/>
        </w:rPr>
        <w:t>inequalities in care</w:t>
      </w:r>
      <w:r w:rsidRPr="00845A46">
        <w:rPr>
          <w:rFonts w:ascii="Helvetica Neue" w:eastAsia="Times New Roman" w:hAnsi="Helvetica Neue" w:cs="Times New Roman"/>
          <w:color w:val="FFFFFF"/>
          <w:kern w:val="0"/>
          <w:lang w:eastAsia="en-GB"/>
          <w14:ligatures w14:val="none"/>
        </w:rPr>
        <w:t> for those lacking digital access.</w:t>
      </w:r>
    </w:p>
    <w:p w14:paraId="09E7A7D4" w14:textId="77777777" w:rsidR="00845A46" w:rsidRPr="00845A46" w:rsidRDefault="000E65C2" w:rsidP="00845A46">
      <w:pPr>
        <w:shd w:val="clear" w:color="auto" w:fill="1B1C1D"/>
        <w:spacing w:after="0" w:line="240" w:lineRule="auto"/>
        <w:rPr>
          <w:rFonts w:ascii="Helvetica Neue" w:eastAsia="Times New Roman" w:hAnsi="Helvetica Neue" w:cs="Times New Roman"/>
          <w:color w:val="FFFFFF"/>
          <w:kern w:val="0"/>
          <w:lang w:eastAsia="en-GB"/>
          <w14:ligatures w14:val="none"/>
        </w:rPr>
      </w:pPr>
      <w:r w:rsidRPr="000E65C2">
        <w:rPr>
          <w:rFonts w:ascii="Helvetica Neue" w:eastAsia="Times New Roman" w:hAnsi="Helvetica Neue" w:cs="Times New Roman"/>
          <w:noProof/>
          <w:color w:val="FFFFFF"/>
          <w:kern w:val="0"/>
          <w:lang w:eastAsia="en-GB"/>
        </w:rPr>
        <w:pict w14:anchorId="4A89BAA2">
          <v:rect id="_x0000_i1028" alt="" style="width:451.3pt;height:.05pt;mso-width-percent:0;mso-height-percent:0;mso-width-percent:0;mso-height-percent:0" o:hralign="center" o:hrstd="t" o:hr="t" fillcolor="#a0a0a0" stroked="f"/>
        </w:pict>
      </w:r>
    </w:p>
    <w:p w14:paraId="171E3088" w14:textId="77777777" w:rsidR="00845A46" w:rsidRPr="00845A46" w:rsidRDefault="00845A46" w:rsidP="00845A46">
      <w:pPr>
        <w:shd w:val="clear" w:color="auto" w:fill="1B1C1D"/>
        <w:spacing w:before="420" w:after="120" w:line="420" w:lineRule="atLeast"/>
        <w:outlineLvl w:val="1"/>
        <w:rPr>
          <w:rFonts w:ascii="Helvetica Neue" w:eastAsia="Times New Roman" w:hAnsi="Helvetica Neue" w:cs="Times New Roman"/>
          <w:b/>
          <w:bCs/>
          <w:color w:val="FFFFFF"/>
          <w:kern w:val="0"/>
          <w:sz w:val="30"/>
          <w:szCs w:val="30"/>
          <w:lang w:eastAsia="en-GB"/>
          <w14:ligatures w14:val="none"/>
        </w:rPr>
      </w:pPr>
      <w:r w:rsidRPr="00845A46">
        <w:rPr>
          <w:rFonts w:ascii="Helvetica Neue" w:eastAsia="Times New Roman" w:hAnsi="Helvetica Neue" w:cs="Times New Roman"/>
          <w:b/>
          <w:bCs/>
          <w:color w:val="FFFFFF"/>
          <w:kern w:val="0"/>
          <w:sz w:val="30"/>
          <w:szCs w:val="30"/>
          <w:lang w:eastAsia="en-GB"/>
          <w14:ligatures w14:val="none"/>
        </w:rPr>
        <w:t>Long-Term Consequences and Ongoing Challenges</w:t>
      </w:r>
    </w:p>
    <w:p w14:paraId="7C3893F0"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Treatment Backlogs and Complex Cases</w:t>
      </w:r>
    </w:p>
    <w:p w14:paraId="219069C8"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The pandemic caused long-term disruptions to treatment pathways, with many people missing routine screenings (like cancer checks). This means conditions are sometimes being detected later, at </w:t>
      </w:r>
      <w:r w:rsidRPr="00845A46">
        <w:rPr>
          <w:rFonts w:ascii="Helvetica Neue" w:eastAsia="Times New Roman" w:hAnsi="Helvetica Neue" w:cs="Times New Roman"/>
          <w:b/>
          <w:bCs/>
          <w:color w:val="FFFFFF"/>
          <w:kern w:val="0"/>
          <w:lang w:eastAsia="en-GB"/>
          <w14:ligatures w14:val="none"/>
        </w:rPr>
        <w:t>more serious stages</w:t>
      </w:r>
      <w:r w:rsidRPr="00845A46">
        <w:rPr>
          <w:rFonts w:ascii="Helvetica Neue" w:eastAsia="Times New Roman" w:hAnsi="Helvetica Neue" w:cs="Times New Roman"/>
          <w:color w:val="FFFFFF"/>
          <w:kern w:val="0"/>
          <w:lang w:eastAsia="en-GB"/>
          <w14:ligatures w14:val="none"/>
        </w:rPr>
        <w:t>, forcing the NHS to deal with more complex cases that demand greater time and resources, adding intense pressure to the system.</w:t>
      </w:r>
    </w:p>
    <w:p w14:paraId="3C36E06B"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Health Inequalities</w:t>
      </w:r>
    </w:p>
    <w:p w14:paraId="204C3CA5"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The pandemic's impact was not equal. </w:t>
      </w:r>
      <w:r w:rsidRPr="00845A46">
        <w:rPr>
          <w:rFonts w:ascii="Helvetica Neue" w:eastAsia="Times New Roman" w:hAnsi="Helvetica Neue" w:cs="Times New Roman"/>
          <w:b/>
          <w:bCs/>
          <w:color w:val="FFFFFF"/>
          <w:kern w:val="0"/>
          <w:lang w:eastAsia="en-GB"/>
          <w14:ligatures w14:val="none"/>
        </w:rPr>
        <w:t>People from lower-income backgrounds, ethnic minority groups, and deprived communities</w:t>
      </w:r>
      <w:r w:rsidRPr="00845A46">
        <w:rPr>
          <w:rFonts w:ascii="Helvetica Neue" w:eastAsia="Times New Roman" w:hAnsi="Helvetica Neue" w:cs="Times New Roman"/>
          <w:color w:val="FFFFFF"/>
          <w:kern w:val="0"/>
          <w:lang w:eastAsia="en-GB"/>
          <w14:ligatures w14:val="none"/>
        </w:rPr>
        <w:t> were more likely to work frontline jobs and live in crowded housing, leading to higher infection rates and worse health outcomes. This highlighted deep inequalities that still require urgent action.</w:t>
      </w:r>
    </w:p>
    <w:p w14:paraId="27BF3C44"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Financial Strain and Public Expectations</w:t>
      </w:r>
    </w:p>
    <w:p w14:paraId="6E77CAA0"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Health and social care organizations faced significant </w:t>
      </w:r>
      <w:r w:rsidRPr="00845A46">
        <w:rPr>
          <w:rFonts w:ascii="Helvetica Neue" w:eastAsia="Times New Roman" w:hAnsi="Helvetica Neue" w:cs="Times New Roman"/>
          <w:b/>
          <w:bCs/>
          <w:color w:val="FFFFFF"/>
          <w:kern w:val="0"/>
          <w:lang w:eastAsia="en-GB"/>
          <w14:ligatures w14:val="none"/>
        </w:rPr>
        <w:t>financial strain</w:t>
      </w:r>
      <w:r w:rsidRPr="00845A46">
        <w:rPr>
          <w:rFonts w:ascii="Helvetica Neue" w:eastAsia="Times New Roman" w:hAnsi="Helvetica Neue" w:cs="Times New Roman"/>
          <w:color w:val="FFFFFF"/>
          <w:kern w:val="0"/>
          <w:lang w:eastAsia="en-GB"/>
          <w14:ligatures w14:val="none"/>
        </w:rPr>
        <w:t>, spending more on PPE and infection control while some services lost income. This, combined with new public expectations for quicker digital access and frustration over delays, has led to declining public confidence in the NHS.</w:t>
      </w:r>
    </w:p>
    <w:p w14:paraId="04A558BC"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Workforce Planning and Staff Trauma</w:t>
      </w:r>
    </w:p>
    <w:p w14:paraId="5649DA78"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The crisis highlighted the urgent need for better workforce planning, as the UK lacked enough nurses, doctors, and care workers to handle a major shock. The </w:t>
      </w:r>
      <w:r w:rsidRPr="00845A46">
        <w:rPr>
          <w:rFonts w:ascii="Helvetica Neue" w:eastAsia="Times New Roman" w:hAnsi="Helvetica Neue" w:cs="Times New Roman"/>
          <w:b/>
          <w:bCs/>
          <w:color w:val="FFFFFF"/>
          <w:kern w:val="0"/>
          <w:lang w:eastAsia="en-GB"/>
          <w14:ligatures w14:val="none"/>
        </w:rPr>
        <w:t>social care workforce</w:t>
      </w:r>
      <w:r w:rsidRPr="00845A46">
        <w:rPr>
          <w:rFonts w:ascii="Helvetica Neue" w:eastAsia="Times New Roman" w:hAnsi="Helvetica Neue" w:cs="Times New Roman"/>
          <w:color w:val="FFFFFF"/>
          <w:kern w:val="0"/>
          <w:lang w:eastAsia="en-GB"/>
          <w14:ligatures w14:val="none"/>
        </w:rPr>
        <w:t> also experienced severe emotional and physical exhaustion. Many workers reported feeling unsupported and undervalued, and the emotional burden of losing multiple residents in short periods continues to affect them years later, contributing to staff shortages.</w:t>
      </w:r>
    </w:p>
    <w:p w14:paraId="6A4F13F2" w14:textId="77777777" w:rsidR="00845A46" w:rsidRPr="00845A46" w:rsidRDefault="000E65C2" w:rsidP="00845A46">
      <w:pPr>
        <w:shd w:val="clear" w:color="auto" w:fill="1B1C1D"/>
        <w:spacing w:after="0" w:line="240" w:lineRule="auto"/>
        <w:rPr>
          <w:rFonts w:ascii="Helvetica Neue" w:eastAsia="Times New Roman" w:hAnsi="Helvetica Neue" w:cs="Times New Roman"/>
          <w:color w:val="FFFFFF"/>
          <w:kern w:val="0"/>
          <w:lang w:eastAsia="en-GB"/>
          <w14:ligatures w14:val="none"/>
        </w:rPr>
      </w:pPr>
      <w:r w:rsidRPr="000E65C2">
        <w:rPr>
          <w:rFonts w:ascii="Helvetica Neue" w:eastAsia="Times New Roman" w:hAnsi="Helvetica Neue" w:cs="Times New Roman"/>
          <w:noProof/>
          <w:color w:val="FFFFFF"/>
          <w:kern w:val="0"/>
          <w:lang w:eastAsia="en-GB"/>
        </w:rPr>
        <w:pict w14:anchorId="20C9B684">
          <v:rect id="_x0000_i1027" alt="" style="width:451.3pt;height:.05pt;mso-width-percent:0;mso-height-percent:0;mso-width-percent:0;mso-height-percent:0" o:hralign="center" o:hrstd="t" o:hr="t" fillcolor="#a0a0a0" stroked="f"/>
        </w:pict>
      </w:r>
    </w:p>
    <w:p w14:paraId="76BD0965" w14:textId="77777777" w:rsidR="00845A46" w:rsidRPr="00845A46" w:rsidRDefault="00845A46" w:rsidP="00845A46">
      <w:pPr>
        <w:shd w:val="clear" w:color="auto" w:fill="1B1C1D"/>
        <w:spacing w:before="420" w:after="120" w:line="420" w:lineRule="atLeast"/>
        <w:outlineLvl w:val="1"/>
        <w:rPr>
          <w:rFonts w:ascii="Helvetica Neue" w:eastAsia="Times New Roman" w:hAnsi="Helvetica Neue" w:cs="Times New Roman"/>
          <w:b/>
          <w:bCs/>
          <w:color w:val="FFFFFF"/>
          <w:kern w:val="0"/>
          <w:sz w:val="30"/>
          <w:szCs w:val="30"/>
          <w:lang w:eastAsia="en-GB"/>
          <w14:ligatures w14:val="none"/>
        </w:rPr>
      </w:pPr>
      <w:r w:rsidRPr="00845A46">
        <w:rPr>
          <w:rFonts w:ascii="Helvetica Neue" w:eastAsia="Times New Roman" w:hAnsi="Helvetica Neue" w:cs="Times New Roman"/>
          <w:b/>
          <w:bCs/>
          <w:color w:val="FFFFFF"/>
          <w:kern w:val="0"/>
          <w:sz w:val="30"/>
          <w:szCs w:val="30"/>
          <w:lang w:eastAsia="en-GB"/>
          <w14:ligatures w14:val="none"/>
        </w:rPr>
        <w:t>Research Methodologies for Studying the Pandemic</w:t>
      </w:r>
    </w:p>
    <w:p w14:paraId="4D1E69C4"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 xml:space="preserve">When researching the pandemic's impact on the health and social care sector, several distinct methodologies are used to gather and </w:t>
      </w:r>
      <w:proofErr w:type="spellStart"/>
      <w:r w:rsidRPr="00845A46">
        <w:rPr>
          <w:rFonts w:ascii="Helvetica Neue" w:eastAsia="Times New Roman" w:hAnsi="Helvetica Neue" w:cs="Times New Roman"/>
          <w:color w:val="FFFFFF"/>
          <w:kern w:val="0"/>
          <w:lang w:eastAsia="en-GB"/>
          <w14:ligatures w14:val="none"/>
        </w:rPr>
        <w:t>analyze</w:t>
      </w:r>
      <w:proofErr w:type="spellEnd"/>
      <w:r w:rsidRPr="00845A46">
        <w:rPr>
          <w:rFonts w:ascii="Helvetica Neue" w:eastAsia="Times New Roman" w:hAnsi="Helvetica Neue" w:cs="Times New Roman"/>
          <w:color w:val="FFFFFF"/>
          <w:kern w:val="0"/>
          <w:lang w:eastAsia="en-GB"/>
          <w14:ligatures w14:val="none"/>
        </w:rPr>
        <w:t xml:space="preserve"> evidence:</w:t>
      </w:r>
    </w:p>
    <w:tbl>
      <w:tblPr>
        <w:tblW w:w="10620" w:type="dxa"/>
        <w:tblCellSpacing w:w="15" w:type="dxa"/>
        <w:shd w:val="clear" w:color="auto" w:fill="282A2C"/>
        <w:tblCellMar>
          <w:top w:w="15" w:type="dxa"/>
          <w:left w:w="15" w:type="dxa"/>
          <w:bottom w:w="15" w:type="dxa"/>
          <w:right w:w="15" w:type="dxa"/>
        </w:tblCellMar>
        <w:tblLook w:val="04A0" w:firstRow="1" w:lastRow="0" w:firstColumn="1" w:lastColumn="0" w:noHBand="0" w:noVBand="1"/>
      </w:tblPr>
      <w:tblGrid>
        <w:gridCol w:w="1806"/>
        <w:gridCol w:w="2340"/>
        <w:gridCol w:w="3442"/>
        <w:gridCol w:w="3032"/>
      </w:tblGrid>
      <w:tr w:rsidR="00845A46" w:rsidRPr="00845A46" w14:paraId="6B70D8AB" w14:textId="77777777" w:rsidTr="00845A46">
        <w:trPr>
          <w:tblHeader/>
          <w:tblCellSpacing w:w="15" w:type="dxa"/>
        </w:trPr>
        <w:tc>
          <w:tcPr>
            <w:tcW w:w="0" w:type="auto"/>
            <w:shd w:val="clear" w:color="auto" w:fill="262627"/>
            <w:tcMar>
              <w:top w:w="120" w:type="dxa"/>
              <w:left w:w="180" w:type="dxa"/>
              <w:bottom w:w="120" w:type="dxa"/>
              <w:right w:w="180" w:type="dxa"/>
            </w:tcMar>
            <w:hideMark/>
          </w:tcPr>
          <w:p w14:paraId="22CC6AA2"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lastRenderedPageBreak/>
              <w:t>Research Type</w:t>
            </w:r>
          </w:p>
        </w:tc>
        <w:tc>
          <w:tcPr>
            <w:tcW w:w="0" w:type="auto"/>
            <w:shd w:val="clear" w:color="auto" w:fill="262627"/>
            <w:tcMar>
              <w:top w:w="120" w:type="dxa"/>
              <w:left w:w="180" w:type="dxa"/>
              <w:bottom w:w="120" w:type="dxa"/>
              <w:right w:w="180" w:type="dxa"/>
            </w:tcMar>
            <w:hideMark/>
          </w:tcPr>
          <w:p w14:paraId="172387F2"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Focus</w:t>
            </w:r>
          </w:p>
        </w:tc>
        <w:tc>
          <w:tcPr>
            <w:tcW w:w="0" w:type="auto"/>
            <w:shd w:val="clear" w:color="auto" w:fill="262627"/>
            <w:tcMar>
              <w:top w:w="120" w:type="dxa"/>
              <w:left w:w="180" w:type="dxa"/>
              <w:bottom w:w="120" w:type="dxa"/>
              <w:right w:w="180" w:type="dxa"/>
            </w:tcMar>
            <w:hideMark/>
          </w:tcPr>
          <w:p w14:paraId="49230024"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Example Methods</w:t>
            </w:r>
          </w:p>
        </w:tc>
        <w:tc>
          <w:tcPr>
            <w:tcW w:w="0" w:type="auto"/>
            <w:shd w:val="clear" w:color="auto" w:fill="262627"/>
            <w:tcMar>
              <w:top w:w="120" w:type="dxa"/>
              <w:left w:w="180" w:type="dxa"/>
              <w:bottom w:w="120" w:type="dxa"/>
              <w:right w:w="180" w:type="dxa"/>
            </w:tcMar>
            <w:hideMark/>
          </w:tcPr>
          <w:p w14:paraId="5EC94BE1"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Rationale</w:t>
            </w:r>
          </w:p>
        </w:tc>
      </w:tr>
      <w:tr w:rsidR="00845A46" w:rsidRPr="00845A46" w14:paraId="184E9853" w14:textId="77777777" w:rsidTr="00845A46">
        <w:trPr>
          <w:tblCellSpacing w:w="15" w:type="dxa"/>
        </w:trPr>
        <w:tc>
          <w:tcPr>
            <w:tcW w:w="0" w:type="auto"/>
            <w:shd w:val="clear" w:color="auto" w:fill="262627"/>
            <w:tcMar>
              <w:top w:w="120" w:type="dxa"/>
              <w:left w:w="180" w:type="dxa"/>
              <w:bottom w:w="120" w:type="dxa"/>
              <w:right w:w="180" w:type="dxa"/>
            </w:tcMar>
            <w:hideMark/>
          </w:tcPr>
          <w:p w14:paraId="63350178"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b/>
                <w:bCs/>
                <w:kern w:val="0"/>
                <w:sz w:val="21"/>
                <w:szCs w:val="21"/>
                <w:lang w:eastAsia="en-GB"/>
                <w14:ligatures w14:val="none"/>
              </w:rPr>
              <w:t>Secondary Research</w:t>
            </w:r>
          </w:p>
        </w:tc>
        <w:tc>
          <w:tcPr>
            <w:tcW w:w="0" w:type="auto"/>
            <w:shd w:val="clear" w:color="auto" w:fill="262627"/>
            <w:tcMar>
              <w:top w:w="120" w:type="dxa"/>
              <w:left w:w="180" w:type="dxa"/>
              <w:bottom w:w="120" w:type="dxa"/>
              <w:right w:w="180" w:type="dxa"/>
            </w:tcMar>
            <w:hideMark/>
          </w:tcPr>
          <w:p w14:paraId="0386416C"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Gathering existing published data and reports.</w:t>
            </w:r>
          </w:p>
        </w:tc>
        <w:tc>
          <w:tcPr>
            <w:tcW w:w="0" w:type="auto"/>
            <w:shd w:val="clear" w:color="auto" w:fill="262627"/>
            <w:tcMar>
              <w:top w:w="120" w:type="dxa"/>
              <w:left w:w="180" w:type="dxa"/>
              <w:bottom w:w="120" w:type="dxa"/>
              <w:right w:w="180" w:type="dxa"/>
            </w:tcMar>
            <w:hideMark/>
          </w:tcPr>
          <w:p w14:paraId="50888421"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Government reports (NHS, DHSC), academic papers, reports from organizations like The King’s Fund.</w:t>
            </w:r>
          </w:p>
        </w:tc>
        <w:tc>
          <w:tcPr>
            <w:tcW w:w="0" w:type="auto"/>
            <w:shd w:val="clear" w:color="auto" w:fill="262627"/>
            <w:tcMar>
              <w:top w:w="120" w:type="dxa"/>
              <w:left w:w="180" w:type="dxa"/>
              <w:bottom w:w="120" w:type="dxa"/>
              <w:right w:w="180" w:type="dxa"/>
            </w:tcMar>
            <w:hideMark/>
          </w:tcPr>
          <w:p w14:paraId="2041D329"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Provides official data, statistics, and expert analysis on workforce shortages, funding, and service delivery trends.</w:t>
            </w:r>
          </w:p>
        </w:tc>
      </w:tr>
      <w:tr w:rsidR="00845A46" w:rsidRPr="00845A46" w14:paraId="6228ABCC" w14:textId="77777777" w:rsidTr="00845A46">
        <w:trPr>
          <w:tblCellSpacing w:w="15" w:type="dxa"/>
        </w:trPr>
        <w:tc>
          <w:tcPr>
            <w:tcW w:w="0" w:type="auto"/>
            <w:shd w:val="clear" w:color="auto" w:fill="262627"/>
            <w:tcMar>
              <w:top w:w="120" w:type="dxa"/>
              <w:left w:w="180" w:type="dxa"/>
              <w:bottom w:w="120" w:type="dxa"/>
              <w:right w:w="180" w:type="dxa"/>
            </w:tcMar>
            <w:hideMark/>
          </w:tcPr>
          <w:p w14:paraId="1A36661F"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b/>
                <w:bCs/>
                <w:kern w:val="0"/>
                <w:sz w:val="21"/>
                <w:szCs w:val="21"/>
                <w:lang w:eastAsia="en-GB"/>
                <w14:ligatures w14:val="none"/>
              </w:rPr>
              <w:t>Qualitative Research</w:t>
            </w:r>
          </w:p>
        </w:tc>
        <w:tc>
          <w:tcPr>
            <w:tcW w:w="0" w:type="auto"/>
            <w:shd w:val="clear" w:color="auto" w:fill="262627"/>
            <w:tcMar>
              <w:top w:w="120" w:type="dxa"/>
              <w:left w:w="180" w:type="dxa"/>
              <w:bottom w:w="120" w:type="dxa"/>
              <w:right w:w="180" w:type="dxa"/>
            </w:tcMar>
            <w:hideMark/>
          </w:tcPr>
          <w:p w14:paraId="33F86F0E"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Collecting detailed, descriptive information on personal experiences.</w:t>
            </w:r>
          </w:p>
        </w:tc>
        <w:tc>
          <w:tcPr>
            <w:tcW w:w="0" w:type="auto"/>
            <w:shd w:val="clear" w:color="auto" w:fill="262627"/>
            <w:tcMar>
              <w:top w:w="120" w:type="dxa"/>
              <w:left w:w="180" w:type="dxa"/>
              <w:bottom w:w="120" w:type="dxa"/>
              <w:right w:w="180" w:type="dxa"/>
            </w:tcMar>
            <w:hideMark/>
          </w:tcPr>
          <w:p w14:paraId="5CC943FA"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b/>
                <w:bCs/>
                <w:kern w:val="0"/>
                <w:sz w:val="21"/>
                <w:szCs w:val="21"/>
                <w:lang w:eastAsia="en-GB"/>
                <w14:ligatures w14:val="none"/>
              </w:rPr>
              <w:t>Interviews</w:t>
            </w:r>
            <w:r w:rsidRPr="00845A46">
              <w:rPr>
                <w:rFonts w:ascii="Helvetica Neue" w:eastAsia="Times New Roman" w:hAnsi="Helvetica Neue" w:cs="Times New Roman"/>
                <w:kern w:val="0"/>
                <w:sz w:val="21"/>
                <w:szCs w:val="21"/>
                <w:lang w:eastAsia="en-GB"/>
                <w14:ligatures w14:val="none"/>
              </w:rPr>
              <w:t> with nurses or care workers, </w:t>
            </w:r>
            <w:r w:rsidRPr="00845A46">
              <w:rPr>
                <w:rFonts w:ascii="Helvetica Neue" w:eastAsia="Times New Roman" w:hAnsi="Helvetica Neue" w:cs="Times New Roman"/>
                <w:b/>
                <w:bCs/>
                <w:kern w:val="0"/>
                <w:sz w:val="21"/>
                <w:szCs w:val="21"/>
                <w:lang w:eastAsia="en-GB"/>
                <w14:ligatures w14:val="none"/>
              </w:rPr>
              <w:t>focus groups</w:t>
            </w:r>
            <w:r w:rsidRPr="00845A46">
              <w:rPr>
                <w:rFonts w:ascii="Helvetica Neue" w:eastAsia="Times New Roman" w:hAnsi="Helvetica Neue" w:cs="Times New Roman"/>
                <w:kern w:val="0"/>
                <w:sz w:val="21"/>
                <w:szCs w:val="21"/>
                <w:lang w:eastAsia="en-GB"/>
                <w14:ligatures w14:val="none"/>
              </w:rPr>
              <w:t> discussing pandemic experiences, open-ended surveys.</w:t>
            </w:r>
          </w:p>
        </w:tc>
        <w:tc>
          <w:tcPr>
            <w:tcW w:w="0" w:type="auto"/>
            <w:shd w:val="clear" w:color="auto" w:fill="262627"/>
            <w:tcMar>
              <w:top w:w="120" w:type="dxa"/>
              <w:left w:w="180" w:type="dxa"/>
              <w:bottom w:w="120" w:type="dxa"/>
              <w:right w:w="180" w:type="dxa"/>
            </w:tcMar>
            <w:hideMark/>
          </w:tcPr>
          <w:p w14:paraId="3041AA22"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Essential for understanding the emotional impact, stress, burnout, and lived experiences of staff and patients.</w:t>
            </w:r>
          </w:p>
        </w:tc>
      </w:tr>
      <w:tr w:rsidR="00845A46" w:rsidRPr="00845A46" w14:paraId="5EEF7CEC" w14:textId="77777777" w:rsidTr="00845A46">
        <w:trPr>
          <w:tblCellSpacing w:w="15" w:type="dxa"/>
        </w:trPr>
        <w:tc>
          <w:tcPr>
            <w:tcW w:w="0" w:type="auto"/>
            <w:shd w:val="clear" w:color="auto" w:fill="262627"/>
            <w:tcMar>
              <w:top w:w="120" w:type="dxa"/>
              <w:left w:w="180" w:type="dxa"/>
              <w:bottom w:w="120" w:type="dxa"/>
              <w:right w:w="180" w:type="dxa"/>
            </w:tcMar>
            <w:hideMark/>
          </w:tcPr>
          <w:p w14:paraId="4D539BF5"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b/>
                <w:bCs/>
                <w:kern w:val="0"/>
                <w:sz w:val="21"/>
                <w:szCs w:val="21"/>
                <w:lang w:eastAsia="en-GB"/>
                <w14:ligatures w14:val="none"/>
              </w:rPr>
              <w:t>Quantitative Research</w:t>
            </w:r>
          </w:p>
        </w:tc>
        <w:tc>
          <w:tcPr>
            <w:tcW w:w="0" w:type="auto"/>
            <w:shd w:val="clear" w:color="auto" w:fill="262627"/>
            <w:tcMar>
              <w:top w:w="120" w:type="dxa"/>
              <w:left w:w="180" w:type="dxa"/>
              <w:bottom w:w="120" w:type="dxa"/>
              <w:right w:w="180" w:type="dxa"/>
            </w:tcMar>
            <w:hideMark/>
          </w:tcPr>
          <w:p w14:paraId="1B92E098"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 xml:space="preserve">Collecting and </w:t>
            </w:r>
            <w:proofErr w:type="spellStart"/>
            <w:r w:rsidRPr="00845A46">
              <w:rPr>
                <w:rFonts w:ascii="Helvetica Neue" w:eastAsia="Times New Roman" w:hAnsi="Helvetica Neue" w:cs="Times New Roman"/>
                <w:kern w:val="0"/>
                <w:sz w:val="21"/>
                <w:szCs w:val="21"/>
                <w:lang w:eastAsia="en-GB"/>
                <w14:ligatures w14:val="none"/>
              </w:rPr>
              <w:t>analyzing</w:t>
            </w:r>
            <w:proofErr w:type="spellEnd"/>
            <w:r w:rsidRPr="00845A46">
              <w:rPr>
                <w:rFonts w:ascii="Helvetica Neue" w:eastAsia="Times New Roman" w:hAnsi="Helvetica Neue" w:cs="Times New Roman"/>
                <w:kern w:val="0"/>
                <w:sz w:val="21"/>
                <w:szCs w:val="21"/>
                <w:lang w:eastAsia="en-GB"/>
                <w14:ligatures w14:val="none"/>
              </w:rPr>
              <w:t xml:space="preserve"> numerical data.</w:t>
            </w:r>
          </w:p>
        </w:tc>
        <w:tc>
          <w:tcPr>
            <w:tcW w:w="0" w:type="auto"/>
            <w:shd w:val="clear" w:color="auto" w:fill="262627"/>
            <w:tcMar>
              <w:top w:w="120" w:type="dxa"/>
              <w:left w:w="180" w:type="dxa"/>
              <w:bottom w:w="120" w:type="dxa"/>
              <w:right w:w="180" w:type="dxa"/>
            </w:tcMar>
            <w:hideMark/>
          </w:tcPr>
          <w:p w14:paraId="6CBEF1D8"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Surveys with closed questions, analysis of NHS databases (COVID-19 case numbers, death rates, </w:t>
            </w:r>
            <w:r w:rsidRPr="00845A46">
              <w:rPr>
                <w:rFonts w:ascii="Helvetica Neue" w:eastAsia="Times New Roman" w:hAnsi="Helvetica Neue" w:cs="Times New Roman"/>
                <w:b/>
                <w:bCs/>
                <w:kern w:val="0"/>
                <w:sz w:val="21"/>
                <w:szCs w:val="21"/>
                <w:lang w:eastAsia="en-GB"/>
                <w14:ligatures w14:val="none"/>
              </w:rPr>
              <w:t>waiting list figures</w:t>
            </w:r>
            <w:r w:rsidRPr="00845A46">
              <w:rPr>
                <w:rFonts w:ascii="Helvetica Neue" w:eastAsia="Times New Roman" w:hAnsi="Helvetica Neue" w:cs="Times New Roman"/>
                <w:kern w:val="0"/>
                <w:sz w:val="21"/>
                <w:szCs w:val="21"/>
                <w:lang w:eastAsia="en-GB"/>
                <w14:ligatures w14:val="none"/>
              </w:rPr>
              <w:t>).</w:t>
            </w:r>
          </w:p>
        </w:tc>
        <w:tc>
          <w:tcPr>
            <w:tcW w:w="0" w:type="auto"/>
            <w:shd w:val="clear" w:color="auto" w:fill="262627"/>
            <w:tcMar>
              <w:top w:w="120" w:type="dxa"/>
              <w:left w:w="180" w:type="dxa"/>
              <w:bottom w:w="120" w:type="dxa"/>
              <w:right w:w="180" w:type="dxa"/>
            </w:tcMar>
            <w:hideMark/>
          </w:tcPr>
          <w:p w14:paraId="7450E85F"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Measures the scale of the pandemic's impact, showing </w:t>
            </w:r>
            <w:r w:rsidRPr="00845A46">
              <w:rPr>
                <w:rFonts w:ascii="Helvetica Neue" w:eastAsia="Times New Roman" w:hAnsi="Helvetica Neue" w:cs="Times New Roman"/>
                <w:i/>
                <w:iCs/>
                <w:kern w:val="0"/>
                <w:sz w:val="21"/>
                <w:szCs w:val="21"/>
                <w:lang w:eastAsia="en-GB"/>
                <w14:ligatures w14:val="none"/>
              </w:rPr>
              <w:t>how many</w:t>
            </w:r>
            <w:r w:rsidRPr="00845A46">
              <w:rPr>
                <w:rFonts w:ascii="Helvetica Neue" w:eastAsia="Times New Roman" w:hAnsi="Helvetica Neue" w:cs="Times New Roman"/>
                <w:kern w:val="0"/>
                <w:sz w:val="21"/>
                <w:szCs w:val="21"/>
                <w:lang w:eastAsia="en-GB"/>
                <w14:ligatures w14:val="none"/>
              </w:rPr>
              <w:t> staff left, or </w:t>
            </w:r>
            <w:r w:rsidRPr="00845A46">
              <w:rPr>
                <w:rFonts w:ascii="Helvetica Neue" w:eastAsia="Times New Roman" w:hAnsi="Helvetica Neue" w:cs="Times New Roman"/>
                <w:i/>
                <w:iCs/>
                <w:kern w:val="0"/>
                <w:sz w:val="21"/>
                <w:szCs w:val="21"/>
                <w:lang w:eastAsia="en-GB"/>
                <w14:ligatures w14:val="none"/>
              </w:rPr>
              <w:t>how much</w:t>
            </w:r>
            <w:r w:rsidRPr="00845A46">
              <w:rPr>
                <w:rFonts w:ascii="Helvetica Neue" w:eastAsia="Times New Roman" w:hAnsi="Helvetica Neue" w:cs="Times New Roman"/>
                <w:kern w:val="0"/>
                <w:sz w:val="21"/>
                <w:szCs w:val="21"/>
                <w:lang w:eastAsia="en-GB"/>
                <w14:ligatures w14:val="none"/>
              </w:rPr>
              <w:t> waiting times increased.</w:t>
            </w:r>
          </w:p>
        </w:tc>
      </w:tr>
      <w:tr w:rsidR="00845A46" w:rsidRPr="00845A46" w14:paraId="6F0ABF64" w14:textId="77777777" w:rsidTr="00845A46">
        <w:trPr>
          <w:tblCellSpacing w:w="15" w:type="dxa"/>
        </w:trPr>
        <w:tc>
          <w:tcPr>
            <w:tcW w:w="0" w:type="auto"/>
            <w:shd w:val="clear" w:color="auto" w:fill="262627"/>
            <w:tcMar>
              <w:top w:w="120" w:type="dxa"/>
              <w:left w:w="180" w:type="dxa"/>
              <w:bottom w:w="120" w:type="dxa"/>
              <w:right w:w="180" w:type="dxa"/>
            </w:tcMar>
            <w:hideMark/>
          </w:tcPr>
          <w:p w14:paraId="24983FAE"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b/>
                <w:bCs/>
                <w:kern w:val="0"/>
                <w:sz w:val="21"/>
                <w:szCs w:val="21"/>
                <w:lang w:eastAsia="en-GB"/>
                <w14:ligatures w14:val="none"/>
              </w:rPr>
              <w:t>Mixed-Methods Research</w:t>
            </w:r>
          </w:p>
        </w:tc>
        <w:tc>
          <w:tcPr>
            <w:tcW w:w="0" w:type="auto"/>
            <w:shd w:val="clear" w:color="auto" w:fill="262627"/>
            <w:tcMar>
              <w:top w:w="120" w:type="dxa"/>
              <w:left w:w="180" w:type="dxa"/>
              <w:bottom w:w="120" w:type="dxa"/>
              <w:right w:w="180" w:type="dxa"/>
            </w:tcMar>
            <w:hideMark/>
          </w:tcPr>
          <w:p w14:paraId="7FCFB6CC"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Combining qualitative insights with quantitative data.</w:t>
            </w:r>
          </w:p>
        </w:tc>
        <w:tc>
          <w:tcPr>
            <w:tcW w:w="0" w:type="auto"/>
            <w:shd w:val="clear" w:color="auto" w:fill="262627"/>
            <w:tcMar>
              <w:top w:w="120" w:type="dxa"/>
              <w:left w:w="180" w:type="dxa"/>
              <w:bottom w:w="120" w:type="dxa"/>
              <w:right w:w="180" w:type="dxa"/>
            </w:tcMar>
            <w:hideMark/>
          </w:tcPr>
          <w:p w14:paraId="5EA49FFA"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Analysing data on staff vacancies (quantitative) and interviewing nurses about the cause of their departure (qualitative).</w:t>
            </w:r>
          </w:p>
        </w:tc>
        <w:tc>
          <w:tcPr>
            <w:tcW w:w="0" w:type="auto"/>
            <w:shd w:val="clear" w:color="auto" w:fill="262627"/>
            <w:tcMar>
              <w:top w:w="120" w:type="dxa"/>
              <w:left w:w="180" w:type="dxa"/>
              <w:bottom w:w="120" w:type="dxa"/>
              <w:right w:w="180" w:type="dxa"/>
            </w:tcMar>
            <w:hideMark/>
          </w:tcPr>
          <w:p w14:paraId="6C9A1B00"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Offers a more complete picture by grounding numbers in personal experiences.</w:t>
            </w:r>
          </w:p>
        </w:tc>
      </w:tr>
      <w:tr w:rsidR="00845A46" w:rsidRPr="00845A46" w14:paraId="7AE32329" w14:textId="77777777" w:rsidTr="00845A46">
        <w:trPr>
          <w:tblCellSpacing w:w="15" w:type="dxa"/>
        </w:trPr>
        <w:tc>
          <w:tcPr>
            <w:tcW w:w="0" w:type="auto"/>
            <w:shd w:val="clear" w:color="auto" w:fill="262627"/>
            <w:tcMar>
              <w:top w:w="120" w:type="dxa"/>
              <w:left w:w="180" w:type="dxa"/>
              <w:bottom w:w="120" w:type="dxa"/>
              <w:right w:w="180" w:type="dxa"/>
            </w:tcMar>
            <w:hideMark/>
          </w:tcPr>
          <w:p w14:paraId="0A5D4ADB"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b/>
                <w:bCs/>
                <w:kern w:val="0"/>
                <w:sz w:val="21"/>
                <w:szCs w:val="21"/>
                <w:lang w:eastAsia="en-GB"/>
                <w14:ligatures w14:val="none"/>
              </w:rPr>
              <w:t>Policy Analysis</w:t>
            </w:r>
          </w:p>
        </w:tc>
        <w:tc>
          <w:tcPr>
            <w:tcW w:w="0" w:type="auto"/>
            <w:shd w:val="clear" w:color="auto" w:fill="262627"/>
            <w:tcMar>
              <w:top w:w="120" w:type="dxa"/>
              <w:left w:w="180" w:type="dxa"/>
              <w:bottom w:w="120" w:type="dxa"/>
              <w:right w:w="180" w:type="dxa"/>
            </w:tcMar>
            <w:hideMark/>
          </w:tcPr>
          <w:p w14:paraId="380D59D9"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Examining the laws, guidance, and policies introduced during the crisis.</w:t>
            </w:r>
          </w:p>
        </w:tc>
        <w:tc>
          <w:tcPr>
            <w:tcW w:w="0" w:type="auto"/>
            <w:shd w:val="clear" w:color="auto" w:fill="262627"/>
            <w:tcMar>
              <w:top w:w="120" w:type="dxa"/>
              <w:left w:w="180" w:type="dxa"/>
              <w:bottom w:w="120" w:type="dxa"/>
              <w:right w:w="180" w:type="dxa"/>
            </w:tcMar>
            <w:hideMark/>
          </w:tcPr>
          <w:p w14:paraId="733CACB3"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Reviewing lockdown laws, PPE guidance, vaccination policies, and emergency funding changes.</w:t>
            </w:r>
          </w:p>
        </w:tc>
        <w:tc>
          <w:tcPr>
            <w:tcW w:w="0" w:type="auto"/>
            <w:shd w:val="clear" w:color="auto" w:fill="262627"/>
            <w:tcMar>
              <w:top w:w="120" w:type="dxa"/>
              <w:left w:w="180" w:type="dxa"/>
              <w:bottom w:w="120" w:type="dxa"/>
              <w:right w:w="180" w:type="dxa"/>
            </w:tcMar>
            <w:hideMark/>
          </w:tcPr>
          <w:p w14:paraId="79BA4B2E" w14:textId="77777777" w:rsidR="00845A46" w:rsidRPr="00845A46" w:rsidRDefault="00845A46" w:rsidP="00845A46">
            <w:pPr>
              <w:spacing w:after="0" w:line="300" w:lineRule="atLeast"/>
              <w:rPr>
                <w:rFonts w:ascii="Helvetica Neue" w:eastAsia="Times New Roman" w:hAnsi="Helvetica Neue" w:cs="Times New Roman"/>
                <w:kern w:val="0"/>
                <w:sz w:val="21"/>
                <w:szCs w:val="21"/>
                <w:lang w:eastAsia="en-GB"/>
                <w14:ligatures w14:val="none"/>
              </w:rPr>
            </w:pPr>
            <w:r w:rsidRPr="00845A46">
              <w:rPr>
                <w:rFonts w:ascii="Helvetica Neue" w:eastAsia="Times New Roman" w:hAnsi="Helvetica Neue" w:cs="Times New Roman"/>
                <w:kern w:val="0"/>
                <w:sz w:val="21"/>
                <w:szCs w:val="21"/>
                <w:lang w:eastAsia="en-GB"/>
                <w14:ligatures w14:val="none"/>
              </w:rPr>
              <w:t>Determines how government decisions directly affected challenges in health and social care.</w:t>
            </w:r>
          </w:p>
        </w:tc>
      </w:tr>
    </w:tbl>
    <w:p w14:paraId="76C8DB0B" w14:textId="77777777" w:rsidR="00845A46" w:rsidRPr="00845A46" w:rsidRDefault="000E65C2" w:rsidP="00845A46">
      <w:pPr>
        <w:shd w:val="clear" w:color="auto" w:fill="1B1C1D"/>
        <w:spacing w:after="0" w:line="240" w:lineRule="auto"/>
        <w:rPr>
          <w:rFonts w:ascii="Helvetica Neue" w:eastAsia="Times New Roman" w:hAnsi="Helvetica Neue" w:cs="Times New Roman"/>
          <w:color w:val="FFFFFF"/>
          <w:kern w:val="0"/>
          <w:lang w:eastAsia="en-GB"/>
          <w14:ligatures w14:val="none"/>
        </w:rPr>
      </w:pPr>
      <w:r w:rsidRPr="000E65C2">
        <w:rPr>
          <w:rFonts w:ascii="Helvetica Neue" w:eastAsia="Times New Roman" w:hAnsi="Helvetica Neue" w:cs="Times New Roman"/>
          <w:noProof/>
          <w:color w:val="FFFFFF"/>
          <w:kern w:val="0"/>
          <w:lang w:eastAsia="en-GB"/>
        </w:rPr>
        <w:pict w14:anchorId="756B9B60">
          <v:rect id="_x0000_i1026" alt="" style="width:451.3pt;height:.05pt;mso-width-percent:0;mso-height-percent:0;mso-width-percent:0;mso-height-percent:0" o:hralign="center" o:hrstd="t" o:hr="t" fillcolor="#a0a0a0" stroked="f"/>
        </w:pict>
      </w:r>
    </w:p>
    <w:p w14:paraId="12883EA4" w14:textId="77777777" w:rsidR="00845A46" w:rsidRPr="00845A46" w:rsidRDefault="00845A46" w:rsidP="00845A46">
      <w:pPr>
        <w:shd w:val="clear" w:color="auto" w:fill="1B1C1D"/>
        <w:spacing w:before="420" w:after="120" w:line="420" w:lineRule="atLeast"/>
        <w:outlineLvl w:val="1"/>
        <w:rPr>
          <w:rFonts w:ascii="Helvetica Neue" w:eastAsia="Times New Roman" w:hAnsi="Helvetica Neue" w:cs="Times New Roman"/>
          <w:b/>
          <w:bCs/>
          <w:color w:val="FFFFFF"/>
          <w:kern w:val="0"/>
          <w:sz w:val="30"/>
          <w:szCs w:val="30"/>
          <w:lang w:eastAsia="en-GB"/>
          <w14:ligatures w14:val="none"/>
        </w:rPr>
      </w:pPr>
      <w:r w:rsidRPr="00845A46">
        <w:rPr>
          <w:rFonts w:ascii="Helvetica Neue" w:eastAsia="Times New Roman" w:hAnsi="Helvetica Neue" w:cs="Times New Roman"/>
          <w:b/>
          <w:bCs/>
          <w:color w:val="FFFFFF"/>
          <w:kern w:val="0"/>
          <w:sz w:val="30"/>
          <w:szCs w:val="30"/>
          <w:lang w:eastAsia="en-GB"/>
          <w14:ligatures w14:val="none"/>
        </w:rPr>
        <w:t>Data Collection Methods in Detail</w:t>
      </w:r>
    </w:p>
    <w:p w14:paraId="0FD7E6FB" w14:textId="77777777" w:rsidR="00845A46" w:rsidRPr="00845A46" w:rsidRDefault="00845A46" w:rsidP="00845A46">
      <w:pPr>
        <w:shd w:val="clear" w:color="auto" w:fill="1B1C1D"/>
        <w:spacing w:after="12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Researchers employ various methods to collect the necessary data for these studies:</w:t>
      </w:r>
    </w:p>
    <w:p w14:paraId="68C4F702" w14:textId="77777777" w:rsidR="00845A46" w:rsidRPr="00845A46" w:rsidRDefault="00845A46" w:rsidP="00845A46">
      <w:pPr>
        <w:numPr>
          <w:ilvl w:val="0"/>
          <w:numId w:val="29"/>
        </w:numPr>
        <w:shd w:val="clear" w:color="auto" w:fill="1B1C1D"/>
        <w:spacing w:before="120" w:after="12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Surveys and Questionnaires:</w:t>
      </w:r>
      <w:r w:rsidRPr="00845A46">
        <w:rPr>
          <w:rFonts w:ascii="Helvetica Neue" w:eastAsia="Times New Roman" w:hAnsi="Helvetica Neue" w:cs="Times New Roman"/>
          <w:color w:val="FFFFFF"/>
          <w:kern w:val="0"/>
          <w:lang w:eastAsia="en-GB"/>
          <w14:ligatures w14:val="none"/>
        </w:rPr>
        <w:t xml:space="preserve"> Used for collecting views from </w:t>
      </w:r>
      <w:proofErr w:type="gramStart"/>
      <w:r w:rsidRPr="00845A46">
        <w:rPr>
          <w:rFonts w:ascii="Helvetica Neue" w:eastAsia="Times New Roman" w:hAnsi="Helvetica Neue" w:cs="Times New Roman"/>
          <w:color w:val="FFFFFF"/>
          <w:kern w:val="0"/>
          <w:lang w:eastAsia="en-GB"/>
          <w14:ligatures w14:val="none"/>
        </w:rPr>
        <w:t>a large number of</w:t>
      </w:r>
      <w:proofErr w:type="gramEnd"/>
      <w:r w:rsidRPr="00845A46">
        <w:rPr>
          <w:rFonts w:ascii="Helvetica Neue" w:eastAsia="Times New Roman" w:hAnsi="Helvetica Neue" w:cs="Times New Roman"/>
          <w:color w:val="FFFFFF"/>
          <w:kern w:val="0"/>
          <w:lang w:eastAsia="en-GB"/>
          <w14:ligatures w14:val="none"/>
        </w:rPr>
        <w:t xml:space="preserve"> people on topics like stress, workload, or public experience with waiting times.</w:t>
      </w:r>
    </w:p>
    <w:p w14:paraId="67450109" w14:textId="77777777" w:rsidR="00845A46" w:rsidRPr="00845A46" w:rsidRDefault="00845A46" w:rsidP="00845A46">
      <w:pPr>
        <w:numPr>
          <w:ilvl w:val="0"/>
          <w:numId w:val="29"/>
        </w:numPr>
        <w:shd w:val="clear" w:color="auto" w:fill="1B1C1D"/>
        <w:spacing w:before="120" w:after="12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Interviews:</w:t>
      </w:r>
      <w:r w:rsidRPr="00845A46">
        <w:rPr>
          <w:rFonts w:ascii="Helvetica Neue" w:eastAsia="Times New Roman" w:hAnsi="Helvetica Neue" w:cs="Times New Roman"/>
          <w:color w:val="FFFFFF"/>
          <w:kern w:val="0"/>
          <w:lang w:eastAsia="en-GB"/>
          <w14:ligatures w14:val="none"/>
        </w:rPr>
        <w:t> Provide rich, in-depth data by talking directly to professionals and managers about their work, staffing challenges, or emotional strains.</w:t>
      </w:r>
    </w:p>
    <w:p w14:paraId="5D459307" w14:textId="77777777" w:rsidR="00845A46" w:rsidRPr="00845A46" w:rsidRDefault="00845A46" w:rsidP="00845A46">
      <w:pPr>
        <w:numPr>
          <w:ilvl w:val="0"/>
          <w:numId w:val="29"/>
        </w:numPr>
        <w:shd w:val="clear" w:color="auto" w:fill="1B1C1D"/>
        <w:spacing w:before="120" w:after="12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Document and Record Analysis:</w:t>
      </w:r>
      <w:r w:rsidRPr="00845A46">
        <w:rPr>
          <w:rFonts w:ascii="Helvetica Neue" w:eastAsia="Times New Roman" w:hAnsi="Helvetica Neue" w:cs="Times New Roman"/>
          <w:color w:val="FFFFFF"/>
          <w:kern w:val="0"/>
          <w:lang w:eastAsia="en-GB"/>
          <w14:ligatures w14:val="none"/>
        </w:rPr>
        <w:t> A critical method for pandemic research, involving the study of official records such as </w:t>
      </w:r>
      <w:r w:rsidRPr="00845A46">
        <w:rPr>
          <w:rFonts w:ascii="Helvetica Neue" w:eastAsia="Times New Roman" w:hAnsi="Helvetica Neue" w:cs="Times New Roman"/>
          <w:b/>
          <w:bCs/>
          <w:color w:val="FFFFFF"/>
          <w:kern w:val="0"/>
          <w:lang w:eastAsia="en-GB"/>
          <w14:ligatures w14:val="none"/>
        </w:rPr>
        <w:t>NHS staffing records</w:t>
      </w:r>
      <w:r w:rsidRPr="00845A46">
        <w:rPr>
          <w:rFonts w:ascii="Helvetica Neue" w:eastAsia="Times New Roman" w:hAnsi="Helvetica Neue" w:cs="Times New Roman"/>
          <w:color w:val="FFFFFF"/>
          <w:kern w:val="0"/>
          <w:lang w:eastAsia="en-GB"/>
          <w14:ligatures w14:val="none"/>
        </w:rPr>
        <w:t xml:space="preserve">, government COVID-19 reports, hospital admission data, and Care Quality </w:t>
      </w:r>
      <w:r w:rsidRPr="00845A46">
        <w:rPr>
          <w:rFonts w:ascii="Helvetica Neue" w:eastAsia="Times New Roman" w:hAnsi="Helvetica Neue" w:cs="Times New Roman"/>
          <w:color w:val="FFFFFF"/>
          <w:kern w:val="0"/>
          <w:lang w:eastAsia="en-GB"/>
          <w14:ligatures w14:val="none"/>
        </w:rPr>
        <w:lastRenderedPageBreak/>
        <w:t>Commission (CQC) reports. This identifies reliable, official data and trends over time.</w:t>
      </w:r>
    </w:p>
    <w:p w14:paraId="51266ECD" w14:textId="77777777" w:rsidR="00845A46" w:rsidRPr="00845A46" w:rsidRDefault="00845A46" w:rsidP="00845A46">
      <w:pPr>
        <w:numPr>
          <w:ilvl w:val="0"/>
          <w:numId w:val="29"/>
        </w:numPr>
        <w:shd w:val="clear" w:color="auto" w:fill="1B1C1D"/>
        <w:spacing w:before="120" w:after="12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Online Data Sources:</w:t>
      </w:r>
      <w:r w:rsidRPr="00845A46">
        <w:rPr>
          <w:rFonts w:ascii="Helvetica Neue" w:eastAsia="Times New Roman" w:hAnsi="Helvetica Neue" w:cs="Times New Roman"/>
          <w:color w:val="FFFFFF"/>
          <w:kern w:val="0"/>
          <w:lang w:eastAsia="en-GB"/>
          <w14:ligatures w14:val="none"/>
        </w:rPr>
        <w:t> Accessing real-time or updated information from platforms like </w:t>
      </w:r>
      <w:r w:rsidRPr="00845A46">
        <w:rPr>
          <w:rFonts w:ascii="Helvetica Neue" w:eastAsia="Times New Roman" w:hAnsi="Helvetica Neue" w:cs="Times New Roman"/>
          <w:b/>
          <w:bCs/>
          <w:color w:val="FFFFFF"/>
          <w:kern w:val="0"/>
          <w:lang w:eastAsia="en-GB"/>
          <w14:ligatures w14:val="none"/>
        </w:rPr>
        <w:t>NHS Digital datasets</w:t>
      </w:r>
      <w:r w:rsidRPr="00845A46">
        <w:rPr>
          <w:rFonts w:ascii="Helvetica Neue" w:eastAsia="Times New Roman" w:hAnsi="Helvetica Neue" w:cs="Times New Roman"/>
          <w:color w:val="FFFFFF"/>
          <w:kern w:val="0"/>
          <w:lang w:eastAsia="en-GB"/>
          <w14:ligatures w14:val="none"/>
        </w:rPr>
        <w:t> and </w:t>
      </w:r>
      <w:r w:rsidRPr="00845A46">
        <w:rPr>
          <w:rFonts w:ascii="Helvetica Neue" w:eastAsia="Times New Roman" w:hAnsi="Helvetica Neue" w:cs="Times New Roman"/>
          <w:b/>
          <w:bCs/>
          <w:color w:val="FFFFFF"/>
          <w:kern w:val="0"/>
          <w:lang w:eastAsia="en-GB"/>
          <w14:ligatures w14:val="none"/>
        </w:rPr>
        <w:t>WHO COVID-19 dashboards</w:t>
      </w:r>
      <w:r w:rsidRPr="00845A46">
        <w:rPr>
          <w:rFonts w:ascii="Helvetica Neue" w:eastAsia="Times New Roman" w:hAnsi="Helvetica Neue" w:cs="Times New Roman"/>
          <w:color w:val="FFFFFF"/>
          <w:kern w:val="0"/>
          <w:lang w:eastAsia="en-GB"/>
          <w14:ligatures w14:val="none"/>
        </w:rPr>
        <w:t>.</w:t>
      </w:r>
    </w:p>
    <w:p w14:paraId="4A758098" w14:textId="77777777" w:rsidR="00845A46" w:rsidRPr="00845A46" w:rsidRDefault="00845A46" w:rsidP="00845A46">
      <w:pPr>
        <w:numPr>
          <w:ilvl w:val="0"/>
          <w:numId w:val="29"/>
        </w:numPr>
        <w:shd w:val="clear" w:color="auto" w:fill="1B1C1D"/>
        <w:spacing w:before="120" w:after="12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Focus Groups:</w:t>
      </w:r>
      <w:r w:rsidRPr="00845A46">
        <w:rPr>
          <w:rFonts w:ascii="Helvetica Neue" w:eastAsia="Times New Roman" w:hAnsi="Helvetica Neue" w:cs="Times New Roman"/>
          <w:color w:val="FFFFFF"/>
          <w:kern w:val="0"/>
          <w:lang w:eastAsia="en-GB"/>
          <w14:ligatures w14:val="none"/>
        </w:rPr>
        <w:t> Facilitating discussions with small groups of staff or the public to understand a range of opinions and explore common experiences and challenges.</w:t>
      </w:r>
    </w:p>
    <w:p w14:paraId="18D3240F" w14:textId="77777777" w:rsidR="00845A46" w:rsidRPr="00845A46" w:rsidRDefault="000E65C2" w:rsidP="00845A46">
      <w:pPr>
        <w:shd w:val="clear" w:color="auto" w:fill="1B1C1D"/>
        <w:spacing w:after="0" w:line="240" w:lineRule="auto"/>
        <w:rPr>
          <w:rFonts w:ascii="Helvetica Neue" w:eastAsia="Times New Roman" w:hAnsi="Helvetica Neue" w:cs="Times New Roman"/>
          <w:color w:val="FFFFFF"/>
          <w:kern w:val="0"/>
          <w:lang w:eastAsia="en-GB"/>
          <w14:ligatures w14:val="none"/>
        </w:rPr>
      </w:pPr>
      <w:r w:rsidRPr="000E65C2">
        <w:rPr>
          <w:rFonts w:ascii="Helvetica Neue" w:eastAsia="Times New Roman" w:hAnsi="Helvetica Neue" w:cs="Times New Roman"/>
          <w:noProof/>
          <w:color w:val="FFFFFF"/>
          <w:kern w:val="0"/>
          <w:lang w:eastAsia="en-GB"/>
        </w:rPr>
        <w:pict w14:anchorId="3C349F45">
          <v:rect id="_x0000_i1025" alt="" style="width:451.3pt;height:.05pt;mso-width-percent:0;mso-height-percent:0;mso-width-percent:0;mso-height-percent:0" o:hralign="center" o:hrstd="t" o:hr="t" fillcolor="#a0a0a0" stroked="f"/>
        </w:pict>
      </w:r>
    </w:p>
    <w:p w14:paraId="771B08F2" w14:textId="77777777" w:rsidR="00845A46" w:rsidRPr="00845A46" w:rsidRDefault="00845A46" w:rsidP="00845A46">
      <w:pPr>
        <w:shd w:val="clear" w:color="auto" w:fill="1B1C1D"/>
        <w:spacing w:before="420" w:after="120" w:line="360" w:lineRule="atLeast"/>
        <w:outlineLvl w:val="2"/>
        <w:rPr>
          <w:rFonts w:ascii="Helvetica Neue" w:eastAsia="Times New Roman" w:hAnsi="Helvetica Neue" w:cs="Times New Roman"/>
          <w:b/>
          <w:bCs/>
          <w:color w:val="FFFFFF"/>
          <w:kern w:val="0"/>
          <w:lang w:eastAsia="en-GB"/>
          <w14:ligatures w14:val="none"/>
        </w:rPr>
      </w:pPr>
      <w:r w:rsidRPr="00845A46">
        <w:rPr>
          <w:rFonts w:ascii="Helvetica Neue" w:eastAsia="Times New Roman" w:hAnsi="Helvetica Neue" w:cs="Times New Roman"/>
          <w:b/>
          <w:bCs/>
          <w:color w:val="FFFFFF"/>
          <w:kern w:val="0"/>
          <w:lang w:eastAsia="en-GB"/>
          <w14:ligatures w14:val="none"/>
        </w:rPr>
        <w:t>Conclusion</w:t>
      </w:r>
    </w:p>
    <w:p w14:paraId="63332047" w14:textId="77777777" w:rsidR="00845A46" w:rsidRPr="00845A46" w:rsidRDefault="00845A46" w:rsidP="00845A46">
      <w:pPr>
        <w:shd w:val="clear" w:color="auto" w:fill="1B1C1D"/>
        <w:spacing w:after="240" w:line="240" w:lineRule="auto"/>
        <w:rPr>
          <w:rFonts w:ascii="Helvetica Neue" w:eastAsia="Times New Roman" w:hAnsi="Helvetica Neue" w:cs="Times New Roman"/>
          <w:color w:val="FFFFFF"/>
          <w:kern w:val="0"/>
          <w:lang w:eastAsia="en-GB"/>
          <w14:ligatures w14:val="none"/>
        </w:rPr>
      </w:pPr>
      <w:r w:rsidRPr="00845A46">
        <w:rPr>
          <w:rFonts w:ascii="Helvetica Neue" w:eastAsia="Times New Roman" w:hAnsi="Helvetica Neue" w:cs="Times New Roman"/>
          <w:color w:val="FFFFFF"/>
          <w:kern w:val="0"/>
          <w:lang w:eastAsia="en-GB"/>
          <w14:ligatures w14:val="none"/>
        </w:rPr>
        <w:t>The COVID-19 pandemic had a profound and enduring effect on the UK health and social care sector, magnifying existing issues like underfunding and long waiting times. The evidence shows it not only created immediate pressure but also contributed to </w:t>
      </w:r>
      <w:r w:rsidRPr="00845A46">
        <w:rPr>
          <w:rFonts w:ascii="Helvetica Neue" w:eastAsia="Times New Roman" w:hAnsi="Helvetica Neue" w:cs="Times New Roman"/>
          <w:b/>
          <w:bCs/>
          <w:color w:val="FFFFFF"/>
          <w:kern w:val="0"/>
          <w:lang w:eastAsia="en-GB"/>
          <w14:ligatures w14:val="none"/>
        </w:rPr>
        <w:t>long-term challenges</w:t>
      </w:r>
      <w:r w:rsidRPr="00845A46">
        <w:rPr>
          <w:rFonts w:ascii="Helvetica Neue" w:eastAsia="Times New Roman" w:hAnsi="Helvetica Neue" w:cs="Times New Roman"/>
          <w:color w:val="FFFFFF"/>
          <w:kern w:val="0"/>
          <w:lang w:eastAsia="en-GB"/>
          <w14:ligatures w14:val="none"/>
        </w:rPr>
        <w:t>—including burnout, increased service demand, financial strain, and glaring inequalities—that continue to shape how services operate today. Research into this period is vital for understanding these changes and ensuring better preparedness, fairer working conditions, and greater resilience for any future public health emergencies.</w:t>
      </w:r>
    </w:p>
    <w:p w14:paraId="6FD0DCA4" w14:textId="4E8DDC6C" w:rsidR="008A01A1" w:rsidRDefault="008A01A1" w:rsidP="00845A46">
      <w:pPr>
        <w:pStyle w:val="NormalWeb"/>
        <w:rPr>
          <w:color w:val="E6E8F0"/>
          <w:shd w:val="clear" w:color="auto" w:fill="1F1F1F"/>
        </w:rPr>
      </w:pPr>
    </w:p>
    <w:p w14:paraId="5793516D" w14:textId="77777777" w:rsidR="00A431D7" w:rsidRDefault="00A431D7" w:rsidP="00A431D7">
      <w:pPr>
        <w:pStyle w:val="Heading2"/>
      </w:pPr>
      <w:r>
        <w:rPr>
          <w:rStyle w:val="Strong"/>
          <w:b w:val="0"/>
          <w:bCs w:val="0"/>
        </w:rPr>
        <w:t>Harvard Style Reference List</w:t>
      </w:r>
    </w:p>
    <w:p w14:paraId="49A7A521" w14:textId="77777777" w:rsidR="00A431D7" w:rsidRDefault="00A431D7" w:rsidP="00A431D7">
      <w:pPr>
        <w:pStyle w:val="NormalWeb"/>
      </w:pPr>
      <w:r>
        <w:t xml:space="preserve">BMA (British Medical Association) (2023) </w:t>
      </w:r>
      <w:r>
        <w:rPr>
          <w:rStyle w:val="Emphasis"/>
          <w:rFonts w:eastAsiaTheme="majorEastAsia"/>
        </w:rPr>
        <w:t>NHS medical staffing data analysis</w:t>
      </w:r>
      <w:r>
        <w:t>. London: British Medical Association.</w:t>
      </w:r>
    </w:p>
    <w:p w14:paraId="3F76B75C" w14:textId="77777777" w:rsidR="00A431D7" w:rsidRDefault="00A431D7" w:rsidP="00A431D7">
      <w:pPr>
        <w:pStyle w:val="NormalWeb"/>
      </w:pPr>
      <w:r>
        <w:t xml:space="preserve">Care Quality Commission (CQC) (2022) </w:t>
      </w:r>
      <w:r>
        <w:rPr>
          <w:rStyle w:val="Emphasis"/>
          <w:rFonts w:eastAsiaTheme="majorEastAsia"/>
        </w:rPr>
        <w:t>The state of health care and adult social care in England 2021/22</w:t>
      </w:r>
      <w:r>
        <w:t>. London: CQC.</w:t>
      </w:r>
    </w:p>
    <w:p w14:paraId="48650C21" w14:textId="77777777" w:rsidR="00A431D7" w:rsidRDefault="00A431D7" w:rsidP="00A431D7">
      <w:pPr>
        <w:pStyle w:val="NormalWeb"/>
      </w:pPr>
      <w:r>
        <w:t xml:space="preserve">Department of Health and Social Care (DHSC) (2021) </w:t>
      </w:r>
      <w:r>
        <w:rPr>
          <w:rStyle w:val="Emphasis"/>
          <w:rFonts w:eastAsiaTheme="majorEastAsia"/>
        </w:rPr>
        <w:t>Adult social care reform white paper: People at the heart of care</w:t>
      </w:r>
      <w:r>
        <w:t>. London: DHSC.</w:t>
      </w:r>
    </w:p>
    <w:p w14:paraId="678F214E" w14:textId="77777777" w:rsidR="00A431D7" w:rsidRDefault="00A431D7" w:rsidP="00A431D7">
      <w:pPr>
        <w:pStyle w:val="NormalWeb"/>
      </w:pPr>
      <w:r>
        <w:t xml:space="preserve">King’s Fund (2022) </w:t>
      </w:r>
      <w:r>
        <w:rPr>
          <w:rStyle w:val="Emphasis"/>
          <w:rFonts w:eastAsiaTheme="majorEastAsia"/>
        </w:rPr>
        <w:t>NHS workforce: the urgent need for long-term planning</w:t>
      </w:r>
      <w:r>
        <w:t xml:space="preserve">. Available at: </w:t>
      </w:r>
      <w:hyperlink r:id="rId6" w:tgtFrame="_new" w:history="1">
        <w:r>
          <w:rPr>
            <w:rStyle w:val="Hyperlink"/>
            <w:rFonts w:eastAsiaTheme="majorEastAsia"/>
          </w:rPr>
          <w:t>https://www.kingsfund.org.uk</w:t>
        </w:r>
      </w:hyperlink>
      <w:r>
        <w:t xml:space="preserve"> (Accessed: [insert date]).</w:t>
      </w:r>
    </w:p>
    <w:p w14:paraId="78FDACF0" w14:textId="77777777" w:rsidR="00A431D7" w:rsidRDefault="00A431D7" w:rsidP="00A431D7">
      <w:pPr>
        <w:pStyle w:val="NormalWeb"/>
      </w:pPr>
      <w:r>
        <w:t xml:space="preserve">King’s Fund (2023) </w:t>
      </w:r>
      <w:r>
        <w:rPr>
          <w:rStyle w:val="Emphasis"/>
          <w:rFonts w:eastAsiaTheme="majorEastAsia"/>
        </w:rPr>
        <w:t>The health and social care workforce gap in the UK</w:t>
      </w:r>
      <w:r>
        <w:t>. London: The King’s Fund.</w:t>
      </w:r>
    </w:p>
    <w:p w14:paraId="36E059D7" w14:textId="77777777" w:rsidR="00A431D7" w:rsidRDefault="00A431D7" w:rsidP="00A431D7">
      <w:pPr>
        <w:pStyle w:val="NormalWeb"/>
      </w:pPr>
      <w:r>
        <w:t xml:space="preserve">National Audit Office (NAO) (2022) </w:t>
      </w:r>
      <w:r>
        <w:rPr>
          <w:rStyle w:val="Emphasis"/>
          <w:rFonts w:eastAsiaTheme="majorEastAsia"/>
        </w:rPr>
        <w:t>NHS backlogs and waiting times in England</w:t>
      </w:r>
      <w:r>
        <w:t>. London: National Audit Office.</w:t>
      </w:r>
    </w:p>
    <w:p w14:paraId="57E36140" w14:textId="77777777" w:rsidR="00A431D7" w:rsidRDefault="00A431D7" w:rsidP="00A431D7">
      <w:pPr>
        <w:pStyle w:val="NormalWeb"/>
      </w:pPr>
      <w:r>
        <w:t xml:space="preserve">NHS Digital (2023) </w:t>
      </w:r>
      <w:r>
        <w:rPr>
          <w:rStyle w:val="Emphasis"/>
          <w:rFonts w:eastAsiaTheme="majorEastAsia"/>
        </w:rPr>
        <w:t>NHS vacancy statistics 2023</w:t>
      </w:r>
      <w:r>
        <w:t xml:space="preserve">. Available at: </w:t>
      </w:r>
      <w:hyperlink r:id="rId7" w:tgtFrame="_new" w:history="1">
        <w:r>
          <w:rPr>
            <w:rStyle w:val="Hyperlink"/>
            <w:rFonts w:eastAsiaTheme="majorEastAsia"/>
          </w:rPr>
          <w:t>https://digital.nhs.uk</w:t>
        </w:r>
      </w:hyperlink>
      <w:r>
        <w:t xml:space="preserve"> (Accessed: [insert date]).</w:t>
      </w:r>
    </w:p>
    <w:p w14:paraId="4916AD6A" w14:textId="77777777" w:rsidR="00A431D7" w:rsidRDefault="00A431D7" w:rsidP="00A431D7">
      <w:pPr>
        <w:pStyle w:val="NormalWeb"/>
      </w:pPr>
      <w:r>
        <w:t xml:space="preserve">Office for National Statistics (ONS) (2021) </w:t>
      </w:r>
      <w:r>
        <w:rPr>
          <w:rStyle w:val="Emphasis"/>
          <w:rFonts w:eastAsiaTheme="majorEastAsia"/>
        </w:rPr>
        <w:t>Coronavirus (COVID-19) in the UK: population impacts</w:t>
      </w:r>
      <w:r>
        <w:t>. Newport: ONS.</w:t>
      </w:r>
    </w:p>
    <w:p w14:paraId="06079B32" w14:textId="77777777" w:rsidR="00A431D7" w:rsidRDefault="00A431D7" w:rsidP="00A431D7">
      <w:pPr>
        <w:pStyle w:val="NormalWeb"/>
      </w:pPr>
      <w:r>
        <w:lastRenderedPageBreak/>
        <w:t xml:space="preserve">Rimmer, A. (2020) ‘Covid-19: Impact on NHS workforce and staff sickness’, </w:t>
      </w:r>
      <w:r>
        <w:rPr>
          <w:rStyle w:val="Emphasis"/>
          <w:rFonts w:eastAsiaTheme="majorEastAsia"/>
        </w:rPr>
        <w:t>BMJ</w:t>
      </w:r>
      <w:r>
        <w:t>, 369, p. m2717.</w:t>
      </w:r>
    </w:p>
    <w:p w14:paraId="6CD97EEA" w14:textId="77777777" w:rsidR="00A431D7" w:rsidRDefault="00A431D7" w:rsidP="00A431D7">
      <w:pPr>
        <w:pStyle w:val="NormalWeb"/>
      </w:pPr>
      <w:r>
        <w:t xml:space="preserve">The Health Foundation (2023) </w:t>
      </w:r>
      <w:r>
        <w:rPr>
          <w:rStyle w:val="Emphasis"/>
          <w:rFonts w:eastAsiaTheme="majorEastAsia"/>
        </w:rPr>
        <w:t>Health and social care funding gaps and pressures</w:t>
      </w:r>
      <w:r>
        <w:t>. London: The Health Foundation.</w:t>
      </w:r>
    </w:p>
    <w:p w14:paraId="6EE6C839" w14:textId="77777777" w:rsidR="00A431D7" w:rsidRDefault="00A431D7" w:rsidP="00A431D7">
      <w:pPr>
        <w:pStyle w:val="NormalWeb"/>
      </w:pPr>
      <w:r>
        <w:t xml:space="preserve">World Health Organization (WHO) (2020) </w:t>
      </w:r>
      <w:r>
        <w:rPr>
          <w:rStyle w:val="Emphasis"/>
          <w:rFonts w:eastAsiaTheme="majorEastAsia"/>
        </w:rPr>
        <w:t>WHO Director-General’s opening remarks at the media briefing on COVID-19 – 11 March 2020</w:t>
      </w:r>
      <w:r>
        <w:t>. Geneva: WHO.</w:t>
      </w:r>
    </w:p>
    <w:p w14:paraId="30D7B513" w14:textId="77777777" w:rsidR="00A431D7" w:rsidRPr="008A01A1" w:rsidRDefault="00A431D7" w:rsidP="00845A46">
      <w:pPr>
        <w:pStyle w:val="NormalWeb"/>
        <w:rPr>
          <w:color w:val="E6E8F0"/>
          <w:shd w:val="clear" w:color="auto" w:fill="1F1F1F"/>
        </w:rPr>
      </w:pPr>
    </w:p>
    <w:sectPr w:rsidR="00A431D7" w:rsidRPr="008A01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Roboto">
    <w:panose1 w:val="02000000000000000000"/>
    <w:charset w:val="00"/>
    <w:family w:val="auto"/>
    <w:pitch w:val="variable"/>
    <w:sig w:usb0="E0000AFF" w:usb1="5000217F" w:usb2="00000021"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97C60"/>
    <w:multiLevelType w:val="multilevel"/>
    <w:tmpl w:val="68866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B55425"/>
    <w:multiLevelType w:val="multilevel"/>
    <w:tmpl w:val="8D30E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3513F3"/>
    <w:multiLevelType w:val="multilevel"/>
    <w:tmpl w:val="FE2EE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48467F"/>
    <w:multiLevelType w:val="multilevel"/>
    <w:tmpl w:val="70A28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990A77"/>
    <w:multiLevelType w:val="multilevel"/>
    <w:tmpl w:val="2DC65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0E0A4E"/>
    <w:multiLevelType w:val="multilevel"/>
    <w:tmpl w:val="0E763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632771"/>
    <w:multiLevelType w:val="multilevel"/>
    <w:tmpl w:val="8AF0C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E6098F"/>
    <w:multiLevelType w:val="multilevel"/>
    <w:tmpl w:val="B72C9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D73A0F"/>
    <w:multiLevelType w:val="multilevel"/>
    <w:tmpl w:val="29E8F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B37B7F"/>
    <w:multiLevelType w:val="multilevel"/>
    <w:tmpl w:val="0AB87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6C7991"/>
    <w:multiLevelType w:val="multilevel"/>
    <w:tmpl w:val="0F58E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1A7FF9"/>
    <w:multiLevelType w:val="multilevel"/>
    <w:tmpl w:val="98903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5C583F"/>
    <w:multiLevelType w:val="multilevel"/>
    <w:tmpl w:val="3EDE1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F5789C"/>
    <w:multiLevelType w:val="multilevel"/>
    <w:tmpl w:val="8F8EC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7F2C81"/>
    <w:multiLevelType w:val="multilevel"/>
    <w:tmpl w:val="40FA426A"/>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8927DB"/>
    <w:multiLevelType w:val="multilevel"/>
    <w:tmpl w:val="599E5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F53C38"/>
    <w:multiLevelType w:val="multilevel"/>
    <w:tmpl w:val="E018B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2D7813"/>
    <w:multiLevelType w:val="multilevel"/>
    <w:tmpl w:val="9B5EF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4B0B2E"/>
    <w:multiLevelType w:val="multilevel"/>
    <w:tmpl w:val="4C826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50458E"/>
    <w:multiLevelType w:val="hybridMultilevel"/>
    <w:tmpl w:val="3D0EA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C1E2A"/>
    <w:multiLevelType w:val="multilevel"/>
    <w:tmpl w:val="DE4E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BA6F39"/>
    <w:multiLevelType w:val="multilevel"/>
    <w:tmpl w:val="7090A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725A88"/>
    <w:multiLevelType w:val="multilevel"/>
    <w:tmpl w:val="9BE4E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4C40FB6"/>
    <w:multiLevelType w:val="multilevel"/>
    <w:tmpl w:val="D3E80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BCA6CFB"/>
    <w:multiLevelType w:val="multilevel"/>
    <w:tmpl w:val="5BFEA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401947"/>
    <w:multiLevelType w:val="multilevel"/>
    <w:tmpl w:val="60B6A258"/>
    <w:lvl w:ilvl="0">
      <w:start w:val="1"/>
      <w:numFmt w:val="decimal"/>
      <w:lvlText w:val="%1."/>
      <w:lvlJc w:val="left"/>
      <w:pPr>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5B5D2B"/>
    <w:multiLevelType w:val="multilevel"/>
    <w:tmpl w:val="2D9AB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4B2849"/>
    <w:multiLevelType w:val="multilevel"/>
    <w:tmpl w:val="6F0C8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7C5D49"/>
    <w:multiLevelType w:val="multilevel"/>
    <w:tmpl w:val="EA241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0644237">
    <w:abstractNumId w:val="2"/>
  </w:num>
  <w:num w:numId="2" w16cid:durableId="1143932860">
    <w:abstractNumId w:val="24"/>
  </w:num>
  <w:num w:numId="3" w16cid:durableId="2118213126">
    <w:abstractNumId w:val="19"/>
  </w:num>
  <w:num w:numId="4" w16cid:durableId="1355569515">
    <w:abstractNumId w:val="18"/>
  </w:num>
  <w:num w:numId="5" w16cid:durableId="847328947">
    <w:abstractNumId w:val="9"/>
  </w:num>
  <w:num w:numId="6" w16cid:durableId="1130124596">
    <w:abstractNumId w:val="11"/>
  </w:num>
  <w:num w:numId="7" w16cid:durableId="1606889822">
    <w:abstractNumId w:val="28"/>
  </w:num>
  <w:num w:numId="8" w16cid:durableId="1832327216">
    <w:abstractNumId w:val="12"/>
  </w:num>
  <w:num w:numId="9" w16cid:durableId="1508909553">
    <w:abstractNumId w:val="13"/>
  </w:num>
  <w:num w:numId="10" w16cid:durableId="141309460">
    <w:abstractNumId w:val="15"/>
  </w:num>
  <w:num w:numId="11" w16cid:durableId="1573740163">
    <w:abstractNumId w:val="8"/>
  </w:num>
  <w:num w:numId="12" w16cid:durableId="1506702896">
    <w:abstractNumId w:val="4"/>
  </w:num>
  <w:num w:numId="13" w16cid:durableId="1785226950">
    <w:abstractNumId w:val="26"/>
  </w:num>
  <w:num w:numId="14" w16cid:durableId="1788546021">
    <w:abstractNumId w:val="6"/>
  </w:num>
  <w:num w:numId="15" w16cid:durableId="1761676982">
    <w:abstractNumId w:val="0"/>
  </w:num>
  <w:num w:numId="16" w16cid:durableId="162473294">
    <w:abstractNumId w:val="5"/>
  </w:num>
  <w:num w:numId="17" w16cid:durableId="813958106">
    <w:abstractNumId w:val="21"/>
  </w:num>
  <w:num w:numId="18" w16cid:durableId="935599693">
    <w:abstractNumId w:val="1"/>
  </w:num>
  <w:num w:numId="19" w16cid:durableId="524827146">
    <w:abstractNumId w:val="10"/>
  </w:num>
  <w:num w:numId="20" w16cid:durableId="370961275">
    <w:abstractNumId w:val="17"/>
  </w:num>
  <w:num w:numId="21" w16cid:durableId="943070359">
    <w:abstractNumId w:val="7"/>
  </w:num>
  <w:num w:numId="22" w16cid:durableId="344675352">
    <w:abstractNumId w:val="3"/>
  </w:num>
  <w:num w:numId="23" w16cid:durableId="1747267028">
    <w:abstractNumId w:val="27"/>
  </w:num>
  <w:num w:numId="24" w16cid:durableId="1380668082">
    <w:abstractNumId w:val="20"/>
  </w:num>
  <w:num w:numId="25" w16cid:durableId="941645068">
    <w:abstractNumId w:val="16"/>
  </w:num>
  <w:num w:numId="26" w16cid:durableId="1535192724">
    <w:abstractNumId w:val="25"/>
  </w:num>
  <w:num w:numId="27" w16cid:durableId="323971289">
    <w:abstractNumId w:val="14"/>
  </w:num>
  <w:num w:numId="28" w16cid:durableId="1009333385">
    <w:abstractNumId w:val="23"/>
  </w:num>
  <w:num w:numId="29" w16cid:durableId="185869413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9CF"/>
    <w:rsid w:val="000610B2"/>
    <w:rsid w:val="000E65C2"/>
    <w:rsid w:val="00195CF9"/>
    <w:rsid w:val="00255C08"/>
    <w:rsid w:val="00272231"/>
    <w:rsid w:val="00736A79"/>
    <w:rsid w:val="00845A46"/>
    <w:rsid w:val="008A01A1"/>
    <w:rsid w:val="008C420F"/>
    <w:rsid w:val="008E09CB"/>
    <w:rsid w:val="00A431D7"/>
    <w:rsid w:val="00E849CF"/>
    <w:rsid w:val="00FB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4D9B0"/>
  <w15:chartTrackingRefBased/>
  <w15:docId w15:val="{7ED36EFD-E824-D347-BF52-60DD25267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9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849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849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9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49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49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9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9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9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9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849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849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9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49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49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9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9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9CF"/>
    <w:rPr>
      <w:rFonts w:eastAsiaTheme="majorEastAsia" w:cstheme="majorBidi"/>
      <w:color w:val="272727" w:themeColor="text1" w:themeTint="D8"/>
    </w:rPr>
  </w:style>
  <w:style w:type="paragraph" w:styleId="Title">
    <w:name w:val="Title"/>
    <w:basedOn w:val="Normal"/>
    <w:next w:val="Normal"/>
    <w:link w:val="TitleChar"/>
    <w:uiPriority w:val="10"/>
    <w:qFormat/>
    <w:rsid w:val="00E849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9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9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9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9CF"/>
    <w:pPr>
      <w:spacing w:before="160"/>
      <w:jc w:val="center"/>
    </w:pPr>
    <w:rPr>
      <w:i/>
      <w:iCs/>
      <w:color w:val="404040" w:themeColor="text1" w:themeTint="BF"/>
    </w:rPr>
  </w:style>
  <w:style w:type="character" w:customStyle="1" w:styleId="QuoteChar">
    <w:name w:val="Quote Char"/>
    <w:basedOn w:val="DefaultParagraphFont"/>
    <w:link w:val="Quote"/>
    <w:uiPriority w:val="29"/>
    <w:rsid w:val="00E849CF"/>
    <w:rPr>
      <w:i/>
      <w:iCs/>
      <w:color w:val="404040" w:themeColor="text1" w:themeTint="BF"/>
    </w:rPr>
  </w:style>
  <w:style w:type="paragraph" w:styleId="ListParagraph">
    <w:name w:val="List Paragraph"/>
    <w:basedOn w:val="Normal"/>
    <w:uiPriority w:val="34"/>
    <w:qFormat/>
    <w:rsid w:val="00E849CF"/>
    <w:pPr>
      <w:ind w:left="720"/>
      <w:contextualSpacing/>
    </w:pPr>
  </w:style>
  <w:style w:type="character" w:styleId="IntenseEmphasis">
    <w:name w:val="Intense Emphasis"/>
    <w:basedOn w:val="DefaultParagraphFont"/>
    <w:uiPriority w:val="21"/>
    <w:qFormat/>
    <w:rsid w:val="00E849CF"/>
    <w:rPr>
      <w:i/>
      <w:iCs/>
      <w:color w:val="0F4761" w:themeColor="accent1" w:themeShade="BF"/>
    </w:rPr>
  </w:style>
  <w:style w:type="paragraph" w:styleId="IntenseQuote">
    <w:name w:val="Intense Quote"/>
    <w:basedOn w:val="Normal"/>
    <w:next w:val="Normal"/>
    <w:link w:val="IntenseQuoteChar"/>
    <w:uiPriority w:val="30"/>
    <w:qFormat/>
    <w:rsid w:val="00E849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49CF"/>
    <w:rPr>
      <w:i/>
      <w:iCs/>
      <w:color w:val="0F4761" w:themeColor="accent1" w:themeShade="BF"/>
    </w:rPr>
  </w:style>
  <w:style w:type="character" w:styleId="IntenseReference">
    <w:name w:val="Intense Reference"/>
    <w:basedOn w:val="DefaultParagraphFont"/>
    <w:uiPriority w:val="32"/>
    <w:qFormat/>
    <w:rsid w:val="00E849CF"/>
    <w:rPr>
      <w:b/>
      <w:bCs/>
      <w:smallCaps/>
      <w:color w:val="0F4761" w:themeColor="accent1" w:themeShade="BF"/>
      <w:spacing w:val="5"/>
    </w:rPr>
  </w:style>
  <w:style w:type="character" w:customStyle="1" w:styleId="apple-converted-space">
    <w:name w:val="apple-converted-space"/>
    <w:basedOn w:val="DefaultParagraphFont"/>
    <w:rsid w:val="00E849CF"/>
  </w:style>
  <w:style w:type="character" w:customStyle="1" w:styleId="vkekvd">
    <w:name w:val="vkekvd"/>
    <w:basedOn w:val="DefaultParagraphFont"/>
    <w:rsid w:val="00E849CF"/>
  </w:style>
  <w:style w:type="character" w:customStyle="1" w:styleId="t286pc">
    <w:name w:val="t286pc"/>
    <w:basedOn w:val="DefaultParagraphFont"/>
    <w:rsid w:val="008E09CB"/>
  </w:style>
  <w:style w:type="character" w:styleId="Strong">
    <w:name w:val="Strong"/>
    <w:basedOn w:val="DefaultParagraphFont"/>
    <w:uiPriority w:val="22"/>
    <w:qFormat/>
    <w:rsid w:val="008E09CB"/>
    <w:rPr>
      <w:b/>
      <w:bCs/>
    </w:rPr>
  </w:style>
  <w:style w:type="character" w:styleId="Hyperlink">
    <w:name w:val="Hyperlink"/>
    <w:basedOn w:val="DefaultParagraphFont"/>
    <w:uiPriority w:val="99"/>
    <w:semiHidden/>
    <w:unhideWhenUsed/>
    <w:rsid w:val="008E09CB"/>
    <w:rPr>
      <w:color w:val="0000FF"/>
      <w:u w:val="single"/>
    </w:rPr>
  </w:style>
  <w:style w:type="paragraph" w:styleId="NormalWeb">
    <w:name w:val="Normal (Web)"/>
    <w:basedOn w:val="Normal"/>
    <w:uiPriority w:val="99"/>
    <w:unhideWhenUsed/>
    <w:rsid w:val="00195C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72231"/>
    <w:rPr>
      <w:i/>
      <w:iCs/>
    </w:rPr>
  </w:style>
  <w:style w:type="paragraph" w:customStyle="1" w:styleId="ng-tns-c428608103-51">
    <w:name w:val="ng-tns-c428608103-51"/>
    <w:basedOn w:val="Normal"/>
    <w:rsid w:val="00845A4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5608">
      <w:bodyDiv w:val="1"/>
      <w:marLeft w:val="0"/>
      <w:marRight w:val="0"/>
      <w:marTop w:val="0"/>
      <w:marBottom w:val="0"/>
      <w:divBdr>
        <w:top w:val="none" w:sz="0" w:space="0" w:color="auto"/>
        <w:left w:val="none" w:sz="0" w:space="0" w:color="auto"/>
        <w:bottom w:val="none" w:sz="0" w:space="0" w:color="auto"/>
        <w:right w:val="none" w:sz="0" w:space="0" w:color="auto"/>
      </w:divBdr>
    </w:div>
    <w:div w:id="298073173">
      <w:bodyDiv w:val="1"/>
      <w:marLeft w:val="0"/>
      <w:marRight w:val="0"/>
      <w:marTop w:val="0"/>
      <w:marBottom w:val="0"/>
      <w:divBdr>
        <w:top w:val="none" w:sz="0" w:space="0" w:color="auto"/>
        <w:left w:val="none" w:sz="0" w:space="0" w:color="auto"/>
        <w:bottom w:val="none" w:sz="0" w:space="0" w:color="auto"/>
        <w:right w:val="none" w:sz="0" w:space="0" w:color="auto"/>
      </w:divBdr>
      <w:divsChild>
        <w:div w:id="805316935">
          <w:marLeft w:val="0"/>
          <w:marRight w:val="0"/>
          <w:marTop w:val="0"/>
          <w:marBottom w:val="0"/>
          <w:divBdr>
            <w:top w:val="none" w:sz="0" w:space="0" w:color="auto"/>
            <w:left w:val="none" w:sz="0" w:space="0" w:color="auto"/>
            <w:bottom w:val="none" w:sz="0" w:space="0" w:color="auto"/>
            <w:right w:val="none" w:sz="0" w:space="0" w:color="auto"/>
          </w:divBdr>
        </w:div>
      </w:divsChild>
    </w:div>
    <w:div w:id="647130834">
      <w:bodyDiv w:val="1"/>
      <w:marLeft w:val="0"/>
      <w:marRight w:val="0"/>
      <w:marTop w:val="0"/>
      <w:marBottom w:val="0"/>
      <w:divBdr>
        <w:top w:val="none" w:sz="0" w:space="0" w:color="auto"/>
        <w:left w:val="none" w:sz="0" w:space="0" w:color="auto"/>
        <w:bottom w:val="none" w:sz="0" w:space="0" w:color="auto"/>
        <w:right w:val="none" w:sz="0" w:space="0" w:color="auto"/>
      </w:divBdr>
      <w:divsChild>
        <w:div w:id="866068552">
          <w:marLeft w:val="0"/>
          <w:marRight w:val="0"/>
          <w:marTop w:val="0"/>
          <w:marBottom w:val="0"/>
          <w:divBdr>
            <w:top w:val="none" w:sz="0" w:space="0" w:color="auto"/>
            <w:left w:val="none" w:sz="0" w:space="0" w:color="auto"/>
            <w:bottom w:val="none" w:sz="0" w:space="0" w:color="auto"/>
            <w:right w:val="none" w:sz="0" w:space="0" w:color="auto"/>
          </w:divBdr>
          <w:divsChild>
            <w:div w:id="787774994">
              <w:marLeft w:val="0"/>
              <w:marRight w:val="0"/>
              <w:marTop w:val="0"/>
              <w:marBottom w:val="0"/>
              <w:divBdr>
                <w:top w:val="none" w:sz="0" w:space="0" w:color="auto"/>
                <w:left w:val="none" w:sz="0" w:space="0" w:color="auto"/>
                <w:bottom w:val="none" w:sz="0" w:space="0" w:color="auto"/>
                <w:right w:val="none" w:sz="0" w:space="0" w:color="auto"/>
              </w:divBdr>
            </w:div>
          </w:divsChild>
        </w:div>
        <w:div w:id="1979724284">
          <w:marLeft w:val="0"/>
          <w:marRight w:val="0"/>
          <w:marTop w:val="0"/>
          <w:marBottom w:val="0"/>
          <w:divBdr>
            <w:top w:val="none" w:sz="0" w:space="0" w:color="auto"/>
            <w:left w:val="none" w:sz="0" w:space="0" w:color="auto"/>
            <w:bottom w:val="none" w:sz="0" w:space="0" w:color="auto"/>
            <w:right w:val="none" w:sz="0" w:space="0" w:color="auto"/>
          </w:divBdr>
          <w:divsChild>
            <w:div w:id="2072805248">
              <w:marLeft w:val="0"/>
              <w:marRight w:val="0"/>
              <w:marTop w:val="0"/>
              <w:marBottom w:val="0"/>
              <w:divBdr>
                <w:top w:val="none" w:sz="0" w:space="0" w:color="auto"/>
                <w:left w:val="none" w:sz="0" w:space="0" w:color="auto"/>
                <w:bottom w:val="none" w:sz="0" w:space="0" w:color="auto"/>
                <w:right w:val="none" w:sz="0" w:space="0" w:color="auto"/>
              </w:divBdr>
              <w:divsChild>
                <w:div w:id="1724021621">
                  <w:marLeft w:val="0"/>
                  <w:marRight w:val="0"/>
                  <w:marTop w:val="0"/>
                  <w:marBottom w:val="0"/>
                  <w:divBdr>
                    <w:top w:val="none" w:sz="0" w:space="0" w:color="auto"/>
                    <w:left w:val="none" w:sz="0" w:space="0" w:color="auto"/>
                    <w:bottom w:val="none" w:sz="0" w:space="0" w:color="auto"/>
                    <w:right w:val="none" w:sz="0" w:space="0" w:color="auto"/>
                  </w:divBdr>
                  <w:divsChild>
                    <w:div w:id="914440696">
                      <w:marLeft w:val="0"/>
                      <w:marRight w:val="0"/>
                      <w:marTop w:val="0"/>
                      <w:marBottom w:val="0"/>
                      <w:divBdr>
                        <w:top w:val="none" w:sz="0" w:space="0" w:color="auto"/>
                        <w:left w:val="none" w:sz="0" w:space="0" w:color="auto"/>
                        <w:bottom w:val="none" w:sz="0" w:space="0" w:color="auto"/>
                        <w:right w:val="none" w:sz="0" w:space="0" w:color="auto"/>
                      </w:divBdr>
                      <w:divsChild>
                        <w:div w:id="417017450">
                          <w:marLeft w:val="0"/>
                          <w:marRight w:val="0"/>
                          <w:marTop w:val="0"/>
                          <w:marBottom w:val="0"/>
                          <w:divBdr>
                            <w:top w:val="none" w:sz="0" w:space="0" w:color="auto"/>
                            <w:left w:val="none" w:sz="0" w:space="0" w:color="auto"/>
                            <w:bottom w:val="none" w:sz="0" w:space="0" w:color="auto"/>
                            <w:right w:val="none" w:sz="0" w:space="0" w:color="auto"/>
                          </w:divBdr>
                          <w:divsChild>
                            <w:div w:id="73874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1797537">
      <w:bodyDiv w:val="1"/>
      <w:marLeft w:val="0"/>
      <w:marRight w:val="0"/>
      <w:marTop w:val="0"/>
      <w:marBottom w:val="0"/>
      <w:divBdr>
        <w:top w:val="none" w:sz="0" w:space="0" w:color="auto"/>
        <w:left w:val="none" w:sz="0" w:space="0" w:color="auto"/>
        <w:bottom w:val="none" w:sz="0" w:space="0" w:color="auto"/>
        <w:right w:val="none" w:sz="0" w:space="0" w:color="auto"/>
      </w:divBdr>
    </w:div>
    <w:div w:id="1008408953">
      <w:bodyDiv w:val="1"/>
      <w:marLeft w:val="0"/>
      <w:marRight w:val="0"/>
      <w:marTop w:val="0"/>
      <w:marBottom w:val="0"/>
      <w:divBdr>
        <w:top w:val="none" w:sz="0" w:space="0" w:color="auto"/>
        <w:left w:val="none" w:sz="0" w:space="0" w:color="auto"/>
        <w:bottom w:val="none" w:sz="0" w:space="0" w:color="auto"/>
        <w:right w:val="none" w:sz="0" w:space="0" w:color="auto"/>
      </w:divBdr>
    </w:div>
    <w:div w:id="1170949721">
      <w:bodyDiv w:val="1"/>
      <w:marLeft w:val="0"/>
      <w:marRight w:val="0"/>
      <w:marTop w:val="0"/>
      <w:marBottom w:val="0"/>
      <w:divBdr>
        <w:top w:val="none" w:sz="0" w:space="0" w:color="auto"/>
        <w:left w:val="none" w:sz="0" w:space="0" w:color="auto"/>
        <w:bottom w:val="none" w:sz="0" w:space="0" w:color="auto"/>
        <w:right w:val="none" w:sz="0" w:space="0" w:color="auto"/>
      </w:divBdr>
    </w:div>
    <w:div w:id="1526365576">
      <w:bodyDiv w:val="1"/>
      <w:marLeft w:val="0"/>
      <w:marRight w:val="0"/>
      <w:marTop w:val="0"/>
      <w:marBottom w:val="0"/>
      <w:divBdr>
        <w:top w:val="none" w:sz="0" w:space="0" w:color="auto"/>
        <w:left w:val="none" w:sz="0" w:space="0" w:color="auto"/>
        <w:bottom w:val="none" w:sz="0" w:space="0" w:color="auto"/>
        <w:right w:val="none" w:sz="0" w:space="0" w:color="auto"/>
      </w:divBdr>
      <w:divsChild>
        <w:div w:id="892543225">
          <w:marLeft w:val="0"/>
          <w:marRight w:val="0"/>
          <w:marTop w:val="300"/>
          <w:marBottom w:val="150"/>
          <w:divBdr>
            <w:top w:val="none" w:sz="0" w:space="0" w:color="auto"/>
            <w:left w:val="none" w:sz="0" w:space="0" w:color="auto"/>
            <w:bottom w:val="none" w:sz="0" w:space="0" w:color="auto"/>
            <w:right w:val="none" w:sz="0" w:space="0" w:color="auto"/>
          </w:divBdr>
        </w:div>
        <w:div w:id="899631192">
          <w:marLeft w:val="0"/>
          <w:marRight w:val="0"/>
          <w:marTop w:val="300"/>
          <w:marBottom w:val="150"/>
          <w:divBdr>
            <w:top w:val="none" w:sz="0" w:space="0" w:color="auto"/>
            <w:left w:val="none" w:sz="0" w:space="0" w:color="auto"/>
            <w:bottom w:val="none" w:sz="0" w:space="0" w:color="auto"/>
            <w:right w:val="none" w:sz="0" w:space="0" w:color="auto"/>
          </w:divBdr>
        </w:div>
      </w:divsChild>
    </w:div>
    <w:div w:id="1672220916">
      <w:bodyDiv w:val="1"/>
      <w:marLeft w:val="0"/>
      <w:marRight w:val="0"/>
      <w:marTop w:val="0"/>
      <w:marBottom w:val="0"/>
      <w:divBdr>
        <w:top w:val="none" w:sz="0" w:space="0" w:color="auto"/>
        <w:left w:val="none" w:sz="0" w:space="0" w:color="auto"/>
        <w:bottom w:val="none" w:sz="0" w:space="0" w:color="auto"/>
        <w:right w:val="none" w:sz="0" w:space="0" w:color="auto"/>
      </w:divBdr>
    </w:div>
    <w:div w:id="179320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ingsfund.org.uk" TargetMode="External"/><Relationship Id="rId5" Type="http://schemas.openxmlformats.org/officeDocument/2006/relationships/hyperlink" Target="https://www.google.com/search?client=safari&amp;rls=en&amp;q=National+Living+Wage&amp;ie=UTF-8&amp;oe=UTF-8&amp;mstk=AUtExfCiVkF-pZ5MusTRvXlf3N6V-v31aMx9NHuVRLNYnH5DdZora_NIw0ZaujWKrC4N4tKZSLnP4eUl8mhmaDT1MutA4-kauumSRnvg3l5l3VppN5Gj0hckeX2SQ9mRQgRVp6KO82bfhuRoSb6VgM2ZXRHl5EPeoPO5quDM3UWrk0cafM0&amp;csui=3&amp;ved=2ahUKEwi91K7B8vOQAxUZQkEAHcBCFe4QgK4QegQIBxAB"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1657</Words>
  <Characters>9449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samiraserbana1389@outlook.com</dc:creator>
  <cp:keywords/>
  <dc:description/>
  <cp:lastModifiedBy>samiraserbana1389@outlook.com</cp:lastModifiedBy>
  <cp:revision>2</cp:revision>
  <dcterms:created xsi:type="dcterms:W3CDTF">2025-11-17T23:48:00Z</dcterms:created>
  <dcterms:modified xsi:type="dcterms:W3CDTF">2025-11-17T23:48:00Z</dcterms:modified>
</cp:coreProperties>
</file>