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AA469" w14:textId="77777777" w:rsidR="00F91D85" w:rsidRDefault="00F91D85" w:rsidP="00F91D85">
      <w:pPr>
        <w:spacing w:line="480" w:lineRule="auto"/>
        <w:jc w:val="both"/>
        <w:rPr>
          <w:rFonts w:ascii="Times New Roman" w:hAnsi="Times New Roman" w:cs="Times New Roman"/>
          <w:sz w:val="24"/>
          <w:szCs w:val="24"/>
          <w:lang w:val="en-GB"/>
        </w:rPr>
      </w:pPr>
    </w:p>
    <w:p w14:paraId="6CC22496" w14:textId="77777777" w:rsidR="00F91D85" w:rsidRDefault="00F91D85" w:rsidP="00F91D85">
      <w:pPr>
        <w:spacing w:line="480" w:lineRule="auto"/>
        <w:jc w:val="both"/>
        <w:rPr>
          <w:rFonts w:ascii="Times New Roman" w:hAnsi="Times New Roman" w:cs="Times New Roman"/>
          <w:sz w:val="24"/>
          <w:szCs w:val="24"/>
          <w:lang w:val="en-GB"/>
        </w:rPr>
      </w:pPr>
    </w:p>
    <w:p w14:paraId="6F028387" w14:textId="77777777" w:rsidR="00F91D85" w:rsidRDefault="00F91D85" w:rsidP="00F91D85">
      <w:pPr>
        <w:spacing w:line="480" w:lineRule="auto"/>
        <w:jc w:val="both"/>
        <w:rPr>
          <w:rFonts w:ascii="Times New Roman" w:hAnsi="Times New Roman" w:cs="Times New Roman"/>
          <w:sz w:val="24"/>
          <w:szCs w:val="24"/>
          <w:lang w:val="en-GB"/>
        </w:rPr>
      </w:pPr>
    </w:p>
    <w:p w14:paraId="4E7CC7C1" w14:textId="77777777" w:rsidR="00F91D85" w:rsidRDefault="00F91D85" w:rsidP="00F91D85">
      <w:pPr>
        <w:spacing w:line="480" w:lineRule="auto"/>
        <w:jc w:val="both"/>
        <w:rPr>
          <w:rFonts w:ascii="Times New Roman" w:hAnsi="Times New Roman" w:cs="Times New Roman"/>
          <w:sz w:val="24"/>
          <w:szCs w:val="24"/>
          <w:lang w:val="en-GB"/>
        </w:rPr>
      </w:pPr>
    </w:p>
    <w:p w14:paraId="24081EBE" w14:textId="77777777" w:rsidR="00F91D85" w:rsidRDefault="00F91D85" w:rsidP="00F91D85">
      <w:pPr>
        <w:spacing w:line="480" w:lineRule="auto"/>
        <w:jc w:val="both"/>
        <w:rPr>
          <w:rFonts w:ascii="Times New Roman" w:hAnsi="Times New Roman" w:cs="Times New Roman"/>
          <w:sz w:val="24"/>
          <w:szCs w:val="24"/>
          <w:lang w:val="en-GB"/>
        </w:rPr>
      </w:pPr>
    </w:p>
    <w:p w14:paraId="66901A84" w14:textId="77777777" w:rsidR="00F91D85" w:rsidRDefault="00F91D85" w:rsidP="00F91D85">
      <w:pPr>
        <w:spacing w:line="480" w:lineRule="auto"/>
        <w:jc w:val="both"/>
        <w:rPr>
          <w:rFonts w:ascii="Times New Roman" w:hAnsi="Times New Roman" w:cs="Times New Roman"/>
          <w:sz w:val="24"/>
          <w:szCs w:val="24"/>
          <w:lang w:val="en-GB"/>
        </w:rPr>
      </w:pPr>
    </w:p>
    <w:p w14:paraId="41561C56" w14:textId="77777777" w:rsidR="00F91D85" w:rsidRDefault="00F91D85" w:rsidP="00F91D85">
      <w:pPr>
        <w:spacing w:line="480" w:lineRule="auto"/>
        <w:jc w:val="both"/>
        <w:rPr>
          <w:rFonts w:ascii="Times New Roman" w:hAnsi="Times New Roman" w:cs="Times New Roman"/>
          <w:sz w:val="24"/>
          <w:szCs w:val="24"/>
          <w:lang w:val="en-GB"/>
        </w:rPr>
      </w:pPr>
    </w:p>
    <w:p w14:paraId="1F89D5AD" w14:textId="77777777" w:rsidR="00F91D85" w:rsidRDefault="00F91D85" w:rsidP="00F91D85">
      <w:pPr>
        <w:spacing w:line="480" w:lineRule="auto"/>
        <w:jc w:val="both"/>
        <w:rPr>
          <w:rFonts w:ascii="Times New Roman" w:hAnsi="Times New Roman" w:cs="Times New Roman"/>
          <w:sz w:val="24"/>
          <w:szCs w:val="24"/>
          <w:lang w:val="en-GB"/>
        </w:rPr>
      </w:pPr>
    </w:p>
    <w:p w14:paraId="05D71DCD" w14:textId="77777777" w:rsidR="00F91D85" w:rsidRDefault="00F91D85" w:rsidP="00F91D85">
      <w:pPr>
        <w:spacing w:line="480" w:lineRule="auto"/>
        <w:jc w:val="center"/>
        <w:rPr>
          <w:rFonts w:ascii="Times New Roman" w:hAnsi="Times New Roman" w:cs="Times New Roman"/>
          <w:sz w:val="24"/>
          <w:szCs w:val="24"/>
          <w:lang w:val="en-GB"/>
        </w:rPr>
      </w:pPr>
      <w:r w:rsidRPr="003B0C6C">
        <w:rPr>
          <w:rFonts w:ascii="Times New Roman" w:hAnsi="Times New Roman" w:cs="Times New Roman"/>
          <w:sz w:val="24"/>
          <w:szCs w:val="24"/>
          <w:lang w:val="en-GB"/>
        </w:rPr>
        <w:t>Tesco</w:t>
      </w:r>
      <w:r>
        <w:rPr>
          <w:rFonts w:ascii="Times New Roman" w:hAnsi="Times New Roman" w:cs="Times New Roman"/>
          <w:sz w:val="24"/>
          <w:szCs w:val="24"/>
          <w:lang w:val="en-GB"/>
        </w:rPr>
        <w:t xml:space="preserve">’s </w:t>
      </w:r>
      <w:r w:rsidRPr="003B0C6C">
        <w:rPr>
          <w:rFonts w:ascii="Times New Roman" w:hAnsi="Times New Roman" w:cs="Times New Roman"/>
          <w:sz w:val="24"/>
          <w:szCs w:val="24"/>
          <w:lang w:val="en-GB"/>
        </w:rPr>
        <w:t xml:space="preserve">Expansion </w:t>
      </w:r>
      <w:r>
        <w:rPr>
          <w:rFonts w:ascii="Times New Roman" w:hAnsi="Times New Roman" w:cs="Times New Roman"/>
          <w:sz w:val="24"/>
          <w:szCs w:val="24"/>
          <w:lang w:val="en-GB"/>
        </w:rPr>
        <w:t>into the EU</w:t>
      </w:r>
    </w:p>
    <w:p w14:paraId="72F7C6DB" w14:textId="222556E0" w:rsidR="00F91D85" w:rsidRDefault="00F91D85" w:rsidP="00236574">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By:</w:t>
      </w:r>
      <w:r w:rsidR="00236574">
        <w:rPr>
          <w:rFonts w:ascii="Times New Roman" w:hAnsi="Times New Roman" w:cs="Times New Roman"/>
          <w:sz w:val="24"/>
          <w:szCs w:val="24"/>
          <w:lang w:val="en-GB"/>
        </w:rPr>
        <w:t xml:space="preserve"> </w:t>
      </w:r>
      <w:r w:rsidR="00BD3A1D">
        <w:rPr>
          <w:rFonts w:ascii="Times New Roman" w:hAnsi="Times New Roman" w:cs="Times New Roman"/>
          <w:sz w:val="24"/>
          <w:szCs w:val="24"/>
          <w:lang w:val="en-GB"/>
        </w:rPr>
        <w:t>2122750</w:t>
      </w:r>
    </w:p>
    <w:p w14:paraId="2694BD37" w14:textId="71A15AC7" w:rsidR="00F91D85" w:rsidRDefault="00F91D85" w:rsidP="00F91D85">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GB"/>
        </w:rPr>
        <w:t xml:space="preserve">Course name: </w:t>
      </w:r>
      <w:r w:rsidR="00CF0A2B">
        <w:rPr>
          <w:rFonts w:ascii="Times New Roman" w:hAnsi="Times New Roman" w:cs="Times New Roman"/>
          <w:sz w:val="24"/>
          <w:szCs w:val="24"/>
          <w:lang w:val="en-US"/>
        </w:rPr>
        <w:t>International Business Communications</w:t>
      </w:r>
    </w:p>
    <w:p w14:paraId="4DC8BE40" w14:textId="413A3490" w:rsidR="00CF0A2B" w:rsidRPr="00CF0A2B" w:rsidRDefault="00CF0A2B" w:rsidP="00F91D85">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Module Code : LCBB6001</w:t>
      </w:r>
    </w:p>
    <w:p w14:paraId="332BB1FC" w14:textId="7C4503CE" w:rsidR="00F91D85" w:rsidRDefault="00CF0A2B" w:rsidP="00F91D85">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GB"/>
        </w:rPr>
        <w:t xml:space="preserve">Lecturer: </w:t>
      </w:r>
      <w:r w:rsidR="00F91D85" w:rsidRPr="003B0C6C">
        <w:rPr>
          <w:rFonts w:ascii="Times New Roman" w:hAnsi="Times New Roman" w:cs="Times New Roman"/>
          <w:sz w:val="24"/>
          <w:szCs w:val="24"/>
        </w:rPr>
        <w:t>Dr Charles Nwaogwugwu Zainab Atta</w:t>
      </w:r>
    </w:p>
    <w:p w14:paraId="24A2EAEC" w14:textId="77777777" w:rsidR="00236574" w:rsidRDefault="00236574" w:rsidP="00F91D85">
      <w:pPr>
        <w:spacing w:line="480" w:lineRule="auto"/>
        <w:jc w:val="center"/>
        <w:rPr>
          <w:rFonts w:ascii="Times New Roman" w:hAnsi="Times New Roman" w:cs="Times New Roman"/>
          <w:sz w:val="24"/>
          <w:szCs w:val="24"/>
          <w:lang w:val="en-US"/>
        </w:rPr>
      </w:pPr>
    </w:p>
    <w:p w14:paraId="412F7419" w14:textId="77777777" w:rsidR="00236574" w:rsidRDefault="00236574" w:rsidP="00F91D85">
      <w:pPr>
        <w:spacing w:line="480" w:lineRule="auto"/>
        <w:jc w:val="center"/>
        <w:rPr>
          <w:rFonts w:ascii="Times New Roman" w:hAnsi="Times New Roman" w:cs="Times New Roman"/>
          <w:sz w:val="24"/>
          <w:szCs w:val="24"/>
          <w:lang w:val="en-US"/>
        </w:rPr>
      </w:pPr>
    </w:p>
    <w:p w14:paraId="273517DC" w14:textId="77777777" w:rsidR="00236574" w:rsidRDefault="00236574" w:rsidP="00F91D85">
      <w:pPr>
        <w:spacing w:line="480" w:lineRule="auto"/>
        <w:jc w:val="center"/>
        <w:rPr>
          <w:rFonts w:ascii="Times New Roman" w:hAnsi="Times New Roman" w:cs="Times New Roman"/>
          <w:sz w:val="24"/>
          <w:szCs w:val="24"/>
          <w:lang w:val="en-US"/>
        </w:rPr>
      </w:pPr>
    </w:p>
    <w:p w14:paraId="69515F99" w14:textId="77777777" w:rsidR="00236574" w:rsidRDefault="00236574" w:rsidP="00F91D85">
      <w:pPr>
        <w:spacing w:line="480" w:lineRule="auto"/>
        <w:jc w:val="center"/>
        <w:rPr>
          <w:rFonts w:ascii="Times New Roman" w:hAnsi="Times New Roman" w:cs="Times New Roman"/>
          <w:sz w:val="24"/>
          <w:szCs w:val="24"/>
          <w:lang w:val="en-US"/>
        </w:rPr>
      </w:pPr>
    </w:p>
    <w:p w14:paraId="706FAC12" w14:textId="77777777" w:rsidR="00236574" w:rsidRDefault="00236574" w:rsidP="00F91D85">
      <w:pPr>
        <w:spacing w:line="480" w:lineRule="auto"/>
        <w:jc w:val="center"/>
        <w:rPr>
          <w:rFonts w:ascii="Times New Roman" w:hAnsi="Times New Roman" w:cs="Times New Roman"/>
          <w:sz w:val="24"/>
          <w:szCs w:val="24"/>
          <w:lang w:val="en-US"/>
        </w:rPr>
      </w:pPr>
    </w:p>
    <w:p w14:paraId="4EC2A580" w14:textId="77777777" w:rsidR="00236574" w:rsidRDefault="00236574" w:rsidP="00F91D85">
      <w:pPr>
        <w:spacing w:line="480" w:lineRule="auto"/>
        <w:jc w:val="center"/>
        <w:rPr>
          <w:rFonts w:ascii="Times New Roman" w:hAnsi="Times New Roman" w:cs="Times New Roman"/>
          <w:sz w:val="24"/>
          <w:szCs w:val="24"/>
          <w:lang w:val="en-US"/>
        </w:rPr>
      </w:pPr>
    </w:p>
    <w:p w14:paraId="5AB7059D" w14:textId="77777777" w:rsidR="00236574" w:rsidRPr="00236574" w:rsidRDefault="00236574" w:rsidP="00F91D85">
      <w:pPr>
        <w:spacing w:line="480" w:lineRule="auto"/>
        <w:jc w:val="center"/>
        <w:rPr>
          <w:rFonts w:ascii="Times New Roman" w:hAnsi="Times New Roman" w:cs="Times New Roman"/>
          <w:sz w:val="24"/>
          <w:szCs w:val="24"/>
          <w:lang w:val="en-US"/>
        </w:rPr>
      </w:pPr>
    </w:p>
    <w:sdt>
      <w:sdtPr>
        <w:rPr>
          <w:rFonts w:ascii="Times New Roman" w:eastAsiaTheme="minorHAnsi" w:hAnsi="Times New Roman" w:cs="Times New Roman"/>
          <w:b/>
          <w:bCs/>
          <w:color w:val="auto"/>
          <w:kern w:val="2"/>
          <w:sz w:val="22"/>
          <w:szCs w:val="22"/>
          <w:lang/>
          <w14:ligatures w14:val="standardContextual"/>
        </w:rPr>
        <w:id w:val="-1955702884"/>
        <w:docPartObj>
          <w:docPartGallery w:val="Table of Contents"/>
          <w:docPartUnique/>
        </w:docPartObj>
      </w:sdtPr>
      <w:sdtEndPr>
        <w:rPr>
          <w:rFonts w:asciiTheme="minorHAnsi" w:hAnsiTheme="minorHAnsi" w:cstheme="minorBidi"/>
          <w:noProof/>
        </w:rPr>
      </w:sdtEndPr>
      <w:sdtContent>
        <w:p w14:paraId="2E57E392" w14:textId="77777777" w:rsidR="00F91D85" w:rsidRPr="003B0C6C" w:rsidRDefault="00F91D85" w:rsidP="00F91D85">
          <w:pPr>
            <w:pStyle w:val="TOCHeading"/>
            <w:rPr>
              <w:rFonts w:ascii="Times New Roman" w:hAnsi="Times New Roman" w:cs="Times New Roman"/>
              <w:b/>
              <w:bCs/>
              <w:color w:val="auto"/>
            </w:rPr>
          </w:pPr>
          <w:r w:rsidRPr="003B0C6C">
            <w:rPr>
              <w:rFonts w:ascii="Times New Roman" w:hAnsi="Times New Roman" w:cs="Times New Roman"/>
              <w:b/>
              <w:bCs/>
              <w:color w:val="auto"/>
            </w:rPr>
            <w:t>Table of Contents</w:t>
          </w:r>
        </w:p>
        <w:p w14:paraId="7CC21567" w14:textId="77777777" w:rsidR="00F91D85" w:rsidRDefault="00F91D85" w:rsidP="00F91D85">
          <w:pPr>
            <w:pStyle w:val="TOC1"/>
            <w:tabs>
              <w:tab w:val="right" w:leader="dot" w:pos="9016"/>
            </w:tabs>
            <w:rPr>
              <w:noProof/>
            </w:rPr>
          </w:pPr>
          <w:r>
            <w:fldChar w:fldCharType="begin"/>
          </w:r>
          <w:r>
            <w:instrText xml:space="preserve"> TOC \o "1-3" \h \z \u </w:instrText>
          </w:r>
          <w:r>
            <w:fldChar w:fldCharType="separate"/>
          </w:r>
          <w:hyperlink w:anchor="_Toc160200358" w:history="1">
            <w:r w:rsidRPr="00AC73F2">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_Toc160200358 \h </w:instrText>
            </w:r>
            <w:r>
              <w:rPr>
                <w:noProof/>
                <w:webHidden/>
              </w:rPr>
            </w:r>
            <w:r>
              <w:rPr>
                <w:noProof/>
                <w:webHidden/>
              </w:rPr>
              <w:fldChar w:fldCharType="separate"/>
            </w:r>
            <w:r>
              <w:rPr>
                <w:noProof/>
                <w:webHidden/>
              </w:rPr>
              <w:t>3</w:t>
            </w:r>
            <w:r>
              <w:rPr>
                <w:noProof/>
                <w:webHidden/>
              </w:rPr>
              <w:fldChar w:fldCharType="end"/>
            </w:r>
          </w:hyperlink>
        </w:p>
        <w:p w14:paraId="3CBC078E" w14:textId="77777777" w:rsidR="00F91D85" w:rsidRDefault="00F91D85" w:rsidP="00F91D85">
          <w:pPr>
            <w:pStyle w:val="TOC1"/>
            <w:tabs>
              <w:tab w:val="right" w:leader="dot" w:pos="9016"/>
            </w:tabs>
            <w:rPr>
              <w:noProof/>
            </w:rPr>
          </w:pPr>
          <w:hyperlink w:anchor="_Toc160200359" w:history="1">
            <w:r w:rsidRPr="00AC73F2">
              <w:rPr>
                <w:rStyle w:val="Hyperlink"/>
                <w:rFonts w:ascii="Times New Roman" w:hAnsi="Times New Roman" w:cs="Times New Roman"/>
                <w:b/>
                <w:bCs/>
                <w:noProof/>
                <w:lang w:val="en-GB"/>
              </w:rPr>
              <w:t>Country Evaluation: Weighing between Germany and Spain</w:t>
            </w:r>
            <w:r>
              <w:rPr>
                <w:noProof/>
                <w:webHidden/>
              </w:rPr>
              <w:tab/>
            </w:r>
            <w:r>
              <w:rPr>
                <w:noProof/>
                <w:webHidden/>
              </w:rPr>
              <w:fldChar w:fldCharType="begin"/>
            </w:r>
            <w:r>
              <w:rPr>
                <w:noProof/>
                <w:webHidden/>
              </w:rPr>
              <w:instrText xml:space="preserve"> PAGEREF _Toc160200359 \h </w:instrText>
            </w:r>
            <w:r>
              <w:rPr>
                <w:noProof/>
                <w:webHidden/>
              </w:rPr>
            </w:r>
            <w:r>
              <w:rPr>
                <w:noProof/>
                <w:webHidden/>
              </w:rPr>
              <w:fldChar w:fldCharType="separate"/>
            </w:r>
            <w:r>
              <w:rPr>
                <w:noProof/>
                <w:webHidden/>
              </w:rPr>
              <w:t>5</w:t>
            </w:r>
            <w:r>
              <w:rPr>
                <w:noProof/>
                <w:webHidden/>
              </w:rPr>
              <w:fldChar w:fldCharType="end"/>
            </w:r>
          </w:hyperlink>
        </w:p>
        <w:p w14:paraId="147AA53C" w14:textId="77777777" w:rsidR="00F91D85" w:rsidRDefault="00F91D85" w:rsidP="00F91D85">
          <w:pPr>
            <w:pStyle w:val="TOC2"/>
            <w:tabs>
              <w:tab w:val="right" w:leader="dot" w:pos="9016"/>
            </w:tabs>
            <w:rPr>
              <w:noProof/>
            </w:rPr>
          </w:pPr>
          <w:hyperlink w:anchor="_Toc160200360" w:history="1">
            <w:r w:rsidRPr="00AC73F2">
              <w:rPr>
                <w:rStyle w:val="Hyperlink"/>
                <w:rFonts w:ascii="Times New Roman" w:hAnsi="Times New Roman" w:cs="Times New Roman"/>
                <w:b/>
                <w:bCs/>
                <w:noProof/>
                <w:lang w:val="en-GB"/>
              </w:rPr>
              <w:t>Germany</w:t>
            </w:r>
            <w:r>
              <w:rPr>
                <w:noProof/>
                <w:webHidden/>
              </w:rPr>
              <w:tab/>
            </w:r>
            <w:r>
              <w:rPr>
                <w:noProof/>
                <w:webHidden/>
              </w:rPr>
              <w:fldChar w:fldCharType="begin"/>
            </w:r>
            <w:r>
              <w:rPr>
                <w:noProof/>
                <w:webHidden/>
              </w:rPr>
              <w:instrText xml:space="preserve"> PAGEREF _Toc160200360 \h </w:instrText>
            </w:r>
            <w:r>
              <w:rPr>
                <w:noProof/>
                <w:webHidden/>
              </w:rPr>
            </w:r>
            <w:r>
              <w:rPr>
                <w:noProof/>
                <w:webHidden/>
              </w:rPr>
              <w:fldChar w:fldCharType="separate"/>
            </w:r>
            <w:r>
              <w:rPr>
                <w:noProof/>
                <w:webHidden/>
              </w:rPr>
              <w:t>5</w:t>
            </w:r>
            <w:r>
              <w:rPr>
                <w:noProof/>
                <w:webHidden/>
              </w:rPr>
              <w:fldChar w:fldCharType="end"/>
            </w:r>
          </w:hyperlink>
        </w:p>
        <w:p w14:paraId="4021AFAF" w14:textId="77777777" w:rsidR="00F91D85" w:rsidRDefault="00F91D85" w:rsidP="00F91D85">
          <w:pPr>
            <w:pStyle w:val="TOC2"/>
            <w:tabs>
              <w:tab w:val="right" w:leader="dot" w:pos="9016"/>
            </w:tabs>
            <w:rPr>
              <w:noProof/>
            </w:rPr>
          </w:pPr>
          <w:hyperlink w:anchor="_Toc160200361" w:history="1">
            <w:r w:rsidRPr="00AC73F2">
              <w:rPr>
                <w:rStyle w:val="Hyperlink"/>
                <w:rFonts w:ascii="Times New Roman" w:hAnsi="Times New Roman" w:cs="Times New Roman"/>
                <w:b/>
                <w:bCs/>
                <w:noProof/>
                <w:lang w:val="en-GB"/>
              </w:rPr>
              <w:t>Spain</w:t>
            </w:r>
            <w:r>
              <w:rPr>
                <w:noProof/>
                <w:webHidden/>
              </w:rPr>
              <w:tab/>
            </w:r>
            <w:r>
              <w:rPr>
                <w:noProof/>
                <w:webHidden/>
              </w:rPr>
              <w:fldChar w:fldCharType="begin"/>
            </w:r>
            <w:r>
              <w:rPr>
                <w:noProof/>
                <w:webHidden/>
              </w:rPr>
              <w:instrText xml:space="preserve"> PAGEREF _Toc160200361 \h </w:instrText>
            </w:r>
            <w:r>
              <w:rPr>
                <w:noProof/>
                <w:webHidden/>
              </w:rPr>
            </w:r>
            <w:r>
              <w:rPr>
                <w:noProof/>
                <w:webHidden/>
              </w:rPr>
              <w:fldChar w:fldCharType="separate"/>
            </w:r>
            <w:r>
              <w:rPr>
                <w:noProof/>
                <w:webHidden/>
              </w:rPr>
              <w:t>8</w:t>
            </w:r>
            <w:r>
              <w:rPr>
                <w:noProof/>
                <w:webHidden/>
              </w:rPr>
              <w:fldChar w:fldCharType="end"/>
            </w:r>
          </w:hyperlink>
        </w:p>
        <w:p w14:paraId="675DB1F3" w14:textId="77777777" w:rsidR="00F91D85" w:rsidRDefault="00F91D85" w:rsidP="00F91D85">
          <w:pPr>
            <w:pStyle w:val="TOC1"/>
            <w:tabs>
              <w:tab w:val="right" w:leader="dot" w:pos="9016"/>
            </w:tabs>
            <w:rPr>
              <w:noProof/>
            </w:rPr>
          </w:pPr>
          <w:hyperlink w:anchor="_Toc160200362" w:history="1">
            <w:r w:rsidRPr="00AC73F2">
              <w:rPr>
                <w:rStyle w:val="Hyperlink"/>
                <w:rFonts w:ascii="Times New Roman" w:hAnsi="Times New Roman" w:cs="Times New Roman"/>
                <w:b/>
                <w:bCs/>
                <w:noProof/>
                <w:lang w:val="en-GB"/>
              </w:rPr>
              <w:t>Recommendation</w:t>
            </w:r>
            <w:r>
              <w:rPr>
                <w:noProof/>
                <w:webHidden/>
              </w:rPr>
              <w:tab/>
            </w:r>
            <w:r>
              <w:rPr>
                <w:noProof/>
                <w:webHidden/>
              </w:rPr>
              <w:fldChar w:fldCharType="begin"/>
            </w:r>
            <w:r>
              <w:rPr>
                <w:noProof/>
                <w:webHidden/>
              </w:rPr>
              <w:instrText xml:space="preserve"> PAGEREF _Toc160200362 \h </w:instrText>
            </w:r>
            <w:r>
              <w:rPr>
                <w:noProof/>
                <w:webHidden/>
              </w:rPr>
            </w:r>
            <w:r>
              <w:rPr>
                <w:noProof/>
                <w:webHidden/>
              </w:rPr>
              <w:fldChar w:fldCharType="separate"/>
            </w:r>
            <w:r>
              <w:rPr>
                <w:noProof/>
                <w:webHidden/>
              </w:rPr>
              <w:t>11</w:t>
            </w:r>
            <w:r>
              <w:rPr>
                <w:noProof/>
                <w:webHidden/>
              </w:rPr>
              <w:fldChar w:fldCharType="end"/>
            </w:r>
          </w:hyperlink>
        </w:p>
        <w:p w14:paraId="1080AE44" w14:textId="77777777" w:rsidR="00F91D85" w:rsidRDefault="00F91D85" w:rsidP="00F91D85">
          <w:pPr>
            <w:pStyle w:val="TOC1"/>
            <w:tabs>
              <w:tab w:val="right" w:leader="dot" w:pos="9016"/>
            </w:tabs>
            <w:rPr>
              <w:noProof/>
            </w:rPr>
          </w:pPr>
          <w:hyperlink w:anchor="_Toc160200363" w:history="1">
            <w:r w:rsidRPr="00AC73F2">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_Toc160200363 \h </w:instrText>
            </w:r>
            <w:r>
              <w:rPr>
                <w:noProof/>
                <w:webHidden/>
              </w:rPr>
            </w:r>
            <w:r>
              <w:rPr>
                <w:noProof/>
                <w:webHidden/>
              </w:rPr>
              <w:fldChar w:fldCharType="separate"/>
            </w:r>
            <w:r>
              <w:rPr>
                <w:noProof/>
                <w:webHidden/>
              </w:rPr>
              <w:t>11</w:t>
            </w:r>
            <w:r>
              <w:rPr>
                <w:noProof/>
                <w:webHidden/>
              </w:rPr>
              <w:fldChar w:fldCharType="end"/>
            </w:r>
          </w:hyperlink>
        </w:p>
        <w:p w14:paraId="33AA2B43" w14:textId="77777777" w:rsidR="00F91D85" w:rsidRDefault="00F91D85" w:rsidP="00F91D85">
          <w:r>
            <w:rPr>
              <w:b/>
              <w:bCs/>
              <w:noProof/>
            </w:rPr>
            <w:fldChar w:fldCharType="end"/>
          </w:r>
        </w:p>
      </w:sdtContent>
    </w:sdt>
    <w:p w14:paraId="224A8AE6" w14:textId="77777777" w:rsidR="00F91D85" w:rsidRDefault="00F91D85" w:rsidP="00F91D85">
      <w:pPr>
        <w:spacing w:line="480" w:lineRule="auto"/>
        <w:jc w:val="both"/>
        <w:rPr>
          <w:rFonts w:ascii="Times New Roman" w:hAnsi="Times New Roman" w:cs="Times New Roman"/>
          <w:sz w:val="24"/>
          <w:szCs w:val="24"/>
          <w:lang w:val="en-GB"/>
        </w:rPr>
      </w:pPr>
    </w:p>
    <w:p w14:paraId="20BF6010" w14:textId="77777777" w:rsidR="00F91D85" w:rsidRDefault="00F91D85" w:rsidP="00F91D85">
      <w:pPr>
        <w:spacing w:line="480" w:lineRule="auto"/>
        <w:jc w:val="both"/>
        <w:rPr>
          <w:rFonts w:ascii="Times New Roman" w:hAnsi="Times New Roman" w:cs="Times New Roman"/>
          <w:sz w:val="24"/>
          <w:szCs w:val="24"/>
          <w:lang w:val="en-GB"/>
        </w:rPr>
      </w:pPr>
    </w:p>
    <w:p w14:paraId="68D51CBA" w14:textId="77777777" w:rsidR="00F91D85" w:rsidRDefault="00F91D85" w:rsidP="00F91D85">
      <w:pPr>
        <w:spacing w:line="480" w:lineRule="auto"/>
        <w:jc w:val="both"/>
        <w:rPr>
          <w:rFonts w:ascii="Times New Roman" w:hAnsi="Times New Roman" w:cs="Times New Roman"/>
          <w:sz w:val="24"/>
          <w:szCs w:val="24"/>
          <w:lang w:val="en-GB"/>
        </w:rPr>
      </w:pPr>
    </w:p>
    <w:p w14:paraId="52BC0062" w14:textId="77777777" w:rsidR="00F91D85" w:rsidRDefault="00F91D85" w:rsidP="00F91D85">
      <w:pPr>
        <w:spacing w:line="480" w:lineRule="auto"/>
        <w:jc w:val="both"/>
        <w:rPr>
          <w:rFonts w:ascii="Times New Roman" w:hAnsi="Times New Roman" w:cs="Times New Roman"/>
          <w:sz w:val="24"/>
          <w:szCs w:val="24"/>
          <w:lang w:val="en-GB"/>
        </w:rPr>
      </w:pPr>
    </w:p>
    <w:p w14:paraId="11679043" w14:textId="77777777" w:rsidR="00F91D85" w:rsidRDefault="00F91D85" w:rsidP="00F91D85">
      <w:pPr>
        <w:spacing w:line="480" w:lineRule="auto"/>
        <w:jc w:val="both"/>
        <w:rPr>
          <w:rFonts w:ascii="Times New Roman" w:hAnsi="Times New Roman" w:cs="Times New Roman"/>
          <w:sz w:val="24"/>
          <w:szCs w:val="24"/>
          <w:lang w:val="en-GB"/>
        </w:rPr>
      </w:pPr>
    </w:p>
    <w:p w14:paraId="4D1619F4" w14:textId="77777777" w:rsidR="00F91D85" w:rsidRDefault="00F91D85" w:rsidP="00F91D85">
      <w:pPr>
        <w:spacing w:line="480" w:lineRule="auto"/>
        <w:jc w:val="both"/>
        <w:rPr>
          <w:rFonts w:ascii="Times New Roman" w:hAnsi="Times New Roman" w:cs="Times New Roman"/>
          <w:sz w:val="24"/>
          <w:szCs w:val="24"/>
          <w:lang w:val="en-GB"/>
        </w:rPr>
      </w:pPr>
    </w:p>
    <w:p w14:paraId="63EE87A5" w14:textId="77777777" w:rsidR="00F91D85" w:rsidRDefault="00F91D85" w:rsidP="00F91D85">
      <w:pPr>
        <w:spacing w:line="480" w:lineRule="auto"/>
        <w:jc w:val="both"/>
        <w:rPr>
          <w:rFonts w:ascii="Times New Roman" w:hAnsi="Times New Roman" w:cs="Times New Roman"/>
          <w:sz w:val="24"/>
          <w:szCs w:val="24"/>
          <w:lang w:val="en-GB"/>
        </w:rPr>
      </w:pPr>
    </w:p>
    <w:p w14:paraId="50D6B542" w14:textId="77777777" w:rsidR="00F91D85" w:rsidRDefault="00F91D85" w:rsidP="00F91D85">
      <w:pPr>
        <w:spacing w:line="480" w:lineRule="auto"/>
        <w:jc w:val="both"/>
        <w:rPr>
          <w:rFonts w:ascii="Times New Roman" w:hAnsi="Times New Roman" w:cs="Times New Roman"/>
          <w:sz w:val="24"/>
          <w:szCs w:val="24"/>
          <w:lang w:val="en-GB"/>
        </w:rPr>
      </w:pPr>
    </w:p>
    <w:p w14:paraId="57F48987" w14:textId="77777777" w:rsidR="00F91D85" w:rsidRDefault="00F91D85" w:rsidP="00F91D85">
      <w:pPr>
        <w:spacing w:line="480" w:lineRule="auto"/>
        <w:jc w:val="both"/>
        <w:rPr>
          <w:rFonts w:ascii="Times New Roman" w:hAnsi="Times New Roman" w:cs="Times New Roman"/>
          <w:sz w:val="24"/>
          <w:szCs w:val="24"/>
          <w:lang w:val="en-GB"/>
        </w:rPr>
      </w:pPr>
    </w:p>
    <w:p w14:paraId="5B4CF71A" w14:textId="77777777" w:rsidR="00F91D85" w:rsidRDefault="00F91D85" w:rsidP="00F91D85">
      <w:pPr>
        <w:spacing w:line="480" w:lineRule="auto"/>
        <w:jc w:val="both"/>
        <w:rPr>
          <w:rFonts w:ascii="Times New Roman" w:hAnsi="Times New Roman" w:cs="Times New Roman"/>
          <w:sz w:val="24"/>
          <w:szCs w:val="24"/>
          <w:lang w:val="en-GB"/>
        </w:rPr>
      </w:pPr>
    </w:p>
    <w:p w14:paraId="32B09256" w14:textId="77777777" w:rsidR="00F91D85" w:rsidRDefault="00F91D85" w:rsidP="00F91D85">
      <w:pPr>
        <w:spacing w:line="480" w:lineRule="auto"/>
        <w:jc w:val="both"/>
        <w:rPr>
          <w:rFonts w:ascii="Times New Roman" w:hAnsi="Times New Roman" w:cs="Times New Roman"/>
          <w:sz w:val="24"/>
          <w:szCs w:val="24"/>
          <w:lang w:val="en-GB"/>
        </w:rPr>
      </w:pPr>
    </w:p>
    <w:p w14:paraId="3AEACAAE" w14:textId="77777777" w:rsidR="00F91D85" w:rsidRDefault="00F91D85" w:rsidP="00F91D85">
      <w:pPr>
        <w:spacing w:line="480" w:lineRule="auto"/>
        <w:jc w:val="both"/>
        <w:rPr>
          <w:rFonts w:ascii="Times New Roman" w:hAnsi="Times New Roman" w:cs="Times New Roman"/>
          <w:sz w:val="24"/>
          <w:szCs w:val="24"/>
          <w:lang w:val="en-GB"/>
        </w:rPr>
      </w:pPr>
    </w:p>
    <w:p w14:paraId="5C6E3C17" w14:textId="77777777" w:rsidR="00F91D85" w:rsidRDefault="00F91D85" w:rsidP="00F91D85">
      <w:pPr>
        <w:spacing w:line="480" w:lineRule="auto"/>
        <w:jc w:val="both"/>
        <w:rPr>
          <w:rFonts w:ascii="Times New Roman" w:hAnsi="Times New Roman" w:cs="Times New Roman"/>
          <w:sz w:val="24"/>
          <w:szCs w:val="24"/>
          <w:lang w:val="en-GB"/>
        </w:rPr>
      </w:pPr>
    </w:p>
    <w:p w14:paraId="0C04381E" w14:textId="77777777" w:rsidR="00F91D85" w:rsidRDefault="00F91D85" w:rsidP="00F91D85">
      <w:pPr>
        <w:spacing w:line="480" w:lineRule="auto"/>
        <w:jc w:val="both"/>
        <w:rPr>
          <w:rFonts w:ascii="Times New Roman" w:hAnsi="Times New Roman" w:cs="Times New Roman"/>
          <w:sz w:val="24"/>
          <w:szCs w:val="24"/>
          <w:lang w:val="en-GB"/>
        </w:rPr>
      </w:pPr>
    </w:p>
    <w:p w14:paraId="18E990BF" w14:textId="77777777" w:rsidR="00F91D85" w:rsidRDefault="00F91D85" w:rsidP="00F91D85">
      <w:pPr>
        <w:spacing w:line="480" w:lineRule="auto"/>
        <w:jc w:val="both"/>
        <w:rPr>
          <w:rFonts w:ascii="Times New Roman" w:hAnsi="Times New Roman" w:cs="Times New Roman"/>
          <w:sz w:val="24"/>
          <w:szCs w:val="24"/>
          <w:lang w:val="en-GB"/>
        </w:rPr>
      </w:pPr>
    </w:p>
    <w:p w14:paraId="5362AB8E" w14:textId="77777777" w:rsidR="00F91D85" w:rsidRPr="003B0C6C" w:rsidRDefault="00F91D85" w:rsidP="00F91D85">
      <w:pPr>
        <w:spacing w:line="480" w:lineRule="auto"/>
        <w:jc w:val="center"/>
        <w:rPr>
          <w:rFonts w:ascii="Times New Roman" w:hAnsi="Times New Roman" w:cs="Times New Roman"/>
          <w:sz w:val="24"/>
          <w:szCs w:val="24"/>
          <w:lang w:val="en-GB"/>
        </w:rPr>
      </w:pPr>
      <w:r w:rsidRPr="003B0C6C">
        <w:rPr>
          <w:rFonts w:ascii="Times New Roman" w:hAnsi="Times New Roman" w:cs="Times New Roman"/>
          <w:sz w:val="24"/>
          <w:szCs w:val="24"/>
          <w:lang w:val="en-GB"/>
        </w:rPr>
        <w:lastRenderedPageBreak/>
        <w:t>Tesco</w:t>
      </w:r>
      <w:r>
        <w:rPr>
          <w:rFonts w:ascii="Times New Roman" w:hAnsi="Times New Roman" w:cs="Times New Roman"/>
          <w:sz w:val="24"/>
          <w:szCs w:val="24"/>
          <w:lang w:val="en-GB"/>
        </w:rPr>
        <w:t xml:space="preserve">’s </w:t>
      </w:r>
      <w:r w:rsidRPr="003B0C6C">
        <w:rPr>
          <w:rFonts w:ascii="Times New Roman" w:hAnsi="Times New Roman" w:cs="Times New Roman"/>
          <w:sz w:val="24"/>
          <w:szCs w:val="24"/>
          <w:lang w:val="en-GB"/>
        </w:rPr>
        <w:t xml:space="preserve">Expansion </w:t>
      </w:r>
      <w:r>
        <w:rPr>
          <w:rFonts w:ascii="Times New Roman" w:hAnsi="Times New Roman" w:cs="Times New Roman"/>
          <w:sz w:val="24"/>
          <w:szCs w:val="24"/>
          <w:lang w:val="en-GB"/>
        </w:rPr>
        <w:t>into the EU</w:t>
      </w:r>
    </w:p>
    <w:p w14:paraId="0B5C3AF5" w14:textId="77777777" w:rsidR="00F91D85" w:rsidRPr="003B0C6C" w:rsidRDefault="00F91D85" w:rsidP="00F91D85">
      <w:pPr>
        <w:pStyle w:val="Heading1"/>
        <w:rPr>
          <w:rFonts w:ascii="Times New Roman" w:hAnsi="Times New Roman" w:cs="Times New Roman"/>
          <w:b/>
          <w:bCs/>
          <w:color w:val="auto"/>
        </w:rPr>
      </w:pPr>
      <w:bookmarkStart w:id="0" w:name="_Toc160200358"/>
      <w:r w:rsidRPr="003B0C6C">
        <w:rPr>
          <w:rFonts w:ascii="Times New Roman" w:hAnsi="Times New Roman" w:cs="Times New Roman"/>
          <w:b/>
          <w:bCs/>
          <w:color w:val="auto"/>
        </w:rPr>
        <w:t>Introduction</w:t>
      </w:r>
      <w:bookmarkEnd w:id="0"/>
    </w:p>
    <w:p w14:paraId="6C4E90B5"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The modern business environment is fast-paced and highly competitive, given technological advancement and globalization. Businesses, therefore, must strategically plan their way in the landscape to remain relevant and compete against their rivals. For instance, in the recent fourth industrial technological evolution, businesses are leveraging advancements like artificial intelligence, automation, and the Internet of Things into their operations to provide better customer service through increased efficiency and real-time problem solutions and remain competitive (Kumar et al., 2019). Considering globalization, expanding into new markets gives organizations access to markets with untapped customer bases, increasing market share. Businesses can also improve their revenue potential by expanding into new markets through, for instance, accessing growing economies with a larger pool of potential customers.</w:t>
      </w:r>
    </w:p>
    <w:p w14:paraId="1D126971"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 Additionally, expanding into other regions can enable businesses to achieve economies of scale by spreading fixed costs over a large volume of production and sales (Gupta and Govindarajan, 2017). This report analyses Tesco's decision to expand into the European Union (EU) region. It entails an analysis of Spain and Germany, as members of the EU, to find the most suitable country for business. The analysis will include cultural differences between the countries and the UK, </w:t>
      </w:r>
      <w:proofErr w:type="spellStart"/>
      <w:r w:rsidRPr="003B0C6C">
        <w:rPr>
          <w:rFonts w:ascii="Times New Roman" w:hAnsi="Times New Roman" w:cs="Times New Roman"/>
          <w:sz w:val="24"/>
          <w:szCs w:val="24"/>
          <w:lang w:val="en-GB"/>
        </w:rPr>
        <w:t>labor</w:t>
      </w:r>
      <w:proofErr w:type="spellEnd"/>
      <w:r w:rsidRPr="003B0C6C">
        <w:rPr>
          <w:rFonts w:ascii="Times New Roman" w:hAnsi="Times New Roman" w:cs="Times New Roman"/>
          <w:sz w:val="24"/>
          <w:szCs w:val="24"/>
          <w:lang w:val="en-GB"/>
        </w:rPr>
        <w:t xml:space="preserve"> outlooks, and communication challenges the business might face in the new environments to make a recommendation. For instance, British business communications are characterized by implicit communication, which often entails implied meanings, reading between the lines and nuances (</w:t>
      </w:r>
      <w:proofErr w:type="spellStart"/>
      <w:r w:rsidRPr="003B0C6C">
        <w:rPr>
          <w:rFonts w:ascii="Times New Roman" w:hAnsi="Times New Roman" w:cs="Times New Roman"/>
          <w:sz w:val="24"/>
          <w:szCs w:val="24"/>
          <w:lang w:val="en-GB"/>
        </w:rPr>
        <w:t>Manrai</w:t>
      </w:r>
      <w:proofErr w:type="spellEnd"/>
      <w:r w:rsidRPr="003B0C6C">
        <w:rPr>
          <w:rFonts w:ascii="Times New Roman" w:hAnsi="Times New Roman" w:cs="Times New Roman"/>
          <w:sz w:val="24"/>
          <w:szCs w:val="24"/>
          <w:lang w:val="en-GB"/>
        </w:rPr>
        <w:t xml:space="preserve"> et al., 2019). They are also characterized by high indirectness when navigating social dynamics and maintaining harmony, especially in sensitive situations. Moreover, British business communications may incorporate </w:t>
      </w:r>
      <w:proofErr w:type="spellStart"/>
      <w:r w:rsidRPr="003B0C6C">
        <w:rPr>
          <w:rFonts w:ascii="Times New Roman" w:hAnsi="Times New Roman" w:cs="Times New Roman"/>
          <w:sz w:val="24"/>
          <w:szCs w:val="24"/>
          <w:lang w:val="en-GB"/>
        </w:rPr>
        <w:t>humor</w:t>
      </w:r>
      <w:proofErr w:type="spellEnd"/>
      <w:r w:rsidRPr="003B0C6C">
        <w:rPr>
          <w:rFonts w:ascii="Times New Roman" w:hAnsi="Times New Roman" w:cs="Times New Roman"/>
          <w:sz w:val="24"/>
          <w:szCs w:val="24"/>
          <w:lang w:val="en-GB"/>
        </w:rPr>
        <w:t xml:space="preserve"> and wit, especially in informal settings and among colleagues with established relationships, to lighten </w:t>
      </w:r>
      <w:r w:rsidRPr="003B0C6C">
        <w:rPr>
          <w:rFonts w:ascii="Times New Roman" w:hAnsi="Times New Roman" w:cs="Times New Roman"/>
          <w:sz w:val="24"/>
          <w:szCs w:val="24"/>
          <w:lang w:val="en-GB"/>
        </w:rPr>
        <w:lastRenderedPageBreak/>
        <w:t xml:space="preserve">the mood and maintain harmony. However, directness, clarity, and precision are highly valued in the British business context when dealing with stakeholders. </w:t>
      </w:r>
    </w:p>
    <w:p w14:paraId="6663C6ED"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Tesco is a British multinational grocery and general merchandise retailer. Headquartered in Hertfordshire, Egland, United Kingdom (UK), it operates 4859 stores in Ireland, the United Kingdom, Hungary, the Czech Republic, and Slovakia (Bedford, 2023). Its main competitors include Sainsbury's and Asda. For instance, in 2023, Tesco's revenue was $79.842 billion, a 5.11% decline from 2022 </w:t>
      </w:r>
      <w:hyperlink r:id="rId4" w:anchor=":~:text=Tesco%20revenue%20for%20the%20twelve,a%209.37%25%20decline%20from%202020." w:history="1">
        <w:r w:rsidRPr="003B0C6C">
          <w:rPr>
            <w:rStyle w:val="Hyperlink"/>
            <w:rFonts w:ascii="Times New Roman" w:hAnsi="Times New Roman" w:cs="Times New Roman"/>
            <w:sz w:val="24"/>
            <w:szCs w:val="24"/>
            <w:lang w:val="en-GB"/>
          </w:rPr>
          <w:t>(Macrotrends, 2024)</w:t>
        </w:r>
      </w:hyperlink>
      <w:r w:rsidRPr="003B0C6C">
        <w:rPr>
          <w:rFonts w:ascii="Times New Roman" w:hAnsi="Times New Roman" w:cs="Times New Roman"/>
          <w:sz w:val="24"/>
          <w:szCs w:val="24"/>
          <w:lang w:val="en-GB"/>
        </w:rPr>
        <w:t xml:space="preserve">. The company's revenue peaked between 2012 and 2015 when it dropped and began to fluctuate (See Fig 1) due to factors like increased competition and economic downturns. For example, Sainsbury's revenue for 2023 was $37.956B, a 7.04% decline from 2022 </w:t>
      </w:r>
      <w:hyperlink r:id="rId5" w:anchor=":~:text=J%20Sainsbury%20revenue%20for%20the%20twelve%20months%20ending%20September%2030,a%207.44%25%20increase%20from%202021." w:history="1">
        <w:r w:rsidRPr="003B0C6C">
          <w:rPr>
            <w:rStyle w:val="Hyperlink"/>
            <w:rFonts w:ascii="Times New Roman" w:hAnsi="Times New Roman" w:cs="Times New Roman"/>
            <w:sz w:val="24"/>
            <w:szCs w:val="24"/>
            <w:lang w:val="en-GB"/>
          </w:rPr>
          <w:t>(Macrotrends, 2024)</w:t>
        </w:r>
      </w:hyperlink>
      <w:r w:rsidRPr="003B0C6C">
        <w:rPr>
          <w:rFonts w:ascii="Times New Roman" w:hAnsi="Times New Roman" w:cs="Times New Roman"/>
          <w:sz w:val="24"/>
          <w:szCs w:val="24"/>
          <w:lang w:val="en-GB"/>
        </w:rPr>
        <w:t>. This shows close competition, considering Sainsbury's only operates in the UK while Tesco is multinational. Expanding into the EU will give Tesco access to one of the world's largest consumer markets with over 450 million people, hence giving it better chances for revenue generation.</w:t>
      </w:r>
    </w:p>
    <w:p w14:paraId="1CD358C0"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Moreover, Germany and Spain are strategically positioned. Therefore, the company can leverage its central geographic location to expand further into the </w:t>
      </w:r>
      <w:proofErr w:type="spellStart"/>
      <w:r w:rsidRPr="003B0C6C">
        <w:rPr>
          <w:rFonts w:ascii="Times New Roman" w:hAnsi="Times New Roman" w:cs="Times New Roman"/>
          <w:sz w:val="24"/>
          <w:szCs w:val="24"/>
          <w:lang w:val="en-GB"/>
        </w:rPr>
        <w:t>neighboring</w:t>
      </w:r>
      <w:proofErr w:type="spellEnd"/>
      <w:r w:rsidRPr="003B0C6C">
        <w:rPr>
          <w:rFonts w:ascii="Times New Roman" w:hAnsi="Times New Roman" w:cs="Times New Roman"/>
          <w:sz w:val="24"/>
          <w:szCs w:val="24"/>
          <w:lang w:val="en-GB"/>
        </w:rPr>
        <w:t xml:space="preserve"> EU countries, maximizing its market reach and penetration. Both countries are also characterized by political stability, resilience, and growth opportunities. The company, however, must consider the differences in culture and business communication between the UK and both countries to determine the most suitable. </w:t>
      </w:r>
    </w:p>
    <w:p w14:paraId="730091BE" w14:textId="77777777" w:rsidR="00F91D85" w:rsidRPr="003B0C6C" w:rsidRDefault="00F91D85" w:rsidP="00F91D85">
      <w:pPr>
        <w:spacing w:line="480" w:lineRule="auto"/>
        <w:jc w:val="both"/>
        <w:rPr>
          <w:rFonts w:ascii="Times New Roman" w:hAnsi="Times New Roman" w:cs="Times New Roman"/>
          <w:sz w:val="24"/>
          <w:szCs w:val="24"/>
          <w:lang w:val="en-GB"/>
        </w:rPr>
      </w:pPr>
    </w:p>
    <w:p w14:paraId="77E4179D"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noProof/>
          <w:sz w:val="24"/>
          <w:szCs w:val="24"/>
          <w:lang w:val="en-GB"/>
        </w:rPr>
        <w:lastRenderedPageBreak/>
        <w:drawing>
          <wp:inline distT="0" distB="0" distL="0" distR="0" wp14:anchorId="5B3411BA" wp14:editId="7798EC8D">
            <wp:extent cx="5486400" cy="3200400"/>
            <wp:effectExtent l="0" t="0" r="0" b="0"/>
            <wp:docPr id="118936263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46AC9F7" w14:textId="77777777" w:rsidR="00F91D85" w:rsidRPr="003B0C6C" w:rsidRDefault="00F91D85" w:rsidP="00F91D85">
      <w:pPr>
        <w:pStyle w:val="Heading1"/>
        <w:rPr>
          <w:rFonts w:ascii="Times New Roman" w:hAnsi="Times New Roman" w:cs="Times New Roman"/>
          <w:b/>
          <w:bCs/>
          <w:color w:val="auto"/>
        </w:rPr>
      </w:pPr>
      <w:bookmarkStart w:id="1" w:name="_Toc160200359"/>
      <w:r w:rsidRPr="003B0C6C">
        <w:rPr>
          <w:rFonts w:ascii="Times New Roman" w:hAnsi="Times New Roman" w:cs="Times New Roman"/>
          <w:b/>
          <w:bCs/>
          <w:color w:val="auto"/>
        </w:rPr>
        <w:t>Country Evaluation: Weighing between Germany and Spain</w:t>
      </w:r>
      <w:bookmarkEnd w:id="1"/>
    </w:p>
    <w:p w14:paraId="0FD2B9D0" w14:textId="77777777" w:rsidR="00F91D85" w:rsidRPr="003B0C6C" w:rsidRDefault="00F91D85" w:rsidP="00F91D85">
      <w:pPr>
        <w:pStyle w:val="Heading2"/>
        <w:rPr>
          <w:rFonts w:ascii="Times New Roman" w:hAnsi="Times New Roman" w:cs="Times New Roman"/>
          <w:b/>
          <w:bCs/>
          <w:color w:val="auto"/>
        </w:rPr>
      </w:pPr>
      <w:bookmarkStart w:id="2" w:name="_Toc160200360"/>
      <w:r w:rsidRPr="003B0C6C">
        <w:rPr>
          <w:rFonts w:ascii="Times New Roman" w:hAnsi="Times New Roman" w:cs="Times New Roman"/>
          <w:b/>
          <w:bCs/>
          <w:color w:val="auto"/>
        </w:rPr>
        <w:t>Germany</w:t>
      </w:r>
      <w:bookmarkEnd w:id="2"/>
    </w:p>
    <w:p w14:paraId="222F1311"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Germany is the largest economy in the EU and one of the world's leading exporters (Dieter, 2018). Its population is approximately 83 million people, and is known for its highly skilled workforce, strong industrial base, and technological innovation. The official language is German, although English is widely spoken, especially in business contexts. Given the large population, this presents an opportunity for Tesco to tap into a skilled workforce and a wider customer base. The company can also leverage Germany's technological advancement into its operations. For example, Germany's technological infrastructure facilitates efficient supply chain management, including inventory tracking, warehouse automation, and transportation logistics, which can be beneficial for the company in ensuring timely delivery of goods, stockout minimization, and inventory optimization, thereby improving consumer satisfaction and operational efficiency (Hoofman and </w:t>
      </w:r>
      <w:proofErr w:type="spellStart"/>
      <w:r w:rsidRPr="003B0C6C">
        <w:rPr>
          <w:rFonts w:ascii="Times New Roman" w:hAnsi="Times New Roman" w:cs="Times New Roman"/>
          <w:sz w:val="24"/>
          <w:szCs w:val="24"/>
          <w:lang w:val="en-GB"/>
        </w:rPr>
        <w:t>Rüsch</w:t>
      </w:r>
      <w:proofErr w:type="spellEnd"/>
      <w:r w:rsidRPr="003B0C6C">
        <w:rPr>
          <w:rFonts w:ascii="Times New Roman" w:hAnsi="Times New Roman" w:cs="Times New Roman"/>
          <w:sz w:val="24"/>
          <w:szCs w:val="24"/>
          <w:lang w:val="en-GB"/>
        </w:rPr>
        <w:t xml:space="preserve">, 2017). </w:t>
      </w:r>
    </w:p>
    <w:p w14:paraId="02FB36FD"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lastRenderedPageBreak/>
        <w:t xml:space="preserve">Additionally, like the UK, Germany has a diverse population with individuals from various cultural backgrounds, including Germans, immigrants, and expatriates from different countries. Tesco can leverage the rich cultural backgrounds in Germany to increase diversity in its operations and tailor its offerings to local tastes and preferences to broaden its customer base. For example, in cities like Berlin and Frankfurt, the company can recruit employees from rich cultural backgrounds, including Italian, Turkish, and Polish communities, to bring cultural insights into the company that will help it tailor its products and market strategies to cater to specific cultural preferences. </w:t>
      </w:r>
    </w:p>
    <w:p w14:paraId="7A794A25"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Germany's level of education is also at par with the UK, boasting a well-educated workforce with individuals holding a wide range of educational qualifications from vocational training to university degrees (Lynch, 2019). Therefore, the company can collaborate with German education </w:t>
      </w:r>
      <w:proofErr w:type="spellStart"/>
      <w:r w:rsidRPr="003B0C6C">
        <w:rPr>
          <w:rFonts w:ascii="Times New Roman" w:hAnsi="Times New Roman" w:cs="Times New Roman"/>
          <w:sz w:val="24"/>
          <w:szCs w:val="24"/>
          <w:lang w:val="en-GB"/>
        </w:rPr>
        <w:t>centers</w:t>
      </w:r>
      <w:proofErr w:type="spellEnd"/>
      <w:r w:rsidRPr="003B0C6C">
        <w:rPr>
          <w:rFonts w:ascii="Times New Roman" w:hAnsi="Times New Roman" w:cs="Times New Roman"/>
          <w:sz w:val="24"/>
          <w:szCs w:val="24"/>
          <w:lang w:val="en-GB"/>
        </w:rPr>
        <w:t xml:space="preserve"> to obtain the best talent in the country and gain a competitive edge against established players in the German market. Furthermore, regarding language diversity, besides training its employees in German, the company can hire multilingual employees who can communicate effectively with customers from different linguistic backgrounds, enhancing customer service and satisfaction.</w:t>
      </w:r>
    </w:p>
    <w:p w14:paraId="1A1E5D2A"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The German </w:t>
      </w:r>
      <w:proofErr w:type="spellStart"/>
      <w:r w:rsidRPr="003B0C6C">
        <w:rPr>
          <w:rFonts w:ascii="Times New Roman" w:hAnsi="Times New Roman" w:cs="Times New Roman"/>
          <w:sz w:val="24"/>
          <w:szCs w:val="24"/>
          <w:lang w:val="en-GB"/>
        </w:rPr>
        <w:t>labor</w:t>
      </w:r>
      <w:proofErr w:type="spellEnd"/>
      <w:r w:rsidRPr="003B0C6C">
        <w:rPr>
          <w:rFonts w:ascii="Times New Roman" w:hAnsi="Times New Roman" w:cs="Times New Roman"/>
          <w:sz w:val="24"/>
          <w:szCs w:val="24"/>
          <w:lang w:val="en-GB"/>
        </w:rPr>
        <w:t xml:space="preserve"> force, like the UK, also consists of multiple generations, with the most prevalent being millennials and Generation Z (Scholz, 2019). Tesco can, therefore, embrace generational diversity by implementing inclusive HR policies, flexible work arrangements, and development programs tailored to the specific needs of different age groups. For example, the company can design job postings and recruitment policies that avoid age-related biases and attract talent based on skills and qualifications regardless of age. It can also implement cross-generational mentoring programs where experienced employees can mentor younger generations and share their knowledge and expertise while fostering understanding and learning from a different perspective. The company can further develop sabbatical programs </w:t>
      </w:r>
      <w:r w:rsidRPr="003B0C6C">
        <w:rPr>
          <w:rFonts w:ascii="Times New Roman" w:hAnsi="Times New Roman" w:cs="Times New Roman"/>
          <w:sz w:val="24"/>
          <w:szCs w:val="24"/>
          <w:lang w:val="en-GB"/>
        </w:rPr>
        <w:lastRenderedPageBreak/>
        <w:t xml:space="preserve">for employees nearing retirement or seeking an extended break to pursue personal goals. This can benefit baby boomers who might seek a temporary leave while incentivizing them to remain with the company long-term. These initiatives, through honouring the specific needs of the generations within the organization, will help create a positive working environment, increasing employee motivation and satisfaction and, hence, operational success. </w:t>
      </w:r>
    </w:p>
    <w:p w14:paraId="19E8D812"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Additionally, according to Hofstede's framework, regarding individualism vs. collectivism, the UK and Germany score high on individualism, reflecting cultures that value personal achievement, autonomy, and independence (Beilman et al., 2018). They also value individual rights, personal responsibility, and self-reliance. Tesco should, therefore, find it easy to maintain its individualist culture in Germany through, for instance, offering personalized shopping experiences through its customer loyalty program to cater to the individual preferences of German consumers. Both countries also score relatively low on power distance, indicating a preference for flatter organizational structures and more equality in power distribution. They also emphasize democratic decision-making and respect for individual rights. Tesco should, therefore, also find it easy to adjust in Germany since it offers a collaborative work environment where employees are encouraged to participate in decision-making and share their ideas openly. </w:t>
      </w:r>
    </w:p>
    <w:p w14:paraId="14B5ECC7"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Regarding masculinity vs femininity, the UK scores slightly higher than Germany on masculinity, emphasizing competition, assertiveness, and material success (Moonen, 2017). Tesco, however, can still capture German customers through its continued focus on product excellence and competitive pricing. Germany scores slightly higher than the UK on uncertainty avoidance, reflecting a preference for rules, structure, and certainty in decision-making. Tesco should, therefore, adjust to this by implementing robust risk management practices to address uncertainties in the German market, such as changing consumer preferences and regulatory requirements. This will </w:t>
      </w:r>
      <w:proofErr w:type="spellStart"/>
      <w:r w:rsidRPr="003B0C6C">
        <w:rPr>
          <w:rFonts w:ascii="Times New Roman" w:hAnsi="Times New Roman" w:cs="Times New Roman"/>
          <w:sz w:val="24"/>
          <w:szCs w:val="24"/>
          <w:lang w:val="en-GB"/>
        </w:rPr>
        <w:t>instill</w:t>
      </w:r>
      <w:proofErr w:type="spellEnd"/>
      <w:r w:rsidRPr="003B0C6C">
        <w:rPr>
          <w:rFonts w:ascii="Times New Roman" w:hAnsi="Times New Roman" w:cs="Times New Roman"/>
          <w:sz w:val="24"/>
          <w:szCs w:val="24"/>
          <w:lang w:val="en-GB"/>
        </w:rPr>
        <w:t xml:space="preserve"> confidence in the company's stakeholders and maintain </w:t>
      </w:r>
      <w:r w:rsidRPr="003B0C6C">
        <w:rPr>
          <w:rFonts w:ascii="Times New Roman" w:hAnsi="Times New Roman" w:cs="Times New Roman"/>
          <w:sz w:val="24"/>
          <w:szCs w:val="24"/>
          <w:lang w:val="en-GB"/>
        </w:rPr>
        <w:lastRenderedPageBreak/>
        <w:t xml:space="preserve">operational stability. Furthermore, Germany scores moderately higher than the UK on long-term orientation, emphasizing perseverance, thriftiness, and planning. Regarding indulgence vs restraint, Germany scores slightly lower on indulgence than the UK, with a more restrained approach to leisure and self-gratification. </w:t>
      </w:r>
    </w:p>
    <w:p w14:paraId="224957A6"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Despite the cultural similarities between the UK and Germany, Tesco will likely face communication challenges. For example, Germans tend to have a more direct communication style than the British, who often use indirect communication and polite expressions (Ursu and </w:t>
      </w:r>
      <w:proofErr w:type="spellStart"/>
      <w:r w:rsidRPr="003B0C6C">
        <w:rPr>
          <w:rFonts w:ascii="Times New Roman" w:hAnsi="Times New Roman" w:cs="Times New Roman"/>
          <w:sz w:val="24"/>
          <w:szCs w:val="24"/>
          <w:lang w:val="en-GB"/>
        </w:rPr>
        <w:t>Ciortescu</w:t>
      </w:r>
      <w:proofErr w:type="spellEnd"/>
      <w:r w:rsidRPr="003B0C6C">
        <w:rPr>
          <w:rFonts w:ascii="Times New Roman" w:hAnsi="Times New Roman" w:cs="Times New Roman"/>
          <w:sz w:val="24"/>
          <w:szCs w:val="24"/>
          <w:lang w:val="en-GB"/>
        </w:rPr>
        <w:t xml:space="preserve">, 2021). Tesco's employees may find it challenging to navigate German business negotiations where straightforward communication and assertiveness are values, leading to potential misunderstandings or perceived rudeness. German business culture also strongly emphasizes hierarchy, formality, and respect for authorities. Tesco employees accustomed to a more informal communication style may struggle to adapt to the hierarchical structure and formalities in German business interactions, making it challenging to build trust and rapport. Furthermore, although English is widely spoken in Germany, especially in business settings, language barriers may still exist, particularly in more formal or technical contexts. Tesco employees who are not proficient in German may struggle to communicate effectively with German counterparts, leading to misunderstandings and misinterpretations. </w:t>
      </w:r>
    </w:p>
    <w:p w14:paraId="72B44E79" w14:textId="77777777" w:rsidR="00F91D85" w:rsidRPr="003B0C6C" w:rsidRDefault="00F91D85" w:rsidP="00F91D85">
      <w:pPr>
        <w:pStyle w:val="Heading2"/>
        <w:rPr>
          <w:rFonts w:ascii="Times New Roman" w:hAnsi="Times New Roman" w:cs="Times New Roman"/>
          <w:b/>
          <w:bCs/>
          <w:color w:val="auto"/>
        </w:rPr>
      </w:pPr>
      <w:bookmarkStart w:id="3" w:name="_Toc160200361"/>
      <w:r w:rsidRPr="003B0C6C">
        <w:rPr>
          <w:rFonts w:ascii="Times New Roman" w:hAnsi="Times New Roman" w:cs="Times New Roman"/>
          <w:b/>
          <w:bCs/>
          <w:color w:val="auto"/>
        </w:rPr>
        <w:t>Spain</w:t>
      </w:r>
      <w:bookmarkEnd w:id="3"/>
    </w:p>
    <w:p w14:paraId="0A3369A0"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Compared to the UK and Germany, Spain has one of the oldest populations in Europe, with a high proportion of elderly individuals. This may impact consumer </w:t>
      </w:r>
      <w:proofErr w:type="spellStart"/>
      <w:r w:rsidRPr="003B0C6C">
        <w:rPr>
          <w:rFonts w:ascii="Times New Roman" w:hAnsi="Times New Roman" w:cs="Times New Roman"/>
          <w:sz w:val="24"/>
          <w:szCs w:val="24"/>
          <w:lang w:val="en-GB"/>
        </w:rPr>
        <w:t>behavior</w:t>
      </w:r>
      <w:proofErr w:type="spellEnd"/>
      <w:r w:rsidRPr="003B0C6C">
        <w:rPr>
          <w:rFonts w:ascii="Times New Roman" w:hAnsi="Times New Roman" w:cs="Times New Roman"/>
          <w:sz w:val="24"/>
          <w:szCs w:val="24"/>
          <w:lang w:val="en-GB"/>
        </w:rPr>
        <w:t xml:space="preserve">, with older adults having different preferences and spending patterns than younger generations. Additionally, Spain has a low birth rate at 1.19 live births per woman compared to the UK at 1.56 births per woman and Germany at 1.53, the EU's average birth rate. This may affect long-term market potential and demand for goods and services, including retail products offered by Tesco. Spain also has a high youth unemployment rate, which might affect consumer purchasing power and </w:t>
      </w:r>
      <w:r w:rsidRPr="003B0C6C">
        <w:rPr>
          <w:rFonts w:ascii="Times New Roman" w:hAnsi="Times New Roman" w:cs="Times New Roman"/>
          <w:sz w:val="24"/>
          <w:szCs w:val="24"/>
          <w:lang w:val="en-GB"/>
        </w:rPr>
        <w:lastRenderedPageBreak/>
        <w:t xml:space="preserve">discretionary spending among younger generations in the country. For instance, in 2022, Spain's youth unemployment rate was 28.34% </w:t>
      </w:r>
      <w:hyperlink r:id="rId7" w:anchor=":~:text=Youth%20unemployment%20refers%20to%20the,a%203.48%25%20decline%20from%202020." w:history="1">
        <w:r w:rsidRPr="003B0C6C">
          <w:rPr>
            <w:rStyle w:val="Hyperlink"/>
            <w:rFonts w:ascii="Times New Roman" w:hAnsi="Times New Roman" w:cs="Times New Roman"/>
            <w:sz w:val="24"/>
            <w:szCs w:val="24"/>
            <w:lang w:val="en-GB"/>
          </w:rPr>
          <w:t>(Macrotrends, 2024)</w:t>
        </w:r>
      </w:hyperlink>
      <w:r w:rsidRPr="003B0C6C">
        <w:rPr>
          <w:rFonts w:ascii="Times New Roman" w:hAnsi="Times New Roman" w:cs="Times New Roman"/>
          <w:sz w:val="24"/>
          <w:szCs w:val="24"/>
          <w:lang w:val="en-GB"/>
        </w:rPr>
        <w:t xml:space="preserve">. On the other hand, the UK's youth unemployment rate in 2022 was 11.5% (Clark, 2024), while Germany's youth unemployment rate in 2022 was 5.96% (O'Neill, 2024). Tesco may need to consider strategies to attract and retain younger consumers in the Spanish market. </w:t>
      </w:r>
    </w:p>
    <w:p w14:paraId="7167E7BA"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Additionally, Spain's level of education is relatively lower than the UK and Germany, although it has implemented reforms to improve the accessibility and quality of education in the country. This includes initiatives to standardize higher education qualifications and promote vocational training. Furthermore, Spain still faces education inequality challenges, particularly regarding access to quality education and academic performance disparities between regions and socioeconomic groups. Tesco, therefore, may need to address skill gaps and promote equal opportunities within the workforce in Spain. </w:t>
      </w:r>
    </w:p>
    <w:p w14:paraId="3A31CB26"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The official language in Spain is Spanish (Atkinson, 2018). While English proficiency levels vary, especially among younger generations and in urban areas, Spanish is the predominant language used in business, education, and daily life. While English may be spoken in some business settings, proficiency in Spanish would benefit Tesco's employees, especially when interacting with customers, fellow employees, and other stakeholders. </w:t>
      </w:r>
    </w:p>
    <w:p w14:paraId="234B3EF5"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Furthermore, the </w:t>
      </w:r>
      <w:proofErr w:type="spellStart"/>
      <w:r w:rsidRPr="003B0C6C">
        <w:rPr>
          <w:rFonts w:ascii="Times New Roman" w:hAnsi="Times New Roman" w:cs="Times New Roman"/>
          <w:sz w:val="24"/>
          <w:szCs w:val="24"/>
          <w:lang w:val="en-GB"/>
        </w:rPr>
        <w:t>labor</w:t>
      </w:r>
      <w:proofErr w:type="spellEnd"/>
      <w:r w:rsidRPr="003B0C6C">
        <w:rPr>
          <w:rFonts w:ascii="Times New Roman" w:hAnsi="Times New Roman" w:cs="Times New Roman"/>
          <w:sz w:val="24"/>
          <w:szCs w:val="24"/>
          <w:lang w:val="en-GB"/>
        </w:rPr>
        <w:t xml:space="preserve"> market in Spain has undergone significant changes in recent years, with reforms geared towards improving flexibility, employment, and competitiveness. Challenges such as temporary contracts and underemployment remain. Tesco may need to offer competitive wages, benefits, and career development opportunities in Spain since the talent competition may vary by region. Compared to Germany and the UK's level of education, Spain is relatively low on providing a skilled workforce and a diverse pool of qualified candidates across various industries. </w:t>
      </w:r>
    </w:p>
    <w:p w14:paraId="18BB01CA"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lastRenderedPageBreak/>
        <w:t xml:space="preserve">According to Hofstede's framework, Spain has a higher power distance score than Germany and the UK (Bruyneel et al., 2019). This indicates a higher acceptance of hierarchical structures and authority in organizations and Spanish society. If Tesco expands its operations to Spain, it might need to adopt a more centralized decision-making process and clear lines of authority. German businesses, on the other hand, may promote teamwork and decentralized decision-making. </w:t>
      </w:r>
    </w:p>
    <w:p w14:paraId="5940727B"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Spain also scores lower on individualism than Germany and the UK, indicating a more collectivist culture where people prioritize social harmony and group goals over individual achievements (</w:t>
      </w:r>
      <w:proofErr w:type="spellStart"/>
      <w:r w:rsidRPr="003B0C6C">
        <w:rPr>
          <w:rFonts w:ascii="Times New Roman" w:hAnsi="Times New Roman" w:cs="Times New Roman"/>
          <w:sz w:val="24"/>
          <w:szCs w:val="24"/>
          <w:lang w:val="en-GB"/>
        </w:rPr>
        <w:t>Beilmann</w:t>
      </w:r>
      <w:proofErr w:type="spellEnd"/>
      <w:r w:rsidRPr="003B0C6C">
        <w:rPr>
          <w:rFonts w:ascii="Times New Roman" w:hAnsi="Times New Roman" w:cs="Times New Roman"/>
          <w:sz w:val="24"/>
          <w:szCs w:val="24"/>
          <w:lang w:val="en-GB"/>
        </w:rPr>
        <w:t xml:space="preserve"> et al., 2018). This means, therefore, that Tesco's operation in Spain may need a more team-based and collaborative approach than in Germany. Spain and Germany have high masculinity scores, indicating a value for competitiveness, material success, and assertiveness. They also have a moderate score on uncertainty avoidance, indicating a similar tolerance for ambiguity and willingness to take calculated risks. Spain, however, has a higher score on indulgence than Germany and the UK, suggesting a culture that values leisure, enjoyment, and self-gratification. Tesco can leverage this in its operations through sensory marketing to create an emotional connection with consumers and train its employees to offer personalized service and recommendations. </w:t>
      </w:r>
    </w:p>
    <w:p w14:paraId="1874B932"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Considering Spain's cultural aspects, Tesco would experience a language barrier in the country, given that Spanish is the primary language in most contexts in Spain. This can lead to misunderstandings, misinterpretation, and inefficiencies in communication, affecting customer service, teamwork, and business operations. The business might also face difficulty navigating Spain's distinct cultural norms and etiquette regarding communication, such as personal space, gestures, and greetings. Tesco's employees may need to familiarize themselves with Spain's formal communication context, such as using titles and formalities in business contexts, to avoid causing offense. Nonverbal communication cues such as facial expressions, gestures, and </w:t>
      </w:r>
      <w:r w:rsidRPr="003B0C6C">
        <w:rPr>
          <w:rFonts w:ascii="Times New Roman" w:hAnsi="Times New Roman" w:cs="Times New Roman"/>
          <w:sz w:val="24"/>
          <w:szCs w:val="24"/>
          <w:lang w:val="en-GB"/>
        </w:rPr>
        <w:lastRenderedPageBreak/>
        <w:t xml:space="preserve">body language may also vary between British and Spanish cultures. For example, in British culture, people prefer maintaining a decent personal space, limiting physical contact to handshakes or light touches on the arm (Ahmed and </w:t>
      </w:r>
      <w:proofErr w:type="spellStart"/>
      <w:r w:rsidRPr="003B0C6C">
        <w:rPr>
          <w:rFonts w:ascii="Times New Roman" w:hAnsi="Times New Roman" w:cs="Times New Roman"/>
          <w:sz w:val="24"/>
          <w:szCs w:val="24"/>
          <w:lang w:val="en-GB"/>
        </w:rPr>
        <w:t>Mun’im</w:t>
      </w:r>
      <w:proofErr w:type="spellEnd"/>
      <w:r w:rsidRPr="003B0C6C">
        <w:rPr>
          <w:rFonts w:ascii="Times New Roman" w:hAnsi="Times New Roman" w:cs="Times New Roman"/>
          <w:sz w:val="24"/>
          <w:szCs w:val="24"/>
          <w:lang w:val="en-GB"/>
        </w:rPr>
        <w:t xml:space="preserve"> </w:t>
      </w:r>
      <w:proofErr w:type="spellStart"/>
      <w:r w:rsidRPr="003B0C6C">
        <w:rPr>
          <w:rFonts w:ascii="Times New Roman" w:hAnsi="Times New Roman" w:cs="Times New Roman"/>
          <w:sz w:val="24"/>
          <w:szCs w:val="24"/>
          <w:lang w:val="en-GB"/>
        </w:rPr>
        <w:t>Ghaffori</w:t>
      </w:r>
      <w:proofErr w:type="spellEnd"/>
      <w:r w:rsidRPr="003B0C6C">
        <w:rPr>
          <w:rFonts w:ascii="Times New Roman" w:hAnsi="Times New Roman" w:cs="Times New Roman"/>
          <w:sz w:val="24"/>
          <w:szCs w:val="24"/>
          <w:lang w:val="en-GB"/>
        </w:rPr>
        <w:t>, 2019). At the same time, Spaniard’s regard physical contact as a sign of friendliness, hospitality, and warmth, often engaging in warmer greetings with hugs, kisses on the cheek, or handshakes with lingering contact (</w:t>
      </w:r>
      <w:proofErr w:type="spellStart"/>
      <w:r w:rsidRPr="003B0C6C">
        <w:rPr>
          <w:rFonts w:ascii="Times New Roman" w:hAnsi="Times New Roman" w:cs="Times New Roman"/>
          <w:sz w:val="24"/>
          <w:szCs w:val="24"/>
          <w:lang w:val="en-GB"/>
        </w:rPr>
        <w:t>Jiamrattanyoo</w:t>
      </w:r>
      <w:proofErr w:type="spellEnd"/>
      <w:r w:rsidRPr="003B0C6C">
        <w:rPr>
          <w:rFonts w:ascii="Times New Roman" w:hAnsi="Times New Roman" w:cs="Times New Roman"/>
          <w:sz w:val="24"/>
          <w:szCs w:val="24"/>
          <w:lang w:val="en-GB"/>
        </w:rPr>
        <w:t xml:space="preserve">, 2022). </w:t>
      </w:r>
    </w:p>
    <w:p w14:paraId="50F164D7" w14:textId="77777777" w:rsidR="00F91D85" w:rsidRPr="003B0C6C" w:rsidRDefault="00F91D85" w:rsidP="00F91D85">
      <w:pPr>
        <w:pStyle w:val="Heading1"/>
        <w:rPr>
          <w:rFonts w:ascii="Times New Roman" w:hAnsi="Times New Roman" w:cs="Times New Roman"/>
          <w:b/>
          <w:bCs/>
          <w:color w:val="auto"/>
        </w:rPr>
      </w:pPr>
      <w:bookmarkStart w:id="4" w:name="_Toc160200362"/>
      <w:r w:rsidRPr="003B0C6C">
        <w:rPr>
          <w:rFonts w:ascii="Times New Roman" w:hAnsi="Times New Roman" w:cs="Times New Roman"/>
          <w:b/>
          <w:bCs/>
          <w:color w:val="auto"/>
        </w:rPr>
        <w:t>Recommendation</w:t>
      </w:r>
      <w:bookmarkEnd w:id="4"/>
    </w:p>
    <w:p w14:paraId="57B6765A"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Considering the above analysis, Germany is the best choice for expansion into the EU. This is because Germany and the UK have more cultural similarities than Spain and the UK, considering that Tesco is British based. For instance, English is used more in business contexts in Germany than in Spain, which uses Spanish more. The language barrier is lower in Germany than in Spain. Conquering the highly competitive German market would also create a better brand image for Tesco than Spain, which has a lower competition level in the retail sector. Expanding into Germany would also give Tesco a chance to tap into a highly skilled and educated workforce through strategies like collaborating with top universities and vocational training centres in Germany to get top talent into Tesco's workforce. Germany also offers a higher opportunity for the latest technologies than Spain, which Tesco can leverage into its operations to increase efficiency and competitiveness within the German market. </w:t>
      </w:r>
    </w:p>
    <w:p w14:paraId="0DE74A44" w14:textId="77777777" w:rsidR="00F91D85" w:rsidRPr="003B0C6C" w:rsidRDefault="00F91D85" w:rsidP="00F91D85">
      <w:pPr>
        <w:pStyle w:val="Heading1"/>
        <w:rPr>
          <w:rFonts w:ascii="Times New Roman" w:hAnsi="Times New Roman" w:cs="Times New Roman"/>
          <w:b/>
          <w:bCs/>
          <w:color w:val="auto"/>
        </w:rPr>
      </w:pPr>
      <w:bookmarkStart w:id="5" w:name="_Toc160200363"/>
      <w:r w:rsidRPr="003B0C6C">
        <w:rPr>
          <w:rFonts w:ascii="Times New Roman" w:hAnsi="Times New Roman" w:cs="Times New Roman"/>
          <w:b/>
          <w:bCs/>
          <w:color w:val="auto"/>
        </w:rPr>
        <w:t>Conclusion</w:t>
      </w:r>
      <w:bookmarkEnd w:id="5"/>
    </w:p>
    <w:p w14:paraId="7D18D7EF"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The above report analyses Tesco's expansion into the EU, comparing between Germany and Spain. According to the analysis, the best decision for Tesco would be to move to Germany due to the cultural similarities between Germany and the UK. For instance, English is more used in Germany than in Spain, so that the language barrier would be lower in Germany than in Spain. According to Hofstede's framework, Germany is like the UK than Spain in terms of power </w:t>
      </w:r>
      <w:r w:rsidRPr="003B0C6C">
        <w:rPr>
          <w:rFonts w:ascii="Times New Roman" w:hAnsi="Times New Roman" w:cs="Times New Roman"/>
          <w:sz w:val="24"/>
          <w:szCs w:val="24"/>
          <w:lang w:val="en-GB"/>
        </w:rPr>
        <w:lastRenderedPageBreak/>
        <w:t xml:space="preserve">distance, individualism, indulgence, and masculinity. Tesco would, therefore, find it easier to adjust to the German market than to Spain. Germany also offers an opportunity for higher technological advancement than Spain, which Tesco can leverage in its operations. The education and unemployment levels between Germany and the UK are similar, meaning that Tesco will enjoy a highly skilled and educated </w:t>
      </w:r>
      <w:proofErr w:type="spellStart"/>
      <w:r w:rsidRPr="003B0C6C">
        <w:rPr>
          <w:rFonts w:ascii="Times New Roman" w:hAnsi="Times New Roman" w:cs="Times New Roman"/>
          <w:sz w:val="24"/>
          <w:szCs w:val="24"/>
          <w:lang w:val="en-GB"/>
        </w:rPr>
        <w:t>labor</w:t>
      </w:r>
      <w:proofErr w:type="spellEnd"/>
      <w:r w:rsidRPr="003B0C6C">
        <w:rPr>
          <w:rFonts w:ascii="Times New Roman" w:hAnsi="Times New Roman" w:cs="Times New Roman"/>
          <w:sz w:val="24"/>
          <w:szCs w:val="24"/>
          <w:lang w:val="en-GB"/>
        </w:rPr>
        <w:t xml:space="preserve"> force in Germany. Conquering the more competitive German business environment will also create a good brand image for Tesco. </w:t>
      </w:r>
    </w:p>
    <w:p w14:paraId="3D20E5BC" w14:textId="77777777" w:rsidR="00F91D85" w:rsidRPr="003B0C6C" w:rsidRDefault="00F91D85" w:rsidP="00F91D85">
      <w:pPr>
        <w:spacing w:line="480" w:lineRule="auto"/>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 </w:t>
      </w:r>
    </w:p>
    <w:p w14:paraId="321A2527" w14:textId="77777777" w:rsidR="00F91D85" w:rsidRPr="003B0C6C" w:rsidRDefault="00F91D85" w:rsidP="00F91D85">
      <w:pPr>
        <w:spacing w:line="480" w:lineRule="auto"/>
        <w:jc w:val="both"/>
        <w:rPr>
          <w:rFonts w:ascii="Times New Roman" w:hAnsi="Times New Roman" w:cs="Times New Roman"/>
          <w:sz w:val="24"/>
          <w:szCs w:val="24"/>
          <w:lang w:val="en-GB"/>
        </w:rPr>
      </w:pPr>
    </w:p>
    <w:p w14:paraId="30102A6D" w14:textId="77777777" w:rsidR="00F91D85" w:rsidRDefault="00F91D85" w:rsidP="00F91D85">
      <w:pPr>
        <w:spacing w:line="480" w:lineRule="auto"/>
        <w:jc w:val="both"/>
        <w:rPr>
          <w:rFonts w:ascii="Times New Roman" w:hAnsi="Times New Roman" w:cs="Times New Roman"/>
          <w:sz w:val="24"/>
          <w:szCs w:val="24"/>
          <w:lang w:val="en-GB"/>
        </w:rPr>
      </w:pPr>
    </w:p>
    <w:p w14:paraId="77386898" w14:textId="77777777" w:rsidR="00F91D85" w:rsidRDefault="00F91D85" w:rsidP="00F91D85">
      <w:pPr>
        <w:spacing w:line="480" w:lineRule="auto"/>
        <w:jc w:val="both"/>
        <w:rPr>
          <w:rFonts w:ascii="Times New Roman" w:hAnsi="Times New Roman" w:cs="Times New Roman"/>
          <w:sz w:val="24"/>
          <w:szCs w:val="24"/>
          <w:lang w:val="en-GB"/>
        </w:rPr>
      </w:pPr>
    </w:p>
    <w:p w14:paraId="4A11769F" w14:textId="77777777" w:rsidR="00F91D85" w:rsidRDefault="00F91D85" w:rsidP="00F91D85">
      <w:pPr>
        <w:spacing w:line="480" w:lineRule="auto"/>
        <w:jc w:val="both"/>
        <w:rPr>
          <w:rFonts w:ascii="Times New Roman" w:hAnsi="Times New Roman" w:cs="Times New Roman"/>
          <w:sz w:val="24"/>
          <w:szCs w:val="24"/>
          <w:lang w:val="en-GB"/>
        </w:rPr>
      </w:pPr>
    </w:p>
    <w:p w14:paraId="1B007EB7" w14:textId="77777777" w:rsidR="00F91D85" w:rsidRDefault="00F91D85" w:rsidP="00F91D85">
      <w:pPr>
        <w:spacing w:line="480" w:lineRule="auto"/>
        <w:jc w:val="both"/>
        <w:rPr>
          <w:rFonts w:ascii="Times New Roman" w:hAnsi="Times New Roman" w:cs="Times New Roman"/>
          <w:sz w:val="24"/>
          <w:szCs w:val="24"/>
          <w:lang w:val="en-GB"/>
        </w:rPr>
      </w:pPr>
    </w:p>
    <w:p w14:paraId="7D09FADC" w14:textId="77777777" w:rsidR="00F91D85" w:rsidRDefault="00F91D85" w:rsidP="00F91D85">
      <w:pPr>
        <w:spacing w:line="480" w:lineRule="auto"/>
        <w:jc w:val="both"/>
        <w:rPr>
          <w:rFonts w:ascii="Times New Roman" w:hAnsi="Times New Roman" w:cs="Times New Roman"/>
          <w:sz w:val="24"/>
          <w:szCs w:val="24"/>
          <w:lang w:val="en-GB"/>
        </w:rPr>
      </w:pPr>
    </w:p>
    <w:p w14:paraId="02E9B599" w14:textId="77777777" w:rsidR="00F91D85" w:rsidRDefault="00F91D85" w:rsidP="00F91D85">
      <w:pPr>
        <w:spacing w:line="480" w:lineRule="auto"/>
        <w:jc w:val="both"/>
        <w:rPr>
          <w:rFonts w:ascii="Times New Roman" w:hAnsi="Times New Roman" w:cs="Times New Roman"/>
          <w:sz w:val="24"/>
          <w:szCs w:val="24"/>
          <w:lang w:val="en-GB"/>
        </w:rPr>
      </w:pPr>
    </w:p>
    <w:p w14:paraId="5AE862CE" w14:textId="77777777" w:rsidR="00F91D85" w:rsidRDefault="00F91D85" w:rsidP="00F91D85">
      <w:pPr>
        <w:spacing w:line="480" w:lineRule="auto"/>
        <w:jc w:val="both"/>
        <w:rPr>
          <w:rFonts w:ascii="Times New Roman" w:hAnsi="Times New Roman" w:cs="Times New Roman"/>
          <w:sz w:val="24"/>
          <w:szCs w:val="24"/>
          <w:lang w:val="en-GB"/>
        </w:rPr>
      </w:pPr>
    </w:p>
    <w:p w14:paraId="202369D5" w14:textId="77777777" w:rsidR="00F91D85" w:rsidRDefault="00F91D85" w:rsidP="00F91D85">
      <w:pPr>
        <w:spacing w:line="480" w:lineRule="auto"/>
        <w:jc w:val="both"/>
        <w:rPr>
          <w:rFonts w:ascii="Times New Roman" w:hAnsi="Times New Roman" w:cs="Times New Roman"/>
          <w:sz w:val="24"/>
          <w:szCs w:val="24"/>
          <w:lang w:val="en-GB"/>
        </w:rPr>
      </w:pPr>
    </w:p>
    <w:p w14:paraId="099FD790" w14:textId="77777777" w:rsidR="00F91D85" w:rsidRDefault="00F91D85" w:rsidP="00F91D85">
      <w:pPr>
        <w:spacing w:line="480" w:lineRule="auto"/>
        <w:jc w:val="both"/>
        <w:rPr>
          <w:rFonts w:ascii="Times New Roman" w:hAnsi="Times New Roman" w:cs="Times New Roman"/>
          <w:sz w:val="24"/>
          <w:szCs w:val="24"/>
          <w:lang w:val="en-GB"/>
        </w:rPr>
      </w:pPr>
    </w:p>
    <w:p w14:paraId="541D7838" w14:textId="77777777" w:rsidR="00F91D85" w:rsidRDefault="00F91D85" w:rsidP="00F91D85">
      <w:pPr>
        <w:spacing w:line="480" w:lineRule="auto"/>
        <w:jc w:val="both"/>
        <w:rPr>
          <w:rFonts w:ascii="Times New Roman" w:hAnsi="Times New Roman" w:cs="Times New Roman"/>
          <w:sz w:val="24"/>
          <w:szCs w:val="24"/>
          <w:lang w:val="en-GB"/>
        </w:rPr>
      </w:pPr>
    </w:p>
    <w:p w14:paraId="0999CC12" w14:textId="77777777" w:rsidR="00F91D85" w:rsidRDefault="00F91D85" w:rsidP="00F91D85">
      <w:pPr>
        <w:spacing w:line="480" w:lineRule="auto"/>
        <w:jc w:val="both"/>
        <w:rPr>
          <w:rFonts w:ascii="Times New Roman" w:hAnsi="Times New Roman" w:cs="Times New Roman"/>
          <w:sz w:val="24"/>
          <w:szCs w:val="24"/>
          <w:lang w:val="en-GB"/>
        </w:rPr>
      </w:pPr>
    </w:p>
    <w:p w14:paraId="6C368C34" w14:textId="77777777" w:rsidR="00F91D85" w:rsidRDefault="00F91D85" w:rsidP="00F91D85">
      <w:pPr>
        <w:spacing w:line="480" w:lineRule="auto"/>
        <w:jc w:val="both"/>
        <w:rPr>
          <w:rFonts w:ascii="Times New Roman" w:hAnsi="Times New Roman" w:cs="Times New Roman"/>
          <w:sz w:val="24"/>
          <w:szCs w:val="24"/>
          <w:lang w:val="en-GB"/>
        </w:rPr>
      </w:pPr>
    </w:p>
    <w:p w14:paraId="03AD938A" w14:textId="77777777" w:rsidR="00F91D85" w:rsidRDefault="00F91D85" w:rsidP="00F91D85">
      <w:pPr>
        <w:spacing w:line="480" w:lineRule="auto"/>
        <w:jc w:val="both"/>
        <w:rPr>
          <w:rFonts w:ascii="Times New Roman" w:hAnsi="Times New Roman" w:cs="Times New Roman"/>
          <w:sz w:val="24"/>
          <w:szCs w:val="24"/>
          <w:lang w:val="en-GB"/>
        </w:rPr>
      </w:pPr>
    </w:p>
    <w:p w14:paraId="3501D74C" w14:textId="77777777" w:rsidR="00F91D85" w:rsidRDefault="00F91D85" w:rsidP="00F91D85">
      <w:pPr>
        <w:spacing w:line="480" w:lineRule="auto"/>
        <w:jc w:val="both"/>
        <w:rPr>
          <w:rFonts w:ascii="Times New Roman" w:hAnsi="Times New Roman" w:cs="Times New Roman"/>
          <w:sz w:val="24"/>
          <w:szCs w:val="24"/>
          <w:lang w:val="en-GB"/>
        </w:rPr>
      </w:pPr>
    </w:p>
    <w:p w14:paraId="22AD40FF" w14:textId="77777777" w:rsidR="00F91D85" w:rsidRDefault="00F91D85" w:rsidP="00F91D85">
      <w:pPr>
        <w:spacing w:line="480" w:lineRule="auto"/>
        <w:jc w:val="both"/>
        <w:rPr>
          <w:rFonts w:ascii="Times New Roman" w:hAnsi="Times New Roman" w:cs="Times New Roman"/>
          <w:sz w:val="24"/>
          <w:szCs w:val="24"/>
          <w:lang w:val="en-GB"/>
        </w:rPr>
      </w:pPr>
    </w:p>
    <w:p w14:paraId="6BA34DED" w14:textId="77777777" w:rsidR="00F91D85" w:rsidRPr="003B0C6C" w:rsidRDefault="00F91D85" w:rsidP="00F91D85">
      <w:pPr>
        <w:spacing w:line="480" w:lineRule="auto"/>
        <w:jc w:val="center"/>
        <w:rPr>
          <w:rFonts w:ascii="Times New Roman" w:hAnsi="Times New Roman" w:cs="Times New Roman"/>
          <w:b/>
          <w:bCs/>
          <w:sz w:val="24"/>
          <w:szCs w:val="24"/>
          <w:lang w:val="en-GB"/>
        </w:rPr>
      </w:pPr>
      <w:r w:rsidRPr="003B0C6C">
        <w:rPr>
          <w:rFonts w:ascii="Times New Roman" w:hAnsi="Times New Roman" w:cs="Times New Roman"/>
          <w:b/>
          <w:bCs/>
          <w:sz w:val="24"/>
          <w:szCs w:val="24"/>
          <w:lang w:val="en-GB"/>
        </w:rPr>
        <w:t>References</w:t>
      </w:r>
    </w:p>
    <w:p w14:paraId="72F16E63"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Ahmed, M.B. and </w:t>
      </w:r>
      <w:proofErr w:type="spellStart"/>
      <w:r w:rsidRPr="003B0C6C">
        <w:rPr>
          <w:rFonts w:ascii="Times New Roman" w:hAnsi="Times New Roman" w:cs="Times New Roman"/>
          <w:sz w:val="24"/>
          <w:szCs w:val="24"/>
          <w:lang w:val="en-GB"/>
        </w:rPr>
        <w:t>Mun’im</w:t>
      </w:r>
      <w:proofErr w:type="spellEnd"/>
      <w:r w:rsidRPr="003B0C6C">
        <w:rPr>
          <w:rFonts w:ascii="Times New Roman" w:hAnsi="Times New Roman" w:cs="Times New Roman"/>
          <w:sz w:val="24"/>
          <w:szCs w:val="24"/>
          <w:lang w:val="en-GB"/>
        </w:rPr>
        <w:t xml:space="preserve"> </w:t>
      </w:r>
      <w:proofErr w:type="spellStart"/>
      <w:r w:rsidRPr="003B0C6C">
        <w:rPr>
          <w:rFonts w:ascii="Times New Roman" w:hAnsi="Times New Roman" w:cs="Times New Roman"/>
          <w:sz w:val="24"/>
          <w:szCs w:val="24"/>
          <w:lang w:val="en-GB"/>
        </w:rPr>
        <w:t>Ghaffori</w:t>
      </w:r>
      <w:proofErr w:type="spellEnd"/>
      <w:r w:rsidRPr="003B0C6C">
        <w:rPr>
          <w:rFonts w:ascii="Times New Roman" w:hAnsi="Times New Roman" w:cs="Times New Roman"/>
          <w:sz w:val="24"/>
          <w:szCs w:val="24"/>
          <w:lang w:val="en-GB"/>
        </w:rPr>
        <w:t>, A.A., 2019. Non-verbal Politeness in English Etiquette Books and Prophetic Sunnah. Journal of University of Human Development, 5(3), pp.156-167.</w:t>
      </w:r>
    </w:p>
    <w:p w14:paraId="3324BE62" w14:textId="77777777" w:rsidR="00F91D85" w:rsidRPr="003B0C6C" w:rsidRDefault="00F91D85" w:rsidP="00F91D85">
      <w:pPr>
        <w:spacing w:line="480" w:lineRule="auto"/>
        <w:jc w:val="both"/>
        <w:rPr>
          <w:rFonts w:ascii="Times New Roman" w:hAnsi="Times New Roman" w:cs="Times New Roman"/>
          <w:sz w:val="24"/>
          <w:szCs w:val="24"/>
          <w:lang w:val="en-GB"/>
        </w:rPr>
      </w:pPr>
    </w:p>
    <w:p w14:paraId="23A8772A"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Atkinson, D., 2018. Catalan and Spanish in an independent Catalonia: Linguistic authority and officiality. Language in Society, 47(5), pp.763-785.</w:t>
      </w:r>
    </w:p>
    <w:p w14:paraId="10F05DA1" w14:textId="77777777" w:rsidR="00F91D85" w:rsidRPr="003B0C6C" w:rsidRDefault="00F91D85" w:rsidP="00F91D85">
      <w:pPr>
        <w:spacing w:line="480" w:lineRule="auto"/>
        <w:jc w:val="both"/>
        <w:rPr>
          <w:rFonts w:ascii="Times New Roman" w:hAnsi="Times New Roman" w:cs="Times New Roman"/>
          <w:sz w:val="24"/>
          <w:szCs w:val="24"/>
          <w:lang w:val="en-GB"/>
        </w:rPr>
      </w:pPr>
    </w:p>
    <w:p w14:paraId="70449505"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proofErr w:type="spellStart"/>
      <w:r w:rsidRPr="003B0C6C">
        <w:rPr>
          <w:rFonts w:ascii="Times New Roman" w:hAnsi="Times New Roman" w:cs="Times New Roman"/>
          <w:sz w:val="24"/>
          <w:szCs w:val="24"/>
          <w:lang w:val="en-GB"/>
        </w:rPr>
        <w:t>Beilmann</w:t>
      </w:r>
      <w:proofErr w:type="spellEnd"/>
      <w:r w:rsidRPr="003B0C6C">
        <w:rPr>
          <w:rFonts w:ascii="Times New Roman" w:hAnsi="Times New Roman" w:cs="Times New Roman"/>
          <w:sz w:val="24"/>
          <w:szCs w:val="24"/>
          <w:lang w:val="en-GB"/>
        </w:rPr>
        <w:t xml:space="preserve">, M., </w:t>
      </w:r>
      <w:proofErr w:type="spellStart"/>
      <w:r w:rsidRPr="003B0C6C">
        <w:rPr>
          <w:rFonts w:ascii="Times New Roman" w:hAnsi="Times New Roman" w:cs="Times New Roman"/>
          <w:sz w:val="24"/>
          <w:szCs w:val="24"/>
          <w:lang w:val="en-GB"/>
        </w:rPr>
        <w:t>Kööts</w:t>
      </w:r>
      <w:proofErr w:type="spellEnd"/>
      <w:r w:rsidRPr="003B0C6C">
        <w:rPr>
          <w:rFonts w:ascii="Times New Roman" w:hAnsi="Times New Roman" w:cs="Times New Roman"/>
          <w:sz w:val="24"/>
          <w:szCs w:val="24"/>
          <w:lang w:val="en-GB"/>
        </w:rPr>
        <w:t>-Ausmees, L. and Realo, A., 2018. The relationship between social capital and individualism–collectivism in Europe. Social Indicators Research, 137, pp.641-664.</w:t>
      </w:r>
    </w:p>
    <w:p w14:paraId="1215CF1D" w14:textId="77777777" w:rsidR="00F91D85" w:rsidRPr="003B0C6C" w:rsidRDefault="00F91D85" w:rsidP="00F91D85">
      <w:pPr>
        <w:spacing w:line="480" w:lineRule="auto"/>
        <w:jc w:val="both"/>
        <w:rPr>
          <w:rFonts w:ascii="Times New Roman" w:hAnsi="Times New Roman" w:cs="Times New Roman"/>
          <w:sz w:val="24"/>
          <w:szCs w:val="24"/>
          <w:lang w:val="en-GB"/>
        </w:rPr>
      </w:pPr>
    </w:p>
    <w:p w14:paraId="69B74D65"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Bruyneel, L., </w:t>
      </w:r>
      <w:proofErr w:type="spellStart"/>
      <w:r w:rsidRPr="003B0C6C">
        <w:rPr>
          <w:rFonts w:ascii="Times New Roman" w:hAnsi="Times New Roman" w:cs="Times New Roman"/>
          <w:sz w:val="24"/>
          <w:szCs w:val="24"/>
          <w:lang w:val="en-GB"/>
        </w:rPr>
        <w:t>Lesaffre</w:t>
      </w:r>
      <w:proofErr w:type="spellEnd"/>
      <w:r w:rsidRPr="003B0C6C">
        <w:rPr>
          <w:rFonts w:ascii="Times New Roman" w:hAnsi="Times New Roman" w:cs="Times New Roman"/>
          <w:sz w:val="24"/>
          <w:szCs w:val="24"/>
          <w:lang w:val="en-GB"/>
        </w:rPr>
        <w:t xml:space="preserve">, E., Meuleman, B. and </w:t>
      </w:r>
      <w:proofErr w:type="spellStart"/>
      <w:r w:rsidRPr="003B0C6C">
        <w:rPr>
          <w:rFonts w:ascii="Times New Roman" w:hAnsi="Times New Roman" w:cs="Times New Roman"/>
          <w:sz w:val="24"/>
          <w:szCs w:val="24"/>
          <w:lang w:val="en-GB"/>
        </w:rPr>
        <w:t>Sermeus</w:t>
      </w:r>
      <w:proofErr w:type="spellEnd"/>
      <w:r w:rsidRPr="003B0C6C">
        <w:rPr>
          <w:rFonts w:ascii="Times New Roman" w:hAnsi="Times New Roman" w:cs="Times New Roman"/>
          <w:sz w:val="24"/>
          <w:szCs w:val="24"/>
          <w:lang w:val="en-GB"/>
        </w:rPr>
        <w:t>, W., 2019. Power distance and physician–nurse collegial relations across 14 European countries: National culture is not merely a nuisance factor in international comparative research. Journal of Nursing Scholarship, 51(6), pp.708-716.</w:t>
      </w:r>
    </w:p>
    <w:p w14:paraId="38210EEF" w14:textId="77777777" w:rsidR="00F91D85" w:rsidRPr="003B0C6C" w:rsidRDefault="00F91D85" w:rsidP="00F91D85">
      <w:pPr>
        <w:spacing w:line="480" w:lineRule="auto"/>
        <w:jc w:val="both"/>
        <w:rPr>
          <w:rFonts w:ascii="Times New Roman" w:hAnsi="Times New Roman" w:cs="Times New Roman"/>
          <w:sz w:val="24"/>
          <w:szCs w:val="24"/>
          <w:lang w:val="en-GB"/>
        </w:rPr>
      </w:pPr>
    </w:p>
    <w:p w14:paraId="6746A83C" w14:textId="77777777" w:rsidR="00F91D85" w:rsidRPr="00F91D85" w:rsidRDefault="00F91D85" w:rsidP="00F91D85">
      <w:pPr>
        <w:spacing w:line="480" w:lineRule="auto"/>
        <w:ind w:left="720" w:hanging="720"/>
        <w:jc w:val="both"/>
        <w:rPr>
          <w:rFonts w:ascii="Times New Roman" w:hAnsi="Times New Roman" w:cs="Times New Roman"/>
          <w:sz w:val="24"/>
          <w:szCs w:val="24"/>
        </w:rPr>
      </w:pPr>
      <w:r w:rsidRPr="003B0C6C">
        <w:rPr>
          <w:rFonts w:ascii="Times New Roman" w:hAnsi="Times New Roman" w:cs="Times New Roman"/>
          <w:sz w:val="24"/>
          <w:szCs w:val="24"/>
          <w:lang w:val="en-GB"/>
        </w:rPr>
        <w:t xml:space="preserve">Clark, D., 2024. Youth unemployment rate in the UK 1992-2023. </w:t>
      </w:r>
      <w:hyperlink r:id="rId8" w:history="1">
        <w:r w:rsidRPr="00F91D85">
          <w:rPr>
            <w:rStyle w:val="Hyperlink"/>
            <w:rFonts w:ascii="Times New Roman" w:hAnsi="Times New Roman" w:cs="Times New Roman"/>
            <w:sz w:val="24"/>
            <w:szCs w:val="24"/>
          </w:rPr>
          <w:t>https://www.statista.com/statistics/280305/youth-unemployment-rate-uk/</w:t>
        </w:r>
      </w:hyperlink>
    </w:p>
    <w:p w14:paraId="1CB0F598" w14:textId="77777777" w:rsidR="00F91D85" w:rsidRPr="00F91D85" w:rsidRDefault="00F91D85" w:rsidP="00F91D85">
      <w:pPr>
        <w:spacing w:line="480" w:lineRule="auto"/>
        <w:ind w:left="720" w:hanging="720"/>
        <w:jc w:val="both"/>
        <w:rPr>
          <w:rFonts w:ascii="Times New Roman" w:hAnsi="Times New Roman" w:cs="Times New Roman"/>
          <w:sz w:val="24"/>
          <w:szCs w:val="24"/>
        </w:rPr>
      </w:pPr>
    </w:p>
    <w:p w14:paraId="4BCA7BFE"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F91D85">
        <w:rPr>
          <w:rFonts w:ascii="Times New Roman" w:hAnsi="Times New Roman" w:cs="Times New Roman"/>
          <w:sz w:val="24"/>
          <w:szCs w:val="24"/>
        </w:rPr>
        <w:lastRenderedPageBreak/>
        <w:t xml:space="preserve">Dieter, H., 2018. </w:t>
      </w:r>
      <w:r w:rsidRPr="003B0C6C">
        <w:rPr>
          <w:rFonts w:ascii="Times New Roman" w:hAnsi="Times New Roman" w:cs="Times New Roman"/>
          <w:sz w:val="24"/>
          <w:szCs w:val="24"/>
          <w:lang w:val="en-GB"/>
        </w:rPr>
        <w:t>Stubbornly Germany first: options for reducing the world's largest current account surplus.</w:t>
      </w:r>
    </w:p>
    <w:p w14:paraId="3203ACD2" w14:textId="77777777" w:rsidR="00F91D85" w:rsidRPr="003B0C6C" w:rsidRDefault="00F91D85" w:rsidP="00F91D85">
      <w:pPr>
        <w:spacing w:line="480" w:lineRule="auto"/>
        <w:jc w:val="both"/>
        <w:rPr>
          <w:rFonts w:ascii="Times New Roman" w:hAnsi="Times New Roman" w:cs="Times New Roman"/>
          <w:sz w:val="24"/>
          <w:szCs w:val="24"/>
          <w:lang w:val="en-GB"/>
        </w:rPr>
      </w:pPr>
    </w:p>
    <w:p w14:paraId="5209BD32"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Gupta, A.K. and Govindarajan, V., 2017. Converting global presence into global competitive advantage. In International human resource management (pp. 431-442). Routledge.</w:t>
      </w:r>
    </w:p>
    <w:p w14:paraId="5AABF6E3" w14:textId="77777777" w:rsidR="00F91D85" w:rsidRPr="003B0C6C" w:rsidRDefault="00F91D85" w:rsidP="00F91D85">
      <w:pPr>
        <w:spacing w:line="480" w:lineRule="auto"/>
        <w:jc w:val="both"/>
        <w:rPr>
          <w:rFonts w:ascii="Times New Roman" w:hAnsi="Times New Roman" w:cs="Times New Roman"/>
          <w:sz w:val="24"/>
          <w:szCs w:val="24"/>
          <w:lang w:val="en-GB"/>
        </w:rPr>
      </w:pPr>
    </w:p>
    <w:p w14:paraId="122B467F"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Hofmann, E. and </w:t>
      </w:r>
      <w:proofErr w:type="spellStart"/>
      <w:r w:rsidRPr="003B0C6C">
        <w:rPr>
          <w:rFonts w:ascii="Times New Roman" w:hAnsi="Times New Roman" w:cs="Times New Roman"/>
          <w:sz w:val="24"/>
          <w:szCs w:val="24"/>
          <w:lang w:val="en-GB"/>
        </w:rPr>
        <w:t>Rüsch</w:t>
      </w:r>
      <w:proofErr w:type="spellEnd"/>
      <w:r w:rsidRPr="003B0C6C">
        <w:rPr>
          <w:rFonts w:ascii="Times New Roman" w:hAnsi="Times New Roman" w:cs="Times New Roman"/>
          <w:sz w:val="24"/>
          <w:szCs w:val="24"/>
          <w:lang w:val="en-GB"/>
        </w:rPr>
        <w:t>, M., 2017. Industry 4.0 and the current status as well as future prospects on logistics. Computers in industry, 89, pp.23-34.</w:t>
      </w:r>
    </w:p>
    <w:p w14:paraId="213C3C6C" w14:textId="77777777" w:rsidR="00F91D85" w:rsidRPr="003B0C6C" w:rsidRDefault="00F91D85" w:rsidP="00F91D85">
      <w:pPr>
        <w:spacing w:line="480" w:lineRule="auto"/>
        <w:jc w:val="both"/>
        <w:rPr>
          <w:rFonts w:ascii="Times New Roman" w:hAnsi="Times New Roman" w:cs="Times New Roman"/>
          <w:sz w:val="24"/>
          <w:szCs w:val="24"/>
          <w:lang w:val="en-GB"/>
        </w:rPr>
      </w:pPr>
    </w:p>
    <w:p w14:paraId="1EE6BD40"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proofErr w:type="spellStart"/>
      <w:r w:rsidRPr="003B0C6C">
        <w:rPr>
          <w:rFonts w:ascii="Times New Roman" w:hAnsi="Times New Roman" w:cs="Times New Roman"/>
          <w:sz w:val="24"/>
          <w:szCs w:val="24"/>
          <w:lang w:val="en-GB"/>
        </w:rPr>
        <w:t>Jiamrattanyoo</w:t>
      </w:r>
      <w:proofErr w:type="spellEnd"/>
      <w:r w:rsidRPr="003B0C6C">
        <w:rPr>
          <w:rFonts w:ascii="Times New Roman" w:hAnsi="Times New Roman" w:cs="Times New Roman"/>
          <w:sz w:val="24"/>
          <w:szCs w:val="24"/>
          <w:lang w:val="en-GB"/>
        </w:rPr>
        <w:t>, A., 2022. Conquest of Amity: Affective Politics and Cultures of Friendship in the Spanish Colonization of the Philippines, 1521-1762 (Doctoral dissertation, University of Washington).</w:t>
      </w:r>
    </w:p>
    <w:p w14:paraId="14F6F4B4" w14:textId="77777777" w:rsidR="00F91D85" w:rsidRPr="003B0C6C" w:rsidRDefault="00F91D85" w:rsidP="00F91D85">
      <w:pPr>
        <w:spacing w:line="480" w:lineRule="auto"/>
        <w:jc w:val="both"/>
        <w:rPr>
          <w:rFonts w:ascii="Times New Roman" w:hAnsi="Times New Roman" w:cs="Times New Roman"/>
          <w:sz w:val="24"/>
          <w:szCs w:val="24"/>
          <w:lang w:val="en-GB"/>
        </w:rPr>
      </w:pPr>
    </w:p>
    <w:p w14:paraId="6116568F"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Kumar, K., Zindani, D. and Davim, J.P., 2019. Industry 4.0: developments towards the fourth industrial revolution. Cham, Switzerland: Springer.</w:t>
      </w:r>
    </w:p>
    <w:p w14:paraId="31039C7E" w14:textId="77777777" w:rsidR="00F91D85" w:rsidRPr="003B0C6C" w:rsidRDefault="00F91D85" w:rsidP="00F91D85">
      <w:pPr>
        <w:spacing w:line="480" w:lineRule="auto"/>
        <w:jc w:val="both"/>
        <w:rPr>
          <w:rFonts w:ascii="Times New Roman" w:hAnsi="Times New Roman" w:cs="Times New Roman"/>
          <w:sz w:val="24"/>
          <w:szCs w:val="24"/>
          <w:lang w:val="en-GB"/>
        </w:rPr>
      </w:pPr>
    </w:p>
    <w:p w14:paraId="729760DE"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Lynch, K.E., 2019. Education and the workforce: a comparative analysis of the United States, Germany, and Britain (Doctoral dissertation, Boston University).</w:t>
      </w:r>
    </w:p>
    <w:p w14:paraId="346C0F59" w14:textId="77777777" w:rsidR="00F91D85" w:rsidRPr="003B0C6C" w:rsidRDefault="00F91D85" w:rsidP="00F91D85">
      <w:pPr>
        <w:spacing w:line="480" w:lineRule="auto"/>
        <w:jc w:val="both"/>
        <w:rPr>
          <w:rFonts w:ascii="Times New Roman" w:hAnsi="Times New Roman" w:cs="Times New Roman"/>
          <w:sz w:val="24"/>
          <w:szCs w:val="24"/>
          <w:lang w:val="en-GB"/>
        </w:rPr>
      </w:pPr>
    </w:p>
    <w:p w14:paraId="309595FC" w14:textId="77777777" w:rsidR="00F91D85"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Macrotrends, 2024. Tesco Revenue 2010-2023 | TSCDY. </w:t>
      </w:r>
      <w:hyperlink r:id="rId9" w:anchor=":~:text=Tesco%20revenue%20for%20the%20twelve,a%209.37%25%20decline%20from%202020" w:history="1">
        <w:r w:rsidRPr="00813306">
          <w:rPr>
            <w:rStyle w:val="Hyperlink"/>
            <w:rFonts w:ascii="Times New Roman" w:hAnsi="Times New Roman" w:cs="Times New Roman"/>
            <w:sz w:val="24"/>
            <w:szCs w:val="24"/>
            <w:lang w:val="en-GB"/>
          </w:rPr>
          <w:t>https://www.macrotrends.net/stocks/charts/TSCDY/tesco/revenue#:~:text=Tesco%20revenue%20for%20the%20twelve,a%209.37%25%20decline%20from%202020</w:t>
        </w:r>
      </w:hyperlink>
      <w:r w:rsidRPr="003B0C6C">
        <w:rPr>
          <w:rFonts w:ascii="Times New Roman" w:hAnsi="Times New Roman" w:cs="Times New Roman"/>
          <w:sz w:val="24"/>
          <w:szCs w:val="24"/>
          <w:lang w:val="en-GB"/>
        </w:rPr>
        <w:t>.</w:t>
      </w:r>
    </w:p>
    <w:p w14:paraId="75A7B76A" w14:textId="77777777" w:rsidR="00F91D85" w:rsidRPr="003B0C6C" w:rsidRDefault="00F91D85" w:rsidP="00F91D85">
      <w:pPr>
        <w:spacing w:line="480" w:lineRule="auto"/>
        <w:jc w:val="both"/>
        <w:rPr>
          <w:rFonts w:ascii="Times New Roman" w:hAnsi="Times New Roman" w:cs="Times New Roman"/>
          <w:sz w:val="24"/>
          <w:szCs w:val="24"/>
          <w:lang w:val="en-GB"/>
        </w:rPr>
      </w:pPr>
    </w:p>
    <w:p w14:paraId="3E3459AA" w14:textId="77777777" w:rsidR="00F91D85" w:rsidRPr="003B0C6C" w:rsidRDefault="00F91D85" w:rsidP="00F91D85">
      <w:pPr>
        <w:spacing w:line="480" w:lineRule="auto"/>
        <w:jc w:val="both"/>
        <w:rPr>
          <w:rFonts w:ascii="Times New Roman" w:hAnsi="Times New Roman" w:cs="Times New Roman"/>
          <w:sz w:val="24"/>
          <w:szCs w:val="24"/>
          <w:lang w:val="en-GB"/>
        </w:rPr>
      </w:pPr>
    </w:p>
    <w:p w14:paraId="7960A7D8" w14:textId="77777777" w:rsidR="00F91D85" w:rsidRPr="00F91D85" w:rsidRDefault="00F91D85" w:rsidP="00F91D85">
      <w:pPr>
        <w:spacing w:line="480" w:lineRule="auto"/>
        <w:ind w:left="720" w:hanging="720"/>
        <w:jc w:val="both"/>
        <w:rPr>
          <w:rFonts w:ascii="Times New Roman" w:hAnsi="Times New Roman" w:cs="Times New Roman"/>
          <w:sz w:val="24"/>
          <w:szCs w:val="24"/>
        </w:rPr>
      </w:pPr>
      <w:r w:rsidRPr="003B0C6C">
        <w:rPr>
          <w:rFonts w:ascii="Times New Roman" w:hAnsi="Times New Roman" w:cs="Times New Roman"/>
          <w:sz w:val="24"/>
          <w:szCs w:val="24"/>
          <w:lang w:val="en-GB"/>
        </w:rPr>
        <w:t xml:space="preserve">Macrotrends, 2024. J Sainsbury Revenue 2010-2023 | JSAIY. </w:t>
      </w:r>
      <w:hyperlink r:id="rId10" w:anchor=":~:text=J%20Sainsbury%20revenue%20for%20the%20twelve%20months%20ending%20September%2030,a%207.44%25%20increase%20from%202021" w:history="1">
        <w:r w:rsidRPr="00F91D85">
          <w:rPr>
            <w:rStyle w:val="Hyperlink"/>
            <w:rFonts w:ascii="Times New Roman" w:hAnsi="Times New Roman" w:cs="Times New Roman"/>
            <w:sz w:val="24"/>
            <w:szCs w:val="24"/>
          </w:rPr>
          <w:t>https://www.macrotrends.net/stocks/charts/JSAIY/j-sainsbury/revenue#:~:text=J%20Sainsbury%20revenue%20for%20the%20twelve%20months%20ending%20September%2030,a%207.44%25%20increase%20from%202021</w:t>
        </w:r>
      </w:hyperlink>
      <w:r w:rsidRPr="00F91D85">
        <w:rPr>
          <w:rFonts w:ascii="Times New Roman" w:hAnsi="Times New Roman" w:cs="Times New Roman"/>
          <w:sz w:val="24"/>
          <w:szCs w:val="24"/>
        </w:rPr>
        <w:t>.</w:t>
      </w:r>
    </w:p>
    <w:p w14:paraId="0C14088D" w14:textId="77777777" w:rsidR="00F91D85" w:rsidRPr="00F91D85" w:rsidRDefault="00F91D85" w:rsidP="00F91D85">
      <w:pPr>
        <w:spacing w:line="480" w:lineRule="auto"/>
        <w:jc w:val="both"/>
        <w:rPr>
          <w:rFonts w:ascii="Times New Roman" w:hAnsi="Times New Roman" w:cs="Times New Roman"/>
          <w:sz w:val="24"/>
          <w:szCs w:val="24"/>
        </w:rPr>
      </w:pPr>
    </w:p>
    <w:p w14:paraId="7798BF18" w14:textId="77777777" w:rsidR="00F91D85" w:rsidRPr="00F91D85" w:rsidRDefault="00F91D85" w:rsidP="00F91D85">
      <w:pPr>
        <w:spacing w:line="480" w:lineRule="auto"/>
        <w:jc w:val="both"/>
        <w:rPr>
          <w:rFonts w:ascii="Times New Roman" w:hAnsi="Times New Roman" w:cs="Times New Roman"/>
          <w:sz w:val="24"/>
          <w:szCs w:val="24"/>
        </w:rPr>
      </w:pPr>
    </w:p>
    <w:p w14:paraId="39E7EC90" w14:textId="77777777" w:rsidR="00F91D85" w:rsidRPr="00F91D85" w:rsidRDefault="00F91D85" w:rsidP="00F91D85">
      <w:pPr>
        <w:spacing w:line="480" w:lineRule="auto"/>
        <w:ind w:left="720" w:hanging="720"/>
        <w:jc w:val="both"/>
        <w:rPr>
          <w:rFonts w:ascii="Times New Roman" w:hAnsi="Times New Roman" w:cs="Times New Roman"/>
          <w:sz w:val="24"/>
          <w:szCs w:val="24"/>
        </w:rPr>
      </w:pPr>
      <w:r w:rsidRPr="003B0C6C">
        <w:rPr>
          <w:rFonts w:ascii="Times New Roman" w:hAnsi="Times New Roman" w:cs="Times New Roman"/>
          <w:sz w:val="24"/>
          <w:szCs w:val="24"/>
          <w:lang w:val="en-GB"/>
        </w:rPr>
        <w:t xml:space="preserve">Macrotrends, 2024. Spain Youth Unemployment Rate 1991-2024. </w:t>
      </w:r>
      <w:hyperlink r:id="rId11" w:anchor=":~:text=Youth%20unemployment%20refers%20to%20the,a%203.48%25%20decline%20from%202020" w:history="1">
        <w:r w:rsidRPr="00F91D85">
          <w:rPr>
            <w:rStyle w:val="Hyperlink"/>
            <w:rFonts w:ascii="Times New Roman" w:hAnsi="Times New Roman" w:cs="Times New Roman"/>
            <w:sz w:val="24"/>
            <w:szCs w:val="24"/>
          </w:rPr>
          <w:t>https://www.macrotrends.net/countries/ESP/spain/youth-unemployment-rate#:~:text=Youth%20unemployment%20refers%20to%20the,a%203.48%25%20decline%20from%202020</w:t>
        </w:r>
      </w:hyperlink>
      <w:r w:rsidRPr="00F91D85">
        <w:rPr>
          <w:rFonts w:ascii="Times New Roman" w:hAnsi="Times New Roman" w:cs="Times New Roman"/>
          <w:sz w:val="24"/>
          <w:szCs w:val="24"/>
        </w:rPr>
        <w:t>.</w:t>
      </w:r>
    </w:p>
    <w:p w14:paraId="116B1912" w14:textId="77777777" w:rsidR="00F91D85" w:rsidRPr="00F91D85" w:rsidRDefault="00F91D85" w:rsidP="00F91D85">
      <w:pPr>
        <w:spacing w:line="480" w:lineRule="auto"/>
        <w:jc w:val="both"/>
        <w:rPr>
          <w:rFonts w:ascii="Times New Roman" w:hAnsi="Times New Roman" w:cs="Times New Roman"/>
          <w:sz w:val="24"/>
          <w:szCs w:val="24"/>
        </w:rPr>
      </w:pPr>
    </w:p>
    <w:p w14:paraId="54AD8953"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proofErr w:type="spellStart"/>
      <w:r w:rsidRPr="003B0C6C">
        <w:rPr>
          <w:rFonts w:ascii="Times New Roman" w:hAnsi="Times New Roman" w:cs="Times New Roman"/>
          <w:sz w:val="24"/>
          <w:szCs w:val="24"/>
          <w:lang w:val="en-GB"/>
        </w:rPr>
        <w:t>Manrai</w:t>
      </w:r>
      <w:proofErr w:type="spellEnd"/>
      <w:r w:rsidRPr="003B0C6C">
        <w:rPr>
          <w:rFonts w:ascii="Times New Roman" w:hAnsi="Times New Roman" w:cs="Times New Roman"/>
          <w:sz w:val="24"/>
          <w:szCs w:val="24"/>
          <w:lang w:val="en-GB"/>
        </w:rPr>
        <w:t xml:space="preserve">, L.A., </w:t>
      </w:r>
      <w:proofErr w:type="spellStart"/>
      <w:r w:rsidRPr="003B0C6C">
        <w:rPr>
          <w:rFonts w:ascii="Times New Roman" w:hAnsi="Times New Roman" w:cs="Times New Roman"/>
          <w:sz w:val="24"/>
          <w:szCs w:val="24"/>
          <w:lang w:val="en-GB"/>
        </w:rPr>
        <w:t>Manrai</w:t>
      </w:r>
      <w:proofErr w:type="spellEnd"/>
      <w:r w:rsidRPr="003B0C6C">
        <w:rPr>
          <w:rFonts w:ascii="Times New Roman" w:hAnsi="Times New Roman" w:cs="Times New Roman"/>
          <w:sz w:val="24"/>
          <w:szCs w:val="24"/>
          <w:lang w:val="en-GB"/>
        </w:rPr>
        <w:t xml:space="preserve">, A.K., Lascu, D. and </w:t>
      </w:r>
      <w:proofErr w:type="spellStart"/>
      <w:r w:rsidRPr="003B0C6C">
        <w:rPr>
          <w:rFonts w:ascii="Times New Roman" w:hAnsi="Times New Roman" w:cs="Times New Roman"/>
          <w:sz w:val="24"/>
          <w:szCs w:val="24"/>
          <w:lang w:val="en-GB"/>
        </w:rPr>
        <w:t>Friedeborn</w:t>
      </w:r>
      <w:proofErr w:type="spellEnd"/>
      <w:r w:rsidRPr="003B0C6C">
        <w:rPr>
          <w:rFonts w:ascii="Times New Roman" w:hAnsi="Times New Roman" w:cs="Times New Roman"/>
          <w:sz w:val="24"/>
          <w:szCs w:val="24"/>
          <w:lang w:val="en-GB"/>
        </w:rPr>
        <w:t>, S., 2019. Determinants and effects of cultural context: A review, conceptual model, and propositions. Journal of Global Marketing, 32(2), pp.67-82.</w:t>
      </w:r>
    </w:p>
    <w:p w14:paraId="207A216D" w14:textId="77777777" w:rsidR="00F91D85" w:rsidRPr="003B0C6C" w:rsidRDefault="00F91D85" w:rsidP="00F91D85">
      <w:pPr>
        <w:spacing w:line="480" w:lineRule="auto"/>
        <w:jc w:val="both"/>
        <w:rPr>
          <w:rFonts w:ascii="Times New Roman" w:hAnsi="Times New Roman" w:cs="Times New Roman"/>
          <w:sz w:val="24"/>
          <w:szCs w:val="24"/>
          <w:lang w:val="en-GB"/>
        </w:rPr>
      </w:pPr>
    </w:p>
    <w:p w14:paraId="08611823"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Moonen, P., 2017. The impact of culture on the innovative strength of nations: A comprehensive review of the theories of Hofstede, Schwartz, </w:t>
      </w:r>
      <w:proofErr w:type="spellStart"/>
      <w:r w:rsidRPr="003B0C6C">
        <w:rPr>
          <w:rFonts w:ascii="Times New Roman" w:hAnsi="Times New Roman" w:cs="Times New Roman"/>
          <w:sz w:val="24"/>
          <w:szCs w:val="24"/>
          <w:lang w:val="en-GB"/>
        </w:rPr>
        <w:t>Boisot</w:t>
      </w:r>
      <w:proofErr w:type="spellEnd"/>
      <w:r w:rsidRPr="003B0C6C">
        <w:rPr>
          <w:rFonts w:ascii="Times New Roman" w:hAnsi="Times New Roman" w:cs="Times New Roman"/>
          <w:sz w:val="24"/>
          <w:szCs w:val="24"/>
          <w:lang w:val="en-GB"/>
        </w:rPr>
        <w:t xml:space="preserve"> and Cameron and Quinn. Journal of Organizational Change Management, 30(7), pp.1149-1183.</w:t>
      </w:r>
    </w:p>
    <w:p w14:paraId="0FE79969" w14:textId="77777777" w:rsidR="00F91D85" w:rsidRPr="003B0C6C" w:rsidRDefault="00F91D85" w:rsidP="00F91D85">
      <w:pPr>
        <w:spacing w:line="480" w:lineRule="auto"/>
        <w:jc w:val="both"/>
        <w:rPr>
          <w:rFonts w:ascii="Times New Roman" w:hAnsi="Times New Roman" w:cs="Times New Roman"/>
          <w:sz w:val="24"/>
          <w:szCs w:val="24"/>
          <w:lang w:val="en-GB"/>
        </w:rPr>
      </w:pPr>
    </w:p>
    <w:p w14:paraId="42F50871" w14:textId="77777777" w:rsidR="00F91D85" w:rsidRPr="00F91D85" w:rsidRDefault="00F91D85" w:rsidP="00F91D85">
      <w:pPr>
        <w:spacing w:line="480" w:lineRule="auto"/>
        <w:ind w:left="720" w:hanging="720"/>
        <w:jc w:val="both"/>
        <w:rPr>
          <w:rFonts w:ascii="Times New Roman" w:hAnsi="Times New Roman" w:cs="Times New Roman"/>
          <w:sz w:val="24"/>
          <w:szCs w:val="24"/>
          <w:lang w:val="it-IT"/>
        </w:rPr>
      </w:pPr>
      <w:r w:rsidRPr="003B0C6C">
        <w:rPr>
          <w:rFonts w:ascii="Times New Roman" w:hAnsi="Times New Roman" w:cs="Times New Roman"/>
          <w:sz w:val="24"/>
          <w:szCs w:val="24"/>
          <w:lang w:val="en-GB"/>
        </w:rPr>
        <w:lastRenderedPageBreak/>
        <w:t xml:space="preserve">O'Neill, A., 2024. Youth unemployment rate in Germany in 2022. </w:t>
      </w:r>
      <w:r w:rsidRPr="00F91D85">
        <w:rPr>
          <w:rFonts w:ascii="Times New Roman" w:hAnsi="Times New Roman" w:cs="Times New Roman"/>
          <w:sz w:val="24"/>
          <w:szCs w:val="24"/>
          <w:lang w:val="it-IT"/>
        </w:rPr>
        <w:t xml:space="preserve">Statista. </w:t>
      </w:r>
      <w:hyperlink r:id="rId12" w:history="1">
        <w:r w:rsidRPr="00F91D85">
          <w:rPr>
            <w:rStyle w:val="Hyperlink"/>
            <w:rFonts w:ascii="Times New Roman" w:hAnsi="Times New Roman" w:cs="Times New Roman"/>
            <w:sz w:val="24"/>
            <w:szCs w:val="24"/>
            <w:lang w:val="it-IT"/>
          </w:rPr>
          <w:t>https://www.statista.com/statistics/812019/youth-unemployment-rate-in-germany/</w:t>
        </w:r>
      </w:hyperlink>
    </w:p>
    <w:p w14:paraId="4D51B2D6" w14:textId="77777777" w:rsidR="00F91D85" w:rsidRPr="00F91D85" w:rsidRDefault="00F91D85" w:rsidP="00F91D85">
      <w:pPr>
        <w:spacing w:line="480" w:lineRule="auto"/>
        <w:jc w:val="both"/>
        <w:rPr>
          <w:rFonts w:ascii="Times New Roman" w:hAnsi="Times New Roman" w:cs="Times New Roman"/>
          <w:sz w:val="24"/>
          <w:szCs w:val="24"/>
          <w:lang w:val="it-IT"/>
        </w:rPr>
      </w:pPr>
    </w:p>
    <w:p w14:paraId="5246A923"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Scholz, C., 2019. The Generations Z in Europe–an introduction. In Generations Z in Europe: Inputs, insights and implications (pp. 3-31). Emerald Publishing Limited.</w:t>
      </w:r>
    </w:p>
    <w:p w14:paraId="7BD3850B" w14:textId="77777777" w:rsidR="00F91D85" w:rsidRPr="003B0C6C" w:rsidRDefault="00F91D85" w:rsidP="00F91D85">
      <w:pPr>
        <w:spacing w:line="480" w:lineRule="auto"/>
        <w:jc w:val="both"/>
        <w:rPr>
          <w:rFonts w:ascii="Times New Roman" w:hAnsi="Times New Roman" w:cs="Times New Roman"/>
          <w:sz w:val="24"/>
          <w:szCs w:val="24"/>
          <w:lang w:val="en-GB"/>
        </w:rPr>
      </w:pPr>
    </w:p>
    <w:p w14:paraId="7CA3F552" w14:textId="77777777" w:rsidR="00F91D85" w:rsidRPr="003B0C6C" w:rsidRDefault="00F91D85" w:rsidP="00F91D85">
      <w:pPr>
        <w:spacing w:line="480" w:lineRule="auto"/>
        <w:ind w:left="720" w:hanging="720"/>
        <w:jc w:val="both"/>
        <w:rPr>
          <w:rFonts w:ascii="Times New Roman" w:hAnsi="Times New Roman" w:cs="Times New Roman"/>
          <w:sz w:val="24"/>
          <w:szCs w:val="24"/>
          <w:lang w:val="en-GB"/>
        </w:rPr>
      </w:pPr>
      <w:r w:rsidRPr="003B0C6C">
        <w:rPr>
          <w:rFonts w:ascii="Times New Roman" w:hAnsi="Times New Roman" w:cs="Times New Roman"/>
          <w:sz w:val="24"/>
          <w:szCs w:val="24"/>
          <w:lang w:val="en-GB"/>
        </w:rPr>
        <w:t xml:space="preserve">Ursu, O. and </w:t>
      </w:r>
      <w:proofErr w:type="spellStart"/>
      <w:r w:rsidRPr="003B0C6C">
        <w:rPr>
          <w:rFonts w:ascii="Times New Roman" w:hAnsi="Times New Roman" w:cs="Times New Roman"/>
          <w:sz w:val="24"/>
          <w:szCs w:val="24"/>
          <w:lang w:val="en-GB"/>
        </w:rPr>
        <w:t>Ciortescu</w:t>
      </w:r>
      <w:proofErr w:type="spellEnd"/>
      <w:r w:rsidRPr="003B0C6C">
        <w:rPr>
          <w:rFonts w:ascii="Times New Roman" w:hAnsi="Times New Roman" w:cs="Times New Roman"/>
          <w:sz w:val="24"/>
          <w:szCs w:val="24"/>
          <w:lang w:val="en-GB"/>
        </w:rPr>
        <w:t>, E., 2021. Exploring Cultural Patterns in Business Communication. Insights from Europe and Asia. CES Working Papers, 13(2), pp.149-158.</w:t>
      </w:r>
    </w:p>
    <w:p w14:paraId="39075495" w14:textId="77777777" w:rsidR="00F91D85" w:rsidRPr="003B0C6C" w:rsidRDefault="00F91D85" w:rsidP="00F91D85">
      <w:pPr>
        <w:spacing w:line="480" w:lineRule="auto"/>
        <w:jc w:val="both"/>
        <w:rPr>
          <w:rFonts w:ascii="Times New Roman" w:hAnsi="Times New Roman" w:cs="Times New Roman"/>
          <w:sz w:val="24"/>
          <w:szCs w:val="24"/>
          <w:lang w:val="en-GB"/>
        </w:rPr>
      </w:pPr>
    </w:p>
    <w:p w14:paraId="6944B377" w14:textId="77777777" w:rsidR="00F91D85" w:rsidRPr="003B0C6C" w:rsidRDefault="00F91D85" w:rsidP="00F91D85">
      <w:pPr>
        <w:spacing w:line="480" w:lineRule="auto"/>
        <w:jc w:val="both"/>
        <w:rPr>
          <w:rFonts w:ascii="Times New Roman" w:hAnsi="Times New Roman" w:cs="Times New Roman"/>
          <w:sz w:val="24"/>
          <w:szCs w:val="24"/>
          <w:lang w:val="en-GB"/>
        </w:rPr>
      </w:pPr>
    </w:p>
    <w:p w14:paraId="0BA5C62F" w14:textId="77777777" w:rsidR="00F91D85" w:rsidRPr="003B0C6C" w:rsidRDefault="00F91D85" w:rsidP="00F91D85">
      <w:pPr>
        <w:spacing w:line="480" w:lineRule="auto"/>
        <w:jc w:val="both"/>
        <w:rPr>
          <w:rFonts w:ascii="Times New Roman" w:hAnsi="Times New Roman" w:cs="Times New Roman"/>
          <w:sz w:val="24"/>
          <w:szCs w:val="24"/>
          <w:lang w:val="en-GB"/>
        </w:rPr>
      </w:pPr>
    </w:p>
    <w:p w14:paraId="71B0A667" w14:textId="77777777" w:rsidR="00F91D85" w:rsidRPr="003B0C6C" w:rsidRDefault="00F91D85" w:rsidP="00F91D85">
      <w:pPr>
        <w:spacing w:line="480" w:lineRule="auto"/>
        <w:jc w:val="both"/>
        <w:rPr>
          <w:rFonts w:ascii="Times New Roman" w:hAnsi="Times New Roman" w:cs="Times New Roman"/>
          <w:sz w:val="24"/>
          <w:szCs w:val="24"/>
          <w:lang w:val="en-GB"/>
        </w:rPr>
      </w:pPr>
    </w:p>
    <w:p w14:paraId="20ECB980" w14:textId="77777777" w:rsidR="00F91D85" w:rsidRPr="003B0C6C" w:rsidRDefault="00F91D85" w:rsidP="00F91D85">
      <w:pPr>
        <w:spacing w:line="480" w:lineRule="auto"/>
        <w:jc w:val="both"/>
        <w:rPr>
          <w:rFonts w:ascii="Times New Roman" w:hAnsi="Times New Roman" w:cs="Times New Roman"/>
          <w:sz w:val="24"/>
          <w:szCs w:val="24"/>
          <w:lang w:val="en-GB"/>
        </w:rPr>
      </w:pPr>
    </w:p>
    <w:p w14:paraId="3495358C" w14:textId="77777777" w:rsidR="00F91D85" w:rsidRPr="003B0C6C" w:rsidRDefault="00F91D85" w:rsidP="00F91D85">
      <w:pPr>
        <w:spacing w:line="480" w:lineRule="auto"/>
        <w:jc w:val="both"/>
        <w:rPr>
          <w:rFonts w:ascii="Times New Roman" w:hAnsi="Times New Roman" w:cs="Times New Roman"/>
          <w:sz w:val="24"/>
          <w:szCs w:val="24"/>
          <w:lang w:val="en-GB"/>
        </w:rPr>
      </w:pPr>
    </w:p>
    <w:p w14:paraId="5DD458A9" w14:textId="77777777" w:rsidR="00DE1F3A" w:rsidRDefault="00DE1F3A"/>
    <w:sectPr w:rsidR="00DE1F3A" w:rsidSect="00BB126B">
      <w:footerReference w:type="default" r:id="rId13"/>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4906018"/>
      <w:docPartObj>
        <w:docPartGallery w:val="Page Numbers (Bottom of Page)"/>
        <w:docPartUnique/>
      </w:docPartObj>
    </w:sdtPr>
    <w:sdtEndPr>
      <w:rPr>
        <w:noProof/>
      </w:rPr>
    </w:sdtEndPr>
    <w:sdtContent>
      <w:p w14:paraId="40B7D136"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E1E559"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FD6"/>
    <w:rsid w:val="00236574"/>
    <w:rsid w:val="00593FD6"/>
    <w:rsid w:val="00BB126B"/>
    <w:rsid w:val="00BD3A1D"/>
    <w:rsid w:val="00CF0A2B"/>
    <w:rsid w:val="00DE1F3A"/>
    <w:rsid w:val="00F91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334B3"/>
  <w15:chartTrackingRefBased/>
  <w15:docId w15:val="{DF1A0A84-5143-4475-B7C0-4F8C8E71A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D85"/>
    <w:rPr>
      <w:lang/>
    </w:rPr>
  </w:style>
  <w:style w:type="paragraph" w:styleId="Heading1">
    <w:name w:val="heading 1"/>
    <w:basedOn w:val="Normal"/>
    <w:next w:val="Normal"/>
    <w:link w:val="Heading1Char"/>
    <w:uiPriority w:val="9"/>
    <w:qFormat/>
    <w:rsid w:val="00593FD6"/>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593FD6"/>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593FD6"/>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593FD6"/>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593FD6"/>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593FD6"/>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593FD6"/>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593FD6"/>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593FD6"/>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F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3F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F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F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F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FD6"/>
    <w:rPr>
      <w:rFonts w:eastAsiaTheme="majorEastAsia" w:cstheme="majorBidi"/>
      <w:color w:val="272727" w:themeColor="text1" w:themeTint="D8"/>
    </w:rPr>
  </w:style>
  <w:style w:type="paragraph" w:styleId="Title">
    <w:name w:val="Title"/>
    <w:basedOn w:val="Normal"/>
    <w:next w:val="Normal"/>
    <w:link w:val="TitleChar"/>
    <w:uiPriority w:val="10"/>
    <w:qFormat/>
    <w:rsid w:val="00593FD6"/>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593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FD6"/>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593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FD6"/>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593FD6"/>
    <w:rPr>
      <w:i/>
      <w:iCs/>
      <w:color w:val="404040" w:themeColor="text1" w:themeTint="BF"/>
    </w:rPr>
  </w:style>
  <w:style w:type="paragraph" w:styleId="ListParagraph">
    <w:name w:val="List Paragraph"/>
    <w:basedOn w:val="Normal"/>
    <w:uiPriority w:val="34"/>
    <w:qFormat/>
    <w:rsid w:val="00593FD6"/>
    <w:pPr>
      <w:ind w:left="720"/>
      <w:contextualSpacing/>
    </w:pPr>
    <w:rPr>
      <w:lang w:val="en-GB"/>
    </w:rPr>
  </w:style>
  <w:style w:type="character" w:styleId="IntenseEmphasis">
    <w:name w:val="Intense Emphasis"/>
    <w:basedOn w:val="DefaultParagraphFont"/>
    <w:uiPriority w:val="21"/>
    <w:qFormat/>
    <w:rsid w:val="00593FD6"/>
    <w:rPr>
      <w:i/>
      <w:iCs/>
      <w:color w:val="0F4761" w:themeColor="accent1" w:themeShade="BF"/>
    </w:rPr>
  </w:style>
  <w:style w:type="paragraph" w:styleId="IntenseQuote">
    <w:name w:val="Intense Quote"/>
    <w:basedOn w:val="Normal"/>
    <w:next w:val="Normal"/>
    <w:link w:val="IntenseQuoteChar"/>
    <w:uiPriority w:val="30"/>
    <w:qFormat/>
    <w:rsid w:val="00593F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593FD6"/>
    <w:rPr>
      <w:i/>
      <w:iCs/>
      <w:color w:val="0F4761" w:themeColor="accent1" w:themeShade="BF"/>
    </w:rPr>
  </w:style>
  <w:style w:type="character" w:styleId="IntenseReference">
    <w:name w:val="Intense Reference"/>
    <w:basedOn w:val="DefaultParagraphFont"/>
    <w:uiPriority w:val="32"/>
    <w:qFormat/>
    <w:rsid w:val="00593FD6"/>
    <w:rPr>
      <w:b/>
      <w:bCs/>
      <w:smallCaps/>
      <w:color w:val="0F4761" w:themeColor="accent1" w:themeShade="BF"/>
      <w:spacing w:val="5"/>
    </w:rPr>
  </w:style>
  <w:style w:type="character" w:styleId="Hyperlink">
    <w:name w:val="Hyperlink"/>
    <w:basedOn w:val="DefaultParagraphFont"/>
    <w:uiPriority w:val="99"/>
    <w:unhideWhenUsed/>
    <w:rsid w:val="00F91D85"/>
    <w:rPr>
      <w:color w:val="467886" w:themeColor="hyperlink"/>
      <w:u w:val="single"/>
    </w:rPr>
  </w:style>
  <w:style w:type="paragraph" w:styleId="Footer">
    <w:name w:val="footer"/>
    <w:basedOn w:val="Normal"/>
    <w:link w:val="FooterChar"/>
    <w:uiPriority w:val="99"/>
    <w:unhideWhenUsed/>
    <w:rsid w:val="00F91D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D85"/>
    <w:rPr>
      <w:lang/>
    </w:rPr>
  </w:style>
  <w:style w:type="paragraph" w:styleId="TOCHeading">
    <w:name w:val="TOC Heading"/>
    <w:basedOn w:val="Heading1"/>
    <w:next w:val="Normal"/>
    <w:uiPriority w:val="39"/>
    <w:unhideWhenUsed/>
    <w:qFormat/>
    <w:rsid w:val="00F91D8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91D85"/>
    <w:pPr>
      <w:spacing w:after="100"/>
    </w:pPr>
  </w:style>
  <w:style w:type="paragraph" w:styleId="TOC2">
    <w:name w:val="toc 2"/>
    <w:basedOn w:val="Normal"/>
    <w:next w:val="Normal"/>
    <w:autoRedefine/>
    <w:uiPriority w:val="39"/>
    <w:unhideWhenUsed/>
    <w:rsid w:val="00F91D8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80305/youth-unemployment-rate-uk/"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acrotrends.net/countries/ESP/spain/youth-unemployment-rate" TargetMode="External"/><Relationship Id="rId12" Type="http://schemas.openxmlformats.org/officeDocument/2006/relationships/hyperlink" Target="https://www.statista.com/statistics/812019/youth-unemployment-rate-in-german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macrotrends.net/countries/ESP/spain/youth-unemployment-rate" TargetMode="External"/><Relationship Id="rId5" Type="http://schemas.openxmlformats.org/officeDocument/2006/relationships/hyperlink" Target="https://www.macrotrends.net/stocks/charts/JSAIY/j-sainsbury/revenue" TargetMode="External"/><Relationship Id="rId15" Type="http://schemas.openxmlformats.org/officeDocument/2006/relationships/theme" Target="theme/theme1.xml"/><Relationship Id="rId10" Type="http://schemas.openxmlformats.org/officeDocument/2006/relationships/hyperlink" Target="https://www.macrotrends.net/stocks/charts/JSAIY/j-sainsbury/revenue" TargetMode="External"/><Relationship Id="rId4" Type="http://schemas.openxmlformats.org/officeDocument/2006/relationships/hyperlink" Target="https://www.macrotrends.net/stocks/charts/TSCDY/tesco/revenue" TargetMode="External"/><Relationship Id="rId9" Type="http://schemas.openxmlformats.org/officeDocument/2006/relationships/hyperlink" Target="https://www.macrotrends.net/stocks/charts/TSCDY/tesco/revenue"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i="0">
                <a:effectLst/>
              </a:rPr>
              <a:t>Tesco Revenue 2012-2023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numRef>
              <c:f>Sheet1!$A$2:$A$13</c:f>
              <c:numCache>
                <c:formatCode>General</c:formatCode>
                <c:ptCount val="12"/>
                <c:pt idx="0">
                  <c:v>2012</c:v>
                </c:pt>
                <c:pt idx="1">
                  <c:v>2013</c:v>
                </c:pt>
                <c:pt idx="2">
                  <c:v>2014</c:v>
                </c:pt>
                <c:pt idx="3">
                  <c:v>2015</c:v>
                </c:pt>
                <c:pt idx="4">
                  <c:v>2016</c:v>
                </c:pt>
                <c:pt idx="5">
                  <c:v>2017</c:v>
                </c:pt>
                <c:pt idx="6">
                  <c:v>2018</c:v>
                </c:pt>
                <c:pt idx="7">
                  <c:v>2019</c:v>
                </c:pt>
                <c:pt idx="8">
                  <c:v>2020</c:v>
                </c:pt>
                <c:pt idx="9">
                  <c:v>2021</c:v>
                </c:pt>
                <c:pt idx="10">
                  <c:v>2022</c:v>
                </c:pt>
                <c:pt idx="11">
                  <c:v>2023</c:v>
                </c:pt>
              </c:numCache>
            </c:numRef>
          </c:cat>
          <c:val>
            <c:numRef>
              <c:f>Sheet1!$B$2:$B$13</c:f>
              <c:numCache>
                <c:formatCode>#,##0</c:formatCode>
                <c:ptCount val="12"/>
                <c:pt idx="0">
                  <c:v>103243</c:v>
                </c:pt>
                <c:pt idx="1">
                  <c:v>102892</c:v>
                </c:pt>
                <c:pt idx="2">
                  <c:v>100210</c:v>
                </c:pt>
                <c:pt idx="3">
                  <c:v>101380</c:v>
                </c:pt>
                <c:pt idx="4">
                  <c:v>82443</c:v>
                </c:pt>
                <c:pt idx="5">
                  <c:v>74012</c:v>
                </c:pt>
                <c:pt idx="6">
                  <c:v>75491</c:v>
                </c:pt>
                <c:pt idx="7">
                  <c:v>84331</c:v>
                </c:pt>
                <c:pt idx="8">
                  <c:v>82776</c:v>
                </c:pt>
                <c:pt idx="9">
                  <c:v>75022</c:v>
                </c:pt>
                <c:pt idx="10">
                  <c:v>84139</c:v>
                </c:pt>
                <c:pt idx="11">
                  <c:v>79842</c:v>
                </c:pt>
              </c:numCache>
            </c:numRef>
          </c:val>
          <c:smooth val="0"/>
          <c:extLst>
            <c:ext xmlns:c16="http://schemas.microsoft.com/office/drawing/2014/chart" uri="{C3380CC4-5D6E-409C-BE32-E72D297353CC}">
              <c16:uniqueId val="{00000000-5C97-4142-900A-BD1010168BDB}"/>
            </c:ext>
          </c:extLst>
        </c:ser>
        <c:ser>
          <c:idx val="1"/>
          <c:order val="1"/>
          <c:tx>
            <c:strRef>
              <c:f>Sheet1!$C$1</c:f>
              <c:strCache>
                <c:ptCount val="1"/>
                <c:pt idx="0">
                  <c:v>Column1</c:v>
                </c:pt>
              </c:strCache>
            </c:strRef>
          </c:tx>
          <c:spPr>
            <a:ln w="28575" cap="rnd">
              <a:solidFill>
                <a:schemeClr val="accent2"/>
              </a:solidFill>
              <a:round/>
            </a:ln>
            <a:effectLst/>
          </c:spPr>
          <c:marker>
            <c:symbol val="none"/>
          </c:marker>
          <c:cat>
            <c:numRef>
              <c:f>Sheet1!$A$2:$A$13</c:f>
              <c:numCache>
                <c:formatCode>General</c:formatCode>
                <c:ptCount val="12"/>
                <c:pt idx="0">
                  <c:v>2012</c:v>
                </c:pt>
                <c:pt idx="1">
                  <c:v>2013</c:v>
                </c:pt>
                <c:pt idx="2">
                  <c:v>2014</c:v>
                </c:pt>
                <c:pt idx="3">
                  <c:v>2015</c:v>
                </c:pt>
                <c:pt idx="4">
                  <c:v>2016</c:v>
                </c:pt>
                <c:pt idx="5">
                  <c:v>2017</c:v>
                </c:pt>
                <c:pt idx="6">
                  <c:v>2018</c:v>
                </c:pt>
                <c:pt idx="7">
                  <c:v>2019</c:v>
                </c:pt>
                <c:pt idx="8">
                  <c:v>2020</c:v>
                </c:pt>
                <c:pt idx="9">
                  <c:v>2021</c:v>
                </c:pt>
                <c:pt idx="10">
                  <c:v>2022</c:v>
                </c:pt>
                <c:pt idx="11">
                  <c:v>2023</c:v>
                </c:pt>
              </c:numCache>
            </c:numRef>
          </c:cat>
          <c:val>
            <c:numRef>
              <c:f>Sheet1!$C$2:$C$13</c:f>
              <c:numCache>
                <c:formatCode>General</c:formatCode>
                <c:ptCount val="12"/>
              </c:numCache>
            </c:numRef>
          </c:val>
          <c:smooth val="0"/>
          <c:extLst>
            <c:ext xmlns:c16="http://schemas.microsoft.com/office/drawing/2014/chart" uri="{C3380CC4-5D6E-409C-BE32-E72D297353CC}">
              <c16:uniqueId val="{00000001-5C97-4142-900A-BD1010168BDB}"/>
            </c:ext>
          </c:extLst>
        </c:ser>
        <c:ser>
          <c:idx val="2"/>
          <c:order val="2"/>
          <c:tx>
            <c:strRef>
              <c:f>Sheet1!$D$1</c:f>
              <c:strCache>
                <c:ptCount val="1"/>
                <c:pt idx="0">
                  <c:v>Series 3</c:v>
                </c:pt>
              </c:strCache>
            </c:strRef>
          </c:tx>
          <c:spPr>
            <a:ln w="28575" cap="rnd">
              <a:solidFill>
                <a:schemeClr val="accent3"/>
              </a:solidFill>
              <a:round/>
            </a:ln>
            <a:effectLst/>
          </c:spPr>
          <c:marker>
            <c:symbol val="none"/>
          </c:marker>
          <c:cat>
            <c:numRef>
              <c:f>Sheet1!$A$2:$A$13</c:f>
              <c:numCache>
                <c:formatCode>General</c:formatCode>
                <c:ptCount val="12"/>
                <c:pt idx="0">
                  <c:v>2012</c:v>
                </c:pt>
                <c:pt idx="1">
                  <c:v>2013</c:v>
                </c:pt>
                <c:pt idx="2">
                  <c:v>2014</c:v>
                </c:pt>
                <c:pt idx="3">
                  <c:v>2015</c:v>
                </c:pt>
                <c:pt idx="4">
                  <c:v>2016</c:v>
                </c:pt>
                <c:pt idx="5">
                  <c:v>2017</c:v>
                </c:pt>
                <c:pt idx="6">
                  <c:v>2018</c:v>
                </c:pt>
                <c:pt idx="7">
                  <c:v>2019</c:v>
                </c:pt>
                <c:pt idx="8">
                  <c:v>2020</c:v>
                </c:pt>
                <c:pt idx="9">
                  <c:v>2021</c:v>
                </c:pt>
                <c:pt idx="10">
                  <c:v>2022</c:v>
                </c:pt>
                <c:pt idx="11">
                  <c:v>2023</c:v>
                </c:pt>
              </c:numCache>
            </c:numRef>
          </c:cat>
          <c:val>
            <c:numRef>
              <c:f>Sheet1!$D$2:$D$13</c:f>
              <c:numCache>
                <c:formatCode>General</c:formatCode>
                <c:ptCount val="12"/>
              </c:numCache>
            </c:numRef>
          </c:val>
          <c:smooth val="0"/>
          <c:extLst>
            <c:ext xmlns:c16="http://schemas.microsoft.com/office/drawing/2014/chart" uri="{C3380CC4-5D6E-409C-BE32-E72D297353CC}">
              <c16:uniqueId val="{00000002-5C97-4142-900A-BD1010168BDB}"/>
            </c:ext>
          </c:extLst>
        </c:ser>
        <c:dLbls>
          <c:showLegendKey val="0"/>
          <c:showVal val="0"/>
          <c:showCatName val="0"/>
          <c:showSerName val="0"/>
          <c:showPercent val="0"/>
          <c:showBubbleSize val="0"/>
        </c:dLbls>
        <c:smooth val="0"/>
        <c:axId val="1297293183"/>
        <c:axId val="1297295103"/>
      </c:lineChart>
      <c:catAx>
        <c:axId val="1297293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7295103"/>
        <c:crosses val="autoZero"/>
        <c:auto val="1"/>
        <c:lblAlgn val="ctr"/>
        <c:lblOffset val="100"/>
        <c:noMultiLvlLbl val="0"/>
      </c:catAx>
      <c:valAx>
        <c:axId val="1297295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Revenue</a:t>
                </a:r>
                <a:r>
                  <a:rPr lang="en-GB" baseline="0"/>
                  <a:t> in Billion USD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72931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3491</Words>
  <Characters>19901</Characters>
  <Application>Microsoft Office Word</Application>
  <DocSecurity>0</DocSecurity>
  <Lines>165</Lines>
  <Paragraphs>46</Paragraphs>
  <ScaleCrop>false</ScaleCrop>
  <Company/>
  <LinksUpToDate>false</LinksUpToDate>
  <CharactersWithSpaces>23346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Bag Broker - Mihai Toth</dc:creator>
  <cp:keywords/>
  <dc:description/>
  <cp:lastModifiedBy>The Bag Broker - Mihai Toth</cp:lastModifiedBy>
  <cp:revision>5</cp:revision>
  <dcterms:created xsi:type="dcterms:W3CDTF">2024-04-25T12:26:00Z</dcterms:created>
  <dcterms:modified xsi:type="dcterms:W3CDTF">2024-04-25T12:29:00Z</dcterms:modified>
</cp:coreProperties>
</file>