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CFA1C"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708C1559"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4EC94D8D"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6F0B75EC"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164FF8A2"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0F76E4CC"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2D1F7E41" w14:textId="77777777" w:rsidR="00B4782F" w:rsidRPr="004D3AC5" w:rsidRDefault="00B4782F" w:rsidP="004D3AC5">
      <w:pPr>
        <w:spacing w:line="360" w:lineRule="auto"/>
        <w:jc w:val="center"/>
        <w:rPr>
          <w:rFonts w:ascii="Times New Roman" w:eastAsia="Times New Roman" w:hAnsi="Times New Roman" w:cs="Times New Roman"/>
          <w:b/>
          <w:color w:val="000000" w:themeColor="text1"/>
          <w:sz w:val="32"/>
          <w:szCs w:val="32"/>
          <w:lang w:val="en-GB"/>
        </w:rPr>
      </w:pPr>
    </w:p>
    <w:p w14:paraId="6E672E69" w14:textId="77777777" w:rsidR="00EC7FD5"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p>
    <w:p w14:paraId="52BA17E9" w14:textId="5F342473" w:rsidR="00F75D9B"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r w:rsidRPr="004D3AC5">
        <w:rPr>
          <w:rFonts w:ascii="Times New Roman" w:eastAsia="Times New Roman" w:hAnsi="Times New Roman" w:cs="Times New Roman"/>
          <w:b/>
          <w:color w:val="000000" w:themeColor="text1"/>
          <w:sz w:val="32"/>
          <w:szCs w:val="32"/>
          <w:lang w:val="en-GB"/>
        </w:rPr>
        <w:t>MODULE CODE: LCBB6006</w:t>
      </w:r>
    </w:p>
    <w:p w14:paraId="483431FE" w14:textId="3F011274" w:rsidR="00F75D9B" w:rsidRPr="004D3AC5" w:rsidRDefault="00EC7FD5" w:rsidP="004D3AC5">
      <w:pPr>
        <w:spacing w:line="360" w:lineRule="auto"/>
        <w:jc w:val="center"/>
        <w:rPr>
          <w:rFonts w:ascii="Times New Roman" w:eastAsia="Times New Roman" w:hAnsi="Times New Roman" w:cs="Times New Roman"/>
          <w:b/>
          <w:color w:val="000000" w:themeColor="text1"/>
          <w:sz w:val="32"/>
          <w:szCs w:val="32"/>
          <w:lang w:val="en-GB"/>
        </w:rPr>
      </w:pPr>
      <w:r w:rsidRPr="004D3AC5">
        <w:rPr>
          <w:rFonts w:ascii="Times New Roman" w:eastAsia="Times New Roman" w:hAnsi="Times New Roman" w:cs="Times New Roman"/>
          <w:b/>
          <w:color w:val="000000" w:themeColor="text1"/>
          <w:sz w:val="32"/>
          <w:szCs w:val="32"/>
          <w:lang w:val="en-GB"/>
        </w:rPr>
        <w:t>MODULE: PROJECT MANAGEMENT</w:t>
      </w:r>
    </w:p>
    <w:p w14:paraId="2AF85E76" w14:textId="1883D30B" w:rsidR="006E6C1C" w:rsidRDefault="006E6C1C"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b/>
          <w:color w:val="000000" w:themeColor="text1"/>
          <w:sz w:val="32"/>
          <w:szCs w:val="32"/>
          <w:lang w:val="en-GB"/>
        </w:rPr>
        <w:t xml:space="preserve">PROJECT: </w:t>
      </w:r>
      <w:r w:rsidRPr="004D3AC5">
        <w:rPr>
          <w:rFonts w:ascii="Times New Roman" w:eastAsia="Times New Roman" w:hAnsi="Times New Roman" w:cs="Times New Roman"/>
          <w:b/>
          <w:bCs/>
          <w:color w:val="000000" w:themeColor="text1"/>
          <w:sz w:val="32"/>
          <w:szCs w:val="32"/>
          <w:lang w:val="en-GB"/>
        </w:rPr>
        <w:t>BEAUTY WORKSHOP AND TRAINING EVENT</w:t>
      </w:r>
      <w:r w:rsidRPr="004D3AC5">
        <w:rPr>
          <w:rFonts w:ascii="Times New Roman" w:eastAsia="Times New Roman" w:hAnsi="Times New Roman" w:cs="Times New Roman"/>
          <w:color w:val="000000" w:themeColor="text1"/>
          <w:sz w:val="24"/>
          <w:szCs w:val="24"/>
          <w:lang w:val="en-GB"/>
        </w:rPr>
        <w:t xml:space="preserve"> </w:t>
      </w:r>
    </w:p>
    <w:p w14:paraId="3ED43CB8" w14:textId="0EEF8F5F" w:rsidR="00012381" w:rsidRDefault="00012381" w:rsidP="004D3AC5">
      <w:pPr>
        <w:spacing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STUDENT NAME: MIHAELA HERMENEANU</w:t>
      </w:r>
    </w:p>
    <w:p w14:paraId="3B425408" w14:textId="48531971" w:rsidR="00012381" w:rsidRPr="00012381" w:rsidRDefault="00012381" w:rsidP="004D3AC5">
      <w:pPr>
        <w:spacing w:line="360" w:lineRule="auto"/>
        <w:jc w:val="center"/>
        <w:rPr>
          <w:rFonts w:ascii="Times New Roman" w:eastAsia="Times New Roman" w:hAnsi="Times New Roman" w:cs="Times New Roman"/>
          <w:b/>
          <w:bCs/>
          <w:color w:val="000000" w:themeColor="text1"/>
          <w:sz w:val="32"/>
          <w:szCs w:val="32"/>
          <w:lang w:val="en-GB"/>
        </w:rPr>
      </w:pPr>
      <w:r>
        <w:rPr>
          <w:rFonts w:ascii="Times New Roman" w:eastAsia="Times New Roman" w:hAnsi="Times New Roman" w:cs="Times New Roman"/>
          <w:b/>
          <w:bCs/>
          <w:color w:val="000000" w:themeColor="text1"/>
          <w:sz w:val="32"/>
          <w:szCs w:val="32"/>
          <w:lang w:val="en-GB"/>
        </w:rPr>
        <w:t>STUDENT NUMBER :2310013</w:t>
      </w:r>
    </w:p>
    <w:p w14:paraId="55AABA9F" w14:textId="540F0A7E" w:rsidR="00012381" w:rsidRPr="004D3AC5" w:rsidRDefault="00012381" w:rsidP="004D3AC5">
      <w:pPr>
        <w:spacing w:line="360" w:lineRule="auto"/>
        <w:jc w:val="center"/>
        <w:rPr>
          <w:rFonts w:ascii="Times New Roman" w:eastAsia="Times New Roman" w:hAnsi="Times New Roman" w:cs="Times New Roman"/>
          <w:b/>
          <w:color w:val="000000" w:themeColor="text1"/>
          <w:sz w:val="32"/>
          <w:szCs w:val="32"/>
          <w:lang w:val="en-GB"/>
        </w:rPr>
      </w:pPr>
    </w:p>
    <w:p w14:paraId="156EA9C7" w14:textId="77777777" w:rsidR="00F75D9B" w:rsidRPr="004D3AC5" w:rsidRDefault="00F75D9B" w:rsidP="004D3AC5">
      <w:pPr>
        <w:spacing w:line="360" w:lineRule="auto"/>
        <w:jc w:val="both"/>
        <w:rPr>
          <w:rFonts w:ascii="Times New Roman" w:eastAsia="Times New Roman" w:hAnsi="Times New Roman" w:cs="Times New Roman"/>
          <w:color w:val="000000" w:themeColor="text1"/>
          <w:sz w:val="24"/>
          <w:szCs w:val="24"/>
          <w:lang w:val="en-GB"/>
        </w:rPr>
      </w:pPr>
    </w:p>
    <w:p w14:paraId="630A5914" w14:textId="77777777" w:rsidR="00EC7FD5" w:rsidRPr="004D3AC5" w:rsidRDefault="00EC7FD5" w:rsidP="004D3AC5">
      <w:pP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br w:type="page"/>
      </w:r>
    </w:p>
    <w:sdt>
      <w:sdtPr>
        <w:rPr>
          <w:rFonts w:ascii="Times New Roman" w:eastAsia="Arial" w:hAnsi="Times New Roman" w:cs="Times New Roman"/>
          <w:color w:val="000000" w:themeColor="text1"/>
          <w:sz w:val="24"/>
          <w:szCs w:val="24"/>
          <w:lang w:val="en-GB" w:eastAsia="en-IN"/>
        </w:rPr>
        <w:id w:val="-1836373312"/>
        <w:docPartObj>
          <w:docPartGallery w:val="Table of Contents"/>
          <w:docPartUnique/>
        </w:docPartObj>
      </w:sdtPr>
      <w:sdtEndPr>
        <w:rPr>
          <w:b/>
          <w:bCs/>
          <w:noProof/>
        </w:rPr>
      </w:sdtEndPr>
      <w:sdtContent>
        <w:p w14:paraId="375D0D24" w14:textId="6C2B0403" w:rsidR="009B72E2" w:rsidRPr="004D3AC5" w:rsidRDefault="009B72E2" w:rsidP="004D3AC5">
          <w:pPr>
            <w:pStyle w:val="TOCHeading"/>
            <w:spacing w:before="0" w:line="360" w:lineRule="auto"/>
            <w:jc w:val="center"/>
            <w:rPr>
              <w:rFonts w:ascii="Times New Roman" w:hAnsi="Times New Roman" w:cs="Times New Roman"/>
              <w:b/>
              <w:bCs/>
              <w:color w:val="000000" w:themeColor="text1"/>
              <w:sz w:val="28"/>
              <w:szCs w:val="28"/>
              <w:lang w:val="en-GB"/>
            </w:rPr>
          </w:pPr>
          <w:r w:rsidRPr="004D3AC5">
            <w:rPr>
              <w:rFonts w:ascii="Times New Roman" w:hAnsi="Times New Roman" w:cs="Times New Roman"/>
              <w:b/>
              <w:bCs/>
              <w:color w:val="000000" w:themeColor="text1"/>
              <w:sz w:val="28"/>
              <w:szCs w:val="28"/>
              <w:lang w:val="en-GB"/>
            </w:rPr>
            <w:t>Table of Contents</w:t>
          </w:r>
        </w:p>
        <w:p w14:paraId="6CD0733F" w14:textId="77777777" w:rsidR="008F6EBE" w:rsidRPr="008F6EBE" w:rsidRDefault="009B72E2"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r w:rsidRPr="004D3AC5">
            <w:rPr>
              <w:rFonts w:ascii="Times New Roman" w:hAnsi="Times New Roman" w:cs="Times New Roman"/>
              <w:color w:val="000000" w:themeColor="text1"/>
              <w:sz w:val="24"/>
              <w:szCs w:val="24"/>
              <w:lang w:val="en-GB"/>
            </w:rPr>
            <w:fldChar w:fldCharType="begin"/>
          </w:r>
          <w:r w:rsidRPr="004D3AC5">
            <w:rPr>
              <w:rFonts w:ascii="Times New Roman" w:hAnsi="Times New Roman" w:cs="Times New Roman"/>
              <w:color w:val="000000" w:themeColor="text1"/>
              <w:sz w:val="24"/>
              <w:szCs w:val="24"/>
              <w:lang w:val="en-GB"/>
            </w:rPr>
            <w:instrText xml:space="preserve"> TOC \o "1-3" \h \z \u </w:instrText>
          </w:r>
          <w:r w:rsidRPr="004D3AC5">
            <w:rPr>
              <w:rFonts w:ascii="Times New Roman" w:hAnsi="Times New Roman" w:cs="Times New Roman"/>
              <w:color w:val="000000" w:themeColor="text1"/>
              <w:sz w:val="24"/>
              <w:szCs w:val="24"/>
              <w:lang w:val="en-GB"/>
            </w:rPr>
            <w:fldChar w:fldCharType="separate"/>
          </w:r>
          <w:hyperlink w:anchor="_Toc211260639" w:history="1">
            <w:r w:rsidR="008F6EBE" w:rsidRPr="008F6EBE">
              <w:rPr>
                <w:rStyle w:val="Hyperlink"/>
                <w:rFonts w:ascii="Times New Roman" w:hAnsi="Times New Roman" w:cs="Times New Roman"/>
                <w:noProof/>
                <w:sz w:val="24"/>
                <w:lang w:val="en-GB"/>
              </w:rPr>
              <w:t>1. Introduction</w:t>
            </w:r>
            <w:r w:rsidR="008F6EBE" w:rsidRPr="008F6EBE">
              <w:rPr>
                <w:rFonts w:ascii="Times New Roman" w:hAnsi="Times New Roman" w:cs="Times New Roman"/>
                <w:noProof/>
                <w:webHidden/>
                <w:sz w:val="24"/>
              </w:rPr>
              <w:tab/>
            </w:r>
            <w:r w:rsidR="008F6EBE" w:rsidRPr="008F6EBE">
              <w:rPr>
                <w:rFonts w:ascii="Times New Roman" w:hAnsi="Times New Roman" w:cs="Times New Roman"/>
                <w:noProof/>
                <w:webHidden/>
                <w:sz w:val="24"/>
              </w:rPr>
              <w:fldChar w:fldCharType="begin"/>
            </w:r>
            <w:r w:rsidR="008F6EBE" w:rsidRPr="008F6EBE">
              <w:rPr>
                <w:rFonts w:ascii="Times New Roman" w:hAnsi="Times New Roman" w:cs="Times New Roman"/>
                <w:noProof/>
                <w:webHidden/>
                <w:sz w:val="24"/>
              </w:rPr>
              <w:instrText xml:space="preserve"> PAGEREF _Toc211260639 \h </w:instrText>
            </w:r>
            <w:r w:rsidR="008F6EBE" w:rsidRPr="008F6EBE">
              <w:rPr>
                <w:rFonts w:ascii="Times New Roman" w:hAnsi="Times New Roman" w:cs="Times New Roman"/>
                <w:noProof/>
                <w:webHidden/>
                <w:sz w:val="24"/>
              </w:rPr>
            </w:r>
            <w:r w:rsidR="008F6EBE" w:rsidRPr="008F6EBE">
              <w:rPr>
                <w:rFonts w:ascii="Times New Roman" w:hAnsi="Times New Roman" w:cs="Times New Roman"/>
                <w:noProof/>
                <w:webHidden/>
                <w:sz w:val="24"/>
              </w:rPr>
              <w:fldChar w:fldCharType="separate"/>
            </w:r>
            <w:r w:rsidR="008F6EBE" w:rsidRPr="008F6EBE">
              <w:rPr>
                <w:rFonts w:ascii="Times New Roman" w:hAnsi="Times New Roman" w:cs="Times New Roman"/>
                <w:noProof/>
                <w:webHidden/>
                <w:sz w:val="24"/>
              </w:rPr>
              <w:t>2</w:t>
            </w:r>
            <w:r w:rsidR="008F6EBE" w:rsidRPr="008F6EBE">
              <w:rPr>
                <w:rFonts w:ascii="Times New Roman" w:hAnsi="Times New Roman" w:cs="Times New Roman"/>
                <w:noProof/>
                <w:webHidden/>
                <w:sz w:val="24"/>
              </w:rPr>
              <w:fldChar w:fldCharType="end"/>
            </w:r>
          </w:hyperlink>
        </w:p>
        <w:p w14:paraId="13E22CB4"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0" w:history="1">
            <w:r w:rsidRPr="008F6EBE">
              <w:rPr>
                <w:rStyle w:val="Hyperlink"/>
                <w:rFonts w:ascii="Times New Roman" w:hAnsi="Times New Roman" w:cs="Times New Roman"/>
                <w:noProof/>
                <w:sz w:val="24"/>
                <w:lang w:val="en-GB"/>
              </w:rPr>
              <w:t>2. Aim, Objectives, Scope of the project</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_Toc211260640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2</w:t>
            </w:r>
            <w:r w:rsidRPr="008F6EBE">
              <w:rPr>
                <w:rFonts w:ascii="Times New Roman" w:hAnsi="Times New Roman" w:cs="Times New Roman"/>
                <w:noProof/>
                <w:webHidden/>
                <w:sz w:val="24"/>
              </w:rPr>
              <w:fldChar w:fldCharType="end"/>
            </w:r>
          </w:hyperlink>
        </w:p>
        <w:p w14:paraId="66D9AFC2"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1" w:history="1">
            <w:r w:rsidRPr="008F6EBE">
              <w:rPr>
                <w:rStyle w:val="Hyperlink"/>
                <w:rFonts w:ascii="Times New Roman" w:hAnsi="Times New Roman" w:cs="Times New Roman"/>
                <w:noProof/>
                <w:sz w:val="24"/>
                <w:lang w:val="en-GB"/>
              </w:rPr>
              <w:t>3. Scope</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_Toc211260641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2</w:t>
            </w:r>
            <w:r w:rsidRPr="008F6EBE">
              <w:rPr>
                <w:rFonts w:ascii="Times New Roman" w:hAnsi="Times New Roman" w:cs="Times New Roman"/>
                <w:noProof/>
                <w:webHidden/>
                <w:sz w:val="24"/>
              </w:rPr>
              <w:fldChar w:fldCharType="end"/>
            </w:r>
          </w:hyperlink>
        </w:p>
        <w:p w14:paraId="4838926C"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2" w:history="1">
            <w:r w:rsidRPr="008F6EBE">
              <w:rPr>
                <w:rStyle w:val="Hyperlink"/>
                <w:rFonts w:ascii="Times New Roman" w:hAnsi="Times New Roman" w:cs="Times New Roman"/>
                <w:noProof/>
                <w:sz w:val="24"/>
                <w:lang w:val="en-GB"/>
              </w:rPr>
              <w:t>4. Main Body</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_Toc211260642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3</w:t>
            </w:r>
            <w:r w:rsidRPr="008F6EBE">
              <w:rPr>
                <w:rFonts w:ascii="Times New Roman" w:hAnsi="Times New Roman" w:cs="Times New Roman"/>
                <w:noProof/>
                <w:webHidden/>
                <w:sz w:val="24"/>
              </w:rPr>
              <w:fldChar w:fldCharType="end"/>
            </w:r>
          </w:hyperlink>
        </w:p>
        <w:p w14:paraId="3D56171F"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3" w:history="1">
            <w:r w:rsidRPr="008F6EBE">
              <w:rPr>
                <w:rStyle w:val="Hyperlink"/>
                <w:rFonts w:ascii="Times New Roman" w:hAnsi="Times New Roman" w:cs="Times New Roman"/>
                <w:noProof/>
                <w:sz w:val="24"/>
                <w:lang w:val="en-GB"/>
              </w:rPr>
              <w:t>4.1 Identification of stakeholders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_Toc211260643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3</w:t>
            </w:r>
            <w:r w:rsidRPr="008F6EBE">
              <w:rPr>
                <w:rFonts w:ascii="Times New Roman" w:hAnsi="Times New Roman" w:cs="Times New Roman"/>
                <w:noProof/>
                <w:webHidden/>
                <w:sz w:val="24"/>
              </w:rPr>
              <w:fldChar w:fldCharType="end"/>
            </w:r>
          </w:hyperlink>
        </w:p>
        <w:p w14:paraId="2AC1CA98"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4" w:history="1">
            <w:r w:rsidRPr="008F6EBE">
              <w:rPr>
                <w:rStyle w:val="Hyperlink"/>
                <w:rFonts w:ascii="Times New Roman" w:hAnsi="Times New Roman" w:cs="Times New Roman"/>
                <w:noProof/>
                <w:sz w:val="24"/>
                <w:lang w:val="en-GB"/>
              </w:rPr>
              <w:t>4.2 Project Deliverables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_Toc211260644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3</w:t>
            </w:r>
            <w:r w:rsidRPr="008F6EBE">
              <w:rPr>
                <w:rFonts w:ascii="Times New Roman" w:hAnsi="Times New Roman" w:cs="Times New Roman"/>
                <w:noProof/>
                <w:webHidden/>
                <w:sz w:val="24"/>
              </w:rPr>
              <w:fldChar w:fldCharType="end"/>
            </w:r>
          </w:hyperlink>
        </w:p>
        <w:p w14:paraId="6785E3E3"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5" w:history="1">
            <w:r w:rsidRPr="008F6EBE">
              <w:rPr>
                <w:rStyle w:val="Hyperlink"/>
                <w:rFonts w:ascii="Times New Roman" w:hAnsi="Times New Roman" w:cs="Times New Roman"/>
                <w:noProof/>
                <w:sz w:val="24"/>
                <w:lang w:val="en-GB"/>
              </w:rPr>
              <w:t>5. Developing a communication plan</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_Toc211260645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4</w:t>
            </w:r>
            <w:r w:rsidRPr="008F6EBE">
              <w:rPr>
                <w:rFonts w:ascii="Times New Roman" w:hAnsi="Times New Roman" w:cs="Times New Roman"/>
                <w:noProof/>
                <w:webHidden/>
                <w:sz w:val="24"/>
              </w:rPr>
              <w:fldChar w:fldCharType="end"/>
            </w:r>
          </w:hyperlink>
        </w:p>
        <w:p w14:paraId="16845DEC"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6" w:history="1">
            <w:r w:rsidRPr="008F6EBE">
              <w:rPr>
                <w:rStyle w:val="Hyperlink"/>
                <w:rFonts w:ascii="Times New Roman" w:hAnsi="Times New Roman" w:cs="Times New Roman"/>
                <w:noProof/>
                <w:sz w:val="24"/>
                <w:lang w:val="en-GB"/>
              </w:rPr>
              <w:t>5.1 Communication methods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_Toc211260646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4</w:t>
            </w:r>
            <w:r w:rsidRPr="008F6EBE">
              <w:rPr>
                <w:rFonts w:ascii="Times New Roman" w:hAnsi="Times New Roman" w:cs="Times New Roman"/>
                <w:noProof/>
                <w:webHidden/>
                <w:sz w:val="24"/>
              </w:rPr>
              <w:fldChar w:fldCharType="end"/>
            </w:r>
          </w:hyperlink>
        </w:p>
        <w:p w14:paraId="6F13F422"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7" w:history="1">
            <w:r w:rsidRPr="008F6EBE">
              <w:rPr>
                <w:rStyle w:val="Hyperlink"/>
                <w:rFonts w:ascii="Times New Roman" w:hAnsi="Times New Roman" w:cs="Times New Roman"/>
                <w:noProof/>
                <w:sz w:val="24"/>
                <w:lang w:val="en-GB"/>
              </w:rPr>
              <w:t>5.2 Communication Plans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_Toc211260647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4</w:t>
            </w:r>
            <w:r w:rsidRPr="008F6EBE">
              <w:rPr>
                <w:rFonts w:ascii="Times New Roman" w:hAnsi="Times New Roman" w:cs="Times New Roman"/>
                <w:noProof/>
                <w:webHidden/>
                <w:sz w:val="24"/>
              </w:rPr>
              <w:fldChar w:fldCharType="end"/>
            </w:r>
          </w:hyperlink>
        </w:p>
        <w:p w14:paraId="6B89AE8A"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8" w:history="1">
            <w:r w:rsidRPr="008F6EBE">
              <w:rPr>
                <w:rStyle w:val="Hyperlink"/>
                <w:rFonts w:ascii="Times New Roman" w:hAnsi="Times New Roman" w:cs="Times New Roman"/>
                <w:noProof/>
                <w:sz w:val="24"/>
                <w:lang w:val="en-GB"/>
              </w:rPr>
              <w:t>6. Identification of the activities required to deliver the output</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_Toc211260648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5</w:t>
            </w:r>
            <w:r w:rsidRPr="008F6EBE">
              <w:rPr>
                <w:rFonts w:ascii="Times New Roman" w:hAnsi="Times New Roman" w:cs="Times New Roman"/>
                <w:noProof/>
                <w:webHidden/>
                <w:sz w:val="24"/>
              </w:rPr>
              <w:fldChar w:fldCharType="end"/>
            </w:r>
          </w:hyperlink>
        </w:p>
        <w:p w14:paraId="1BF9DD72"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49" w:history="1">
            <w:r w:rsidRPr="008F6EBE">
              <w:rPr>
                <w:rStyle w:val="Hyperlink"/>
                <w:rFonts w:ascii="Times New Roman" w:hAnsi="Times New Roman" w:cs="Times New Roman"/>
                <w:noProof/>
                <w:sz w:val="24"/>
                <w:lang w:val="en-GB"/>
              </w:rPr>
              <w:t>6.1 Project Activities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_Toc211260649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5</w:t>
            </w:r>
            <w:r w:rsidRPr="008F6EBE">
              <w:rPr>
                <w:rFonts w:ascii="Times New Roman" w:hAnsi="Times New Roman" w:cs="Times New Roman"/>
                <w:noProof/>
                <w:webHidden/>
                <w:sz w:val="24"/>
              </w:rPr>
              <w:fldChar w:fldCharType="end"/>
            </w:r>
          </w:hyperlink>
        </w:p>
        <w:p w14:paraId="5BB114E3"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0" w:history="1">
            <w:r w:rsidRPr="008F6EBE">
              <w:rPr>
                <w:rStyle w:val="Hyperlink"/>
                <w:rFonts w:ascii="Times New Roman" w:hAnsi="Times New Roman" w:cs="Times New Roman"/>
                <w:noProof/>
                <w:sz w:val="24"/>
                <w:lang w:val="en-GB"/>
              </w:rPr>
              <w:t>6.2 Work Breakdown Structure</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_Toc211260650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6</w:t>
            </w:r>
            <w:r w:rsidRPr="008F6EBE">
              <w:rPr>
                <w:rFonts w:ascii="Times New Roman" w:hAnsi="Times New Roman" w:cs="Times New Roman"/>
                <w:noProof/>
                <w:webHidden/>
                <w:sz w:val="24"/>
              </w:rPr>
              <w:fldChar w:fldCharType="end"/>
            </w:r>
          </w:hyperlink>
        </w:p>
        <w:p w14:paraId="337B2454"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1" w:history="1">
            <w:r w:rsidRPr="008F6EBE">
              <w:rPr>
                <w:rStyle w:val="Hyperlink"/>
                <w:rFonts w:ascii="Times New Roman" w:hAnsi="Times New Roman" w:cs="Times New Roman"/>
                <w:noProof/>
                <w:sz w:val="24"/>
                <w:lang w:val="en-GB"/>
              </w:rPr>
              <w:t>6.3 Product Breakdown Structure</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_Toc211260651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8</w:t>
            </w:r>
            <w:r w:rsidRPr="008F6EBE">
              <w:rPr>
                <w:rFonts w:ascii="Times New Roman" w:hAnsi="Times New Roman" w:cs="Times New Roman"/>
                <w:noProof/>
                <w:webHidden/>
                <w:sz w:val="24"/>
              </w:rPr>
              <w:fldChar w:fldCharType="end"/>
            </w:r>
          </w:hyperlink>
        </w:p>
        <w:p w14:paraId="162D7885" w14:textId="77777777" w:rsidR="008F6EBE" w:rsidRPr="008F6EBE" w:rsidRDefault="008F6EBE" w:rsidP="008F6EBE">
          <w:pPr>
            <w:pStyle w:val="TOC2"/>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2" w:history="1">
            <w:r w:rsidRPr="008F6EBE">
              <w:rPr>
                <w:rStyle w:val="Hyperlink"/>
                <w:rFonts w:ascii="Times New Roman" w:hAnsi="Times New Roman" w:cs="Times New Roman"/>
                <w:noProof/>
                <w:sz w:val="24"/>
                <w:lang w:val="en-GB"/>
              </w:rPr>
              <w:t>6.4 Organisation Breakdown Structure</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_Toc211260652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8</w:t>
            </w:r>
            <w:r w:rsidRPr="008F6EBE">
              <w:rPr>
                <w:rFonts w:ascii="Times New Roman" w:hAnsi="Times New Roman" w:cs="Times New Roman"/>
                <w:noProof/>
                <w:webHidden/>
                <w:sz w:val="24"/>
              </w:rPr>
              <w:fldChar w:fldCharType="end"/>
            </w:r>
          </w:hyperlink>
        </w:p>
        <w:p w14:paraId="69753D29"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3" w:history="1">
            <w:r w:rsidRPr="008F6EBE">
              <w:rPr>
                <w:rStyle w:val="Hyperlink"/>
                <w:rFonts w:ascii="Times New Roman" w:hAnsi="Times New Roman" w:cs="Times New Roman"/>
                <w:noProof/>
                <w:sz w:val="24"/>
                <w:lang w:val="en-GB"/>
              </w:rPr>
              <w:t>7. Milestones and Timelines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_Toc211260653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9</w:t>
            </w:r>
            <w:r w:rsidRPr="008F6EBE">
              <w:rPr>
                <w:rFonts w:ascii="Times New Roman" w:hAnsi="Times New Roman" w:cs="Times New Roman"/>
                <w:noProof/>
                <w:webHidden/>
                <w:sz w:val="24"/>
              </w:rPr>
              <w:fldChar w:fldCharType="end"/>
            </w:r>
          </w:hyperlink>
        </w:p>
        <w:p w14:paraId="51B84C99"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4" w:history="1">
            <w:r w:rsidRPr="008F6EBE">
              <w:rPr>
                <w:rStyle w:val="Hyperlink"/>
                <w:rFonts w:ascii="Times New Roman" w:hAnsi="Times New Roman" w:cs="Times New Roman"/>
                <w:noProof/>
                <w:sz w:val="24"/>
                <w:lang w:val="en-GB"/>
              </w:rPr>
              <w:t>8. Responsibility Assignment Matrix (RACI Model)</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_Toc211260654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10</w:t>
            </w:r>
            <w:r w:rsidRPr="008F6EBE">
              <w:rPr>
                <w:rFonts w:ascii="Times New Roman" w:hAnsi="Times New Roman" w:cs="Times New Roman"/>
                <w:noProof/>
                <w:webHidden/>
                <w:sz w:val="24"/>
              </w:rPr>
              <w:fldChar w:fldCharType="end"/>
            </w:r>
          </w:hyperlink>
        </w:p>
        <w:p w14:paraId="265F6958"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5" w:history="1">
            <w:r w:rsidRPr="008F6EBE">
              <w:rPr>
                <w:rStyle w:val="Hyperlink"/>
                <w:rFonts w:ascii="Times New Roman" w:hAnsi="Times New Roman" w:cs="Times New Roman"/>
                <w:noProof/>
                <w:sz w:val="24"/>
                <w:lang w:val="en-GB"/>
              </w:rPr>
              <w:t>9. Risk and Quality Management</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_Toc211260655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11</w:t>
            </w:r>
            <w:r w:rsidRPr="008F6EBE">
              <w:rPr>
                <w:rFonts w:ascii="Times New Roman" w:hAnsi="Times New Roman" w:cs="Times New Roman"/>
                <w:noProof/>
                <w:webHidden/>
                <w:sz w:val="24"/>
              </w:rPr>
              <w:fldChar w:fldCharType="end"/>
            </w:r>
          </w:hyperlink>
        </w:p>
        <w:p w14:paraId="35590DB1"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6" w:history="1">
            <w:r w:rsidRPr="008F6EBE">
              <w:rPr>
                <w:rStyle w:val="Hyperlink"/>
                <w:rFonts w:ascii="Times New Roman" w:hAnsi="Times New Roman" w:cs="Times New Roman"/>
                <w:noProof/>
                <w:sz w:val="24"/>
                <w:lang w:val="en-GB"/>
              </w:rPr>
              <w:t>10. Conclusion</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_Toc211260656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12</w:t>
            </w:r>
            <w:r w:rsidRPr="008F6EBE">
              <w:rPr>
                <w:rFonts w:ascii="Times New Roman" w:hAnsi="Times New Roman" w:cs="Times New Roman"/>
                <w:noProof/>
                <w:webHidden/>
                <w:sz w:val="24"/>
              </w:rPr>
              <w:fldChar w:fldCharType="end"/>
            </w:r>
          </w:hyperlink>
        </w:p>
        <w:p w14:paraId="346F0609" w14:textId="77777777" w:rsidR="008F6EBE" w:rsidRPr="008F6EBE" w:rsidRDefault="008F6EBE" w:rsidP="008F6EBE">
          <w:pPr>
            <w:pStyle w:val="TOC1"/>
            <w:tabs>
              <w:tab w:val="right" w:leader="dot" w:pos="9017"/>
            </w:tabs>
            <w:spacing w:after="0" w:line="360" w:lineRule="auto"/>
            <w:jc w:val="both"/>
            <w:rPr>
              <w:rFonts w:ascii="Times New Roman" w:eastAsiaTheme="minorEastAsia" w:hAnsi="Times New Roman" w:cs="Times New Roman"/>
              <w:noProof/>
              <w:sz w:val="24"/>
              <w:lang w:val="en-IN"/>
            </w:rPr>
          </w:pPr>
          <w:hyperlink w:anchor="_Toc211260657" w:history="1">
            <w:r w:rsidRPr="008F6EBE">
              <w:rPr>
                <w:rStyle w:val="Hyperlink"/>
                <w:rFonts w:ascii="Times New Roman" w:hAnsi="Times New Roman" w:cs="Times New Roman"/>
                <w:noProof/>
                <w:sz w:val="24"/>
                <w:lang w:val="en-GB"/>
              </w:rPr>
              <w:t>References</w:t>
            </w:r>
            <w:r w:rsidRPr="008F6EBE">
              <w:rPr>
                <w:rFonts w:ascii="Times New Roman" w:hAnsi="Times New Roman" w:cs="Times New Roman"/>
                <w:noProof/>
                <w:webHidden/>
                <w:sz w:val="24"/>
              </w:rPr>
              <w:tab/>
            </w:r>
            <w:r w:rsidRPr="008F6EBE">
              <w:rPr>
                <w:rFonts w:ascii="Times New Roman" w:hAnsi="Times New Roman" w:cs="Times New Roman"/>
                <w:noProof/>
                <w:webHidden/>
                <w:sz w:val="24"/>
              </w:rPr>
              <w:fldChar w:fldCharType="begin"/>
            </w:r>
            <w:r w:rsidRPr="008F6EBE">
              <w:rPr>
                <w:rFonts w:ascii="Times New Roman" w:hAnsi="Times New Roman" w:cs="Times New Roman"/>
                <w:noProof/>
                <w:webHidden/>
                <w:sz w:val="24"/>
              </w:rPr>
              <w:instrText xml:space="preserve"> PAGEREF _Toc211260657 \h </w:instrText>
            </w:r>
            <w:r w:rsidRPr="008F6EBE">
              <w:rPr>
                <w:rFonts w:ascii="Times New Roman" w:hAnsi="Times New Roman" w:cs="Times New Roman"/>
                <w:noProof/>
                <w:webHidden/>
                <w:sz w:val="24"/>
              </w:rPr>
            </w:r>
            <w:r w:rsidRPr="008F6EBE">
              <w:rPr>
                <w:rFonts w:ascii="Times New Roman" w:hAnsi="Times New Roman" w:cs="Times New Roman"/>
                <w:noProof/>
                <w:webHidden/>
                <w:sz w:val="24"/>
              </w:rPr>
              <w:fldChar w:fldCharType="separate"/>
            </w:r>
            <w:r w:rsidRPr="008F6EBE">
              <w:rPr>
                <w:rFonts w:ascii="Times New Roman" w:hAnsi="Times New Roman" w:cs="Times New Roman"/>
                <w:noProof/>
                <w:webHidden/>
                <w:sz w:val="24"/>
              </w:rPr>
              <w:t>13</w:t>
            </w:r>
            <w:r w:rsidRPr="008F6EBE">
              <w:rPr>
                <w:rFonts w:ascii="Times New Roman" w:hAnsi="Times New Roman" w:cs="Times New Roman"/>
                <w:noProof/>
                <w:webHidden/>
                <w:sz w:val="24"/>
              </w:rPr>
              <w:fldChar w:fldCharType="end"/>
            </w:r>
          </w:hyperlink>
        </w:p>
        <w:p w14:paraId="07CDEBC8" w14:textId="7576DDE1" w:rsidR="009B72E2" w:rsidRPr="004D3AC5" w:rsidRDefault="009B72E2" w:rsidP="004D3AC5">
          <w:pPr>
            <w:spacing w:line="360" w:lineRule="auto"/>
            <w:rPr>
              <w:rFonts w:ascii="Times New Roman" w:hAnsi="Times New Roman" w:cs="Times New Roman"/>
              <w:color w:val="000000" w:themeColor="text1"/>
              <w:sz w:val="24"/>
              <w:szCs w:val="24"/>
              <w:lang w:val="en-GB"/>
            </w:rPr>
          </w:pPr>
          <w:r w:rsidRPr="004D3AC5">
            <w:rPr>
              <w:rFonts w:ascii="Times New Roman" w:hAnsi="Times New Roman" w:cs="Times New Roman"/>
              <w:b/>
              <w:bCs/>
              <w:noProof/>
              <w:color w:val="000000" w:themeColor="text1"/>
              <w:sz w:val="24"/>
              <w:szCs w:val="24"/>
              <w:lang w:val="en-GB"/>
            </w:rPr>
            <w:fldChar w:fldCharType="end"/>
          </w:r>
        </w:p>
      </w:sdtContent>
    </w:sdt>
    <w:p w14:paraId="5C49D703" w14:textId="77777777" w:rsidR="009B72E2" w:rsidRPr="004D3AC5" w:rsidRDefault="009B72E2" w:rsidP="004D3AC5">
      <w:pPr>
        <w:pStyle w:val="Heading1"/>
        <w:spacing w:before="0" w:after="0"/>
        <w:rPr>
          <w:rFonts w:cs="Times New Roman"/>
          <w:color w:val="000000" w:themeColor="text1"/>
          <w:lang w:val="en-GB"/>
        </w:rPr>
      </w:pPr>
    </w:p>
    <w:p w14:paraId="6979F278" w14:textId="77777777" w:rsidR="009B72E2" w:rsidRPr="004D3AC5" w:rsidRDefault="009B72E2" w:rsidP="004D3AC5">
      <w:pPr>
        <w:rPr>
          <w:rFonts w:ascii="Times New Roman" w:hAnsi="Times New Roman" w:cs="Times New Roman"/>
          <w:b/>
          <w:color w:val="000000" w:themeColor="text1"/>
          <w:sz w:val="28"/>
          <w:szCs w:val="40"/>
          <w:lang w:val="en-GB"/>
        </w:rPr>
      </w:pPr>
      <w:r w:rsidRPr="004D3AC5">
        <w:rPr>
          <w:rFonts w:ascii="Times New Roman" w:hAnsi="Times New Roman" w:cs="Times New Roman"/>
          <w:color w:val="000000" w:themeColor="text1"/>
          <w:lang w:val="en-GB"/>
        </w:rPr>
        <w:br w:type="page"/>
      </w:r>
    </w:p>
    <w:p w14:paraId="5173FC3A" w14:textId="259F407E" w:rsidR="00F75D9B" w:rsidRPr="004D3AC5" w:rsidRDefault="00F632C5" w:rsidP="004D3AC5">
      <w:pPr>
        <w:pStyle w:val="Heading1"/>
        <w:spacing w:before="0" w:after="0"/>
        <w:rPr>
          <w:rFonts w:cs="Times New Roman"/>
          <w:color w:val="000000" w:themeColor="text1"/>
          <w:lang w:val="en-GB"/>
        </w:rPr>
      </w:pPr>
      <w:bookmarkStart w:id="0" w:name="_Toc211260639"/>
      <w:r w:rsidRPr="004D3AC5">
        <w:rPr>
          <w:rFonts w:cs="Times New Roman"/>
          <w:color w:val="000000" w:themeColor="text1"/>
          <w:lang w:val="en-GB"/>
        </w:rPr>
        <w:lastRenderedPageBreak/>
        <w:t>1. Introduction</w:t>
      </w:r>
      <w:bookmarkEnd w:id="0"/>
      <w:r w:rsidRPr="004D3AC5">
        <w:rPr>
          <w:rFonts w:cs="Times New Roman"/>
          <w:color w:val="000000" w:themeColor="text1"/>
          <w:lang w:val="en-GB"/>
        </w:rPr>
        <w:t xml:space="preserve"> </w:t>
      </w:r>
    </w:p>
    <w:p w14:paraId="69A01B1A"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project is focused on delivering a one-day Beauty Workshop and Training Event in the UK, targeting aspiring beauticians, salon professionals, and those who would like to improve their grooming and beauty skills. It will be a practical learning day with demonstrations with products, certified trainers and connections with beauty brands. There will be sessions on skincare, hair styling, make-up artistry, and sustainable practices in the beauty sector. This project will assist in providing a learning opportunity with modern and ethical practices and help in developing the participants' professional beauty skills. The workshop will be held at a popular conference venue in London, and the aim is to have 100 participants. This project provides a unique opportunity to provide not only skill development but also brand recognition in local cosmetic companies and training centres. The project is seeking to merge educational and commercial goals while bringing to life the beauty education to professional practice as part of the growing wellness and personal care product industry.</w:t>
      </w:r>
    </w:p>
    <w:p w14:paraId="3E3CB313" w14:textId="77777777" w:rsidR="00F75D9B" w:rsidRPr="004D3AC5" w:rsidRDefault="00F632C5" w:rsidP="004D3AC5">
      <w:pPr>
        <w:pStyle w:val="Heading1"/>
        <w:spacing w:before="0" w:after="0"/>
        <w:rPr>
          <w:rFonts w:cs="Times New Roman"/>
          <w:color w:val="000000" w:themeColor="text1"/>
          <w:lang w:val="en-GB"/>
        </w:rPr>
      </w:pPr>
      <w:bookmarkStart w:id="1" w:name="_Toc211260640"/>
      <w:r w:rsidRPr="004D3AC5">
        <w:rPr>
          <w:rFonts w:cs="Times New Roman"/>
          <w:color w:val="000000" w:themeColor="text1"/>
          <w:lang w:val="en-GB"/>
        </w:rPr>
        <w:t>2. Aim, Objectives, Scope of the project</w:t>
      </w:r>
      <w:bookmarkEnd w:id="1"/>
      <w:r w:rsidRPr="004D3AC5">
        <w:rPr>
          <w:rFonts w:cs="Times New Roman"/>
          <w:color w:val="000000" w:themeColor="text1"/>
          <w:lang w:val="en-GB"/>
        </w:rPr>
        <w:t xml:space="preserve"> </w:t>
      </w:r>
    </w:p>
    <w:p w14:paraId="39AEB8B1" w14:textId="77777777" w:rsidR="00F75D9B" w:rsidRPr="004D3AC5" w:rsidRDefault="00F632C5" w:rsidP="004D3AC5">
      <w:pPr>
        <w:spacing w:line="360" w:lineRule="auto"/>
        <w:jc w:val="both"/>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Aim</w:t>
      </w:r>
    </w:p>
    <w:p w14:paraId="7EF04181" w14:textId="77777777" w:rsidR="00F75D9B" w:rsidRPr="004D3AC5" w:rsidRDefault="00F632C5" w:rsidP="004D3AC5">
      <w:pPr>
        <w:spacing w:line="360" w:lineRule="auto"/>
        <w:jc w:val="both"/>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main aim of the event is to design and deliver a successful “Beauty Workshop and Training Event”. This event showcases professional development, promotes sustainable beauty, and encourages collaboration between beauty professionals and beauty brands across the UK.</w:t>
      </w:r>
    </w:p>
    <w:p w14:paraId="620DDE95" w14:textId="77777777" w:rsidR="00F75D9B" w:rsidRPr="004D3AC5" w:rsidRDefault="00F632C5" w:rsidP="004D3AC5">
      <w:pPr>
        <w:spacing w:line="360" w:lineRule="auto"/>
        <w:jc w:val="both"/>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Objectives</w:t>
      </w:r>
    </w:p>
    <w:p w14:paraId="4920E98C" w14:textId="77777777" w:rsidR="00F75D9B" w:rsidRPr="004D3AC5" w:rsidRDefault="00F632C5" w:rsidP="004D3AC5">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To host a one-day beauty workshop which has at least 100 participants by March 2026.</w:t>
      </w:r>
    </w:p>
    <w:p w14:paraId="0EAC7D86" w14:textId="77777777" w:rsidR="00F75D9B" w:rsidRPr="004D3AC5" w:rsidRDefault="00F632C5" w:rsidP="004D3AC5">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To provide at least four professional training sessions on hair, skin and make-up artistry facilitated by qualified professionals.</w:t>
      </w:r>
    </w:p>
    <w:p w14:paraId="0A58331B" w14:textId="77777777" w:rsidR="00F75D9B" w:rsidRPr="004D3AC5" w:rsidRDefault="00F632C5" w:rsidP="004D3AC5">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To fund five top beauty brands as a sponsor or exhibitor.</w:t>
      </w:r>
    </w:p>
    <w:p w14:paraId="74AD59D6" w14:textId="77777777" w:rsidR="00F75D9B" w:rsidRPr="004D3AC5" w:rsidRDefault="00F632C5" w:rsidP="004D3AC5">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To ensure the event takes place within the allocated £25,000 budget, whilst attaining high levels of participant satisfaction.</w:t>
      </w:r>
    </w:p>
    <w:p w14:paraId="2A0596BB" w14:textId="5584E28B" w:rsidR="00F75D9B" w:rsidRPr="004D3AC5" w:rsidRDefault="00F632C5" w:rsidP="004D3AC5">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To promote sustainable and ethical beauty practices throughout the event.</w:t>
      </w:r>
    </w:p>
    <w:p w14:paraId="337447D2" w14:textId="77777777" w:rsidR="00F75D9B" w:rsidRPr="004D3AC5" w:rsidRDefault="00F632C5" w:rsidP="004D3AC5">
      <w:pPr>
        <w:pStyle w:val="Heading1"/>
        <w:spacing w:before="0" w:after="0"/>
        <w:rPr>
          <w:rFonts w:cs="Times New Roman"/>
          <w:color w:val="000000" w:themeColor="text1"/>
          <w:lang w:val="en-GB"/>
        </w:rPr>
      </w:pPr>
      <w:bookmarkStart w:id="2" w:name="_Toc211260641"/>
      <w:r w:rsidRPr="004D3AC5">
        <w:rPr>
          <w:rFonts w:cs="Times New Roman"/>
          <w:color w:val="000000" w:themeColor="text1"/>
          <w:lang w:val="en-GB"/>
        </w:rPr>
        <w:t>3. Scope</w:t>
      </w:r>
      <w:bookmarkEnd w:id="2"/>
      <w:r w:rsidRPr="004D3AC5">
        <w:rPr>
          <w:rFonts w:cs="Times New Roman"/>
          <w:color w:val="000000" w:themeColor="text1"/>
          <w:lang w:val="en-GB"/>
        </w:rPr>
        <w:t xml:space="preserve"> </w:t>
      </w:r>
    </w:p>
    <w:p w14:paraId="0EF40C7F" w14:textId="77777777" w:rsidR="00F75D9B" w:rsidRPr="004D3AC5" w:rsidRDefault="00F632C5" w:rsidP="004D3AC5">
      <w:pPr>
        <w:spacing w:line="360" w:lineRule="auto"/>
        <w:jc w:val="both"/>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The project scope consists of planning, new venue selection, recruiting trainers, engaging sponsors, executing marketing campaigns, and managing the event on the day of the event. The Project scope covers all pre-event, event-day, and post-event details such as registering participants, logistics, participant feedback, and financial reporting the day after the event </w:t>
      </w:r>
      <w:r w:rsidRPr="004D3AC5">
        <w:rPr>
          <w:rFonts w:ascii="Times New Roman" w:eastAsia="Times New Roman" w:hAnsi="Times New Roman" w:cs="Times New Roman"/>
          <w:color w:val="000000" w:themeColor="text1"/>
          <w:sz w:val="24"/>
          <w:szCs w:val="24"/>
          <w:lang w:val="en-GB"/>
        </w:rPr>
        <w:lastRenderedPageBreak/>
        <w:t xml:space="preserve">(Nhani </w:t>
      </w:r>
      <w:r w:rsidRPr="004D3AC5">
        <w:rPr>
          <w:rFonts w:ascii="Times New Roman" w:eastAsia="Times New Roman" w:hAnsi="Times New Roman" w:cs="Times New Roman"/>
          <w:i/>
          <w:color w:val="000000" w:themeColor="text1"/>
          <w:sz w:val="24"/>
          <w:szCs w:val="24"/>
          <w:lang w:val="en-GB"/>
        </w:rPr>
        <w:t xml:space="preserve">et al., </w:t>
      </w:r>
      <w:r w:rsidRPr="004D3AC5">
        <w:rPr>
          <w:rFonts w:ascii="Times New Roman" w:eastAsia="Times New Roman" w:hAnsi="Times New Roman" w:cs="Times New Roman"/>
          <w:color w:val="000000" w:themeColor="text1"/>
          <w:sz w:val="24"/>
          <w:szCs w:val="24"/>
          <w:lang w:val="en-GB"/>
        </w:rPr>
        <w:t xml:space="preserve">2024). The project’s scope further expands to include partnerships with beauty academies and influencer networks to support the visibility and legitimacy of the events. </w:t>
      </w:r>
    </w:p>
    <w:p w14:paraId="4390295F" w14:textId="77777777" w:rsidR="00F75D9B" w:rsidRPr="004D3AC5" w:rsidRDefault="00F632C5" w:rsidP="004D3AC5">
      <w:pPr>
        <w:pStyle w:val="Heading1"/>
        <w:spacing w:before="0" w:after="0"/>
        <w:rPr>
          <w:rFonts w:cs="Times New Roman"/>
          <w:color w:val="000000" w:themeColor="text1"/>
          <w:lang w:val="en-GB"/>
        </w:rPr>
      </w:pPr>
      <w:bookmarkStart w:id="3" w:name="_Toc211260642"/>
      <w:r w:rsidRPr="004D3AC5">
        <w:rPr>
          <w:rFonts w:cs="Times New Roman"/>
          <w:color w:val="000000" w:themeColor="text1"/>
          <w:lang w:val="en-GB"/>
        </w:rPr>
        <w:t>4. Main Body</w:t>
      </w:r>
      <w:bookmarkEnd w:id="3"/>
    </w:p>
    <w:p w14:paraId="0C8FF50F" w14:textId="77777777" w:rsidR="00F75D9B" w:rsidRPr="004D3AC5" w:rsidRDefault="00F632C5" w:rsidP="004D3AC5">
      <w:pPr>
        <w:pStyle w:val="Heading2"/>
        <w:spacing w:before="0" w:after="0"/>
        <w:rPr>
          <w:rFonts w:cs="Times New Roman"/>
          <w:color w:val="000000" w:themeColor="text1"/>
          <w:lang w:val="en-GB"/>
        </w:rPr>
      </w:pPr>
      <w:bookmarkStart w:id="4" w:name="_Toc211260643"/>
      <w:r w:rsidRPr="004D3AC5">
        <w:rPr>
          <w:rFonts w:cs="Times New Roman"/>
          <w:color w:val="000000" w:themeColor="text1"/>
          <w:lang w:val="en-GB"/>
        </w:rPr>
        <w:t>4.1 Identification of stakeholders</w:t>
      </w:r>
      <w:bookmarkEnd w:id="4"/>
    </w:p>
    <w:p w14:paraId="09B9083C"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main stakeholder in the Beauty Workshop and Training Event will oversee the whole planning and execution process with the event management team, which will deal with logistics, coordination, and marketing. The</w:t>
      </w:r>
      <w:r w:rsidRPr="004D3AC5">
        <w:rPr>
          <w:rFonts w:ascii="Times New Roman" w:eastAsia="Times New Roman" w:hAnsi="Times New Roman" w:cs="Times New Roman"/>
          <w:i/>
          <w:color w:val="000000" w:themeColor="text1"/>
          <w:sz w:val="24"/>
          <w:szCs w:val="24"/>
          <w:lang w:val="en-GB"/>
        </w:rPr>
        <w:t xml:space="preserve"> </w:t>
      </w:r>
      <w:r w:rsidRPr="004D3AC5">
        <w:rPr>
          <w:rFonts w:ascii="Times New Roman" w:eastAsia="Times New Roman" w:hAnsi="Times New Roman" w:cs="Times New Roman"/>
          <w:b/>
          <w:i/>
          <w:color w:val="000000" w:themeColor="text1"/>
          <w:sz w:val="24"/>
          <w:szCs w:val="24"/>
          <w:lang w:val="en-GB"/>
        </w:rPr>
        <w:t>speakers</w:t>
      </w:r>
      <w:r w:rsidRPr="004D3AC5">
        <w:rPr>
          <w:rFonts w:ascii="Times New Roman" w:eastAsia="Times New Roman" w:hAnsi="Times New Roman" w:cs="Times New Roman"/>
          <w:color w:val="000000" w:themeColor="text1"/>
          <w:sz w:val="24"/>
          <w:szCs w:val="24"/>
          <w:lang w:val="en-GB"/>
        </w:rPr>
        <w:t xml:space="preserve"> at the heart of the operation are the trainers and beauty experts who conduct the sessions, the sponsors, and the partnering beauty brands, who are offering financial and material resources. The </w:t>
      </w:r>
      <w:r w:rsidRPr="004D3AC5">
        <w:rPr>
          <w:rFonts w:ascii="Times New Roman" w:eastAsia="Times New Roman" w:hAnsi="Times New Roman" w:cs="Times New Roman"/>
          <w:b/>
          <w:i/>
          <w:color w:val="000000" w:themeColor="text1"/>
          <w:sz w:val="24"/>
          <w:szCs w:val="24"/>
          <w:lang w:val="en-GB"/>
        </w:rPr>
        <w:t>venue management team</w:t>
      </w:r>
      <w:r w:rsidRPr="004D3AC5">
        <w:rPr>
          <w:rFonts w:ascii="Times New Roman" w:eastAsia="Times New Roman" w:hAnsi="Times New Roman" w:cs="Times New Roman"/>
          <w:color w:val="000000" w:themeColor="text1"/>
          <w:sz w:val="24"/>
          <w:szCs w:val="24"/>
          <w:lang w:val="en-GB"/>
        </w:rPr>
        <w:t xml:space="preserve"> is what provides the availability of facilities, safety and the provision of catering (Hermans, 2021). The main stakeholders would be the participants who would acquire knowledge and skill improvement in the event. Also, the suppliers can play their part in supplying training materials, decor, and technical equipment and the regulatory bodies. It can also be instrumental in ensuring that safety and ethics are adhered to, and so every stakeholder is very important to the success of the project.</w:t>
      </w:r>
    </w:p>
    <w:p w14:paraId="1A7D99BA" w14:textId="77777777" w:rsidR="00F75D9B" w:rsidRPr="004D3AC5" w:rsidRDefault="00F632C5" w:rsidP="004D3AC5">
      <w:pPr>
        <w:pStyle w:val="Heading2"/>
        <w:spacing w:before="0" w:after="0"/>
        <w:rPr>
          <w:rFonts w:cs="Times New Roman"/>
          <w:color w:val="000000" w:themeColor="text1"/>
          <w:lang w:val="en-GB"/>
        </w:rPr>
      </w:pPr>
      <w:bookmarkStart w:id="5" w:name="_Toc211260644"/>
      <w:r w:rsidRPr="004D3AC5">
        <w:rPr>
          <w:rFonts w:cs="Times New Roman"/>
          <w:color w:val="000000" w:themeColor="text1"/>
          <w:lang w:val="en-GB"/>
        </w:rPr>
        <w:t>4.2 Project Deliverables</w:t>
      </w:r>
      <w:bookmarkEnd w:id="5"/>
    </w:p>
    <w:p w14:paraId="5F7F2353"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Main Outputs Delivery</w:t>
      </w:r>
    </w:p>
    <w:p w14:paraId="2B7B0E2E"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Outputs are measurable results and/or products which indicate that project activities have been completed. In the case of this event, the main outputs will be creating a detailed event plan, formalising the venue contract and booking registered trainers and beauty professionals (</w:t>
      </w:r>
      <w:proofErr w:type="spellStart"/>
      <w:r w:rsidRPr="004D3AC5">
        <w:rPr>
          <w:rFonts w:ascii="Times New Roman" w:eastAsia="Times New Roman" w:hAnsi="Times New Roman" w:cs="Times New Roman"/>
          <w:color w:val="000000" w:themeColor="text1"/>
          <w:sz w:val="24"/>
          <w:szCs w:val="24"/>
          <w:lang w:val="en-GB"/>
        </w:rPr>
        <w:t>Churacharit</w:t>
      </w:r>
      <w:proofErr w:type="spellEnd"/>
      <w:r w:rsidRPr="004D3AC5">
        <w:rPr>
          <w:rFonts w:ascii="Times New Roman" w:eastAsia="Times New Roman" w:hAnsi="Times New Roman" w:cs="Times New Roman"/>
          <w:color w:val="000000" w:themeColor="text1"/>
          <w:sz w:val="24"/>
          <w:szCs w:val="24"/>
          <w:lang w:val="en-GB"/>
        </w:rPr>
        <w:t xml:space="preserve"> and </w:t>
      </w:r>
      <w:proofErr w:type="spellStart"/>
      <w:r w:rsidRPr="004D3AC5">
        <w:rPr>
          <w:rFonts w:ascii="Times New Roman" w:eastAsia="Times New Roman" w:hAnsi="Times New Roman" w:cs="Times New Roman"/>
          <w:color w:val="000000" w:themeColor="text1"/>
          <w:sz w:val="24"/>
          <w:szCs w:val="24"/>
          <w:lang w:val="en-GB"/>
        </w:rPr>
        <w:t>Chutima</w:t>
      </w:r>
      <w:proofErr w:type="spellEnd"/>
      <w:r w:rsidRPr="004D3AC5">
        <w:rPr>
          <w:rFonts w:ascii="Times New Roman" w:eastAsia="Times New Roman" w:hAnsi="Times New Roman" w:cs="Times New Roman"/>
          <w:color w:val="000000" w:themeColor="text1"/>
          <w:sz w:val="24"/>
          <w:szCs w:val="24"/>
          <w:lang w:val="en-GB"/>
        </w:rPr>
        <w:t>, 2022). Other important outputs will include securing sponsorship from at least five businesses, developing marketing materials for the event, and preparing all workshop materials, including a training kit and products for demonstration. The project will also develop an effective system for participant registration and ticketing, then move from completion of this to delivering the event as a successful one-day event (</w:t>
      </w:r>
      <w:proofErr w:type="spellStart"/>
      <w:r w:rsidRPr="004D3AC5">
        <w:rPr>
          <w:rFonts w:ascii="Times New Roman" w:eastAsia="Times New Roman" w:hAnsi="Times New Roman" w:cs="Times New Roman"/>
          <w:color w:val="000000" w:themeColor="text1"/>
          <w:sz w:val="24"/>
          <w:szCs w:val="24"/>
          <w:lang w:val="en-GB"/>
        </w:rPr>
        <w:t>Aulia</w:t>
      </w:r>
      <w:proofErr w:type="spellEnd"/>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2024). Finally, a report of participant feedback and a summary of the financials will be the final outputs for the project to indicate evaluative standards and accountabilities.</w:t>
      </w:r>
    </w:p>
    <w:p w14:paraId="2ADBCB2F"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Secondary Outputs Delivery</w:t>
      </w:r>
    </w:p>
    <w:p w14:paraId="4D0EA70F"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In addition to the main outputs above, a range of secondary outputs is necessary for the quality and sustainability of the project work. Secondary outputs will include a risk assessment and contingency plan for the event, health and safety certification, post-event media coverage and a sustainability report describing the event’s commitment to ethical practices with beauty products (Koo and O’Connor, 2021). Partnering with beauty academies </w:t>
      </w:r>
      <w:r w:rsidRPr="004D3AC5">
        <w:rPr>
          <w:rFonts w:ascii="Times New Roman" w:eastAsia="Times New Roman" w:hAnsi="Times New Roman" w:cs="Times New Roman"/>
          <w:color w:val="000000" w:themeColor="text1"/>
          <w:sz w:val="24"/>
          <w:szCs w:val="24"/>
          <w:lang w:val="en-GB"/>
        </w:rPr>
        <w:lastRenderedPageBreak/>
        <w:t>and influencers would also serve to improve the visibility and sustainability of the event in the long term.</w:t>
      </w:r>
    </w:p>
    <w:p w14:paraId="462BD43F" w14:textId="77777777" w:rsidR="00F75D9B" w:rsidRPr="004D3AC5" w:rsidRDefault="00F632C5" w:rsidP="004D3AC5">
      <w:pPr>
        <w:pStyle w:val="Heading1"/>
        <w:spacing w:before="0" w:after="0"/>
        <w:rPr>
          <w:rFonts w:cs="Times New Roman"/>
          <w:color w:val="000000" w:themeColor="text1"/>
          <w:lang w:val="en-GB"/>
        </w:rPr>
      </w:pPr>
      <w:bookmarkStart w:id="6" w:name="_Toc211260645"/>
      <w:r w:rsidRPr="004D3AC5">
        <w:rPr>
          <w:rFonts w:cs="Times New Roman"/>
          <w:color w:val="000000" w:themeColor="text1"/>
          <w:lang w:val="en-GB"/>
        </w:rPr>
        <w:t>5. Developing a communication plan</w:t>
      </w:r>
      <w:bookmarkEnd w:id="6"/>
    </w:p>
    <w:p w14:paraId="1A7A6103"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Chen (2024) stated that a properly designed communication plan allows for effective coordination between stakeholders and promotes smooth project execution. Due to the variety of stakeholders involved (trainers, sponsors, suppliers, venue managers), regular communication will avoid misunderstandings and will also ensure that everyone stays aligned with the project goals. </w:t>
      </w:r>
    </w:p>
    <w:p w14:paraId="63E867AF" w14:textId="77777777" w:rsidR="00F75D9B" w:rsidRPr="004D3AC5" w:rsidRDefault="00F632C5" w:rsidP="004D3AC5">
      <w:pPr>
        <w:pStyle w:val="Heading2"/>
        <w:spacing w:before="0" w:after="0"/>
        <w:rPr>
          <w:rFonts w:cs="Times New Roman"/>
          <w:color w:val="000000" w:themeColor="text1"/>
          <w:lang w:val="en-GB"/>
        </w:rPr>
      </w:pPr>
      <w:bookmarkStart w:id="7" w:name="_Toc211260646"/>
      <w:r w:rsidRPr="004D3AC5">
        <w:rPr>
          <w:rFonts w:cs="Times New Roman"/>
          <w:color w:val="000000" w:themeColor="text1"/>
          <w:lang w:val="en-GB"/>
        </w:rPr>
        <w:t>5.1 Communication methods</w:t>
      </w:r>
      <w:bookmarkEnd w:id="7"/>
      <w:r w:rsidRPr="004D3AC5">
        <w:rPr>
          <w:rFonts w:cs="Times New Roman"/>
          <w:color w:val="000000" w:themeColor="text1"/>
          <w:lang w:val="en-GB"/>
        </w:rPr>
        <w:t xml:space="preserve"> </w:t>
      </w:r>
    </w:p>
    <w:p w14:paraId="65DE9C3C"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project will use a combination of digital and physical communication methods for the project. The team will communicate through “emails”, “Zoom meetings”, “WhatsApp groups”, and “Trello dashboards”. Formal documentation will be provided through “email” and “G Suite”, including reports, feedback forms, and proposals for sponsors (Granizo</w:t>
      </w:r>
      <w:r w:rsidRPr="004D3AC5">
        <w:rPr>
          <w:rFonts w:ascii="Times New Roman" w:eastAsia="Times New Roman" w:hAnsi="Times New Roman" w:cs="Times New Roman"/>
          <w:i/>
          <w:color w:val="000000" w:themeColor="text1"/>
          <w:sz w:val="24"/>
          <w:szCs w:val="24"/>
          <w:lang w:val="en-GB"/>
        </w:rPr>
        <w:t xml:space="preserve"> et al., </w:t>
      </w:r>
      <w:r w:rsidRPr="004D3AC5">
        <w:rPr>
          <w:rFonts w:ascii="Times New Roman" w:eastAsia="Times New Roman" w:hAnsi="Times New Roman" w:cs="Times New Roman"/>
          <w:color w:val="000000" w:themeColor="text1"/>
          <w:sz w:val="24"/>
          <w:szCs w:val="24"/>
          <w:lang w:val="en-GB"/>
        </w:rPr>
        <w:t>2021). The engagement with the venue manager will take place at least bi-weekly regarding readiness and safety protocols.</w:t>
      </w:r>
    </w:p>
    <w:p w14:paraId="281C86B6" w14:textId="77777777" w:rsidR="00F75D9B" w:rsidRPr="004D3AC5" w:rsidRDefault="00F632C5" w:rsidP="004D3AC5">
      <w:pPr>
        <w:pStyle w:val="Heading2"/>
        <w:spacing w:before="0" w:after="0"/>
        <w:rPr>
          <w:rFonts w:cs="Times New Roman"/>
          <w:color w:val="000000" w:themeColor="text1"/>
          <w:lang w:val="en-GB"/>
        </w:rPr>
      </w:pPr>
      <w:bookmarkStart w:id="8" w:name="_Toc211260647"/>
      <w:r w:rsidRPr="004D3AC5">
        <w:rPr>
          <w:rFonts w:cs="Times New Roman"/>
          <w:color w:val="000000" w:themeColor="text1"/>
          <w:lang w:val="en-GB"/>
        </w:rPr>
        <w:t>5.2 Communication Plans</w:t>
      </w:r>
      <w:bookmarkEnd w:id="8"/>
    </w:p>
    <w:p w14:paraId="6968B095" w14:textId="77777777" w:rsidR="00F75D9B" w:rsidRPr="004D3AC5" w:rsidRDefault="00F75D9B" w:rsidP="004D3AC5">
      <w:pPr>
        <w:spacing w:line="360" w:lineRule="auto"/>
        <w:jc w:val="both"/>
        <w:rPr>
          <w:rFonts w:ascii="Times New Roman" w:eastAsia="Times New Roman" w:hAnsi="Times New Roman" w:cs="Times New Roman"/>
          <w:color w:val="000000" w:themeColor="text1"/>
          <w:sz w:val="24"/>
          <w:szCs w:val="24"/>
          <w:lang w:val="en-GB"/>
        </w:rPr>
      </w:pPr>
    </w:p>
    <w:p w14:paraId="704B345E"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noProof/>
          <w:color w:val="000000" w:themeColor="text1"/>
          <w:sz w:val="24"/>
          <w:szCs w:val="24"/>
          <w:lang w:val="en-IN"/>
        </w:rPr>
        <w:lastRenderedPageBreak/>
        <w:drawing>
          <wp:inline distT="114300" distB="114300" distL="114300" distR="114300" wp14:anchorId="07E57814" wp14:editId="093C43C7">
            <wp:extent cx="5943600" cy="62357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6235700"/>
                    </a:xfrm>
                    <a:prstGeom prst="rect">
                      <a:avLst/>
                    </a:prstGeom>
                    <a:ln w="12700">
                      <a:solidFill>
                        <a:srgbClr val="000000"/>
                      </a:solidFill>
                      <a:prstDash val="solid"/>
                    </a:ln>
                  </pic:spPr>
                </pic:pic>
              </a:graphicData>
            </a:graphic>
          </wp:inline>
        </w:drawing>
      </w:r>
    </w:p>
    <w:p w14:paraId="1024FE1A"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Figure 1: Communication Plan</w:t>
      </w:r>
    </w:p>
    <w:p w14:paraId="7634D9F9" w14:textId="77777777" w:rsidR="00F75D9B" w:rsidRPr="004D3AC5" w:rsidRDefault="00F632C5" w:rsidP="004D3AC5">
      <w:pPr>
        <w:spacing w:line="360" w:lineRule="auto"/>
        <w:jc w:val="center"/>
        <w:rPr>
          <w:rFonts w:ascii="Times New Roman" w:eastAsia="Times New Roman" w:hAnsi="Times New Roman" w:cs="Times New Roman"/>
          <w:bCs/>
          <w:color w:val="000000" w:themeColor="text1"/>
          <w:sz w:val="24"/>
          <w:szCs w:val="24"/>
          <w:lang w:val="en-GB"/>
        </w:rPr>
      </w:pPr>
      <w:r w:rsidRPr="004D3AC5">
        <w:rPr>
          <w:rFonts w:ascii="Times New Roman" w:eastAsia="Times New Roman" w:hAnsi="Times New Roman" w:cs="Times New Roman"/>
          <w:bCs/>
          <w:color w:val="000000" w:themeColor="text1"/>
          <w:sz w:val="24"/>
          <w:szCs w:val="24"/>
          <w:lang w:val="en-GB"/>
        </w:rPr>
        <w:t>(Source: Self-created)</w:t>
      </w:r>
    </w:p>
    <w:p w14:paraId="649B1DF1" w14:textId="77777777" w:rsidR="00F75D9B" w:rsidRPr="004D3AC5" w:rsidRDefault="00F632C5" w:rsidP="004D3AC5">
      <w:pPr>
        <w:pStyle w:val="Heading1"/>
        <w:spacing w:before="0" w:after="0"/>
        <w:rPr>
          <w:rFonts w:cs="Times New Roman"/>
          <w:color w:val="000000" w:themeColor="text1"/>
          <w:lang w:val="en-GB"/>
        </w:rPr>
      </w:pPr>
      <w:bookmarkStart w:id="9" w:name="_Toc211260648"/>
      <w:r w:rsidRPr="004D3AC5">
        <w:rPr>
          <w:rFonts w:cs="Times New Roman"/>
          <w:color w:val="000000" w:themeColor="text1"/>
          <w:lang w:val="en-GB"/>
        </w:rPr>
        <w:t>6. Identification of the activities required to deliver the output</w:t>
      </w:r>
      <w:bookmarkEnd w:id="9"/>
    </w:p>
    <w:p w14:paraId="2DD88363" w14:textId="77777777" w:rsidR="00F75D9B" w:rsidRPr="004D3AC5" w:rsidRDefault="00F632C5" w:rsidP="004D3AC5">
      <w:pPr>
        <w:pStyle w:val="Heading2"/>
        <w:spacing w:before="0" w:after="0"/>
        <w:rPr>
          <w:rFonts w:cs="Times New Roman"/>
          <w:color w:val="000000" w:themeColor="text1"/>
          <w:lang w:val="en-GB"/>
        </w:rPr>
      </w:pPr>
      <w:bookmarkStart w:id="10" w:name="_Toc211260649"/>
      <w:r w:rsidRPr="004D3AC5">
        <w:rPr>
          <w:rFonts w:cs="Times New Roman"/>
          <w:color w:val="000000" w:themeColor="text1"/>
          <w:lang w:val="en-GB"/>
        </w:rPr>
        <w:t>6.1 Project Activities</w:t>
      </w:r>
      <w:bookmarkEnd w:id="10"/>
    </w:p>
    <w:p w14:paraId="663548D3"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project activities are divided into three major phases: planning, execution, and closing. Each phase includes specific tasks needed to complete the project's deliverables.</w:t>
      </w:r>
    </w:p>
    <w:p w14:paraId="2537BB05"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Planning Phase</w:t>
      </w:r>
    </w:p>
    <w:p w14:paraId="660E65A9"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The planning phase starts with defining the project aims, identifying the target audience, and confirming the total budget of £25,000. During this phase, the team will shortlist potential </w:t>
      </w:r>
      <w:r w:rsidRPr="004D3AC5">
        <w:rPr>
          <w:rFonts w:ascii="Times New Roman" w:eastAsia="Times New Roman" w:hAnsi="Times New Roman" w:cs="Times New Roman"/>
          <w:color w:val="000000" w:themeColor="text1"/>
          <w:sz w:val="24"/>
          <w:szCs w:val="24"/>
          <w:lang w:val="en-GB"/>
        </w:rPr>
        <w:lastRenderedPageBreak/>
        <w:t xml:space="preserve">London venues, negotiate the price, and confirm contracts. The recruitment of the trainers and speakers will happen concurrently, as well as the plan for sponsorship proposals and outreach to beauty brands (Obi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2022). Marketing activities will also be initiated during this phase, including social media posts, press releases, and partnerships with influencers.</w:t>
      </w:r>
    </w:p>
    <w:p w14:paraId="515F0319"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Execution Phase</w:t>
      </w:r>
    </w:p>
    <w:p w14:paraId="4506B5D7"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The execution phase consists of executing the scheduled tasks. This includes securing and setting up the venue, ordering training materials and décor, finalising the agenda for sessions and registering participants (Castro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2021). The marketing team will increase promotional activities in the weeks leading up to the event to try and reach the target of 100 participants. Briefing trainers and doing technical runs will occur, and during the event, the management team will handle logistics, session running, catering, and safety compliance.</w:t>
      </w:r>
    </w:p>
    <w:p w14:paraId="2D7AD831"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Closure Phase</w:t>
      </w:r>
    </w:p>
    <w:p w14:paraId="5CC49688"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The closure phase involves collecting feedback from participants, analysing levels of satisfaction, and preparing a detailed financial report. Bondarenko </w:t>
      </w:r>
      <w:r w:rsidRPr="004D3AC5">
        <w:rPr>
          <w:rFonts w:ascii="Times New Roman" w:eastAsia="Times New Roman" w:hAnsi="Times New Roman" w:cs="Times New Roman"/>
          <w:i/>
          <w:color w:val="000000" w:themeColor="text1"/>
          <w:sz w:val="24"/>
          <w:szCs w:val="24"/>
          <w:lang w:val="en-GB"/>
        </w:rPr>
        <w:t xml:space="preserve">et al. </w:t>
      </w:r>
      <w:r w:rsidRPr="004D3AC5">
        <w:rPr>
          <w:rFonts w:ascii="Times New Roman" w:eastAsia="Times New Roman" w:hAnsi="Times New Roman" w:cs="Times New Roman"/>
          <w:color w:val="000000" w:themeColor="text1"/>
          <w:sz w:val="24"/>
          <w:szCs w:val="24"/>
          <w:lang w:val="en-GB"/>
        </w:rPr>
        <w:t>(2021) stated that a post-event review will be conducted to review the overall effectiveness of the event with respect to meeting goals, whether the event was delivered within budget, and levels of partner and stakeholder satisfaction.</w:t>
      </w:r>
    </w:p>
    <w:p w14:paraId="7CCFCB3A" w14:textId="77777777" w:rsidR="00F75D9B" w:rsidRPr="004D3AC5" w:rsidRDefault="00F632C5" w:rsidP="004D3AC5">
      <w:pPr>
        <w:pStyle w:val="Heading2"/>
        <w:spacing w:before="0" w:after="0"/>
        <w:rPr>
          <w:rFonts w:cs="Times New Roman"/>
          <w:color w:val="000000" w:themeColor="text1"/>
          <w:lang w:val="en-GB"/>
        </w:rPr>
      </w:pPr>
      <w:bookmarkStart w:id="11" w:name="_Toc211260650"/>
      <w:r w:rsidRPr="004D3AC5">
        <w:rPr>
          <w:rFonts w:cs="Times New Roman"/>
          <w:color w:val="000000" w:themeColor="text1"/>
          <w:lang w:val="en-GB"/>
        </w:rPr>
        <w:t>6.2 Work Breakdown Structure</w:t>
      </w:r>
      <w:bookmarkEnd w:id="11"/>
    </w:p>
    <w:p w14:paraId="4AB45885"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The “Work Breakdown Structure (WBS)” is a hierarchical breakdown of the work needed to deliver a project. It provides a clear account of all deliverables and any associated activities and ensures that the team is assigned the responsibilities to achieve each deliverable. </w:t>
      </w:r>
    </w:p>
    <w:p w14:paraId="03B4C840"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Level 1: Project Goal</w:t>
      </w:r>
    </w:p>
    <w:p w14:paraId="4973023C"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By March 2026, deliver a one-day Beauty Workshop and Training Event in London that is a success. </w:t>
      </w:r>
    </w:p>
    <w:p w14:paraId="5C29A078"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 xml:space="preserve">Level 2: Essential Work Packages </w:t>
      </w:r>
    </w:p>
    <w:p w14:paraId="43FE1248"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Project Scheduling and Coordination </w:t>
      </w:r>
    </w:p>
    <w:p w14:paraId="05102336"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Venue and Logistics Coordination </w:t>
      </w:r>
    </w:p>
    <w:p w14:paraId="572373EE"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Speaker and Trainer Coordination </w:t>
      </w:r>
    </w:p>
    <w:p w14:paraId="06235CD6"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Marketing and Promotion </w:t>
      </w:r>
    </w:p>
    <w:p w14:paraId="15AD3C63"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Sponsorship and Partnership Development </w:t>
      </w:r>
    </w:p>
    <w:p w14:paraId="31F24FBF"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On the Day of Operations </w:t>
      </w:r>
    </w:p>
    <w:p w14:paraId="37EA2B8D" w14:textId="77777777" w:rsidR="00F75D9B" w:rsidRPr="004D3AC5" w:rsidRDefault="00F632C5" w:rsidP="004D3AC5">
      <w:pPr>
        <w:numPr>
          <w:ilvl w:val="0"/>
          <w:numId w:val="2"/>
        </w:num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Evaluation and Reporting After the Event</w:t>
      </w:r>
    </w:p>
    <w:p w14:paraId="2D959FE8" w14:textId="77777777" w:rsidR="00F75D9B" w:rsidRPr="004D3AC5" w:rsidRDefault="00F632C5" w:rsidP="004D3AC5">
      <w:pPr>
        <w:spacing w:line="360" w:lineRule="auto"/>
        <w:jc w:val="both"/>
        <w:rPr>
          <w:rFonts w:ascii="Times New Roman" w:eastAsia="Times New Roman" w:hAnsi="Times New Roman" w:cs="Times New Roman"/>
          <w:b/>
          <w:i/>
          <w:color w:val="000000" w:themeColor="text1"/>
          <w:sz w:val="24"/>
          <w:szCs w:val="24"/>
          <w:lang w:val="en-GB"/>
        </w:rPr>
      </w:pPr>
      <w:r w:rsidRPr="004D3AC5">
        <w:rPr>
          <w:rFonts w:ascii="Times New Roman" w:eastAsia="Times New Roman" w:hAnsi="Times New Roman" w:cs="Times New Roman"/>
          <w:b/>
          <w:i/>
          <w:color w:val="000000" w:themeColor="text1"/>
          <w:sz w:val="24"/>
          <w:szCs w:val="24"/>
          <w:lang w:val="en-GB"/>
        </w:rPr>
        <w:t xml:space="preserve">Level 3 </w:t>
      </w:r>
    </w:p>
    <w:p w14:paraId="60245F65"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lastRenderedPageBreak/>
        <w:t>Work Packages will consist of a series of sub-activities. As an example, the Project Planning and Coordination work package requires activities such as developing project goals, budgets, and timelines. The “Venue Management” work package involves activities including researching the site, designing the layout, liaising with food and beverage services, and safety checks (</w:t>
      </w:r>
      <w:proofErr w:type="spellStart"/>
      <w:r w:rsidRPr="004D3AC5">
        <w:rPr>
          <w:rFonts w:ascii="Times New Roman" w:eastAsia="Times New Roman" w:hAnsi="Times New Roman" w:cs="Times New Roman"/>
          <w:color w:val="000000" w:themeColor="text1"/>
          <w:sz w:val="24"/>
          <w:szCs w:val="24"/>
          <w:lang w:val="en-GB"/>
        </w:rPr>
        <w:t>Bakmaz</w:t>
      </w:r>
      <w:proofErr w:type="spellEnd"/>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2023). The Marketing and Promotion work package will consist of activities such as developing promotional brochures, social media promotion, and tracking the promotional process. The Post-event Evaluation work package will include activities such as data collection, closing the event financially, and developing final reports (</w:t>
      </w:r>
      <w:proofErr w:type="spellStart"/>
      <w:r w:rsidRPr="004D3AC5">
        <w:rPr>
          <w:rFonts w:ascii="Times New Roman" w:eastAsia="Times New Roman" w:hAnsi="Times New Roman" w:cs="Times New Roman"/>
          <w:color w:val="000000" w:themeColor="text1"/>
          <w:sz w:val="24"/>
          <w:szCs w:val="24"/>
          <w:lang w:val="en-GB"/>
        </w:rPr>
        <w:t>Taherdoost</w:t>
      </w:r>
      <w:proofErr w:type="spellEnd"/>
      <w:r w:rsidRPr="004D3AC5">
        <w:rPr>
          <w:rFonts w:ascii="Times New Roman" w:eastAsia="Times New Roman" w:hAnsi="Times New Roman" w:cs="Times New Roman"/>
          <w:color w:val="000000" w:themeColor="text1"/>
          <w:sz w:val="24"/>
          <w:szCs w:val="24"/>
          <w:lang w:val="en-GB"/>
        </w:rPr>
        <w:t>, 2021). All activities are associated with milestones, which will include budget approval (December 2025), confirmation of venue (January 2026), sponsor agreement (February 2026), and delivering the event (March 2026).</w:t>
      </w:r>
    </w:p>
    <w:p w14:paraId="6E6C96E8"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noProof/>
          <w:color w:val="000000" w:themeColor="text1"/>
          <w:sz w:val="24"/>
          <w:szCs w:val="24"/>
          <w:lang w:val="en-IN"/>
        </w:rPr>
        <w:drawing>
          <wp:inline distT="114300" distB="114300" distL="114300" distR="114300" wp14:anchorId="6800D8B8" wp14:editId="03870A3A">
            <wp:extent cx="5943600" cy="5664200"/>
            <wp:effectExtent l="12700" t="12700" r="12700" b="127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5664200"/>
                    </a:xfrm>
                    <a:prstGeom prst="rect">
                      <a:avLst/>
                    </a:prstGeom>
                    <a:ln w="12700">
                      <a:solidFill>
                        <a:srgbClr val="000000"/>
                      </a:solidFill>
                      <a:prstDash val="solid"/>
                    </a:ln>
                  </pic:spPr>
                </pic:pic>
              </a:graphicData>
            </a:graphic>
          </wp:inline>
        </w:drawing>
      </w:r>
    </w:p>
    <w:p w14:paraId="56E62DBA"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Figure 2: WBS Structure</w:t>
      </w:r>
    </w:p>
    <w:p w14:paraId="577524B1"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lastRenderedPageBreak/>
        <w:t>(Source: Self-created)</w:t>
      </w:r>
    </w:p>
    <w:p w14:paraId="440D7843" w14:textId="77777777" w:rsidR="00F75D9B" w:rsidRPr="004D3AC5" w:rsidRDefault="00F632C5" w:rsidP="004D3AC5">
      <w:pPr>
        <w:pStyle w:val="Heading2"/>
        <w:spacing w:before="0" w:after="0"/>
        <w:rPr>
          <w:rFonts w:cs="Times New Roman"/>
          <w:color w:val="000000" w:themeColor="text1"/>
          <w:lang w:val="en-GB"/>
        </w:rPr>
      </w:pPr>
      <w:bookmarkStart w:id="12" w:name="_Toc211260651"/>
      <w:r w:rsidRPr="004D3AC5">
        <w:rPr>
          <w:rFonts w:cs="Times New Roman"/>
          <w:color w:val="000000" w:themeColor="text1"/>
          <w:lang w:val="en-GB"/>
        </w:rPr>
        <w:t>6.3 Product Breakdown Structure</w:t>
      </w:r>
      <w:bookmarkEnd w:id="12"/>
      <w:r w:rsidRPr="004D3AC5">
        <w:rPr>
          <w:rFonts w:cs="Times New Roman"/>
          <w:color w:val="000000" w:themeColor="text1"/>
          <w:lang w:val="en-GB"/>
        </w:rPr>
        <w:t xml:space="preserve"> </w:t>
      </w:r>
    </w:p>
    <w:p w14:paraId="53CB73A3" w14:textId="40CDCE95"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“Product Breakdown Structure (PBS)” will address the physical products or outputs that are created as part of the project or event lifecycle. The highest level will be the Beauty Workshop Event itself, with a product breakdown structure of the following sub-products: the workshop sessions, trainer development materials, promotional content, sponsor booth displays, and finally, the reports to be delivered after the event (</w:t>
      </w:r>
      <w:proofErr w:type="spellStart"/>
      <w:r w:rsidRPr="004D3AC5">
        <w:rPr>
          <w:rFonts w:ascii="Times New Roman" w:eastAsia="Times New Roman" w:hAnsi="Times New Roman" w:cs="Times New Roman"/>
          <w:color w:val="000000" w:themeColor="text1"/>
          <w:sz w:val="24"/>
          <w:szCs w:val="24"/>
          <w:lang w:val="en-GB"/>
        </w:rPr>
        <w:t>Bevolo</w:t>
      </w:r>
      <w:proofErr w:type="spellEnd"/>
      <w:r w:rsidRPr="004D3AC5">
        <w:rPr>
          <w:rFonts w:ascii="Times New Roman" w:eastAsia="Times New Roman" w:hAnsi="Times New Roman" w:cs="Times New Roman"/>
          <w:color w:val="000000" w:themeColor="text1"/>
          <w:sz w:val="24"/>
          <w:szCs w:val="24"/>
          <w:lang w:val="en-GB"/>
        </w:rPr>
        <w:t xml:space="preserve"> and Amati, 2024). Each product produced will contribute directly to achieving the overall purpose of the project. For example, while the workshop sessions will emphasise four professional modules (i.e., “skin care”, “hair styling”, “make-up artistry”, “sustainable beauty”), promotional products (e.g., posters, videos) will ensure visibility of </w:t>
      </w:r>
      <w:r w:rsidR="000B7CFB">
        <w:rPr>
          <w:rFonts w:ascii="Times New Roman" w:eastAsia="Times New Roman" w:hAnsi="Times New Roman" w:cs="Times New Roman"/>
          <w:color w:val="000000" w:themeColor="text1"/>
          <w:sz w:val="24"/>
          <w:szCs w:val="24"/>
          <w:lang w:val="en-GB"/>
        </w:rPr>
        <w:t>the</w:t>
      </w:r>
      <w:r w:rsidRPr="004D3AC5">
        <w:rPr>
          <w:rFonts w:ascii="Times New Roman" w:eastAsia="Times New Roman" w:hAnsi="Times New Roman" w:cs="Times New Roman"/>
          <w:color w:val="000000" w:themeColor="text1"/>
          <w:sz w:val="24"/>
          <w:szCs w:val="24"/>
          <w:lang w:val="en-GB"/>
        </w:rPr>
        <w:t xml:space="preserve"> project, and sponsor booths will contribute identification, financial support and promotion to their brands.</w:t>
      </w:r>
    </w:p>
    <w:p w14:paraId="3F201120"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noProof/>
          <w:color w:val="000000" w:themeColor="text1"/>
          <w:sz w:val="24"/>
          <w:szCs w:val="24"/>
          <w:lang w:val="en-IN"/>
        </w:rPr>
        <w:drawing>
          <wp:inline distT="114300" distB="114300" distL="114300" distR="114300" wp14:anchorId="6E9FFE74" wp14:editId="0AF18881">
            <wp:extent cx="5943600" cy="34036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403600"/>
                    </a:xfrm>
                    <a:prstGeom prst="rect">
                      <a:avLst/>
                    </a:prstGeom>
                    <a:ln w="12700">
                      <a:solidFill>
                        <a:srgbClr val="000000"/>
                      </a:solidFill>
                      <a:prstDash val="solid"/>
                    </a:ln>
                  </pic:spPr>
                </pic:pic>
              </a:graphicData>
            </a:graphic>
          </wp:inline>
        </w:drawing>
      </w:r>
    </w:p>
    <w:p w14:paraId="4C3DDB74"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Figure 3: PBS Structure</w:t>
      </w:r>
    </w:p>
    <w:p w14:paraId="7C18E161"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(Source: Self-created)</w:t>
      </w:r>
    </w:p>
    <w:p w14:paraId="618B4A2F" w14:textId="77777777" w:rsidR="00F75D9B" w:rsidRPr="004D3AC5" w:rsidRDefault="00F632C5" w:rsidP="004D3AC5">
      <w:pPr>
        <w:pStyle w:val="Heading2"/>
        <w:spacing w:before="0" w:after="0"/>
        <w:rPr>
          <w:rFonts w:cs="Times New Roman"/>
          <w:color w:val="000000" w:themeColor="text1"/>
          <w:lang w:val="en-GB"/>
        </w:rPr>
      </w:pPr>
      <w:bookmarkStart w:id="13" w:name="_Toc211260652"/>
      <w:r w:rsidRPr="004D3AC5">
        <w:rPr>
          <w:rFonts w:cs="Times New Roman"/>
          <w:color w:val="000000" w:themeColor="text1"/>
          <w:lang w:val="en-GB"/>
        </w:rPr>
        <w:t>6.4 Organisation Breakdown Structure</w:t>
      </w:r>
      <w:bookmarkEnd w:id="13"/>
    </w:p>
    <w:p w14:paraId="37A9E855"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The “Organisation Breakdown Structure” illustrates the hierarchy for the project and highlights the roles and responsibilities of the event management team. The top-level role is the Project Manager, who is responsible for overall project coordination, budget tracking, and stakeholder liaison (Mio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2022). The structure below indicates that “Project Manager” has several levels of responsibilities that will report directly to him/her: </w:t>
      </w:r>
    </w:p>
    <w:p w14:paraId="0C42D701"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noProof/>
          <w:color w:val="000000" w:themeColor="text1"/>
          <w:sz w:val="24"/>
          <w:szCs w:val="24"/>
          <w:lang w:val="en-IN"/>
        </w:rPr>
        <w:lastRenderedPageBreak/>
        <w:drawing>
          <wp:inline distT="114300" distB="114300" distL="114300" distR="114300" wp14:anchorId="6F0E60C0" wp14:editId="15A2A62E">
            <wp:extent cx="5943600" cy="42291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4229100"/>
                    </a:xfrm>
                    <a:prstGeom prst="rect">
                      <a:avLst/>
                    </a:prstGeom>
                    <a:ln w="12700">
                      <a:solidFill>
                        <a:srgbClr val="000000"/>
                      </a:solidFill>
                      <a:prstDash val="solid"/>
                    </a:ln>
                  </pic:spPr>
                </pic:pic>
              </a:graphicData>
            </a:graphic>
          </wp:inline>
        </w:drawing>
      </w:r>
    </w:p>
    <w:p w14:paraId="7B3EF7D5"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Figure 4: Organisation Breakdown Structure</w:t>
      </w:r>
    </w:p>
    <w:p w14:paraId="39B6A89B"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(Source: Self-created)</w:t>
      </w:r>
    </w:p>
    <w:p w14:paraId="2F6F1076" w14:textId="77777777" w:rsidR="00F75D9B" w:rsidRPr="004D3AC5" w:rsidRDefault="00F632C5" w:rsidP="004D3AC5">
      <w:pPr>
        <w:pStyle w:val="Heading1"/>
        <w:spacing w:before="0" w:after="0"/>
        <w:rPr>
          <w:rFonts w:cs="Times New Roman"/>
          <w:color w:val="000000" w:themeColor="text1"/>
          <w:lang w:val="en-GB"/>
        </w:rPr>
      </w:pPr>
      <w:bookmarkStart w:id="14" w:name="_Toc211260653"/>
      <w:r w:rsidRPr="004D3AC5">
        <w:rPr>
          <w:rFonts w:cs="Times New Roman"/>
          <w:color w:val="000000" w:themeColor="text1"/>
          <w:lang w:val="en-GB"/>
        </w:rPr>
        <w:t>7. Milestones and Timelines</w:t>
      </w:r>
      <w:bookmarkEnd w:id="14"/>
    </w:p>
    <w:p w14:paraId="52D743A7"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Milestones are important markers to help track both the project plan progress and the on-time delivery of key objectives. Key milestones include project kick-off and budget sign-off (December 2025), venue confirmation (January 2026), trainer/sponsor finalisation (February 2026), and launch of the marketing campaign (February 2026). The event is scheduled for March 2026 with an evaluation and reporting deliverable at the end of March. Milestones will help to maintain momentum and allow the team to identify specialist tasks that may be taking longer than planned, early.</w:t>
      </w:r>
    </w:p>
    <w:p w14:paraId="274B2DC5"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noProof/>
          <w:color w:val="000000" w:themeColor="text1"/>
          <w:sz w:val="24"/>
          <w:szCs w:val="24"/>
          <w:lang w:val="en-IN"/>
        </w:rPr>
        <w:lastRenderedPageBreak/>
        <w:drawing>
          <wp:inline distT="114300" distB="114300" distL="114300" distR="114300" wp14:anchorId="1BCDF314" wp14:editId="46F2FADD">
            <wp:extent cx="5634038" cy="4442222"/>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634038" cy="4442222"/>
                    </a:xfrm>
                    <a:prstGeom prst="rect">
                      <a:avLst/>
                    </a:prstGeom>
                    <a:ln w="12700">
                      <a:solidFill>
                        <a:srgbClr val="000000"/>
                      </a:solidFill>
                      <a:prstDash val="solid"/>
                    </a:ln>
                  </pic:spPr>
                </pic:pic>
              </a:graphicData>
            </a:graphic>
          </wp:inline>
        </w:drawing>
      </w:r>
    </w:p>
    <w:p w14:paraId="0A2798B7"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Figure 5: Milestone and Timeline</w:t>
      </w:r>
    </w:p>
    <w:p w14:paraId="2C1A5629"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(Source: Self-created)</w:t>
      </w:r>
    </w:p>
    <w:p w14:paraId="096826C9" w14:textId="77777777" w:rsidR="00F75D9B" w:rsidRPr="004D3AC5" w:rsidRDefault="00F632C5" w:rsidP="004D3AC5">
      <w:pPr>
        <w:pStyle w:val="Heading1"/>
        <w:spacing w:before="0" w:after="0"/>
        <w:rPr>
          <w:rFonts w:cs="Times New Roman"/>
          <w:color w:val="000000" w:themeColor="text1"/>
          <w:lang w:val="en-GB"/>
        </w:rPr>
      </w:pPr>
      <w:bookmarkStart w:id="15" w:name="_Toc211260654"/>
      <w:r w:rsidRPr="004D3AC5">
        <w:rPr>
          <w:rFonts w:cs="Times New Roman"/>
          <w:color w:val="000000" w:themeColor="text1"/>
          <w:lang w:val="en-GB"/>
        </w:rPr>
        <w:t>8. Responsibility Assignment Matrix (RACI Model)</w:t>
      </w:r>
      <w:bookmarkEnd w:id="15"/>
    </w:p>
    <w:p w14:paraId="7BA48FDC"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The Project Manager is responsible for the project in its entirety, while the “Event Coordinator” and “Training Lead” manage the day-to-day involvement and oversight of trainers. The “Marketing Manager” will manage promotion, and the “Sponsorship Manager” will manage funding and sponsorship for the training (De Angelis, 2021). The “Finance Officer” will ensure financial paperwork and reporting are accurate and transparent. The “Venue Manager” will develop a logistical plan for each day of the event, will be responsible for health and safety and will communicate with each external contractor (</w:t>
      </w:r>
      <w:proofErr w:type="spellStart"/>
      <w:r w:rsidRPr="004D3AC5">
        <w:rPr>
          <w:rFonts w:ascii="Times New Roman" w:eastAsia="Times New Roman" w:hAnsi="Times New Roman" w:cs="Times New Roman"/>
          <w:color w:val="000000" w:themeColor="text1"/>
          <w:sz w:val="24"/>
          <w:szCs w:val="24"/>
          <w:lang w:val="en-GB"/>
        </w:rPr>
        <w:t>Setyowati</w:t>
      </w:r>
      <w:proofErr w:type="spellEnd"/>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 xml:space="preserve">et al., </w:t>
      </w:r>
      <w:r w:rsidRPr="004D3AC5">
        <w:rPr>
          <w:rFonts w:ascii="Times New Roman" w:eastAsia="Times New Roman" w:hAnsi="Times New Roman" w:cs="Times New Roman"/>
          <w:color w:val="000000" w:themeColor="text1"/>
          <w:sz w:val="24"/>
          <w:szCs w:val="24"/>
          <w:lang w:val="en-GB"/>
        </w:rPr>
        <w:t>2021). This matrix will ensure there is no ambiguity in responsibilities, and each deliverable will have its own unique path of delegated ownership to ensure transparency, accountability, and collaboration.</w:t>
      </w:r>
    </w:p>
    <w:p w14:paraId="732FD684"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noProof/>
          <w:color w:val="000000" w:themeColor="text1"/>
          <w:sz w:val="24"/>
          <w:szCs w:val="24"/>
          <w:lang w:val="en-IN"/>
        </w:rPr>
        <w:lastRenderedPageBreak/>
        <w:drawing>
          <wp:inline distT="114300" distB="114300" distL="114300" distR="114300" wp14:anchorId="728EDDC1" wp14:editId="6DDE1D69">
            <wp:extent cx="5943600" cy="5918200"/>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5918200"/>
                    </a:xfrm>
                    <a:prstGeom prst="rect">
                      <a:avLst/>
                    </a:prstGeom>
                    <a:ln w="12700">
                      <a:solidFill>
                        <a:srgbClr val="000000"/>
                      </a:solidFill>
                      <a:prstDash val="solid"/>
                    </a:ln>
                  </pic:spPr>
                </pic:pic>
              </a:graphicData>
            </a:graphic>
          </wp:inline>
        </w:drawing>
      </w:r>
    </w:p>
    <w:p w14:paraId="0D457FDD" w14:textId="77777777" w:rsidR="00F75D9B" w:rsidRPr="004D3AC5" w:rsidRDefault="00F632C5" w:rsidP="004D3AC5">
      <w:pPr>
        <w:spacing w:line="360" w:lineRule="auto"/>
        <w:jc w:val="center"/>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Figure 6: RACI Matrix</w:t>
      </w:r>
    </w:p>
    <w:p w14:paraId="3E470924" w14:textId="77777777" w:rsidR="00F75D9B" w:rsidRPr="004D3AC5" w:rsidRDefault="00F632C5" w:rsidP="004D3AC5">
      <w:pPr>
        <w:spacing w:line="360" w:lineRule="auto"/>
        <w:jc w:val="center"/>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(Source: Self-created)</w:t>
      </w:r>
    </w:p>
    <w:p w14:paraId="46368B56" w14:textId="77777777" w:rsidR="00F75D9B" w:rsidRPr="004D3AC5" w:rsidRDefault="00F632C5" w:rsidP="004D3AC5">
      <w:pPr>
        <w:spacing w:line="360" w:lineRule="auto"/>
        <w:jc w:val="both"/>
        <w:rPr>
          <w:rFonts w:ascii="Times New Roman" w:eastAsia="Times New Roman" w:hAnsi="Times New Roman" w:cs="Times New Roman"/>
          <w:b/>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Keywords:</w:t>
      </w:r>
    </w:p>
    <w:p w14:paraId="358C333E"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R</w:t>
      </w:r>
      <w:r w:rsidRPr="004D3AC5">
        <w:rPr>
          <w:rFonts w:ascii="Times New Roman" w:eastAsia="Times New Roman" w:hAnsi="Times New Roman" w:cs="Times New Roman"/>
          <w:color w:val="000000" w:themeColor="text1"/>
          <w:sz w:val="24"/>
          <w:szCs w:val="24"/>
          <w:lang w:val="en-GB"/>
        </w:rPr>
        <w:t xml:space="preserve"> – “Responsible (performs the work)”</w:t>
      </w:r>
    </w:p>
    <w:p w14:paraId="5E96928F"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A</w:t>
      </w:r>
      <w:r w:rsidRPr="004D3AC5">
        <w:rPr>
          <w:rFonts w:ascii="Times New Roman" w:eastAsia="Times New Roman" w:hAnsi="Times New Roman" w:cs="Times New Roman"/>
          <w:color w:val="000000" w:themeColor="text1"/>
          <w:sz w:val="24"/>
          <w:szCs w:val="24"/>
          <w:lang w:val="en-GB"/>
        </w:rPr>
        <w:t xml:space="preserve"> – “Accountable (ultimate responsibility)”</w:t>
      </w:r>
    </w:p>
    <w:p w14:paraId="51816B43"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C</w:t>
      </w:r>
      <w:r w:rsidRPr="004D3AC5">
        <w:rPr>
          <w:rFonts w:ascii="Times New Roman" w:eastAsia="Times New Roman" w:hAnsi="Times New Roman" w:cs="Times New Roman"/>
          <w:color w:val="000000" w:themeColor="text1"/>
          <w:sz w:val="24"/>
          <w:szCs w:val="24"/>
          <w:lang w:val="en-GB"/>
        </w:rPr>
        <w:t xml:space="preserve"> – “Consulted (provides input)”</w:t>
      </w:r>
    </w:p>
    <w:p w14:paraId="6CFCD815"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b/>
          <w:color w:val="000000" w:themeColor="text1"/>
          <w:sz w:val="24"/>
          <w:szCs w:val="24"/>
          <w:lang w:val="en-GB"/>
        </w:rPr>
        <w:t>I</w:t>
      </w:r>
      <w:r w:rsidRPr="004D3AC5">
        <w:rPr>
          <w:rFonts w:ascii="Times New Roman" w:eastAsia="Times New Roman" w:hAnsi="Times New Roman" w:cs="Times New Roman"/>
          <w:color w:val="000000" w:themeColor="text1"/>
          <w:sz w:val="24"/>
          <w:szCs w:val="24"/>
          <w:lang w:val="en-GB"/>
        </w:rPr>
        <w:t xml:space="preserve"> – “Informed (kept updated)”</w:t>
      </w:r>
    </w:p>
    <w:p w14:paraId="3AFA894D" w14:textId="77777777" w:rsidR="00F75D9B" w:rsidRPr="004D3AC5" w:rsidRDefault="00F632C5" w:rsidP="004D3AC5">
      <w:pPr>
        <w:pStyle w:val="Heading1"/>
        <w:spacing w:before="0" w:after="0"/>
        <w:rPr>
          <w:rFonts w:cs="Times New Roman"/>
          <w:color w:val="000000" w:themeColor="text1"/>
          <w:lang w:val="en-GB"/>
        </w:rPr>
      </w:pPr>
      <w:bookmarkStart w:id="16" w:name="_Toc211260655"/>
      <w:r w:rsidRPr="004D3AC5">
        <w:rPr>
          <w:rFonts w:cs="Times New Roman"/>
          <w:color w:val="000000" w:themeColor="text1"/>
          <w:lang w:val="en-GB"/>
        </w:rPr>
        <w:t>9. Risk and Quality Management</w:t>
      </w:r>
      <w:bookmarkEnd w:id="16"/>
    </w:p>
    <w:p w14:paraId="38722990"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Taking risks and managing quality are a vital part of maintaining integrity in a project. Risks may include sponsors backing out, not enough participants signing up, and digital equipment </w:t>
      </w:r>
      <w:r w:rsidRPr="004D3AC5">
        <w:rPr>
          <w:rFonts w:ascii="Times New Roman" w:eastAsia="Times New Roman" w:hAnsi="Times New Roman" w:cs="Times New Roman"/>
          <w:color w:val="000000" w:themeColor="text1"/>
          <w:sz w:val="24"/>
          <w:szCs w:val="24"/>
          <w:lang w:val="en-GB"/>
        </w:rPr>
        <w:lastRenderedPageBreak/>
        <w:t xml:space="preserve">not working during the event (Dvorsky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2021). To prepare for this, early contracts will be signed with backup trainers (or sponsors) as an option. In addition, a contingency will be set aside for unexpected expenses (10% of the whole budget). Quality of experience will be managed through rehearsing before the event, monitoring sustainability standards (of beauty products), and real-time input from professionals attending the event (Tillema </w:t>
      </w:r>
      <w:r w:rsidRPr="004D3AC5">
        <w:rPr>
          <w:rFonts w:ascii="Times New Roman" w:eastAsia="Times New Roman" w:hAnsi="Times New Roman" w:cs="Times New Roman"/>
          <w:i/>
          <w:color w:val="000000" w:themeColor="text1"/>
          <w:sz w:val="24"/>
          <w:szCs w:val="24"/>
          <w:lang w:val="en-GB"/>
        </w:rPr>
        <w:t>et al.</w:t>
      </w:r>
      <w:r w:rsidRPr="004D3AC5">
        <w:rPr>
          <w:rFonts w:ascii="Times New Roman" w:eastAsia="Times New Roman" w:hAnsi="Times New Roman" w:cs="Times New Roman"/>
          <w:color w:val="000000" w:themeColor="text1"/>
          <w:sz w:val="24"/>
          <w:szCs w:val="24"/>
          <w:lang w:val="en-GB"/>
        </w:rPr>
        <w:t xml:space="preserve">, 2022). All materials and services provided at the event will adhere to ethical and environmental standards that have been sanctioned by the sustainable beauty sector in the UK. </w:t>
      </w:r>
    </w:p>
    <w:p w14:paraId="0EB143F2" w14:textId="77777777" w:rsidR="00F75D9B" w:rsidRPr="004D3AC5" w:rsidRDefault="00F632C5" w:rsidP="004D3AC5">
      <w:pPr>
        <w:pStyle w:val="Heading1"/>
        <w:spacing w:before="0" w:after="0"/>
        <w:rPr>
          <w:rFonts w:cs="Times New Roman"/>
          <w:color w:val="000000" w:themeColor="text1"/>
          <w:lang w:val="en-GB"/>
        </w:rPr>
      </w:pPr>
      <w:bookmarkStart w:id="17" w:name="_Toc211260656"/>
      <w:r w:rsidRPr="004D3AC5">
        <w:rPr>
          <w:rFonts w:cs="Times New Roman"/>
          <w:color w:val="000000" w:themeColor="text1"/>
          <w:lang w:val="en-GB"/>
        </w:rPr>
        <w:t>10. Conclusion</w:t>
      </w:r>
      <w:bookmarkEnd w:id="17"/>
    </w:p>
    <w:p w14:paraId="41884B18" w14:textId="77777777" w:rsidR="00F75D9B" w:rsidRPr="004D3AC5" w:rsidRDefault="00F632C5"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In summary, the “Beauty Workshop” and “Training Event” are a complex project that incorporates professional development, sustainable beauty practices, and collaborative business practices. By identifying deliverables, details of the communication plan have been discussed, and the use of work, product and organisation breakdown structure will be used to support effective accountability and management of the project. By outlining milestones, RACI, and considering risk, the project is more likely to be a successful piece of business. Ultimately, the event will benefit the professionals participating to enhance their professional beauty skills and support collaboration among beauty brands, trainers, and academies throughout the UK as part of the increasing ethical and sustainable beauty business.</w:t>
      </w:r>
    </w:p>
    <w:p w14:paraId="24B5A9B1" w14:textId="77777777" w:rsidR="00F75D9B" w:rsidRPr="004D3AC5" w:rsidRDefault="00F632C5" w:rsidP="004D3AC5">
      <w:pPr>
        <w:spacing w:line="360" w:lineRule="auto"/>
        <w:jc w:val="both"/>
        <w:rPr>
          <w:rFonts w:ascii="Times New Roman" w:eastAsia="Times New Roman" w:hAnsi="Times New Roman" w:cs="Times New Roman"/>
          <w:i/>
          <w:color w:val="000000" w:themeColor="text1"/>
          <w:sz w:val="24"/>
          <w:szCs w:val="24"/>
          <w:lang w:val="en-GB"/>
        </w:rPr>
      </w:pPr>
      <w:r w:rsidRPr="004D3AC5">
        <w:rPr>
          <w:rFonts w:ascii="Times New Roman" w:hAnsi="Times New Roman" w:cs="Times New Roman"/>
          <w:color w:val="000000" w:themeColor="text1"/>
          <w:sz w:val="24"/>
          <w:szCs w:val="24"/>
          <w:lang w:val="en-GB"/>
        </w:rPr>
        <w:br w:type="page"/>
      </w:r>
    </w:p>
    <w:p w14:paraId="683BBA33" w14:textId="77777777" w:rsidR="00F75D9B" w:rsidRPr="004D3AC5" w:rsidRDefault="00F632C5" w:rsidP="004D3AC5">
      <w:pPr>
        <w:pStyle w:val="Heading1"/>
        <w:spacing w:before="0" w:after="0"/>
        <w:rPr>
          <w:rFonts w:cs="Times New Roman"/>
          <w:color w:val="000000" w:themeColor="text1"/>
          <w:lang w:val="en-GB"/>
        </w:rPr>
      </w:pPr>
      <w:bookmarkStart w:id="18" w:name="_Toc211260657"/>
      <w:r w:rsidRPr="004D3AC5">
        <w:rPr>
          <w:rFonts w:cs="Times New Roman"/>
          <w:color w:val="000000" w:themeColor="text1"/>
          <w:lang w:val="en-GB"/>
        </w:rPr>
        <w:lastRenderedPageBreak/>
        <w:t>References</w:t>
      </w:r>
      <w:bookmarkEnd w:id="18"/>
      <w:r w:rsidRPr="004D3AC5">
        <w:rPr>
          <w:rFonts w:cs="Times New Roman"/>
          <w:color w:val="000000" w:themeColor="text1"/>
          <w:lang w:val="en-GB"/>
        </w:rPr>
        <w:t xml:space="preserve"> </w:t>
      </w:r>
    </w:p>
    <w:p w14:paraId="6CDFDABD"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proofErr w:type="spellStart"/>
      <w:r w:rsidRPr="004D3AC5">
        <w:rPr>
          <w:rFonts w:ascii="Times New Roman" w:eastAsia="Times New Roman" w:hAnsi="Times New Roman" w:cs="Times New Roman"/>
          <w:color w:val="000000" w:themeColor="text1"/>
          <w:sz w:val="24"/>
          <w:szCs w:val="24"/>
          <w:lang w:val="en-GB"/>
        </w:rPr>
        <w:t>Aulia</w:t>
      </w:r>
      <w:proofErr w:type="spellEnd"/>
      <w:r w:rsidRPr="004D3AC5">
        <w:rPr>
          <w:rFonts w:ascii="Times New Roman" w:eastAsia="Times New Roman" w:hAnsi="Times New Roman" w:cs="Times New Roman"/>
          <w:color w:val="000000" w:themeColor="text1"/>
          <w:sz w:val="24"/>
          <w:szCs w:val="24"/>
          <w:lang w:val="en-GB"/>
        </w:rPr>
        <w:t xml:space="preserve">, M. R., Junaidi, E., and </w:t>
      </w:r>
      <w:proofErr w:type="spellStart"/>
      <w:r w:rsidRPr="004D3AC5">
        <w:rPr>
          <w:rFonts w:ascii="Times New Roman" w:eastAsia="Times New Roman" w:hAnsi="Times New Roman" w:cs="Times New Roman"/>
          <w:color w:val="000000" w:themeColor="text1"/>
          <w:sz w:val="24"/>
          <w:szCs w:val="24"/>
          <w:lang w:val="en-GB"/>
        </w:rPr>
        <w:t>Hendrayani</w:t>
      </w:r>
      <w:proofErr w:type="spellEnd"/>
      <w:r w:rsidRPr="004D3AC5">
        <w:rPr>
          <w:rFonts w:ascii="Times New Roman" w:eastAsia="Times New Roman" w:hAnsi="Times New Roman" w:cs="Times New Roman"/>
          <w:color w:val="000000" w:themeColor="text1"/>
          <w:sz w:val="24"/>
          <w:szCs w:val="24"/>
          <w:lang w:val="en-GB"/>
        </w:rPr>
        <w:t xml:space="preserve">, R. (2024). The development of the partnership program and business performance: In terms of communication </w:t>
      </w:r>
      <w:proofErr w:type="spellStart"/>
      <w:r w:rsidRPr="004D3AC5">
        <w:rPr>
          <w:rFonts w:ascii="Times New Roman" w:eastAsia="Times New Roman" w:hAnsi="Times New Roman" w:cs="Times New Roman"/>
          <w:color w:val="000000" w:themeColor="text1"/>
          <w:sz w:val="24"/>
          <w:szCs w:val="24"/>
          <w:lang w:val="en-GB"/>
        </w:rPr>
        <w:t>behavior</w:t>
      </w:r>
      <w:proofErr w:type="spellEnd"/>
      <w:r w:rsidRPr="004D3AC5">
        <w:rPr>
          <w:rFonts w:ascii="Times New Roman" w:eastAsia="Times New Roman" w:hAnsi="Times New Roman" w:cs="Times New Roman"/>
          <w:color w:val="000000" w:themeColor="text1"/>
          <w:sz w:val="24"/>
          <w:szCs w:val="24"/>
          <w:lang w:val="en-GB"/>
        </w:rPr>
        <w:t xml:space="preserve"> and social networks of MSMEs. </w:t>
      </w:r>
      <w:r w:rsidRPr="004D3AC5">
        <w:rPr>
          <w:rFonts w:ascii="Times New Roman" w:eastAsia="Times New Roman" w:hAnsi="Times New Roman" w:cs="Times New Roman"/>
          <w:i/>
          <w:color w:val="000000" w:themeColor="text1"/>
          <w:sz w:val="24"/>
          <w:szCs w:val="24"/>
          <w:lang w:val="en-GB"/>
        </w:rPr>
        <w:t>Journal of System and Management Sciences</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14</w:t>
      </w:r>
      <w:r w:rsidRPr="004D3AC5">
        <w:rPr>
          <w:rFonts w:ascii="Times New Roman" w:eastAsia="Times New Roman" w:hAnsi="Times New Roman" w:cs="Times New Roman"/>
          <w:color w:val="000000" w:themeColor="text1"/>
          <w:sz w:val="24"/>
          <w:szCs w:val="24"/>
          <w:lang w:val="en-GB"/>
        </w:rPr>
        <w:t>(1), 159-174.</w:t>
      </w:r>
    </w:p>
    <w:p w14:paraId="62D7761A"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proofErr w:type="spellStart"/>
      <w:r w:rsidRPr="004D3AC5">
        <w:rPr>
          <w:rFonts w:ascii="Times New Roman" w:eastAsia="Times New Roman" w:hAnsi="Times New Roman" w:cs="Times New Roman"/>
          <w:color w:val="000000" w:themeColor="text1"/>
          <w:sz w:val="24"/>
          <w:szCs w:val="24"/>
          <w:lang w:val="en-GB"/>
        </w:rPr>
        <w:t>Bakmaz</w:t>
      </w:r>
      <w:proofErr w:type="spellEnd"/>
      <w:r w:rsidRPr="004D3AC5">
        <w:rPr>
          <w:rFonts w:ascii="Times New Roman" w:eastAsia="Times New Roman" w:hAnsi="Times New Roman" w:cs="Times New Roman"/>
          <w:color w:val="000000" w:themeColor="text1"/>
          <w:sz w:val="24"/>
          <w:szCs w:val="24"/>
          <w:lang w:val="en-GB"/>
        </w:rPr>
        <w:t xml:space="preserve">, O., Bjelica, B., and Vitomir, J. (2023). Application of software solutions in companies that strive to achieve increased financial stability in their regular business. </w:t>
      </w:r>
      <w:r w:rsidRPr="004D3AC5">
        <w:rPr>
          <w:rFonts w:ascii="Times New Roman" w:eastAsia="Times New Roman" w:hAnsi="Times New Roman" w:cs="Times New Roman"/>
          <w:i/>
          <w:color w:val="000000" w:themeColor="text1"/>
          <w:sz w:val="24"/>
          <w:szCs w:val="24"/>
          <w:lang w:val="en-GB"/>
        </w:rPr>
        <w:t>Temel-IJ</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7</w:t>
      </w:r>
      <w:r w:rsidRPr="004D3AC5">
        <w:rPr>
          <w:rFonts w:ascii="Times New Roman" w:eastAsia="Times New Roman" w:hAnsi="Times New Roman" w:cs="Times New Roman"/>
          <w:color w:val="000000" w:themeColor="text1"/>
          <w:sz w:val="24"/>
          <w:szCs w:val="24"/>
          <w:lang w:val="en-GB"/>
        </w:rPr>
        <w:t>, 1-13.</w:t>
      </w:r>
    </w:p>
    <w:p w14:paraId="7EDA9D95"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proofErr w:type="spellStart"/>
      <w:r w:rsidRPr="004D3AC5">
        <w:rPr>
          <w:rFonts w:ascii="Times New Roman" w:eastAsia="Times New Roman" w:hAnsi="Times New Roman" w:cs="Times New Roman"/>
          <w:color w:val="000000" w:themeColor="text1"/>
          <w:sz w:val="24"/>
          <w:szCs w:val="24"/>
          <w:lang w:val="en-GB"/>
        </w:rPr>
        <w:t>Bevolo</w:t>
      </w:r>
      <w:proofErr w:type="spellEnd"/>
      <w:r w:rsidRPr="004D3AC5">
        <w:rPr>
          <w:rFonts w:ascii="Times New Roman" w:eastAsia="Times New Roman" w:hAnsi="Times New Roman" w:cs="Times New Roman"/>
          <w:color w:val="000000" w:themeColor="text1"/>
          <w:sz w:val="24"/>
          <w:szCs w:val="24"/>
          <w:lang w:val="en-GB"/>
        </w:rPr>
        <w:t xml:space="preserve">, M., and Amati, F. (2024). The future of business events in the “phygital” age: development of a generative tool: A qualitative research project combining Design Research and foresight principles to co-design and develop a futures matrix for potential implementation by business event designers and managers. </w:t>
      </w:r>
      <w:r w:rsidRPr="004D3AC5">
        <w:rPr>
          <w:rFonts w:ascii="Times New Roman" w:eastAsia="Times New Roman" w:hAnsi="Times New Roman" w:cs="Times New Roman"/>
          <w:i/>
          <w:color w:val="000000" w:themeColor="text1"/>
          <w:sz w:val="24"/>
          <w:szCs w:val="24"/>
          <w:lang w:val="en-GB"/>
        </w:rPr>
        <w:t>World Leisure Journal</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66</w:t>
      </w:r>
      <w:r w:rsidRPr="004D3AC5">
        <w:rPr>
          <w:rFonts w:ascii="Times New Roman" w:eastAsia="Times New Roman" w:hAnsi="Times New Roman" w:cs="Times New Roman"/>
          <w:color w:val="000000" w:themeColor="text1"/>
          <w:sz w:val="24"/>
          <w:szCs w:val="24"/>
          <w:lang w:val="en-GB"/>
        </w:rPr>
        <w:t>(1), 92-115.</w:t>
      </w:r>
    </w:p>
    <w:p w14:paraId="23DC4AAD"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Bondarenko, S., Shlafman, N., </w:t>
      </w:r>
      <w:proofErr w:type="spellStart"/>
      <w:r w:rsidRPr="004D3AC5">
        <w:rPr>
          <w:rFonts w:ascii="Times New Roman" w:eastAsia="Times New Roman" w:hAnsi="Times New Roman" w:cs="Times New Roman"/>
          <w:color w:val="000000" w:themeColor="text1"/>
          <w:sz w:val="24"/>
          <w:szCs w:val="24"/>
          <w:lang w:val="en-GB"/>
        </w:rPr>
        <w:t>Kuprina</w:t>
      </w:r>
      <w:proofErr w:type="spellEnd"/>
      <w:r w:rsidRPr="004D3AC5">
        <w:rPr>
          <w:rFonts w:ascii="Times New Roman" w:eastAsia="Times New Roman" w:hAnsi="Times New Roman" w:cs="Times New Roman"/>
          <w:color w:val="000000" w:themeColor="text1"/>
          <w:sz w:val="24"/>
          <w:szCs w:val="24"/>
          <w:lang w:val="en-GB"/>
        </w:rPr>
        <w:t xml:space="preserve">, N., </w:t>
      </w:r>
      <w:proofErr w:type="spellStart"/>
      <w:r w:rsidRPr="004D3AC5">
        <w:rPr>
          <w:rFonts w:ascii="Times New Roman" w:eastAsia="Times New Roman" w:hAnsi="Times New Roman" w:cs="Times New Roman"/>
          <w:color w:val="000000" w:themeColor="text1"/>
          <w:sz w:val="24"/>
          <w:szCs w:val="24"/>
          <w:lang w:val="en-GB"/>
        </w:rPr>
        <w:t>Kalaman</w:t>
      </w:r>
      <w:proofErr w:type="spellEnd"/>
      <w:r w:rsidRPr="004D3AC5">
        <w:rPr>
          <w:rFonts w:ascii="Times New Roman" w:eastAsia="Times New Roman" w:hAnsi="Times New Roman" w:cs="Times New Roman"/>
          <w:color w:val="000000" w:themeColor="text1"/>
          <w:sz w:val="24"/>
          <w:szCs w:val="24"/>
          <w:lang w:val="en-GB"/>
        </w:rPr>
        <w:t xml:space="preserve">, O., </w:t>
      </w:r>
      <w:proofErr w:type="spellStart"/>
      <w:r w:rsidRPr="004D3AC5">
        <w:rPr>
          <w:rFonts w:ascii="Times New Roman" w:eastAsia="Times New Roman" w:hAnsi="Times New Roman" w:cs="Times New Roman"/>
          <w:color w:val="000000" w:themeColor="text1"/>
          <w:sz w:val="24"/>
          <w:szCs w:val="24"/>
          <w:lang w:val="en-GB"/>
        </w:rPr>
        <w:t>Moravska</w:t>
      </w:r>
      <w:proofErr w:type="spellEnd"/>
      <w:r w:rsidRPr="004D3AC5">
        <w:rPr>
          <w:rFonts w:ascii="Times New Roman" w:eastAsia="Times New Roman" w:hAnsi="Times New Roman" w:cs="Times New Roman"/>
          <w:color w:val="000000" w:themeColor="text1"/>
          <w:sz w:val="24"/>
          <w:szCs w:val="24"/>
          <w:lang w:val="en-GB"/>
        </w:rPr>
        <w:t xml:space="preserve">, O., and Tsurkan, N. (2021). Planning, accounting and control as risk management tools for small business investment projects. </w:t>
      </w:r>
      <w:r w:rsidRPr="004D3AC5">
        <w:rPr>
          <w:rFonts w:ascii="Times New Roman" w:eastAsia="Times New Roman" w:hAnsi="Times New Roman" w:cs="Times New Roman"/>
          <w:i/>
          <w:color w:val="000000" w:themeColor="text1"/>
          <w:sz w:val="24"/>
          <w:szCs w:val="24"/>
          <w:lang w:val="en-GB"/>
        </w:rPr>
        <w:t>Emerging Science Journal</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5</w:t>
      </w:r>
      <w:r w:rsidRPr="004D3AC5">
        <w:rPr>
          <w:rFonts w:ascii="Times New Roman" w:eastAsia="Times New Roman" w:hAnsi="Times New Roman" w:cs="Times New Roman"/>
          <w:color w:val="000000" w:themeColor="text1"/>
          <w:sz w:val="24"/>
          <w:szCs w:val="24"/>
          <w:lang w:val="en-GB"/>
        </w:rPr>
        <w:t>(5), 650-666.</w:t>
      </w:r>
    </w:p>
    <w:p w14:paraId="552997E7"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Castro, M. S., Bahli, B., </w:t>
      </w:r>
      <w:proofErr w:type="spellStart"/>
      <w:r w:rsidRPr="004D3AC5">
        <w:rPr>
          <w:rFonts w:ascii="Times New Roman" w:eastAsia="Times New Roman" w:hAnsi="Times New Roman" w:cs="Times New Roman"/>
          <w:color w:val="000000" w:themeColor="text1"/>
          <w:sz w:val="24"/>
          <w:szCs w:val="24"/>
          <w:lang w:val="en-GB"/>
        </w:rPr>
        <w:t>Barcaui</w:t>
      </w:r>
      <w:proofErr w:type="spellEnd"/>
      <w:r w:rsidRPr="004D3AC5">
        <w:rPr>
          <w:rFonts w:ascii="Times New Roman" w:eastAsia="Times New Roman" w:hAnsi="Times New Roman" w:cs="Times New Roman"/>
          <w:color w:val="000000" w:themeColor="text1"/>
          <w:sz w:val="24"/>
          <w:szCs w:val="24"/>
          <w:lang w:val="en-GB"/>
        </w:rPr>
        <w:t xml:space="preserve">, A., and Figueiredo, R. (2021). Does one project success measure fit all? An empirical investigation of Brazilian projects. </w:t>
      </w:r>
      <w:r w:rsidRPr="004D3AC5">
        <w:rPr>
          <w:rFonts w:ascii="Times New Roman" w:eastAsia="Times New Roman" w:hAnsi="Times New Roman" w:cs="Times New Roman"/>
          <w:i/>
          <w:color w:val="000000" w:themeColor="text1"/>
          <w:sz w:val="24"/>
          <w:szCs w:val="24"/>
          <w:lang w:val="en-GB"/>
        </w:rPr>
        <w:t>International Journal of Managing Projects in Business</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14</w:t>
      </w:r>
      <w:r w:rsidRPr="004D3AC5">
        <w:rPr>
          <w:rFonts w:ascii="Times New Roman" w:eastAsia="Times New Roman" w:hAnsi="Times New Roman" w:cs="Times New Roman"/>
          <w:color w:val="000000" w:themeColor="text1"/>
          <w:sz w:val="24"/>
          <w:szCs w:val="24"/>
          <w:lang w:val="en-GB"/>
        </w:rPr>
        <w:t>(3), 788-805.</w:t>
      </w:r>
    </w:p>
    <w:p w14:paraId="37B55694"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Chen, P. (2024). Research on Business English approaches from the perspective of cross-cultural communication competence. </w:t>
      </w:r>
      <w:r w:rsidRPr="004D3AC5">
        <w:rPr>
          <w:rFonts w:ascii="Times New Roman" w:eastAsia="Times New Roman" w:hAnsi="Times New Roman" w:cs="Times New Roman"/>
          <w:i/>
          <w:color w:val="000000" w:themeColor="text1"/>
          <w:sz w:val="24"/>
          <w:szCs w:val="24"/>
          <w:lang w:val="en-GB"/>
        </w:rPr>
        <w:t>International Journal for Housing Science and Its Applications</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45</w:t>
      </w:r>
      <w:r w:rsidRPr="004D3AC5">
        <w:rPr>
          <w:rFonts w:ascii="Times New Roman" w:eastAsia="Times New Roman" w:hAnsi="Times New Roman" w:cs="Times New Roman"/>
          <w:color w:val="000000" w:themeColor="text1"/>
          <w:sz w:val="24"/>
          <w:szCs w:val="24"/>
          <w:lang w:val="en-GB"/>
        </w:rPr>
        <w:t>, 13-22.</w:t>
      </w:r>
    </w:p>
    <w:p w14:paraId="42C7478E"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proofErr w:type="spellStart"/>
      <w:r w:rsidRPr="004D3AC5">
        <w:rPr>
          <w:rFonts w:ascii="Times New Roman" w:eastAsia="Times New Roman" w:hAnsi="Times New Roman" w:cs="Times New Roman"/>
          <w:color w:val="000000" w:themeColor="text1"/>
          <w:sz w:val="24"/>
          <w:szCs w:val="24"/>
          <w:lang w:val="en-GB"/>
        </w:rPr>
        <w:t>Churacharit</w:t>
      </w:r>
      <w:proofErr w:type="spellEnd"/>
      <w:r w:rsidRPr="004D3AC5">
        <w:rPr>
          <w:rFonts w:ascii="Times New Roman" w:eastAsia="Times New Roman" w:hAnsi="Times New Roman" w:cs="Times New Roman"/>
          <w:color w:val="000000" w:themeColor="text1"/>
          <w:sz w:val="24"/>
          <w:szCs w:val="24"/>
          <w:lang w:val="en-GB"/>
        </w:rPr>
        <w:t xml:space="preserve">, C., and </w:t>
      </w:r>
      <w:proofErr w:type="spellStart"/>
      <w:r w:rsidRPr="004D3AC5">
        <w:rPr>
          <w:rFonts w:ascii="Times New Roman" w:eastAsia="Times New Roman" w:hAnsi="Times New Roman" w:cs="Times New Roman"/>
          <w:color w:val="000000" w:themeColor="text1"/>
          <w:sz w:val="24"/>
          <w:szCs w:val="24"/>
          <w:lang w:val="en-GB"/>
        </w:rPr>
        <w:t>Chutima</w:t>
      </w:r>
      <w:proofErr w:type="spellEnd"/>
      <w:r w:rsidRPr="004D3AC5">
        <w:rPr>
          <w:rFonts w:ascii="Times New Roman" w:eastAsia="Times New Roman" w:hAnsi="Times New Roman" w:cs="Times New Roman"/>
          <w:color w:val="000000" w:themeColor="text1"/>
          <w:sz w:val="24"/>
          <w:szCs w:val="24"/>
          <w:lang w:val="en-GB"/>
        </w:rPr>
        <w:t xml:space="preserve">, P. (2022). An integration of project management body of knowledge and project management information system to improve on-time deliverable of liquefied natural gas station construction projects. </w:t>
      </w:r>
      <w:r w:rsidRPr="004D3AC5">
        <w:rPr>
          <w:rFonts w:ascii="Times New Roman" w:eastAsia="Times New Roman" w:hAnsi="Times New Roman" w:cs="Times New Roman"/>
          <w:i/>
          <w:color w:val="000000" w:themeColor="text1"/>
          <w:sz w:val="24"/>
          <w:szCs w:val="24"/>
          <w:lang w:val="en-GB"/>
        </w:rPr>
        <w:t>Engineering Journal</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26</w:t>
      </w:r>
      <w:r w:rsidRPr="004D3AC5">
        <w:rPr>
          <w:rFonts w:ascii="Times New Roman" w:eastAsia="Times New Roman" w:hAnsi="Times New Roman" w:cs="Times New Roman"/>
          <w:color w:val="000000" w:themeColor="text1"/>
          <w:sz w:val="24"/>
          <w:szCs w:val="24"/>
          <w:lang w:val="en-GB"/>
        </w:rPr>
        <w:t>(1), 55-73.</w:t>
      </w:r>
    </w:p>
    <w:p w14:paraId="7210D99D"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De Angelis, R. (2021). Circular economy and paradox theory: A business model perspective. </w:t>
      </w:r>
      <w:r w:rsidRPr="004D3AC5">
        <w:rPr>
          <w:rFonts w:ascii="Times New Roman" w:eastAsia="Times New Roman" w:hAnsi="Times New Roman" w:cs="Times New Roman"/>
          <w:i/>
          <w:color w:val="000000" w:themeColor="text1"/>
          <w:sz w:val="24"/>
          <w:szCs w:val="24"/>
          <w:lang w:val="en-GB"/>
        </w:rPr>
        <w:t>Journal of Cleaner Production</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285</w:t>
      </w:r>
      <w:r w:rsidRPr="004D3AC5">
        <w:rPr>
          <w:rFonts w:ascii="Times New Roman" w:eastAsia="Times New Roman" w:hAnsi="Times New Roman" w:cs="Times New Roman"/>
          <w:color w:val="000000" w:themeColor="text1"/>
          <w:sz w:val="24"/>
          <w:szCs w:val="24"/>
          <w:lang w:val="en-GB"/>
        </w:rPr>
        <w:t>, 124823.</w:t>
      </w:r>
    </w:p>
    <w:p w14:paraId="0B7963BC"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Dvorsky, J., Belas, J., </w:t>
      </w:r>
      <w:proofErr w:type="spellStart"/>
      <w:r w:rsidRPr="004D3AC5">
        <w:rPr>
          <w:rFonts w:ascii="Times New Roman" w:eastAsia="Times New Roman" w:hAnsi="Times New Roman" w:cs="Times New Roman"/>
          <w:color w:val="000000" w:themeColor="text1"/>
          <w:sz w:val="24"/>
          <w:szCs w:val="24"/>
          <w:lang w:val="en-GB"/>
        </w:rPr>
        <w:t>Gavurova</w:t>
      </w:r>
      <w:proofErr w:type="spellEnd"/>
      <w:r w:rsidRPr="004D3AC5">
        <w:rPr>
          <w:rFonts w:ascii="Times New Roman" w:eastAsia="Times New Roman" w:hAnsi="Times New Roman" w:cs="Times New Roman"/>
          <w:color w:val="000000" w:themeColor="text1"/>
          <w:sz w:val="24"/>
          <w:szCs w:val="24"/>
          <w:lang w:val="en-GB"/>
        </w:rPr>
        <w:t xml:space="preserve">, B., and Brabenec, T. (2021). Business risk management in the context of small and medium-sized enterprises. </w:t>
      </w:r>
      <w:r w:rsidRPr="004D3AC5">
        <w:rPr>
          <w:rFonts w:ascii="Times New Roman" w:eastAsia="Times New Roman" w:hAnsi="Times New Roman" w:cs="Times New Roman"/>
          <w:i/>
          <w:color w:val="000000" w:themeColor="text1"/>
          <w:sz w:val="24"/>
          <w:szCs w:val="24"/>
          <w:lang w:val="en-GB"/>
        </w:rPr>
        <w:t>Economic Research-</w:t>
      </w:r>
      <w:proofErr w:type="spellStart"/>
      <w:r w:rsidRPr="004D3AC5">
        <w:rPr>
          <w:rFonts w:ascii="Times New Roman" w:eastAsia="Times New Roman" w:hAnsi="Times New Roman" w:cs="Times New Roman"/>
          <w:i/>
          <w:color w:val="000000" w:themeColor="text1"/>
          <w:sz w:val="24"/>
          <w:szCs w:val="24"/>
          <w:lang w:val="en-GB"/>
        </w:rPr>
        <w:t>Ekonomska</w:t>
      </w:r>
      <w:proofErr w:type="spellEnd"/>
      <w:r w:rsidRPr="004D3AC5">
        <w:rPr>
          <w:rFonts w:ascii="Times New Roman" w:eastAsia="Times New Roman" w:hAnsi="Times New Roman" w:cs="Times New Roman"/>
          <w:i/>
          <w:color w:val="000000" w:themeColor="text1"/>
          <w:sz w:val="24"/>
          <w:szCs w:val="24"/>
          <w:lang w:val="en-GB"/>
        </w:rPr>
        <w:t xml:space="preserve"> </w:t>
      </w:r>
      <w:proofErr w:type="spellStart"/>
      <w:r w:rsidRPr="004D3AC5">
        <w:rPr>
          <w:rFonts w:ascii="Times New Roman" w:eastAsia="Times New Roman" w:hAnsi="Times New Roman" w:cs="Times New Roman"/>
          <w:i/>
          <w:color w:val="000000" w:themeColor="text1"/>
          <w:sz w:val="24"/>
          <w:szCs w:val="24"/>
          <w:lang w:val="en-GB"/>
        </w:rPr>
        <w:t>Istraživanja</w:t>
      </w:r>
      <w:proofErr w:type="spellEnd"/>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34</w:t>
      </w:r>
      <w:r w:rsidRPr="004D3AC5">
        <w:rPr>
          <w:rFonts w:ascii="Times New Roman" w:eastAsia="Times New Roman" w:hAnsi="Times New Roman" w:cs="Times New Roman"/>
          <w:color w:val="000000" w:themeColor="text1"/>
          <w:sz w:val="24"/>
          <w:szCs w:val="24"/>
          <w:lang w:val="en-GB"/>
        </w:rPr>
        <w:t>(1), 1690-1708.</w:t>
      </w:r>
    </w:p>
    <w:p w14:paraId="4AF3D4F9"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Granizo, X., Sánchez, J., Naula, B., y </w:t>
      </w:r>
      <w:proofErr w:type="spellStart"/>
      <w:r w:rsidRPr="004D3AC5">
        <w:rPr>
          <w:rFonts w:ascii="Times New Roman" w:eastAsia="Times New Roman" w:hAnsi="Times New Roman" w:cs="Times New Roman"/>
          <w:color w:val="000000" w:themeColor="text1"/>
          <w:sz w:val="24"/>
          <w:szCs w:val="24"/>
          <w:lang w:val="en-GB"/>
        </w:rPr>
        <w:t>Pazmiño</w:t>
      </w:r>
      <w:proofErr w:type="spellEnd"/>
      <w:r w:rsidRPr="004D3AC5">
        <w:rPr>
          <w:rFonts w:ascii="Times New Roman" w:eastAsia="Times New Roman" w:hAnsi="Times New Roman" w:cs="Times New Roman"/>
          <w:color w:val="000000" w:themeColor="text1"/>
          <w:sz w:val="24"/>
          <w:szCs w:val="24"/>
          <w:lang w:val="en-GB"/>
        </w:rPr>
        <w:t xml:space="preserve">, D. (2021). Communication plan as a tool for business positioning. </w:t>
      </w:r>
      <w:r w:rsidRPr="004D3AC5">
        <w:rPr>
          <w:rFonts w:ascii="Times New Roman" w:eastAsia="Times New Roman" w:hAnsi="Times New Roman" w:cs="Times New Roman"/>
          <w:i/>
          <w:color w:val="000000" w:themeColor="text1"/>
          <w:sz w:val="24"/>
          <w:szCs w:val="24"/>
          <w:lang w:val="en-GB"/>
        </w:rPr>
        <w:t>ESPOCH Congresses: The Ecuadorian Journal of STEAM</w:t>
      </w:r>
      <w:r w:rsidRPr="004D3AC5">
        <w:rPr>
          <w:rFonts w:ascii="Times New Roman" w:eastAsia="Times New Roman" w:hAnsi="Times New Roman" w:cs="Times New Roman"/>
          <w:color w:val="000000" w:themeColor="text1"/>
          <w:sz w:val="24"/>
          <w:szCs w:val="24"/>
          <w:lang w:val="en-GB"/>
        </w:rPr>
        <w:t>, 608-628.</w:t>
      </w:r>
    </w:p>
    <w:p w14:paraId="073E3EB6"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Hermans, A. M. (2021). </w:t>
      </w:r>
      <w:r w:rsidRPr="004D3AC5">
        <w:rPr>
          <w:rFonts w:ascii="Times New Roman" w:eastAsia="Times New Roman" w:hAnsi="Times New Roman" w:cs="Times New Roman"/>
          <w:i/>
          <w:color w:val="000000" w:themeColor="text1"/>
          <w:sz w:val="24"/>
          <w:szCs w:val="24"/>
          <w:lang w:val="en-GB"/>
        </w:rPr>
        <w:t>Discourses of perfection: Representing cosmetic procedures and beauty products in UK lifestyle magazines</w:t>
      </w:r>
      <w:r w:rsidRPr="004D3AC5">
        <w:rPr>
          <w:rFonts w:ascii="Times New Roman" w:eastAsia="Times New Roman" w:hAnsi="Times New Roman" w:cs="Times New Roman"/>
          <w:color w:val="000000" w:themeColor="text1"/>
          <w:sz w:val="24"/>
          <w:szCs w:val="24"/>
          <w:lang w:val="en-GB"/>
        </w:rPr>
        <w:t>. Routledge.</w:t>
      </w:r>
    </w:p>
    <w:p w14:paraId="79F86EF5"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lastRenderedPageBreak/>
        <w:t xml:space="preserve">Koo, H. J., and O’Connor, J. T. (2021). Complexity analysis of design deliverable defects on building projects. </w:t>
      </w:r>
      <w:r w:rsidRPr="004D3AC5">
        <w:rPr>
          <w:rFonts w:ascii="Times New Roman" w:eastAsia="Times New Roman" w:hAnsi="Times New Roman" w:cs="Times New Roman"/>
          <w:i/>
          <w:color w:val="000000" w:themeColor="text1"/>
          <w:sz w:val="24"/>
          <w:szCs w:val="24"/>
          <w:lang w:val="en-GB"/>
        </w:rPr>
        <w:t>Journal of management in engineering</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37</w:t>
      </w:r>
      <w:r w:rsidRPr="004D3AC5">
        <w:rPr>
          <w:rFonts w:ascii="Times New Roman" w:eastAsia="Times New Roman" w:hAnsi="Times New Roman" w:cs="Times New Roman"/>
          <w:color w:val="000000" w:themeColor="text1"/>
          <w:sz w:val="24"/>
          <w:szCs w:val="24"/>
          <w:lang w:val="en-GB"/>
        </w:rPr>
        <w:t>(3), 04021014.</w:t>
      </w:r>
    </w:p>
    <w:p w14:paraId="4AC5989A"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Mio, C., Costantini, A., and Panfilo, S. (2022). Performance measurement tools for sustainable business: A systematic literature review on the sustainability balanced scorecard use. </w:t>
      </w:r>
      <w:r w:rsidRPr="004D3AC5">
        <w:rPr>
          <w:rFonts w:ascii="Times New Roman" w:eastAsia="Times New Roman" w:hAnsi="Times New Roman" w:cs="Times New Roman"/>
          <w:i/>
          <w:color w:val="000000" w:themeColor="text1"/>
          <w:sz w:val="24"/>
          <w:szCs w:val="24"/>
          <w:lang w:val="en-GB"/>
        </w:rPr>
        <w:t>Corporate social responsibility and environmental management</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29</w:t>
      </w:r>
      <w:r w:rsidRPr="004D3AC5">
        <w:rPr>
          <w:rFonts w:ascii="Times New Roman" w:eastAsia="Times New Roman" w:hAnsi="Times New Roman" w:cs="Times New Roman"/>
          <w:color w:val="000000" w:themeColor="text1"/>
          <w:sz w:val="24"/>
          <w:szCs w:val="24"/>
          <w:lang w:val="en-GB"/>
        </w:rPr>
        <w:t>(2), 367-384.</w:t>
      </w:r>
    </w:p>
    <w:p w14:paraId="197C1F7E"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Nhani, G. B. B., Di Filippo, L. D., de Paula, G. A., </w:t>
      </w:r>
      <w:proofErr w:type="spellStart"/>
      <w:r w:rsidRPr="004D3AC5">
        <w:rPr>
          <w:rFonts w:ascii="Times New Roman" w:eastAsia="Times New Roman" w:hAnsi="Times New Roman" w:cs="Times New Roman"/>
          <w:color w:val="000000" w:themeColor="text1"/>
          <w:sz w:val="24"/>
          <w:szCs w:val="24"/>
          <w:lang w:val="en-GB"/>
        </w:rPr>
        <w:t>Mantovanelli</w:t>
      </w:r>
      <w:proofErr w:type="spellEnd"/>
      <w:r w:rsidRPr="004D3AC5">
        <w:rPr>
          <w:rFonts w:ascii="Times New Roman" w:eastAsia="Times New Roman" w:hAnsi="Times New Roman" w:cs="Times New Roman"/>
          <w:color w:val="000000" w:themeColor="text1"/>
          <w:sz w:val="24"/>
          <w:szCs w:val="24"/>
          <w:lang w:val="en-GB"/>
        </w:rPr>
        <w:t xml:space="preserve">, V. R., da Fonseca, P. P., Tashiro, F. M., ... and </w:t>
      </w:r>
      <w:proofErr w:type="spellStart"/>
      <w:r w:rsidRPr="004D3AC5">
        <w:rPr>
          <w:rFonts w:ascii="Times New Roman" w:eastAsia="Times New Roman" w:hAnsi="Times New Roman" w:cs="Times New Roman"/>
          <w:color w:val="000000" w:themeColor="text1"/>
          <w:sz w:val="24"/>
          <w:szCs w:val="24"/>
          <w:lang w:val="en-GB"/>
        </w:rPr>
        <w:t>Chorilli</w:t>
      </w:r>
      <w:proofErr w:type="spellEnd"/>
      <w:r w:rsidRPr="004D3AC5">
        <w:rPr>
          <w:rFonts w:ascii="Times New Roman" w:eastAsia="Times New Roman" w:hAnsi="Times New Roman" w:cs="Times New Roman"/>
          <w:color w:val="000000" w:themeColor="text1"/>
          <w:sz w:val="24"/>
          <w:szCs w:val="24"/>
          <w:lang w:val="en-GB"/>
        </w:rPr>
        <w:t xml:space="preserve">, M. (2024). High-tech sustainable beauty: Exploring nanotechnology for the development of cosmetics using plant and animal by-products. </w:t>
      </w:r>
      <w:r w:rsidRPr="004D3AC5">
        <w:rPr>
          <w:rFonts w:ascii="Times New Roman" w:eastAsia="Times New Roman" w:hAnsi="Times New Roman" w:cs="Times New Roman"/>
          <w:i/>
          <w:color w:val="000000" w:themeColor="text1"/>
          <w:sz w:val="24"/>
          <w:szCs w:val="24"/>
          <w:lang w:val="en-GB"/>
        </w:rPr>
        <w:t>Cosmetics</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11</w:t>
      </w:r>
      <w:r w:rsidRPr="004D3AC5">
        <w:rPr>
          <w:rFonts w:ascii="Times New Roman" w:eastAsia="Times New Roman" w:hAnsi="Times New Roman" w:cs="Times New Roman"/>
          <w:color w:val="000000" w:themeColor="text1"/>
          <w:sz w:val="24"/>
          <w:szCs w:val="24"/>
          <w:lang w:val="en-GB"/>
        </w:rPr>
        <w:t>(4), 112.</w:t>
      </w:r>
    </w:p>
    <w:p w14:paraId="49D0EC8E"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Obi, B. I. N., Eze, T. I., and Chibuzo, N. F. (2022). Experiential learning activities in business education for developing 21st century competencies. </w:t>
      </w:r>
      <w:r w:rsidRPr="004D3AC5">
        <w:rPr>
          <w:rFonts w:ascii="Times New Roman" w:eastAsia="Times New Roman" w:hAnsi="Times New Roman" w:cs="Times New Roman"/>
          <w:i/>
          <w:color w:val="000000" w:themeColor="text1"/>
          <w:sz w:val="24"/>
          <w:szCs w:val="24"/>
          <w:lang w:val="en-GB"/>
        </w:rPr>
        <w:t>Journal of Education for business</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97</w:t>
      </w:r>
      <w:r w:rsidRPr="004D3AC5">
        <w:rPr>
          <w:rFonts w:ascii="Times New Roman" w:eastAsia="Times New Roman" w:hAnsi="Times New Roman" w:cs="Times New Roman"/>
          <w:color w:val="000000" w:themeColor="text1"/>
          <w:sz w:val="24"/>
          <w:szCs w:val="24"/>
          <w:lang w:val="en-GB"/>
        </w:rPr>
        <w:t>(1), 36-42.</w:t>
      </w:r>
    </w:p>
    <w:p w14:paraId="6F0FDDDF"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proofErr w:type="spellStart"/>
      <w:r w:rsidRPr="004D3AC5">
        <w:rPr>
          <w:rFonts w:ascii="Times New Roman" w:eastAsia="Times New Roman" w:hAnsi="Times New Roman" w:cs="Times New Roman"/>
          <w:color w:val="000000" w:themeColor="text1"/>
          <w:sz w:val="24"/>
          <w:szCs w:val="24"/>
          <w:lang w:val="en-GB"/>
        </w:rPr>
        <w:t>Setyowati</w:t>
      </w:r>
      <w:proofErr w:type="spellEnd"/>
      <w:r w:rsidRPr="004D3AC5">
        <w:rPr>
          <w:rFonts w:ascii="Times New Roman" w:eastAsia="Times New Roman" w:hAnsi="Times New Roman" w:cs="Times New Roman"/>
          <w:color w:val="000000" w:themeColor="text1"/>
          <w:sz w:val="24"/>
          <w:szCs w:val="24"/>
          <w:lang w:val="en-GB"/>
        </w:rPr>
        <w:t xml:space="preserve">, W., </w:t>
      </w:r>
      <w:proofErr w:type="spellStart"/>
      <w:r w:rsidRPr="004D3AC5">
        <w:rPr>
          <w:rFonts w:ascii="Times New Roman" w:eastAsia="Times New Roman" w:hAnsi="Times New Roman" w:cs="Times New Roman"/>
          <w:color w:val="000000" w:themeColor="text1"/>
          <w:sz w:val="24"/>
          <w:szCs w:val="24"/>
          <w:lang w:val="en-GB"/>
        </w:rPr>
        <w:t>Widayanti</w:t>
      </w:r>
      <w:proofErr w:type="spellEnd"/>
      <w:r w:rsidRPr="004D3AC5">
        <w:rPr>
          <w:rFonts w:ascii="Times New Roman" w:eastAsia="Times New Roman" w:hAnsi="Times New Roman" w:cs="Times New Roman"/>
          <w:color w:val="000000" w:themeColor="text1"/>
          <w:sz w:val="24"/>
          <w:szCs w:val="24"/>
          <w:lang w:val="en-GB"/>
        </w:rPr>
        <w:t xml:space="preserve">, R., and </w:t>
      </w:r>
      <w:proofErr w:type="spellStart"/>
      <w:r w:rsidRPr="004D3AC5">
        <w:rPr>
          <w:rFonts w:ascii="Times New Roman" w:eastAsia="Times New Roman" w:hAnsi="Times New Roman" w:cs="Times New Roman"/>
          <w:color w:val="000000" w:themeColor="text1"/>
          <w:sz w:val="24"/>
          <w:szCs w:val="24"/>
          <w:lang w:val="en-GB"/>
        </w:rPr>
        <w:t>Supriyanti</w:t>
      </w:r>
      <w:proofErr w:type="spellEnd"/>
      <w:r w:rsidRPr="004D3AC5">
        <w:rPr>
          <w:rFonts w:ascii="Times New Roman" w:eastAsia="Times New Roman" w:hAnsi="Times New Roman" w:cs="Times New Roman"/>
          <w:color w:val="000000" w:themeColor="text1"/>
          <w:sz w:val="24"/>
          <w:szCs w:val="24"/>
          <w:lang w:val="en-GB"/>
        </w:rPr>
        <w:t xml:space="preserve">, D. (2021). Implementation of e-business information system in </w:t>
      </w:r>
      <w:proofErr w:type="spellStart"/>
      <w:r w:rsidRPr="004D3AC5">
        <w:rPr>
          <w:rFonts w:ascii="Times New Roman" w:eastAsia="Times New Roman" w:hAnsi="Times New Roman" w:cs="Times New Roman"/>
          <w:color w:val="000000" w:themeColor="text1"/>
          <w:sz w:val="24"/>
          <w:szCs w:val="24"/>
          <w:lang w:val="en-GB"/>
        </w:rPr>
        <w:t>indonesia</w:t>
      </w:r>
      <w:proofErr w:type="spellEnd"/>
      <w:r w:rsidRPr="004D3AC5">
        <w:rPr>
          <w:rFonts w:ascii="Times New Roman" w:eastAsia="Times New Roman" w:hAnsi="Times New Roman" w:cs="Times New Roman"/>
          <w:color w:val="000000" w:themeColor="text1"/>
          <w:sz w:val="24"/>
          <w:szCs w:val="24"/>
          <w:lang w:val="en-GB"/>
        </w:rPr>
        <w:t xml:space="preserve">: Prospects and challenges. </w:t>
      </w:r>
      <w:r w:rsidRPr="004D3AC5">
        <w:rPr>
          <w:rFonts w:ascii="Times New Roman" w:eastAsia="Times New Roman" w:hAnsi="Times New Roman" w:cs="Times New Roman"/>
          <w:i/>
          <w:color w:val="000000" w:themeColor="text1"/>
          <w:sz w:val="24"/>
          <w:szCs w:val="24"/>
          <w:lang w:val="en-GB"/>
        </w:rPr>
        <w:t>International Journal of Cyber and IT Service Management</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1</w:t>
      </w:r>
      <w:r w:rsidRPr="004D3AC5">
        <w:rPr>
          <w:rFonts w:ascii="Times New Roman" w:eastAsia="Times New Roman" w:hAnsi="Times New Roman" w:cs="Times New Roman"/>
          <w:color w:val="000000" w:themeColor="text1"/>
          <w:sz w:val="24"/>
          <w:szCs w:val="24"/>
          <w:lang w:val="en-GB"/>
        </w:rPr>
        <w:t>(2), 180-188.</w:t>
      </w:r>
    </w:p>
    <w:p w14:paraId="4EBFAF7E"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proofErr w:type="spellStart"/>
      <w:r w:rsidRPr="004D3AC5">
        <w:rPr>
          <w:rFonts w:ascii="Times New Roman" w:eastAsia="Times New Roman" w:hAnsi="Times New Roman" w:cs="Times New Roman"/>
          <w:color w:val="000000" w:themeColor="text1"/>
          <w:sz w:val="24"/>
          <w:szCs w:val="24"/>
          <w:lang w:val="en-GB"/>
        </w:rPr>
        <w:t>Taherdoost</w:t>
      </w:r>
      <w:proofErr w:type="spellEnd"/>
      <w:r w:rsidRPr="004D3AC5">
        <w:rPr>
          <w:rFonts w:ascii="Times New Roman" w:eastAsia="Times New Roman" w:hAnsi="Times New Roman" w:cs="Times New Roman"/>
          <w:color w:val="000000" w:themeColor="text1"/>
          <w:sz w:val="24"/>
          <w:szCs w:val="24"/>
          <w:lang w:val="en-GB"/>
        </w:rPr>
        <w:t xml:space="preserve">, H. (2021). Data collection methods and tools for research; a step-by-step guide to choose data collection technique for academic and business research projects. </w:t>
      </w:r>
      <w:r w:rsidRPr="004D3AC5">
        <w:rPr>
          <w:rFonts w:ascii="Times New Roman" w:eastAsia="Times New Roman" w:hAnsi="Times New Roman" w:cs="Times New Roman"/>
          <w:i/>
          <w:color w:val="000000" w:themeColor="text1"/>
          <w:sz w:val="24"/>
          <w:szCs w:val="24"/>
          <w:lang w:val="en-GB"/>
        </w:rPr>
        <w:t>International Journal of Academic Research in Management (IJARM)</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10</w:t>
      </w:r>
      <w:r w:rsidRPr="004D3AC5">
        <w:rPr>
          <w:rFonts w:ascii="Times New Roman" w:eastAsia="Times New Roman" w:hAnsi="Times New Roman" w:cs="Times New Roman"/>
          <w:color w:val="000000" w:themeColor="text1"/>
          <w:sz w:val="24"/>
          <w:szCs w:val="24"/>
          <w:lang w:val="en-GB"/>
        </w:rPr>
        <w:t>(1), 10-38.</w:t>
      </w:r>
    </w:p>
    <w:p w14:paraId="2ABC5BCD" w14:textId="77777777" w:rsidR="00ED18EB" w:rsidRPr="004D3AC5" w:rsidRDefault="00ED18EB" w:rsidP="004D3AC5">
      <w:pPr>
        <w:spacing w:line="360" w:lineRule="auto"/>
        <w:jc w:val="both"/>
        <w:rPr>
          <w:rFonts w:ascii="Times New Roman" w:eastAsia="Times New Roman" w:hAnsi="Times New Roman" w:cs="Times New Roman"/>
          <w:color w:val="000000" w:themeColor="text1"/>
          <w:sz w:val="24"/>
          <w:szCs w:val="24"/>
          <w:lang w:val="en-GB"/>
        </w:rPr>
      </w:pPr>
      <w:r w:rsidRPr="004D3AC5">
        <w:rPr>
          <w:rFonts w:ascii="Times New Roman" w:eastAsia="Times New Roman" w:hAnsi="Times New Roman" w:cs="Times New Roman"/>
          <w:color w:val="000000" w:themeColor="text1"/>
          <w:sz w:val="24"/>
          <w:szCs w:val="24"/>
          <w:lang w:val="en-GB"/>
        </w:rPr>
        <w:t xml:space="preserve">Tillema, S., Trapp, R., and van Veen‐Dirks, P. (2022). Business partnering in risk management: a resilience perspective on management accountants' responses to a role change. </w:t>
      </w:r>
      <w:r w:rsidRPr="004D3AC5">
        <w:rPr>
          <w:rFonts w:ascii="Times New Roman" w:eastAsia="Times New Roman" w:hAnsi="Times New Roman" w:cs="Times New Roman"/>
          <w:i/>
          <w:color w:val="000000" w:themeColor="text1"/>
          <w:sz w:val="24"/>
          <w:szCs w:val="24"/>
          <w:lang w:val="en-GB"/>
        </w:rPr>
        <w:t>Contemporary Accounting Research</w:t>
      </w:r>
      <w:r w:rsidRPr="004D3AC5">
        <w:rPr>
          <w:rFonts w:ascii="Times New Roman" w:eastAsia="Times New Roman" w:hAnsi="Times New Roman" w:cs="Times New Roman"/>
          <w:color w:val="000000" w:themeColor="text1"/>
          <w:sz w:val="24"/>
          <w:szCs w:val="24"/>
          <w:lang w:val="en-GB"/>
        </w:rPr>
        <w:t xml:space="preserve">, </w:t>
      </w:r>
      <w:r w:rsidRPr="004D3AC5">
        <w:rPr>
          <w:rFonts w:ascii="Times New Roman" w:eastAsia="Times New Roman" w:hAnsi="Times New Roman" w:cs="Times New Roman"/>
          <w:i/>
          <w:color w:val="000000" w:themeColor="text1"/>
          <w:sz w:val="24"/>
          <w:szCs w:val="24"/>
          <w:lang w:val="en-GB"/>
        </w:rPr>
        <w:t>39</w:t>
      </w:r>
      <w:r w:rsidRPr="004D3AC5">
        <w:rPr>
          <w:rFonts w:ascii="Times New Roman" w:eastAsia="Times New Roman" w:hAnsi="Times New Roman" w:cs="Times New Roman"/>
          <w:color w:val="000000" w:themeColor="text1"/>
          <w:sz w:val="24"/>
          <w:szCs w:val="24"/>
          <w:lang w:val="en-GB"/>
        </w:rPr>
        <w:t>(3), 2058-2089.</w:t>
      </w:r>
    </w:p>
    <w:p w14:paraId="7C28B142" w14:textId="77777777" w:rsidR="00F75D9B" w:rsidRPr="004D3AC5" w:rsidRDefault="00F75D9B" w:rsidP="004D3AC5">
      <w:pPr>
        <w:spacing w:line="360" w:lineRule="auto"/>
        <w:jc w:val="both"/>
        <w:rPr>
          <w:rFonts w:ascii="Times New Roman" w:eastAsia="Times New Roman" w:hAnsi="Times New Roman" w:cs="Times New Roman"/>
          <w:color w:val="000000" w:themeColor="text1"/>
          <w:sz w:val="24"/>
          <w:szCs w:val="24"/>
          <w:lang w:val="en-GB"/>
        </w:rPr>
      </w:pPr>
    </w:p>
    <w:p w14:paraId="402529FC" w14:textId="77777777" w:rsidR="00F75D9B" w:rsidRPr="004D3AC5" w:rsidRDefault="00F75D9B" w:rsidP="004D3AC5">
      <w:pPr>
        <w:spacing w:line="360" w:lineRule="auto"/>
        <w:jc w:val="both"/>
        <w:rPr>
          <w:rFonts w:ascii="Times New Roman" w:eastAsia="Times New Roman" w:hAnsi="Times New Roman" w:cs="Times New Roman"/>
          <w:color w:val="000000" w:themeColor="text1"/>
          <w:sz w:val="24"/>
          <w:szCs w:val="24"/>
          <w:lang w:val="en-GB"/>
        </w:rPr>
      </w:pPr>
    </w:p>
    <w:p w14:paraId="6CC88FDF" w14:textId="77777777" w:rsidR="00F75D9B" w:rsidRPr="004D3AC5" w:rsidRDefault="00F75D9B" w:rsidP="004D3AC5">
      <w:pPr>
        <w:spacing w:line="360" w:lineRule="auto"/>
        <w:jc w:val="both"/>
        <w:rPr>
          <w:rFonts w:ascii="Times New Roman" w:eastAsia="Times New Roman" w:hAnsi="Times New Roman" w:cs="Times New Roman"/>
          <w:i/>
          <w:color w:val="000000" w:themeColor="text1"/>
          <w:sz w:val="24"/>
          <w:szCs w:val="24"/>
          <w:lang w:val="en-GB"/>
        </w:rPr>
      </w:pPr>
    </w:p>
    <w:p w14:paraId="65444A5B" w14:textId="77777777" w:rsidR="00F75D9B" w:rsidRPr="004D3AC5" w:rsidRDefault="00F75D9B" w:rsidP="004D3AC5">
      <w:pPr>
        <w:spacing w:line="360" w:lineRule="auto"/>
        <w:jc w:val="both"/>
        <w:rPr>
          <w:rFonts w:ascii="Times New Roman" w:eastAsia="Times New Roman" w:hAnsi="Times New Roman" w:cs="Times New Roman"/>
          <w:color w:val="000000" w:themeColor="text1"/>
          <w:sz w:val="24"/>
          <w:szCs w:val="24"/>
          <w:lang w:val="en-GB"/>
        </w:rPr>
      </w:pPr>
    </w:p>
    <w:sectPr w:rsidR="00F75D9B" w:rsidRPr="004D3AC5" w:rsidSect="004D3AC5">
      <w:footerReference w:type="default" r:id="rId14"/>
      <w:pgSz w:w="11907" w:h="16839" w:code="9"/>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295ED0" w14:textId="77777777" w:rsidR="001C2842" w:rsidRDefault="001C2842">
      <w:pPr>
        <w:spacing w:line="240" w:lineRule="auto"/>
      </w:pPr>
      <w:r>
        <w:separator/>
      </w:r>
    </w:p>
  </w:endnote>
  <w:endnote w:type="continuationSeparator" w:id="0">
    <w:p w14:paraId="700CEA60" w14:textId="77777777" w:rsidR="001C2842" w:rsidRDefault="001C28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596325951"/>
      <w:docPartObj>
        <w:docPartGallery w:val="Page Numbers (Bottom of Page)"/>
        <w:docPartUnique/>
      </w:docPartObj>
    </w:sdtPr>
    <w:sdtEndPr>
      <w:rPr>
        <w:noProof/>
      </w:rPr>
    </w:sdtEndPr>
    <w:sdtContent>
      <w:p w14:paraId="73B6F12B" w14:textId="415AB8B6" w:rsidR="00EC7FD5" w:rsidRPr="00EC7FD5" w:rsidRDefault="00EC7FD5">
        <w:pPr>
          <w:pStyle w:val="Footer"/>
          <w:jc w:val="right"/>
          <w:rPr>
            <w:rFonts w:ascii="Times New Roman" w:hAnsi="Times New Roman" w:cs="Times New Roman"/>
            <w:sz w:val="20"/>
            <w:szCs w:val="20"/>
          </w:rPr>
        </w:pPr>
        <w:r w:rsidRPr="00EC7FD5">
          <w:rPr>
            <w:rFonts w:ascii="Times New Roman" w:hAnsi="Times New Roman" w:cs="Times New Roman"/>
            <w:sz w:val="20"/>
            <w:szCs w:val="20"/>
          </w:rPr>
          <w:fldChar w:fldCharType="begin"/>
        </w:r>
        <w:r w:rsidRPr="00EC7FD5">
          <w:rPr>
            <w:rFonts w:ascii="Times New Roman" w:hAnsi="Times New Roman" w:cs="Times New Roman"/>
            <w:sz w:val="20"/>
            <w:szCs w:val="20"/>
          </w:rPr>
          <w:instrText xml:space="preserve"> PAGE   \* MERGEFORMAT </w:instrText>
        </w:r>
        <w:r w:rsidRPr="00EC7FD5">
          <w:rPr>
            <w:rFonts w:ascii="Times New Roman" w:hAnsi="Times New Roman" w:cs="Times New Roman"/>
            <w:sz w:val="20"/>
            <w:szCs w:val="20"/>
          </w:rPr>
          <w:fldChar w:fldCharType="separate"/>
        </w:r>
        <w:r w:rsidR="000B7CFB">
          <w:rPr>
            <w:rFonts w:ascii="Times New Roman" w:hAnsi="Times New Roman" w:cs="Times New Roman"/>
            <w:noProof/>
            <w:sz w:val="20"/>
            <w:szCs w:val="20"/>
          </w:rPr>
          <w:t>8</w:t>
        </w:r>
        <w:r w:rsidRPr="00EC7FD5">
          <w:rPr>
            <w:rFonts w:ascii="Times New Roman" w:hAnsi="Times New Roman" w:cs="Times New Roman"/>
            <w:noProof/>
            <w:sz w:val="20"/>
            <w:szCs w:val="20"/>
          </w:rPr>
          <w:fldChar w:fldCharType="end"/>
        </w:r>
      </w:p>
    </w:sdtContent>
  </w:sdt>
  <w:p w14:paraId="72EBB5D1" w14:textId="4B9379DD" w:rsidR="00F75D9B" w:rsidRPr="00EC7FD5" w:rsidRDefault="00F75D9B">
    <w:pPr>
      <w:jc w:val="right"/>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05709" w14:textId="77777777" w:rsidR="001C2842" w:rsidRDefault="001C2842">
      <w:pPr>
        <w:spacing w:line="240" w:lineRule="auto"/>
      </w:pPr>
      <w:r>
        <w:separator/>
      </w:r>
    </w:p>
  </w:footnote>
  <w:footnote w:type="continuationSeparator" w:id="0">
    <w:p w14:paraId="171D6F00" w14:textId="77777777" w:rsidR="001C2842" w:rsidRDefault="001C28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80E39"/>
    <w:multiLevelType w:val="hybridMultilevel"/>
    <w:tmpl w:val="99BADF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B5C694B"/>
    <w:multiLevelType w:val="multilevel"/>
    <w:tmpl w:val="6F4662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361C1A"/>
    <w:multiLevelType w:val="multilevel"/>
    <w:tmpl w:val="798C4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77686833">
    <w:abstractNumId w:val="2"/>
  </w:num>
  <w:num w:numId="2" w16cid:durableId="748430135">
    <w:abstractNumId w:val="1"/>
  </w:num>
  <w:num w:numId="3" w16cid:durableId="239754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D9B"/>
    <w:rsid w:val="00012381"/>
    <w:rsid w:val="000B7CFB"/>
    <w:rsid w:val="001C2842"/>
    <w:rsid w:val="001E5729"/>
    <w:rsid w:val="004D3AC5"/>
    <w:rsid w:val="00685FF9"/>
    <w:rsid w:val="006B3F7E"/>
    <w:rsid w:val="006E6C1C"/>
    <w:rsid w:val="00722F52"/>
    <w:rsid w:val="008C5BB7"/>
    <w:rsid w:val="008D1C96"/>
    <w:rsid w:val="008F6EBE"/>
    <w:rsid w:val="009A41A4"/>
    <w:rsid w:val="009B72E2"/>
    <w:rsid w:val="00AD369B"/>
    <w:rsid w:val="00B4782F"/>
    <w:rsid w:val="00DB6066"/>
    <w:rsid w:val="00E86A46"/>
    <w:rsid w:val="00EC7FD5"/>
    <w:rsid w:val="00ED18EB"/>
    <w:rsid w:val="00F632C5"/>
    <w:rsid w:val="00F75D9B"/>
    <w:rsid w:val="00FC4E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CCA671"/>
  <w15:docId w15:val="{639B0360-C581-40D2-9AF6-535FD1575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D1C96"/>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uiPriority w:val="9"/>
    <w:unhideWhenUsed/>
    <w:qFormat/>
    <w:rsid w:val="008D1C96"/>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C7FD5"/>
    <w:pPr>
      <w:tabs>
        <w:tab w:val="center" w:pos="4513"/>
        <w:tab w:val="right" w:pos="9026"/>
      </w:tabs>
      <w:spacing w:line="240" w:lineRule="auto"/>
    </w:pPr>
  </w:style>
  <w:style w:type="character" w:customStyle="1" w:styleId="HeaderChar">
    <w:name w:val="Header Char"/>
    <w:basedOn w:val="DefaultParagraphFont"/>
    <w:link w:val="Header"/>
    <w:uiPriority w:val="99"/>
    <w:rsid w:val="00EC7FD5"/>
  </w:style>
  <w:style w:type="paragraph" w:styleId="Footer">
    <w:name w:val="footer"/>
    <w:basedOn w:val="Normal"/>
    <w:link w:val="FooterChar"/>
    <w:uiPriority w:val="99"/>
    <w:unhideWhenUsed/>
    <w:rsid w:val="00EC7FD5"/>
    <w:pPr>
      <w:tabs>
        <w:tab w:val="center" w:pos="4513"/>
        <w:tab w:val="right" w:pos="9026"/>
      </w:tabs>
      <w:spacing w:line="240" w:lineRule="auto"/>
    </w:pPr>
  </w:style>
  <w:style w:type="character" w:customStyle="1" w:styleId="FooterChar">
    <w:name w:val="Footer Char"/>
    <w:basedOn w:val="DefaultParagraphFont"/>
    <w:link w:val="Footer"/>
    <w:uiPriority w:val="99"/>
    <w:rsid w:val="00EC7FD5"/>
  </w:style>
  <w:style w:type="paragraph" w:styleId="TOCHeading">
    <w:name w:val="TOC Heading"/>
    <w:basedOn w:val="Heading1"/>
    <w:next w:val="Normal"/>
    <w:uiPriority w:val="39"/>
    <w:unhideWhenUsed/>
    <w:qFormat/>
    <w:rsid w:val="009B72E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B72E2"/>
    <w:pPr>
      <w:spacing w:after="100"/>
    </w:pPr>
  </w:style>
  <w:style w:type="paragraph" w:styleId="TOC2">
    <w:name w:val="toc 2"/>
    <w:basedOn w:val="Normal"/>
    <w:next w:val="Normal"/>
    <w:autoRedefine/>
    <w:uiPriority w:val="39"/>
    <w:unhideWhenUsed/>
    <w:rsid w:val="009B72E2"/>
    <w:pPr>
      <w:spacing w:after="100"/>
      <w:ind w:left="220"/>
    </w:pPr>
  </w:style>
  <w:style w:type="character" w:styleId="Hyperlink">
    <w:name w:val="Hyperlink"/>
    <w:basedOn w:val="DefaultParagraphFont"/>
    <w:uiPriority w:val="99"/>
    <w:unhideWhenUsed/>
    <w:rsid w:val="009B72E2"/>
    <w:rPr>
      <w:color w:val="0000FF" w:themeColor="hyperlink"/>
      <w:u w:val="single"/>
    </w:rPr>
  </w:style>
  <w:style w:type="paragraph" w:styleId="ListParagraph">
    <w:name w:val="List Paragraph"/>
    <w:basedOn w:val="Normal"/>
    <w:uiPriority w:val="34"/>
    <w:qFormat/>
    <w:rsid w:val="001E5729"/>
    <w:pPr>
      <w:ind w:left="720"/>
      <w:contextualSpacing/>
    </w:pPr>
  </w:style>
  <w:style w:type="paragraph" w:styleId="BalloonText">
    <w:name w:val="Balloon Text"/>
    <w:basedOn w:val="Normal"/>
    <w:link w:val="BalloonTextChar"/>
    <w:uiPriority w:val="99"/>
    <w:semiHidden/>
    <w:unhideWhenUsed/>
    <w:rsid w:val="004D3A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3AC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FAC3B8-257F-4ECA-B3D2-04E6A6B6A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3047</Words>
  <Characters>17371</Characters>
  <Application>Microsoft Office Word</Application>
  <DocSecurity>0</DocSecurity>
  <Lines>144</Lines>
  <Paragraphs>40</Paragraphs>
  <ScaleCrop>false</ScaleCrop>
  <Company/>
  <LinksUpToDate>false</LinksUpToDate>
  <CharactersWithSpaces>20378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 hermeneanu</dc:creator>
  <cp:lastModifiedBy>mihaela hermeneanu</cp:lastModifiedBy>
  <cp:revision>2</cp:revision>
  <dcterms:created xsi:type="dcterms:W3CDTF">2025-10-17T09:00:00Z</dcterms:created>
  <dcterms:modified xsi:type="dcterms:W3CDTF">2025-10-17T09:00:00Z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854656e2-23dd-4228-b1f1-ca1becbd871d</vt:lpwstr>
  </property>
</Properties>
</file>