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F79B2" w14:textId="77777777" w:rsidR="003C70FD" w:rsidRPr="009B3CC4" w:rsidRDefault="003C70FD" w:rsidP="003C70FD">
      <w:pPr>
        <w:spacing w:line="276" w:lineRule="auto"/>
        <w:rPr>
          <w:rFonts w:ascii="Arial" w:hAnsi="Arial" w:cs="Arial"/>
          <w:b/>
          <w:bCs/>
          <w:sz w:val="36"/>
          <w:szCs w:val="36"/>
        </w:rPr>
      </w:pPr>
      <w:r w:rsidRPr="009B3CC4">
        <w:rPr>
          <w:rFonts w:ascii="Arial" w:hAnsi="Arial" w:cs="Arial"/>
          <w:noProof/>
        </w:rPr>
        <w:drawing>
          <wp:anchor distT="0" distB="0" distL="114300" distR="114300" simplePos="0" relativeHeight="251659264" behindDoc="0" locked="0" layoutInCell="1" allowOverlap="1" wp14:anchorId="6D190C93" wp14:editId="750451C5">
            <wp:simplePos x="0" y="0"/>
            <wp:positionH relativeFrom="column">
              <wp:posOffset>-312420</wp:posOffset>
            </wp:positionH>
            <wp:positionV relativeFrom="paragraph">
              <wp:posOffset>0</wp:posOffset>
            </wp:positionV>
            <wp:extent cx="1809750" cy="723900"/>
            <wp:effectExtent l="0" t="0" r="0" b="0"/>
            <wp:wrapSquare wrapText="bothSides"/>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D3C6878" w14:textId="77777777" w:rsidR="003C70FD" w:rsidRPr="009B3CC4" w:rsidRDefault="003C70FD" w:rsidP="003C70FD">
      <w:pPr>
        <w:spacing w:line="276" w:lineRule="auto"/>
        <w:rPr>
          <w:rFonts w:ascii="Arial" w:hAnsi="Arial" w:cs="Arial"/>
          <w:b/>
          <w:bCs/>
          <w:sz w:val="36"/>
          <w:szCs w:val="36"/>
        </w:rPr>
      </w:pPr>
    </w:p>
    <w:p w14:paraId="7180B662" w14:textId="77777777" w:rsidR="003C70FD" w:rsidRPr="009B3CC4" w:rsidRDefault="003C70FD" w:rsidP="003C70FD">
      <w:pPr>
        <w:spacing w:line="276" w:lineRule="auto"/>
        <w:rPr>
          <w:rFonts w:ascii="Arial" w:hAnsi="Arial" w:cs="Arial"/>
          <w:b/>
          <w:bCs/>
          <w:sz w:val="36"/>
          <w:szCs w:val="36"/>
        </w:rPr>
      </w:pPr>
    </w:p>
    <w:p w14:paraId="71E1B1EE" w14:textId="77777777" w:rsidR="003C70FD" w:rsidRPr="009B3CC4" w:rsidRDefault="003C70FD" w:rsidP="003C70FD">
      <w:pPr>
        <w:spacing w:line="276" w:lineRule="auto"/>
        <w:rPr>
          <w:rFonts w:ascii="Arial" w:hAnsi="Arial" w:cs="Arial"/>
          <w:b/>
          <w:bCs/>
          <w:sz w:val="36"/>
          <w:szCs w:val="36"/>
        </w:rPr>
      </w:pPr>
    </w:p>
    <w:p w14:paraId="7A73D9B0" w14:textId="77777777" w:rsidR="003C70FD" w:rsidRPr="009B3CC4" w:rsidRDefault="003C70FD" w:rsidP="003C70FD">
      <w:pPr>
        <w:spacing w:line="276" w:lineRule="auto"/>
        <w:jc w:val="center"/>
        <w:rPr>
          <w:rFonts w:ascii="Arial" w:hAnsi="Arial" w:cs="Arial"/>
          <w:b/>
          <w:bCs/>
          <w:sz w:val="36"/>
          <w:szCs w:val="36"/>
        </w:rPr>
      </w:pPr>
      <w:bookmarkStart w:id="0" w:name="_Hlk214092511"/>
      <w:r w:rsidRPr="009B3CC4">
        <w:rPr>
          <w:rFonts w:ascii="Arial" w:hAnsi="Arial" w:cs="Arial"/>
          <w:b/>
          <w:bCs/>
          <w:sz w:val="36"/>
          <w:szCs w:val="36"/>
        </w:rPr>
        <w:t>UNIVERSITY OF WALES – TRINITY SAINT DAVID</w:t>
      </w:r>
    </w:p>
    <w:bookmarkEnd w:id="0"/>
    <w:p w14:paraId="49733A3C" w14:textId="77777777" w:rsidR="003C70FD" w:rsidRPr="009B3CC4" w:rsidRDefault="003C70FD" w:rsidP="003C70FD">
      <w:pPr>
        <w:spacing w:line="276" w:lineRule="auto"/>
        <w:jc w:val="center"/>
        <w:rPr>
          <w:rFonts w:ascii="Arial" w:hAnsi="Arial" w:cs="Arial"/>
          <w:b/>
          <w:bCs/>
          <w:sz w:val="48"/>
          <w:szCs w:val="48"/>
        </w:rPr>
      </w:pPr>
    </w:p>
    <w:p w14:paraId="648DEF07" w14:textId="77777777" w:rsidR="003C70FD" w:rsidRPr="009B3CC4" w:rsidRDefault="003C70FD" w:rsidP="003C70FD">
      <w:pPr>
        <w:spacing w:line="360" w:lineRule="auto"/>
        <w:jc w:val="center"/>
        <w:rPr>
          <w:rFonts w:ascii="Arial" w:hAnsi="Arial" w:cs="Arial"/>
          <w:b/>
          <w:bCs/>
          <w:sz w:val="32"/>
          <w:szCs w:val="32"/>
        </w:rPr>
      </w:pPr>
    </w:p>
    <w:p w14:paraId="3417DA94" w14:textId="77777777" w:rsidR="003C70FD" w:rsidRPr="009B3CC4" w:rsidRDefault="003C70FD" w:rsidP="003C70FD">
      <w:pPr>
        <w:spacing w:line="360" w:lineRule="auto"/>
        <w:jc w:val="center"/>
        <w:rPr>
          <w:rFonts w:ascii="Arial" w:hAnsi="Arial" w:cs="Arial"/>
          <w:b/>
          <w:bCs/>
          <w:sz w:val="32"/>
          <w:szCs w:val="32"/>
        </w:rPr>
      </w:pPr>
    </w:p>
    <w:p w14:paraId="12291CFC" w14:textId="77777777" w:rsidR="003C70FD" w:rsidRPr="009B3CC4" w:rsidRDefault="003C70FD" w:rsidP="003C70FD">
      <w:pPr>
        <w:spacing w:line="360" w:lineRule="auto"/>
        <w:jc w:val="center"/>
        <w:rPr>
          <w:rFonts w:ascii="Arial" w:hAnsi="Arial" w:cs="Arial"/>
          <w:b/>
          <w:bCs/>
          <w:sz w:val="32"/>
          <w:szCs w:val="32"/>
        </w:rPr>
      </w:pPr>
    </w:p>
    <w:p w14:paraId="4E49B262" w14:textId="77777777" w:rsidR="003C70FD" w:rsidRPr="009B3CC4" w:rsidRDefault="003C70FD" w:rsidP="003C70FD">
      <w:pPr>
        <w:spacing w:line="360" w:lineRule="auto"/>
        <w:jc w:val="center"/>
        <w:rPr>
          <w:rFonts w:ascii="Arial" w:hAnsi="Arial" w:cs="Arial"/>
          <w:b/>
          <w:bCs/>
          <w:sz w:val="32"/>
          <w:szCs w:val="32"/>
        </w:rPr>
      </w:pPr>
      <w:r w:rsidRPr="009B3CC4">
        <w:rPr>
          <w:rFonts w:ascii="Arial" w:hAnsi="Arial" w:cs="Arial"/>
          <w:b/>
          <w:bCs/>
          <w:sz w:val="32"/>
          <w:szCs w:val="32"/>
        </w:rPr>
        <w:t>LCLM5004 MANAGING BUSINESS INFORMATION</w:t>
      </w:r>
    </w:p>
    <w:p w14:paraId="7C4D3456" w14:textId="77777777" w:rsidR="003C70FD" w:rsidRPr="009B3CC4" w:rsidRDefault="003C70FD" w:rsidP="003C70FD">
      <w:pPr>
        <w:spacing w:line="360" w:lineRule="auto"/>
        <w:jc w:val="center"/>
        <w:rPr>
          <w:rFonts w:ascii="Arial" w:hAnsi="Arial" w:cs="Arial"/>
          <w:b/>
          <w:bCs/>
          <w:sz w:val="32"/>
          <w:szCs w:val="32"/>
        </w:rPr>
      </w:pPr>
      <w:r w:rsidRPr="009B3CC4">
        <w:rPr>
          <w:rFonts w:ascii="Arial" w:hAnsi="Arial" w:cs="Arial"/>
          <w:b/>
          <w:bCs/>
          <w:sz w:val="32"/>
          <w:szCs w:val="32"/>
        </w:rPr>
        <w:t>Individual report - Information Systems Improvements</w:t>
      </w:r>
    </w:p>
    <w:p w14:paraId="38DDC62C" w14:textId="77777777" w:rsidR="003C70FD" w:rsidRPr="009B3CC4" w:rsidRDefault="003C70FD" w:rsidP="003C70FD">
      <w:pPr>
        <w:spacing w:line="360" w:lineRule="auto"/>
        <w:jc w:val="center"/>
        <w:rPr>
          <w:rFonts w:ascii="Arial" w:hAnsi="Arial" w:cs="Arial"/>
          <w:b/>
          <w:bCs/>
          <w:sz w:val="32"/>
          <w:szCs w:val="32"/>
        </w:rPr>
      </w:pPr>
    </w:p>
    <w:p w14:paraId="2F085470" w14:textId="77777777" w:rsidR="003C70FD" w:rsidRPr="009B3CC4" w:rsidRDefault="003C70FD" w:rsidP="003C70FD">
      <w:pPr>
        <w:spacing w:line="276" w:lineRule="auto"/>
        <w:rPr>
          <w:rFonts w:ascii="Arial" w:hAnsi="Arial" w:cs="Arial"/>
          <w:b/>
          <w:bCs/>
          <w:sz w:val="48"/>
          <w:szCs w:val="48"/>
        </w:rPr>
      </w:pPr>
    </w:p>
    <w:p w14:paraId="6D9C06FB" w14:textId="77777777" w:rsidR="003C70FD" w:rsidRPr="009B3CC4" w:rsidRDefault="003C70FD" w:rsidP="003C70FD">
      <w:pPr>
        <w:spacing w:line="276" w:lineRule="auto"/>
        <w:rPr>
          <w:rFonts w:ascii="Arial" w:hAnsi="Arial" w:cs="Arial"/>
          <w:b/>
          <w:bCs/>
          <w:sz w:val="48"/>
          <w:szCs w:val="48"/>
        </w:rPr>
      </w:pPr>
    </w:p>
    <w:p w14:paraId="15C4B12A" w14:textId="77777777" w:rsidR="003C70FD" w:rsidRPr="009B3CC4" w:rsidRDefault="003C70FD" w:rsidP="003C70FD">
      <w:pPr>
        <w:spacing w:line="360" w:lineRule="auto"/>
        <w:jc w:val="center"/>
        <w:rPr>
          <w:rFonts w:ascii="Arial" w:hAnsi="Arial" w:cs="Arial"/>
          <w:b/>
          <w:bCs/>
          <w:sz w:val="32"/>
          <w:szCs w:val="32"/>
        </w:rPr>
      </w:pPr>
    </w:p>
    <w:p w14:paraId="35CD53FA" w14:textId="2D189694" w:rsidR="003C70FD" w:rsidRPr="009B3CC4" w:rsidRDefault="003C70FD" w:rsidP="003C70FD">
      <w:pPr>
        <w:pStyle w:val="NoSpacing"/>
        <w:spacing w:line="360" w:lineRule="auto"/>
        <w:jc w:val="right"/>
        <w:rPr>
          <w:rFonts w:ascii="Arial" w:hAnsi="Arial" w:cs="Arial"/>
          <w:sz w:val="32"/>
          <w:szCs w:val="32"/>
        </w:rPr>
      </w:pPr>
      <w:r w:rsidRPr="009B3CC4">
        <w:rPr>
          <w:rFonts w:ascii="Arial" w:hAnsi="Arial" w:cs="Arial"/>
          <w:b/>
          <w:bCs/>
          <w:sz w:val="32"/>
          <w:szCs w:val="32"/>
        </w:rPr>
        <w:t xml:space="preserve">Student name: </w:t>
      </w:r>
      <w:r>
        <w:rPr>
          <w:rFonts w:ascii="Arial" w:hAnsi="Arial" w:cs="Arial"/>
          <w:sz w:val="32"/>
          <w:szCs w:val="32"/>
        </w:rPr>
        <w:t>Raluca Mihaela</w:t>
      </w:r>
      <w:r w:rsidRPr="009B3CC4">
        <w:rPr>
          <w:rFonts w:ascii="Arial" w:hAnsi="Arial" w:cs="Arial"/>
          <w:sz w:val="32"/>
          <w:szCs w:val="32"/>
        </w:rPr>
        <w:t xml:space="preserve"> Popa</w:t>
      </w:r>
    </w:p>
    <w:p w14:paraId="211B6EBF" w14:textId="1F1D774B" w:rsidR="003C70FD" w:rsidRPr="009B3CC4" w:rsidRDefault="003C70FD" w:rsidP="003C70FD">
      <w:pPr>
        <w:pStyle w:val="NoSpacing"/>
        <w:spacing w:line="360" w:lineRule="auto"/>
        <w:jc w:val="right"/>
        <w:rPr>
          <w:rFonts w:ascii="Arial" w:hAnsi="Arial" w:cs="Arial"/>
          <w:b/>
          <w:bCs/>
          <w:sz w:val="32"/>
          <w:szCs w:val="32"/>
        </w:rPr>
      </w:pPr>
      <w:r w:rsidRPr="009B3CC4">
        <w:rPr>
          <w:rFonts w:ascii="Arial" w:hAnsi="Arial" w:cs="Arial"/>
          <w:b/>
          <w:bCs/>
          <w:sz w:val="32"/>
          <w:szCs w:val="32"/>
        </w:rPr>
        <w:t xml:space="preserve">Student id: </w:t>
      </w:r>
      <w:r>
        <w:rPr>
          <w:rFonts w:ascii="Arial" w:hAnsi="Arial" w:cs="Arial"/>
          <w:sz w:val="32"/>
          <w:szCs w:val="32"/>
        </w:rPr>
        <w:t>2332370</w:t>
      </w:r>
    </w:p>
    <w:p w14:paraId="34744F75" w14:textId="346F01B4" w:rsidR="003C70FD" w:rsidRDefault="003C70FD" w:rsidP="003C70FD">
      <w:pPr>
        <w:pStyle w:val="NoSpacing"/>
        <w:spacing w:line="360" w:lineRule="auto"/>
        <w:jc w:val="right"/>
        <w:rPr>
          <w:rFonts w:ascii="Arial" w:hAnsi="Arial" w:cs="Arial"/>
          <w:sz w:val="32"/>
          <w:szCs w:val="32"/>
        </w:rPr>
      </w:pPr>
      <w:r w:rsidRPr="009B3CC4">
        <w:rPr>
          <w:rFonts w:ascii="Arial" w:hAnsi="Arial" w:cs="Arial"/>
          <w:b/>
          <w:bCs/>
          <w:sz w:val="32"/>
          <w:szCs w:val="32"/>
        </w:rPr>
        <w:t xml:space="preserve">Lecturer’s Name: </w:t>
      </w:r>
      <w:r w:rsidRPr="009B3CC4">
        <w:rPr>
          <w:rFonts w:ascii="Arial" w:hAnsi="Arial" w:cs="Arial"/>
          <w:sz w:val="32"/>
          <w:szCs w:val="32"/>
        </w:rPr>
        <w:t xml:space="preserve">Chinomso </w:t>
      </w:r>
      <w:proofErr w:type="spellStart"/>
      <w:r w:rsidRPr="009B3CC4">
        <w:rPr>
          <w:rFonts w:ascii="Arial" w:hAnsi="Arial" w:cs="Arial"/>
          <w:sz w:val="32"/>
          <w:szCs w:val="32"/>
        </w:rPr>
        <w:t>Nwagboso</w:t>
      </w:r>
      <w:proofErr w:type="spellEnd"/>
    </w:p>
    <w:p w14:paraId="21A11303" w14:textId="77777777" w:rsidR="003C70FD" w:rsidRDefault="003C70FD">
      <w:pPr>
        <w:rPr>
          <w:rFonts w:ascii="Arial" w:hAnsi="Arial" w:cs="Arial"/>
          <w:sz w:val="32"/>
          <w:szCs w:val="32"/>
        </w:rPr>
      </w:pPr>
      <w:r>
        <w:rPr>
          <w:rFonts w:ascii="Arial" w:hAnsi="Arial" w:cs="Arial"/>
          <w:sz w:val="32"/>
          <w:szCs w:val="32"/>
        </w:rPr>
        <w:br w:type="page"/>
      </w:r>
    </w:p>
    <w:sdt>
      <w:sdtPr>
        <w:id w:val="-894034388"/>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7FCE3F3E" w14:textId="2653511F" w:rsidR="003C70FD" w:rsidRDefault="003C70FD">
          <w:pPr>
            <w:pStyle w:val="TOCHeading"/>
          </w:pPr>
          <w:r>
            <w:t>Table of Contents</w:t>
          </w:r>
        </w:p>
        <w:p w14:paraId="07AB285A" w14:textId="464FCAA0" w:rsidR="004930D9" w:rsidRDefault="003C70FD">
          <w:pPr>
            <w:pStyle w:val="TOC1"/>
            <w:tabs>
              <w:tab w:val="right" w:leader="dot" w:pos="9350"/>
            </w:tabs>
            <w:rPr>
              <w:noProof/>
            </w:rPr>
          </w:pPr>
          <w:r>
            <w:fldChar w:fldCharType="begin"/>
          </w:r>
          <w:r>
            <w:instrText xml:space="preserve"> TOC \o "1-3" \h \z \u </w:instrText>
          </w:r>
          <w:r>
            <w:fldChar w:fldCharType="separate"/>
          </w:r>
          <w:hyperlink w:anchor="_Toc214117298" w:history="1">
            <w:r w:rsidR="004930D9" w:rsidRPr="00493E41">
              <w:rPr>
                <w:rStyle w:val="Hyperlink"/>
                <w:rFonts w:ascii="Arial" w:hAnsi="Arial" w:cs="Arial"/>
                <w:b/>
                <w:bCs/>
                <w:noProof/>
              </w:rPr>
              <w:t>Introduction</w:t>
            </w:r>
            <w:r w:rsidR="004930D9">
              <w:rPr>
                <w:noProof/>
                <w:webHidden/>
              </w:rPr>
              <w:tab/>
            </w:r>
            <w:r w:rsidR="004930D9">
              <w:rPr>
                <w:noProof/>
                <w:webHidden/>
              </w:rPr>
              <w:fldChar w:fldCharType="begin"/>
            </w:r>
            <w:r w:rsidR="004930D9">
              <w:rPr>
                <w:noProof/>
                <w:webHidden/>
              </w:rPr>
              <w:instrText xml:space="preserve"> PAGEREF _Toc214117298 \h </w:instrText>
            </w:r>
            <w:r w:rsidR="004930D9">
              <w:rPr>
                <w:noProof/>
                <w:webHidden/>
              </w:rPr>
            </w:r>
            <w:r w:rsidR="004930D9">
              <w:rPr>
                <w:noProof/>
                <w:webHidden/>
              </w:rPr>
              <w:fldChar w:fldCharType="separate"/>
            </w:r>
            <w:r w:rsidR="004930D9">
              <w:rPr>
                <w:noProof/>
                <w:webHidden/>
              </w:rPr>
              <w:t>3</w:t>
            </w:r>
            <w:r w:rsidR="004930D9">
              <w:rPr>
                <w:noProof/>
                <w:webHidden/>
              </w:rPr>
              <w:fldChar w:fldCharType="end"/>
            </w:r>
          </w:hyperlink>
        </w:p>
        <w:p w14:paraId="4C37AECE" w14:textId="408F8335" w:rsidR="004930D9" w:rsidRDefault="004930D9">
          <w:pPr>
            <w:pStyle w:val="TOC1"/>
            <w:tabs>
              <w:tab w:val="right" w:leader="dot" w:pos="9350"/>
            </w:tabs>
            <w:rPr>
              <w:noProof/>
            </w:rPr>
          </w:pPr>
          <w:hyperlink w:anchor="_Toc214117299" w:history="1">
            <w:r w:rsidRPr="00493E41">
              <w:rPr>
                <w:rStyle w:val="Hyperlink"/>
                <w:rFonts w:ascii="Arial" w:hAnsi="Arial" w:cs="Arial"/>
                <w:b/>
                <w:bCs/>
                <w:noProof/>
              </w:rPr>
              <w:t>Overview and Business Scenario Analysis</w:t>
            </w:r>
            <w:r>
              <w:rPr>
                <w:noProof/>
                <w:webHidden/>
              </w:rPr>
              <w:tab/>
            </w:r>
            <w:r>
              <w:rPr>
                <w:noProof/>
                <w:webHidden/>
              </w:rPr>
              <w:fldChar w:fldCharType="begin"/>
            </w:r>
            <w:r>
              <w:rPr>
                <w:noProof/>
                <w:webHidden/>
              </w:rPr>
              <w:instrText xml:space="preserve"> PAGEREF _Toc214117299 \h </w:instrText>
            </w:r>
            <w:r>
              <w:rPr>
                <w:noProof/>
                <w:webHidden/>
              </w:rPr>
            </w:r>
            <w:r>
              <w:rPr>
                <w:noProof/>
                <w:webHidden/>
              </w:rPr>
              <w:fldChar w:fldCharType="separate"/>
            </w:r>
            <w:r>
              <w:rPr>
                <w:noProof/>
                <w:webHidden/>
              </w:rPr>
              <w:t>3</w:t>
            </w:r>
            <w:r>
              <w:rPr>
                <w:noProof/>
                <w:webHidden/>
              </w:rPr>
              <w:fldChar w:fldCharType="end"/>
            </w:r>
          </w:hyperlink>
        </w:p>
        <w:p w14:paraId="0F39F1D3" w14:textId="66FD1D38" w:rsidR="004930D9" w:rsidRDefault="004930D9">
          <w:pPr>
            <w:pStyle w:val="TOC1"/>
            <w:tabs>
              <w:tab w:val="right" w:leader="dot" w:pos="9350"/>
            </w:tabs>
            <w:rPr>
              <w:noProof/>
            </w:rPr>
          </w:pPr>
          <w:hyperlink w:anchor="_Toc214117300" w:history="1">
            <w:r w:rsidRPr="00493E41">
              <w:rPr>
                <w:rStyle w:val="Hyperlink"/>
                <w:rFonts w:ascii="Arial" w:hAnsi="Arial" w:cs="Arial"/>
                <w:b/>
                <w:bCs/>
                <w:noProof/>
              </w:rPr>
              <w:t>Evaluation of Current Systems</w:t>
            </w:r>
            <w:r>
              <w:rPr>
                <w:noProof/>
                <w:webHidden/>
              </w:rPr>
              <w:tab/>
            </w:r>
            <w:r>
              <w:rPr>
                <w:noProof/>
                <w:webHidden/>
              </w:rPr>
              <w:fldChar w:fldCharType="begin"/>
            </w:r>
            <w:r>
              <w:rPr>
                <w:noProof/>
                <w:webHidden/>
              </w:rPr>
              <w:instrText xml:space="preserve"> PAGEREF _Toc214117300 \h </w:instrText>
            </w:r>
            <w:r>
              <w:rPr>
                <w:noProof/>
                <w:webHidden/>
              </w:rPr>
            </w:r>
            <w:r>
              <w:rPr>
                <w:noProof/>
                <w:webHidden/>
              </w:rPr>
              <w:fldChar w:fldCharType="separate"/>
            </w:r>
            <w:r>
              <w:rPr>
                <w:noProof/>
                <w:webHidden/>
              </w:rPr>
              <w:t>4</w:t>
            </w:r>
            <w:r>
              <w:rPr>
                <w:noProof/>
                <w:webHidden/>
              </w:rPr>
              <w:fldChar w:fldCharType="end"/>
            </w:r>
          </w:hyperlink>
        </w:p>
        <w:p w14:paraId="3CFEEF17" w14:textId="7AAABF22" w:rsidR="004930D9" w:rsidRDefault="004930D9">
          <w:pPr>
            <w:pStyle w:val="TOC1"/>
            <w:tabs>
              <w:tab w:val="right" w:leader="dot" w:pos="9350"/>
            </w:tabs>
            <w:rPr>
              <w:noProof/>
            </w:rPr>
          </w:pPr>
          <w:hyperlink w:anchor="_Toc214117301" w:history="1">
            <w:r w:rsidRPr="00493E41">
              <w:rPr>
                <w:rStyle w:val="Hyperlink"/>
                <w:rFonts w:ascii="Arial" w:hAnsi="Arial" w:cs="Arial"/>
                <w:b/>
                <w:bCs/>
                <w:noProof/>
              </w:rPr>
              <w:t>Justification for the Proposed Solution</w:t>
            </w:r>
            <w:r>
              <w:rPr>
                <w:noProof/>
                <w:webHidden/>
              </w:rPr>
              <w:tab/>
            </w:r>
            <w:r>
              <w:rPr>
                <w:noProof/>
                <w:webHidden/>
              </w:rPr>
              <w:fldChar w:fldCharType="begin"/>
            </w:r>
            <w:r>
              <w:rPr>
                <w:noProof/>
                <w:webHidden/>
              </w:rPr>
              <w:instrText xml:space="preserve"> PAGEREF _Toc214117301 \h </w:instrText>
            </w:r>
            <w:r>
              <w:rPr>
                <w:noProof/>
                <w:webHidden/>
              </w:rPr>
            </w:r>
            <w:r>
              <w:rPr>
                <w:noProof/>
                <w:webHidden/>
              </w:rPr>
              <w:fldChar w:fldCharType="separate"/>
            </w:r>
            <w:r>
              <w:rPr>
                <w:noProof/>
                <w:webHidden/>
              </w:rPr>
              <w:t>6</w:t>
            </w:r>
            <w:r>
              <w:rPr>
                <w:noProof/>
                <w:webHidden/>
              </w:rPr>
              <w:fldChar w:fldCharType="end"/>
            </w:r>
          </w:hyperlink>
        </w:p>
        <w:p w14:paraId="1B270B1E" w14:textId="01D33744" w:rsidR="004930D9" w:rsidRDefault="004930D9">
          <w:pPr>
            <w:pStyle w:val="TOC1"/>
            <w:tabs>
              <w:tab w:val="right" w:leader="dot" w:pos="9350"/>
            </w:tabs>
            <w:rPr>
              <w:noProof/>
            </w:rPr>
          </w:pPr>
          <w:hyperlink w:anchor="_Toc214117302" w:history="1">
            <w:r w:rsidRPr="00493E41">
              <w:rPr>
                <w:rStyle w:val="Hyperlink"/>
                <w:rFonts w:ascii="Arial" w:hAnsi="Arial" w:cs="Arial"/>
                <w:b/>
                <w:bCs/>
                <w:noProof/>
              </w:rPr>
              <w:t>Implementation Plan</w:t>
            </w:r>
            <w:r>
              <w:rPr>
                <w:noProof/>
                <w:webHidden/>
              </w:rPr>
              <w:tab/>
            </w:r>
            <w:r>
              <w:rPr>
                <w:noProof/>
                <w:webHidden/>
              </w:rPr>
              <w:fldChar w:fldCharType="begin"/>
            </w:r>
            <w:r>
              <w:rPr>
                <w:noProof/>
                <w:webHidden/>
              </w:rPr>
              <w:instrText xml:space="preserve"> PAGEREF _Toc214117302 \h </w:instrText>
            </w:r>
            <w:r>
              <w:rPr>
                <w:noProof/>
                <w:webHidden/>
              </w:rPr>
            </w:r>
            <w:r>
              <w:rPr>
                <w:noProof/>
                <w:webHidden/>
              </w:rPr>
              <w:fldChar w:fldCharType="separate"/>
            </w:r>
            <w:r>
              <w:rPr>
                <w:noProof/>
                <w:webHidden/>
              </w:rPr>
              <w:t>6</w:t>
            </w:r>
            <w:r>
              <w:rPr>
                <w:noProof/>
                <w:webHidden/>
              </w:rPr>
              <w:fldChar w:fldCharType="end"/>
            </w:r>
          </w:hyperlink>
        </w:p>
        <w:p w14:paraId="43E2357F" w14:textId="3F9F5A08" w:rsidR="004930D9" w:rsidRDefault="004930D9">
          <w:pPr>
            <w:pStyle w:val="TOC1"/>
            <w:tabs>
              <w:tab w:val="right" w:leader="dot" w:pos="9350"/>
            </w:tabs>
            <w:rPr>
              <w:noProof/>
            </w:rPr>
          </w:pPr>
          <w:hyperlink w:anchor="_Toc214117303" w:history="1">
            <w:r w:rsidRPr="00493E4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_Toc214117303 \h </w:instrText>
            </w:r>
            <w:r>
              <w:rPr>
                <w:noProof/>
                <w:webHidden/>
              </w:rPr>
            </w:r>
            <w:r>
              <w:rPr>
                <w:noProof/>
                <w:webHidden/>
              </w:rPr>
              <w:fldChar w:fldCharType="separate"/>
            </w:r>
            <w:r>
              <w:rPr>
                <w:noProof/>
                <w:webHidden/>
              </w:rPr>
              <w:t>8</w:t>
            </w:r>
            <w:r>
              <w:rPr>
                <w:noProof/>
                <w:webHidden/>
              </w:rPr>
              <w:fldChar w:fldCharType="end"/>
            </w:r>
          </w:hyperlink>
        </w:p>
        <w:p w14:paraId="582B1A6F" w14:textId="45536EC8" w:rsidR="004930D9" w:rsidRDefault="004930D9">
          <w:pPr>
            <w:pStyle w:val="TOC1"/>
            <w:tabs>
              <w:tab w:val="right" w:leader="dot" w:pos="9350"/>
            </w:tabs>
            <w:rPr>
              <w:noProof/>
            </w:rPr>
          </w:pPr>
          <w:hyperlink w:anchor="_Toc214117304" w:history="1">
            <w:r w:rsidRPr="00493E4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_Toc214117304 \h </w:instrText>
            </w:r>
            <w:r>
              <w:rPr>
                <w:noProof/>
                <w:webHidden/>
              </w:rPr>
            </w:r>
            <w:r>
              <w:rPr>
                <w:noProof/>
                <w:webHidden/>
              </w:rPr>
              <w:fldChar w:fldCharType="separate"/>
            </w:r>
            <w:r>
              <w:rPr>
                <w:noProof/>
                <w:webHidden/>
              </w:rPr>
              <w:t>10</w:t>
            </w:r>
            <w:r>
              <w:rPr>
                <w:noProof/>
                <w:webHidden/>
              </w:rPr>
              <w:fldChar w:fldCharType="end"/>
            </w:r>
          </w:hyperlink>
        </w:p>
        <w:p w14:paraId="265D17B3" w14:textId="08A1F13D" w:rsidR="003C70FD" w:rsidRDefault="003C70FD">
          <w:r>
            <w:rPr>
              <w:b/>
              <w:bCs/>
              <w:noProof/>
            </w:rPr>
            <w:fldChar w:fldCharType="end"/>
          </w:r>
        </w:p>
      </w:sdtContent>
    </w:sdt>
    <w:p w14:paraId="7B638840" w14:textId="77777777" w:rsidR="003C70FD" w:rsidRPr="009B3CC4" w:rsidRDefault="003C70FD" w:rsidP="003C70FD">
      <w:pPr>
        <w:pStyle w:val="NoSpacing"/>
        <w:spacing w:line="360" w:lineRule="auto"/>
        <w:jc w:val="right"/>
        <w:rPr>
          <w:rFonts w:ascii="Arial" w:hAnsi="Arial" w:cs="Arial"/>
          <w:b/>
          <w:bCs/>
          <w:kern w:val="36"/>
          <w:sz w:val="32"/>
          <w:szCs w:val="32"/>
        </w:rPr>
      </w:pPr>
    </w:p>
    <w:p w14:paraId="31BC943B" w14:textId="77777777" w:rsidR="003C70FD" w:rsidRDefault="003C70FD">
      <w:pPr>
        <w:rPr>
          <w:b/>
          <w:bCs/>
        </w:rPr>
      </w:pPr>
      <w:r>
        <w:rPr>
          <w:b/>
          <w:bCs/>
        </w:rPr>
        <w:br w:type="page"/>
      </w:r>
    </w:p>
    <w:p w14:paraId="2550AEAB" w14:textId="3B7FD289" w:rsidR="00F837D5" w:rsidRPr="004930D9" w:rsidRDefault="00F837D5" w:rsidP="004930D9">
      <w:pPr>
        <w:pStyle w:val="Heading1"/>
        <w:spacing w:line="360" w:lineRule="auto"/>
        <w:jc w:val="both"/>
        <w:rPr>
          <w:rFonts w:ascii="Arial" w:hAnsi="Arial" w:cs="Arial"/>
          <w:b/>
          <w:bCs/>
          <w:sz w:val="24"/>
          <w:szCs w:val="24"/>
        </w:rPr>
      </w:pPr>
      <w:bookmarkStart w:id="1" w:name="_Toc214117298"/>
      <w:r w:rsidRPr="004930D9">
        <w:rPr>
          <w:rFonts w:ascii="Arial" w:hAnsi="Arial" w:cs="Arial"/>
          <w:b/>
          <w:bCs/>
          <w:sz w:val="24"/>
          <w:szCs w:val="24"/>
        </w:rPr>
        <w:lastRenderedPageBreak/>
        <w:t>Introduction</w:t>
      </w:r>
      <w:bookmarkEnd w:id="1"/>
    </w:p>
    <w:p w14:paraId="2349AD31" w14:textId="3729CD9C" w:rsidR="00F837D5" w:rsidRPr="004930D9" w:rsidRDefault="00F837D5" w:rsidP="004930D9">
      <w:pPr>
        <w:spacing w:line="360" w:lineRule="auto"/>
        <w:jc w:val="both"/>
        <w:rPr>
          <w:rFonts w:ascii="Arial" w:hAnsi="Arial" w:cs="Arial"/>
        </w:rPr>
      </w:pPr>
      <w:r w:rsidRPr="00F837D5">
        <w:rPr>
          <w:rFonts w:ascii="Arial" w:hAnsi="Arial" w:cs="Arial"/>
        </w:rPr>
        <w:t xml:space="preserve">AKPerog Ltd. operates in the highly competitive consumer electronics retail sector, where customer expectations for service and product availability have risen considerably due to advancements in digital commerce and supply chain capabilities (Ivend, 2025). In this environment, even minor inefficiencies can have substantial repercussions, such as lost sales, diminished brand reputation, and increased operational costs. The current climate also increases pressure on companies to leverage business information as a true strategic resource, enabling responsive, data-driven management and personalised customer engagement (GSConlinepress.com, 2024). As a fast-growing firm with both physical and e-commerce channels, AKPerog Ltd. exemplifies these challenges and opportunities, making its information system choices particularly significant. The purpose of this report is not simply to identify and address visible inefficiencies, but to encourage a culture of continuous process </w:t>
      </w:r>
      <w:r w:rsidR="004930D9" w:rsidRPr="00F837D5">
        <w:rPr>
          <w:rFonts w:ascii="Arial" w:hAnsi="Arial" w:cs="Arial"/>
        </w:rPr>
        <w:t xml:space="preserve">improvements </w:t>
      </w:r>
      <w:r w:rsidRPr="00F837D5">
        <w:rPr>
          <w:rFonts w:ascii="Arial" w:hAnsi="Arial" w:cs="Arial"/>
        </w:rPr>
        <w:t>supported by best-in-class information technology</w:t>
      </w:r>
      <w:r w:rsidR="004930D9">
        <w:rPr>
          <w:rFonts w:ascii="Arial" w:hAnsi="Arial" w:cs="Arial"/>
        </w:rPr>
        <w:t xml:space="preserve"> </w:t>
      </w:r>
      <w:r w:rsidRPr="00F837D5">
        <w:rPr>
          <w:rFonts w:ascii="Arial" w:hAnsi="Arial" w:cs="Arial"/>
        </w:rPr>
        <w:t>to sustain competitive advantage (Netsuite.com, 2025).</w:t>
      </w:r>
    </w:p>
    <w:p w14:paraId="59286109" w14:textId="7874EA39" w:rsidR="00F837D5" w:rsidRPr="00F837D5" w:rsidRDefault="00F837D5" w:rsidP="004930D9">
      <w:pPr>
        <w:spacing w:line="360" w:lineRule="auto"/>
        <w:jc w:val="both"/>
        <w:rPr>
          <w:rFonts w:ascii="Arial" w:hAnsi="Arial" w:cs="Arial"/>
        </w:rPr>
      </w:pPr>
      <w:r w:rsidRPr="004930D9">
        <w:rPr>
          <w:rFonts w:ascii="Arial" w:hAnsi="Arial" w:cs="Arial"/>
        </w:rPr>
        <w:t xml:space="preserve">The evolution of retail is closely tied to data and information systems that drive decision-making at every level of the organization (SuperOffice, 2025). With digital transformation becoming a universal trend across sectors, established retailers like AKPerog Ltd. must contend with not only market competitors, but also with the disruptive influence of new entrants </w:t>
      </w:r>
      <w:r w:rsidR="004930D9" w:rsidRPr="004930D9">
        <w:rPr>
          <w:rFonts w:ascii="Arial" w:hAnsi="Arial" w:cs="Arial"/>
        </w:rPr>
        <w:t>who’s</w:t>
      </w:r>
      <w:r w:rsidRPr="004930D9">
        <w:rPr>
          <w:rFonts w:ascii="Arial" w:hAnsi="Arial" w:cs="Arial"/>
        </w:rPr>
        <w:t xml:space="preserve"> agile, tech-driven models present unique customer experiences and expectations (ERPFoucs.com, 2025). This makes the adoption of robust information systems not a choice, but a necessity if the company wishes to move beyond operational survival and toward strategic leadership. Moreover, regulatory pressure around data privacy and evolving consumer perspectives on technology highlight the need for responsible, transparent, and adaptable IT infrastructure (Jolt.Law.Harvard.edu, 2018).</w:t>
      </w:r>
    </w:p>
    <w:p w14:paraId="5C85E6D3" w14:textId="77777777" w:rsidR="00F837D5" w:rsidRPr="004930D9" w:rsidRDefault="00F837D5" w:rsidP="004930D9">
      <w:pPr>
        <w:pStyle w:val="Heading1"/>
        <w:spacing w:line="360" w:lineRule="auto"/>
        <w:jc w:val="both"/>
        <w:rPr>
          <w:rFonts w:ascii="Arial" w:hAnsi="Arial" w:cs="Arial"/>
          <w:b/>
          <w:bCs/>
          <w:sz w:val="24"/>
          <w:szCs w:val="24"/>
        </w:rPr>
      </w:pPr>
      <w:bookmarkStart w:id="2" w:name="_Toc214117299"/>
      <w:r w:rsidRPr="004930D9">
        <w:rPr>
          <w:rFonts w:ascii="Arial" w:hAnsi="Arial" w:cs="Arial"/>
          <w:b/>
          <w:bCs/>
          <w:sz w:val="24"/>
          <w:szCs w:val="24"/>
        </w:rPr>
        <w:t>Overview and Business Scenario Analysis</w:t>
      </w:r>
      <w:bookmarkEnd w:id="2"/>
    </w:p>
    <w:p w14:paraId="3965608B" w14:textId="2799023E" w:rsidR="00F837D5" w:rsidRPr="00F837D5" w:rsidRDefault="00F837D5" w:rsidP="004930D9">
      <w:pPr>
        <w:jc w:val="both"/>
      </w:pPr>
      <w:r w:rsidRPr="00F837D5">
        <w:t xml:space="preserve">The challenges faced by AKPerog Ltd. are both operational and strategic. Manual processes for inventory and sales data not only limit day-to-day efficiency but also have downstream effects on forecasting, investment, and risk (Linnworks, 2025). The risk extends to misallocating resources, resulting in overstocking low-turnover products while bestselling lines are repeatedly unavailable (WJARR, 2024). Such inefficiencies can erode profits and </w:t>
      </w:r>
      <w:r w:rsidRPr="00F837D5">
        <w:lastRenderedPageBreak/>
        <w:t xml:space="preserve">limit the organization’s capacity to scale its business model across new locations or via digital expansion. Within customer relationship management, disconnected databases have left marketing teams unable to segment effectively, with little reliable mechanism for monitoring campaign impact or tailoring offers dynamically, which is critical for electronics retail where consumers are often deal-driven and exposure to new products is high (Shopify, 2025; Leadsquared, 2025). The sales reporting challenges </w:t>
      </w:r>
      <w:r w:rsidR="004930D9" w:rsidRPr="00F837D5">
        <w:t>similar impacts</w:t>
      </w:r>
      <w:r w:rsidRPr="00F837D5">
        <w:t xml:space="preserve"> not </w:t>
      </w:r>
      <w:r w:rsidR="004930D9" w:rsidRPr="00F837D5">
        <w:t>only on</w:t>
      </w:r>
      <w:r w:rsidRPr="00F837D5">
        <w:t xml:space="preserve"> short-term decisions but also medium-term budgeting, staff planning, and cash flow management. Regulatory compliance adds another urgent dimension. Non-compliance can result in immediate fines and legal complications (Fortis-DPC, 2025), but just as importantly, impacts customer confidence in an era where data privacy concerns can drive customer choice (BigID, 2025). Compounding all these issues, departmental silos and lack of integration substantially harm business agility</w:t>
      </w:r>
      <w:r w:rsidR="004930D9" w:rsidRPr="004930D9">
        <w:t xml:space="preserve"> </w:t>
      </w:r>
      <w:r w:rsidRPr="00F837D5">
        <w:t>the ability to pivot quickly when market conditions or consumer behaviours shift</w:t>
      </w:r>
      <w:r w:rsidR="004930D9" w:rsidRPr="004930D9">
        <w:t xml:space="preserve"> </w:t>
      </w:r>
      <w:r w:rsidRPr="00F837D5">
        <w:t>a capability shown in research to be crucial in volatile retail environments (GSConlinepress.com, 2024; Ivend, 2025).</w:t>
      </w:r>
    </w:p>
    <w:p w14:paraId="2DD043E7" w14:textId="77777777" w:rsidR="00F837D5" w:rsidRPr="004930D9" w:rsidRDefault="00F837D5" w:rsidP="004930D9">
      <w:pPr>
        <w:pStyle w:val="Heading1"/>
        <w:spacing w:line="360" w:lineRule="auto"/>
        <w:jc w:val="both"/>
        <w:rPr>
          <w:rFonts w:ascii="Arial" w:hAnsi="Arial" w:cs="Arial"/>
          <w:b/>
          <w:bCs/>
          <w:sz w:val="24"/>
          <w:szCs w:val="24"/>
        </w:rPr>
      </w:pPr>
      <w:bookmarkStart w:id="3" w:name="_Toc214117300"/>
      <w:r w:rsidRPr="004930D9">
        <w:rPr>
          <w:rFonts w:ascii="Arial" w:hAnsi="Arial" w:cs="Arial"/>
          <w:b/>
          <w:bCs/>
          <w:sz w:val="24"/>
          <w:szCs w:val="24"/>
        </w:rPr>
        <w:t>Evaluation of Current Systems</w:t>
      </w:r>
      <w:bookmarkEnd w:id="3"/>
    </w:p>
    <w:p w14:paraId="29C9CFE2" w14:textId="26554E2A" w:rsidR="00F837D5" w:rsidRPr="00F837D5" w:rsidRDefault="00F837D5" w:rsidP="004930D9">
      <w:pPr>
        <w:spacing w:line="360" w:lineRule="auto"/>
        <w:jc w:val="both"/>
        <w:rPr>
          <w:rFonts w:ascii="Arial" w:hAnsi="Arial" w:cs="Arial"/>
        </w:rPr>
      </w:pPr>
      <w:r w:rsidRPr="00F837D5">
        <w:rPr>
          <w:rFonts w:ascii="Arial" w:hAnsi="Arial" w:cs="Arial"/>
        </w:rPr>
        <w:t>Modern inventory and CRM solutions in leading retail firms deliver significantly better results than manual legacy systems. Walmart and Target, for example, have adopted comprehensive ERP solutions that unify inventory controls across all bricks-and-mortar and online operations, resulting in substantial reductions in stock discrepancies and fulfillment delays (Netsuite.com, 2025). These companies have seen operational gains</w:t>
      </w:r>
      <w:r w:rsidR="004930D9">
        <w:rPr>
          <w:rFonts w:ascii="Arial" w:hAnsi="Arial" w:cs="Arial"/>
        </w:rPr>
        <w:t xml:space="preserve"> </w:t>
      </w:r>
      <w:r w:rsidRPr="00F837D5">
        <w:rPr>
          <w:rFonts w:ascii="Arial" w:hAnsi="Arial" w:cs="Arial"/>
        </w:rPr>
        <w:t>including inventory accuracy rates surpassing 95%</w:t>
      </w:r>
      <w:r w:rsidR="004930D9">
        <w:rPr>
          <w:rFonts w:ascii="Arial" w:hAnsi="Arial" w:cs="Arial"/>
        </w:rPr>
        <w:t xml:space="preserve">, </w:t>
      </w:r>
      <w:r w:rsidRPr="00F837D5">
        <w:rPr>
          <w:rFonts w:ascii="Arial" w:hAnsi="Arial" w:cs="Arial"/>
        </w:rPr>
        <w:t xml:space="preserve">after moving to systems that fully automate and </w:t>
      </w:r>
      <w:r w:rsidR="004930D9" w:rsidRPr="00F837D5">
        <w:rPr>
          <w:rFonts w:ascii="Arial" w:hAnsi="Arial" w:cs="Arial"/>
        </w:rPr>
        <w:t>centralize</w:t>
      </w:r>
      <w:r w:rsidRPr="00F837D5">
        <w:rPr>
          <w:rFonts w:ascii="Arial" w:hAnsi="Arial" w:cs="Arial"/>
        </w:rPr>
        <w:t xml:space="preserve"> stock management, highlighting clear inefficiencies in non-automated environments (WJARR, 2024). At Best Buy, the implementation of Oracle ERP led directly to improved coordination between digital and physical stores, eliminating many of the mismatches that once frustrated both customers and staff (WJARR, 2024).</w:t>
      </w:r>
    </w:p>
    <w:p w14:paraId="3E38D835" w14:textId="0C7DF1FE" w:rsidR="00F837D5" w:rsidRPr="00F837D5" w:rsidRDefault="00F837D5" w:rsidP="004930D9">
      <w:pPr>
        <w:spacing w:line="360" w:lineRule="auto"/>
        <w:jc w:val="both"/>
        <w:rPr>
          <w:rFonts w:ascii="Arial" w:hAnsi="Arial" w:cs="Arial"/>
        </w:rPr>
      </w:pPr>
      <w:r w:rsidRPr="00F837D5">
        <w:rPr>
          <w:rFonts w:ascii="Arial" w:hAnsi="Arial" w:cs="Arial"/>
        </w:rPr>
        <w:t xml:space="preserve">In the customer relationship management area, Spotify Advertising is a standout illustration of what is possible with better data integration. By deploying Salesforce CRM, Spotify unified its customer data and was able to personalize marketing campaigns, which doubled its e-commerce revenue in just twelve months (Salesforce, 2024). Similarly, Good American successfully integrated CRM systems so that every customer interaction and purchase could be tracked from a single dashboard. This change not only improved customer support response times but also led to a documented reduction in product return </w:t>
      </w:r>
      <w:r w:rsidRPr="00F837D5">
        <w:rPr>
          <w:rFonts w:ascii="Arial" w:hAnsi="Arial" w:cs="Arial"/>
        </w:rPr>
        <w:lastRenderedPageBreak/>
        <w:t xml:space="preserve">rates and an improvement in customer satisfaction scores (Shopify, 2025). British retailer John Lewis integrated customer insights across all platforms to target offers and resolve complaints </w:t>
      </w:r>
      <w:r w:rsidR="004930D9" w:rsidRPr="00F837D5">
        <w:rPr>
          <w:rFonts w:ascii="Arial" w:hAnsi="Arial" w:cs="Arial"/>
        </w:rPr>
        <w:t>quickly boosting</w:t>
      </w:r>
      <w:r w:rsidRPr="00F837D5">
        <w:rPr>
          <w:rFonts w:ascii="Arial" w:hAnsi="Arial" w:cs="Arial"/>
        </w:rPr>
        <w:t xml:space="preserve"> Net Promoter Scores by over 15% within a year (Leadsquared, 2025).</w:t>
      </w:r>
    </w:p>
    <w:p w14:paraId="25CB518E" w14:textId="644B9F2B" w:rsidR="00F837D5" w:rsidRPr="00F837D5" w:rsidRDefault="00F837D5" w:rsidP="004930D9">
      <w:pPr>
        <w:spacing w:line="360" w:lineRule="auto"/>
        <w:jc w:val="both"/>
        <w:rPr>
          <w:rFonts w:ascii="Arial" w:hAnsi="Arial" w:cs="Arial"/>
        </w:rPr>
      </w:pPr>
      <w:r w:rsidRPr="00F837D5">
        <w:rPr>
          <w:rFonts w:ascii="Arial" w:hAnsi="Arial" w:cs="Arial"/>
        </w:rPr>
        <w:t>In terms of reporting and analytics, McDonald’s implemented a business intelligence solution that provided managers with real-time insight into sales and operations across more than 1,200 UK restaurants (GSConlinepress.com, 2024). The practical effect was a drastic reduction in time spent compiling reports</w:t>
      </w:r>
      <w:r w:rsidR="004930D9">
        <w:rPr>
          <w:rFonts w:ascii="Arial" w:hAnsi="Arial" w:cs="Arial"/>
        </w:rPr>
        <w:t xml:space="preserve"> </w:t>
      </w:r>
      <w:r w:rsidRPr="00F837D5">
        <w:rPr>
          <w:rFonts w:ascii="Arial" w:hAnsi="Arial" w:cs="Arial"/>
        </w:rPr>
        <w:t>freeing managers to focus on strategic activities rather than data entry</w:t>
      </w:r>
      <w:r w:rsidR="004930D9">
        <w:rPr>
          <w:rFonts w:ascii="Arial" w:hAnsi="Arial" w:cs="Arial"/>
        </w:rPr>
        <w:t xml:space="preserve"> </w:t>
      </w:r>
      <w:r w:rsidRPr="00F837D5">
        <w:rPr>
          <w:rFonts w:ascii="Arial" w:hAnsi="Arial" w:cs="Arial"/>
        </w:rPr>
        <w:t xml:space="preserve">and real-time abilities to adjust inventory and staffing levels in response to actual demand patterns (Vorecol.com, 2024). Tesco, a leading grocery retailer, also </w:t>
      </w:r>
      <w:r w:rsidR="004930D9" w:rsidRPr="00F837D5">
        <w:rPr>
          <w:rFonts w:ascii="Arial" w:hAnsi="Arial" w:cs="Arial"/>
        </w:rPr>
        <w:t>utilizes</w:t>
      </w:r>
      <w:r w:rsidRPr="00F837D5">
        <w:rPr>
          <w:rFonts w:ascii="Arial" w:hAnsi="Arial" w:cs="Arial"/>
        </w:rPr>
        <w:t xml:space="preserve"> real-time analytics to make local store-level decisions daily, boosting both efficiency and responsiveness (GSConlinepress.com, 2024).</w:t>
      </w:r>
    </w:p>
    <w:p w14:paraId="0404886F" w14:textId="0594F90E" w:rsidR="00F837D5" w:rsidRPr="00F837D5" w:rsidRDefault="00F837D5" w:rsidP="004930D9">
      <w:pPr>
        <w:spacing w:line="360" w:lineRule="auto"/>
        <w:jc w:val="both"/>
        <w:rPr>
          <w:rFonts w:ascii="Arial" w:hAnsi="Arial" w:cs="Arial"/>
        </w:rPr>
      </w:pPr>
      <w:r w:rsidRPr="00F837D5">
        <w:rPr>
          <w:rFonts w:ascii="Arial" w:hAnsi="Arial" w:cs="Arial"/>
        </w:rPr>
        <w:t>On the matter of data protection, British retailer Marks &amp; Spencer undertook a major upgrade to ensure GDPR compliance across its systems. By automating data access controls, audit trails, and encryption features directly into its information systems, M&amp;S successfully passed regulatory audits and avoided reputational damage</w:t>
      </w:r>
      <w:r w:rsidR="004930D9">
        <w:rPr>
          <w:rFonts w:ascii="Arial" w:hAnsi="Arial" w:cs="Arial"/>
        </w:rPr>
        <w:t xml:space="preserve"> </w:t>
      </w:r>
      <w:r w:rsidRPr="00F837D5">
        <w:rPr>
          <w:rFonts w:ascii="Arial" w:hAnsi="Arial" w:cs="Arial"/>
        </w:rPr>
        <w:t>highlighting the risks to those companies that delay (BigID, 2025). BA’s failure resulted in a £20 million fine in 2020 for robust GDPR controls lacking (Fortis-DPC, 2025; NBER, 2024).</w:t>
      </w:r>
    </w:p>
    <w:p w14:paraId="3CF2C79E" w14:textId="4497583D" w:rsidR="00F837D5" w:rsidRPr="00F837D5" w:rsidRDefault="00F837D5" w:rsidP="004930D9">
      <w:pPr>
        <w:spacing w:line="360" w:lineRule="auto"/>
        <w:jc w:val="both"/>
        <w:rPr>
          <w:rFonts w:ascii="Arial" w:hAnsi="Arial" w:cs="Arial"/>
        </w:rPr>
      </w:pPr>
      <w:r w:rsidRPr="00F837D5">
        <w:rPr>
          <w:rFonts w:ascii="Arial" w:hAnsi="Arial" w:cs="Arial"/>
        </w:rPr>
        <w:t xml:space="preserve">Finally, Zara (Inditex group) provides a classic example of successful system integration. By creating real-time links between inventory, logistics, procurement, and sales, Zara reduced lead times and enabled much quicker response to customer demand, giving it a competitive edge among global fashion retailers (Ivend, 2025). Companies in the sector that failed to </w:t>
      </w:r>
      <w:r w:rsidR="004930D9" w:rsidRPr="004930D9">
        <w:rPr>
          <w:rFonts w:ascii="Arial" w:hAnsi="Arial" w:cs="Arial"/>
        </w:rPr>
        <w:t xml:space="preserve">digitalize </w:t>
      </w:r>
      <w:r w:rsidRPr="00F837D5">
        <w:rPr>
          <w:rFonts w:ascii="Arial" w:hAnsi="Arial" w:cs="Arial"/>
        </w:rPr>
        <w:t>like former retail giant Debenhams</w:t>
      </w:r>
      <w:r w:rsidR="004930D9" w:rsidRPr="004930D9">
        <w:rPr>
          <w:rFonts w:ascii="Arial" w:hAnsi="Arial" w:cs="Arial"/>
        </w:rPr>
        <w:t xml:space="preserve"> </w:t>
      </w:r>
      <w:r w:rsidRPr="00F837D5">
        <w:rPr>
          <w:rFonts w:ascii="Arial" w:hAnsi="Arial" w:cs="Arial"/>
        </w:rPr>
        <w:t>struggled with coordination and ultimately lost market relevance (Leadsquared, 2025).</w:t>
      </w:r>
    </w:p>
    <w:p w14:paraId="48E0C234" w14:textId="349BC19D" w:rsidR="00F837D5" w:rsidRPr="00F837D5" w:rsidRDefault="00F837D5" w:rsidP="004930D9">
      <w:pPr>
        <w:spacing w:line="360" w:lineRule="auto"/>
        <w:jc w:val="both"/>
        <w:rPr>
          <w:rFonts w:ascii="Arial" w:hAnsi="Arial" w:cs="Arial"/>
        </w:rPr>
      </w:pPr>
      <w:r w:rsidRPr="00F837D5">
        <w:rPr>
          <w:rFonts w:ascii="Arial" w:hAnsi="Arial" w:cs="Arial"/>
        </w:rPr>
        <w:t>These real-world business examples illustrate the tangible costs of maintaining outdated, disconnected legacy systems and the considerable benefits</w:t>
      </w:r>
      <w:r w:rsidR="004930D9" w:rsidRPr="004930D9">
        <w:rPr>
          <w:rFonts w:ascii="Arial" w:hAnsi="Arial" w:cs="Arial"/>
        </w:rPr>
        <w:t xml:space="preserve"> </w:t>
      </w:r>
      <w:r w:rsidRPr="00F837D5">
        <w:rPr>
          <w:rFonts w:ascii="Arial" w:hAnsi="Arial" w:cs="Arial"/>
        </w:rPr>
        <w:t>across efficiency, customer satisfaction, legal compliance, and market responsiveness</w:t>
      </w:r>
      <w:r w:rsidR="004930D9" w:rsidRPr="004930D9">
        <w:rPr>
          <w:rFonts w:ascii="Arial" w:hAnsi="Arial" w:cs="Arial"/>
        </w:rPr>
        <w:t xml:space="preserve"> </w:t>
      </w:r>
      <w:r w:rsidRPr="00F837D5">
        <w:rPr>
          <w:rFonts w:ascii="Arial" w:hAnsi="Arial" w:cs="Arial"/>
        </w:rPr>
        <w:t>that flow from integrated digital upgrades.</w:t>
      </w:r>
    </w:p>
    <w:p w14:paraId="71871B81" w14:textId="77777777" w:rsidR="00F837D5" w:rsidRPr="004930D9" w:rsidRDefault="00F837D5" w:rsidP="004930D9">
      <w:pPr>
        <w:pStyle w:val="Heading1"/>
        <w:spacing w:line="360" w:lineRule="auto"/>
        <w:jc w:val="both"/>
        <w:rPr>
          <w:rFonts w:ascii="Arial" w:hAnsi="Arial" w:cs="Arial"/>
          <w:b/>
          <w:bCs/>
          <w:sz w:val="24"/>
          <w:szCs w:val="24"/>
        </w:rPr>
      </w:pPr>
      <w:bookmarkStart w:id="4" w:name="_Toc214117301"/>
      <w:r w:rsidRPr="004930D9">
        <w:rPr>
          <w:rFonts w:ascii="Arial" w:hAnsi="Arial" w:cs="Arial"/>
          <w:b/>
          <w:bCs/>
          <w:sz w:val="24"/>
          <w:szCs w:val="24"/>
        </w:rPr>
        <w:lastRenderedPageBreak/>
        <w:t>Justification for the Proposed Solution</w:t>
      </w:r>
      <w:bookmarkEnd w:id="4"/>
    </w:p>
    <w:p w14:paraId="6737232A" w14:textId="51C50166" w:rsidR="00F837D5" w:rsidRPr="00F837D5" w:rsidRDefault="00F837D5" w:rsidP="004930D9">
      <w:pPr>
        <w:spacing w:line="360" w:lineRule="auto"/>
        <w:jc w:val="both"/>
        <w:rPr>
          <w:rFonts w:ascii="Arial" w:hAnsi="Arial" w:cs="Arial"/>
        </w:rPr>
      </w:pPr>
      <w:r w:rsidRPr="00F837D5">
        <w:rPr>
          <w:rFonts w:ascii="Arial" w:hAnsi="Arial" w:cs="Arial"/>
        </w:rPr>
        <w:t>The shift to an integrated, cloud-based ERP/CRM solution is not simply an upgrade, but a fundamental driver for sustainable growth and risk mitigation for AKPerog Ltd. Academic and industry studies demonstrate ERP deployment delivers both operational and strategic returns</w:t>
      </w:r>
      <w:r w:rsidR="004930D9" w:rsidRPr="004930D9">
        <w:rPr>
          <w:rFonts w:ascii="Arial" w:hAnsi="Arial" w:cs="Arial"/>
        </w:rPr>
        <w:t xml:space="preserve"> </w:t>
      </w:r>
      <w:r w:rsidRPr="00F837D5">
        <w:rPr>
          <w:rFonts w:ascii="Arial" w:hAnsi="Arial" w:cs="Arial"/>
        </w:rPr>
        <w:t>reducing process times, increasing accuracy, lowering labour costs, and even supporting environmental, social, and governance (ESG) reporting (Netsuite.com, 2025; ERPFoucs.com, 2025). Furthermore, by breaking down silos and providing a common data foundation, ERP and CRM investments create the information infrastructure needed to experiment with omnichannel selling, new customer services, and real-time customer engagement campaigns (Shopify, 2025; Leadsquared, 2025).</w:t>
      </w:r>
    </w:p>
    <w:p w14:paraId="494CF379" w14:textId="059F4CEB" w:rsidR="00F837D5" w:rsidRPr="00F837D5" w:rsidRDefault="00F837D5" w:rsidP="004930D9">
      <w:pPr>
        <w:spacing w:line="360" w:lineRule="auto"/>
        <w:jc w:val="both"/>
        <w:rPr>
          <w:rFonts w:ascii="Arial" w:hAnsi="Arial" w:cs="Arial"/>
        </w:rPr>
      </w:pPr>
      <w:r w:rsidRPr="00F837D5">
        <w:rPr>
          <w:rFonts w:ascii="Arial" w:hAnsi="Arial" w:cs="Arial"/>
        </w:rPr>
        <w:t xml:space="preserve">ERP systems today are modular, meaning AKPerog Ltd. can prioritize high-impact features, such as real-time inventory, CRM, and robust compliance controls, and then expand gradually (Oracle NetSuite, 2025). This strategy minimizes business disruption and accelerates </w:t>
      </w:r>
      <w:r w:rsidR="004930D9" w:rsidRPr="004930D9">
        <w:rPr>
          <w:rFonts w:ascii="Arial" w:hAnsi="Arial" w:cs="Arial"/>
        </w:rPr>
        <w:t>returns</w:t>
      </w:r>
      <w:r w:rsidRPr="00F837D5">
        <w:rPr>
          <w:rFonts w:ascii="Arial" w:hAnsi="Arial" w:cs="Arial"/>
        </w:rPr>
        <w:t xml:space="preserve"> that successful retailers have repeatedly demonstrated (Best Buy, Walmart, Zara, John Lewis).</w:t>
      </w:r>
    </w:p>
    <w:p w14:paraId="28255468" w14:textId="77777777" w:rsidR="00F837D5" w:rsidRPr="004930D9" w:rsidRDefault="00F837D5" w:rsidP="004930D9">
      <w:pPr>
        <w:pStyle w:val="Heading1"/>
        <w:spacing w:line="360" w:lineRule="auto"/>
        <w:jc w:val="both"/>
        <w:rPr>
          <w:rFonts w:ascii="Arial" w:hAnsi="Arial" w:cs="Arial"/>
          <w:b/>
          <w:bCs/>
          <w:sz w:val="24"/>
          <w:szCs w:val="24"/>
        </w:rPr>
      </w:pPr>
      <w:bookmarkStart w:id="5" w:name="_Toc214117302"/>
      <w:r w:rsidRPr="004930D9">
        <w:rPr>
          <w:rFonts w:ascii="Arial" w:hAnsi="Arial" w:cs="Arial"/>
          <w:b/>
          <w:bCs/>
          <w:sz w:val="24"/>
          <w:szCs w:val="24"/>
        </w:rPr>
        <w:t>Implementation Plan</w:t>
      </w:r>
      <w:bookmarkEnd w:id="5"/>
    </w:p>
    <w:p w14:paraId="3B23DF64" w14:textId="2931F7D0" w:rsidR="00F837D5" w:rsidRPr="00F837D5" w:rsidRDefault="00F837D5" w:rsidP="004930D9">
      <w:pPr>
        <w:spacing w:line="360" w:lineRule="auto"/>
        <w:jc w:val="both"/>
        <w:rPr>
          <w:rFonts w:ascii="Arial" w:hAnsi="Arial" w:cs="Arial"/>
        </w:rPr>
      </w:pPr>
      <w:r w:rsidRPr="00F837D5">
        <w:rPr>
          <w:rFonts w:ascii="Arial" w:hAnsi="Arial" w:cs="Arial"/>
        </w:rPr>
        <w:t xml:space="preserve">A change </w:t>
      </w:r>
      <w:r w:rsidR="004930D9" w:rsidRPr="004930D9">
        <w:rPr>
          <w:rFonts w:ascii="Arial" w:hAnsi="Arial" w:cs="Arial"/>
        </w:rPr>
        <w:t>programmes</w:t>
      </w:r>
      <w:r w:rsidRPr="00F837D5">
        <w:rPr>
          <w:rFonts w:ascii="Arial" w:hAnsi="Arial" w:cs="Arial"/>
        </w:rPr>
        <w:t xml:space="preserve"> of this scale requires careful planning and stakeholder alignment (Jolt.Law.Harvard.edu, 2018; Harvard SEAS, 2025). Extensive academic and consulting literature supports the staged approach outlined</w:t>
      </w:r>
      <w:r w:rsidR="003C70FD" w:rsidRPr="004930D9">
        <w:rPr>
          <w:rFonts w:ascii="Arial" w:hAnsi="Arial" w:cs="Arial"/>
        </w:rPr>
        <w:t xml:space="preserve"> </w:t>
      </w:r>
      <w:r w:rsidRPr="00F837D5">
        <w:rPr>
          <w:rFonts w:ascii="Arial" w:hAnsi="Arial" w:cs="Arial"/>
        </w:rPr>
        <w:t xml:space="preserve">involving all major business functions in system selection ensures requirements are fit for purpose and that the chosen solution will truly deliver cross-functional gains (Trepo.tuni.fi, 2014). Infrastructure upgrades and phased data migration are essential for protecting operational continuity and information integrity (Netsuite.com, 2025). Staff training, often under-emphasized, is proven to be the make-or-break factor in system adoption (HBS.edu, 1998; Harvard SEAS, 2025). Finally, ongoing </w:t>
      </w:r>
      <w:r w:rsidR="004930D9" w:rsidRPr="004930D9">
        <w:rPr>
          <w:rFonts w:ascii="Arial" w:hAnsi="Arial" w:cs="Arial"/>
        </w:rPr>
        <w:t>monitoring of</w:t>
      </w:r>
      <w:r w:rsidR="003C70FD" w:rsidRPr="004930D9">
        <w:rPr>
          <w:rFonts w:ascii="Arial" w:hAnsi="Arial" w:cs="Arial"/>
        </w:rPr>
        <w:t xml:space="preserve"> </w:t>
      </w:r>
      <w:r w:rsidRPr="00F837D5">
        <w:rPr>
          <w:rFonts w:ascii="Arial" w:hAnsi="Arial" w:cs="Arial"/>
        </w:rPr>
        <w:t>both IT</w:t>
      </w:r>
      <w:r w:rsidR="004930D9">
        <w:rPr>
          <w:rFonts w:ascii="Arial" w:hAnsi="Arial" w:cs="Arial"/>
        </w:rPr>
        <w:t xml:space="preserve"> </w:t>
      </w:r>
      <w:r w:rsidRPr="00F837D5">
        <w:rPr>
          <w:rFonts w:ascii="Arial" w:hAnsi="Arial" w:cs="Arial"/>
        </w:rPr>
        <w:t>- and business-led</w:t>
      </w:r>
      <w:r w:rsidR="003C70FD" w:rsidRPr="004930D9">
        <w:rPr>
          <w:rFonts w:ascii="Arial" w:hAnsi="Arial" w:cs="Arial"/>
        </w:rPr>
        <w:t xml:space="preserve"> </w:t>
      </w:r>
      <w:r w:rsidRPr="00F837D5">
        <w:rPr>
          <w:rFonts w:ascii="Arial" w:hAnsi="Arial" w:cs="Arial"/>
        </w:rPr>
        <w:t xml:space="preserve">ensures the company not only remains compliant as laws </w:t>
      </w:r>
      <w:r w:rsidR="003C70FD" w:rsidRPr="004930D9">
        <w:rPr>
          <w:rFonts w:ascii="Arial" w:hAnsi="Arial" w:cs="Arial"/>
        </w:rPr>
        <w:t>evolve but</w:t>
      </w:r>
      <w:r w:rsidRPr="00F837D5">
        <w:rPr>
          <w:rFonts w:ascii="Arial" w:hAnsi="Arial" w:cs="Arial"/>
        </w:rPr>
        <w:t xml:space="preserve"> continuously improves its processes and competitive position (BigID, 2025).</w:t>
      </w:r>
    </w:p>
    <w:tbl>
      <w:tblPr>
        <w:tblW w:w="0" w:type="auto"/>
        <w:tblCellSpacing w:w="1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54"/>
        <w:gridCol w:w="1284"/>
        <w:gridCol w:w="1905"/>
        <w:gridCol w:w="1214"/>
        <w:gridCol w:w="1373"/>
        <w:gridCol w:w="1530"/>
        <w:gridCol w:w="985"/>
      </w:tblGrid>
      <w:tr w:rsidR="003C70FD" w:rsidRPr="00F837D5" w14:paraId="3681C602" w14:textId="77777777" w:rsidTr="003C70FD">
        <w:trPr>
          <w:tblHeader/>
          <w:tblCellSpacing w:w="15" w:type="dxa"/>
        </w:trPr>
        <w:tc>
          <w:tcPr>
            <w:tcW w:w="1109" w:type="dxa"/>
            <w:vAlign w:val="center"/>
            <w:hideMark/>
          </w:tcPr>
          <w:p w14:paraId="6A3DCF59" w14:textId="77777777" w:rsidR="00F837D5" w:rsidRPr="00F837D5" w:rsidRDefault="00F837D5" w:rsidP="00F837D5">
            <w:pPr>
              <w:rPr>
                <w:rFonts w:ascii="Arial" w:hAnsi="Arial" w:cs="Arial"/>
                <w:b/>
                <w:bCs/>
                <w:sz w:val="20"/>
                <w:szCs w:val="20"/>
              </w:rPr>
            </w:pPr>
            <w:r w:rsidRPr="00F837D5">
              <w:rPr>
                <w:rFonts w:ascii="Arial" w:hAnsi="Arial" w:cs="Arial"/>
                <w:b/>
                <w:bCs/>
                <w:sz w:val="20"/>
                <w:szCs w:val="20"/>
              </w:rPr>
              <w:lastRenderedPageBreak/>
              <w:t>Step</w:t>
            </w:r>
          </w:p>
        </w:tc>
        <w:tc>
          <w:tcPr>
            <w:tcW w:w="1254" w:type="dxa"/>
            <w:vAlign w:val="center"/>
            <w:hideMark/>
          </w:tcPr>
          <w:p w14:paraId="6048893C" w14:textId="77777777" w:rsidR="00F837D5" w:rsidRPr="00F837D5" w:rsidRDefault="00F837D5" w:rsidP="00F837D5">
            <w:pPr>
              <w:rPr>
                <w:rFonts w:ascii="Arial" w:hAnsi="Arial" w:cs="Arial"/>
                <w:b/>
                <w:bCs/>
                <w:sz w:val="20"/>
                <w:szCs w:val="20"/>
              </w:rPr>
            </w:pPr>
            <w:r w:rsidRPr="00F837D5">
              <w:rPr>
                <w:rFonts w:ascii="Arial" w:hAnsi="Arial" w:cs="Arial"/>
                <w:b/>
                <w:bCs/>
                <w:sz w:val="20"/>
                <w:szCs w:val="20"/>
              </w:rPr>
              <w:t>Objective</w:t>
            </w:r>
          </w:p>
        </w:tc>
        <w:tc>
          <w:tcPr>
            <w:tcW w:w="1875" w:type="dxa"/>
            <w:vAlign w:val="center"/>
            <w:hideMark/>
          </w:tcPr>
          <w:p w14:paraId="59C59EF5" w14:textId="77777777" w:rsidR="00F837D5" w:rsidRPr="00F837D5" w:rsidRDefault="00F837D5" w:rsidP="00F837D5">
            <w:pPr>
              <w:rPr>
                <w:rFonts w:ascii="Arial" w:hAnsi="Arial" w:cs="Arial"/>
                <w:b/>
                <w:bCs/>
                <w:sz w:val="20"/>
                <w:szCs w:val="20"/>
              </w:rPr>
            </w:pPr>
            <w:r w:rsidRPr="00F837D5">
              <w:rPr>
                <w:rFonts w:ascii="Arial" w:hAnsi="Arial" w:cs="Arial"/>
                <w:b/>
                <w:bCs/>
                <w:sz w:val="20"/>
                <w:szCs w:val="20"/>
              </w:rPr>
              <w:t>Actions</w:t>
            </w:r>
          </w:p>
        </w:tc>
        <w:tc>
          <w:tcPr>
            <w:tcW w:w="1184" w:type="dxa"/>
            <w:vAlign w:val="center"/>
            <w:hideMark/>
          </w:tcPr>
          <w:p w14:paraId="0D7006E2" w14:textId="77777777" w:rsidR="00F837D5" w:rsidRPr="00F837D5" w:rsidRDefault="00F837D5" w:rsidP="00F837D5">
            <w:pPr>
              <w:rPr>
                <w:rFonts w:ascii="Arial" w:hAnsi="Arial" w:cs="Arial"/>
                <w:b/>
                <w:bCs/>
                <w:sz w:val="20"/>
                <w:szCs w:val="20"/>
              </w:rPr>
            </w:pPr>
            <w:r w:rsidRPr="00F837D5">
              <w:rPr>
                <w:rFonts w:ascii="Arial" w:hAnsi="Arial" w:cs="Arial"/>
                <w:b/>
                <w:bCs/>
                <w:sz w:val="20"/>
                <w:szCs w:val="20"/>
              </w:rPr>
              <w:t>Stakeholders Involved</w:t>
            </w:r>
          </w:p>
        </w:tc>
        <w:tc>
          <w:tcPr>
            <w:tcW w:w="1343" w:type="dxa"/>
            <w:vAlign w:val="center"/>
            <w:hideMark/>
          </w:tcPr>
          <w:p w14:paraId="1DC4B278" w14:textId="77777777" w:rsidR="00F837D5" w:rsidRPr="00F837D5" w:rsidRDefault="00F837D5" w:rsidP="00F837D5">
            <w:pPr>
              <w:rPr>
                <w:rFonts w:ascii="Arial" w:hAnsi="Arial" w:cs="Arial"/>
                <w:b/>
                <w:bCs/>
                <w:sz w:val="20"/>
                <w:szCs w:val="20"/>
              </w:rPr>
            </w:pPr>
            <w:r w:rsidRPr="00F837D5">
              <w:rPr>
                <w:rFonts w:ascii="Arial" w:hAnsi="Arial" w:cs="Arial"/>
                <w:b/>
                <w:bCs/>
                <w:sz w:val="20"/>
                <w:szCs w:val="20"/>
              </w:rPr>
              <w:t>Potential Challenges</w:t>
            </w:r>
          </w:p>
        </w:tc>
        <w:tc>
          <w:tcPr>
            <w:tcW w:w="1500" w:type="dxa"/>
            <w:vAlign w:val="center"/>
            <w:hideMark/>
          </w:tcPr>
          <w:p w14:paraId="1DFF5912" w14:textId="77777777" w:rsidR="00F837D5" w:rsidRPr="00F837D5" w:rsidRDefault="00F837D5" w:rsidP="00F837D5">
            <w:pPr>
              <w:rPr>
                <w:rFonts w:ascii="Arial" w:hAnsi="Arial" w:cs="Arial"/>
                <w:b/>
                <w:bCs/>
                <w:sz w:val="20"/>
                <w:szCs w:val="20"/>
              </w:rPr>
            </w:pPr>
            <w:r w:rsidRPr="00F837D5">
              <w:rPr>
                <w:rFonts w:ascii="Arial" w:hAnsi="Arial" w:cs="Arial"/>
                <w:b/>
                <w:bCs/>
                <w:sz w:val="20"/>
                <w:szCs w:val="20"/>
              </w:rPr>
              <w:t>Mitigation Strategies</w:t>
            </w:r>
          </w:p>
        </w:tc>
        <w:tc>
          <w:tcPr>
            <w:tcW w:w="940" w:type="dxa"/>
            <w:vAlign w:val="center"/>
            <w:hideMark/>
          </w:tcPr>
          <w:p w14:paraId="6808D935" w14:textId="77777777" w:rsidR="00F837D5" w:rsidRPr="00F837D5" w:rsidRDefault="00F837D5" w:rsidP="00F837D5">
            <w:pPr>
              <w:rPr>
                <w:rFonts w:ascii="Arial" w:hAnsi="Arial" w:cs="Arial"/>
                <w:b/>
                <w:bCs/>
                <w:sz w:val="20"/>
                <w:szCs w:val="20"/>
              </w:rPr>
            </w:pPr>
            <w:r w:rsidRPr="00F837D5">
              <w:rPr>
                <w:rFonts w:ascii="Arial" w:hAnsi="Arial" w:cs="Arial"/>
                <w:b/>
                <w:bCs/>
                <w:sz w:val="20"/>
                <w:szCs w:val="20"/>
              </w:rPr>
              <w:t>Duration</w:t>
            </w:r>
          </w:p>
        </w:tc>
      </w:tr>
      <w:tr w:rsidR="003C70FD" w:rsidRPr="00F837D5" w14:paraId="4C9AE938" w14:textId="77777777" w:rsidTr="003C70FD">
        <w:trPr>
          <w:tblCellSpacing w:w="15" w:type="dxa"/>
        </w:trPr>
        <w:tc>
          <w:tcPr>
            <w:tcW w:w="1109" w:type="dxa"/>
            <w:vAlign w:val="center"/>
            <w:hideMark/>
          </w:tcPr>
          <w:p w14:paraId="2B9608F4" w14:textId="77777777" w:rsidR="00F837D5" w:rsidRPr="00F837D5" w:rsidRDefault="00F837D5" w:rsidP="00F837D5">
            <w:pPr>
              <w:rPr>
                <w:rFonts w:ascii="Arial" w:hAnsi="Arial" w:cs="Arial"/>
                <w:sz w:val="20"/>
                <w:szCs w:val="20"/>
              </w:rPr>
            </w:pPr>
            <w:r w:rsidRPr="00F837D5">
              <w:rPr>
                <w:rFonts w:ascii="Arial" w:hAnsi="Arial" w:cs="Arial"/>
                <w:sz w:val="20"/>
                <w:szCs w:val="20"/>
              </w:rPr>
              <w:t>System Selection</w:t>
            </w:r>
          </w:p>
        </w:tc>
        <w:tc>
          <w:tcPr>
            <w:tcW w:w="1254" w:type="dxa"/>
            <w:vAlign w:val="center"/>
            <w:hideMark/>
          </w:tcPr>
          <w:p w14:paraId="35E24465" w14:textId="77777777" w:rsidR="00F837D5" w:rsidRPr="00F837D5" w:rsidRDefault="00F837D5" w:rsidP="00F837D5">
            <w:pPr>
              <w:rPr>
                <w:rFonts w:ascii="Arial" w:hAnsi="Arial" w:cs="Arial"/>
                <w:sz w:val="20"/>
                <w:szCs w:val="20"/>
              </w:rPr>
            </w:pPr>
            <w:r w:rsidRPr="00F837D5">
              <w:rPr>
                <w:rFonts w:ascii="Arial" w:hAnsi="Arial" w:cs="Arial"/>
                <w:sz w:val="20"/>
                <w:szCs w:val="20"/>
              </w:rPr>
              <w:t>Identify and procure the optimal ERP/CRM solution for retail and multi-channel integration.</w:t>
            </w:r>
          </w:p>
        </w:tc>
        <w:tc>
          <w:tcPr>
            <w:tcW w:w="1875" w:type="dxa"/>
            <w:vAlign w:val="center"/>
            <w:hideMark/>
          </w:tcPr>
          <w:p w14:paraId="4466A2AB" w14:textId="77777777" w:rsidR="00F837D5" w:rsidRPr="00F837D5" w:rsidRDefault="00F837D5" w:rsidP="00F837D5">
            <w:pPr>
              <w:rPr>
                <w:rFonts w:ascii="Arial" w:hAnsi="Arial" w:cs="Arial"/>
                <w:sz w:val="20"/>
                <w:szCs w:val="20"/>
              </w:rPr>
            </w:pPr>
            <w:r w:rsidRPr="00F837D5">
              <w:rPr>
                <w:rFonts w:ascii="Arial" w:hAnsi="Arial" w:cs="Arial"/>
                <w:sz w:val="20"/>
                <w:szCs w:val="20"/>
              </w:rPr>
              <w:t>Conduct requirements analysis, evaluate SAP/Oracle/Dynamics, vendor demos, reference checks, RFP.</w:t>
            </w:r>
          </w:p>
        </w:tc>
        <w:tc>
          <w:tcPr>
            <w:tcW w:w="1184" w:type="dxa"/>
            <w:vAlign w:val="center"/>
            <w:hideMark/>
          </w:tcPr>
          <w:p w14:paraId="307B5B01" w14:textId="77777777" w:rsidR="00F837D5" w:rsidRPr="00F837D5" w:rsidRDefault="00F837D5" w:rsidP="00F837D5">
            <w:pPr>
              <w:rPr>
                <w:rFonts w:ascii="Arial" w:hAnsi="Arial" w:cs="Arial"/>
                <w:sz w:val="20"/>
                <w:szCs w:val="20"/>
              </w:rPr>
            </w:pPr>
            <w:r w:rsidRPr="00F837D5">
              <w:rPr>
                <w:rFonts w:ascii="Arial" w:hAnsi="Arial" w:cs="Arial"/>
                <w:sz w:val="20"/>
                <w:szCs w:val="20"/>
              </w:rPr>
              <w:t>CEO, CTO, IT Project Leads, Dept. Managers, Consultants</w:t>
            </w:r>
          </w:p>
        </w:tc>
        <w:tc>
          <w:tcPr>
            <w:tcW w:w="1343" w:type="dxa"/>
            <w:vAlign w:val="center"/>
            <w:hideMark/>
          </w:tcPr>
          <w:p w14:paraId="075F09E3" w14:textId="77777777" w:rsidR="00F837D5" w:rsidRPr="00F837D5" w:rsidRDefault="00F837D5" w:rsidP="00F837D5">
            <w:pPr>
              <w:rPr>
                <w:rFonts w:ascii="Arial" w:hAnsi="Arial" w:cs="Arial"/>
                <w:sz w:val="20"/>
                <w:szCs w:val="20"/>
              </w:rPr>
            </w:pPr>
            <w:r w:rsidRPr="00F837D5">
              <w:rPr>
                <w:rFonts w:ascii="Arial" w:hAnsi="Arial" w:cs="Arial"/>
                <w:sz w:val="20"/>
                <w:szCs w:val="20"/>
              </w:rPr>
              <w:t>Solution misfit; vendor reliability.</w:t>
            </w:r>
          </w:p>
        </w:tc>
        <w:tc>
          <w:tcPr>
            <w:tcW w:w="1500" w:type="dxa"/>
            <w:vAlign w:val="center"/>
            <w:hideMark/>
          </w:tcPr>
          <w:p w14:paraId="640AF8BE" w14:textId="77777777" w:rsidR="00F837D5" w:rsidRPr="00F837D5" w:rsidRDefault="00F837D5" w:rsidP="00F837D5">
            <w:pPr>
              <w:rPr>
                <w:rFonts w:ascii="Arial" w:hAnsi="Arial" w:cs="Arial"/>
                <w:sz w:val="20"/>
                <w:szCs w:val="20"/>
              </w:rPr>
            </w:pPr>
            <w:r w:rsidRPr="00F837D5">
              <w:rPr>
                <w:rFonts w:ascii="Arial" w:hAnsi="Arial" w:cs="Arial"/>
                <w:sz w:val="20"/>
                <w:szCs w:val="20"/>
              </w:rPr>
              <w:t>All departments engaged; pilot tests; weighted scoring.</w:t>
            </w:r>
          </w:p>
        </w:tc>
        <w:tc>
          <w:tcPr>
            <w:tcW w:w="940" w:type="dxa"/>
            <w:vAlign w:val="center"/>
            <w:hideMark/>
          </w:tcPr>
          <w:p w14:paraId="13F58278" w14:textId="77777777" w:rsidR="00F837D5" w:rsidRPr="00F837D5" w:rsidRDefault="00F837D5" w:rsidP="00F837D5">
            <w:pPr>
              <w:rPr>
                <w:rFonts w:ascii="Arial" w:hAnsi="Arial" w:cs="Arial"/>
                <w:sz w:val="20"/>
                <w:szCs w:val="20"/>
              </w:rPr>
            </w:pPr>
            <w:r w:rsidRPr="00F837D5">
              <w:rPr>
                <w:rFonts w:ascii="Arial" w:hAnsi="Arial" w:cs="Arial"/>
                <w:sz w:val="20"/>
                <w:szCs w:val="20"/>
              </w:rPr>
              <w:t>4–6 weeks</w:t>
            </w:r>
          </w:p>
        </w:tc>
      </w:tr>
      <w:tr w:rsidR="003C70FD" w:rsidRPr="00F837D5" w14:paraId="05216E9F" w14:textId="77777777" w:rsidTr="003C70FD">
        <w:trPr>
          <w:tblCellSpacing w:w="15" w:type="dxa"/>
        </w:trPr>
        <w:tc>
          <w:tcPr>
            <w:tcW w:w="1109" w:type="dxa"/>
            <w:vAlign w:val="center"/>
            <w:hideMark/>
          </w:tcPr>
          <w:p w14:paraId="6DF1E8F3" w14:textId="77777777" w:rsidR="00F837D5" w:rsidRPr="00F837D5" w:rsidRDefault="00F837D5" w:rsidP="00F837D5">
            <w:pPr>
              <w:rPr>
                <w:rFonts w:ascii="Arial" w:hAnsi="Arial" w:cs="Arial"/>
                <w:sz w:val="20"/>
                <w:szCs w:val="20"/>
              </w:rPr>
            </w:pPr>
            <w:r w:rsidRPr="00F837D5">
              <w:rPr>
                <w:rFonts w:ascii="Arial" w:hAnsi="Arial" w:cs="Arial"/>
                <w:sz w:val="20"/>
                <w:szCs w:val="20"/>
              </w:rPr>
              <w:t>Infrastructure Provision</w:t>
            </w:r>
          </w:p>
        </w:tc>
        <w:tc>
          <w:tcPr>
            <w:tcW w:w="1254" w:type="dxa"/>
            <w:vAlign w:val="center"/>
            <w:hideMark/>
          </w:tcPr>
          <w:p w14:paraId="7482A9C9" w14:textId="77777777" w:rsidR="00F837D5" w:rsidRPr="00F837D5" w:rsidRDefault="00F837D5" w:rsidP="00F837D5">
            <w:pPr>
              <w:rPr>
                <w:rFonts w:ascii="Arial" w:hAnsi="Arial" w:cs="Arial"/>
                <w:sz w:val="20"/>
                <w:szCs w:val="20"/>
              </w:rPr>
            </w:pPr>
            <w:r w:rsidRPr="00F837D5">
              <w:rPr>
                <w:rFonts w:ascii="Arial" w:hAnsi="Arial" w:cs="Arial"/>
                <w:sz w:val="20"/>
                <w:szCs w:val="20"/>
              </w:rPr>
              <w:t>Deploy secure and scalable infrastructure supporting stores and e-commerce operations.</w:t>
            </w:r>
          </w:p>
        </w:tc>
        <w:tc>
          <w:tcPr>
            <w:tcW w:w="1875" w:type="dxa"/>
            <w:vAlign w:val="center"/>
            <w:hideMark/>
          </w:tcPr>
          <w:p w14:paraId="53B8796E" w14:textId="77777777" w:rsidR="00F837D5" w:rsidRPr="00F837D5" w:rsidRDefault="00F837D5" w:rsidP="00F837D5">
            <w:pPr>
              <w:rPr>
                <w:rFonts w:ascii="Arial" w:hAnsi="Arial" w:cs="Arial"/>
                <w:sz w:val="20"/>
                <w:szCs w:val="20"/>
              </w:rPr>
            </w:pPr>
            <w:r w:rsidRPr="00F837D5">
              <w:rPr>
                <w:rFonts w:ascii="Arial" w:hAnsi="Arial" w:cs="Arial"/>
                <w:sz w:val="20"/>
                <w:szCs w:val="20"/>
              </w:rPr>
              <w:t>Assess current IT assets, select hosting (cloud/hybrid), upgrade network, install security/firewalls, ensure legal/protected data hosting.</w:t>
            </w:r>
          </w:p>
        </w:tc>
        <w:tc>
          <w:tcPr>
            <w:tcW w:w="1184" w:type="dxa"/>
            <w:vAlign w:val="center"/>
            <w:hideMark/>
          </w:tcPr>
          <w:p w14:paraId="67176313" w14:textId="77777777" w:rsidR="00F837D5" w:rsidRPr="00F837D5" w:rsidRDefault="00F837D5" w:rsidP="00F837D5">
            <w:pPr>
              <w:rPr>
                <w:rFonts w:ascii="Arial" w:hAnsi="Arial" w:cs="Arial"/>
                <w:sz w:val="20"/>
                <w:szCs w:val="20"/>
              </w:rPr>
            </w:pPr>
            <w:r w:rsidRPr="00F837D5">
              <w:rPr>
                <w:rFonts w:ascii="Arial" w:hAnsi="Arial" w:cs="Arial"/>
                <w:sz w:val="20"/>
                <w:szCs w:val="20"/>
              </w:rPr>
              <w:t>IT Team, Cybersecurity, Vendors, Compliance</w:t>
            </w:r>
          </w:p>
        </w:tc>
        <w:tc>
          <w:tcPr>
            <w:tcW w:w="1343" w:type="dxa"/>
            <w:vAlign w:val="center"/>
            <w:hideMark/>
          </w:tcPr>
          <w:p w14:paraId="0740C23F" w14:textId="77777777" w:rsidR="00F837D5" w:rsidRPr="00F837D5" w:rsidRDefault="00F837D5" w:rsidP="00F837D5">
            <w:pPr>
              <w:rPr>
                <w:rFonts w:ascii="Arial" w:hAnsi="Arial" w:cs="Arial"/>
                <w:sz w:val="20"/>
                <w:szCs w:val="20"/>
              </w:rPr>
            </w:pPr>
            <w:r w:rsidRPr="00F837D5">
              <w:rPr>
                <w:rFonts w:ascii="Arial" w:hAnsi="Arial" w:cs="Arial"/>
                <w:sz w:val="20"/>
                <w:szCs w:val="20"/>
              </w:rPr>
              <w:t>Downtime risks; security gaps</w:t>
            </w:r>
          </w:p>
        </w:tc>
        <w:tc>
          <w:tcPr>
            <w:tcW w:w="1500" w:type="dxa"/>
            <w:vAlign w:val="center"/>
            <w:hideMark/>
          </w:tcPr>
          <w:p w14:paraId="5A68A568" w14:textId="77777777" w:rsidR="00F837D5" w:rsidRPr="00F837D5" w:rsidRDefault="00F837D5" w:rsidP="00F837D5">
            <w:pPr>
              <w:rPr>
                <w:rFonts w:ascii="Arial" w:hAnsi="Arial" w:cs="Arial"/>
                <w:sz w:val="20"/>
                <w:szCs w:val="20"/>
              </w:rPr>
            </w:pPr>
            <w:r w:rsidRPr="00F837D5">
              <w:rPr>
                <w:rFonts w:ascii="Arial" w:hAnsi="Arial" w:cs="Arial"/>
                <w:sz w:val="20"/>
                <w:szCs w:val="20"/>
              </w:rPr>
              <w:t>Off-hours deployment; backup networks; external security checks.</w:t>
            </w:r>
          </w:p>
        </w:tc>
        <w:tc>
          <w:tcPr>
            <w:tcW w:w="940" w:type="dxa"/>
            <w:vAlign w:val="center"/>
            <w:hideMark/>
          </w:tcPr>
          <w:p w14:paraId="7B9E5B4C" w14:textId="77777777" w:rsidR="00F837D5" w:rsidRPr="00F837D5" w:rsidRDefault="00F837D5" w:rsidP="00F837D5">
            <w:pPr>
              <w:rPr>
                <w:rFonts w:ascii="Arial" w:hAnsi="Arial" w:cs="Arial"/>
                <w:sz w:val="20"/>
                <w:szCs w:val="20"/>
              </w:rPr>
            </w:pPr>
            <w:r w:rsidRPr="00F837D5">
              <w:rPr>
                <w:rFonts w:ascii="Arial" w:hAnsi="Arial" w:cs="Arial"/>
                <w:sz w:val="20"/>
                <w:szCs w:val="20"/>
              </w:rPr>
              <w:t>3–4 weeks</w:t>
            </w:r>
          </w:p>
        </w:tc>
      </w:tr>
      <w:tr w:rsidR="003C70FD" w:rsidRPr="00F837D5" w14:paraId="02CD674C" w14:textId="77777777" w:rsidTr="003C70FD">
        <w:trPr>
          <w:tblCellSpacing w:w="15" w:type="dxa"/>
        </w:trPr>
        <w:tc>
          <w:tcPr>
            <w:tcW w:w="1109" w:type="dxa"/>
            <w:vAlign w:val="center"/>
            <w:hideMark/>
          </w:tcPr>
          <w:p w14:paraId="6E9D6E8D" w14:textId="77777777" w:rsidR="00F837D5" w:rsidRPr="00F837D5" w:rsidRDefault="00F837D5" w:rsidP="00F837D5">
            <w:pPr>
              <w:rPr>
                <w:rFonts w:ascii="Arial" w:hAnsi="Arial" w:cs="Arial"/>
                <w:sz w:val="20"/>
                <w:szCs w:val="20"/>
              </w:rPr>
            </w:pPr>
            <w:r w:rsidRPr="00F837D5">
              <w:rPr>
                <w:rFonts w:ascii="Arial" w:hAnsi="Arial" w:cs="Arial"/>
                <w:sz w:val="20"/>
                <w:szCs w:val="20"/>
              </w:rPr>
              <w:t>Data Migration</w:t>
            </w:r>
          </w:p>
        </w:tc>
        <w:tc>
          <w:tcPr>
            <w:tcW w:w="1254" w:type="dxa"/>
            <w:vAlign w:val="center"/>
            <w:hideMark/>
          </w:tcPr>
          <w:p w14:paraId="28A6F82E" w14:textId="77777777" w:rsidR="00F837D5" w:rsidRPr="00F837D5" w:rsidRDefault="00F837D5" w:rsidP="00F837D5">
            <w:pPr>
              <w:rPr>
                <w:rFonts w:ascii="Arial" w:hAnsi="Arial" w:cs="Arial"/>
                <w:sz w:val="20"/>
                <w:szCs w:val="20"/>
              </w:rPr>
            </w:pPr>
            <w:r w:rsidRPr="00F837D5">
              <w:rPr>
                <w:rFonts w:ascii="Arial" w:hAnsi="Arial" w:cs="Arial"/>
                <w:sz w:val="20"/>
                <w:szCs w:val="20"/>
              </w:rPr>
              <w:t>Transfer all legacy data into the new platform correctly and securely.</w:t>
            </w:r>
          </w:p>
        </w:tc>
        <w:tc>
          <w:tcPr>
            <w:tcW w:w="1875" w:type="dxa"/>
            <w:vAlign w:val="center"/>
            <w:hideMark/>
          </w:tcPr>
          <w:p w14:paraId="288BD85A" w14:textId="77777777" w:rsidR="00F837D5" w:rsidRPr="00F837D5" w:rsidRDefault="00F837D5" w:rsidP="00F837D5">
            <w:pPr>
              <w:rPr>
                <w:rFonts w:ascii="Arial" w:hAnsi="Arial" w:cs="Arial"/>
                <w:sz w:val="20"/>
                <w:szCs w:val="20"/>
              </w:rPr>
            </w:pPr>
            <w:r w:rsidRPr="00F837D5">
              <w:rPr>
                <w:rFonts w:ascii="Arial" w:hAnsi="Arial" w:cs="Arial"/>
                <w:sz w:val="20"/>
                <w:szCs w:val="20"/>
              </w:rPr>
              <w:t>Inventory sources, map and cleanse data, pilot migration, validate and reconcile, finalize cutover.</w:t>
            </w:r>
          </w:p>
        </w:tc>
        <w:tc>
          <w:tcPr>
            <w:tcW w:w="1184" w:type="dxa"/>
            <w:vAlign w:val="center"/>
            <w:hideMark/>
          </w:tcPr>
          <w:p w14:paraId="17F7ADCB" w14:textId="77777777" w:rsidR="00F837D5" w:rsidRPr="00F837D5" w:rsidRDefault="00F837D5" w:rsidP="00F837D5">
            <w:pPr>
              <w:rPr>
                <w:rFonts w:ascii="Arial" w:hAnsi="Arial" w:cs="Arial"/>
                <w:sz w:val="20"/>
                <w:szCs w:val="20"/>
              </w:rPr>
            </w:pPr>
            <w:r w:rsidRPr="00F837D5">
              <w:rPr>
                <w:rFonts w:ascii="Arial" w:hAnsi="Arial" w:cs="Arial"/>
                <w:sz w:val="20"/>
                <w:szCs w:val="20"/>
              </w:rPr>
              <w:t>IT and Data Teams, Vendors, Legal Advisors</w:t>
            </w:r>
          </w:p>
        </w:tc>
        <w:tc>
          <w:tcPr>
            <w:tcW w:w="1343" w:type="dxa"/>
            <w:vAlign w:val="center"/>
            <w:hideMark/>
          </w:tcPr>
          <w:p w14:paraId="13D307F6" w14:textId="77777777" w:rsidR="00F837D5" w:rsidRPr="00F837D5" w:rsidRDefault="00F837D5" w:rsidP="00F837D5">
            <w:pPr>
              <w:rPr>
                <w:rFonts w:ascii="Arial" w:hAnsi="Arial" w:cs="Arial"/>
                <w:sz w:val="20"/>
                <w:szCs w:val="20"/>
              </w:rPr>
            </w:pPr>
            <w:r w:rsidRPr="00F837D5">
              <w:rPr>
                <w:rFonts w:ascii="Arial" w:hAnsi="Arial" w:cs="Arial"/>
                <w:sz w:val="20"/>
                <w:szCs w:val="20"/>
              </w:rPr>
              <w:t>Data loss/corruption; incompatibility.</w:t>
            </w:r>
          </w:p>
        </w:tc>
        <w:tc>
          <w:tcPr>
            <w:tcW w:w="1500" w:type="dxa"/>
            <w:vAlign w:val="center"/>
            <w:hideMark/>
          </w:tcPr>
          <w:p w14:paraId="21E51939" w14:textId="77777777" w:rsidR="00F837D5" w:rsidRPr="00F837D5" w:rsidRDefault="00F837D5" w:rsidP="00F837D5">
            <w:pPr>
              <w:rPr>
                <w:rFonts w:ascii="Arial" w:hAnsi="Arial" w:cs="Arial"/>
                <w:sz w:val="20"/>
                <w:szCs w:val="20"/>
              </w:rPr>
            </w:pPr>
            <w:r w:rsidRPr="00F837D5">
              <w:rPr>
                <w:rFonts w:ascii="Arial" w:hAnsi="Arial" w:cs="Arial"/>
                <w:sz w:val="20"/>
                <w:szCs w:val="20"/>
              </w:rPr>
              <w:t>Pilot trials; reconciling checks; clear rollback plans.</w:t>
            </w:r>
          </w:p>
        </w:tc>
        <w:tc>
          <w:tcPr>
            <w:tcW w:w="940" w:type="dxa"/>
            <w:vAlign w:val="center"/>
            <w:hideMark/>
          </w:tcPr>
          <w:p w14:paraId="6D0563AA" w14:textId="77777777" w:rsidR="00F837D5" w:rsidRPr="00F837D5" w:rsidRDefault="00F837D5" w:rsidP="00F837D5">
            <w:pPr>
              <w:rPr>
                <w:rFonts w:ascii="Arial" w:hAnsi="Arial" w:cs="Arial"/>
                <w:sz w:val="20"/>
                <w:szCs w:val="20"/>
              </w:rPr>
            </w:pPr>
            <w:r w:rsidRPr="00F837D5">
              <w:rPr>
                <w:rFonts w:ascii="Arial" w:hAnsi="Arial" w:cs="Arial"/>
                <w:sz w:val="20"/>
                <w:szCs w:val="20"/>
              </w:rPr>
              <w:t>3–4 weeks</w:t>
            </w:r>
          </w:p>
        </w:tc>
      </w:tr>
      <w:tr w:rsidR="003C70FD" w:rsidRPr="00F837D5" w14:paraId="1692FD1F" w14:textId="77777777" w:rsidTr="003C70FD">
        <w:trPr>
          <w:tblCellSpacing w:w="15" w:type="dxa"/>
        </w:trPr>
        <w:tc>
          <w:tcPr>
            <w:tcW w:w="1109" w:type="dxa"/>
            <w:vAlign w:val="center"/>
            <w:hideMark/>
          </w:tcPr>
          <w:p w14:paraId="1D008FE0" w14:textId="77777777" w:rsidR="00F837D5" w:rsidRPr="00F837D5" w:rsidRDefault="00F837D5" w:rsidP="00F837D5">
            <w:pPr>
              <w:rPr>
                <w:rFonts w:ascii="Arial" w:hAnsi="Arial" w:cs="Arial"/>
                <w:sz w:val="20"/>
                <w:szCs w:val="20"/>
              </w:rPr>
            </w:pPr>
            <w:r w:rsidRPr="00F837D5">
              <w:rPr>
                <w:rFonts w:ascii="Arial" w:hAnsi="Arial" w:cs="Arial"/>
                <w:sz w:val="20"/>
                <w:szCs w:val="20"/>
              </w:rPr>
              <w:t>Staff Training</w:t>
            </w:r>
          </w:p>
        </w:tc>
        <w:tc>
          <w:tcPr>
            <w:tcW w:w="1254" w:type="dxa"/>
            <w:vAlign w:val="center"/>
            <w:hideMark/>
          </w:tcPr>
          <w:p w14:paraId="399C3FDF" w14:textId="77777777" w:rsidR="00F837D5" w:rsidRPr="00F837D5" w:rsidRDefault="00F837D5" w:rsidP="00F837D5">
            <w:pPr>
              <w:rPr>
                <w:rFonts w:ascii="Arial" w:hAnsi="Arial" w:cs="Arial"/>
                <w:sz w:val="20"/>
                <w:szCs w:val="20"/>
              </w:rPr>
            </w:pPr>
            <w:r w:rsidRPr="00F837D5">
              <w:rPr>
                <w:rFonts w:ascii="Arial" w:hAnsi="Arial" w:cs="Arial"/>
                <w:sz w:val="20"/>
                <w:szCs w:val="20"/>
              </w:rPr>
              <w:t>Ensure all employees understand how to use the new systems for their roles.</w:t>
            </w:r>
          </w:p>
        </w:tc>
        <w:tc>
          <w:tcPr>
            <w:tcW w:w="1875" w:type="dxa"/>
            <w:vAlign w:val="center"/>
            <w:hideMark/>
          </w:tcPr>
          <w:p w14:paraId="3A4B2108" w14:textId="77777777" w:rsidR="00F837D5" w:rsidRPr="00F837D5" w:rsidRDefault="00F837D5" w:rsidP="00F837D5">
            <w:pPr>
              <w:rPr>
                <w:rFonts w:ascii="Arial" w:hAnsi="Arial" w:cs="Arial"/>
                <w:sz w:val="20"/>
                <w:szCs w:val="20"/>
              </w:rPr>
            </w:pPr>
            <w:r w:rsidRPr="00F837D5">
              <w:rPr>
                <w:rFonts w:ascii="Arial" w:hAnsi="Arial" w:cs="Arial"/>
                <w:sz w:val="20"/>
                <w:szCs w:val="20"/>
              </w:rPr>
              <w:t>Develop modules, offer role-based training, guides, workshops, and helpdesk; schedule refresher sessions.</w:t>
            </w:r>
          </w:p>
        </w:tc>
        <w:tc>
          <w:tcPr>
            <w:tcW w:w="1184" w:type="dxa"/>
            <w:vAlign w:val="center"/>
            <w:hideMark/>
          </w:tcPr>
          <w:p w14:paraId="6F3F13A2" w14:textId="77777777" w:rsidR="00F837D5" w:rsidRPr="00F837D5" w:rsidRDefault="00F837D5" w:rsidP="00F837D5">
            <w:pPr>
              <w:rPr>
                <w:rFonts w:ascii="Arial" w:hAnsi="Arial" w:cs="Arial"/>
                <w:sz w:val="20"/>
                <w:szCs w:val="20"/>
              </w:rPr>
            </w:pPr>
            <w:r w:rsidRPr="00F837D5">
              <w:rPr>
                <w:rFonts w:ascii="Arial" w:hAnsi="Arial" w:cs="Arial"/>
                <w:sz w:val="20"/>
                <w:szCs w:val="20"/>
              </w:rPr>
              <w:t>HR, Training Managers, Vendors, Supervisors</w:t>
            </w:r>
          </w:p>
        </w:tc>
        <w:tc>
          <w:tcPr>
            <w:tcW w:w="1343" w:type="dxa"/>
            <w:vAlign w:val="center"/>
            <w:hideMark/>
          </w:tcPr>
          <w:p w14:paraId="61E124FC" w14:textId="77777777" w:rsidR="00F837D5" w:rsidRPr="00F837D5" w:rsidRDefault="00F837D5" w:rsidP="00F837D5">
            <w:pPr>
              <w:rPr>
                <w:rFonts w:ascii="Arial" w:hAnsi="Arial" w:cs="Arial"/>
                <w:sz w:val="20"/>
                <w:szCs w:val="20"/>
              </w:rPr>
            </w:pPr>
            <w:r w:rsidRPr="00F837D5">
              <w:rPr>
                <w:rFonts w:ascii="Arial" w:hAnsi="Arial" w:cs="Arial"/>
                <w:sz w:val="20"/>
                <w:szCs w:val="20"/>
              </w:rPr>
              <w:t>Resistance; low IT literacy</w:t>
            </w:r>
          </w:p>
        </w:tc>
        <w:tc>
          <w:tcPr>
            <w:tcW w:w="1500" w:type="dxa"/>
            <w:vAlign w:val="center"/>
            <w:hideMark/>
          </w:tcPr>
          <w:p w14:paraId="1554D08F" w14:textId="77777777" w:rsidR="00F837D5" w:rsidRPr="00F837D5" w:rsidRDefault="00F837D5" w:rsidP="00F837D5">
            <w:pPr>
              <w:rPr>
                <w:rFonts w:ascii="Arial" w:hAnsi="Arial" w:cs="Arial"/>
                <w:sz w:val="20"/>
                <w:szCs w:val="20"/>
              </w:rPr>
            </w:pPr>
            <w:r w:rsidRPr="00F837D5">
              <w:rPr>
                <w:rFonts w:ascii="Arial" w:hAnsi="Arial" w:cs="Arial"/>
                <w:sz w:val="20"/>
                <w:szCs w:val="20"/>
              </w:rPr>
              <w:t>Benefit communications; change champions; ongoing support.</w:t>
            </w:r>
          </w:p>
        </w:tc>
        <w:tc>
          <w:tcPr>
            <w:tcW w:w="940" w:type="dxa"/>
            <w:vAlign w:val="center"/>
            <w:hideMark/>
          </w:tcPr>
          <w:p w14:paraId="71D1BED6" w14:textId="77777777" w:rsidR="00F837D5" w:rsidRPr="00F837D5" w:rsidRDefault="00F837D5" w:rsidP="00F837D5">
            <w:pPr>
              <w:rPr>
                <w:rFonts w:ascii="Arial" w:hAnsi="Arial" w:cs="Arial"/>
                <w:sz w:val="20"/>
                <w:szCs w:val="20"/>
              </w:rPr>
            </w:pPr>
            <w:r w:rsidRPr="00F837D5">
              <w:rPr>
                <w:rFonts w:ascii="Arial" w:hAnsi="Arial" w:cs="Arial"/>
                <w:sz w:val="20"/>
                <w:szCs w:val="20"/>
              </w:rPr>
              <w:t>4 weeks</w:t>
            </w:r>
          </w:p>
        </w:tc>
      </w:tr>
      <w:tr w:rsidR="003C70FD" w:rsidRPr="00F837D5" w14:paraId="170954EC" w14:textId="77777777" w:rsidTr="003C70FD">
        <w:trPr>
          <w:tblCellSpacing w:w="15" w:type="dxa"/>
        </w:trPr>
        <w:tc>
          <w:tcPr>
            <w:tcW w:w="1109" w:type="dxa"/>
            <w:vAlign w:val="center"/>
            <w:hideMark/>
          </w:tcPr>
          <w:p w14:paraId="20055EF6" w14:textId="77777777" w:rsidR="00F837D5" w:rsidRPr="00F837D5" w:rsidRDefault="00F837D5" w:rsidP="00F837D5">
            <w:pPr>
              <w:rPr>
                <w:rFonts w:ascii="Arial" w:hAnsi="Arial" w:cs="Arial"/>
                <w:sz w:val="20"/>
                <w:szCs w:val="20"/>
              </w:rPr>
            </w:pPr>
            <w:r w:rsidRPr="00F837D5">
              <w:rPr>
                <w:rFonts w:ascii="Arial" w:hAnsi="Arial" w:cs="Arial"/>
                <w:sz w:val="20"/>
                <w:szCs w:val="20"/>
              </w:rPr>
              <w:t>Integration</w:t>
            </w:r>
          </w:p>
        </w:tc>
        <w:tc>
          <w:tcPr>
            <w:tcW w:w="1254" w:type="dxa"/>
            <w:vAlign w:val="center"/>
            <w:hideMark/>
          </w:tcPr>
          <w:p w14:paraId="0918CEE6" w14:textId="77777777" w:rsidR="00F837D5" w:rsidRPr="00F837D5" w:rsidRDefault="00F837D5" w:rsidP="00F837D5">
            <w:pPr>
              <w:rPr>
                <w:rFonts w:ascii="Arial" w:hAnsi="Arial" w:cs="Arial"/>
                <w:sz w:val="20"/>
                <w:szCs w:val="20"/>
              </w:rPr>
            </w:pPr>
            <w:r w:rsidRPr="00F837D5">
              <w:rPr>
                <w:rFonts w:ascii="Arial" w:hAnsi="Arial" w:cs="Arial"/>
                <w:sz w:val="20"/>
                <w:szCs w:val="20"/>
              </w:rPr>
              <w:t>Link ERP/CRM with payments, logistics, and finance systems for full interoperability.</w:t>
            </w:r>
          </w:p>
        </w:tc>
        <w:tc>
          <w:tcPr>
            <w:tcW w:w="1875" w:type="dxa"/>
            <w:vAlign w:val="center"/>
            <w:hideMark/>
          </w:tcPr>
          <w:p w14:paraId="17C604A1" w14:textId="77777777" w:rsidR="00F837D5" w:rsidRPr="00F837D5" w:rsidRDefault="00F837D5" w:rsidP="00F837D5">
            <w:pPr>
              <w:rPr>
                <w:rFonts w:ascii="Arial" w:hAnsi="Arial" w:cs="Arial"/>
                <w:sz w:val="20"/>
                <w:szCs w:val="20"/>
              </w:rPr>
            </w:pPr>
            <w:r w:rsidRPr="00F837D5">
              <w:rPr>
                <w:rFonts w:ascii="Arial" w:hAnsi="Arial" w:cs="Arial"/>
                <w:sz w:val="20"/>
                <w:szCs w:val="20"/>
              </w:rPr>
              <w:t>Map interfaces, configure APIs/middleware, phased integration testing, acceptance scenarios coordination.</w:t>
            </w:r>
          </w:p>
        </w:tc>
        <w:tc>
          <w:tcPr>
            <w:tcW w:w="1184" w:type="dxa"/>
            <w:vAlign w:val="center"/>
            <w:hideMark/>
          </w:tcPr>
          <w:p w14:paraId="22AC5B5F" w14:textId="77777777" w:rsidR="00F837D5" w:rsidRPr="00F837D5" w:rsidRDefault="00F837D5" w:rsidP="00F837D5">
            <w:pPr>
              <w:rPr>
                <w:rFonts w:ascii="Arial" w:hAnsi="Arial" w:cs="Arial"/>
                <w:sz w:val="20"/>
                <w:szCs w:val="20"/>
              </w:rPr>
            </w:pPr>
            <w:r w:rsidRPr="00F837D5">
              <w:rPr>
                <w:rFonts w:ascii="Arial" w:hAnsi="Arial" w:cs="Arial"/>
                <w:sz w:val="20"/>
                <w:szCs w:val="20"/>
              </w:rPr>
              <w:t>IT Integration, Partners, Finance, Vendors</w:t>
            </w:r>
          </w:p>
        </w:tc>
        <w:tc>
          <w:tcPr>
            <w:tcW w:w="1343" w:type="dxa"/>
            <w:vAlign w:val="center"/>
            <w:hideMark/>
          </w:tcPr>
          <w:p w14:paraId="493A1EE8" w14:textId="77777777" w:rsidR="00F837D5" w:rsidRPr="00F837D5" w:rsidRDefault="00F837D5" w:rsidP="00F837D5">
            <w:pPr>
              <w:rPr>
                <w:rFonts w:ascii="Arial" w:hAnsi="Arial" w:cs="Arial"/>
                <w:sz w:val="20"/>
                <w:szCs w:val="20"/>
              </w:rPr>
            </w:pPr>
            <w:r w:rsidRPr="00F837D5">
              <w:rPr>
                <w:rFonts w:ascii="Arial" w:hAnsi="Arial" w:cs="Arial"/>
                <w:sz w:val="20"/>
                <w:szCs w:val="20"/>
              </w:rPr>
              <w:t>Bugs; incompatibility; rollout delays</w:t>
            </w:r>
          </w:p>
        </w:tc>
        <w:tc>
          <w:tcPr>
            <w:tcW w:w="1500" w:type="dxa"/>
            <w:vAlign w:val="center"/>
            <w:hideMark/>
          </w:tcPr>
          <w:p w14:paraId="55C08A7D" w14:textId="77777777" w:rsidR="00F837D5" w:rsidRPr="00F837D5" w:rsidRDefault="00F837D5" w:rsidP="00F837D5">
            <w:pPr>
              <w:rPr>
                <w:rFonts w:ascii="Arial" w:hAnsi="Arial" w:cs="Arial"/>
                <w:sz w:val="20"/>
                <w:szCs w:val="20"/>
              </w:rPr>
            </w:pPr>
            <w:r w:rsidRPr="00F837D5">
              <w:rPr>
                <w:rFonts w:ascii="Arial" w:hAnsi="Arial" w:cs="Arial"/>
                <w:sz w:val="20"/>
                <w:szCs w:val="20"/>
              </w:rPr>
              <w:t>Pre-rollout test; vendor engagement; fallback solutions.</w:t>
            </w:r>
          </w:p>
        </w:tc>
        <w:tc>
          <w:tcPr>
            <w:tcW w:w="940" w:type="dxa"/>
            <w:vAlign w:val="center"/>
            <w:hideMark/>
          </w:tcPr>
          <w:p w14:paraId="568DBFF1" w14:textId="77777777" w:rsidR="00F837D5" w:rsidRPr="00F837D5" w:rsidRDefault="00F837D5" w:rsidP="00F837D5">
            <w:pPr>
              <w:rPr>
                <w:rFonts w:ascii="Arial" w:hAnsi="Arial" w:cs="Arial"/>
                <w:sz w:val="20"/>
                <w:szCs w:val="20"/>
              </w:rPr>
            </w:pPr>
            <w:r w:rsidRPr="00F837D5">
              <w:rPr>
                <w:rFonts w:ascii="Arial" w:hAnsi="Arial" w:cs="Arial"/>
                <w:sz w:val="20"/>
                <w:szCs w:val="20"/>
              </w:rPr>
              <w:t>3 weeks</w:t>
            </w:r>
          </w:p>
        </w:tc>
      </w:tr>
      <w:tr w:rsidR="003C70FD" w:rsidRPr="00F837D5" w14:paraId="65777612" w14:textId="77777777" w:rsidTr="003C70FD">
        <w:trPr>
          <w:tblCellSpacing w:w="15" w:type="dxa"/>
        </w:trPr>
        <w:tc>
          <w:tcPr>
            <w:tcW w:w="1109" w:type="dxa"/>
            <w:vAlign w:val="center"/>
            <w:hideMark/>
          </w:tcPr>
          <w:p w14:paraId="5C0BA970" w14:textId="77777777" w:rsidR="00F837D5" w:rsidRPr="00F837D5" w:rsidRDefault="00F837D5" w:rsidP="00F837D5">
            <w:pPr>
              <w:rPr>
                <w:rFonts w:ascii="Arial" w:hAnsi="Arial" w:cs="Arial"/>
                <w:sz w:val="20"/>
                <w:szCs w:val="20"/>
              </w:rPr>
            </w:pPr>
            <w:r w:rsidRPr="00F837D5">
              <w:rPr>
                <w:rFonts w:ascii="Arial" w:hAnsi="Arial" w:cs="Arial"/>
                <w:sz w:val="20"/>
                <w:szCs w:val="20"/>
              </w:rPr>
              <w:lastRenderedPageBreak/>
              <w:t>Testing</w:t>
            </w:r>
          </w:p>
        </w:tc>
        <w:tc>
          <w:tcPr>
            <w:tcW w:w="1254" w:type="dxa"/>
            <w:vAlign w:val="center"/>
            <w:hideMark/>
          </w:tcPr>
          <w:p w14:paraId="4670275F" w14:textId="77777777" w:rsidR="00F837D5" w:rsidRPr="00F837D5" w:rsidRDefault="00F837D5" w:rsidP="00F837D5">
            <w:pPr>
              <w:rPr>
                <w:rFonts w:ascii="Arial" w:hAnsi="Arial" w:cs="Arial"/>
                <w:sz w:val="20"/>
                <w:szCs w:val="20"/>
              </w:rPr>
            </w:pPr>
            <w:r w:rsidRPr="00F837D5">
              <w:rPr>
                <w:rFonts w:ascii="Arial" w:hAnsi="Arial" w:cs="Arial"/>
                <w:sz w:val="20"/>
                <w:szCs w:val="20"/>
              </w:rPr>
              <w:t xml:space="preserve">Confirm stability, reliability, and security in </w:t>
            </w:r>
            <w:proofErr w:type="gramStart"/>
            <w:r w:rsidRPr="00F837D5">
              <w:rPr>
                <w:rFonts w:ascii="Arial" w:hAnsi="Arial" w:cs="Arial"/>
                <w:sz w:val="20"/>
                <w:szCs w:val="20"/>
              </w:rPr>
              <w:t>live</w:t>
            </w:r>
            <w:proofErr w:type="gramEnd"/>
            <w:r w:rsidRPr="00F837D5">
              <w:rPr>
                <w:rFonts w:ascii="Arial" w:hAnsi="Arial" w:cs="Arial"/>
                <w:sz w:val="20"/>
                <w:szCs w:val="20"/>
              </w:rPr>
              <w:t>-use scenarios before launch.</w:t>
            </w:r>
          </w:p>
        </w:tc>
        <w:tc>
          <w:tcPr>
            <w:tcW w:w="1875" w:type="dxa"/>
            <w:vAlign w:val="center"/>
            <w:hideMark/>
          </w:tcPr>
          <w:p w14:paraId="57A340C0" w14:textId="77777777" w:rsidR="00F837D5" w:rsidRPr="00F837D5" w:rsidRDefault="00F837D5" w:rsidP="00F837D5">
            <w:pPr>
              <w:rPr>
                <w:rFonts w:ascii="Arial" w:hAnsi="Arial" w:cs="Arial"/>
                <w:sz w:val="20"/>
                <w:szCs w:val="20"/>
              </w:rPr>
            </w:pPr>
            <w:r w:rsidRPr="00F837D5">
              <w:rPr>
                <w:rFonts w:ascii="Arial" w:hAnsi="Arial" w:cs="Arial"/>
                <w:sz w:val="20"/>
                <w:szCs w:val="20"/>
              </w:rPr>
              <w:t>Functional, regression, load, and data integrity tests; user acceptance, simulate business scenarios; stress security.</w:t>
            </w:r>
          </w:p>
        </w:tc>
        <w:tc>
          <w:tcPr>
            <w:tcW w:w="1184" w:type="dxa"/>
            <w:vAlign w:val="center"/>
            <w:hideMark/>
          </w:tcPr>
          <w:p w14:paraId="2CF7EC67" w14:textId="77777777" w:rsidR="00F837D5" w:rsidRPr="00F837D5" w:rsidRDefault="00F837D5" w:rsidP="00F837D5">
            <w:pPr>
              <w:rPr>
                <w:rFonts w:ascii="Arial" w:hAnsi="Arial" w:cs="Arial"/>
                <w:sz w:val="20"/>
                <w:szCs w:val="20"/>
              </w:rPr>
            </w:pPr>
            <w:r w:rsidRPr="00F837D5">
              <w:rPr>
                <w:rFonts w:ascii="Arial" w:hAnsi="Arial" w:cs="Arial"/>
                <w:sz w:val="20"/>
                <w:szCs w:val="20"/>
              </w:rPr>
              <w:t>Project Leads, Test Teams, Compliance, Users</w:t>
            </w:r>
          </w:p>
        </w:tc>
        <w:tc>
          <w:tcPr>
            <w:tcW w:w="1343" w:type="dxa"/>
            <w:vAlign w:val="center"/>
            <w:hideMark/>
          </w:tcPr>
          <w:p w14:paraId="3E34FF6A" w14:textId="77777777" w:rsidR="00F837D5" w:rsidRPr="00F837D5" w:rsidRDefault="00F837D5" w:rsidP="00F837D5">
            <w:pPr>
              <w:rPr>
                <w:rFonts w:ascii="Arial" w:hAnsi="Arial" w:cs="Arial"/>
                <w:sz w:val="20"/>
                <w:szCs w:val="20"/>
              </w:rPr>
            </w:pPr>
            <w:r w:rsidRPr="00F837D5">
              <w:rPr>
                <w:rFonts w:ascii="Arial" w:hAnsi="Arial" w:cs="Arial"/>
                <w:sz w:val="20"/>
                <w:szCs w:val="20"/>
              </w:rPr>
              <w:t>Critical defects discovered; time overruns</w:t>
            </w:r>
          </w:p>
        </w:tc>
        <w:tc>
          <w:tcPr>
            <w:tcW w:w="1500" w:type="dxa"/>
            <w:vAlign w:val="center"/>
            <w:hideMark/>
          </w:tcPr>
          <w:p w14:paraId="123750BD" w14:textId="77777777" w:rsidR="00F837D5" w:rsidRPr="00F837D5" w:rsidRDefault="00F837D5" w:rsidP="00F837D5">
            <w:pPr>
              <w:rPr>
                <w:rFonts w:ascii="Arial" w:hAnsi="Arial" w:cs="Arial"/>
                <w:sz w:val="20"/>
                <w:szCs w:val="20"/>
              </w:rPr>
            </w:pPr>
            <w:r w:rsidRPr="00F837D5">
              <w:rPr>
                <w:rFonts w:ascii="Arial" w:hAnsi="Arial" w:cs="Arial"/>
                <w:sz w:val="20"/>
                <w:szCs w:val="20"/>
              </w:rPr>
              <w:t xml:space="preserve">Parallel </w:t>
            </w:r>
            <w:proofErr w:type="gramStart"/>
            <w:r w:rsidRPr="00F837D5">
              <w:rPr>
                <w:rFonts w:ascii="Arial" w:hAnsi="Arial" w:cs="Arial"/>
                <w:sz w:val="20"/>
                <w:szCs w:val="20"/>
              </w:rPr>
              <w:t>testing;</w:t>
            </w:r>
            <w:proofErr w:type="gramEnd"/>
            <w:r w:rsidRPr="00F837D5">
              <w:rPr>
                <w:rFonts w:ascii="Arial" w:hAnsi="Arial" w:cs="Arial"/>
                <w:sz w:val="20"/>
                <w:szCs w:val="20"/>
              </w:rPr>
              <w:t xml:space="preserve"> bug fix teams; prepared rollback.</w:t>
            </w:r>
          </w:p>
        </w:tc>
        <w:tc>
          <w:tcPr>
            <w:tcW w:w="940" w:type="dxa"/>
            <w:vAlign w:val="center"/>
            <w:hideMark/>
          </w:tcPr>
          <w:p w14:paraId="6F212438" w14:textId="77777777" w:rsidR="00F837D5" w:rsidRPr="00F837D5" w:rsidRDefault="00F837D5" w:rsidP="00F837D5">
            <w:pPr>
              <w:rPr>
                <w:rFonts w:ascii="Arial" w:hAnsi="Arial" w:cs="Arial"/>
                <w:sz w:val="20"/>
                <w:szCs w:val="20"/>
              </w:rPr>
            </w:pPr>
            <w:r w:rsidRPr="00F837D5">
              <w:rPr>
                <w:rFonts w:ascii="Arial" w:hAnsi="Arial" w:cs="Arial"/>
                <w:sz w:val="20"/>
                <w:szCs w:val="20"/>
              </w:rPr>
              <w:t>2 weeks</w:t>
            </w:r>
          </w:p>
        </w:tc>
      </w:tr>
      <w:tr w:rsidR="003C70FD" w:rsidRPr="00F837D5" w14:paraId="19266B6D" w14:textId="77777777" w:rsidTr="003C70FD">
        <w:trPr>
          <w:tblCellSpacing w:w="15" w:type="dxa"/>
        </w:trPr>
        <w:tc>
          <w:tcPr>
            <w:tcW w:w="1109" w:type="dxa"/>
            <w:vAlign w:val="center"/>
            <w:hideMark/>
          </w:tcPr>
          <w:p w14:paraId="32F988F3" w14:textId="77777777" w:rsidR="00F837D5" w:rsidRPr="00F837D5" w:rsidRDefault="00F837D5" w:rsidP="00F837D5">
            <w:pPr>
              <w:rPr>
                <w:rFonts w:ascii="Arial" w:hAnsi="Arial" w:cs="Arial"/>
                <w:sz w:val="20"/>
                <w:szCs w:val="20"/>
              </w:rPr>
            </w:pPr>
            <w:r w:rsidRPr="00F837D5">
              <w:rPr>
                <w:rFonts w:ascii="Arial" w:hAnsi="Arial" w:cs="Arial"/>
                <w:sz w:val="20"/>
                <w:szCs w:val="20"/>
              </w:rPr>
              <w:t>Go-Live &amp; Change Mgmt.</w:t>
            </w:r>
          </w:p>
        </w:tc>
        <w:tc>
          <w:tcPr>
            <w:tcW w:w="1254" w:type="dxa"/>
            <w:vAlign w:val="center"/>
            <w:hideMark/>
          </w:tcPr>
          <w:p w14:paraId="2A07A826" w14:textId="77777777" w:rsidR="00F837D5" w:rsidRPr="00F837D5" w:rsidRDefault="00F837D5" w:rsidP="00F837D5">
            <w:pPr>
              <w:rPr>
                <w:rFonts w:ascii="Arial" w:hAnsi="Arial" w:cs="Arial"/>
                <w:sz w:val="20"/>
                <w:szCs w:val="20"/>
              </w:rPr>
            </w:pPr>
            <w:r w:rsidRPr="00F837D5">
              <w:rPr>
                <w:rFonts w:ascii="Arial" w:hAnsi="Arial" w:cs="Arial"/>
                <w:sz w:val="20"/>
                <w:szCs w:val="20"/>
              </w:rPr>
              <w:t>Launch live system, manage transition, monitor feedback and troubleshoot.</w:t>
            </w:r>
          </w:p>
        </w:tc>
        <w:tc>
          <w:tcPr>
            <w:tcW w:w="1875" w:type="dxa"/>
            <w:vAlign w:val="center"/>
            <w:hideMark/>
          </w:tcPr>
          <w:p w14:paraId="02CA736E" w14:textId="77777777" w:rsidR="00F837D5" w:rsidRPr="00F837D5" w:rsidRDefault="00F837D5" w:rsidP="00F837D5">
            <w:pPr>
              <w:rPr>
                <w:rFonts w:ascii="Arial" w:hAnsi="Arial" w:cs="Arial"/>
                <w:sz w:val="20"/>
                <w:szCs w:val="20"/>
              </w:rPr>
            </w:pPr>
            <w:r w:rsidRPr="00F837D5">
              <w:rPr>
                <w:rFonts w:ascii="Arial" w:hAnsi="Arial" w:cs="Arial"/>
                <w:sz w:val="20"/>
                <w:szCs w:val="20"/>
              </w:rPr>
              <w:t xml:space="preserve">Schedule cutover (phased/big bang), launch support desk, monitor KPIs, open user feedback channels, </w:t>
            </w:r>
            <w:proofErr w:type="spellStart"/>
            <w:r w:rsidRPr="00F837D5">
              <w:rPr>
                <w:rFonts w:ascii="Arial" w:hAnsi="Arial" w:cs="Arial"/>
                <w:sz w:val="20"/>
                <w:szCs w:val="20"/>
              </w:rPr>
              <w:t>formalise</w:t>
            </w:r>
            <w:proofErr w:type="spellEnd"/>
            <w:r w:rsidRPr="00F837D5">
              <w:rPr>
                <w:rFonts w:ascii="Arial" w:hAnsi="Arial" w:cs="Arial"/>
                <w:sz w:val="20"/>
                <w:szCs w:val="20"/>
              </w:rPr>
              <w:t xml:space="preserve"> escalation.</w:t>
            </w:r>
          </w:p>
        </w:tc>
        <w:tc>
          <w:tcPr>
            <w:tcW w:w="1184" w:type="dxa"/>
            <w:vAlign w:val="center"/>
            <w:hideMark/>
          </w:tcPr>
          <w:p w14:paraId="2BBAEA3A" w14:textId="77777777" w:rsidR="00F837D5" w:rsidRPr="00F837D5" w:rsidRDefault="00F837D5" w:rsidP="00F837D5">
            <w:pPr>
              <w:rPr>
                <w:rFonts w:ascii="Arial" w:hAnsi="Arial" w:cs="Arial"/>
                <w:sz w:val="20"/>
                <w:szCs w:val="20"/>
              </w:rPr>
            </w:pPr>
            <w:r w:rsidRPr="00F837D5">
              <w:rPr>
                <w:rFonts w:ascii="Arial" w:hAnsi="Arial" w:cs="Arial"/>
                <w:sz w:val="20"/>
                <w:szCs w:val="20"/>
              </w:rPr>
              <w:t>All Teams, Change Mgmt., Vendor Support, Helpdesk</w:t>
            </w:r>
          </w:p>
        </w:tc>
        <w:tc>
          <w:tcPr>
            <w:tcW w:w="1343" w:type="dxa"/>
            <w:vAlign w:val="center"/>
            <w:hideMark/>
          </w:tcPr>
          <w:p w14:paraId="3CB86D71" w14:textId="77777777" w:rsidR="00F837D5" w:rsidRPr="00F837D5" w:rsidRDefault="00F837D5" w:rsidP="00F837D5">
            <w:pPr>
              <w:rPr>
                <w:rFonts w:ascii="Arial" w:hAnsi="Arial" w:cs="Arial"/>
                <w:sz w:val="20"/>
                <w:szCs w:val="20"/>
              </w:rPr>
            </w:pPr>
            <w:r w:rsidRPr="00F837D5">
              <w:rPr>
                <w:rFonts w:ascii="Arial" w:hAnsi="Arial" w:cs="Arial"/>
                <w:sz w:val="20"/>
                <w:szCs w:val="20"/>
              </w:rPr>
              <w:t>Productivity hit; teething problems</w:t>
            </w:r>
          </w:p>
        </w:tc>
        <w:tc>
          <w:tcPr>
            <w:tcW w:w="1500" w:type="dxa"/>
            <w:vAlign w:val="center"/>
            <w:hideMark/>
          </w:tcPr>
          <w:p w14:paraId="0A4B65A4" w14:textId="77777777" w:rsidR="00F837D5" w:rsidRPr="00F837D5" w:rsidRDefault="00F837D5" w:rsidP="00F837D5">
            <w:pPr>
              <w:rPr>
                <w:rFonts w:ascii="Arial" w:hAnsi="Arial" w:cs="Arial"/>
                <w:sz w:val="20"/>
                <w:szCs w:val="20"/>
              </w:rPr>
            </w:pPr>
            <w:r w:rsidRPr="00F837D5">
              <w:rPr>
                <w:rFonts w:ascii="Arial" w:hAnsi="Arial" w:cs="Arial"/>
                <w:sz w:val="20"/>
                <w:szCs w:val="20"/>
              </w:rPr>
              <w:t>Quick tech response; strong communications; phased launch for critical systems.</w:t>
            </w:r>
          </w:p>
        </w:tc>
        <w:tc>
          <w:tcPr>
            <w:tcW w:w="940" w:type="dxa"/>
            <w:vAlign w:val="center"/>
            <w:hideMark/>
          </w:tcPr>
          <w:p w14:paraId="0986F30A" w14:textId="77777777" w:rsidR="00F837D5" w:rsidRPr="00F837D5" w:rsidRDefault="00F837D5" w:rsidP="00F837D5">
            <w:pPr>
              <w:rPr>
                <w:rFonts w:ascii="Arial" w:hAnsi="Arial" w:cs="Arial"/>
                <w:sz w:val="20"/>
                <w:szCs w:val="20"/>
              </w:rPr>
            </w:pPr>
            <w:r w:rsidRPr="00F837D5">
              <w:rPr>
                <w:rFonts w:ascii="Arial" w:hAnsi="Arial" w:cs="Arial"/>
                <w:sz w:val="20"/>
                <w:szCs w:val="20"/>
              </w:rPr>
              <w:t>2 weeks</w:t>
            </w:r>
          </w:p>
        </w:tc>
      </w:tr>
      <w:tr w:rsidR="003C70FD" w:rsidRPr="00F837D5" w14:paraId="32B9CD02" w14:textId="77777777" w:rsidTr="003C70FD">
        <w:trPr>
          <w:tblCellSpacing w:w="15" w:type="dxa"/>
        </w:trPr>
        <w:tc>
          <w:tcPr>
            <w:tcW w:w="1109" w:type="dxa"/>
            <w:vAlign w:val="center"/>
            <w:hideMark/>
          </w:tcPr>
          <w:p w14:paraId="71F3EF30" w14:textId="77777777" w:rsidR="00F837D5" w:rsidRPr="00F837D5" w:rsidRDefault="00F837D5" w:rsidP="00F837D5">
            <w:pPr>
              <w:rPr>
                <w:rFonts w:ascii="Arial" w:hAnsi="Arial" w:cs="Arial"/>
                <w:sz w:val="20"/>
                <w:szCs w:val="20"/>
              </w:rPr>
            </w:pPr>
            <w:r w:rsidRPr="00F837D5">
              <w:rPr>
                <w:rFonts w:ascii="Arial" w:hAnsi="Arial" w:cs="Arial"/>
                <w:sz w:val="20"/>
                <w:szCs w:val="20"/>
              </w:rPr>
              <w:t>Continuous Monitoring</w:t>
            </w:r>
          </w:p>
        </w:tc>
        <w:tc>
          <w:tcPr>
            <w:tcW w:w="1254" w:type="dxa"/>
            <w:vAlign w:val="center"/>
            <w:hideMark/>
          </w:tcPr>
          <w:p w14:paraId="362C064A" w14:textId="77777777" w:rsidR="00F837D5" w:rsidRPr="00F837D5" w:rsidRDefault="00F837D5" w:rsidP="00F837D5">
            <w:pPr>
              <w:rPr>
                <w:rFonts w:ascii="Arial" w:hAnsi="Arial" w:cs="Arial"/>
                <w:sz w:val="20"/>
                <w:szCs w:val="20"/>
              </w:rPr>
            </w:pPr>
            <w:r w:rsidRPr="00F837D5">
              <w:rPr>
                <w:rFonts w:ascii="Arial" w:hAnsi="Arial" w:cs="Arial"/>
                <w:sz w:val="20"/>
                <w:szCs w:val="20"/>
              </w:rPr>
              <w:t>Sustain system performance, compliance, and user adoption over time.</w:t>
            </w:r>
          </w:p>
        </w:tc>
        <w:tc>
          <w:tcPr>
            <w:tcW w:w="1875" w:type="dxa"/>
            <w:vAlign w:val="center"/>
            <w:hideMark/>
          </w:tcPr>
          <w:p w14:paraId="51FA167B" w14:textId="77777777" w:rsidR="00F837D5" w:rsidRPr="00F837D5" w:rsidRDefault="00F837D5" w:rsidP="00F837D5">
            <w:pPr>
              <w:rPr>
                <w:rFonts w:ascii="Arial" w:hAnsi="Arial" w:cs="Arial"/>
                <w:sz w:val="20"/>
                <w:szCs w:val="20"/>
              </w:rPr>
            </w:pPr>
            <w:r w:rsidRPr="00F837D5">
              <w:rPr>
                <w:rFonts w:ascii="Arial" w:hAnsi="Arial" w:cs="Arial"/>
                <w:sz w:val="20"/>
                <w:szCs w:val="20"/>
              </w:rPr>
              <w:t>Routine audits, feedback, updates, ongoing training, GDPR checks, review KPIs, drive process improvements.</w:t>
            </w:r>
          </w:p>
        </w:tc>
        <w:tc>
          <w:tcPr>
            <w:tcW w:w="1184" w:type="dxa"/>
            <w:vAlign w:val="center"/>
            <w:hideMark/>
          </w:tcPr>
          <w:p w14:paraId="023D3F1C" w14:textId="77777777" w:rsidR="00F837D5" w:rsidRPr="00F837D5" w:rsidRDefault="00F837D5" w:rsidP="00F837D5">
            <w:pPr>
              <w:rPr>
                <w:rFonts w:ascii="Arial" w:hAnsi="Arial" w:cs="Arial"/>
                <w:sz w:val="20"/>
                <w:szCs w:val="20"/>
              </w:rPr>
            </w:pPr>
            <w:r w:rsidRPr="00F837D5">
              <w:rPr>
                <w:rFonts w:ascii="Arial" w:hAnsi="Arial" w:cs="Arial"/>
                <w:sz w:val="20"/>
                <w:szCs w:val="20"/>
              </w:rPr>
              <w:t>IT, Management, Compliance, Training</w:t>
            </w:r>
          </w:p>
        </w:tc>
        <w:tc>
          <w:tcPr>
            <w:tcW w:w="1343" w:type="dxa"/>
            <w:vAlign w:val="center"/>
            <w:hideMark/>
          </w:tcPr>
          <w:p w14:paraId="02AAC129" w14:textId="77777777" w:rsidR="00F837D5" w:rsidRPr="00F837D5" w:rsidRDefault="00F837D5" w:rsidP="00F837D5">
            <w:pPr>
              <w:rPr>
                <w:rFonts w:ascii="Arial" w:hAnsi="Arial" w:cs="Arial"/>
                <w:sz w:val="20"/>
                <w:szCs w:val="20"/>
              </w:rPr>
            </w:pPr>
            <w:r w:rsidRPr="00F837D5">
              <w:rPr>
                <w:rFonts w:ascii="Arial" w:hAnsi="Arial" w:cs="Arial"/>
                <w:sz w:val="20"/>
                <w:szCs w:val="20"/>
              </w:rPr>
              <w:t>Complacency, changing business/regulation</w:t>
            </w:r>
          </w:p>
        </w:tc>
        <w:tc>
          <w:tcPr>
            <w:tcW w:w="1500" w:type="dxa"/>
            <w:vAlign w:val="center"/>
            <w:hideMark/>
          </w:tcPr>
          <w:p w14:paraId="6BC0E6E9" w14:textId="77777777" w:rsidR="00F837D5" w:rsidRPr="00F837D5" w:rsidRDefault="00F837D5" w:rsidP="00F837D5">
            <w:pPr>
              <w:rPr>
                <w:rFonts w:ascii="Arial" w:hAnsi="Arial" w:cs="Arial"/>
                <w:sz w:val="20"/>
                <w:szCs w:val="20"/>
              </w:rPr>
            </w:pPr>
            <w:r w:rsidRPr="00F837D5">
              <w:rPr>
                <w:rFonts w:ascii="Arial" w:hAnsi="Arial" w:cs="Arial"/>
                <w:sz w:val="20"/>
                <w:szCs w:val="20"/>
              </w:rPr>
              <w:t>Culture of improvement; review schedules; robust support contracts.</w:t>
            </w:r>
          </w:p>
        </w:tc>
        <w:tc>
          <w:tcPr>
            <w:tcW w:w="940" w:type="dxa"/>
            <w:vAlign w:val="center"/>
            <w:hideMark/>
          </w:tcPr>
          <w:p w14:paraId="62675F24" w14:textId="77777777" w:rsidR="00F837D5" w:rsidRPr="00F837D5" w:rsidRDefault="00F837D5" w:rsidP="00F837D5">
            <w:pPr>
              <w:rPr>
                <w:rFonts w:ascii="Arial" w:hAnsi="Arial" w:cs="Arial"/>
                <w:sz w:val="20"/>
                <w:szCs w:val="20"/>
              </w:rPr>
            </w:pPr>
            <w:r w:rsidRPr="00F837D5">
              <w:rPr>
                <w:rFonts w:ascii="Arial" w:hAnsi="Arial" w:cs="Arial"/>
                <w:sz w:val="20"/>
                <w:szCs w:val="20"/>
              </w:rPr>
              <w:t>Ongoing</w:t>
            </w:r>
          </w:p>
        </w:tc>
      </w:tr>
    </w:tbl>
    <w:p w14:paraId="1EEEE80B" w14:textId="77777777" w:rsidR="003C70FD" w:rsidRDefault="003C70FD" w:rsidP="00F837D5">
      <w:pPr>
        <w:rPr>
          <w:b/>
          <w:bCs/>
        </w:rPr>
      </w:pPr>
    </w:p>
    <w:p w14:paraId="1CFA92E8" w14:textId="0CA13159" w:rsidR="00F837D5" w:rsidRPr="003C70FD" w:rsidRDefault="00F837D5" w:rsidP="003C70FD">
      <w:pPr>
        <w:pStyle w:val="Heading1"/>
        <w:spacing w:line="360" w:lineRule="auto"/>
        <w:jc w:val="both"/>
        <w:rPr>
          <w:rFonts w:ascii="Arial" w:hAnsi="Arial" w:cs="Arial"/>
          <w:sz w:val="24"/>
          <w:szCs w:val="24"/>
        </w:rPr>
      </w:pPr>
      <w:bookmarkStart w:id="6" w:name="_Toc214117303"/>
      <w:r w:rsidRPr="003C70FD">
        <w:rPr>
          <w:rFonts w:ascii="Arial" w:hAnsi="Arial" w:cs="Arial"/>
          <w:sz w:val="24"/>
          <w:szCs w:val="24"/>
        </w:rPr>
        <w:t>Conclusion</w:t>
      </w:r>
      <w:bookmarkEnd w:id="6"/>
    </w:p>
    <w:p w14:paraId="53E28534" w14:textId="7BC72E75" w:rsidR="00F837D5" w:rsidRPr="003C70FD" w:rsidRDefault="00F837D5" w:rsidP="003C70FD">
      <w:pPr>
        <w:spacing w:line="360" w:lineRule="auto"/>
        <w:jc w:val="both"/>
        <w:rPr>
          <w:rFonts w:ascii="Arial" w:hAnsi="Arial" w:cs="Arial"/>
        </w:rPr>
      </w:pPr>
      <w:r w:rsidRPr="00F837D5">
        <w:rPr>
          <w:rFonts w:ascii="Arial" w:hAnsi="Arial" w:cs="Arial"/>
        </w:rPr>
        <w:t>To summarise, AKPerog Ltd.'s operational challenges</w:t>
      </w:r>
      <w:r w:rsidR="004930D9">
        <w:rPr>
          <w:rFonts w:ascii="Arial" w:hAnsi="Arial" w:cs="Arial"/>
        </w:rPr>
        <w:t xml:space="preserve"> </w:t>
      </w:r>
      <w:r w:rsidRPr="00F837D5">
        <w:rPr>
          <w:rFonts w:ascii="Arial" w:hAnsi="Arial" w:cs="Arial"/>
        </w:rPr>
        <w:t xml:space="preserve">rooted in legacy systems and fragmented business </w:t>
      </w:r>
      <w:r w:rsidR="004930D9">
        <w:rPr>
          <w:rFonts w:ascii="Arial" w:hAnsi="Arial" w:cs="Arial"/>
        </w:rPr>
        <w:t xml:space="preserve">information </w:t>
      </w:r>
      <w:r w:rsidRPr="00F837D5">
        <w:rPr>
          <w:rFonts w:ascii="Arial" w:hAnsi="Arial" w:cs="Arial"/>
        </w:rPr>
        <w:t>place it at a significant disadvantage in the modern, omni-channel retail environment. Through the adoption of an integrated, cloud-based ERP and CRM platform, underpinned by industry best practice and rigorous change management, the company can expect to not only resolve these legacy issues but also unlock new potential for efficiency, customer retention, and strategic adaptability (Netsuite.com, 2025). Leading companies worldwide</w:t>
      </w:r>
      <w:r w:rsidR="004930D9">
        <w:rPr>
          <w:rFonts w:ascii="Arial" w:hAnsi="Arial" w:cs="Arial"/>
        </w:rPr>
        <w:t xml:space="preserve"> </w:t>
      </w:r>
      <w:r w:rsidRPr="00F837D5">
        <w:rPr>
          <w:rFonts w:ascii="Arial" w:hAnsi="Arial" w:cs="Arial"/>
        </w:rPr>
        <w:t>and specifically in the UK retail and FMCG sectors</w:t>
      </w:r>
      <w:r w:rsidR="004930D9">
        <w:rPr>
          <w:rFonts w:ascii="Arial" w:hAnsi="Arial" w:cs="Arial"/>
        </w:rPr>
        <w:t xml:space="preserve"> </w:t>
      </w:r>
      <w:r w:rsidRPr="00F837D5">
        <w:rPr>
          <w:rFonts w:ascii="Arial" w:hAnsi="Arial" w:cs="Arial"/>
        </w:rPr>
        <w:t xml:space="preserve">demonstrate that such investments pay off via more accurate forecasting, real-time inventory optimization, robust GDPR compliance, and enhanced ability to meet rapidly evolving consumer demands. The steps detailed in the implementation plan will </w:t>
      </w:r>
      <w:r w:rsidRPr="00F837D5">
        <w:rPr>
          <w:rFonts w:ascii="Arial" w:hAnsi="Arial" w:cs="Arial"/>
        </w:rPr>
        <w:lastRenderedPageBreak/>
        <w:t>allow AKPerog Ltd. not only to modernize, but to take up a position of innovation, securing its future competitiveness for years to come.</w:t>
      </w:r>
    </w:p>
    <w:p w14:paraId="65019989" w14:textId="5AF4EF87" w:rsidR="00AB0049" w:rsidRPr="003C70FD" w:rsidRDefault="00AB0049" w:rsidP="003C70FD">
      <w:pPr>
        <w:spacing w:line="360" w:lineRule="auto"/>
        <w:jc w:val="both"/>
        <w:rPr>
          <w:rFonts w:ascii="Arial" w:hAnsi="Arial" w:cs="Arial"/>
        </w:rPr>
      </w:pPr>
      <w:r w:rsidRPr="003C70FD">
        <w:rPr>
          <w:rFonts w:ascii="Arial" w:hAnsi="Arial" w:cs="Arial"/>
        </w:rPr>
        <w:t>Looking forward, the retail landscape will only become more complex and demanding. Digital transformation, omnichannel integration, and regulatory change are not transient trends but fixed features of the business environment (ERPFoucs.com, 2025). AKPerog Ltd., by embracing best practices in business information system management, reduces risk while empowering both staff and customers in new and impactful ways. The long-term trajectory of the company depends on its willingness to prioritize technology as a foundational resource. By doing so, AKPerog Ltd. will not only meet today’s operational challenges but position itself as a leader in tomorrow’s competitive market.</w:t>
      </w:r>
    </w:p>
    <w:p w14:paraId="0195E4AA" w14:textId="77777777" w:rsidR="00AB0049" w:rsidRPr="003C70FD" w:rsidRDefault="00AB0049" w:rsidP="003C70FD">
      <w:pPr>
        <w:spacing w:line="360" w:lineRule="auto"/>
        <w:jc w:val="both"/>
        <w:rPr>
          <w:rFonts w:ascii="Arial" w:hAnsi="Arial" w:cs="Arial"/>
        </w:rPr>
      </w:pPr>
      <w:r w:rsidRPr="003C70FD">
        <w:rPr>
          <w:rFonts w:ascii="Arial" w:hAnsi="Arial" w:cs="Arial"/>
        </w:rPr>
        <w:br w:type="page"/>
      </w:r>
    </w:p>
    <w:p w14:paraId="341CFB33" w14:textId="24B7E5D6" w:rsidR="00F837D5" w:rsidRPr="004930D9" w:rsidRDefault="00F837D5" w:rsidP="003C70FD">
      <w:pPr>
        <w:pStyle w:val="Heading1"/>
        <w:spacing w:line="360" w:lineRule="auto"/>
        <w:jc w:val="both"/>
        <w:rPr>
          <w:rFonts w:ascii="Arial" w:hAnsi="Arial" w:cs="Arial"/>
          <w:b/>
          <w:bCs/>
          <w:sz w:val="24"/>
          <w:szCs w:val="24"/>
        </w:rPr>
      </w:pPr>
      <w:bookmarkStart w:id="7" w:name="_Toc214117304"/>
      <w:r w:rsidRPr="004930D9">
        <w:rPr>
          <w:rFonts w:ascii="Arial" w:hAnsi="Arial" w:cs="Arial"/>
          <w:b/>
          <w:bCs/>
          <w:sz w:val="24"/>
          <w:szCs w:val="24"/>
        </w:rPr>
        <w:lastRenderedPageBreak/>
        <w:t>References</w:t>
      </w:r>
      <w:bookmarkEnd w:id="7"/>
    </w:p>
    <w:p w14:paraId="56DDAF2A" w14:textId="77777777" w:rsidR="00F837D5" w:rsidRPr="00F837D5" w:rsidRDefault="00F837D5" w:rsidP="003C70FD">
      <w:pPr>
        <w:spacing w:line="360" w:lineRule="auto"/>
        <w:jc w:val="both"/>
        <w:rPr>
          <w:rFonts w:ascii="Arial" w:hAnsi="Arial" w:cs="Arial"/>
        </w:rPr>
      </w:pPr>
      <w:r w:rsidRPr="00F837D5">
        <w:rPr>
          <w:rFonts w:ascii="Arial" w:hAnsi="Arial" w:cs="Arial"/>
        </w:rPr>
        <w:t xml:space="preserve">Bordonaba-Juste, V., Lucia-Palacios, L., Polo-Redondo, Y. and Grunhagen, M. (2014) ‘Customer Relationship Management in the E-Retailing Environment’, </w:t>
      </w:r>
      <w:r w:rsidRPr="00F837D5">
        <w:rPr>
          <w:rFonts w:ascii="Arial" w:hAnsi="Arial" w:cs="Arial"/>
          <w:i/>
          <w:iCs/>
        </w:rPr>
        <w:t>Journal of Information Technology</w:t>
      </w:r>
      <w:r w:rsidRPr="00F837D5">
        <w:rPr>
          <w:rFonts w:ascii="Arial" w:hAnsi="Arial" w:cs="Arial"/>
        </w:rPr>
        <w:t>, 29(2), pp. 187–204.</w:t>
      </w:r>
    </w:p>
    <w:p w14:paraId="1195BDB8" w14:textId="77777777" w:rsidR="00F837D5" w:rsidRPr="00F837D5" w:rsidRDefault="00F837D5" w:rsidP="003C70FD">
      <w:pPr>
        <w:spacing w:line="360" w:lineRule="auto"/>
        <w:jc w:val="both"/>
        <w:rPr>
          <w:rFonts w:ascii="Arial" w:hAnsi="Arial" w:cs="Arial"/>
        </w:rPr>
      </w:pPr>
      <w:r w:rsidRPr="00F837D5">
        <w:rPr>
          <w:rFonts w:ascii="Arial" w:hAnsi="Arial" w:cs="Arial"/>
        </w:rPr>
        <w:t>BigID (2025) ‘Key Consumer Data Privacy Laws Retailers Should Know’, BigID Blog.</w:t>
      </w:r>
    </w:p>
    <w:p w14:paraId="389BFF0E" w14:textId="77777777" w:rsidR="00F837D5" w:rsidRPr="00F837D5" w:rsidRDefault="00F837D5" w:rsidP="003C70FD">
      <w:pPr>
        <w:spacing w:line="360" w:lineRule="auto"/>
        <w:jc w:val="both"/>
        <w:rPr>
          <w:rFonts w:ascii="Arial" w:hAnsi="Arial" w:cs="Arial"/>
        </w:rPr>
      </w:pPr>
      <w:r w:rsidRPr="00F837D5">
        <w:rPr>
          <w:rFonts w:ascii="Arial" w:hAnsi="Arial" w:cs="Arial"/>
        </w:rPr>
        <w:t xml:space="preserve">Cisco ERP Case, HBS.edu (1998) ‘Cisco Systems, Inc.: Implementing ERP’, </w:t>
      </w:r>
      <w:r w:rsidRPr="00F837D5">
        <w:rPr>
          <w:rFonts w:ascii="Arial" w:hAnsi="Arial" w:cs="Arial"/>
          <w:i/>
          <w:iCs/>
        </w:rPr>
        <w:t>Harvard Business School Case</w:t>
      </w:r>
      <w:r w:rsidRPr="00F837D5">
        <w:rPr>
          <w:rFonts w:ascii="Arial" w:hAnsi="Arial" w:cs="Arial"/>
        </w:rPr>
        <w:t xml:space="preserve"> 699-022.</w:t>
      </w:r>
    </w:p>
    <w:p w14:paraId="5394934D" w14:textId="77777777" w:rsidR="00F837D5" w:rsidRPr="00F837D5" w:rsidRDefault="00F837D5" w:rsidP="003C70FD">
      <w:pPr>
        <w:spacing w:line="360" w:lineRule="auto"/>
        <w:jc w:val="both"/>
        <w:rPr>
          <w:rFonts w:ascii="Arial" w:hAnsi="Arial" w:cs="Arial"/>
        </w:rPr>
      </w:pPr>
      <w:r w:rsidRPr="00F837D5">
        <w:rPr>
          <w:rFonts w:ascii="Arial" w:hAnsi="Arial" w:cs="Arial"/>
        </w:rPr>
        <w:t>ERPFoucs.com (2025) ‘3 Successful ERP implementation case studies to learn from’, ERPFoucs.</w:t>
      </w:r>
    </w:p>
    <w:p w14:paraId="05E3DB4D" w14:textId="77777777" w:rsidR="00F837D5" w:rsidRPr="00F837D5" w:rsidRDefault="00F837D5" w:rsidP="003C70FD">
      <w:pPr>
        <w:spacing w:line="360" w:lineRule="auto"/>
        <w:jc w:val="both"/>
        <w:rPr>
          <w:rFonts w:ascii="Arial" w:hAnsi="Arial" w:cs="Arial"/>
        </w:rPr>
      </w:pPr>
      <w:r w:rsidRPr="00F837D5">
        <w:rPr>
          <w:rFonts w:ascii="Arial" w:hAnsi="Arial" w:cs="Arial"/>
        </w:rPr>
        <w:t>Fortis-DPC (2025) ‘GDPR Compliance: A Critical Checklist for Businesses in Retail’, Fortis Digital Privacy Consultants.</w:t>
      </w:r>
    </w:p>
    <w:p w14:paraId="1160C2C9" w14:textId="77777777" w:rsidR="00F837D5" w:rsidRPr="00F837D5" w:rsidRDefault="00F837D5" w:rsidP="003C70FD">
      <w:pPr>
        <w:spacing w:line="360" w:lineRule="auto"/>
        <w:jc w:val="both"/>
        <w:rPr>
          <w:rFonts w:ascii="Arial" w:hAnsi="Arial" w:cs="Arial"/>
        </w:rPr>
      </w:pPr>
      <w:r w:rsidRPr="00F837D5">
        <w:rPr>
          <w:rFonts w:ascii="Arial" w:hAnsi="Arial" w:cs="Arial"/>
        </w:rPr>
        <w:t>GSConlinepress.com (2024) ‘Real-time data analytics in retail: A review of USA and global practices’, GSConlinepress.</w:t>
      </w:r>
    </w:p>
    <w:p w14:paraId="481D5A22" w14:textId="77777777" w:rsidR="00F837D5" w:rsidRPr="00F837D5" w:rsidRDefault="00F837D5" w:rsidP="003C70FD">
      <w:pPr>
        <w:spacing w:line="360" w:lineRule="auto"/>
        <w:jc w:val="both"/>
        <w:rPr>
          <w:rFonts w:ascii="Arial" w:hAnsi="Arial" w:cs="Arial"/>
        </w:rPr>
      </w:pPr>
      <w:r w:rsidRPr="00F837D5">
        <w:rPr>
          <w:rFonts w:ascii="Arial" w:hAnsi="Arial" w:cs="Arial"/>
        </w:rPr>
        <w:t xml:space="preserve">Harvard SEAS (2025) ‘Staff Development and Training’, </w:t>
      </w:r>
      <w:r w:rsidRPr="00F837D5">
        <w:rPr>
          <w:rFonts w:ascii="Arial" w:hAnsi="Arial" w:cs="Arial"/>
          <w:i/>
          <w:iCs/>
        </w:rPr>
        <w:t>Harvard School of Engineering and Applied Sciences</w:t>
      </w:r>
      <w:r w:rsidRPr="00F837D5">
        <w:rPr>
          <w:rFonts w:ascii="Arial" w:hAnsi="Arial" w:cs="Arial"/>
        </w:rPr>
        <w:t>.</w:t>
      </w:r>
    </w:p>
    <w:p w14:paraId="29179E46" w14:textId="77777777" w:rsidR="00F837D5" w:rsidRPr="00F837D5" w:rsidRDefault="00F837D5" w:rsidP="003C70FD">
      <w:pPr>
        <w:spacing w:line="360" w:lineRule="auto"/>
        <w:jc w:val="both"/>
        <w:rPr>
          <w:rFonts w:ascii="Arial" w:hAnsi="Arial" w:cs="Arial"/>
        </w:rPr>
      </w:pPr>
      <w:r w:rsidRPr="00F837D5">
        <w:rPr>
          <w:rFonts w:ascii="Arial" w:hAnsi="Arial" w:cs="Arial"/>
        </w:rPr>
        <w:t xml:space="preserve">Ivend (2025) ‘Top 10 Benefits of Integrated Retail Management Systems’, </w:t>
      </w:r>
      <w:proofErr w:type="spellStart"/>
      <w:r w:rsidRPr="00F837D5">
        <w:rPr>
          <w:rFonts w:ascii="Arial" w:hAnsi="Arial" w:cs="Arial"/>
        </w:rPr>
        <w:t>iVend</w:t>
      </w:r>
      <w:proofErr w:type="spellEnd"/>
      <w:r w:rsidRPr="00F837D5">
        <w:rPr>
          <w:rFonts w:ascii="Arial" w:hAnsi="Arial" w:cs="Arial"/>
        </w:rPr>
        <w:t xml:space="preserve"> Retail.</w:t>
      </w:r>
    </w:p>
    <w:p w14:paraId="0A1FA7B1" w14:textId="77777777" w:rsidR="00F837D5" w:rsidRPr="00F837D5" w:rsidRDefault="00F837D5" w:rsidP="003C70FD">
      <w:pPr>
        <w:spacing w:line="360" w:lineRule="auto"/>
        <w:jc w:val="both"/>
        <w:rPr>
          <w:rFonts w:ascii="Arial" w:hAnsi="Arial" w:cs="Arial"/>
        </w:rPr>
      </w:pPr>
      <w:r w:rsidRPr="00F837D5">
        <w:rPr>
          <w:rFonts w:ascii="Arial" w:hAnsi="Arial" w:cs="Arial"/>
        </w:rPr>
        <w:t xml:space="preserve">Jolt.Law.Harvard.edu (2018) ‘Innovating in Uncertainty: Effective Compliance and the GDPR’, </w:t>
      </w:r>
      <w:r w:rsidRPr="00F837D5">
        <w:rPr>
          <w:rFonts w:ascii="Arial" w:hAnsi="Arial" w:cs="Arial"/>
          <w:i/>
          <w:iCs/>
        </w:rPr>
        <w:t>Harvard Journal of Law &amp; Technology</w:t>
      </w:r>
      <w:r w:rsidRPr="00F837D5">
        <w:rPr>
          <w:rFonts w:ascii="Arial" w:hAnsi="Arial" w:cs="Arial"/>
        </w:rPr>
        <w:t>, 32(10).</w:t>
      </w:r>
    </w:p>
    <w:p w14:paraId="7B70F6FB" w14:textId="77777777" w:rsidR="00F837D5" w:rsidRPr="00F837D5" w:rsidRDefault="00F837D5" w:rsidP="003C70FD">
      <w:pPr>
        <w:spacing w:line="360" w:lineRule="auto"/>
        <w:jc w:val="both"/>
        <w:rPr>
          <w:rFonts w:ascii="Arial" w:hAnsi="Arial" w:cs="Arial"/>
        </w:rPr>
      </w:pPr>
      <w:r w:rsidRPr="00F837D5">
        <w:rPr>
          <w:rFonts w:ascii="Arial" w:hAnsi="Arial" w:cs="Arial"/>
        </w:rPr>
        <w:t xml:space="preserve">Leadsquared (2025) ‘25 Examples </w:t>
      </w:r>
      <w:proofErr w:type="gramStart"/>
      <w:r w:rsidRPr="00F837D5">
        <w:rPr>
          <w:rFonts w:ascii="Arial" w:hAnsi="Arial" w:cs="Arial"/>
        </w:rPr>
        <w:t>Of</w:t>
      </w:r>
      <w:proofErr w:type="gramEnd"/>
      <w:r w:rsidRPr="00F837D5">
        <w:rPr>
          <w:rFonts w:ascii="Arial" w:hAnsi="Arial" w:cs="Arial"/>
        </w:rPr>
        <w:t xml:space="preserve"> Customer Retention Strategies Using A CRM’, Leadsquared.com.</w:t>
      </w:r>
    </w:p>
    <w:p w14:paraId="37BFF88A" w14:textId="77777777" w:rsidR="00F837D5" w:rsidRPr="00F837D5" w:rsidRDefault="00F837D5" w:rsidP="003C70FD">
      <w:pPr>
        <w:spacing w:line="360" w:lineRule="auto"/>
        <w:jc w:val="both"/>
        <w:rPr>
          <w:rFonts w:ascii="Arial" w:hAnsi="Arial" w:cs="Arial"/>
        </w:rPr>
      </w:pPr>
      <w:r w:rsidRPr="00F837D5">
        <w:rPr>
          <w:rFonts w:ascii="Arial" w:hAnsi="Arial" w:cs="Arial"/>
        </w:rPr>
        <w:t>Linnworks (2025) ‘Top Inventory Management Challenges + How to Solve Them’, Linnworks.</w:t>
      </w:r>
    </w:p>
    <w:p w14:paraId="5AAE9BA0" w14:textId="77777777" w:rsidR="00F837D5" w:rsidRPr="00F837D5" w:rsidRDefault="00F837D5" w:rsidP="003C70FD">
      <w:pPr>
        <w:spacing w:line="360" w:lineRule="auto"/>
        <w:jc w:val="both"/>
        <w:rPr>
          <w:rFonts w:ascii="Arial" w:hAnsi="Arial" w:cs="Arial"/>
        </w:rPr>
      </w:pPr>
      <w:r w:rsidRPr="00F837D5">
        <w:rPr>
          <w:rFonts w:ascii="Arial" w:hAnsi="Arial" w:cs="Arial"/>
        </w:rPr>
        <w:t xml:space="preserve">NBER (2024) ‘Data, Privacy Laws and Firm Production: Evidence from the GDPR’, </w:t>
      </w:r>
      <w:r w:rsidRPr="00F837D5">
        <w:rPr>
          <w:rFonts w:ascii="Arial" w:hAnsi="Arial" w:cs="Arial"/>
          <w:i/>
          <w:iCs/>
        </w:rPr>
        <w:t>National Bureau of Economic Research</w:t>
      </w:r>
      <w:r w:rsidRPr="00F837D5">
        <w:rPr>
          <w:rFonts w:ascii="Arial" w:hAnsi="Arial" w:cs="Arial"/>
        </w:rPr>
        <w:t>.</w:t>
      </w:r>
    </w:p>
    <w:p w14:paraId="77952CA0" w14:textId="77777777" w:rsidR="00F837D5" w:rsidRPr="00F837D5" w:rsidRDefault="00F837D5" w:rsidP="003C70FD">
      <w:pPr>
        <w:spacing w:line="360" w:lineRule="auto"/>
        <w:jc w:val="both"/>
        <w:rPr>
          <w:rFonts w:ascii="Arial" w:hAnsi="Arial" w:cs="Arial"/>
        </w:rPr>
      </w:pPr>
      <w:r w:rsidRPr="00F837D5">
        <w:rPr>
          <w:rFonts w:ascii="Arial" w:hAnsi="Arial" w:cs="Arial"/>
        </w:rPr>
        <w:t>Netsuite.com (2025) ‘3 Successful ERP Implementation Case Studies’, Oracle NetSuite.</w:t>
      </w:r>
    </w:p>
    <w:p w14:paraId="30DDFEB8" w14:textId="77777777" w:rsidR="00F837D5" w:rsidRPr="00F837D5" w:rsidRDefault="00F837D5" w:rsidP="003C70FD">
      <w:pPr>
        <w:spacing w:line="360" w:lineRule="auto"/>
        <w:jc w:val="both"/>
        <w:rPr>
          <w:rFonts w:ascii="Arial" w:hAnsi="Arial" w:cs="Arial"/>
        </w:rPr>
      </w:pPr>
      <w:r w:rsidRPr="00F837D5">
        <w:rPr>
          <w:rFonts w:ascii="Arial" w:hAnsi="Arial" w:cs="Arial"/>
        </w:rPr>
        <w:lastRenderedPageBreak/>
        <w:t>RCS UK (2024) ‘Retail System Integration: Connecting Your POS with Accounting Platforms’, RCS UK.</w:t>
      </w:r>
    </w:p>
    <w:p w14:paraId="4F81B7C7" w14:textId="77777777" w:rsidR="00F837D5" w:rsidRPr="00F837D5" w:rsidRDefault="00F837D5" w:rsidP="003C70FD">
      <w:pPr>
        <w:spacing w:line="360" w:lineRule="auto"/>
        <w:jc w:val="both"/>
        <w:rPr>
          <w:rFonts w:ascii="Arial" w:hAnsi="Arial" w:cs="Arial"/>
        </w:rPr>
      </w:pPr>
      <w:r w:rsidRPr="00F837D5">
        <w:rPr>
          <w:rFonts w:ascii="Arial" w:hAnsi="Arial" w:cs="Arial"/>
        </w:rPr>
        <w:t>Salesforce (2024) ‘5 CRM Examples That Will Inspire Any Team’, Salesforce.com.</w:t>
      </w:r>
    </w:p>
    <w:p w14:paraId="3E742C74" w14:textId="77777777" w:rsidR="00F837D5" w:rsidRPr="00F837D5" w:rsidRDefault="00F837D5" w:rsidP="003C70FD">
      <w:pPr>
        <w:spacing w:line="360" w:lineRule="auto"/>
        <w:jc w:val="both"/>
        <w:rPr>
          <w:rFonts w:ascii="Arial" w:hAnsi="Arial" w:cs="Arial"/>
        </w:rPr>
      </w:pPr>
      <w:r w:rsidRPr="00F837D5">
        <w:rPr>
          <w:rFonts w:ascii="Arial" w:hAnsi="Arial" w:cs="Arial"/>
        </w:rPr>
        <w:t>SalesPlay (2023) ‘Benefits of Real-Time Reporting in Multi-Store POS’, SalesPlay.</w:t>
      </w:r>
    </w:p>
    <w:p w14:paraId="09DA2BD8" w14:textId="77777777" w:rsidR="00F837D5" w:rsidRPr="00F837D5" w:rsidRDefault="00F837D5" w:rsidP="003C70FD">
      <w:pPr>
        <w:spacing w:line="360" w:lineRule="auto"/>
        <w:jc w:val="both"/>
        <w:rPr>
          <w:rFonts w:ascii="Arial" w:hAnsi="Arial" w:cs="Arial"/>
        </w:rPr>
      </w:pPr>
      <w:r w:rsidRPr="00F837D5">
        <w:rPr>
          <w:rFonts w:ascii="Arial" w:hAnsi="Arial" w:cs="Arial"/>
        </w:rPr>
        <w:t>Shopify (2025) ‘Customer Relationship Management in Retailing (Guide &amp; Examples)’, Shopify.com.</w:t>
      </w:r>
    </w:p>
    <w:p w14:paraId="11D0BECF" w14:textId="77777777" w:rsidR="00F837D5" w:rsidRPr="00F837D5" w:rsidRDefault="00F837D5" w:rsidP="003C70FD">
      <w:pPr>
        <w:spacing w:line="360" w:lineRule="auto"/>
        <w:jc w:val="both"/>
        <w:rPr>
          <w:rFonts w:ascii="Arial" w:hAnsi="Arial" w:cs="Arial"/>
        </w:rPr>
      </w:pPr>
      <w:r w:rsidRPr="00F837D5">
        <w:rPr>
          <w:rFonts w:ascii="Arial" w:hAnsi="Arial" w:cs="Arial"/>
        </w:rPr>
        <w:t>SuperOffice (2025) ‘5 CRM Best Practices That Improve Customer Relationships’, SuperOffice.</w:t>
      </w:r>
    </w:p>
    <w:p w14:paraId="1034CDAA" w14:textId="77777777" w:rsidR="00F837D5" w:rsidRPr="00F837D5" w:rsidRDefault="00F837D5" w:rsidP="003C70FD">
      <w:pPr>
        <w:spacing w:line="360" w:lineRule="auto"/>
        <w:jc w:val="both"/>
        <w:rPr>
          <w:rFonts w:ascii="Arial" w:hAnsi="Arial" w:cs="Arial"/>
        </w:rPr>
      </w:pPr>
      <w:r w:rsidRPr="00F837D5">
        <w:rPr>
          <w:rFonts w:ascii="Arial" w:hAnsi="Arial" w:cs="Arial"/>
        </w:rPr>
        <w:t>Trepo.tuni.fi (2014) ‘Improving master data quality in data migration of ERP implementation’, Trepo.</w:t>
      </w:r>
    </w:p>
    <w:p w14:paraId="54C2AAA7" w14:textId="77777777" w:rsidR="00F837D5" w:rsidRPr="00F837D5" w:rsidRDefault="00F837D5" w:rsidP="003C70FD">
      <w:pPr>
        <w:spacing w:line="360" w:lineRule="auto"/>
        <w:jc w:val="both"/>
        <w:rPr>
          <w:rFonts w:ascii="Arial" w:hAnsi="Arial" w:cs="Arial"/>
        </w:rPr>
      </w:pPr>
      <w:r w:rsidRPr="00F837D5">
        <w:rPr>
          <w:rFonts w:ascii="Arial" w:hAnsi="Arial" w:cs="Arial"/>
        </w:rPr>
        <w:t>Vorecol.com (2024) ‘Impact of Real-Time Data Analytics on Performance’, Vorecol.com.</w:t>
      </w:r>
    </w:p>
    <w:p w14:paraId="4B19B5D7" w14:textId="77777777" w:rsidR="00F837D5" w:rsidRPr="00F837D5" w:rsidRDefault="00F837D5" w:rsidP="003C70FD">
      <w:pPr>
        <w:spacing w:line="360" w:lineRule="auto"/>
        <w:jc w:val="both"/>
        <w:rPr>
          <w:rFonts w:ascii="Arial" w:hAnsi="Arial" w:cs="Arial"/>
        </w:rPr>
      </w:pPr>
      <w:r w:rsidRPr="00F837D5">
        <w:rPr>
          <w:rFonts w:ascii="Arial" w:hAnsi="Arial" w:cs="Arial"/>
        </w:rPr>
        <w:t xml:space="preserve">WJARR (2024) ‘Evaluating the role of ERP systems in streamlining order management’, </w:t>
      </w:r>
      <w:r w:rsidRPr="00F837D5">
        <w:rPr>
          <w:rFonts w:ascii="Arial" w:hAnsi="Arial" w:cs="Arial"/>
          <w:i/>
          <w:iCs/>
        </w:rPr>
        <w:t>World Journal of Advanced Research &amp; Reviews</w:t>
      </w:r>
      <w:r w:rsidRPr="00F837D5">
        <w:rPr>
          <w:rFonts w:ascii="Arial" w:hAnsi="Arial" w:cs="Arial"/>
        </w:rPr>
        <w:t>.</w:t>
      </w:r>
    </w:p>
    <w:p w14:paraId="3C231B51" w14:textId="77777777" w:rsidR="00D97A78" w:rsidRPr="00F837D5" w:rsidRDefault="00D97A78" w:rsidP="00F837D5"/>
    <w:sectPr w:rsidR="00D97A78" w:rsidRPr="00F837D5" w:rsidSect="00D27792">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62452" w14:textId="77777777" w:rsidR="002A611A" w:rsidRDefault="002A611A" w:rsidP="009D16C9">
      <w:pPr>
        <w:spacing w:after="0" w:line="240" w:lineRule="auto"/>
      </w:pPr>
      <w:r>
        <w:separator/>
      </w:r>
    </w:p>
  </w:endnote>
  <w:endnote w:type="continuationSeparator" w:id="0">
    <w:p w14:paraId="64423F01" w14:textId="77777777" w:rsidR="002A611A" w:rsidRDefault="002A611A" w:rsidP="009D1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946059"/>
      <w:docPartObj>
        <w:docPartGallery w:val="Page Numbers (Bottom of Page)"/>
        <w:docPartUnique/>
      </w:docPartObj>
    </w:sdtPr>
    <w:sdtEndPr>
      <w:rPr>
        <w:color w:val="7F7F7F" w:themeColor="background1" w:themeShade="7F"/>
        <w:spacing w:val="60"/>
      </w:rPr>
    </w:sdtEndPr>
    <w:sdtContent>
      <w:p w14:paraId="0944594F" w14:textId="70264719" w:rsidR="00D27792" w:rsidRDefault="00D277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301B3D9" w14:textId="77777777" w:rsidR="009D16C9" w:rsidRDefault="009D16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60062" w14:textId="77777777" w:rsidR="002A611A" w:rsidRDefault="002A611A" w:rsidP="009D16C9">
      <w:pPr>
        <w:spacing w:after="0" w:line="240" w:lineRule="auto"/>
      </w:pPr>
      <w:r>
        <w:separator/>
      </w:r>
    </w:p>
  </w:footnote>
  <w:footnote w:type="continuationSeparator" w:id="0">
    <w:p w14:paraId="222E11BC" w14:textId="77777777" w:rsidR="002A611A" w:rsidRDefault="002A611A" w:rsidP="009D16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B58E6"/>
    <w:multiLevelType w:val="multilevel"/>
    <w:tmpl w:val="64C66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E94DE0"/>
    <w:multiLevelType w:val="multilevel"/>
    <w:tmpl w:val="824C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293C99"/>
    <w:multiLevelType w:val="multilevel"/>
    <w:tmpl w:val="D5DE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3701429">
    <w:abstractNumId w:val="1"/>
  </w:num>
  <w:num w:numId="2" w16cid:durableId="261571487">
    <w:abstractNumId w:val="2"/>
  </w:num>
  <w:num w:numId="3" w16cid:durableId="28334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63"/>
    <w:rsid w:val="00287FBF"/>
    <w:rsid w:val="002A611A"/>
    <w:rsid w:val="003154A7"/>
    <w:rsid w:val="003C70FD"/>
    <w:rsid w:val="00453675"/>
    <w:rsid w:val="004930D9"/>
    <w:rsid w:val="004B7563"/>
    <w:rsid w:val="004D5F62"/>
    <w:rsid w:val="00744A2D"/>
    <w:rsid w:val="009D16C9"/>
    <w:rsid w:val="00AB0049"/>
    <w:rsid w:val="00AB5266"/>
    <w:rsid w:val="00BA483E"/>
    <w:rsid w:val="00D27792"/>
    <w:rsid w:val="00D97A78"/>
    <w:rsid w:val="00E92EEF"/>
    <w:rsid w:val="00F83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455C3"/>
  <w15:chartTrackingRefBased/>
  <w15:docId w15:val="{4089DB07-8955-4E41-8DD7-6EDB014DF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7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7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75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75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75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7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7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7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7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5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5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5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5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5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563"/>
    <w:rPr>
      <w:rFonts w:eastAsiaTheme="majorEastAsia" w:cstheme="majorBidi"/>
      <w:color w:val="272727" w:themeColor="text1" w:themeTint="D8"/>
    </w:rPr>
  </w:style>
  <w:style w:type="paragraph" w:styleId="Title">
    <w:name w:val="Title"/>
    <w:basedOn w:val="Normal"/>
    <w:next w:val="Normal"/>
    <w:link w:val="TitleChar"/>
    <w:uiPriority w:val="10"/>
    <w:qFormat/>
    <w:rsid w:val="004B7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7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7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563"/>
    <w:pPr>
      <w:spacing w:before="160"/>
      <w:jc w:val="center"/>
    </w:pPr>
    <w:rPr>
      <w:i/>
      <w:iCs/>
      <w:color w:val="404040" w:themeColor="text1" w:themeTint="BF"/>
    </w:rPr>
  </w:style>
  <w:style w:type="character" w:customStyle="1" w:styleId="QuoteChar">
    <w:name w:val="Quote Char"/>
    <w:basedOn w:val="DefaultParagraphFont"/>
    <w:link w:val="Quote"/>
    <w:uiPriority w:val="29"/>
    <w:rsid w:val="004B7563"/>
    <w:rPr>
      <w:i/>
      <w:iCs/>
      <w:color w:val="404040" w:themeColor="text1" w:themeTint="BF"/>
    </w:rPr>
  </w:style>
  <w:style w:type="paragraph" w:styleId="ListParagraph">
    <w:name w:val="List Paragraph"/>
    <w:basedOn w:val="Normal"/>
    <w:uiPriority w:val="34"/>
    <w:qFormat/>
    <w:rsid w:val="004B7563"/>
    <w:pPr>
      <w:ind w:left="720"/>
      <w:contextualSpacing/>
    </w:pPr>
  </w:style>
  <w:style w:type="character" w:styleId="IntenseEmphasis">
    <w:name w:val="Intense Emphasis"/>
    <w:basedOn w:val="DefaultParagraphFont"/>
    <w:uiPriority w:val="21"/>
    <w:qFormat/>
    <w:rsid w:val="004B7563"/>
    <w:rPr>
      <w:i/>
      <w:iCs/>
      <w:color w:val="0F4761" w:themeColor="accent1" w:themeShade="BF"/>
    </w:rPr>
  </w:style>
  <w:style w:type="paragraph" w:styleId="IntenseQuote">
    <w:name w:val="Intense Quote"/>
    <w:basedOn w:val="Normal"/>
    <w:next w:val="Normal"/>
    <w:link w:val="IntenseQuoteChar"/>
    <w:uiPriority w:val="30"/>
    <w:qFormat/>
    <w:rsid w:val="004B7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7563"/>
    <w:rPr>
      <w:i/>
      <w:iCs/>
      <w:color w:val="0F4761" w:themeColor="accent1" w:themeShade="BF"/>
    </w:rPr>
  </w:style>
  <w:style w:type="character" w:styleId="IntenseReference">
    <w:name w:val="Intense Reference"/>
    <w:basedOn w:val="DefaultParagraphFont"/>
    <w:uiPriority w:val="32"/>
    <w:qFormat/>
    <w:rsid w:val="004B7563"/>
    <w:rPr>
      <w:b/>
      <w:bCs/>
      <w:smallCaps/>
      <w:color w:val="0F4761" w:themeColor="accent1" w:themeShade="BF"/>
      <w:spacing w:val="5"/>
    </w:rPr>
  </w:style>
  <w:style w:type="character" w:styleId="Hyperlink">
    <w:name w:val="Hyperlink"/>
    <w:basedOn w:val="DefaultParagraphFont"/>
    <w:uiPriority w:val="99"/>
    <w:unhideWhenUsed/>
    <w:rsid w:val="004B7563"/>
    <w:rPr>
      <w:color w:val="467886" w:themeColor="hyperlink"/>
      <w:u w:val="single"/>
    </w:rPr>
  </w:style>
  <w:style w:type="character" w:styleId="UnresolvedMention">
    <w:name w:val="Unresolved Mention"/>
    <w:basedOn w:val="DefaultParagraphFont"/>
    <w:uiPriority w:val="99"/>
    <w:semiHidden/>
    <w:unhideWhenUsed/>
    <w:rsid w:val="004B7563"/>
    <w:rPr>
      <w:color w:val="605E5C"/>
      <w:shd w:val="clear" w:color="auto" w:fill="E1DFDD"/>
    </w:rPr>
  </w:style>
  <w:style w:type="paragraph" w:styleId="NoSpacing">
    <w:name w:val="No Spacing"/>
    <w:uiPriority w:val="1"/>
    <w:qFormat/>
    <w:rsid w:val="003C70FD"/>
    <w:pPr>
      <w:spacing w:after="0" w:line="240" w:lineRule="auto"/>
    </w:pPr>
  </w:style>
  <w:style w:type="paragraph" w:styleId="TOCHeading">
    <w:name w:val="TOC Heading"/>
    <w:basedOn w:val="Heading1"/>
    <w:next w:val="Normal"/>
    <w:uiPriority w:val="39"/>
    <w:unhideWhenUsed/>
    <w:qFormat/>
    <w:rsid w:val="003C70F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930D9"/>
    <w:pPr>
      <w:spacing w:after="100"/>
    </w:pPr>
  </w:style>
  <w:style w:type="paragraph" w:styleId="Header">
    <w:name w:val="header"/>
    <w:basedOn w:val="Normal"/>
    <w:link w:val="HeaderChar"/>
    <w:uiPriority w:val="99"/>
    <w:unhideWhenUsed/>
    <w:rsid w:val="009D16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6C9"/>
  </w:style>
  <w:style w:type="paragraph" w:styleId="Footer">
    <w:name w:val="footer"/>
    <w:basedOn w:val="Normal"/>
    <w:link w:val="FooterChar"/>
    <w:uiPriority w:val="99"/>
    <w:unhideWhenUsed/>
    <w:rsid w:val="009D16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11</Pages>
  <Words>2579</Words>
  <Characters>14702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Popa (2332748)</dc:creator>
  <cp:keywords/>
  <dc:description/>
  <cp:lastModifiedBy>Alexandru Popa (2332748)</cp:lastModifiedBy>
  <cp:revision>3</cp:revision>
  <dcterms:created xsi:type="dcterms:W3CDTF">2025-11-15T14:40:00Z</dcterms:created>
  <dcterms:modified xsi:type="dcterms:W3CDTF">2025-11-15T16:50:00Z</dcterms:modified>
</cp:coreProperties>
</file>