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Critically analyse the implications for advocacy managers regarding the professionalisation of Independent Advocacy within a context of your choice.</w:t>
      </w:r>
    </w:p>
    <w:p w:rsidR="00000000" w:rsidDel="00000000" w:rsidP="00000000" w:rsidRDefault="00000000" w:rsidRPr="00000000" w14:paraId="00000002">
      <w:pPr>
        <w:jc w:val="left"/>
        <w:rPr>
          <w:rFonts w:ascii="Playfair Display" w:cs="Playfair Display" w:eastAsia="Playfair Display" w:hAnsi="Playfair Display"/>
          <w:sz w:val="24"/>
          <w:szCs w:val="24"/>
        </w:rPr>
      </w:pPr>
      <w:r w:rsidDel="00000000" w:rsidR="00000000" w:rsidRPr="00000000">
        <w:rPr>
          <w:rtl w:val="0"/>
        </w:rPr>
      </w:r>
    </w:p>
    <w:p w:rsidR="00000000" w:rsidDel="00000000" w:rsidP="00000000" w:rsidRDefault="00000000" w:rsidRPr="00000000" w14:paraId="00000003">
      <w:pPr>
        <w:jc w:val="center"/>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The management of advocacy - How a lack of standardised service, limits the execution of recognised advocacy practice whilst simultaneously ensuring the quality of service. Protection vs Prevention - Hearing youth.</w:t>
      </w:r>
    </w:p>
    <w:p w:rsidR="00000000" w:rsidDel="00000000" w:rsidP="00000000" w:rsidRDefault="00000000" w:rsidRPr="00000000" w14:paraId="00000004">
      <w:pPr>
        <w:spacing w:line="360" w:lineRule="auto"/>
        <w:jc w:val="both"/>
        <w:rPr>
          <w:rFonts w:ascii="Playfair Display" w:cs="Playfair Display" w:eastAsia="Playfair Display" w:hAnsi="Playfair Display"/>
          <w:sz w:val="20"/>
          <w:szCs w:val="20"/>
        </w:rPr>
      </w:pPr>
      <w:r w:rsidDel="00000000" w:rsidR="00000000" w:rsidRPr="00000000">
        <w:rPr>
          <w:rtl w:val="0"/>
        </w:rPr>
      </w:r>
    </w:p>
    <w:p w:rsidR="00000000" w:rsidDel="00000000" w:rsidP="00000000" w:rsidRDefault="00000000" w:rsidRPr="00000000" w14:paraId="00000005">
      <w:pPr>
        <w:spacing w:line="360" w:lineRule="auto"/>
        <w:jc w:val="both"/>
        <w:rPr>
          <w:rFonts w:ascii="Playfair Display" w:cs="Playfair Display" w:eastAsia="Playfair Display" w:hAnsi="Playfair Display"/>
          <w:sz w:val="20"/>
          <w:szCs w:val="20"/>
        </w:rPr>
      </w:pPr>
      <w:r w:rsidDel="00000000" w:rsidR="00000000" w:rsidRPr="00000000">
        <w:rPr>
          <w:rFonts w:ascii="Playfair Display" w:cs="Playfair Display" w:eastAsia="Playfair Display" w:hAnsi="Playfair Display"/>
          <w:sz w:val="20"/>
          <w:szCs w:val="20"/>
          <w:rtl w:val="0"/>
        </w:rPr>
        <w:t xml:space="preserve">Advocacy practice suffers globally from a lack of consensus on its definition. The concept of advocacy is generally understood as the defence of an individual or group’s rights. (Dalrymple, 2004) However, the managerial system in place to facilitate many modes of advocacy is one which lacks consistency as a result perhaps of the issues surrounding definition. The Scottish government recognises that there are a ”plethora of definitions and models of advocacy” (Scottish Government, 2021) whilst highlighting common issues as explained in their advice and guidance publication on social security and advocacy service standards, </w:t>
      </w:r>
    </w:p>
    <w:p w:rsidR="00000000" w:rsidDel="00000000" w:rsidP="00000000" w:rsidRDefault="00000000" w:rsidRPr="00000000" w14:paraId="00000006">
      <w:pPr>
        <w:spacing w:line="360" w:lineRule="auto"/>
        <w:jc w:val="both"/>
        <w:rPr>
          <w:rFonts w:ascii="Playfair Display" w:cs="Playfair Display" w:eastAsia="Playfair Display" w:hAnsi="Playfair Display"/>
          <w:sz w:val="20"/>
          <w:szCs w:val="20"/>
        </w:rPr>
      </w:pPr>
      <w:r w:rsidDel="00000000" w:rsidR="00000000" w:rsidRPr="00000000">
        <w:rPr>
          <w:rtl w:val="0"/>
        </w:rPr>
      </w:r>
    </w:p>
    <w:p w:rsidR="00000000" w:rsidDel="00000000" w:rsidP="00000000" w:rsidRDefault="00000000" w:rsidRPr="00000000" w14:paraId="00000007">
      <w:pPr>
        <w:spacing w:line="360" w:lineRule="auto"/>
        <w:jc w:val="both"/>
        <w:rPr>
          <w:rFonts w:ascii="Playfair Display" w:cs="Playfair Display" w:eastAsia="Playfair Display" w:hAnsi="Playfair Display"/>
          <w:sz w:val="20"/>
          <w:szCs w:val="20"/>
        </w:rPr>
      </w:pPr>
      <w:r w:rsidDel="00000000" w:rsidR="00000000" w:rsidRPr="00000000">
        <w:rPr>
          <w:rFonts w:ascii="Playfair Display" w:cs="Playfair Display" w:eastAsia="Playfair Display" w:hAnsi="Playfair Display"/>
          <w:sz w:val="20"/>
          <w:szCs w:val="20"/>
          <w:rtl w:val="0"/>
        </w:rPr>
        <w:t xml:space="preserve">Whilst advocacy as a concept is simple because it is about supporting an individual to share their views, perceptions or wishes, defining the tangible parameters of advocacy remains a complex and difficult task. (Scottish Government, 2021).</w:t>
      </w:r>
    </w:p>
    <w:p w:rsidR="00000000" w:rsidDel="00000000" w:rsidP="00000000" w:rsidRDefault="00000000" w:rsidRPr="00000000" w14:paraId="00000008">
      <w:pPr>
        <w:spacing w:line="360" w:lineRule="auto"/>
        <w:jc w:val="both"/>
        <w:rPr>
          <w:rFonts w:ascii="Playfair Display" w:cs="Playfair Display" w:eastAsia="Playfair Display" w:hAnsi="Playfair Display"/>
          <w:sz w:val="20"/>
          <w:szCs w:val="20"/>
        </w:rPr>
      </w:pPr>
      <w:r w:rsidDel="00000000" w:rsidR="00000000" w:rsidRPr="00000000">
        <w:rPr>
          <w:rtl w:val="0"/>
        </w:rPr>
      </w:r>
    </w:p>
    <w:p w:rsidR="00000000" w:rsidDel="00000000" w:rsidP="00000000" w:rsidRDefault="00000000" w:rsidRPr="00000000" w14:paraId="00000009">
      <w:pPr>
        <w:spacing w:line="360" w:lineRule="auto"/>
        <w:jc w:val="both"/>
        <w:rPr>
          <w:rFonts w:ascii="Playfair Display" w:cs="Playfair Display" w:eastAsia="Playfair Display" w:hAnsi="Playfair Display"/>
          <w:sz w:val="20"/>
          <w:szCs w:val="20"/>
        </w:rPr>
      </w:pPr>
      <w:r w:rsidDel="00000000" w:rsidR="00000000" w:rsidRPr="00000000">
        <w:rPr>
          <w:rFonts w:ascii="Playfair Display" w:cs="Playfair Display" w:eastAsia="Playfair Display" w:hAnsi="Playfair Display"/>
          <w:sz w:val="20"/>
          <w:szCs w:val="20"/>
          <w:rtl w:val="0"/>
        </w:rPr>
        <w:t xml:space="preserve">The difficulty appears to be in the details, and this may have arisen due to the diverse ways advocacy services have developed to support a diverse collective of individuals and groups in a multitude of contexts. (Mind, 2024)</w:t>
      </w:r>
    </w:p>
    <w:p w:rsidR="00000000" w:rsidDel="00000000" w:rsidP="00000000" w:rsidRDefault="00000000" w:rsidRPr="00000000" w14:paraId="0000000A">
      <w:pPr>
        <w:spacing w:line="360" w:lineRule="auto"/>
        <w:jc w:val="both"/>
        <w:rPr>
          <w:rFonts w:ascii="Playfair Display" w:cs="Playfair Display" w:eastAsia="Playfair Display" w:hAnsi="Playfair Display"/>
          <w:sz w:val="20"/>
          <w:szCs w:val="20"/>
        </w:rPr>
      </w:pPr>
      <w:r w:rsidDel="00000000" w:rsidR="00000000" w:rsidRPr="00000000">
        <w:rPr>
          <w:rtl w:val="0"/>
        </w:rPr>
      </w:r>
    </w:p>
    <w:p w:rsidR="00000000" w:rsidDel="00000000" w:rsidP="00000000" w:rsidRDefault="00000000" w:rsidRPr="00000000" w14:paraId="0000000B">
      <w:pPr>
        <w:spacing w:line="360" w:lineRule="auto"/>
        <w:jc w:val="both"/>
        <w:rPr>
          <w:rFonts w:ascii="Playfair Display" w:cs="Playfair Display" w:eastAsia="Playfair Display" w:hAnsi="Playfair Display"/>
          <w:sz w:val="20"/>
          <w:szCs w:val="20"/>
        </w:rPr>
      </w:pPr>
      <w:r w:rsidDel="00000000" w:rsidR="00000000" w:rsidRPr="00000000">
        <w:rPr>
          <w:rFonts w:ascii="Playfair Display" w:cs="Playfair Display" w:eastAsia="Playfair Display" w:hAnsi="Playfair Display"/>
          <w:sz w:val="20"/>
          <w:szCs w:val="20"/>
          <w:rtl w:val="0"/>
        </w:rPr>
        <w:t xml:space="preserve">Advocacy has been becoming increasingly important within the complex modern social landscape where individuals and groups require help navigating the processes and events that affect their lives within the administrative structures of society. In an era of mass censorship, restricted speech and silencing. Social reproduction theory is often associated with the barriers to social mobility and efforts by Tony Blair to create a classless society with social mobility (Saunders, 2019). In this essay, the focus is on the position of young people within society who have experienced the care system with the input of advocacy works in a variety of positions and levels of support and or power. It involves navigating the legal and social justice system or courts and police, establishing financial independence, emotional stability and consistent support throughout their time in care. </w:t>
      </w:r>
    </w:p>
    <w:p w:rsidR="00000000" w:rsidDel="00000000" w:rsidP="00000000" w:rsidRDefault="00000000" w:rsidRPr="00000000" w14:paraId="0000000C">
      <w:pPr>
        <w:spacing w:line="360" w:lineRule="auto"/>
        <w:jc w:val="both"/>
        <w:rPr>
          <w:rFonts w:ascii="Playfair Display" w:cs="Playfair Display" w:eastAsia="Playfair Display" w:hAnsi="Playfair Display"/>
          <w:sz w:val="20"/>
          <w:szCs w:val="20"/>
        </w:rPr>
      </w:pPr>
      <w:r w:rsidDel="00000000" w:rsidR="00000000" w:rsidRPr="00000000">
        <w:rPr>
          <w:rtl w:val="0"/>
        </w:rPr>
      </w:r>
    </w:p>
    <w:p w:rsidR="00000000" w:rsidDel="00000000" w:rsidP="00000000" w:rsidRDefault="00000000" w:rsidRPr="00000000" w14:paraId="0000000D">
      <w:pPr>
        <w:spacing w:line="360" w:lineRule="auto"/>
        <w:jc w:val="both"/>
        <w:rPr>
          <w:rFonts w:ascii="Playfair Display" w:cs="Playfair Display" w:eastAsia="Playfair Display" w:hAnsi="Playfair Display"/>
          <w:sz w:val="20"/>
          <w:szCs w:val="20"/>
        </w:rPr>
      </w:pPr>
      <w:r w:rsidDel="00000000" w:rsidR="00000000" w:rsidRPr="00000000">
        <w:rPr>
          <w:rFonts w:ascii="Playfair Display" w:cs="Playfair Display" w:eastAsia="Playfair Display" w:hAnsi="Playfair Display"/>
          <w:sz w:val="20"/>
          <w:szCs w:val="20"/>
          <w:rtl w:val="0"/>
        </w:rPr>
        <w:t xml:space="preserve">Many of these young individuals which do not have access to the financial resources or social skills, legal documentation and familiar support necessary to advocate for themselves in an effective manner nor choose a suitable professional to represent them. </w:t>
      </w:r>
    </w:p>
    <w:p w:rsidR="00000000" w:rsidDel="00000000" w:rsidP="00000000" w:rsidRDefault="00000000" w:rsidRPr="00000000" w14:paraId="0000000E">
      <w:pPr>
        <w:spacing w:line="360" w:lineRule="auto"/>
        <w:jc w:val="both"/>
        <w:rPr>
          <w:rFonts w:ascii="Playfair Display" w:cs="Playfair Display" w:eastAsia="Playfair Display" w:hAnsi="Playfair Display"/>
          <w:sz w:val="20"/>
          <w:szCs w:val="20"/>
        </w:rPr>
      </w:pPr>
      <w:r w:rsidDel="00000000" w:rsidR="00000000" w:rsidRPr="00000000">
        <w:rPr>
          <w:rtl w:val="0"/>
        </w:rPr>
      </w:r>
    </w:p>
    <w:p w:rsidR="00000000" w:rsidDel="00000000" w:rsidP="00000000" w:rsidRDefault="00000000" w:rsidRPr="00000000" w14:paraId="0000000F">
      <w:pPr>
        <w:spacing w:line="360" w:lineRule="auto"/>
        <w:jc w:val="both"/>
        <w:rPr>
          <w:rFonts w:ascii="Playfair Display" w:cs="Playfair Display" w:eastAsia="Playfair Display" w:hAnsi="Playfair Display"/>
          <w:sz w:val="20"/>
          <w:szCs w:val="20"/>
        </w:rPr>
      </w:pPr>
      <w:r w:rsidDel="00000000" w:rsidR="00000000" w:rsidRPr="00000000">
        <w:rPr>
          <w:rFonts w:ascii="Playfair Display" w:cs="Playfair Display" w:eastAsia="Playfair Display" w:hAnsi="Playfair Display"/>
          <w:sz w:val="20"/>
          <w:szCs w:val="20"/>
          <w:rtl w:val="0"/>
        </w:rPr>
        <w:t xml:space="preserve">Under an increase in extreme conservative value (Beauchamp, 2024), is the implementation of civil, organised defence and recognised support that has become an apparent must in such an uncertain time to grow. “When you want to help people, you tell them the truth. When you want to help yourself, you tell them what they want to hear.” (ConservativeHome, 2025). This brings into question the presentation of youth rights against a back group of ancient administrative practice and a lack of formal discourse. A world where the words of one represent a collective. How can advocacy ever be truly professionalised when it is already so personal? </w:t>
      </w:r>
    </w:p>
    <w:p w:rsidR="00000000" w:rsidDel="00000000" w:rsidP="00000000" w:rsidRDefault="00000000" w:rsidRPr="00000000" w14:paraId="00000010">
      <w:pPr>
        <w:spacing w:line="360" w:lineRule="auto"/>
        <w:jc w:val="both"/>
        <w:rPr>
          <w:rFonts w:ascii="Playfair Display" w:cs="Playfair Display" w:eastAsia="Playfair Display" w:hAnsi="Playfair Display"/>
          <w:sz w:val="20"/>
          <w:szCs w:val="20"/>
        </w:rPr>
      </w:pPr>
      <w:r w:rsidDel="00000000" w:rsidR="00000000" w:rsidRPr="00000000">
        <w:rPr>
          <w:rtl w:val="0"/>
        </w:rPr>
      </w:r>
    </w:p>
    <w:p w:rsidR="00000000" w:rsidDel="00000000" w:rsidP="00000000" w:rsidRDefault="00000000" w:rsidRPr="00000000" w14:paraId="00000011">
      <w:pPr>
        <w:spacing w:line="360" w:lineRule="auto"/>
        <w:jc w:val="both"/>
        <w:rPr>
          <w:rFonts w:ascii="Playfair Display" w:cs="Playfair Display" w:eastAsia="Playfair Display" w:hAnsi="Playfair Display"/>
          <w:sz w:val="20"/>
          <w:szCs w:val="20"/>
        </w:rPr>
      </w:pPr>
      <w:r w:rsidDel="00000000" w:rsidR="00000000" w:rsidRPr="00000000">
        <w:rPr>
          <w:rFonts w:ascii="Playfair Display" w:cs="Playfair Display" w:eastAsia="Playfair Display" w:hAnsi="Playfair Display"/>
          <w:sz w:val="20"/>
          <w:szCs w:val="20"/>
          <w:rtl w:val="0"/>
        </w:rPr>
        <w:t xml:space="preserve">This essay sets out to explore the professionalisation of youth advocacy services and its implications. </w:t>
      </w:r>
    </w:p>
    <w:p w:rsidR="00000000" w:rsidDel="00000000" w:rsidP="00000000" w:rsidRDefault="00000000" w:rsidRPr="00000000" w14:paraId="00000012">
      <w:pPr>
        <w:spacing w:line="360" w:lineRule="auto"/>
        <w:jc w:val="both"/>
        <w:rPr>
          <w:rFonts w:ascii="Playfair Display" w:cs="Playfair Display" w:eastAsia="Playfair Display" w:hAnsi="Playfair Display"/>
          <w:sz w:val="20"/>
          <w:szCs w:val="20"/>
        </w:rPr>
      </w:pPr>
      <w:r w:rsidDel="00000000" w:rsidR="00000000" w:rsidRPr="00000000">
        <w:rPr>
          <w:rtl w:val="0"/>
        </w:rPr>
      </w:r>
    </w:p>
    <w:p w:rsidR="00000000" w:rsidDel="00000000" w:rsidP="00000000" w:rsidRDefault="00000000" w:rsidRPr="00000000" w14:paraId="00000013">
      <w:pPr>
        <w:spacing w:line="360" w:lineRule="auto"/>
        <w:jc w:val="both"/>
        <w:rPr>
          <w:rFonts w:ascii="Playfair Display" w:cs="Playfair Display" w:eastAsia="Playfair Display" w:hAnsi="Playfair Display"/>
          <w:sz w:val="20"/>
          <w:szCs w:val="20"/>
        </w:rPr>
      </w:pPr>
      <w:r w:rsidDel="00000000" w:rsidR="00000000" w:rsidRPr="00000000">
        <w:rPr>
          <w:rFonts w:ascii="Playfair Display" w:cs="Playfair Display" w:eastAsia="Playfair Display" w:hAnsi="Playfair Display"/>
          <w:sz w:val="20"/>
          <w:szCs w:val="20"/>
          <w:rtl w:val="0"/>
        </w:rPr>
        <w:t xml:space="preserve">Young people in need of advocacy are extremely vulnerable and therefore the highest standards of service must be available. Managers are tasked with providing advocates who can deliver such support consistently and without bias to all who require it. Managers must also support the continued professional development and training of their advocates. (BCCYAC, 2025). Professional advocacy, while highly beneficial, also faces several challenges, for example, limitations to advocacy include a lack of support quality standards, time, funding and legislative barriers, personal advocate bias and a lack of continuity. Access and availability.  “Not all individuals have equal access to professional advocacy services. Funding and Resources: Adequate funding and resources are required to ensure high-quality advocacy services.” (Learning, 2024). Over the last few decades, the fight for professionalised practice within advocacy has increased, this is represented in legislation and jurisdiction.</w:t>
      </w:r>
    </w:p>
    <w:p w:rsidR="00000000" w:rsidDel="00000000" w:rsidP="00000000" w:rsidRDefault="00000000" w:rsidRPr="00000000" w14:paraId="00000014">
      <w:pPr>
        <w:spacing w:line="360" w:lineRule="auto"/>
        <w:jc w:val="both"/>
        <w:rPr>
          <w:rFonts w:ascii="Playfair Display" w:cs="Playfair Display" w:eastAsia="Playfair Display" w:hAnsi="Playfair Display"/>
          <w:sz w:val="20"/>
          <w:szCs w:val="20"/>
        </w:rPr>
      </w:pPr>
      <w:r w:rsidDel="00000000" w:rsidR="00000000" w:rsidRPr="00000000">
        <w:rPr>
          <w:rtl w:val="0"/>
        </w:rPr>
      </w:r>
    </w:p>
    <w:p w:rsidR="00000000" w:rsidDel="00000000" w:rsidP="00000000" w:rsidRDefault="00000000" w:rsidRPr="00000000" w14:paraId="00000015">
      <w:pPr>
        <w:spacing w:line="360" w:lineRule="auto"/>
        <w:jc w:val="both"/>
        <w:rPr>
          <w:rFonts w:ascii="Playfair Display" w:cs="Playfair Display" w:eastAsia="Playfair Display" w:hAnsi="Playfair Display"/>
          <w:sz w:val="20"/>
          <w:szCs w:val="20"/>
        </w:rPr>
      </w:pPr>
      <w:r w:rsidDel="00000000" w:rsidR="00000000" w:rsidRPr="00000000">
        <w:rPr>
          <w:rFonts w:ascii="Playfair Display" w:cs="Playfair Display" w:eastAsia="Playfair Display" w:hAnsi="Playfair Display"/>
          <w:sz w:val="20"/>
          <w:szCs w:val="20"/>
          <w:rtl w:val="0"/>
        </w:rPr>
        <w:t xml:space="preserve">The induction of the 1989 Children's Act placed a duty of care within local authorities as a promotion of safeguarding the welfare of children in the UK by  “providing a range of services appropriate to those children’s needs” (Foster, 2025) this is highlighted in section 17. In addition setting out standard reactions, practices and responsibility from local authorities and governance in response to the “reasonable cause to suspect that a child in its area is suffering, or is likely to suffer, significant harm” (Foster, 2025) As required in section 47. The Children’s Act was one of the first examples of youth-led legislation and standardising safeguarding. Recognising the responsibility of civil service in the role of advocacy. However, as must all social law, interaction and motion there is evasion and limitations to the rule. For example, “Section 31 of the Act set out the circumstances under which a court may make an order placing a child in local authority care.” (Foster, 2025) regardless of an authority-elected individual, organisation or charity there are still parameters to the safeguarding and advocacy and child as a reflection of what is recognised as acceptable and standard welfare. If a young person does not meet the criteria of ‘victim’, ‘vulnerable’ or ‘endangered’ under the scrutiny of the elected global governance the service available to them is limited, especially concerning looked-after children under section 22. </w:t>
      </w:r>
    </w:p>
    <w:p w:rsidR="00000000" w:rsidDel="00000000" w:rsidP="00000000" w:rsidRDefault="00000000" w:rsidRPr="00000000" w14:paraId="00000016">
      <w:pPr>
        <w:spacing w:line="360" w:lineRule="auto"/>
        <w:jc w:val="both"/>
        <w:rPr>
          <w:rFonts w:ascii="Playfair Display" w:cs="Playfair Display" w:eastAsia="Playfair Display" w:hAnsi="Playfair Display"/>
          <w:sz w:val="20"/>
          <w:szCs w:val="20"/>
        </w:rPr>
      </w:pPr>
      <w:r w:rsidDel="00000000" w:rsidR="00000000" w:rsidRPr="00000000">
        <w:rPr>
          <w:rtl w:val="0"/>
        </w:rPr>
      </w:r>
    </w:p>
    <w:p w:rsidR="00000000" w:rsidDel="00000000" w:rsidP="00000000" w:rsidRDefault="00000000" w:rsidRPr="00000000" w14:paraId="00000017">
      <w:pPr>
        <w:spacing w:line="360" w:lineRule="auto"/>
        <w:jc w:val="both"/>
        <w:rPr>
          <w:rFonts w:ascii="Playfair Display" w:cs="Playfair Display" w:eastAsia="Playfair Display" w:hAnsi="Playfair Display"/>
          <w:sz w:val="20"/>
          <w:szCs w:val="20"/>
        </w:rPr>
      </w:pPr>
      <w:r w:rsidDel="00000000" w:rsidR="00000000" w:rsidRPr="00000000">
        <w:rPr>
          <w:rFonts w:ascii="Playfair Display" w:cs="Playfair Display" w:eastAsia="Playfair Display" w:hAnsi="Playfair Display"/>
          <w:sz w:val="20"/>
          <w:szCs w:val="20"/>
          <w:rtl w:val="0"/>
        </w:rPr>
        <w:t xml:space="preserve">The safety of young people cannot be balanced upon the simple code of practice, there is no universal understanding of well-being with the trajectory to secure a professionalised practice. Advocacy is too individualised (</w:t>
      </w:r>
      <w:r w:rsidDel="00000000" w:rsidR="00000000" w:rsidRPr="00000000">
        <w:rPr>
          <w:rFonts w:ascii="Playfair Display" w:cs="Playfair Display" w:eastAsia="Playfair Display" w:hAnsi="Playfair Display"/>
          <w:color w:val="3f5351"/>
          <w:sz w:val="20"/>
          <w:szCs w:val="20"/>
          <w:highlight w:val="white"/>
          <w:rtl w:val="0"/>
        </w:rPr>
        <w:t xml:space="preserve">Fratto, 2016). </w:t>
      </w:r>
      <w:r w:rsidDel="00000000" w:rsidR="00000000" w:rsidRPr="00000000">
        <w:rPr>
          <w:rtl w:val="0"/>
        </w:rPr>
      </w:r>
    </w:p>
    <w:p w:rsidR="00000000" w:rsidDel="00000000" w:rsidP="00000000" w:rsidRDefault="00000000" w:rsidRPr="00000000" w14:paraId="00000018">
      <w:pPr>
        <w:spacing w:line="360" w:lineRule="auto"/>
        <w:jc w:val="both"/>
        <w:rPr>
          <w:rFonts w:ascii="Playfair Display" w:cs="Playfair Display" w:eastAsia="Playfair Display" w:hAnsi="Playfair Display"/>
          <w:sz w:val="20"/>
          <w:szCs w:val="20"/>
        </w:rPr>
      </w:pPr>
      <w:r w:rsidDel="00000000" w:rsidR="00000000" w:rsidRPr="00000000">
        <w:rPr>
          <w:rtl w:val="0"/>
        </w:rPr>
      </w:r>
    </w:p>
    <w:p w:rsidR="00000000" w:rsidDel="00000000" w:rsidP="00000000" w:rsidRDefault="00000000" w:rsidRPr="00000000" w14:paraId="00000019">
      <w:pPr>
        <w:spacing w:line="360" w:lineRule="auto"/>
        <w:jc w:val="both"/>
        <w:rPr>
          <w:rFonts w:ascii="Playfair Display" w:cs="Playfair Display" w:eastAsia="Playfair Display" w:hAnsi="Playfair Display"/>
          <w:sz w:val="20"/>
          <w:szCs w:val="20"/>
        </w:rPr>
      </w:pPr>
      <w:r w:rsidDel="00000000" w:rsidR="00000000" w:rsidRPr="00000000">
        <w:rPr>
          <w:rFonts w:ascii="Playfair Display" w:cs="Playfair Display" w:eastAsia="Playfair Display" w:hAnsi="Playfair Display"/>
          <w:sz w:val="20"/>
          <w:szCs w:val="20"/>
          <w:rtl w:val="0"/>
        </w:rPr>
        <w:t xml:space="preserve">To advocate effectively we must recognise an individual's standing, history and experience. The value of which can be often lost within the framework of organisations that strive to professionalise and promote equal opportunity for young people. There is a constant battle between professionalisation and personalisation in the performance of advocacy. </w:t>
      </w:r>
    </w:p>
    <w:p w:rsidR="00000000" w:rsidDel="00000000" w:rsidP="00000000" w:rsidRDefault="00000000" w:rsidRPr="00000000" w14:paraId="0000001A">
      <w:pPr>
        <w:spacing w:line="360" w:lineRule="auto"/>
        <w:jc w:val="both"/>
        <w:rPr>
          <w:rFonts w:ascii="Playfair Display" w:cs="Playfair Display" w:eastAsia="Playfair Display" w:hAnsi="Playfair Display"/>
          <w:sz w:val="20"/>
          <w:szCs w:val="20"/>
        </w:rPr>
      </w:pPr>
      <w:r w:rsidDel="00000000" w:rsidR="00000000" w:rsidRPr="00000000">
        <w:rPr>
          <w:rtl w:val="0"/>
        </w:rPr>
      </w:r>
    </w:p>
    <w:p w:rsidR="00000000" w:rsidDel="00000000" w:rsidP="00000000" w:rsidRDefault="00000000" w:rsidRPr="00000000" w14:paraId="0000001B">
      <w:pPr>
        <w:spacing w:line="360" w:lineRule="auto"/>
        <w:jc w:val="both"/>
        <w:rPr>
          <w:rFonts w:ascii="Playfair Display" w:cs="Playfair Display" w:eastAsia="Playfair Display" w:hAnsi="Playfair Display"/>
          <w:sz w:val="20"/>
          <w:szCs w:val="20"/>
        </w:rPr>
      </w:pPr>
      <w:r w:rsidDel="00000000" w:rsidR="00000000" w:rsidRPr="00000000">
        <w:rPr>
          <w:rFonts w:ascii="Playfair Display" w:cs="Playfair Display" w:eastAsia="Playfair Display" w:hAnsi="Playfair Display"/>
          <w:sz w:val="20"/>
          <w:szCs w:val="20"/>
          <w:rtl w:val="0"/>
        </w:rPr>
        <w:t xml:space="preserve">“Advocates come from a diverse range of backgrounds but all have an incisive, intelligent interest in the law and a determined approach when it comes to assessing their client's position.” If anyone can advocate how can the practice and outcome be standardised, every advocate, each young person requires their unique definition. There are strong arguments for the professionalisation of advocacy to ensure all children have equal access to high-quality support and services, however, others have argued that the standardised approach to youth advocacy in recent years has had some negative consequences. “Professionalisation, in its push for accepted standards of practice, could eliminate styles of work which are effective but idiosyncratic and unorthodox.” (Sercombe, 2004). Furthermore, the efficacy of advocates is often limited within the practice where other authorities often hold sway and multiple agencies have their agenda. Similar to the advocacy of any group, for example domestic violence surviours, evidence attributes to value and value influences action </w:t>
      </w:r>
    </w:p>
    <w:p w:rsidR="00000000" w:rsidDel="00000000" w:rsidP="00000000" w:rsidRDefault="00000000" w:rsidRPr="00000000" w14:paraId="0000001C">
      <w:pPr>
        <w:spacing w:line="360" w:lineRule="auto"/>
        <w:jc w:val="both"/>
        <w:rPr>
          <w:rFonts w:ascii="Playfair Display" w:cs="Playfair Display" w:eastAsia="Playfair Display" w:hAnsi="Playfair Display"/>
          <w:sz w:val="20"/>
          <w:szCs w:val="20"/>
        </w:rPr>
      </w:pPr>
      <w:r w:rsidDel="00000000" w:rsidR="00000000" w:rsidRPr="00000000">
        <w:rPr>
          <w:rtl w:val="0"/>
        </w:rPr>
      </w:r>
    </w:p>
    <w:p w:rsidR="00000000" w:rsidDel="00000000" w:rsidP="00000000" w:rsidRDefault="00000000" w:rsidRPr="00000000" w14:paraId="0000001D">
      <w:pPr>
        <w:spacing w:line="360" w:lineRule="auto"/>
        <w:jc w:val="both"/>
        <w:rPr>
          <w:rFonts w:ascii="Playfair Display" w:cs="Playfair Display" w:eastAsia="Playfair Display" w:hAnsi="Playfair Display"/>
          <w:sz w:val="20"/>
          <w:szCs w:val="20"/>
        </w:rPr>
      </w:pPr>
      <w:r w:rsidDel="00000000" w:rsidR="00000000" w:rsidRPr="00000000">
        <w:rPr>
          <w:rFonts w:ascii="Playfair Display" w:cs="Playfair Display" w:eastAsia="Playfair Display" w:hAnsi="Playfair Display"/>
          <w:sz w:val="20"/>
          <w:szCs w:val="20"/>
          <w:rtl w:val="0"/>
        </w:rPr>
        <w:t xml:space="preserve">.Not everyone has the same access opportunities. For example victims of domestic violence; by limiting an individuals  ability ability to identify and leave difficult situations such as domestic violence. “When you have no access to money and other economic resources, the barriers to escaping domestic abuse can seem insurmountable.” (Women's Aid, 2019). The economics of abuse is a prime example of the transition between power and control. All due to the preexciped roles, values and positions of an individual in society as a reflection of their recognised identify. </w:t>
      </w:r>
    </w:p>
    <w:p w:rsidR="00000000" w:rsidDel="00000000" w:rsidP="00000000" w:rsidRDefault="00000000" w:rsidRPr="00000000" w14:paraId="0000001E">
      <w:pPr>
        <w:spacing w:line="360" w:lineRule="auto"/>
        <w:jc w:val="both"/>
        <w:rPr>
          <w:rFonts w:ascii="Playfair Display" w:cs="Playfair Display" w:eastAsia="Playfair Display" w:hAnsi="Playfair Display"/>
          <w:sz w:val="20"/>
          <w:szCs w:val="20"/>
        </w:rPr>
      </w:pPr>
      <w:r w:rsidDel="00000000" w:rsidR="00000000" w:rsidRPr="00000000">
        <w:rPr>
          <w:rtl w:val="0"/>
        </w:rPr>
      </w:r>
    </w:p>
    <w:p w:rsidR="00000000" w:rsidDel="00000000" w:rsidP="00000000" w:rsidRDefault="00000000" w:rsidRPr="00000000" w14:paraId="0000001F">
      <w:pPr>
        <w:spacing w:line="360" w:lineRule="auto"/>
        <w:jc w:val="both"/>
        <w:rPr>
          <w:rFonts w:ascii="Playfair Display" w:cs="Playfair Display" w:eastAsia="Playfair Display" w:hAnsi="Playfair Display"/>
          <w:color w:val="3f5351"/>
          <w:sz w:val="20"/>
          <w:szCs w:val="20"/>
          <w:highlight w:val="white"/>
        </w:rPr>
      </w:pPr>
      <w:r w:rsidDel="00000000" w:rsidR="00000000" w:rsidRPr="00000000">
        <w:rPr>
          <w:rFonts w:ascii="Playfair Display" w:cs="Playfair Display" w:eastAsia="Playfair Display" w:hAnsi="Playfair Display"/>
          <w:sz w:val="20"/>
          <w:szCs w:val="20"/>
          <w:rtl w:val="0"/>
        </w:rPr>
        <w:t xml:space="preserve">The social reproduction of inequality highlights the vulnerable position of young people in society as victims of experience typology that reproduces inequality through exercised roles within and outside of the system. Expectations and standard practice cannot be subject to change in such a manner if Advocacy is to be globally recognises and managed in a productive manner against other authrietiry figures, powers and funding bodies. Youth advocacy does not have the same stage nor practice to be defined as such, a scratch on the map of social justice and stability, </w:t>
      </w:r>
      <w:r w:rsidDel="00000000" w:rsidR="00000000" w:rsidRPr="00000000">
        <w:rPr>
          <w:rFonts w:ascii="Playfair Display" w:cs="Playfair Display" w:eastAsia="Playfair Display" w:hAnsi="Playfair Display"/>
          <w:color w:val="3f5351"/>
          <w:sz w:val="20"/>
          <w:szCs w:val="20"/>
          <w:highlight w:val="white"/>
          <w:rtl w:val="0"/>
        </w:rPr>
        <w:t xml:space="preserve">(Macartney and Ghertner, 2023).</w:t>
      </w:r>
    </w:p>
    <w:p w:rsidR="00000000" w:rsidDel="00000000" w:rsidP="00000000" w:rsidRDefault="00000000" w:rsidRPr="00000000" w14:paraId="00000020">
      <w:pPr>
        <w:spacing w:line="360" w:lineRule="auto"/>
        <w:jc w:val="both"/>
        <w:rPr>
          <w:rFonts w:ascii="Playfair Display" w:cs="Playfair Display" w:eastAsia="Playfair Display" w:hAnsi="Playfair Display"/>
          <w:sz w:val="20"/>
          <w:szCs w:val="20"/>
        </w:rPr>
      </w:pPr>
      <w:r w:rsidDel="00000000" w:rsidR="00000000" w:rsidRPr="00000000">
        <w:rPr>
          <w:rtl w:val="0"/>
        </w:rPr>
      </w:r>
    </w:p>
    <w:p w:rsidR="00000000" w:rsidDel="00000000" w:rsidP="00000000" w:rsidRDefault="00000000" w:rsidRPr="00000000" w14:paraId="00000021">
      <w:pPr>
        <w:spacing w:line="360" w:lineRule="auto"/>
        <w:jc w:val="both"/>
        <w:rPr>
          <w:rFonts w:ascii="Playfair Display" w:cs="Playfair Display" w:eastAsia="Playfair Display" w:hAnsi="Playfair Display"/>
          <w:sz w:val="20"/>
          <w:szCs w:val="20"/>
        </w:rPr>
      </w:pPr>
      <w:r w:rsidDel="00000000" w:rsidR="00000000" w:rsidRPr="00000000">
        <w:rPr>
          <w:rtl w:val="0"/>
        </w:rPr>
      </w:r>
    </w:p>
    <w:p w:rsidR="00000000" w:rsidDel="00000000" w:rsidP="00000000" w:rsidRDefault="00000000" w:rsidRPr="00000000" w14:paraId="00000022">
      <w:pPr>
        <w:spacing w:line="360" w:lineRule="auto"/>
        <w:jc w:val="both"/>
        <w:rPr>
          <w:rFonts w:ascii="Playfair Display" w:cs="Playfair Display" w:eastAsia="Playfair Display" w:hAnsi="Playfair Display"/>
          <w:sz w:val="20"/>
          <w:szCs w:val="20"/>
        </w:rPr>
      </w:pPr>
      <w:r w:rsidDel="00000000" w:rsidR="00000000" w:rsidRPr="00000000">
        <w:rPr>
          <w:rFonts w:ascii="Playfair Display" w:cs="Playfair Display" w:eastAsia="Playfair Display" w:hAnsi="Playfair Display"/>
          <w:sz w:val="20"/>
          <w:szCs w:val="20"/>
          <w:rtl w:val="0"/>
        </w:rPr>
        <w:t xml:space="preserve">Between the ascribed continents for areas of progression; for example American deporttion laws being at the forefront of national new in a country (Kerr, 2025) where over “606,000 children” (Bureau of Justice, 2021) as of 2021 are recognised under the care system. In comparison to the 2023 census which estimated over 48.2 million young people in the United States aged 14 to 24. This includes about 30.5 million young adults aged 18 to 24. (Department of Economics, 2023). In 2019, 49% of these ‘recognised’ children in the United States participated in a social safety net program(“How Many People Participate in the Social Safety Net? | ASPE”, 2023). Which is to suggest the intervention of youth advocacy programs is at an all time high, yet undervalued within social spheres to gain the trajectory necessary to make a difference, Gain funding and standardised practice there must be recognition. A mere 606,000 children are understood as a part of the social service system, designated to “help people meet their basic needs for health and welfare. “ (Bureau of Justice, 2021). </w:t>
      </w:r>
    </w:p>
    <w:p w:rsidR="00000000" w:rsidDel="00000000" w:rsidP="00000000" w:rsidRDefault="00000000" w:rsidRPr="00000000" w14:paraId="00000023">
      <w:pPr>
        <w:spacing w:line="360" w:lineRule="auto"/>
        <w:jc w:val="both"/>
        <w:rPr>
          <w:rFonts w:ascii="Playfair Display" w:cs="Playfair Display" w:eastAsia="Playfair Display" w:hAnsi="Playfair Display"/>
          <w:sz w:val="20"/>
          <w:szCs w:val="20"/>
        </w:rPr>
      </w:pPr>
      <w:r w:rsidDel="00000000" w:rsidR="00000000" w:rsidRPr="00000000">
        <w:rPr>
          <w:rtl w:val="0"/>
        </w:rPr>
      </w:r>
    </w:p>
    <w:p w:rsidR="00000000" w:rsidDel="00000000" w:rsidP="00000000" w:rsidRDefault="00000000" w:rsidRPr="00000000" w14:paraId="00000024">
      <w:pPr>
        <w:spacing w:line="360" w:lineRule="auto"/>
        <w:jc w:val="both"/>
        <w:rPr>
          <w:rFonts w:ascii="Playfair Display" w:cs="Playfair Display" w:eastAsia="Playfair Display" w:hAnsi="Playfair Display"/>
          <w:sz w:val="20"/>
          <w:szCs w:val="20"/>
        </w:rPr>
      </w:pPr>
      <w:r w:rsidDel="00000000" w:rsidR="00000000" w:rsidRPr="00000000">
        <w:rPr>
          <w:rFonts w:ascii="Playfair Display" w:cs="Playfair Display" w:eastAsia="Playfair Display" w:hAnsi="Playfair Display"/>
          <w:sz w:val="20"/>
          <w:szCs w:val="20"/>
          <w:rtl w:val="0"/>
        </w:rPr>
        <w:t xml:space="preserve">The publication and social recognition of  the importance of youth advocacy is necessary in the progression of the professionalisation of Avocaty, providing managers with a platform for change. </w:t>
      </w:r>
    </w:p>
    <w:p w:rsidR="00000000" w:rsidDel="00000000" w:rsidP="00000000" w:rsidRDefault="00000000" w:rsidRPr="00000000" w14:paraId="00000025">
      <w:pPr>
        <w:spacing w:line="360" w:lineRule="auto"/>
        <w:jc w:val="both"/>
        <w:rPr>
          <w:rFonts w:ascii="Playfair Display" w:cs="Playfair Display" w:eastAsia="Playfair Display" w:hAnsi="Playfair Display"/>
          <w:sz w:val="20"/>
          <w:szCs w:val="20"/>
        </w:rPr>
      </w:pPr>
      <w:r w:rsidDel="00000000" w:rsidR="00000000" w:rsidRPr="00000000">
        <w:rPr>
          <w:rFonts w:ascii="Playfair Display" w:cs="Playfair Display" w:eastAsia="Playfair Display" w:hAnsi="Playfair Display"/>
          <w:sz w:val="20"/>
          <w:szCs w:val="20"/>
          <w:rtl w:val="0"/>
        </w:rPr>
        <w:t xml:space="preserve">However in comparison to the US where an individual is ‘relased’ from the care of social services at eighteen; the UK allowed intervention for an extended period of time at the discretion of advocacy organisations. “In the UK social care system, a person typically ‘leaves care’ when they turn 18 years old, although local authorities must provide support until at least age 25 for those leaving the care system; this means they are no longer considered to be under the direct supervision of social care services after 18, but can still access support for transitioning into independent living. (UK.GOV, 2023). Even between to globally recognised nations of power, these is a level of indifference when referring to youth advocacy and social services which limits the scope of influence positive change may have. </w:t>
      </w:r>
    </w:p>
    <w:p w:rsidR="00000000" w:rsidDel="00000000" w:rsidP="00000000" w:rsidRDefault="00000000" w:rsidRPr="00000000" w14:paraId="00000026">
      <w:pPr>
        <w:spacing w:line="360" w:lineRule="auto"/>
        <w:jc w:val="both"/>
        <w:rPr>
          <w:rFonts w:ascii="Playfair Display" w:cs="Playfair Display" w:eastAsia="Playfair Display" w:hAnsi="Playfair Display"/>
          <w:sz w:val="20"/>
          <w:szCs w:val="20"/>
        </w:rPr>
      </w:pPr>
      <w:r w:rsidDel="00000000" w:rsidR="00000000" w:rsidRPr="00000000">
        <w:rPr>
          <w:rtl w:val="0"/>
        </w:rPr>
      </w:r>
    </w:p>
    <w:p w:rsidR="00000000" w:rsidDel="00000000" w:rsidP="00000000" w:rsidRDefault="00000000" w:rsidRPr="00000000" w14:paraId="00000027">
      <w:pPr>
        <w:spacing w:line="360" w:lineRule="auto"/>
        <w:jc w:val="both"/>
        <w:rPr>
          <w:rFonts w:ascii="Playfair Display" w:cs="Playfair Display" w:eastAsia="Playfair Display" w:hAnsi="Playfair Display"/>
          <w:sz w:val="20"/>
          <w:szCs w:val="20"/>
        </w:rPr>
      </w:pPr>
      <w:r w:rsidDel="00000000" w:rsidR="00000000" w:rsidRPr="00000000">
        <w:rPr>
          <w:rFonts w:ascii="Playfair Display" w:cs="Playfair Display" w:eastAsia="Playfair Display" w:hAnsi="Playfair Display"/>
          <w:sz w:val="20"/>
          <w:szCs w:val="20"/>
          <w:rtl w:val="0"/>
        </w:rPr>
        <w:t xml:space="preserve">Advocacy services support young people in several ways and a range of spheres such as mental health, financial wellness, crime and independence. Professional advocates support young people alongside a multitude of external authority structures such as the UK’s disclosure and barring service,  courts, social services as well as regulatory frameworks within a fragmented childcare industry.  (Mind, 2024). There is an ambiguous definition of advocate authority.</w:t>
      </w:r>
    </w:p>
    <w:p w:rsidR="00000000" w:rsidDel="00000000" w:rsidP="00000000" w:rsidRDefault="00000000" w:rsidRPr="00000000" w14:paraId="00000028">
      <w:pPr>
        <w:spacing w:line="360" w:lineRule="auto"/>
        <w:jc w:val="both"/>
        <w:rPr>
          <w:rFonts w:ascii="Playfair Display" w:cs="Playfair Display" w:eastAsia="Playfair Display" w:hAnsi="Playfair Display"/>
          <w:sz w:val="20"/>
          <w:szCs w:val="20"/>
        </w:rPr>
      </w:pPr>
      <w:r w:rsidDel="00000000" w:rsidR="00000000" w:rsidRPr="00000000">
        <w:rPr>
          <w:rtl w:val="0"/>
        </w:rPr>
      </w:r>
    </w:p>
    <w:p w:rsidR="00000000" w:rsidDel="00000000" w:rsidP="00000000" w:rsidRDefault="00000000" w:rsidRPr="00000000" w14:paraId="00000029">
      <w:pPr>
        <w:spacing w:line="360" w:lineRule="auto"/>
        <w:jc w:val="both"/>
        <w:rPr>
          <w:rFonts w:ascii="Playfair Display" w:cs="Playfair Display" w:eastAsia="Playfair Display" w:hAnsi="Playfair Display"/>
          <w:sz w:val="20"/>
          <w:szCs w:val="20"/>
        </w:rPr>
      </w:pPr>
      <w:r w:rsidDel="00000000" w:rsidR="00000000" w:rsidRPr="00000000">
        <w:rPr>
          <w:rFonts w:ascii="Playfair Display" w:cs="Playfair Display" w:eastAsia="Playfair Display" w:hAnsi="Playfair Display"/>
          <w:sz w:val="20"/>
          <w:szCs w:val="20"/>
          <w:rtl w:val="0"/>
        </w:rPr>
        <w:t xml:space="preserve">Professionalisation in itself is an instructed practice “Professionalisation is defined as "The action or process of giving an occupation, activity, or group professional qualities, typically by increasing training or raising required qualifications.” (PtD, 2024).</w:t>
      </w:r>
    </w:p>
    <w:p w:rsidR="00000000" w:rsidDel="00000000" w:rsidP="00000000" w:rsidRDefault="00000000" w:rsidRPr="00000000" w14:paraId="0000002A">
      <w:pPr>
        <w:spacing w:line="360" w:lineRule="auto"/>
        <w:jc w:val="both"/>
        <w:rPr>
          <w:rFonts w:ascii="Playfair Display" w:cs="Playfair Display" w:eastAsia="Playfair Display" w:hAnsi="Playfair Display"/>
          <w:sz w:val="20"/>
          <w:szCs w:val="20"/>
        </w:rPr>
      </w:pPr>
      <w:r w:rsidDel="00000000" w:rsidR="00000000" w:rsidRPr="00000000">
        <w:rPr>
          <w:rFonts w:ascii="Playfair Display" w:cs="Playfair Display" w:eastAsia="Playfair Display" w:hAnsi="Playfair Display"/>
          <w:sz w:val="20"/>
          <w:szCs w:val="20"/>
          <w:rtl w:val="0"/>
        </w:rPr>
        <w:t xml:space="preserve">There are no specific qualifications or rules to the role of an advocate nor advocacy manager. However in recent years there has been in incline in advocacy based training. As stipulated in the city and guilds, there are now “qualifications specifically designed to support the role of the Independent Advocate” (City and Guilds, 2023). These were introduced in 2023 a mere thirty four years following the Children's act of 1989. </w:t>
      </w:r>
    </w:p>
    <w:p w:rsidR="00000000" w:rsidDel="00000000" w:rsidP="00000000" w:rsidRDefault="00000000" w:rsidRPr="00000000" w14:paraId="0000002B">
      <w:pPr>
        <w:spacing w:line="360" w:lineRule="auto"/>
        <w:jc w:val="both"/>
        <w:rPr>
          <w:rFonts w:ascii="Playfair Display" w:cs="Playfair Display" w:eastAsia="Playfair Display" w:hAnsi="Playfair Display"/>
          <w:sz w:val="20"/>
          <w:szCs w:val="20"/>
        </w:rPr>
      </w:pPr>
      <w:r w:rsidDel="00000000" w:rsidR="00000000" w:rsidRPr="00000000">
        <w:rPr>
          <w:rtl w:val="0"/>
        </w:rPr>
      </w:r>
    </w:p>
    <w:p w:rsidR="00000000" w:rsidDel="00000000" w:rsidP="00000000" w:rsidRDefault="00000000" w:rsidRPr="00000000" w14:paraId="0000002C">
      <w:pPr>
        <w:spacing w:line="360" w:lineRule="auto"/>
        <w:jc w:val="both"/>
        <w:rPr>
          <w:rFonts w:ascii="Playfair Display" w:cs="Playfair Display" w:eastAsia="Playfair Display" w:hAnsi="Playfair Display"/>
          <w:sz w:val="20"/>
          <w:szCs w:val="20"/>
        </w:rPr>
      </w:pPr>
      <w:r w:rsidDel="00000000" w:rsidR="00000000" w:rsidRPr="00000000">
        <w:rPr>
          <w:rFonts w:ascii="Playfair Display" w:cs="Playfair Display" w:eastAsia="Playfair Display" w:hAnsi="Playfair Display"/>
          <w:sz w:val="20"/>
          <w:szCs w:val="20"/>
          <w:rtl w:val="0"/>
        </w:rPr>
        <w:t xml:space="preserve">Regardless of age, sex, occupation or background the presence of advocacy is gradually becoming a prerequisite. “Appropriate recognition and action are critical, yet there may be a sense that the responsibility to respond rests mainly with local child welfare and law enforcement agencies that hold the mandate to investigate, leaving the clinician in an ancillary role.”(Shaffer </w:t>
      </w:r>
      <w:r w:rsidDel="00000000" w:rsidR="00000000" w:rsidRPr="00000000">
        <w:rPr>
          <w:rFonts w:ascii="Playfair Display" w:cs="Playfair Display" w:eastAsia="Playfair Display" w:hAnsi="Playfair Display"/>
          <w:i w:val="1"/>
          <w:sz w:val="20"/>
          <w:szCs w:val="20"/>
          <w:rtl w:val="0"/>
        </w:rPr>
        <w:t xml:space="preserve">et al.</w:t>
      </w:r>
      <w:r w:rsidDel="00000000" w:rsidR="00000000" w:rsidRPr="00000000">
        <w:rPr>
          <w:rFonts w:ascii="Playfair Display" w:cs="Playfair Display" w:eastAsia="Playfair Display" w:hAnsi="Playfair Display"/>
          <w:sz w:val="20"/>
          <w:szCs w:val="20"/>
          <w:rtl w:val="0"/>
        </w:rPr>
        <w:t xml:space="preserve">, 2018). Especially for those within the care system. Young people familiar with the social care system face many challenges as a result that are in addition to the narrative that is branded to them. “a silent and invisible issue, childhood trauma is pervasive, and has profound individual, societal and economic impacts” (Shaffer </w:t>
      </w:r>
      <w:r w:rsidDel="00000000" w:rsidR="00000000" w:rsidRPr="00000000">
        <w:rPr>
          <w:rFonts w:ascii="Playfair Display" w:cs="Playfair Display" w:eastAsia="Playfair Display" w:hAnsi="Playfair Display"/>
          <w:i w:val="1"/>
          <w:sz w:val="20"/>
          <w:szCs w:val="20"/>
          <w:rtl w:val="0"/>
        </w:rPr>
        <w:t xml:space="preserve">et al.</w:t>
      </w:r>
      <w:r w:rsidDel="00000000" w:rsidR="00000000" w:rsidRPr="00000000">
        <w:rPr>
          <w:rFonts w:ascii="Playfair Display" w:cs="Playfair Display" w:eastAsia="Playfair Display" w:hAnsi="Playfair Display"/>
          <w:sz w:val="20"/>
          <w:szCs w:val="20"/>
          <w:rtl w:val="0"/>
        </w:rPr>
        <w:t xml:space="preserve">, 2018). This includes issues of retaining independence, financial stability and emotional freedom.</w:t>
      </w:r>
    </w:p>
    <w:p w:rsidR="00000000" w:rsidDel="00000000" w:rsidP="00000000" w:rsidRDefault="00000000" w:rsidRPr="00000000" w14:paraId="0000002D">
      <w:pPr>
        <w:spacing w:line="360" w:lineRule="auto"/>
        <w:jc w:val="both"/>
        <w:rPr>
          <w:rFonts w:ascii="Playfair Display" w:cs="Playfair Display" w:eastAsia="Playfair Display" w:hAnsi="Playfair Display"/>
          <w:sz w:val="20"/>
          <w:szCs w:val="20"/>
        </w:rPr>
      </w:pPr>
      <w:r w:rsidDel="00000000" w:rsidR="00000000" w:rsidRPr="00000000">
        <w:rPr>
          <w:rtl w:val="0"/>
        </w:rPr>
      </w:r>
    </w:p>
    <w:p w:rsidR="00000000" w:rsidDel="00000000" w:rsidP="00000000" w:rsidRDefault="00000000" w:rsidRPr="00000000" w14:paraId="0000002E">
      <w:pPr>
        <w:spacing w:line="360" w:lineRule="auto"/>
        <w:jc w:val="both"/>
        <w:rPr>
          <w:rFonts w:ascii="Playfair Display" w:cs="Playfair Display" w:eastAsia="Playfair Display" w:hAnsi="Playfair Display"/>
          <w:sz w:val="20"/>
          <w:szCs w:val="20"/>
        </w:rPr>
      </w:pPr>
      <w:r w:rsidDel="00000000" w:rsidR="00000000" w:rsidRPr="00000000">
        <w:rPr>
          <w:rFonts w:ascii="Playfair Display" w:cs="Playfair Display" w:eastAsia="Playfair Display" w:hAnsi="Playfair Display"/>
          <w:sz w:val="20"/>
          <w:szCs w:val="20"/>
          <w:rtl w:val="0"/>
        </w:rPr>
        <w:t xml:space="preserve"> Mental health charity ‘Mind’ recognises advocacy as a “means getting support from another person to help you express your views and wishes. And to help you stand up for your rights. Someone who helps you in this way is called your advocate.“(Mind, 2024), These patterns of unclear thought between agencies are imprinted within the systems which rely on advocacy the most (Atkinson, 1999). There is no clear boundary of a description of an advocate outside of an individual's promise to uphold the views and wishes of another regardless of their own. How is one to define, manage and enforce an expectation or standard practice for such an open relationship between advocate and client? “In some jurisdictions, the model of service delivery is referred to as a Child Advocacy Centre (CAC), while in other locations the terminology is a Child &amp; Youth Advocacy Centre (CYAC). For this website, when referring to Canadian models, CYAC includes both terms” (BCCYAC, 2025).</w:t>
      </w:r>
    </w:p>
    <w:p w:rsidR="00000000" w:rsidDel="00000000" w:rsidP="00000000" w:rsidRDefault="00000000" w:rsidRPr="00000000" w14:paraId="0000002F">
      <w:pPr>
        <w:spacing w:line="360" w:lineRule="auto"/>
        <w:jc w:val="both"/>
        <w:rPr>
          <w:rFonts w:ascii="Playfair Display" w:cs="Playfair Display" w:eastAsia="Playfair Display" w:hAnsi="Playfair Display"/>
          <w:sz w:val="20"/>
          <w:szCs w:val="20"/>
        </w:rPr>
      </w:pPr>
      <w:r w:rsidDel="00000000" w:rsidR="00000000" w:rsidRPr="00000000">
        <w:rPr>
          <w:rtl w:val="0"/>
        </w:rPr>
      </w:r>
    </w:p>
    <w:p w:rsidR="00000000" w:rsidDel="00000000" w:rsidP="00000000" w:rsidRDefault="00000000" w:rsidRPr="00000000" w14:paraId="00000030">
      <w:pPr>
        <w:spacing w:line="360" w:lineRule="auto"/>
        <w:jc w:val="both"/>
        <w:rPr>
          <w:rFonts w:ascii="Playfair Display" w:cs="Playfair Display" w:eastAsia="Playfair Display" w:hAnsi="Playfair Display"/>
          <w:sz w:val="20"/>
          <w:szCs w:val="20"/>
        </w:rPr>
      </w:pPr>
      <w:r w:rsidDel="00000000" w:rsidR="00000000" w:rsidRPr="00000000">
        <w:rPr>
          <w:rFonts w:ascii="Playfair Display" w:cs="Playfair Display" w:eastAsia="Playfair Display" w:hAnsi="Playfair Display"/>
          <w:sz w:val="20"/>
          <w:szCs w:val="20"/>
          <w:rtl w:val="0"/>
        </w:rPr>
        <w:t xml:space="preserve">The measure of human compassion therefore cannot be standardised and thus advocacy must limit its spectrum of influence within other societal infrastructure. For example, union representation, an arguable domino effect of the practice of advocacy however creates an essence of solidarity. This is to argue that the position of advocates especially within the care system is built upon an expectation of human good. Advocacy is “multifaceted, requiring the intersecting involvement of child welfare, law enforcement, medical care, mental health services and victim support (</w:t>
      </w:r>
      <w:r w:rsidDel="00000000" w:rsidR="00000000" w:rsidRPr="00000000">
        <w:rPr>
          <w:rFonts w:ascii="Playfair Display" w:cs="Playfair Display" w:eastAsia="Playfair Display" w:hAnsi="Playfair Display"/>
          <w:color w:val="3f5351"/>
          <w:sz w:val="20"/>
          <w:szCs w:val="20"/>
          <w:highlight w:val="white"/>
          <w:rtl w:val="0"/>
        </w:rPr>
        <w:t xml:space="preserve">Dalrymple, 20024).</w:t>
      </w:r>
      <w:r w:rsidDel="00000000" w:rsidR="00000000" w:rsidRPr="00000000">
        <w:rPr>
          <w:rFonts w:ascii="Playfair Display" w:cs="Playfair Display" w:eastAsia="Playfair Display" w:hAnsi="Playfair Display"/>
          <w:sz w:val="20"/>
          <w:szCs w:val="20"/>
          <w:rtl w:val="0"/>
        </w:rPr>
        <w:t xml:space="preserve"> </w:t>
      </w:r>
      <w:r w:rsidDel="00000000" w:rsidR="00000000" w:rsidRPr="00000000">
        <w:rPr>
          <w:rFonts w:ascii="Playfair Display" w:cs="Playfair Display" w:eastAsia="Playfair Display" w:hAnsi="Playfair Display"/>
          <w:sz w:val="20"/>
          <w:szCs w:val="20"/>
          <w:rtl w:val="0"/>
        </w:rPr>
        <w:t xml:space="preserve">These agencies all have separate mandates that address specific aspects of an overall case, but often have overlap in the information they require, their level of involvement” (Shaffer </w:t>
      </w:r>
      <w:r w:rsidDel="00000000" w:rsidR="00000000" w:rsidRPr="00000000">
        <w:rPr>
          <w:rFonts w:ascii="Playfair Display" w:cs="Playfair Display" w:eastAsia="Playfair Display" w:hAnsi="Playfair Display"/>
          <w:i w:val="1"/>
          <w:sz w:val="20"/>
          <w:szCs w:val="20"/>
          <w:rtl w:val="0"/>
        </w:rPr>
        <w:t xml:space="preserve">et al.</w:t>
      </w:r>
      <w:r w:rsidDel="00000000" w:rsidR="00000000" w:rsidRPr="00000000">
        <w:rPr>
          <w:rFonts w:ascii="Playfair Display" w:cs="Playfair Display" w:eastAsia="Playfair Display" w:hAnsi="Playfair Display"/>
          <w:sz w:val="20"/>
          <w:szCs w:val="20"/>
          <w:rtl w:val="0"/>
        </w:rPr>
        <w:t xml:space="preserve">, 2018). To create an effective narrative of advocacy there must be a spectrum of value, who is deemed important enough to represent, who has suffered more, who is vulnerable under the view of a fixed system. For advocacy to be professionalised there must be a fall out of young people that do not meet the parameters set out for true, organised, formal and inclusive advocacy with the ability to enable change. As previously stated the children’s act may have mandated power to local authorities yet there is a duty of care to all young people, regardless of met requirements and this advocacy loses standing in many professional sectors due to a lack of recognised power, (Atkinson, 1999). </w:t>
      </w:r>
    </w:p>
    <w:p w:rsidR="00000000" w:rsidDel="00000000" w:rsidP="00000000" w:rsidRDefault="00000000" w:rsidRPr="00000000" w14:paraId="00000031">
      <w:pPr>
        <w:spacing w:line="360" w:lineRule="auto"/>
        <w:jc w:val="both"/>
        <w:rPr>
          <w:rFonts w:ascii="Playfair Display" w:cs="Playfair Display" w:eastAsia="Playfair Display" w:hAnsi="Playfair Display"/>
          <w:sz w:val="20"/>
          <w:szCs w:val="20"/>
        </w:rPr>
      </w:pPr>
      <w:r w:rsidDel="00000000" w:rsidR="00000000" w:rsidRPr="00000000">
        <w:rPr>
          <w:rtl w:val="0"/>
        </w:rPr>
      </w:r>
    </w:p>
    <w:p w:rsidR="00000000" w:rsidDel="00000000" w:rsidP="00000000" w:rsidRDefault="00000000" w:rsidRPr="00000000" w14:paraId="00000032">
      <w:pPr>
        <w:spacing w:line="360" w:lineRule="auto"/>
        <w:jc w:val="both"/>
        <w:rPr>
          <w:rFonts w:ascii="Playfair Display" w:cs="Playfair Display" w:eastAsia="Playfair Display" w:hAnsi="Playfair Display"/>
          <w:sz w:val="20"/>
          <w:szCs w:val="20"/>
        </w:rPr>
      </w:pPr>
      <w:r w:rsidDel="00000000" w:rsidR="00000000" w:rsidRPr="00000000">
        <w:rPr>
          <w:rFonts w:ascii="Playfair Display" w:cs="Playfair Display" w:eastAsia="Playfair Display" w:hAnsi="Playfair Display"/>
          <w:sz w:val="20"/>
          <w:szCs w:val="20"/>
          <w:rtl w:val="0"/>
        </w:rPr>
        <w:t xml:space="preserve">Anyone can advocate, just as anyone may need a voice to project their own. However to serve these individuals in a publicly recognised and authoritative manner is to accept a system which labels and subsequently misses victims within the system. Just as Emile Durkheim, a French sociologist, laid the foundation for labeling theory in his work, which argued that crime is a social reaction, not just a violation of the law (Labeling theory | Concepts, Theories, &amp; Criticism | Britannica”, 2025.). Who is to say a young person's needs are not reflective of a system which limits them and advocates that are bound to professional practice and therefore cannot effectively evoke for them? (</w:t>
      </w:r>
      <w:r w:rsidDel="00000000" w:rsidR="00000000" w:rsidRPr="00000000">
        <w:rPr>
          <w:rFonts w:ascii="Playfair Display" w:cs="Playfair Display" w:eastAsia="Playfair Display" w:hAnsi="Playfair Display"/>
          <w:color w:val="3f5351"/>
          <w:sz w:val="20"/>
          <w:szCs w:val="20"/>
          <w:highlight w:val="white"/>
          <w:rtl w:val="0"/>
        </w:rPr>
        <w:t xml:space="preserve">Beauchamp, 2024). </w:t>
      </w:r>
      <w:r w:rsidDel="00000000" w:rsidR="00000000" w:rsidRPr="00000000">
        <w:rPr>
          <w:rFonts w:ascii="Playfair Display" w:cs="Playfair Display" w:eastAsia="Playfair Display" w:hAnsi="Playfair Display"/>
          <w:sz w:val="20"/>
          <w:szCs w:val="20"/>
          <w:rtl w:val="0"/>
        </w:rPr>
        <w:t xml:space="preserve">No one manager or organisation should be given the autonomy to make these decisions; it is a global responsibility to enact such social law, one which unfortunately appears decades away. If advocates require speakers themselves in the profession of a ‘manager’ who advocates for them? If not a system built to oppress the voices which do not suit their predetermined judgments and plans, (</w:t>
      </w:r>
      <w:r w:rsidDel="00000000" w:rsidR="00000000" w:rsidRPr="00000000">
        <w:rPr>
          <w:rFonts w:ascii="Playfair Display" w:cs="Playfair Display" w:eastAsia="Playfair Display" w:hAnsi="Playfair Display"/>
          <w:color w:val="3f5351"/>
          <w:sz w:val="20"/>
          <w:szCs w:val="20"/>
          <w:highlight w:val="white"/>
          <w:rtl w:val="0"/>
        </w:rPr>
        <w:t xml:space="preserve">Dalrymple, 2004). </w:t>
      </w:r>
      <w:r w:rsidDel="00000000" w:rsidR="00000000" w:rsidRPr="00000000">
        <w:rPr>
          <w:rtl w:val="0"/>
        </w:rPr>
      </w:r>
    </w:p>
    <w:p w:rsidR="00000000" w:rsidDel="00000000" w:rsidP="00000000" w:rsidRDefault="00000000" w:rsidRPr="00000000" w14:paraId="00000033">
      <w:pPr>
        <w:spacing w:line="360" w:lineRule="auto"/>
        <w:jc w:val="both"/>
        <w:rPr>
          <w:rFonts w:ascii="Playfair Display" w:cs="Playfair Display" w:eastAsia="Playfair Display" w:hAnsi="Playfair Display"/>
          <w:sz w:val="20"/>
          <w:szCs w:val="20"/>
        </w:rPr>
      </w:pPr>
      <w:r w:rsidDel="00000000" w:rsidR="00000000" w:rsidRPr="00000000">
        <w:rPr>
          <w:rtl w:val="0"/>
        </w:rPr>
      </w:r>
    </w:p>
    <w:p w:rsidR="00000000" w:rsidDel="00000000" w:rsidP="00000000" w:rsidRDefault="00000000" w:rsidRPr="00000000" w14:paraId="00000034">
      <w:pPr>
        <w:spacing w:line="360" w:lineRule="auto"/>
        <w:jc w:val="both"/>
        <w:rPr>
          <w:rFonts w:ascii="Playfair Display" w:cs="Playfair Display" w:eastAsia="Playfair Display" w:hAnsi="Playfair Display"/>
          <w:sz w:val="20"/>
          <w:szCs w:val="20"/>
        </w:rPr>
      </w:pPr>
      <w:r w:rsidDel="00000000" w:rsidR="00000000" w:rsidRPr="00000000">
        <w:rPr>
          <w:rFonts w:ascii="Playfair Display" w:cs="Playfair Display" w:eastAsia="Playfair Display" w:hAnsi="Playfair Display"/>
          <w:sz w:val="20"/>
          <w:szCs w:val="20"/>
          <w:rtl w:val="0"/>
        </w:rPr>
        <w:t xml:space="preserve">It is these indiscretions that place advocacy managers in a unique position. Who is worthy of support and who does not meet the criteria. (</w:t>
      </w:r>
      <w:r w:rsidDel="00000000" w:rsidR="00000000" w:rsidRPr="00000000">
        <w:rPr>
          <w:rFonts w:ascii="Playfair Display" w:cs="Playfair Display" w:eastAsia="Playfair Display" w:hAnsi="Playfair Display"/>
          <w:color w:val="3f5351"/>
          <w:sz w:val="20"/>
          <w:szCs w:val="20"/>
          <w:highlight w:val="white"/>
          <w:rtl w:val="0"/>
        </w:rPr>
        <w:t xml:space="preserve">Hickie, Et Al, 2019). </w:t>
      </w:r>
      <w:r w:rsidDel="00000000" w:rsidR="00000000" w:rsidRPr="00000000">
        <w:rPr>
          <w:rtl w:val="0"/>
        </w:rPr>
      </w:r>
    </w:p>
    <w:p w:rsidR="00000000" w:rsidDel="00000000" w:rsidP="00000000" w:rsidRDefault="00000000" w:rsidRPr="00000000" w14:paraId="00000035">
      <w:pPr>
        <w:spacing w:line="360" w:lineRule="auto"/>
        <w:jc w:val="both"/>
        <w:rPr>
          <w:rFonts w:ascii="Playfair Display" w:cs="Playfair Display" w:eastAsia="Playfair Display" w:hAnsi="Playfair Display"/>
          <w:sz w:val="20"/>
          <w:szCs w:val="20"/>
        </w:rPr>
      </w:pPr>
      <w:r w:rsidDel="00000000" w:rsidR="00000000" w:rsidRPr="00000000">
        <w:rPr>
          <w:rtl w:val="0"/>
        </w:rPr>
      </w:r>
    </w:p>
    <w:p w:rsidR="00000000" w:rsidDel="00000000" w:rsidP="00000000" w:rsidRDefault="00000000" w:rsidRPr="00000000" w14:paraId="00000036">
      <w:pPr>
        <w:spacing w:line="360" w:lineRule="auto"/>
        <w:jc w:val="both"/>
        <w:rPr>
          <w:rFonts w:ascii="Playfair Display" w:cs="Playfair Display" w:eastAsia="Playfair Display" w:hAnsi="Playfair Display"/>
          <w:sz w:val="20"/>
          <w:szCs w:val="20"/>
        </w:rPr>
      </w:pPr>
      <w:r w:rsidDel="00000000" w:rsidR="00000000" w:rsidRPr="00000000">
        <w:rPr>
          <w:rFonts w:ascii="Playfair Display" w:cs="Playfair Display" w:eastAsia="Playfair Display" w:hAnsi="Playfair Display"/>
          <w:sz w:val="20"/>
          <w:szCs w:val="20"/>
          <w:rtl w:val="0"/>
        </w:rPr>
        <w:t xml:space="preserve">In conclusion, it is the vast spectrum of people regardless of age, sex, gender and background which require advocacy that in itself destabilised its ability to aid. Outdated legislation is the backbone of youth advocacy, cemented so deep within the social justice system that progress is minimised by barriers of an already overworked, underfunded, regressing authority system and global audience, </w:t>
      </w:r>
      <w:r w:rsidDel="00000000" w:rsidR="00000000" w:rsidRPr="00000000">
        <w:rPr>
          <w:rFonts w:ascii="Playfair Display" w:cs="Playfair Display" w:eastAsia="Playfair Display" w:hAnsi="Playfair Display"/>
          <w:color w:val="3f5351"/>
          <w:sz w:val="20"/>
          <w:szCs w:val="20"/>
          <w:highlight w:val="white"/>
          <w:rtl w:val="0"/>
        </w:rPr>
        <w:t xml:space="preserve">(Macartney and Ghertner, 2023).</w:t>
      </w:r>
      <w:r w:rsidDel="00000000" w:rsidR="00000000" w:rsidRPr="00000000">
        <w:rPr>
          <w:rFonts w:ascii="Playfair Display" w:cs="Playfair Display" w:eastAsia="Playfair Display" w:hAnsi="Playfair Display"/>
          <w:sz w:val="20"/>
          <w:szCs w:val="20"/>
          <w:rtl w:val="0"/>
        </w:rPr>
        <w:t xml:space="preserve"> For a young person to effectively address their own needs and aspirations they must be given the chance to build a report/relationship which enables them. These relationships are becoming increasingly harder to achieve and maintain due to an overworked system. Even in the accounts where professionalisation could benefit a system it must first recognise a criteria that is near on importance to identify within a flood of specialised cases and a lack of global publocation. For a manager to properly navigate the professionalisation of advocacy would be to change the face, the definition and scope of their role. Limiting one path of action in order to promote and protect another. The professionalistion of advocacy is not impossible however it is under defined and lacking in social value to have any real pull within the current social climate.</w:t>
      </w:r>
    </w:p>
    <w:p w:rsidR="00000000" w:rsidDel="00000000" w:rsidP="00000000" w:rsidRDefault="00000000" w:rsidRPr="00000000" w14:paraId="00000037">
      <w:pPr>
        <w:spacing w:line="360" w:lineRule="auto"/>
        <w:jc w:val="both"/>
        <w:rPr>
          <w:rFonts w:ascii="Playfair Display" w:cs="Playfair Display" w:eastAsia="Playfair Display" w:hAnsi="Playfair Display"/>
          <w:sz w:val="20"/>
          <w:szCs w:val="20"/>
        </w:rPr>
      </w:pPr>
      <w:r w:rsidDel="00000000" w:rsidR="00000000" w:rsidRPr="00000000">
        <w:rPr>
          <w:rtl w:val="0"/>
        </w:rPr>
      </w:r>
    </w:p>
    <w:p w:rsidR="00000000" w:rsidDel="00000000" w:rsidP="00000000" w:rsidRDefault="00000000" w:rsidRPr="00000000" w14:paraId="00000038">
      <w:pPr>
        <w:spacing w:line="360" w:lineRule="auto"/>
        <w:jc w:val="both"/>
        <w:rPr>
          <w:rFonts w:ascii="Playfair Display" w:cs="Playfair Display" w:eastAsia="Playfair Display" w:hAnsi="Playfair Display"/>
          <w:sz w:val="24"/>
          <w:szCs w:val="24"/>
        </w:rPr>
      </w:pPr>
      <w:r w:rsidDel="00000000" w:rsidR="00000000" w:rsidRPr="00000000">
        <w:rPr>
          <w:rFonts w:ascii="Playfair Display" w:cs="Playfair Display" w:eastAsia="Playfair Display" w:hAnsi="Playfair Display"/>
          <w:sz w:val="24"/>
          <w:szCs w:val="24"/>
          <w:rtl w:val="0"/>
        </w:rPr>
        <w:t xml:space="preserve">Jasmine Williams </w:t>
      </w:r>
    </w:p>
    <w:p w:rsidR="00000000" w:rsidDel="00000000" w:rsidP="00000000" w:rsidRDefault="00000000" w:rsidRPr="00000000" w14:paraId="00000039">
      <w:pPr>
        <w:spacing w:line="360" w:lineRule="auto"/>
        <w:jc w:val="both"/>
        <w:rPr>
          <w:rFonts w:ascii="Playfair Display" w:cs="Playfair Display" w:eastAsia="Playfair Display" w:hAnsi="Playfair Display"/>
          <w:sz w:val="20"/>
          <w:szCs w:val="20"/>
        </w:rPr>
      </w:pPr>
      <w:r w:rsidDel="00000000" w:rsidR="00000000" w:rsidRPr="00000000">
        <w:rPr>
          <w:rFonts w:ascii="Playfair Display" w:cs="Playfair Display" w:eastAsia="Playfair Display" w:hAnsi="Playfair Display"/>
          <w:sz w:val="20"/>
          <w:szCs w:val="20"/>
          <w:rtl w:val="0"/>
        </w:rPr>
        <w:t xml:space="preserve">10.02.2025</w:t>
      </w:r>
    </w:p>
    <w:p w:rsidR="00000000" w:rsidDel="00000000" w:rsidP="00000000" w:rsidRDefault="00000000" w:rsidRPr="00000000" w14:paraId="0000003A">
      <w:pPr>
        <w:spacing w:line="360" w:lineRule="auto"/>
        <w:jc w:val="both"/>
        <w:rPr>
          <w:rFonts w:ascii="Playfair Display" w:cs="Playfair Display" w:eastAsia="Playfair Display" w:hAnsi="Playfair Display"/>
          <w:sz w:val="20"/>
          <w:szCs w:val="20"/>
        </w:rPr>
      </w:pPr>
      <w:r w:rsidDel="00000000" w:rsidR="00000000" w:rsidRPr="00000000">
        <w:rPr>
          <w:rtl w:val="0"/>
        </w:rPr>
      </w:r>
    </w:p>
    <w:p w:rsidR="00000000" w:rsidDel="00000000" w:rsidP="00000000" w:rsidRDefault="00000000" w:rsidRPr="00000000" w14:paraId="0000003B">
      <w:pPr>
        <w:spacing w:line="360" w:lineRule="auto"/>
        <w:jc w:val="both"/>
        <w:rPr>
          <w:rFonts w:ascii="Playfair Display" w:cs="Playfair Display" w:eastAsia="Playfair Display" w:hAnsi="Playfair Display"/>
          <w:sz w:val="20"/>
          <w:szCs w:val="20"/>
        </w:rPr>
      </w:pPr>
      <w:r w:rsidDel="00000000" w:rsidR="00000000" w:rsidRPr="00000000">
        <w:rPr>
          <w:rtl w:val="0"/>
        </w:rPr>
      </w:r>
    </w:p>
    <w:p w:rsidR="00000000" w:rsidDel="00000000" w:rsidP="00000000" w:rsidRDefault="00000000" w:rsidRPr="00000000" w14:paraId="0000003C">
      <w:pPr>
        <w:spacing w:line="240" w:lineRule="auto"/>
        <w:rPr>
          <w:rFonts w:ascii="Aptos" w:cs="Aptos" w:eastAsia="Aptos" w:hAnsi="Aptos"/>
          <w:sz w:val="24"/>
          <w:szCs w:val="24"/>
        </w:rPr>
      </w:pPr>
      <w:r w:rsidDel="00000000" w:rsidR="00000000" w:rsidRPr="00000000">
        <w:rPr>
          <w:rtl w:val="0"/>
        </w:rPr>
      </w:r>
    </w:p>
    <w:p w:rsidR="00000000" w:rsidDel="00000000" w:rsidP="00000000" w:rsidRDefault="00000000" w:rsidRPr="00000000" w14:paraId="0000003D">
      <w:pPr>
        <w:rPr>
          <w:rFonts w:ascii="Playfair Display" w:cs="Playfair Display" w:eastAsia="Playfair Display" w:hAnsi="Playfair Display"/>
          <w:color w:val="3f5351"/>
          <w:sz w:val="24"/>
          <w:szCs w:val="24"/>
          <w:highlight w:val="white"/>
        </w:rPr>
      </w:pPr>
      <w:r w:rsidDel="00000000" w:rsidR="00000000" w:rsidRPr="00000000">
        <w:rPr>
          <w:rFonts w:ascii="Playfair Display" w:cs="Playfair Display" w:eastAsia="Playfair Display" w:hAnsi="Playfair Display"/>
          <w:color w:val="3f5351"/>
          <w:sz w:val="24"/>
          <w:szCs w:val="24"/>
          <w:highlight w:val="white"/>
          <w:rtl w:val="0"/>
        </w:rPr>
        <w:t xml:space="preserve">Bibliography:</w:t>
      </w:r>
    </w:p>
    <w:p w:rsidR="00000000" w:rsidDel="00000000" w:rsidP="00000000" w:rsidRDefault="00000000" w:rsidRPr="00000000" w14:paraId="0000003E">
      <w:pPr>
        <w:rPr>
          <w:color w:val="3f5351"/>
          <w:sz w:val="20"/>
          <w:szCs w:val="20"/>
          <w:highlight w:val="white"/>
        </w:rPr>
      </w:pPr>
      <w:r w:rsidDel="00000000" w:rsidR="00000000" w:rsidRPr="00000000">
        <w:rPr>
          <w:rtl w:val="0"/>
        </w:rPr>
      </w:r>
    </w:p>
    <w:p w:rsidR="00000000" w:rsidDel="00000000" w:rsidP="00000000" w:rsidRDefault="00000000" w:rsidRPr="00000000" w14:paraId="0000003F">
      <w:pPr>
        <w:spacing w:line="360" w:lineRule="auto"/>
        <w:ind w:left="880" w:hanging="440"/>
        <w:rPr>
          <w:rFonts w:ascii="Playfair Display" w:cs="Playfair Display" w:eastAsia="Playfair Display" w:hAnsi="Playfair Display"/>
          <w:color w:val="3f5351"/>
          <w:sz w:val="20"/>
          <w:szCs w:val="20"/>
          <w:highlight w:val="white"/>
        </w:rPr>
      </w:pPr>
      <w:r w:rsidDel="00000000" w:rsidR="00000000" w:rsidRPr="00000000">
        <w:rPr>
          <w:rFonts w:ascii="Playfair Display" w:cs="Playfair Display" w:eastAsia="Playfair Display" w:hAnsi="Playfair Display"/>
          <w:color w:val="3f5351"/>
          <w:sz w:val="20"/>
          <w:szCs w:val="20"/>
          <w:highlight w:val="white"/>
          <w:rtl w:val="0"/>
        </w:rPr>
        <w:t xml:space="preserve">Atkinson, D. (1999), </w:t>
      </w:r>
      <w:r w:rsidDel="00000000" w:rsidR="00000000" w:rsidRPr="00000000">
        <w:rPr>
          <w:rFonts w:ascii="Playfair Display" w:cs="Playfair Display" w:eastAsia="Playfair Display" w:hAnsi="Playfair Display"/>
          <w:i w:val="1"/>
          <w:color w:val="3f5351"/>
          <w:sz w:val="20"/>
          <w:szCs w:val="20"/>
          <w:highlight w:val="white"/>
          <w:rtl w:val="0"/>
        </w:rPr>
        <w:t xml:space="preserve">Advocacy: A Review</w:t>
      </w:r>
      <w:r w:rsidDel="00000000" w:rsidR="00000000" w:rsidRPr="00000000">
        <w:rPr>
          <w:rFonts w:ascii="Playfair Display" w:cs="Playfair Display" w:eastAsia="Playfair Display" w:hAnsi="Playfair Display"/>
          <w:color w:val="3f5351"/>
          <w:sz w:val="20"/>
          <w:szCs w:val="20"/>
          <w:highlight w:val="white"/>
          <w:rtl w:val="0"/>
        </w:rPr>
        <w:t xml:space="preserve">, Pavilion Publishing [for the] Joseph Rowntree Foundation, Shoreham-by-Sea.</w:t>
      </w:r>
    </w:p>
    <w:p w:rsidR="00000000" w:rsidDel="00000000" w:rsidP="00000000" w:rsidRDefault="00000000" w:rsidRPr="00000000" w14:paraId="00000040">
      <w:pPr>
        <w:spacing w:line="360" w:lineRule="auto"/>
        <w:ind w:left="880" w:hanging="440"/>
        <w:rPr>
          <w:rFonts w:ascii="Playfair Display" w:cs="Playfair Display" w:eastAsia="Playfair Display" w:hAnsi="Playfair Display"/>
          <w:color w:val="3f5351"/>
          <w:sz w:val="20"/>
          <w:szCs w:val="20"/>
          <w:highlight w:val="white"/>
        </w:rPr>
      </w:pPr>
      <w:r w:rsidDel="00000000" w:rsidR="00000000" w:rsidRPr="00000000">
        <w:rPr>
          <w:rFonts w:ascii="Playfair Display" w:cs="Playfair Display" w:eastAsia="Playfair Display" w:hAnsi="Playfair Display"/>
          <w:color w:val="3f5351"/>
          <w:sz w:val="20"/>
          <w:szCs w:val="20"/>
          <w:highlight w:val="white"/>
          <w:rtl w:val="0"/>
        </w:rPr>
        <w:t xml:space="preserve">BCCYAC. (2025), “The CYAC Model - BC CYAC Network”, </w:t>
      </w:r>
      <w:r w:rsidDel="00000000" w:rsidR="00000000" w:rsidRPr="00000000">
        <w:rPr>
          <w:rFonts w:ascii="Playfair Display" w:cs="Playfair Display" w:eastAsia="Playfair Display" w:hAnsi="Playfair Display"/>
          <w:i w:val="1"/>
          <w:color w:val="3f5351"/>
          <w:sz w:val="20"/>
          <w:szCs w:val="20"/>
          <w:highlight w:val="white"/>
          <w:rtl w:val="0"/>
        </w:rPr>
        <w:t xml:space="preserve">British Columbia - Network of Youth Advocacy Networks</w:t>
      </w:r>
      <w:r w:rsidDel="00000000" w:rsidR="00000000" w:rsidRPr="00000000">
        <w:rPr>
          <w:rFonts w:ascii="Playfair Display" w:cs="Playfair Display" w:eastAsia="Playfair Display" w:hAnsi="Playfair Display"/>
          <w:color w:val="3f5351"/>
          <w:sz w:val="20"/>
          <w:szCs w:val="20"/>
          <w:highlight w:val="white"/>
          <w:rtl w:val="0"/>
        </w:rPr>
        <w:t xml:space="preserve">, available at:</w:t>
      </w:r>
      <w:hyperlink r:id="rId7">
        <w:r w:rsidDel="00000000" w:rsidR="00000000" w:rsidRPr="00000000">
          <w:rPr>
            <w:rFonts w:ascii="Playfair Display" w:cs="Playfair Display" w:eastAsia="Playfair Display" w:hAnsi="Playfair Display"/>
            <w:color w:val="3f5351"/>
            <w:sz w:val="20"/>
            <w:szCs w:val="20"/>
            <w:highlight w:val="white"/>
            <w:rtl w:val="0"/>
          </w:rPr>
          <w:t xml:space="preserve"> </w:t>
        </w:r>
      </w:hyperlink>
      <w:hyperlink r:id="rId8">
        <w:r w:rsidDel="00000000" w:rsidR="00000000" w:rsidRPr="00000000">
          <w:rPr>
            <w:rFonts w:ascii="Playfair Display" w:cs="Playfair Display" w:eastAsia="Playfair Display" w:hAnsi="Playfair Display"/>
            <w:color w:val="1155cc"/>
            <w:sz w:val="20"/>
            <w:szCs w:val="20"/>
            <w:highlight w:val="white"/>
            <w:u w:val="single"/>
            <w:rtl w:val="0"/>
          </w:rPr>
          <w:t xml:space="preserve">https://www.bccyac.ca/about-us/the-cyac-model/</w:t>
        </w:r>
      </w:hyperlink>
      <w:r w:rsidDel="00000000" w:rsidR="00000000" w:rsidRPr="00000000">
        <w:rPr>
          <w:rFonts w:ascii="Playfair Display" w:cs="Playfair Display" w:eastAsia="Playfair Display" w:hAnsi="Playfair Display"/>
          <w:color w:val="3f5351"/>
          <w:sz w:val="20"/>
          <w:szCs w:val="20"/>
          <w:highlight w:val="white"/>
          <w:rtl w:val="0"/>
        </w:rPr>
        <w:t xml:space="preserve"> (accessed 16 January 2025).</w:t>
      </w:r>
    </w:p>
    <w:p w:rsidR="00000000" w:rsidDel="00000000" w:rsidP="00000000" w:rsidRDefault="00000000" w:rsidRPr="00000000" w14:paraId="00000041">
      <w:pPr>
        <w:spacing w:line="360" w:lineRule="auto"/>
        <w:ind w:left="880" w:hanging="440"/>
        <w:rPr>
          <w:rFonts w:ascii="Playfair Display" w:cs="Playfair Display" w:eastAsia="Playfair Display" w:hAnsi="Playfair Display"/>
          <w:color w:val="3f5351"/>
          <w:sz w:val="20"/>
          <w:szCs w:val="20"/>
          <w:highlight w:val="white"/>
        </w:rPr>
      </w:pPr>
      <w:r w:rsidDel="00000000" w:rsidR="00000000" w:rsidRPr="00000000">
        <w:rPr>
          <w:rFonts w:ascii="Playfair Display" w:cs="Playfair Display" w:eastAsia="Playfair Display" w:hAnsi="Playfair Display"/>
          <w:color w:val="3f5351"/>
          <w:sz w:val="20"/>
          <w:szCs w:val="20"/>
          <w:highlight w:val="white"/>
          <w:rtl w:val="0"/>
        </w:rPr>
        <w:t xml:space="preserve">Beauchamp, Z. (2024), “Why the far right is surging all over the world”, </w:t>
      </w:r>
      <w:r w:rsidDel="00000000" w:rsidR="00000000" w:rsidRPr="00000000">
        <w:rPr>
          <w:rFonts w:ascii="Playfair Display" w:cs="Playfair Display" w:eastAsia="Playfair Display" w:hAnsi="Playfair Display"/>
          <w:i w:val="1"/>
          <w:color w:val="3f5351"/>
          <w:sz w:val="20"/>
          <w:szCs w:val="20"/>
          <w:highlight w:val="white"/>
          <w:rtl w:val="0"/>
        </w:rPr>
        <w:t xml:space="preserve">Vox</w:t>
      </w:r>
      <w:r w:rsidDel="00000000" w:rsidR="00000000" w:rsidRPr="00000000">
        <w:rPr>
          <w:rFonts w:ascii="Playfair Display" w:cs="Playfair Display" w:eastAsia="Playfair Display" w:hAnsi="Playfair Display"/>
          <w:color w:val="3f5351"/>
          <w:sz w:val="20"/>
          <w:szCs w:val="20"/>
          <w:highlight w:val="white"/>
          <w:rtl w:val="0"/>
        </w:rPr>
        <w:t xml:space="preserve">, 17 July, available at:</w:t>
      </w:r>
      <w:hyperlink r:id="rId9">
        <w:r w:rsidDel="00000000" w:rsidR="00000000" w:rsidRPr="00000000">
          <w:rPr>
            <w:rFonts w:ascii="Playfair Display" w:cs="Playfair Display" w:eastAsia="Playfair Display" w:hAnsi="Playfair Display"/>
            <w:color w:val="3f5351"/>
            <w:sz w:val="20"/>
            <w:szCs w:val="20"/>
            <w:highlight w:val="white"/>
            <w:rtl w:val="0"/>
          </w:rPr>
          <w:t xml:space="preserve"> </w:t>
        </w:r>
      </w:hyperlink>
      <w:hyperlink r:id="rId10">
        <w:r w:rsidDel="00000000" w:rsidR="00000000" w:rsidRPr="00000000">
          <w:rPr>
            <w:rFonts w:ascii="Playfair Display" w:cs="Playfair Display" w:eastAsia="Playfair Display" w:hAnsi="Playfair Display"/>
            <w:color w:val="1155cc"/>
            <w:sz w:val="20"/>
            <w:szCs w:val="20"/>
            <w:highlight w:val="white"/>
            <w:u w:val="single"/>
            <w:rtl w:val="0"/>
          </w:rPr>
          <w:t xml:space="preserve">https://www.vox.com/politics/361136/far-right-authoritarianism-germany-reactionary-spirit</w:t>
        </w:r>
      </w:hyperlink>
      <w:r w:rsidDel="00000000" w:rsidR="00000000" w:rsidRPr="00000000">
        <w:rPr>
          <w:rFonts w:ascii="Playfair Display" w:cs="Playfair Display" w:eastAsia="Playfair Display" w:hAnsi="Playfair Display"/>
          <w:color w:val="3f5351"/>
          <w:sz w:val="20"/>
          <w:szCs w:val="20"/>
          <w:highlight w:val="white"/>
          <w:rtl w:val="0"/>
        </w:rPr>
        <w:t xml:space="preserve"> (accessed 10 February 2025).</w:t>
      </w:r>
    </w:p>
    <w:p w:rsidR="00000000" w:rsidDel="00000000" w:rsidP="00000000" w:rsidRDefault="00000000" w:rsidRPr="00000000" w14:paraId="00000042">
      <w:pPr>
        <w:spacing w:line="360" w:lineRule="auto"/>
        <w:ind w:left="880" w:hanging="440"/>
        <w:rPr>
          <w:rFonts w:ascii="Playfair Display" w:cs="Playfair Display" w:eastAsia="Playfair Display" w:hAnsi="Playfair Display"/>
          <w:color w:val="3f5351"/>
          <w:sz w:val="20"/>
          <w:szCs w:val="20"/>
          <w:highlight w:val="white"/>
        </w:rPr>
      </w:pPr>
      <w:r w:rsidDel="00000000" w:rsidR="00000000" w:rsidRPr="00000000">
        <w:rPr>
          <w:rFonts w:ascii="Playfair Display" w:cs="Playfair Display" w:eastAsia="Playfair Display" w:hAnsi="Playfair Display"/>
          <w:color w:val="3f5351"/>
          <w:sz w:val="20"/>
          <w:szCs w:val="20"/>
          <w:highlight w:val="white"/>
          <w:rtl w:val="0"/>
        </w:rPr>
        <w:t xml:space="preserve">Bureau of Economics. (2021), “US Child &amp; Social Services Statistics and Data Trends: maltreatment, foster care, population, and more”, </w:t>
      </w:r>
      <w:r w:rsidDel="00000000" w:rsidR="00000000" w:rsidRPr="00000000">
        <w:rPr>
          <w:rFonts w:ascii="Playfair Display" w:cs="Playfair Display" w:eastAsia="Playfair Display" w:hAnsi="Playfair Display"/>
          <w:i w:val="1"/>
          <w:color w:val="3f5351"/>
          <w:sz w:val="20"/>
          <w:szCs w:val="20"/>
          <w:highlight w:val="white"/>
          <w:rtl w:val="0"/>
        </w:rPr>
        <w:t xml:space="preserve">USAFacts</w:t>
      </w:r>
      <w:r w:rsidDel="00000000" w:rsidR="00000000" w:rsidRPr="00000000">
        <w:rPr>
          <w:rFonts w:ascii="Playfair Display" w:cs="Playfair Display" w:eastAsia="Playfair Display" w:hAnsi="Playfair Display"/>
          <w:color w:val="3f5351"/>
          <w:sz w:val="20"/>
          <w:szCs w:val="20"/>
          <w:highlight w:val="white"/>
          <w:rtl w:val="0"/>
        </w:rPr>
        <w:t xml:space="preserve">, available at:</w:t>
      </w:r>
      <w:hyperlink r:id="rId11">
        <w:r w:rsidDel="00000000" w:rsidR="00000000" w:rsidRPr="00000000">
          <w:rPr>
            <w:rFonts w:ascii="Playfair Display" w:cs="Playfair Display" w:eastAsia="Playfair Display" w:hAnsi="Playfair Display"/>
            <w:color w:val="3f5351"/>
            <w:sz w:val="20"/>
            <w:szCs w:val="20"/>
            <w:highlight w:val="white"/>
            <w:rtl w:val="0"/>
          </w:rPr>
          <w:t xml:space="preserve"> </w:t>
        </w:r>
      </w:hyperlink>
      <w:hyperlink r:id="rId12">
        <w:r w:rsidDel="00000000" w:rsidR="00000000" w:rsidRPr="00000000">
          <w:rPr>
            <w:rFonts w:ascii="Playfair Display" w:cs="Playfair Display" w:eastAsia="Playfair Display" w:hAnsi="Playfair Display"/>
            <w:color w:val="1155cc"/>
            <w:sz w:val="20"/>
            <w:szCs w:val="20"/>
            <w:highlight w:val="white"/>
            <w:u w:val="single"/>
            <w:rtl w:val="0"/>
          </w:rPr>
          <w:t xml:space="preserve">https://usafacts.org/topics/child-social-services/</w:t>
        </w:r>
      </w:hyperlink>
      <w:r w:rsidDel="00000000" w:rsidR="00000000" w:rsidRPr="00000000">
        <w:rPr>
          <w:rFonts w:ascii="Playfair Display" w:cs="Playfair Display" w:eastAsia="Playfair Display" w:hAnsi="Playfair Display"/>
          <w:color w:val="3f5351"/>
          <w:sz w:val="20"/>
          <w:szCs w:val="20"/>
          <w:highlight w:val="white"/>
          <w:rtl w:val="0"/>
        </w:rPr>
        <w:t xml:space="preserve"> (accessed 10 February 2025).</w:t>
      </w:r>
    </w:p>
    <w:p w:rsidR="00000000" w:rsidDel="00000000" w:rsidP="00000000" w:rsidRDefault="00000000" w:rsidRPr="00000000" w14:paraId="00000043">
      <w:pPr>
        <w:spacing w:line="360" w:lineRule="auto"/>
        <w:ind w:left="880" w:hanging="440"/>
        <w:rPr>
          <w:rFonts w:ascii="Playfair Display" w:cs="Playfair Display" w:eastAsia="Playfair Display" w:hAnsi="Playfair Display"/>
          <w:color w:val="3f5351"/>
          <w:sz w:val="20"/>
          <w:szCs w:val="20"/>
          <w:highlight w:val="white"/>
        </w:rPr>
      </w:pPr>
      <w:r w:rsidDel="00000000" w:rsidR="00000000" w:rsidRPr="00000000">
        <w:rPr>
          <w:rFonts w:ascii="Playfair Display" w:cs="Playfair Display" w:eastAsia="Playfair Display" w:hAnsi="Playfair Display"/>
          <w:color w:val="3f5351"/>
          <w:sz w:val="20"/>
          <w:szCs w:val="20"/>
          <w:highlight w:val="white"/>
          <w:rtl w:val="0"/>
        </w:rPr>
        <w:t xml:space="preserve">City and Guilds. (2023), “Independent Advocacy qualifications and training courses | City &amp; Guilds”, available at:</w:t>
      </w:r>
      <w:hyperlink r:id="rId13">
        <w:r w:rsidDel="00000000" w:rsidR="00000000" w:rsidRPr="00000000">
          <w:rPr>
            <w:rFonts w:ascii="Playfair Display" w:cs="Playfair Display" w:eastAsia="Playfair Display" w:hAnsi="Playfair Display"/>
            <w:color w:val="3f5351"/>
            <w:sz w:val="20"/>
            <w:szCs w:val="20"/>
            <w:highlight w:val="white"/>
            <w:rtl w:val="0"/>
          </w:rPr>
          <w:t xml:space="preserve"> </w:t>
        </w:r>
      </w:hyperlink>
      <w:hyperlink r:id="rId14">
        <w:r w:rsidDel="00000000" w:rsidR="00000000" w:rsidRPr="00000000">
          <w:rPr>
            <w:rFonts w:ascii="Playfair Display" w:cs="Playfair Display" w:eastAsia="Playfair Display" w:hAnsi="Playfair Display"/>
            <w:color w:val="1155cc"/>
            <w:sz w:val="20"/>
            <w:szCs w:val="20"/>
            <w:highlight w:val="white"/>
            <w:u w:val="single"/>
            <w:rtl w:val="0"/>
          </w:rPr>
          <w:t xml:space="preserve">https://www.cityandguilds.com/qualifications-and-apprenticeships/health-and-social-care/care/3610-independent-advocacy#tab=information&amp;acc=general-info</w:t>
        </w:r>
      </w:hyperlink>
      <w:r w:rsidDel="00000000" w:rsidR="00000000" w:rsidRPr="00000000">
        <w:rPr>
          <w:rFonts w:ascii="Playfair Display" w:cs="Playfair Display" w:eastAsia="Playfair Display" w:hAnsi="Playfair Display"/>
          <w:color w:val="3f5351"/>
          <w:sz w:val="20"/>
          <w:szCs w:val="20"/>
          <w:highlight w:val="white"/>
          <w:rtl w:val="0"/>
        </w:rPr>
        <w:t xml:space="preserve"> (accessed 10 February 2025).</w:t>
      </w:r>
    </w:p>
    <w:p w:rsidR="00000000" w:rsidDel="00000000" w:rsidP="00000000" w:rsidRDefault="00000000" w:rsidRPr="00000000" w14:paraId="00000044">
      <w:pPr>
        <w:spacing w:line="360" w:lineRule="auto"/>
        <w:ind w:left="880" w:hanging="440"/>
        <w:rPr>
          <w:rFonts w:ascii="Playfair Display" w:cs="Playfair Display" w:eastAsia="Playfair Display" w:hAnsi="Playfair Display"/>
          <w:color w:val="3f5351"/>
          <w:sz w:val="20"/>
          <w:szCs w:val="20"/>
          <w:highlight w:val="white"/>
        </w:rPr>
      </w:pPr>
      <w:r w:rsidDel="00000000" w:rsidR="00000000" w:rsidRPr="00000000">
        <w:rPr>
          <w:rFonts w:ascii="Playfair Display" w:cs="Playfair Display" w:eastAsia="Playfair Display" w:hAnsi="Playfair Display"/>
          <w:color w:val="3f5351"/>
          <w:sz w:val="20"/>
          <w:szCs w:val="20"/>
          <w:highlight w:val="white"/>
          <w:rtl w:val="0"/>
        </w:rPr>
        <w:t xml:space="preserve">ConservativeHome. (2025), “‘We are going to be telling the British people the truth even when it is difficult to hear.’ Badenoch’s speech - full text”, </w:t>
      </w:r>
      <w:r w:rsidDel="00000000" w:rsidR="00000000" w:rsidRPr="00000000">
        <w:rPr>
          <w:rFonts w:ascii="Playfair Display" w:cs="Playfair Display" w:eastAsia="Playfair Display" w:hAnsi="Playfair Display"/>
          <w:i w:val="1"/>
          <w:color w:val="3f5351"/>
          <w:sz w:val="20"/>
          <w:szCs w:val="20"/>
          <w:highlight w:val="white"/>
          <w:rtl w:val="0"/>
        </w:rPr>
        <w:t xml:space="preserve">Conservative Home</w:t>
      </w:r>
      <w:r w:rsidDel="00000000" w:rsidR="00000000" w:rsidRPr="00000000">
        <w:rPr>
          <w:rFonts w:ascii="Playfair Display" w:cs="Playfair Display" w:eastAsia="Playfair Display" w:hAnsi="Playfair Display"/>
          <w:color w:val="3f5351"/>
          <w:sz w:val="20"/>
          <w:szCs w:val="20"/>
          <w:highlight w:val="white"/>
          <w:rtl w:val="0"/>
        </w:rPr>
        <w:t xml:space="preserve">, 16 January, available at:</w:t>
      </w:r>
      <w:hyperlink r:id="rId15">
        <w:r w:rsidDel="00000000" w:rsidR="00000000" w:rsidRPr="00000000">
          <w:rPr>
            <w:rFonts w:ascii="Playfair Display" w:cs="Playfair Display" w:eastAsia="Playfair Display" w:hAnsi="Playfair Display"/>
            <w:color w:val="3f5351"/>
            <w:sz w:val="20"/>
            <w:szCs w:val="20"/>
            <w:highlight w:val="white"/>
            <w:rtl w:val="0"/>
          </w:rPr>
          <w:t xml:space="preserve"> </w:t>
        </w:r>
      </w:hyperlink>
      <w:hyperlink r:id="rId16">
        <w:r w:rsidDel="00000000" w:rsidR="00000000" w:rsidRPr="00000000">
          <w:rPr>
            <w:rFonts w:ascii="Playfair Display" w:cs="Playfair Display" w:eastAsia="Playfair Display" w:hAnsi="Playfair Display"/>
            <w:color w:val="1155cc"/>
            <w:sz w:val="20"/>
            <w:szCs w:val="20"/>
            <w:highlight w:val="white"/>
            <w:u w:val="single"/>
            <w:rtl w:val="0"/>
          </w:rPr>
          <w:t xml:space="preserve">https://conservativehome.com/2025/01/16/read-kemi-badenochs-speech-rebuilding-trust-thursday-16th-january-2025/</w:t>
        </w:r>
      </w:hyperlink>
      <w:r w:rsidDel="00000000" w:rsidR="00000000" w:rsidRPr="00000000">
        <w:rPr>
          <w:rFonts w:ascii="Playfair Display" w:cs="Playfair Display" w:eastAsia="Playfair Display" w:hAnsi="Playfair Display"/>
          <w:color w:val="3f5351"/>
          <w:sz w:val="20"/>
          <w:szCs w:val="20"/>
          <w:highlight w:val="white"/>
          <w:rtl w:val="0"/>
        </w:rPr>
        <w:t xml:space="preserve"> (accessed 10 February 2025).</w:t>
      </w:r>
    </w:p>
    <w:p w:rsidR="00000000" w:rsidDel="00000000" w:rsidP="00000000" w:rsidRDefault="00000000" w:rsidRPr="00000000" w14:paraId="00000045">
      <w:pPr>
        <w:spacing w:line="360" w:lineRule="auto"/>
        <w:ind w:left="880" w:hanging="440"/>
        <w:rPr>
          <w:rFonts w:ascii="Playfair Display" w:cs="Playfair Display" w:eastAsia="Playfair Display" w:hAnsi="Playfair Display"/>
          <w:color w:val="3f5351"/>
          <w:sz w:val="20"/>
          <w:szCs w:val="20"/>
          <w:highlight w:val="white"/>
        </w:rPr>
      </w:pPr>
      <w:r w:rsidDel="00000000" w:rsidR="00000000" w:rsidRPr="00000000">
        <w:rPr>
          <w:rFonts w:ascii="Playfair Display" w:cs="Playfair Display" w:eastAsia="Playfair Display" w:hAnsi="Playfair Display"/>
          <w:color w:val="3f5351"/>
          <w:sz w:val="20"/>
          <w:szCs w:val="20"/>
          <w:highlight w:val="white"/>
          <w:rtl w:val="0"/>
        </w:rPr>
        <w:t xml:space="preserve">Dalrymple, J. (2004), “Developing the Concept of Professional Advocacy: An Examination of the Role of Child and Youth Advocates in England and Wales”, </w:t>
      </w:r>
      <w:r w:rsidDel="00000000" w:rsidR="00000000" w:rsidRPr="00000000">
        <w:rPr>
          <w:rFonts w:ascii="Playfair Display" w:cs="Playfair Display" w:eastAsia="Playfair Display" w:hAnsi="Playfair Display"/>
          <w:i w:val="1"/>
          <w:color w:val="3f5351"/>
          <w:sz w:val="20"/>
          <w:szCs w:val="20"/>
          <w:highlight w:val="white"/>
          <w:rtl w:val="0"/>
        </w:rPr>
        <w:t xml:space="preserve">Journal of Social Work : JSW</w:t>
      </w:r>
      <w:r w:rsidDel="00000000" w:rsidR="00000000" w:rsidRPr="00000000">
        <w:rPr>
          <w:rFonts w:ascii="Playfair Display" w:cs="Playfair Display" w:eastAsia="Playfair Display" w:hAnsi="Playfair Display"/>
          <w:color w:val="3f5351"/>
          <w:sz w:val="20"/>
          <w:szCs w:val="20"/>
          <w:highlight w:val="white"/>
          <w:rtl w:val="0"/>
        </w:rPr>
        <w:t xml:space="preserve">, Sage Publications, Thousand Oaks, CA, Vol. 4 No. 2, pp. 179–197, doi:</w:t>
      </w:r>
      <w:hyperlink r:id="rId17">
        <w:r w:rsidDel="00000000" w:rsidR="00000000" w:rsidRPr="00000000">
          <w:rPr>
            <w:rFonts w:ascii="Playfair Display" w:cs="Playfair Display" w:eastAsia="Playfair Display" w:hAnsi="Playfair Display"/>
            <w:color w:val="3f5351"/>
            <w:sz w:val="20"/>
            <w:szCs w:val="20"/>
            <w:highlight w:val="white"/>
            <w:rtl w:val="0"/>
          </w:rPr>
          <w:t xml:space="preserve"> </w:t>
        </w:r>
      </w:hyperlink>
      <w:hyperlink r:id="rId18">
        <w:r w:rsidDel="00000000" w:rsidR="00000000" w:rsidRPr="00000000">
          <w:rPr>
            <w:rFonts w:ascii="Playfair Display" w:cs="Playfair Display" w:eastAsia="Playfair Display" w:hAnsi="Playfair Display"/>
            <w:color w:val="1155cc"/>
            <w:sz w:val="20"/>
            <w:szCs w:val="20"/>
            <w:highlight w:val="white"/>
            <w:u w:val="single"/>
            <w:rtl w:val="0"/>
          </w:rPr>
          <w:t xml:space="preserve">10.1177/1468017304044861</w:t>
        </w:r>
      </w:hyperlink>
      <w:r w:rsidDel="00000000" w:rsidR="00000000" w:rsidRPr="00000000">
        <w:rPr>
          <w:rFonts w:ascii="Playfair Display" w:cs="Playfair Display" w:eastAsia="Playfair Display" w:hAnsi="Playfair Display"/>
          <w:color w:val="3f5351"/>
          <w:sz w:val="20"/>
          <w:szCs w:val="20"/>
          <w:highlight w:val="white"/>
          <w:rtl w:val="0"/>
        </w:rPr>
        <w:t xml:space="preserve">.</w:t>
      </w:r>
    </w:p>
    <w:p w:rsidR="00000000" w:rsidDel="00000000" w:rsidP="00000000" w:rsidRDefault="00000000" w:rsidRPr="00000000" w14:paraId="00000046">
      <w:pPr>
        <w:spacing w:line="360" w:lineRule="auto"/>
        <w:ind w:left="880" w:hanging="440"/>
        <w:rPr>
          <w:rFonts w:ascii="Playfair Display" w:cs="Playfair Display" w:eastAsia="Playfair Display" w:hAnsi="Playfair Display"/>
          <w:color w:val="3f5351"/>
          <w:sz w:val="20"/>
          <w:szCs w:val="20"/>
          <w:highlight w:val="white"/>
        </w:rPr>
      </w:pPr>
      <w:r w:rsidDel="00000000" w:rsidR="00000000" w:rsidRPr="00000000">
        <w:rPr>
          <w:rFonts w:ascii="Playfair Display" w:cs="Playfair Display" w:eastAsia="Playfair Display" w:hAnsi="Playfair Display"/>
          <w:color w:val="3f5351"/>
          <w:sz w:val="20"/>
          <w:szCs w:val="20"/>
          <w:highlight w:val="white"/>
          <w:rtl w:val="0"/>
        </w:rPr>
        <w:t xml:space="preserve">Department of Justice. (2023), “Youth (0 to 17) population profile detailed by age, sex, and race/ethnicity | Office of Juvenile Justice and Delinquency Prevention”, available at:</w:t>
      </w:r>
      <w:hyperlink r:id="rId19">
        <w:r w:rsidDel="00000000" w:rsidR="00000000" w:rsidRPr="00000000">
          <w:rPr>
            <w:rFonts w:ascii="Playfair Display" w:cs="Playfair Display" w:eastAsia="Playfair Display" w:hAnsi="Playfair Display"/>
            <w:color w:val="3f5351"/>
            <w:sz w:val="20"/>
            <w:szCs w:val="20"/>
            <w:highlight w:val="white"/>
            <w:rtl w:val="0"/>
          </w:rPr>
          <w:t xml:space="preserve"> </w:t>
        </w:r>
      </w:hyperlink>
      <w:hyperlink r:id="rId20">
        <w:r w:rsidDel="00000000" w:rsidR="00000000" w:rsidRPr="00000000">
          <w:rPr>
            <w:rFonts w:ascii="Playfair Display" w:cs="Playfair Display" w:eastAsia="Playfair Display" w:hAnsi="Playfair Display"/>
            <w:color w:val="1155cc"/>
            <w:sz w:val="20"/>
            <w:szCs w:val="20"/>
            <w:highlight w:val="white"/>
            <w:u w:val="single"/>
            <w:rtl w:val="0"/>
          </w:rPr>
          <w:t xml:space="preserve">https://ojjdp.ojp.gov/statistical-briefing-book/population/faqs/qa01104</w:t>
        </w:r>
      </w:hyperlink>
      <w:r w:rsidDel="00000000" w:rsidR="00000000" w:rsidRPr="00000000">
        <w:rPr>
          <w:rFonts w:ascii="Playfair Display" w:cs="Playfair Display" w:eastAsia="Playfair Display" w:hAnsi="Playfair Display"/>
          <w:color w:val="3f5351"/>
          <w:sz w:val="20"/>
          <w:szCs w:val="20"/>
          <w:highlight w:val="white"/>
          <w:rtl w:val="0"/>
        </w:rPr>
        <w:t xml:space="preserve"> (accessed 10 February 2025).</w:t>
      </w:r>
    </w:p>
    <w:p w:rsidR="00000000" w:rsidDel="00000000" w:rsidP="00000000" w:rsidRDefault="00000000" w:rsidRPr="00000000" w14:paraId="00000047">
      <w:pPr>
        <w:spacing w:line="360" w:lineRule="auto"/>
        <w:ind w:left="880" w:hanging="440"/>
        <w:rPr>
          <w:rFonts w:ascii="Playfair Display" w:cs="Playfair Display" w:eastAsia="Playfair Display" w:hAnsi="Playfair Display"/>
          <w:color w:val="3f5351"/>
          <w:sz w:val="20"/>
          <w:szCs w:val="20"/>
          <w:highlight w:val="white"/>
        </w:rPr>
      </w:pPr>
      <w:r w:rsidDel="00000000" w:rsidR="00000000" w:rsidRPr="00000000">
        <w:rPr>
          <w:rFonts w:ascii="Playfair Display" w:cs="Playfair Display" w:eastAsia="Playfair Display" w:hAnsi="Playfair Display"/>
          <w:color w:val="3f5351"/>
          <w:sz w:val="20"/>
          <w:szCs w:val="20"/>
          <w:highlight w:val="white"/>
          <w:rtl w:val="0"/>
        </w:rPr>
        <w:t xml:space="preserve">Foster, D. (2025), “An overview of child protection legislation in England”.</w:t>
      </w:r>
    </w:p>
    <w:p w:rsidR="00000000" w:rsidDel="00000000" w:rsidP="00000000" w:rsidRDefault="00000000" w:rsidRPr="00000000" w14:paraId="00000048">
      <w:pPr>
        <w:spacing w:line="360" w:lineRule="auto"/>
        <w:ind w:left="880" w:hanging="440"/>
        <w:rPr>
          <w:rFonts w:ascii="Playfair Display" w:cs="Playfair Display" w:eastAsia="Playfair Display" w:hAnsi="Playfair Display"/>
          <w:color w:val="3f5351"/>
          <w:sz w:val="20"/>
          <w:szCs w:val="20"/>
          <w:highlight w:val="white"/>
        </w:rPr>
      </w:pPr>
      <w:r w:rsidDel="00000000" w:rsidR="00000000" w:rsidRPr="00000000">
        <w:rPr>
          <w:rFonts w:ascii="Playfair Display" w:cs="Playfair Display" w:eastAsia="Playfair Display" w:hAnsi="Playfair Display"/>
          <w:color w:val="3f5351"/>
          <w:sz w:val="20"/>
          <w:szCs w:val="20"/>
          <w:highlight w:val="white"/>
          <w:rtl w:val="0"/>
        </w:rPr>
        <w:t xml:space="preserve">Fratto, C.M. (2016), “Trauma-Informed Care for Youth in Foster Care”, </w:t>
      </w:r>
      <w:r w:rsidDel="00000000" w:rsidR="00000000" w:rsidRPr="00000000">
        <w:rPr>
          <w:rFonts w:ascii="Playfair Display" w:cs="Playfair Display" w:eastAsia="Playfair Display" w:hAnsi="Playfair Display"/>
          <w:i w:val="1"/>
          <w:color w:val="3f5351"/>
          <w:sz w:val="20"/>
          <w:szCs w:val="20"/>
          <w:highlight w:val="white"/>
          <w:rtl w:val="0"/>
        </w:rPr>
        <w:t xml:space="preserve">Archives of Psychiatric Nursing</w:t>
      </w:r>
      <w:r w:rsidDel="00000000" w:rsidR="00000000" w:rsidRPr="00000000">
        <w:rPr>
          <w:rFonts w:ascii="Playfair Display" w:cs="Playfair Display" w:eastAsia="Playfair Display" w:hAnsi="Playfair Display"/>
          <w:color w:val="3f5351"/>
          <w:sz w:val="20"/>
          <w:szCs w:val="20"/>
          <w:highlight w:val="white"/>
          <w:rtl w:val="0"/>
        </w:rPr>
        <w:t xml:space="preserve">, Vol. 30 No. 3, pp. 439–446, doi:</w:t>
      </w:r>
      <w:hyperlink r:id="rId21">
        <w:r w:rsidDel="00000000" w:rsidR="00000000" w:rsidRPr="00000000">
          <w:rPr>
            <w:rFonts w:ascii="Playfair Display" w:cs="Playfair Display" w:eastAsia="Playfair Display" w:hAnsi="Playfair Display"/>
            <w:color w:val="3f5351"/>
            <w:sz w:val="20"/>
            <w:szCs w:val="20"/>
            <w:highlight w:val="white"/>
            <w:rtl w:val="0"/>
          </w:rPr>
          <w:t xml:space="preserve"> </w:t>
        </w:r>
      </w:hyperlink>
      <w:hyperlink r:id="rId22">
        <w:r w:rsidDel="00000000" w:rsidR="00000000" w:rsidRPr="00000000">
          <w:rPr>
            <w:rFonts w:ascii="Playfair Display" w:cs="Playfair Display" w:eastAsia="Playfair Display" w:hAnsi="Playfair Display"/>
            <w:color w:val="1155cc"/>
            <w:sz w:val="20"/>
            <w:szCs w:val="20"/>
            <w:highlight w:val="white"/>
            <w:u w:val="single"/>
            <w:rtl w:val="0"/>
          </w:rPr>
          <w:t xml:space="preserve">10.1016/j.apnu.2016.01.007</w:t>
        </w:r>
      </w:hyperlink>
      <w:r w:rsidDel="00000000" w:rsidR="00000000" w:rsidRPr="00000000">
        <w:rPr>
          <w:rFonts w:ascii="Playfair Display" w:cs="Playfair Display" w:eastAsia="Playfair Display" w:hAnsi="Playfair Display"/>
          <w:color w:val="3f5351"/>
          <w:sz w:val="20"/>
          <w:szCs w:val="20"/>
          <w:highlight w:val="white"/>
          <w:rtl w:val="0"/>
        </w:rPr>
        <w:t xml:space="preserve">.</w:t>
      </w:r>
    </w:p>
    <w:p w:rsidR="00000000" w:rsidDel="00000000" w:rsidP="00000000" w:rsidRDefault="00000000" w:rsidRPr="00000000" w14:paraId="00000049">
      <w:pPr>
        <w:spacing w:line="360" w:lineRule="auto"/>
        <w:ind w:left="880" w:hanging="440"/>
        <w:rPr>
          <w:rFonts w:ascii="Playfair Display" w:cs="Playfair Display" w:eastAsia="Playfair Display" w:hAnsi="Playfair Display"/>
          <w:color w:val="3f5351"/>
          <w:sz w:val="20"/>
          <w:szCs w:val="20"/>
          <w:highlight w:val="white"/>
        </w:rPr>
      </w:pPr>
      <w:r w:rsidDel="00000000" w:rsidR="00000000" w:rsidRPr="00000000">
        <w:rPr>
          <w:rFonts w:ascii="Playfair Display" w:cs="Playfair Display" w:eastAsia="Playfair Display" w:hAnsi="Playfair Display"/>
          <w:color w:val="3f5351"/>
          <w:sz w:val="20"/>
          <w:szCs w:val="20"/>
          <w:highlight w:val="white"/>
          <w:rtl w:val="0"/>
        </w:rPr>
        <w:t xml:space="preserve">Hickie, I.B., Scott, E.M., Cross, S.P., Iorfino, F., Davenport, T.A., Guastella, A.J., Naismith, S.L., </w:t>
      </w:r>
      <w:r w:rsidDel="00000000" w:rsidR="00000000" w:rsidRPr="00000000">
        <w:rPr>
          <w:rFonts w:ascii="Playfair Display" w:cs="Playfair Display" w:eastAsia="Playfair Display" w:hAnsi="Playfair Display"/>
          <w:i w:val="1"/>
          <w:color w:val="3f5351"/>
          <w:sz w:val="20"/>
          <w:szCs w:val="20"/>
          <w:highlight w:val="white"/>
          <w:rtl w:val="0"/>
        </w:rPr>
        <w:t xml:space="preserve">et al.</w:t>
      </w:r>
      <w:r w:rsidDel="00000000" w:rsidR="00000000" w:rsidRPr="00000000">
        <w:rPr>
          <w:rFonts w:ascii="Playfair Display" w:cs="Playfair Display" w:eastAsia="Playfair Display" w:hAnsi="Playfair Display"/>
          <w:color w:val="3f5351"/>
          <w:sz w:val="20"/>
          <w:szCs w:val="20"/>
          <w:highlight w:val="white"/>
          <w:rtl w:val="0"/>
        </w:rPr>
        <w:t xml:space="preserve"> (2019), “Right care, first time: a highly personalised and measurement-based care model to manage youth mental health”, </w:t>
      </w:r>
      <w:r w:rsidDel="00000000" w:rsidR="00000000" w:rsidRPr="00000000">
        <w:rPr>
          <w:rFonts w:ascii="Playfair Display" w:cs="Playfair Display" w:eastAsia="Playfair Display" w:hAnsi="Playfair Display"/>
          <w:i w:val="1"/>
          <w:color w:val="3f5351"/>
          <w:sz w:val="20"/>
          <w:szCs w:val="20"/>
          <w:highlight w:val="white"/>
          <w:rtl w:val="0"/>
        </w:rPr>
        <w:t xml:space="preserve">The Medical Journal of Australia</w:t>
      </w:r>
      <w:r w:rsidDel="00000000" w:rsidR="00000000" w:rsidRPr="00000000">
        <w:rPr>
          <w:rFonts w:ascii="Playfair Display" w:cs="Playfair Display" w:eastAsia="Playfair Display" w:hAnsi="Playfair Display"/>
          <w:color w:val="3f5351"/>
          <w:sz w:val="20"/>
          <w:szCs w:val="20"/>
          <w:highlight w:val="white"/>
          <w:rtl w:val="0"/>
        </w:rPr>
        <w:t xml:space="preserve">, Vol. 211 Suppl 9, pp. S3–S46, doi:</w:t>
      </w:r>
      <w:hyperlink r:id="rId23">
        <w:r w:rsidDel="00000000" w:rsidR="00000000" w:rsidRPr="00000000">
          <w:rPr>
            <w:rFonts w:ascii="Playfair Display" w:cs="Playfair Display" w:eastAsia="Playfair Display" w:hAnsi="Playfair Display"/>
            <w:color w:val="3f5351"/>
            <w:sz w:val="20"/>
            <w:szCs w:val="20"/>
            <w:highlight w:val="white"/>
            <w:rtl w:val="0"/>
          </w:rPr>
          <w:t xml:space="preserve"> </w:t>
        </w:r>
      </w:hyperlink>
      <w:hyperlink r:id="rId24">
        <w:r w:rsidDel="00000000" w:rsidR="00000000" w:rsidRPr="00000000">
          <w:rPr>
            <w:rFonts w:ascii="Playfair Display" w:cs="Playfair Display" w:eastAsia="Playfair Display" w:hAnsi="Playfair Display"/>
            <w:color w:val="1155cc"/>
            <w:sz w:val="20"/>
            <w:szCs w:val="20"/>
            <w:highlight w:val="white"/>
            <w:u w:val="single"/>
            <w:rtl w:val="0"/>
          </w:rPr>
          <w:t xml:space="preserve">10.5694/mja2.50383</w:t>
        </w:r>
      </w:hyperlink>
      <w:r w:rsidDel="00000000" w:rsidR="00000000" w:rsidRPr="00000000">
        <w:rPr>
          <w:rFonts w:ascii="Playfair Display" w:cs="Playfair Display" w:eastAsia="Playfair Display" w:hAnsi="Playfair Display"/>
          <w:color w:val="3f5351"/>
          <w:sz w:val="20"/>
          <w:szCs w:val="20"/>
          <w:highlight w:val="white"/>
          <w:rtl w:val="0"/>
        </w:rPr>
        <w:t xml:space="preserve">.</w:t>
      </w:r>
    </w:p>
    <w:p w:rsidR="00000000" w:rsidDel="00000000" w:rsidP="00000000" w:rsidRDefault="00000000" w:rsidRPr="00000000" w14:paraId="0000004A">
      <w:pPr>
        <w:spacing w:line="360" w:lineRule="auto"/>
        <w:ind w:left="880" w:hanging="440"/>
        <w:rPr>
          <w:rFonts w:ascii="Playfair Display" w:cs="Playfair Display" w:eastAsia="Playfair Display" w:hAnsi="Playfair Display"/>
          <w:color w:val="3f5351"/>
          <w:sz w:val="20"/>
          <w:szCs w:val="20"/>
          <w:highlight w:val="white"/>
        </w:rPr>
      </w:pPr>
      <w:r w:rsidDel="00000000" w:rsidR="00000000" w:rsidRPr="00000000">
        <w:rPr>
          <w:rFonts w:ascii="Playfair Display" w:cs="Playfair Display" w:eastAsia="Playfair Display" w:hAnsi="Playfair Display"/>
          <w:color w:val="3f5351"/>
          <w:sz w:val="20"/>
          <w:szCs w:val="20"/>
          <w:highlight w:val="white"/>
          <w:rtl w:val="0"/>
        </w:rPr>
        <w:t xml:space="preserve">“How Many People Participate in the Social Safety Net? | ASPE”. (2023), , available at:</w:t>
      </w:r>
      <w:hyperlink r:id="rId25">
        <w:r w:rsidDel="00000000" w:rsidR="00000000" w:rsidRPr="00000000">
          <w:rPr>
            <w:rFonts w:ascii="Playfair Display" w:cs="Playfair Display" w:eastAsia="Playfair Display" w:hAnsi="Playfair Display"/>
            <w:color w:val="3f5351"/>
            <w:sz w:val="20"/>
            <w:szCs w:val="20"/>
            <w:highlight w:val="white"/>
            <w:rtl w:val="0"/>
          </w:rPr>
          <w:t xml:space="preserve"> </w:t>
        </w:r>
      </w:hyperlink>
      <w:hyperlink r:id="rId26">
        <w:r w:rsidDel="00000000" w:rsidR="00000000" w:rsidRPr="00000000">
          <w:rPr>
            <w:rFonts w:ascii="Playfair Display" w:cs="Playfair Display" w:eastAsia="Playfair Display" w:hAnsi="Playfair Display"/>
            <w:color w:val="1155cc"/>
            <w:sz w:val="20"/>
            <w:szCs w:val="20"/>
            <w:highlight w:val="white"/>
            <w:u w:val="single"/>
            <w:rtl w:val="0"/>
          </w:rPr>
          <w:t xml:space="preserve">https://aspe.hhs.gov/reports/people-participate-social-safety-net</w:t>
        </w:r>
      </w:hyperlink>
      <w:r w:rsidDel="00000000" w:rsidR="00000000" w:rsidRPr="00000000">
        <w:rPr>
          <w:rFonts w:ascii="Playfair Display" w:cs="Playfair Display" w:eastAsia="Playfair Display" w:hAnsi="Playfair Display"/>
          <w:color w:val="3f5351"/>
          <w:sz w:val="20"/>
          <w:szCs w:val="20"/>
          <w:highlight w:val="white"/>
          <w:rtl w:val="0"/>
        </w:rPr>
        <w:t xml:space="preserve"> (accessed 10 February 2025).</w:t>
      </w:r>
    </w:p>
    <w:p w:rsidR="00000000" w:rsidDel="00000000" w:rsidP="00000000" w:rsidRDefault="00000000" w:rsidRPr="00000000" w14:paraId="0000004B">
      <w:pPr>
        <w:spacing w:line="360" w:lineRule="auto"/>
        <w:ind w:left="880" w:hanging="440"/>
        <w:rPr>
          <w:rFonts w:ascii="Playfair Display" w:cs="Playfair Display" w:eastAsia="Playfair Display" w:hAnsi="Playfair Display"/>
          <w:color w:val="3f5351"/>
          <w:sz w:val="20"/>
          <w:szCs w:val="20"/>
          <w:highlight w:val="white"/>
        </w:rPr>
      </w:pPr>
      <w:r w:rsidDel="00000000" w:rsidR="00000000" w:rsidRPr="00000000">
        <w:rPr>
          <w:rFonts w:ascii="Playfair Display" w:cs="Playfair Display" w:eastAsia="Playfair Display" w:hAnsi="Playfair Display"/>
          <w:color w:val="3f5351"/>
          <w:sz w:val="20"/>
          <w:szCs w:val="20"/>
          <w:highlight w:val="white"/>
          <w:rtl w:val="0"/>
        </w:rPr>
        <w:t xml:space="preserve">Howard Sercombe. (2004), “Youth Work: The Professionalisation Dilemma”, </w:t>
      </w:r>
      <w:r w:rsidDel="00000000" w:rsidR="00000000" w:rsidRPr="00000000">
        <w:rPr>
          <w:rFonts w:ascii="Playfair Display" w:cs="Playfair Display" w:eastAsia="Playfair Display" w:hAnsi="Playfair Display"/>
          <w:i w:val="1"/>
          <w:color w:val="3f5351"/>
          <w:sz w:val="20"/>
          <w:szCs w:val="20"/>
          <w:highlight w:val="white"/>
          <w:rtl w:val="0"/>
        </w:rPr>
        <w:t xml:space="preserve">Youth Studies Australia</w:t>
      </w:r>
      <w:r w:rsidDel="00000000" w:rsidR="00000000" w:rsidRPr="00000000">
        <w:rPr>
          <w:rFonts w:ascii="Playfair Display" w:cs="Playfair Display" w:eastAsia="Playfair Display" w:hAnsi="Playfair Display"/>
          <w:color w:val="3f5351"/>
          <w:sz w:val="20"/>
          <w:szCs w:val="20"/>
          <w:highlight w:val="white"/>
          <w:rtl w:val="0"/>
        </w:rPr>
        <w:t xml:space="preserve">, Vol. 23 No. 4, pp. 20–25.</w:t>
      </w:r>
    </w:p>
    <w:p w:rsidR="00000000" w:rsidDel="00000000" w:rsidP="00000000" w:rsidRDefault="00000000" w:rsidRPr="00000000" w14:paraId="0000004C">
      <w:pPr>
        <w:spacing w:line="360" w:lineRule="auto"/>
        <w:ind w:left="880" w:hanging="440"/>
        <w:rPr>
          <w:rFonts w:ascii="Playfair Display" w:cs="Playfair Display" w:eastAsia="Playfair Display" w:hAnsi="Playfair Display"/>
          <w:color w:val="3f5351"/>
          <w:sz w:val="20"/>
          <w:szCs w:val="20"/>
          <w:highlight w:val="white"/>
        </w:rPr>
      </w:pPr>
      <w:r w:rsidDel="00000000" w:rsidR="00000000" w:rsidRPr="00000000">
        <w:rPr>
          <w:rFonts w:ascii="Playfair Display" w:cs="Playfair Display" w:eastAsia="Playfair Display" w:hAnsi="Playfair Display"/>
          <w:color w:val="3f5351"/>
          <w:sz w:val="20"/>
          <w:szCs w:val="20"/>
          <w:highlight w:val="white"/>
          <w:rtl w:val="0"/>
        </w:rPr>
        <w:t xml:space="preserve">Kerr, D. (2025), “US immigration is gaming Google to create a mirage of mass deportations”, </w:t>
      </w:r>
      <w:r w:rsidDel="00000000" w:rsidR="00000000" w:rsidRPr="00000000">
        <w:rPr>
          <w:rFonts w:ascii="Playfair Display" w:cs="Playfair Display" w:eastAsia="Playfair Display" w:hAnsi="Playfair Display"/>
          <w:i w:val="1"/>
          <w:color w:val="3f5351"/>
          <w:sz w:val="20"/>
          <w:szCs w:val="20"/>
          <w:highlight w:val="white"/>
          <w:rtl w:val="0"/>
        </w:rPr>
        <w:t xml:space="preserve">The Guardian</w:t>
      </w:r>
      <w:r w:rsidDel="00000000" w:rsidR="00000000" w:rsidRPr="00000000">
        <w:rPr>
          <w:rFonts w:ascii="Playfair Display" w:cs="Playfair Display" w:eastAsia="Playfair Display" w:hAnsi="Playfair Display"/>
          <w:color w:val="3f5351"/>
          <w:sz w:val="20"/>
          <w:szCs w:val="20"/>
          <w:highlight w:val="white"/>
          <w:rtl w:val="0"/>
        </w:rPr>
        <w:t xml:space="preserve">, 6 February.</w:t>
      </w:r>
    </w:p>
    <w:p w:rsidR="00000000" w:rsidDel="00000000" w:rsidP="00000000" w:rsidRDefault="00000000" w:rsidRPr="00000000" w14:paraId="0000004D">
      <w:pPr>
        <w:spacing w:line="360" w:lineRule="auto"/>
        <w:ind w:left="880" w:hanging="440"/>
        <w:rPr>
          <w:rFonts w:ascii="Playfair Display" w:cs="Playfair Display" w:eastAsia="Playfair Display" w:hAnsi="Playfair Display"/>
          <w:color w:val="3f5351"/>
          <w:sz w:val="20"/>
          <w:szCs w:val="20"/>
          <w:highlight w:val="white"/>
        </w:rPr>
      </w:pPr>
      <w:r w:rsidDel="00000000" w:rsidR="00000000" w:rsidRPr="00000000">
        <w:rPr>
          <w:rFonts w:ascii="Playfair Display" w:cs="Playfair Display" w:eastAsia="Playfair Display" w:hAnsi="Playfair Display"/>
          <w:color w:val="3f5351"/>
          <w:sz w:val="20"/>
          <w:szCs w:val="20"/>
          <w:highlight w:val="white"/>
          <w:rtl w:val="0"/>
        </w:rPr>
        <w:t xml:space="preserve">“Labeling theory | Concepts, Theories, &amp; Criticism | Britannica”. (2025), , available at:</w:t>
      </w:r>
      <w:hyperlink r:id="rId27">
        <w:r w:rsidDel="00000000" w:rsidR="00000000" w:rsidRPr="00000000">
          <w:rPr>
            <w:rFonts w:ascii="Playfair Display" w:cs="Playfair Display" w:eastAsia="Playfair Display" w:hAnsi="Playfair Display"/>
            <w:color w:val="3f5351"/>
            <w:sz w:val="20"/>
            <w:szCs w:val="20"/>
            <w:highlight w:val="white"/>
            <w:rtl w:val="0"/>
          </w:rPr>
          <w:t xml:space="preserve"> </w:t>
        </w:r>
      </w:hyperlink>
      <w:hyperlink r:id="rId28">
        <w:r w:rsidDel="00000000" w:rsidR="00000000" w:rsidRPr="00000000">
          <w:rPr>
            <w:rFonts w:ascii="Playfair Display" w:cs="Playfair Display" w:eastAsia="Playfair Display" w:hAnsi="Playfair Display"/>
            <w:color w:val="1155cc"/>
            <w:sz w:val="20"/>
            <w:szCs w:val="20"/>
            <w:highlight w:val="white"/>
            <w:u w:val="single"/>
            <w:rtl w:val="0"/>
          </w:rPr>
          <w:t xml:space="preserve">https://www.britannica.com/topic/labeling-theory</w:t>
        </w:r>
      </w:hyperlink>
      <w:r w:rsidDel="00000000" w:rsidR="00000000" w:rsidRPr="00000000">
        <w:rPr>
          <w:rFonts w:ascii="Playfair Display" w:cs="Playfair Display" w:eastAsia="Playfair Display" w:hAnsi="Playfair Display"/>
          <w:color w:val="3f5351"/>
          <w:sz w:val="20"/>
          <w:szCs w:val="20"/>
          <w:highlight w:val="white"/>
          <w:rtl w:val="0"/>
        </w:rPr>
        <w:t xml:space="preserve"> (accessed 10 February 2025).</w:t>
      </w:r>
    </w:p>
    <w:p w:rsidR="00000000" w:rsidDel="00000000" w:rsidP="00000000" w:rsidRDefault="00000000" w:rsidRPr="00000000" w14:paraId="0000004E">
      <w:pPr>
        <w:spacing w:line="360" w:lineRule="auto"/>
        <w:ind w:left="880" w:hanging="440"/>
        <w:rPr>
          <w:rFonts w:ascii="Playfair Display" w:cs="Playfair Display" w:eastAsia="Playfair Display" w:hAnsi="Playfair Display"/>
          <w:color w:val="3f5351"/>
          <w:sz w:val="20"/>
          <w:szCs w:val="20"/>
          <w:highlight w:val="white"/>
        </w:rPr>
      </w:pPr>
      <w:r w:rsidDel="00000000" w:rsidR="00000000" w:rsidRPr="00000000">
        <w:rPr>
          <w:rFonts w:ascii="Playfair Display" w:cs="Playfair Display" w:eastAsia="Playfair Display" w:hAnsi="Playfair Display"/>
          <w:color w:val="3f5351"/>
          <w:sz w:val="20"/>
          <w:szCs w:val="20"/>
          <w:highlight w:val="white"/>
          <w:rtl w:val="0"/>
        </w:rPr>
        <w:t xml:space="preserve">Learning Care. (2024), “What is Professional Advocacy in Health and Social Care?”, </w:t>
      </w:r>
      <w:r w:rsidDel="00000000" w:rsidR="00000000" w:rsidRPr="00000000">
        <w:rPr>
          <w:rFonts w:ascii="Playfair Display" w:cs="Playfair Display" w:eastAsia="Playfair Display" w:hAnsi="Playfair Display"/>
          <w:i w:val="1"/>
          <w:color w:val="3f5351"/>
          <w:sz w:val="20"/>
          <w:szCs w:val="20"/>
          <w:highlight w:val="white"/>
          <w:rtl w:val="0"/>
        </w:rPr>
        <w:t xml:space="preserve">Care Learning</w:t>
      </w:r>
      <w:r w:rsidDel="00000000" w:rsidR="00000000" w:rsidRPr="00000000">
        <w:rPr>
          <w:rFonts w:ascii="Playfair Display" w:cs="Playfair Display" w:eastAsia="Playfair Display" w:hAnsi="Playfair Display"/>
          <w:color w:val="3f5351"/>
          <w:sz w:val="20"/>
          <w:szCs w:val="20"/>
          <w:highlight w:val="white"/>
          <w:rtl w:val="0"/>
        </w:rPr>
        <w:t xml:space="preserve">, 13 August, available at:</w:t>
      </w:r>
      <w:hyperlink r:id="rId29">
        <w:r w:rsidDel="00000000" w:rsidR="00000000" w:rsidRPr="00000000">
          <w:rPr>
            <w:rFonts w:ascii="Playfair Display" w:cs="Playfair Display" w:eastAsia="Playfair Display" w:hAnsi="Playfair Display"/>
            <w:color w:val="3f5351"/>
            <w:sz w:val="20"/>
            <w:szCs w:val="20"/>
            <w:highlight w:val="white"/>
            <w:rtl w:val="0"/>
          </w:rPr>
          <w:t xml:space="preserve"> </w:t>
        </w:r>
      </w:hyperlink>
      <w:hyperlink r:id="rId30">
        <w:r w:rsidDel="00000000" w:rsidR="00000000" w:rsidRPr="00000000">
          <w:rPr>
            <w:rFonts w:ascii="Playfair Display" w:cs="Playfair Display" w:eastAsia="Playfair Display" w:hAnsi="Playfair Display"/>
            <w:color w:val="1155cc"/>
            <w:sz w:val="20"/>
            <w:szCs w:val="20"/>
            <w:highlight w:val="white"/>
            <w:u w:val="single"/>
            <w:rtl w:val="0"/>
          </w:rPr>
          <w:t xml:space="preserve">https://carelearning.org.uk/blog/advocacy/what-is-professional-advocacy-in-health-and-social-care/</w:t>
        </w:r>
      </w:hyperlink>
      <w:r w:rsidDel="00000000" w:rsidR="00000000" w:rsidRPr="00000000">
        <w:rPr>
          <w:rFonts w:ascii="Playfair Display" w:cs="Playfair Display" w:eastAsia="Playfair Display" w:hAnsi="Playfair Display"/>
          <w:color w:val="3f5351"/>
          <w:sz w:val="20"/>
          <w:szCs w:val="20"/>
          <w:highlight w:val="white"/>
          <w:rtl w:val="0"/>
        </w:rPr>
        <w:t xml:space="preserve"> (accessed 10 February 2025).</w:t>
      </w:r>
    </w:p>
    <w:p w:rsidR="00000000" w:rsidDel="00000000" w:rsidP="00000000" w:rsidRDefault="00000000" w:rsidRPr="00000000" w14:paraId="0000004F">
      <w:pPr>
        <w:spacing w:line="360" w:lineRule="auto"/>
        <w:ind w:left="880" w:hanging="440"/>
        <w:rPr>
          <w:rFonts w:ascii="Playfair Display" w:cs="Playfair Display" w:eastAsia="Playfair Display" w:hAnsi="Playfair Display"/>
          <w:color w:val="3f5351"/>
          <w:sz w:val="20"/>
          <w:szCs w:val="20"/>
          <w:highlight w:val="white"/>
        </w:rPr>
      </w:pPr>
      <w:r w:rsidDel="00000000" w:rsidR="00000000" w:rsidRPr="00000000">
        <w:rPr>
          <w:rFonts w:ascii="Playfair Display" w:cs="Playfair Display" w:eastAsia="Playfair Display" w:hAnsi="Playfair Display"/>
          <w:color w:val="3f5351"/>
          <w:sz w:val="20"/>
          <w:szCs w:val="20"/>
          <w:highlight w:val="white"/>
          <w:rtl w:val="0"/>
        </w:rPr>
        <w:t xml:space="preserve">Macartney, S. and Ghertner, R. (2023), “Participation in the U.S. Social Safety Net: Multiple Programs, 2019”. </w:t>
      </w:r>
    </w:p>
    <w:p w:rsidR="00000000" w:rsidDel="00000000" w:rsidP="00000000" w:rsidRDefault="00000000" w:rsidRPr="00000000" w14:paraId="00000050">
      <w:pPr>
        <w:spacing w:line="360" w:lineRule="auto"/>
        <w:ind w:left="880" w:hanging="440"/>
        <w:rPr>
          <w:rFonts w:ascii="Playfair Display" w:cs="Playfair Display" w:eastAsia="Playfair Display" w:hAnsi="Playfair Display"/>
          <w:color w:val="3f5351"/>
          <w:sz w:val="20"/>
          <w:szCs w:val="20"/>
          <w:highlight w:val="white"/>
        </w:rPr>
      </w:pPr>
      <w:r w:rsidDel="00000000" w:rsidR="00000000" w:rsidRPr="00000000">
        <w:rPr>
          <w:rFonts w:ascii="Playfair Display" w:cs="Playfair Display" w:eastAsia="Playfair Display" w:hAnsi="Playfair Display"/>
          <w:color w:val="3f5351"/>
          <w:sz w:val="20"/>
          <w:szCs w:val="20"/>
          <w:highlight w:val="white"/>
          <w:rtl w:val="0"/>
        </w:rPr>
        <w:t xml:space="preserve">Mind. (2024), “What is advocacy?”, </w:t>
      </w:r>
      <w:r w:rsidDel="00000000" w:rsidR="00000000" w:rsidRPr="00000000">
        <w:rPr>
          <w:rFonts w:ascii="Playfair Display" w:cs="Playfair Display" w:eastAsia="Playfair Display" w:hAnsi="Playfair Display"/>
          <w:i w:val="1"/>
          <w:color w:val="3f5351"/>
          <w:sz w:val="20"/>
          <w:szCs w:val="20"/>
          <w:highlight w:val="white"/>
          <w:rtl w:val="0"/>
        </w:rPr>
        <w:t xml:space="preserve">Https://Www.Mind.Org.Uk/Information-Support/Guides-to-Support-and-Services/Advocacy/What-Is-Advocacy/</w:t>
      </w:r>
      <w:r w:rsidDel="00000000" w:rsidR="00000000" w:rsidRPr="00000000">
        <w:rPr>
          <w:rFonts w:ascii="Playfair Display" w:cs="Playfair Display" w:eastAsia="Playfair Display" w:hAnsi="Playfair Display"/>
          <w:color w:val="3f5351"/>
          <w:sz w:val="20"/>
          <w:szCs w:val="20"/>
          <w:highlight w:val="white"/>
          <w:rtl w:val="0"/>
        </w:rPr>
        <w:t xml:space="preserve">, available at:</w:t>
      </w:r>
      <w:hyperlink r:id="rId31">
        <w:r w:rsidDel="00000000" w:rsidR="00000000" w:rsidRPr="00000000">
          <w:rPr>
            <w:rFonts w:ascii="Playfair Display" w:cs="Playfair Display" w:eastAsia="Playfair Display" w:hAnsi="Playfair Display"/>
            <w:color w:val="3f5351"/>
            <w:sz w:val="20"/>
            <w:szCs w:val="20"/>
            <w:highlight w:val="white"/>
            <w:rtl w:val="0"/>
          </w:rPr>
          <w:t xml:space="preserve"> </w:t>
        </w:r>
      </w:hyperlink>
      <w:hyperlink r:id="rId32">
        <w:r w:rsidDel="00000000" w:rsidR="00000000" w:rsidRPr="00000000">
          <w:rPr>
            <w:rFonts w:ascii="Playfair Display" w:cs="Playfair Display" w:eastAsia="Playfair Display" w:hAnsi="Playfair Display"/>
            <w:color w:val="1155cc"/>
            <w:sz w:val="20"/>
            <w:szCs w:val="20"/>
            <w:highlight w:val="white"/>
            <w:u w:val="single"/>
            <w:rtl w:val="0"/>
          </w:rPr>
          <w:t xml:space="preserve">https://www.mind.org.uk/information-support/guides-to-support-and-services/advocacy/what-is-advocacy/</w:t>
        </w:r>
      </w:hyperlink>
      <w:r w:rsidDel="00000000" w:rsidR="00000000" w:rsidRPr="00000000">
        <w:rPr>
          <w:rFonts w:ascii="Playfair Display" w:cs="Playfair Display" w:eastAsia="Playfair Display" w:hAnsi="Playfair Display"/>
          <w:color w:val="3f5351"/>
          <w:sz w:val="20"/>
          <w:szCs w:val="20"/>
          <w:highlight w:val="white"/>
          <w:rtl w:val="0"/>
        </w:rPr>
        <w:t xml:space="preserve"> (accessed 10 February 2025).</w:t>
      </w:r>
    </w:p>
    <w:p w:rsidR="00000000" w:rsidDel="00000000" w:rsidP="00000000" w:rsidRDefault="00000000" w:rsidRPr="00000000" w14:paraId="00000051">
      <w:pPr>
        <w:spacing w:line="360" w:lineRule="auto"/>
        <w:ind w:left="880" w:hanging="440"/>
        <w:rPr>
          <w:rFonts w:ascii="Playfair Display" w:cs="Playfair Display" w:eastAsia="Playfair Display" w:hAnsi="Playfair Display"/>
          <w:color w:val="3f5351"/>
          <w:sz w:val="20"/>
          <w:szCs w:val="20"/>
          <w:highlight w:val="white"/>
        </w:rPr>
      </w:pPr>
      <w:r w:rsidDel="00000000" w:rsidR="00000000" w:rsidRPr="00000000">
        <w:rPr>
          <w:rFonts w:ascii="Playfair Display" w:cs="Playfair Display" w:eastAsia="Playfair Display" w:hAnsi="Playfair Display"/>
          <w:color w:val="3f5351"/>
          <w:sz w:val="20"/>
          <w:szCs w:val="20"/>
          <w:highlight w:val="white"/>
          <w:rtl w:val="0"/>
        </w:rPr>
        <w:t xml:space="preserve">Nwogu, N.N., Agrawal, L., Chambers, S., Buagas, A.B., Daniele, R.M. and Singleton, J.K. (2016), “Effectiveness of Child Advocacy Centers and the multidisciplinary team approach on prosecution rates of alleged sex offenders and satisfaction of non-offending caregivers with allegations of child sexual abuse: a systematic review”, </w:t>
      </w:r>
      <w:r w:rsidDel="00000000" w:rsidR="00000000" w:rsidRPr="00000000">
        <w:rPr>
          <w:rFonts w:ascii="Playfair Display" w:cs="Playfair Display" w:eastAsia="Playfair Display" w:hAnsi="Playfair Display"/>
          <w:i w:val="1"/>
          <w:color w:val="3f5351"/>
          <w:sz w:val="20"/>
          <w:szCs w:val="20"/>
          <w:highlight w:val="white"/>
          <w:rtl w:val="0"/>
        </w:rPr>
        <w:t xml:space="preserve">JBI Database of Systematic Reviews and Implementation Reports</w:t>
      </w:r>
      <w:r w:rsidDel="00000000" w:rsidR="00000000" w:rsidRPr="00000000">
        <w:rPr>
          <w:rFonts w:ascii="Playfair Display" w:cs="Playfair Display" w:eastAsia="Playfair Display" w:hAnsi="Playfair Display"/>
          <w:color w:val="3f5351"/>
          <w:sz w:val="20"/>
          <w:szCs w:val="20"/>
          <w:highlight w:val="white"/>
          <w:rtl w:val="0"/>
        </w:rPr>
        <w:t xml:space="preserve">, Vol. 13 No. 12, pp. 93–129, doi:</w:t>
      </w:r>
      <w:hyperlink r:id="rId33">
        <w:r w:rsidDel="00000000" w:rsidR="00000000" w:rsidRPr="00000000">
          <w:rPr>
            <w:rFonts w:ascii="Playfair Display" w:cs="Playfair Display" w:eastAsia="Playfair Display" w:hAnsi="Playfair Display"/>
            <w:color w:val="3f5351"/>
            <w:sz w:val="20"/>
            <w:szCs w:val="20"/>
            <w:highlight w:val="white"/>
            <w:rtl w:val="0"/>
          </w:rPr>
          <w:t xml:space="preserve"> </w:t>
        </w:r>
      </w:hyperlink>
      <w:hyperlink r:id="rId34">
        <w:r w:rsidDel="00000000" w:rsidR="00000000" w:rsidRPr="00000000">
          <w:rPr>
            <w:rFonts w:ascii="Playfair Display" w:cs="Playfair Display" w:eastAsia="Playfair Display" w:hAnsi="Playfair Display"/>
            <w:color w:val="1155cc"/>
            <w:sz w:val="20"/>
            <w:szCs w:val="20"/>
            <w:highlight w:val="white"/>
            <w:u w:val="single"/>
            <w:rtl w:val="0"/>
          </w:rPr>
          <w:t xml:space="preserve">10.11124/jbisrir-2015-2113</w:t>
        </w:r>
      </w:hyperlink>
      <w:r w:rsidDel="00000000" w:rsidR="00000000" w:rsidRPr="00000000">
        <w:rPr>
          <w:rFonts w:ascii="Playfair Display" w:cs="Playfair Display" w:eastAsia="Playfair Display" w:hAnsi="Playfair Display"/>
          <w:color w:val="3f5351"/>
          <w:sz w:val="20"/>
          <w:szCs w:val="20"/>
          <w:highlight w:val="white"/>
          <w:rtl w:val="0"/>
        </w:rPr>
        <w:t xml:space="preserve">.</w:t>
      </w:r>
    </w:p>
    <w:p w:rsidR="00000000" w:rsidDel="00000000" w:rsidP="00000000" w:rsidRDefault="00000000" w:rsidRPr="00000000" w14:paraId="00000052">
      <w:pPr>
        <w:spacing w:line="360" w:lineRule="auto"/>
        <w:ind w:left="880" w:hanging="440"/>
        <w:rPr>
          <w:rFonts w:ascii="Playfair Display" w:cs="Playfair Display" w:eastAsia="Playfair Display" w:hAnsi="Playfair Display"/>
          <w:color w:val="3f5351"/>
          <w:sz w:val="20"/>
          <w:szCs w:val="20"/>
          <w:highlight w:val="white"/>
        </w:rPr>
      </w:pPr>
      <w:r w:rsidDel="00000000" w:rsidR="00000000" w:rsidRPr="00000000">
        <w:rPr>
          <w:rFonts w:ascii="Playfair Display" w:cs="Playfair Display" w:eastAsia="Playfair Display" w:hAnsi="Playfair Display"/>
          <w:color w:val="3f5351"/>
          <w:sz w:val="20"/>
          <w:szCs w:val="20"/>
          <w:highlight w:val="white"/>
          <w:rtl w:val="0"/>
        </w:rPr>
        <w:t xml:space="preserve">“‘Professionalisation, in its push for accepted standards of practice, could eliminate styles of work which are effective but idiosyncratic and unorthodox.’ - Google Search”. (n.d.). , available at:</w:t>
      </w:r>
      <w:hyperlink r:id="rId35">
        <w:r w:rsidDel="00000000" w:rsidR="00000000" w:rsidRPr="00000000">
          <w:rPr>
            <w:rFonts w:ascii="Playfair Display" w:cs="Playfair Display" w:eastAsia="Playfair Display" w:hAnsi="Playfair Display"/>
            <w:color w:val="3f5351"/>
            <w:sz w:val="20"/>
            <w:szCs w:val="20"/>
            <w:highlight w:val="white"/>
            <w:rtl w:val="0"/>
          </w:rPr>
          <w:t xml:space="preserve"> </w:t>
        </w:r>
      </w:hyperlink>
      <w:hyperlink r:id="rId36">
        <w:r w:rsidDel="00000000" w:rsidR="00000000" w:rsidRPr="00000000">
          <w:rPr>
            <w:rFonts w:ascii="Playfair Display" w:cs="Playfair Display" w:eastAsia="Playfair Display" w:hAnsi="Playfair Display"/>
            <w:color w:val="1155cc"/>
            <w:sz w:val="20"/>
            <w:szCs w:val="20"/>
            <w:highlight w:val="white"/>
            <w:u w:val="single"/>
            <w:rtl w:val="0"/>
          </w:rPr>
          <w:t xml:space="preserve">https://www.google.com/search?q=%E2%80%9CProfessionalisation%2C+in+its+push+for+accepted+standards+of+practice%2C+could+eliminate+styles+of+work+which+are+effective+but+idiosyncratic+and+unorthodox.%E2%80%9D&amp;oq=%E2%80%9CProfessionalisation%2C+in+its+push+for+accepted+standards+of+practice%2C+could+eliminate+styles+of+work+which+are+effective+but+idiosyncratic+and+unorthodox.%E2%80%9D&amp;gs_lcrp=EgZjaHJvbWUyBggAEEUYOdIBCDEzMjRqMGo3qAIIsAIB&amp;sourceid=chrome&amp;ie=UTF-8</w:t>
        </w:r>
      </w:hyperlink>
      <w:r w:rsidDel="00000000" w:rsidR="00000000" w:rsidRPr="00000000">
        <w:rPr>
          <w:rFonts w:ascii="Playfair Display" w:cs="Playfair Display" w:eastAsia="Playfair Display" w:hAnsi="Playfair Display"/>
          <w:color w:val="3f5351"/>
          <w:sz w:val="20"/>
          <w:szCs w:val="20"/>
          <w:highlight w:val="white"/>
          <w:rtl w:val="0"/>
        </w:rPr>
        <w:t xml:space="preserve"> (accessed 10 February 2025).</w:t>
      </w:r>
    </w:p>
    <w:p w:rsidR="00000000" w:rsidDel="00000000" w:rsidP="00000000" w:rsidRDefault="00000000" w:rsidRPr="00000000" w14:paraId="00000053">
      <w:pPr>
        <w:spacing w:line="360" w:lineRule="auto"/>
        <w:ind w:left="880" w:hanging="440"/>
        <w:rPr>
          <w:rFonts w:ascii="Playfair Display" w:cs="Playfair Display" w:eastAsia="Playfair Display" w:hAnsi="Playfair Display"/>
          <w:color w:val="3f5351"/>
          <w:sz w:val="20"/>
          <w:szCs w:val="20"/>
          <w:highlight w:val="white"/>
        </w:rPr>
      </w:pPr>
      <w:r w:rsidDel="00000000" w:rsidR="00000000" w:rsidRPr="00000000">
        <w:rPr>
          <w:rFonts w:ascii="Playfair Display" w:cs="Playfair Display" w:eastAsia="Playfair Display" w:hAnsi="Playfair Display"/>
          <w:color w:val="3f5351"/>
          <w:sz w:val="20"/>
          <w:szCs w:val="20"/>
          <w:highlight w:val="white"/>
          <w:rtl w:val="0"/>
        </w:rPr>
        <w:t xml:space="preserve">PtD. (2024), “Professionalisation | People That Deliver”, available at:</w:t>
      </w:r>
      <w:hyperlink r:id="rId37">
        <w:r w:rsidDel="00000000" w:rsidR="00000000" w:rsidRPr="00000000">
          <w:rPr>
            <w:rFonts w:ascii="Playfair Display" w:cs="Playfair Display" w:eastAsia="Playfair Display" w:hAnsi="Playfair Display"/>
            <w:color w:val="3f5351"/>
            <w:sz w:val="20"/>
            <w:szCs w:val="20"/>
            <w:highlight w:val="white"/>
            <w:rtl w:val="0"/>
          </w:rPr>
          <w:t xml:space="preserve"> </w:t>
        </w:r>
      </w:hyperlink>
      <w:hyperlink r:id="rId38">
        <w:r w:rsidDel="00000000" w:rsidR="00000000" w:rsidRPr="00000000">
          <w:rPr>
            <w:rFonts w:ascii="Playfair Display" w:cs="Playfair Display" w:eastAsia="Playfair Display" w:hAnsi="Playfair Display"/>
            <w:color w:val="1155cc"/>
            <w:sz w:val="20"/>
            <w:szCs w:val="20"/>
            <w:highlight w:val="white"/>
            <w:u w:val="single"/>
            <w:rtl w:val="0"/>
          </w:rPr>
          <w:t xml:space="preserve">https://www.peoplethatdeliver.org/professionalisation</w:t>
        </w:r>
      </w:hyperlink>
      <w:r w:rsidDel="00000000" w:rsidR="00000000" w:rsidRPr="00000000">
        <w:rPr>
          <w:rFonts w:ascii="Playfair Display" w:cs="Playfair Display" w:eastAsia="Playfair Display" w:hAnsi="Playfair Display"/>
          <w:color w:val="3f5351"/>
          <w:sz w:val="20"/>
          <w:szCs w:val="20"/>
          <w:highlight w:val="white"/>
          <w:rtl w:val="0"/>
        </w:rPr>
        <w:t xml:space="preserve"> (accessed 10 February 2025).</w:t>
      </w:r>
    </w:p>
    <w:p w:rsidR="00000000" w:rsidDel="00000000" w:rsidP="00000000" w:rsidRDefault="00000000" w:rsidRPr="00000000" w14:paraId="00000054">
      <w:pPr>
        <w:spacing w:line="360" w:lineRule="auto"/>
        <w:ind w:left="880" w:hanging="440"/>
        <w:rPr>
          <w:rFonts w:ascii="Playfair Display" w:cs="Playfair Display" w:eastAsia="Playfair Display" w:hAnsi="Playfair Display"/>
          <w:color w:val="3f5351"/>
          <w:sz w:val="20"/>
          <w:szCs w:val="20"/>
          <w:highlight w:val="white"/>
        </w:rPr>
      </w:pPr>
      <w:r w:rsidDel="00000000" w:rsidR="00000000" w:rsidRPr="00000000">
        <w:rPr>
          <w:rFonts w:ascii="Playfair Display" w:cs="Playfair Display" w:eastAsia="Playfair Display" w:hAnsi="Playfair Display"/>
          <w:color w:val="3f5351"/>
          <w:sz w:val="20"/>
          <w:szCs w:val="20"/>
          <w:highlight w:val="white"/>
          <w:rtl w:val="0"/>
        </w:rPr>
        <w:t xml:space="preserve">Saunders, peter. (2019), “Social Mobility Truths”, </w:t>
      </w:r>
      <w:r w:rsidDel="00000000" w:rsidR="00000000" w:rsidRPr="00000000">
        <w:rPr>
          <w:rFonts w:ascii="Playfair Display" w:cs="Playfair Display" w:eastAsia="Playfair Display" w:hAnsi="Playfair Display"/>
          <w:i w:val="1"/>
          <w:color w:val="3f5351"/>
          <w:sz w:val="20"/>
          <w:szCs w:val="20"/>
          <w:highlight w:val="white"/>
          <w:rtl w:val="0"/>
        </w:rPr>
        <w:t xml:space="preserve">Civitas: Institute for the Study of Civil Society</w:t>
      </w:r>
      <w:r w:rsidDel="00000000" w:rsidR="00000000" w:rsidRPr="00000000">
        <w:rPr>
          <w:rFonts w:ascii="Playfair Display" w:cs="Playfair Display" w:eastAsia="Playfair Display" w:hAnsi="Playfair Display"/>
          <w:color w:val="3f5351"/>
          <w:sz w:val="20"/>
          <w:szCs w:val="20"/>
          <w:highlight w:val="white"/>
          <w:rtl w:val="0"/>
        </w:rPr>
        <w:t xml:space="preserve">, 15 November, available at:</w:t>
      </w:r>
      <w:hyperlink r:id="rId39">
        <w:r w:rsidDel="00000000" w:rsidR="00000000" w:rsidRPr="00000000">
          <w:rPr>
            <w:rFonts w:ascii="Playfair Display" w:cs="Playfair Display" w:eastAsia="Playfair Display" w:hAnsi="Playfair Display"/>
            <w:color w:val="3f5351"/>
            <w:sz w:val="20"/>
            <w:szCs w:val="20"/>
            <w:highlight w:val="white"/>
            <w:rtl w:val="0"/>
          </w:rPr>
          <w:t xml:space="preserve"> </w:t>
        </w:r>
      </w:hyperlink>
      <w:hyperlink r:id="rId40">
        <w:r w:rsidDel="00000000" w:rsidR="00000000" w:rsidRPr="00000000">
          <w:rPr>
            <w:rFonts w:ascii="Playfair Display" w:cs="Playfair Display" w:eastAsia="Playfair Display" w:hAnsi="Playfair Display"/>
            <w:color w:val="1155cc"/>
            <w:sz w:val="20"/>
            <w:szCs w:val="20"/>
            <w:highlight w:val="white"/>
            <w:u w:val="single"/>
            <w:rtl w:val="0"/>
          </w:rPr>
          <w:t xml:space="preserve">http://civitas.org.ukhttps://www.civitas.org.uk/publications/social-mobility-truths/</w:t>
        </w:r>
      </w:hyperlink>
      <w:r w:rsidDel="00000000" w:rsidR="00000000" w:rsidRPr="00000000">
        <w:rPr>
          <w:rFonts w:ascii="Playfair Display" w:cs="Playfair Display" w:eastAsia="Playfair Display" w:hAnsi="Playfair Display"/>
          <w:color w:val="3f5351"/>
          <w:sz w:val="20"/>
          <w:szCs w:val="20"/>
          <w:highlight w:val="white"/>
          <w:rtl w:val="0"/>
        </w:rPr>
        <w:t xml:space="preserve"> (accessed 10 February 2025).</w:t>
      </w:r>
    </w:p>
    <w:p w:rsidR="00000000" w:rsidDel="00000000" w:rsidP="00000000" w:rsidRDefault="00000000" w:rsidRPr="00000000" w14:paraId="00000055">
      <w:pPr>
        <w:spacing w:line="360" w:lineRule="auto"/>
        <w:ind w:left="880" w:hanging="440"/>
        <w:rPr>
          <w:rFonts w:ascii="Playfair Display" w:cs="Playfair Display" w:eastAsia="Playfair Display" w:hAnsi="Playfair Display"/>
          <w:color w:val="3f5351"/>
          <w:sz w:val="20"/>
          <w:szCs w:val="20"/>
          <w:highlight w:val="white"/>
        </w:rPr>
      </w:pPr>
      <w:r w:rsidDel="00000000" w:rsidR="00000000" w:rsidRPr="00000000">
        <w:rPr>
          <w:rFonts w:ascii="Playfair Display" w:cs="Playfair Display" w:eastAsia="Playfair Display" w:hAnsi="Playfair Display"/>
          <w:color w:val="3f5351"/>
          <w:sz w:val="20"/>
          <w:szCs w:val="20"/>
          <w:highlight w:val="white"/>
          <w:rtl w:val="0"/>
        </w:rPr>
        <w:t xml:space="preserve">Scottish Government. (2021), “Social Security: advocacy service standards”, </w:t>
      </w:r>
      <w:r w:rsidDel="00000000" w:rsidR="00000000" w:rsidRPr="00000000">
        <w:rPr>
          <w:rFonts w:ascii="Playfair Display" w:cs="Playfair Display" w:eastAsia="Playfair Display" w:hAnsi="Playfair Display"/>
          <w:i w:val="1"/>
          <w:color w:val="3f5351"/>
          <w:sz w:val="20"/>
          <w:szCs w:val="20"/>
          <w:highlight w:val="white"/>
          <w:rtl w:val="0"/>
        </w:rPr>
        <w:t xml:space="preserve">The Scottish Government</w:t>
      </w:r>
      <w:r w:rsidDel="00000000" w:rsidR="00000000" w:rsidRPr="00000000">
        <w:rPr>
          <w:rFonts w:ascii="Playfair Display" w:cs="Playfair Display" w:eastAsia="Playfair Display" w:hAnsi="Playfair Display"/>
          <w:color w:val="3f5351"/>
          <w:sz w:val="20"/>
          <w:szCs w:val="20"/>
          <w:highlight w:val="white"/>
          <w:rtl w:val="0"/>
        </w:rPr>
        <w:t xml:space="preserve">, available at:</w:t>
      </w:r>
      <w:hyperlink r:id="rId41">
        <w:r w:rsidDel="00000000" w:rsidR="00000000" w:rsidRPr="00000000">
          <w:rPr>
            <w:rFonts w:ascii="Playfair Display" w:cs="Playfair Display" w:eastAsia="Playfair Display" w:hAnsi="Playfair Display"/>
            <w:color w:val="3f5351"/>
            <w:sz w:val="20"/>
            <w:szCs w:val="20"/>
            <w:highlight w:val="white"/>
            <w:rtl w:val="0"/>
          </w:rPr>
          <w:t xml:space="preserve"> </w:t>
        </w:r>
      </w:hyperlink>
      <w:hyperlink r:id="rId42">
        <w:r w:rsidDel="00000000" w:rsidR="00000000" w:rsidRPr="00000000">
          <w:rPr>
            <w:rFonts w:ascii="Playfair Display" w:cs="Playfair Display" w:eastAsia="Playfair Display" w:hAnsi="Playfair Display"/>
            <w:color w:val="1155cc"/>
            <w:sz w:val="20"/>
            <w:szCs w:val="20"/>
            <w:highlight w:val="white"/>
            <w:u w:val="single"/>
            <w:rtl w:val="0"/>
          </w:rPr>
          <w:t xml:space="preserve">https://www.gov.scot/publications/social-security-advocacy-service-standards/</w:t>
        </w:r>
      </w:hyperlink>
      <w:r w:rsidDel="00000000" w:rsidR="00000000" w:rsidRPr="00000000">
        <w:rPr>
          <w:rFonts w:ascii="Playfair Display" w:cs="Playfair Display" w:eastAsia="Playfair Display" w:hAnsi="Playfair Display"/>
          <w:color w:val="3f5351"/>
          <w:sz w:val="20"/>
          <w:szCs w:val="20"/>
          <w:highlight w:val="white"/>
          <w:rtl w:val="0"/>
        </w:rPr>
        <w:t xml:space="preserve"> (accessed 24 January 2025).</w:t>
      </w:r>
    </w:p>
    <w:p w:rsidR="00000000" w:rsidDel="00000000" w:rsidP="00000000" w:rsidRDefault="00000000" w:rsidRPr="00000000" w14:paraId="00000056">
      <w:pPr>
        <w:spacing w:line="360" w:lineRule="auto"/>
        <w:ind w:left="880" w:hanging="440"/>
        <w:rPr>
          <w:rFonts w:ascii="Playfair Display" w:cs="Playfair Display" w:eastAsia="Playfair Display" w:hAnsi="Playfair Display"/>
          <w:color w:val="3f5351"/>
          <w:sz w:val="20"/>
          <w:szCs w:val="20"/>
          <w:highlight w:val="white"/>
        </w:rPr>
      </w:pPr>
      <w:r w:rsidDel="00000000" w:rsidR="00000000" w:rsidRPr="00000000">
        <w:rPr>
          <w:rFonts w:ascii="Playfair Display" w:cs="Playfair Display" w:eastAsia="Playfair Display" w:hAnsi="Playfair Display"/>
          <w:color w:val="3f5351"/>
          <w:sz w:val="20"/>
          <w:szCs w:val="20"/>
          <w:highlight w:val="white"/>
          <w:rtl w:val="0"/>
        </w:rPr>
        <w:t xml:space="preserve">Shaffer, C.L., Smith, T.D. and Ornstein, A.E. (2018), “Child and youth advocacy centres: A change in practice that can change a lifetime”, </w:t>
      </w:r>
      <w:r w:rsidDel="00000000" w:rsidR="00000000" w:rsidRPr="00000000">
        <w:rPr>
          <w:rFonts w:ascii="Playfair Display" w:cs="Playfair Display" w:eastAsia="Playfair Display" w:hAnsi="Playfair Display"/>
          <w:i w:val="1"/>
          <w:color w:val="3f5351"/>
          <w:sz w:val="20"/>
          <w:szCs w:val="20"/>
          <w:highlight w:val="white"/>
          <w:rtl w:val="0"/>
        </w:rPr>
        <w:t xml:space="preserve">Paediatrics &amp; Child Health</w:t>
      </w:r>
      <w:r w:rsidDel="00000000" w:rsidR="00000000" w:rsidRPr="00000000">
        <w:rPr>
          <w:rFonts w:ascii="Playfair Display" w:cs="Playfair Display" w:eastAsia="Playfair Display" w:hAnsi="Playfair Display"/>
          <w:color w:val="3f5351"/>
          <w:sz w:val="20"/>
          <w:szCs w:val="20"/>
          <w:highlight w:val="white"/>
          <w:rtl w:val="0"/>
        </w:rPr>
        <w:t xml:space="preserve">, Vol. 23 No. 2, pp. 116–118, doi:</w:t>
      </w:r>
      <w:hyperlink r:id="rId43">
        <w:r w:rsidDel="00000000" w:rsidR="00000000" w:rsidRPr="00000000">
          <w:rPr>
            <w:rFonts w:ascii="Playfair Display" w:cs="Playfair Display" w:eastAsia="Playfair Display" w:hAnsi="Playfair Display"/>
            <w:color w:val="3f5351"/>
            <w:sz w:val="20"/>
            <w:szCs w:val="20"/>
            <w:highlight w:val="white"/>
            <w:rtl w:val="0"/>
          </w:rPr>
          <w:t xml:space="preserve"> </w:t>
        </w:r>
      </w:hyperlink>
      <w:hyperlink r:id="rId44">
        <w:r w:rsidDel="00000000" w:rsidR="00000000" w:rsidRPr="00000000">
          <w:rPr>
            <w:rFonts w:ascii="Playfair Display" w:cs="Playfair Display" w:eastAsia="Playfair Display" w:hAnsi="Playfair Display"/>
            <w:color w:val="1155cc"/>
            <w:sz w:val="20"/>
            <w:szCs w:val="20"/>
            <w:highlight w:val="white"/>
            <w:u w:val="single"/>
            <w:rtl w:val="0"/>
          </w:rPr>
          <w:t xml:space="preserve">10.1093/pch/pxy008</w:t>
        </w:r>
      </w:hyperlink>
      <w:r w:rsidDel="00000000" w:rsidR="00000000" w:rsidRPr="00000000">
        <w:rPr>
          <w:rFonts w:ascii="Playfair Display" w:cs="Playfair Display" w:eastAsia="Playfair Display" w:hAnsi="Playfair Display"/>
          <w:color w:val="3f5351"/>
          <w:sz w:val="20"/>
          <w:szCs w:val="20"/>
          <w:highlight w:val="white"/>
          <w:rtl w:val="0"/>
        </w:rPr>
        <w:t xml:space="preserve">.</w:t>
      </w:r>
    </w:p>
    <w:p w:rsidR="00000000" w:rsidDel="00000000" w:rsidP="00000000" w:rsidRDefault="00000000" w:rsidRPr="00000000" w14:paraId="00000057">
      <w:pPr>
        <w:spacing w:line="360" w:lineRule="auto"/>
        <w:ind w:left="880" w:hanging="440"/>
        <w:rPr>
          <w:rFonts w:ascii="Playfair Display" w:cs="Playfair Display" w:eastAsia="Playfair Display" w:hAnsi="Playfair Display"/>
          <w:color w:val="3f5351"/>
          <w:sz w:val="20"/>
          <w:szCs w:val="20"/>
          <w:highlight w:val="white"/>
        </w:rPr>
      </w:pPr>
      <w:r w:rsidDel="00000000" w:rsidR="00000000" w:rsidRPr="00000000">
        <w:rPr>
          <w:rFonts w:ascii="Playfair Display" w:cs="Playfair Display" w:eastAsia="Playfair Display" w:hAnsi="Playfair Display"/>
          <w:color w:val="3f5351"/>
          <w:sz w:val="20"/>
          <w:szCs w:val="20"/>
          <w:highlight w:val="white"/>
          <w:rtl w:val="0"/>
        </w:rPr>
        <w:t xml:space="preserve">Stenling, C. and Sam, M. (2020), “Professionalization and its consequences: how active advocacy may undermine democracy”, </w:t>
      </w:r>
      <w:r w:rsidDel="00000000" w:rsidR="00000000" w:rsidRPr="00000000">
        <w:rPr>
          <w:rFonts w:ascii="Playfair Display" w:cs="Playfair Display" w:eastAsia="Playfair Display" w:hAnsi="Playfair Display"/>
          <w:i w:val="1"/>
          <w:color w:val="3f5351"/>
          <w:sz w:val="20"/>
          <w:szCs w:val="20"/>
          <w:highlight w:val="white"/>
          <w:rtl w:val="0"/>
        </w:rPr>
        <w:t xml:space="preserve">European Sport Management Quarterly</w:t>
      </w:r>
      <w:r w:rsidDel="00000000" w:rsidR="00000000" w:rsidRPr="00000000">
        <w:rPr>
          <w:rFonts w:ascii="Playfair Display" w:cs="Playfair Display" w:eastAsia="Playfair Display" w:hAnsi="Playfair Display"/>
          <w:color w:val="3f5351"/>
          <w:sz w:val="20"/>
          <w:szCs w:val="20"/>
          <w:highlight w:val="white"/>
          <w:rtl w:val="0"/>
        </w:rPr>
        <w:t xml:space="preserve">, Routledge, Vol. 20 No. 5, pp. 577–597, doi:</w:t>
      </w:r>
      <w:hyperlink r:id="rId45">
        <w:r w:rsidDel="00000000" w:rsidR="00000000" w:rsidRPr="00000000">
          <w:rPr>
            <w:rFonts w:ascii="Playfair Display" w:cs="Playfair Display" w:eastAsia="Playfair Display" w:hAnsi="Playfair Display"/>
            <w:color w:val="3f5351"/>
            <w:sz w:val="20"/>
            <w:szCs w:val="20"/>
            <w:highlight w:val="white"/>
            <w:rtl w:val="0"/>
          </w:rPr>
          <w:t xml:space="preserve"> </w:t>
        </w:r>
      </w:hyperlink>
      <w:hyperlink r:id="rId46">
        <w:r w:rsidDel="00000000" w:rsidR="00000000" w:rsidRPr="00000000">
          <w:rPr>
            <w:rFonts w:ascii="Playfair Display" w:cs="Playfair Display" w:eastAsia="Playfair Display" w:hAnsi="Playfair Display"/>
            <w:color w:val="1155cc"/>
            <w:sz w:val="20"/>
            <w:szCs w:val="20"/>
            <w:highlight w:val="white"/>
            <w:u w:val="single"/>
            <w:rtl w:val="0"/>
          </w:rPr>
          <w:t xml:space="preserve">10.1080/16184742.2019.1637915</w:t>
        </w:r>
      </w:hyperlink>
      <w:r w:rsidDel="00000000" w:rsidR="00000000" w:rsidRPr="00000000">
        <w:rPr>
          <w:rFonts w:ascii="Playfair Display" w:cs="Playfair Display" w:eastAsia="Playfair Display" w:hAnsi="Playfair Display"/>
          <w:color w:val="3f5351"/>
          <w:sz w:val="20"/>
          <w:szCs w:val="20"/>
          <w:highlight w:val="white"/>
          <w:rtl w:val="0"/>
        </w:rPr>
        <w:t xml:space="preserve">.</w:t>
      </w:r>
    </w:p>
    <w:p w:rsidR="00000000" w:rsidDel="00000000" w:rsidP="00000000" w:rsidRDefault="00000000" w:rsidRPr="00000000" w14:paraId="00000058">
      <w:pPr>
        <w:spacing w:line="360" w:lineRule="auto"/>
        <w:ind w:left="880" w:hanging="440"/>
        <w:rPr>
          <w:rFonts w:ascii="Playfair Display" w:cs="Playfair Display" w:eastAsia="Playfair Display" w:hAnsi="Playfair Display"/>
          <w:color w:val="3f5351"/>
          <w:sz w:val="20"/>
          <w:szCs w:val="20"/>
          <w:highlight w:val="white"/>
        </w:rPr>
      </w:pPr>
      <w:r w:rsidDel="00000000" w:rsidR="00000000" w:rsidRPr="00000000">
        <w:rPr>
          <w:rFonts w:ascii="Playfair Display" w:cs="Playfair Display" w:eastAsia="Playfair Display" w:hAnsi="Playfair Display"/>
          <w:color w:val="3f5351"/>
          <w:sz w:val="20"/>
          <w:szCs w:val="20"/>
          <w:highlight w:val="white"/>
          <w:rtl w:val="0"/>
        </w:rPr>
        <w:t xml:space="preserve">UK.GOV. (2023), “New reforms and independent commission to transform social care - GOV.UK”, available at:</w:t>
      </w:r>
      <w:hyperlink r:id="rId47">
        <w:r w:rsidDel="00000000" w:rsidR="00000000" w:rsidRPr="00000000">
          <w:rPr>
            <w:rFonts w:ascii="Playfair Display" w:cs="Playfair Display" w:eastAsia="Playfair Display" w:hAnsi="Playfair Display"/>
            <w:color w:val="3f5351"/>
            <w:sz w:val="20"/>
            <w:szCs w:val="20"/>
            <w:highlight w:val="white"/>
            <w:rtl w:val="0"/>
          </w:rPr>
          <w:t xml:space="preserve"> </w:t>
        </w:r>
      </w:hyperlink>
      <w:hyperlink r:id="rId48">
        <w:r w:rsidDel="00000000" w:rsidR="00000000" w:rsidRPr="00000000">
          <w:rPr>
            <w:rFonts w:ascii="Playfair Display" w:cs="Playfair Display" w:eastAsia="Playfair Display" w:hAnsi="Playfair Display"/>
            <w:color w:val="1155cc"/>
            <w:sz w:val="20"/>
            <w:szCs w:val="20"/>
            <w:highlight w:val="white"/>
            <w:u w:val="single"/>
            <w:rtl w:val="0"/>
          </w:rPr>
          <w:t xml:space="preserve">https://www.gov.uk/government/news/new-reforms-and-independent-commission-to-transform-social-care</w:t>
        </w:r>
      </w:hyperlink>
      <w:r w:rsidDel="00000000" w:rsidR="00000000" w:rsidRPr="00000000">
        <w:rPr>
          <w:rFonts w:ascii="Playfair Display" w:cs="Playfair Display" w:eastAsia="Playfair Display" w:hAnsi="Playfair Display"/>
          <w:color w:val="3f5351"/>
          <w:sz w:val="20"/>
          <w:szCs w:val="20"/>
          <w:highlight w:val="white"/>
          <w:rtl w:val="0"/>
        </w:rPr>
        <w:t xml:space="preserve"> (accessed 10 February 2025).</w:t>
      </w:r>
    </w:p>
    <w:p w:rsidR="00000000" w:rsidDel="00000000" w:rsidP="00000000" w:rsidRDefault="00000000" w:rsidRPr="00000000" w14:paraId="00000059">
      <w:pPr>
        <w:spacing w:line="360" w:lineRule="auto"/>
        <w:ind w:left="880" w:hanging="440"/>
        <w:rPr>
          <w:rFonts w:ascii="Playfair Display" w:cs="Playfair Display" w:eastAsia="Playfair Display" w:hAnsi="Playfair Display"/>
          <w:color w:val="3f5351"/>
          <w:sz w:val="20"/>
          <w:szCs w:val="20"/>
          <w:highlight w:val="white"/>
        </w:rPr>
      </w:pPr>
      <w:r w:rsidDel="00000000" w:rsidR="00000000" w:rsidRPr="00000000">
        <w:rPr>
          <w:rFonts w:ascii="Playfair Display" w:cs="Playfair Display" w:eastAsia="Playfair Display" w:hAnsi="Playfair Display"/>
          <w:color w:val="3f5351"/>
          <w:sz w:val="20"/>
          <w:szCs w:val="20"/>
          <w:highlight w:val="white"/>
          <w:rtl w:val="0"/>
        </w:rPr>
        <w:t xml:space="preserve">“Women’s Aid Directory”. (n.d.). </w:t>
      </w:r>
      <w:r w:rsidDel="00000000" w:rsidR="00000000" w:rsidRPr="00000000">
        <w:rPr>
          <w:rFonts w:ascii="Playfair Display" w:cs="Playfair Display" w:eastAsia="Playfair Display" w:hAnsi="Playfair Display"/>
          <w:i w:val="1"/>
          <w:color w:val="3f5351"/>
          <w:sz w:val="20"/>
          <w:szCs w:val="20"/>
          <w:highlight w:val="white"/>
          <w:rtl w:val="0"/>
        </w:rPr>
        <w:t xml:space="preserve">Women’s Aid</w:t>
      </w:r>
      <w:r w:rsidDel="00000000" w:rsidR="00000000" w:rsidRPr="00000000">
        <w:rPr>
          <w:rFonts w:ascii="Playfair Display" w:cs="Playfair Display" w:eastAsia="Playfair Display" w:hAnsi="Playfair Display"/>
          <w:color w:val="3f5351"/>
          <w:sz w:val="20"/>
          <w:szCs w:val="20"/>
          <w:highlight w:val="white"/>
          <w:rtl w:val="0"/>
        </w:rPr>
        <w:t xml:space="preserve">, available at:</w:t>
      </w:r>
      <w:hyperlink r:id="rId49">
        <w:r w:rsidDel="00000000" w:rsidR="00000000" w:rsidRPr="00000000">
          <w:rPr>
            <w:rFonts w:ascii="Playfair Display" w:cs="Playfair Display" w:eastAsia="Playfair Display" w:hAnsi="Playfair Display"/>
            <w:color w:val="3f5351"/>
            <w:sz w:val="20"/>
            <w:szCs w:val="20"/>
            <w:highlight w:val="white"/>
            <w:rtl w:val="0"/>
          </w:rPr>
          <w:t xml:space="preserve"> </w:t>
        </w:r>
      </w:hyperlink>
      <w:hyperlink r:id="rId50">
        <w:r w:rsidDel="00000000" w:rsidR="00000000" w:rsidRPr="00000000">
          <w:rPr>
            <w:rFonts w:ascii="Playfair Display" w:cs="Playfair Display" w:eastAsia="Playfair Display" w:hAnsi="Playfair Display"/>
            <w:color w:val="1155cc"/>
            <w:sz w:val="20"/>
            <w:szCs w:val="20"/>
            <w:highlight w:val="white"/>
            <w:u w:val="single"/>
            <w:rtl w:val="0"/>
          </w:rPr>
          <w:t xml:space="preserve">https://www.womensaid.org.uk/information-support/womens-aid-directory/</w:t>
        </w:r>
      </w:hyperlink>
      <w:r w:rsidDel="00000000" w:rsidR="00000000" w:rsidRPr="00000000">
        <w:rPr>
          <w:rFonts w:ascii="Playfair Display" w:cs="Playfair Display" w:eastAsia="Playfair Display" w:hAnsi="Playfair Display"/>
          <w:color w:val="3f5351"/>
          <w:sz w:val="20"/>
          <w:szCs w:val="20"/>
          <w:highlight w:val="white"/>
          <w:rtl w:val="0"/>
        </w:rPr>
        <w:t xml:space="preserve"> (accessed 10 February 2025).</w:t>
      </w:r>
    </w:p>
    <w:p w:rsidR="00000000" w:rsidDel="00000000" w:rsidP="00000000" w:rsidRDefault="00000000" w:rsidRPr="00000000" w14:paraId="0000005A">
      <w:pPr>
        <w:spacing w:line="360" w:lineRule="auto"/>
        <w:ind w:left="880" w:hanging="440"/>
        <w:rPr>
          <w:rFonts w:ascii="Playfair Display" w:cs="Playfair Display" w:eastAsia="Playfair Display" w:hAnsi="Playfair Display"/>
          <w:color w:val="3f5351"/>
          <w:sz w:val="20"/>
          <w:szCs w:val="20"/>
          <w:highlight w:val="white"/>
        </w:rPr>
      </w:pPr>
      <w:r w:rsidDel="00000000" w:rsidR="00000000" w:rsidRPr="00000000">
        <w:rPr>
          <w:rFonts w:ascii="Playfair Display" w:cs="Playfair Display" w:eastAsia="Playfair Display" w:hAnsi="Playfair Display"/>
          <w:color w:val="3f5351"/>
          <w:sz w:val="20"/>
          <w:szCs w:val="20"/>
          <w:highlight w:val="white"/>
          <w:rtl w:val="0"/>
        </w:rPr>
        <w:t xml:space="preserve">“Your Guide to Advocacy by Iris Care Group - Issuu”. (2023), , 16 January, available at:</w:t>
      </w:r>
      <w:hyperlink r:id="rId51">
        <w:r w:rsidDel="00000000" w:rsidR="00000000" w:rsidRPr="00000000">
          <w:rPr>
            <w:rFonts w:ascii="Playfair Display" w:cs="Playfair Display" w:eastAsia="Playfair Display" w:hAnsi="Playfair Display"/>
            <w:color w:val="3f5351"/>
            <w:sz w:val="20"/>
            <w:szCs w:val="20"/>
            <w:highlight w:val="white"/>
            <w:rtl w:val="0"/>
          </w:rPr>
          <w:t xml:space="preserve"> </w:t>
        </w:r>
      </w:hyperlink>
      <w:hyperlink r:id="rId52">
        <w:r w:rsidDel="00000000" w:rsidR="00000000" w:rsidRPr="00000000">
          <w:rPr>
            <w:rFonts w:ascii="Playfair Display" w:cs="Playfair Display" w:eastAsia="Playfair Display" w:hAnsi="Playfair Display"/>
            <w:color w:val="1155cc"/>
            <w:sz w:val="20"/>
            <w:szCs w:val="20"/>
            <w:highlight w:val="white"/>
            <w:u w:val="single"/>
            <w:rtl w:val="0"/>
          </w:rPr>
          <w:t xml:space="preserve">https://issuu.com/lshpublications/docs/advocacy_welcome_booklet</w:t>
        </w:r>
      </w:hyperlink>
      <w:r w:rsidDel="00000000" w:rsidR="00000000" w:rsidRPr="00000000">
        <w:rPr>
          <w:rFonts w:ascii="Playfair Display" w:cs="Playfair Display" w:eastAsia="Playfair Display" w:hAnsi="Playfair Display"/>
          <w:color w:val="3f5351"/>
          <w:sz w:val="20"/>
          <w:szCs w:val="20"/>
          <w:highlight w:val="white"/>
          <w:rtl w:val="0"/>
        </w:rPr>
        <w:t xml:space="preserve"> (accessed 10 February 2025).</w:t>
      </w:r>
    </w:p>
    <w:p w:rsidR="00000000" w:rsidDel="00000000" w:rsidP="00000000" w:rsidRDefault="00000000" w:rsidRPr="00000000" w14:paraId="0000005B">
      <w:pPr>
        <w:rPr>
          <w:color w:val="3f5351"/>
          <w:sz w:val="27"/>
          <w:szCs w:val="27"/>
          <w:highlight w:val="white"/>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ptos"/>
  <w:font w:name="Playfair Display">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hyperlink" Target="about:blank" TargetMode="External"/><Relationship Id="rId42" Type="http://schemas.openxmlformats.org/officeDocument/2006/relationships/hyperlink" Target="https://www.gov.scot/publications/social-security-advocacy-service-standards/" TargetMode="External"/><Relationship Id="rId41" Type="http://schemas.openxmlformats.org/officeDocument/2006/relationships/hyperlink" Target="https://www.gov.scot/publications/social-security-advocacy-service-standards/" TargetMode="External"/><Relationship Id="rId44" Type="http://schemas.openxmlformats.org/officeDocument/2006/relationships/hyperlink" Target="https://doi.org/10.1093/pch/pxy008" TargetMode="External"/><Relationship Id="rId43" Type="http://schemas.openxmlformats.org/officeDocument/2006/relationships/hyperlink" Target="https://doi.org/10.1093/pch/pxy008" TargetMode="External"/><Relationship Id="rId46" Type="http://schemas.openxmlformats.org/officeDocument/2006/relationships/hyperlink" Target="https://doi.org/10.1080/16184742.2019.1637915" TargetMode="External"/><Relationship Id="rId45" Type="http://schemas.openxmlformats.org/officeDocument/2006/relationships/hyperlink" Target="https://doi.org/10.1080/16184742.2019.1637915"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vox.com/politics/361136/far-right-authoritarianism-germany-reactionary-spirit" TargetMode="External"/><Relationship Id="rId48" Type="http://schemas.openxmlformats.org/officeDocument/2006/relationships/hyperlink" Target="https://www.gov.uk/government/news/new-reforms-and-independent-commission-to-transform-social-care" TargetMode="External"/><Relationship Id="rId47" Type="http://schemas.openxmlformats.org/officeDocument/2006/relationships/hyperlink" Target="https://www.gov.uk/government/news/new-reforms-and-independent-commission-to-transform-social-care" TargetMode="External"/><Relationship Id="rId49" Type="http://schemas.openxmlformats.org/officeDocument/2006/relationships/hyperlink" Target="https://www.womensaid.org.uk/information-support/womens-aid-directory/"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www.bccyac.ca/about-us/the-cyac-model/" TargetMode="External"/><Relationship Id="rId8" Type="http://schemas.openxmlformats.org/officeDocument/2006/relationships/hyperlink" Target="https://www.bccyac.ca/about-us/the-cyac-model/" TargetMode="External"/><Relationship Id="rId31" Type="http://schemas.openxmlformats.org/officeDocument/2006/relationships/hyperlink" Target="https://www.mind.org.uk/information-support/guides-to-support-and-services/advocacy/what-is-advocacy/" TargetMode="External"/><Relationship Id="rId30" Type="http://schemas.openxmlformats.org/officeDocument/2006/relationships/hyperlink" Target="https://carelearning.org.uk/blog/advocacy/what-is-professional-advocacy-in-health-and-social-care/" TargetMode="External"/><Relationship Id="rId33" Type="http://schemas.openxmlformats.org/officeDocument/2006/relationships/hyperlink" Target="https://doi.org/10.11124/jbisrir-2015-2113" TargetMode="External"/><Relationship Id="rId32" Type="http://schemas.openxmlformats.org/officeDocument/2006/relationships/hyperlink" Target="https://www.mind.org.uk/information-support/guides-to-support-and-services/advocacy/what-is-advocacy/" TargetMode="External"/><Relationship Id="rId35" Type="http://schemas.openxmlformats.org/officeDocument/2006/relationships/hyperlink" Target="https://www.google.com/search?q=%E2%80%9CProfessionalisation%2C+in+its+push+for+accepted+standards+of+practice%2C+could+eliminate+styles+of+work+which+are+effective+but+idiosyncratic+and+unorthodox.%E2%80%9D&amp;oq=%E2%80%9CProfessionalisation%2C+in+its+push+for+accepted+standards+of+practice%2C+could+eliminate+styles+of+work+which+are+effective+but+idiosyncratic+and+unorthodox.%E2%80%9D&amp;gs_lcrp=EgZjaHJvbWUyBggAEEUYOdIBCDEzMjRqMGo3qAIIsAIB&amp;sourceid=chrome&amp;ie=UTF-8" TargetMode="External"/><Relationship Id="rId34" Type="http://schemas.openxmlformats.org/officeDocument/2006/relationships/hyperlink" Target="https://doi.org/10.11124/jbisrir-2015-2113" TargetMode="External"/><Relationship Id="rId37" Type="http://schemas.openxmlformats.org/officeDocument/2006/relationships/hyperlink" Target="https://www.peoplethatdeliver.org/professionalisation" TargetMode="External"/><Relationship Id="rId36" Type="http://schemas.openxmlformats.org/officeDocument/2006/relationships/hyperlink" Target="https://www.google.com/search?q=%E2%80%9CProfessionalisation%2C+in+its+push+for+accepted+standards+of+practice%2C+could+eliminate+styles+of+work+which+are+effective+but+idiosyncratic+and+unorthodox.%E2%80%9D&amp;oq=%E2%80%9CProfessionalisation%2C+in+its+push+for+accepted+standards+of+practice%2C+could+eliminate+styles+of+work+which+are+effective+but+idiosyncratic+and+unorthodox.%E2%80%9D&amp;gs_lcrp=EgZjaHJvbWUyBggAEEUYOdIBCDEzMjRqMGo3qAIIsAIB&amp;sourceid=chrome&amp;ie=UTF-8" TargetMode="External"/><Relationship Id="rId39" Type="http://schemas.openxmlformats.org/officeDocument/2006/relationships/hyperlink" Target="about:blank" TargetMode="External"/><Relationship Id="rId38" Type="http://schemas.openxmlformats.org/officeDocument/2006/relationships/hyperlink" Target="https://www.peoplethatdeliver.org/professionalisation" TargetMode="External"/><Relationship Id="rId20" Type="http://schemas.openxmlformats.org/officeDocument/2006/relationships/hyperlink" Target="https://ojjdp.ojp.gov/statistical-briefing-book/population/faqs/qa01104" TargetMode="External"/><Relationship Id="rId22" Type="http://schemas.openxmlformats.org/officeDocument/2006/relationships/hyperlink" Target="https://doi.org/10.1016/j.apnu.2016.01.007" TargetMode="External"/><Relationship Id="rId21" Type="http://schemas.openxmlformats.org/officeDocument/2006/relationships/hyperlink" Target="https://doi.org/10.1016/j.apnu.2016.01.007" TargetMode="External"/><Relationship Id="rId24" Type="http://schemas.openxmlformats.org/officeDocument/2006/relationships/hyperlink" Target="https://doi.org/10.5694/mja2.50383" TargetMode="External"/><Relationship Id="rId23" Type="http://schemas.openxmlformats.org/officeDocument/2006/relationships/hyperlink" Target="https://doi.org/10.5694/mja2.50383" TargetMode="External"/><Relationship Id="rId26" Type="http://schemas.openxmlformats.org/officeDocument/2006/relationships/hyperlink" Target="https://aspe.hhs.gov/reports/people-participate-social-safety-net" TargetMode="External"/><Relationship Id="rId25" Type="http://schemas.openxmlformats.org/officeDocument/2006/relationships/hyperlink" Target="https://aspe.hhs.gov/reports/people-participate-social-safety-net" TargetMode="External"/><Relationship Id="rId28" Type="http://schemas.openxmlformats.org/officeDocument/2006/relationships/hyperlink" Target="https://www.britannica.com/topic/labeling-theory" TargetMode="External"/><Relationship Id="rId27" Type="http://schemas.openxmlformats.org/officeDocument/2006/relationships/hyperlink" Target="https://www.britannica.com/topic/labeling-theory" TargetMode="External"/><Relationship Id="rId29" Type="http://schemas.openxmlformats.org/officeDocument/2006/relationships/hyperlink" Target="https://carelearning.org.uk/blog/advocacy/what-is-professional-advocacy-in-health-and-social-care/" TargetMode="External"/><Relationship Id="rId51" Type="http://schemas.openxmlformats.org/officeDocument/2006/relationships/hyperlink" Target="https://issuu.com/lshpublications/docs/advocacy_welcome_booklet" TargetMode="External"/><Relationship Id="rId50" Type="http://schemas.openxmlformats.org/officeDocument/2006/relationships/hyperlink" Target="https://www.womensaid.org.uk/information-support/womens-aid-directory/" TargetMode="External"/><Relationship Id="rId52" Type="http://schemas.openxmlformats.org/officeDocument/2006/relationships/hyperlink" Target="https://issuu.com/lshpublications/docs/advocacy_welcome_booklet" TargetMode="External"/><Relationship Id="rId11" Type="http://schemas.openxmlformats.org/officeDocument/2006/relationships/hyperlink" Target="https://usafacts.org/topics/child-social-services/" TargetMode="External"/><Relationship Id="rId10" Type="http://schemas.openxmlformats.org/officeDocument/2006/relationships/hyperlink" Target="https://www.vox.com/politics/361136/far-right-authoritarianism-germany-reactionary-spirit" TargetMode="External"/><Relationship Id="rId13" Type="http://schemas.openxmlformats.org/officeDocument/2006/relationships/hyperlink" Target="https://www.cityandguilds.com/qualifications-and-apprenticeships/health-and-social-care/care/3610-independent-advocacy#tab=information&amp;acc=general-info" TargetMode="External"/><Relationship Id="rId12" Type="http://schemas.openxmlformats.org/officeDocument/2006/relationships/hyperlink" Target="https://usafacts.org/topics/child-social-services/" TargetMode="External"/><Relationship Id="rId15" Type="http://schemas.openxmlformats.org/officeDocument/2006/relationships/hyperlink" Target="https://conservativehome.com/2025/01/16/read-kemi-badenochs-speech-rebuilding-trust-thursday-16th-january-2025/" TargetMode="External"/><Relationship Id="rId14" Type="http://schemas.openxmlformats.org/officeDocument/2006/relationships/hyperlink" Target="https://www.cityandguilds.com/qualifications-and-apprenticeships/health-and-social-care/care/3610-independent-advocacy#tab=information&amp;acc=general-info" TargetMode="External"/><Relationship Id="rId17" Type="http://schemas.openxmlformats.org/officeDocument/2006/relationships/hyperlink" Target="https://doi.org/10.1177/1468017304044861" TargetMode="External"/><Relationship Id="rId16" Type="http://schemas.openxmlformats.org/officeDocument/2006/relationships/hyperlink" Target="https://conservativehome.com/2025/01/16/read-kemi-badenochs-speech-rebuilding-trust-thursday-16th-january-2025/" TargetMode="External"/><Relationship Id="rId19" Type="http://schemas.openxmlformats.org/officeDocument/2006/relationships/hyperlink" Target="https://ojjdp.ojp.gov/statistical-briefing-book/population/faqs/qa01104" TargetMode="External"/><Relationship Id="rId18" Type="http://schemas.openxmlformats.org/officeDocument/2006/relationships/hyperlink" Target="https://doi.org/10.1177/1468017304044861"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fairDisplay-regular.ttf"/><Relationship Id="rId2" Type="http://schemas.openxmlformats.org/officeDocument/2006/relationships/font" Target="fonts/PlayfairDisplay-bold.ttf"/><Relationship Id="rId3" Type="http://schemas.openxmlformats.org/officeDocument/2006/relationships/font" Target="fonts/PlayfairDisplay-italic.ttf"/><Relationship Id="rId4" Type="http://schemas.openxmlformats.org/officeDocument/2006/relationships/font" Target="fonts/PlayfairDisplay-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1PdwgUlrwiNSEVuSCjtOwSmr1yA==">CgMxLjA4AHIhMXllUWp3T2FZWThOTDhWRThsTjNoTnJLNUljUFZyNWly</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