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75C6CFC" w14:textId="2AE31CDB" w:rsidR="00650EF9" w:rsidRDefault="00875928" w:rsidP="009A55EA">
      <w:pPr>
        <w:jc w:val="center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L</w:t>
      </w:r>
      <w:r w:rsidR="00207767">
        <w:rPr>
          <w:rFonts w:ascii="Times New Roman" w:hAnsi="Times New Roman" w:cs="Times New Roman"/>
          <w:b/>
          <w:sz w:val="24"/>
          <w:szCs w:val="24"/>
        </w:rPr>
        <w:t xml:space="preserve">iterature </w:t>
      </w:r>
      <w:r>
        <w:rPr>
          <w:rFonts w:ascii="Times New Roman" w:hAnsi="Times New Roman" w:cs="Times New Roman"/>
          <w:b/>
          <w:sz w:val="24"/>
          <w:szCs w:val="24"/>
        </w:rPr>
        <w:t xml:space="preserve"> R</w:t>
      </w:r>
      <w:r w:rsidR="00207767">
        <w:rPr>
          <w:rFonts w:ascii="Times New Roman" w:hAnsi="Times New Roman" w:cs="Times New Roman"/>
          <w:b/>
          <w:sz w:val="24"/>
          <w:szCs w:val="24"/>
        </w:rPr>
        <w:t>eview</w:t>
      </w:r>
      <w:r>
        <w:rPr>
          <w:rFonts w:ascii="Times New Roman" w:hAnsi="Times New Roman" w:cs="Times New Roman"/>
          <w:b/>
          <w:sz w:val="24"/>
          <w:szCs w:val="24"/>
        </w:rPr>
        <w:t xml:space="preserve">: </w:t>
      </w:r>
      <w:r w:rsidR="003915EE">
        <w:rPr>
          <w:rFonts w:ascii="Times New Roman" w:hAnsi="Times New Roman" w:cs="Times New Roman"/>
          <w:b/>
          <w:sz w:val="24"/>
          <w:szCs w:val="24"/>
        </w:rPr>
        <w:t>T</w:t>
      </w:r>
      <w:r w:rsidR="00207767">
        <w:rPr>
          <w:rFonts w:ascii="Times New Roman" w:hAnsi="Times New Roman" w:cs="Times New Roman"/>
          <w:b/>
          <w:sz w:val="24"/>
          <w:szCs w:val="24"/>
        </w:rPr>
        <w:t>h</w:t>
      </w:r>
      <w:r w:rsidR="007B55CF">
        <w:rPr>
          <w:rFonts w:ascii="Times New Roman" w:hAnsi="Times New Roman" w:cs="Times New Roman"/>
          <w:b/>
          <w:sz w:val="24"/>
          <w:szCs w:val="24"/>
        </w:rPr>
        <w:t xml:space="preserve">e </w:t>
      </w:r>
      <w:r w:rsidR="009A55EA" w:rsidRPr="009A55EA">
        <w:rPr>
          <w:rFonts w:ascii="Times New Roman" w:hAnsi="Times New Roman" w:cs="Times New Roman"/>
          <w:b/>
          <w:i/>
          <w:sz w:val="24"/>
          <w:szCs w:val="24"/>
        </w:rPr>
        <w:t>D</w:t>
      </w:r>
      <w:r w:rsidR="00207767">
        <w:rPr>
          <w:rFonts w:ascii="Times New Roman" w:hAnsi="Times New Roman" w:cs="Times New Roman"/>
          <w:b/>
          <w:i/>
          <w:sz w:val="24"/>
          <w:szCs w:val="24"/>
        </w:rPr>
        <w:t>iatessaron</w:t>
      </w:r>
      <w:r w:rsidR="00553EBA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="007B55CF">
        <w:rPr>
          <w:rFonts w:ascii="Times New Roman" w:hAnsi="Times New Roman" w:cs="Times New Roman"/>
          <w:b/>
          <w:sz w:val="24"/>
          <w:szCs w:val="24"/>
        </w:rPr>
        <w:t>and the</w:t>
      </w:r>
      <w:r w:rsidR="001C4CAD">
        <w:rPr>
          <w:rFonts w:ascii="Times New Roman" w:hAnsi="Times New Roman" w:cs="Times New Roman"/>
          <w:b/>
          <w:sz w:val="24"/>
          <w:szCs w:val="24"/>
        </w:rPr>
        <w:t xml:space="preserve"> canonical</w:t>
      </w:r>
      <w:r w:rsidR="007B55CF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="0012381B">
        <w:rPr>
          <w:rFonts w:ascii="Times New Roman" w:hAnsi="Times New Roman" w:cs="Times New Roman"/>
          <w:b/>
          <w:sz w:val="24"/>
          <w:szCs w:val="24"/>
        </w:rPr>
        <w:t>g</w:t>
      </w:r>
      <w:r w:rsidR="007B55CF">
        <w:rPr>
          <w:rFonts w:ascii="Times New Roman" w:hAnsi="Times New Roman" w:cs="Times New Roman"/>
          <w:b/>
          <w:sz w:val="24"/>
          <w:szCs w:val="24"/>
        </w:rPr>
        <w:t>ospels</w:t>
      </w:r>
    </w:p>
    <w:p w14:paraId="61EB6064" w14:textId="1DDDD411" w:rsidR="00C645BD" w:rsidRDefault="00C645BD" w:rsidP="009A55EA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6F356357" w14:textId="5B9FD20A" w:rsidR="00C645BD" w:rsidRDefault="00C645BD" w:rsidP="00C645BD">
      <w:pPr>
        <w:rPr>
          <w:rFonts w:ascii="Times New Roman" w:hAnsi="Times New Roman" w:cs="Times New Roman"/>
          <w:sz w:val="20"/>
          <w:szCs w:val="20"/>
        </w:rPr>
      </w:pPr>
      <w:r w:rsidRPr="000A31EA">
        <w:rPr>
          <w:rFonts w:ascii="Times New Roman" w:hAnsi="Times New Roman" w:cs="Times New Roman"/>
          <w:sz w:val="20"/>
          <w:szCs w:val="20"/>
        </w:rPr>
        <w:t>Edessa was one of Christianity’s early capitals, and in the mid-one hundreds AD a gospel was written there. This gospel came to be called the Diatessaron…  since the [Turin] Shroud would’ve been in Edessa at this very moment this gospel was written, I believe its writer may have mentioned the Shroud in his text</w:t>
      </w:r>
      <w:r w:rsidR="00D57172">
        <w:rPr>
          <w:rFonts w:ascii="Times New Roman" w:hAnsi="Times New Roman" w:cs="Times New Roman"/>
          <w:sz w:val="20"/>
          <w:szCs w:val="20"/>
        </w:rPr>
        <w:t>.</w:t>
      </w:r>
      <w:r w:rsidRPr="000A31EA">
        <w:rPr>
          <w:rStyle w:val="FootnoteReference"/>
          <w:rFonts w:ascii="Times New Roman" w:hAnsi="Times New Roman" w:cs="Times New Roman"/>
          <w:sz w:val="20"/>
          <w:szCs w:val="20"/>
        </w:rPr>
        <w:footnoteReference w:id="1"/>
      </w:r>
    </w:p>
    <w:p w14:paraId="04344DBC" w14:textId="77777777" w:rsidR="00602974" w:rsidRDefault="00602974" w:rsidP="000A31EA">
      <w:pPr>
        <w:spacing w:line="360" w:lineRule="auto"/>
        <w:rPr>
          <w:rFonts w:ascii="Times New Roman" w:hAnsi="Times New Roman" w:cs="Times New Roman"/>
          <w:sz w:val="20"/>
          <w:szCs w:val="20"/>
        </w:rPr>
      </w:pPr>
    </w:p>
    <w:p w14:paraId="1B15DFC5" w14:textId="17631EF3" w:rsidR="000A31EA" w:rsidRDefault="000A31EA" w:rsidP="000A31E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0A31EA">
        <w:rPr>
          <w:rFonts w:ascii="Times New Roman" w:hAnsi="Times New Roman" w:cs="Times New Roman"/>
          <w:sz w:val="24"/>
          <w:szCs w:val="24"/>
        </w:rPr>
        <w:t>The quotation above is from a fictional work by John Caldwell, one that falls within the literary genre of ‘Vatican thriller</w:t>
      </w:r>
      <w:r w:rsidR="00D57172">
        <w:rPr>
          <w:rFonts w:ascii="Times New Roman" w:hAnsi="Times New Roman" w:cs="Times New Roman"/>
          <w:sz w:val="24"/>
          <w:szCs w:val="24"/>
        </w:rPr>
        <w:t>.</w:t>
      </w:r>
      <w:r w:rsidRPr="000A31EA">
        <w:rPr>
          <w:rFonts w:ascii="Times New Roman" w:hAnsi="Times New Roman" w:cs="Times New Roman"/>
          <w:sz w:val="24"/>
          <w:szCs w:val="24"/>
        </w:rPr>
        <w:t>’</w:t>
      </w:r>
      <w:r w:rsidRPr="000A31EA">
        <w:rPr>
          <w:rStyle w:val="FootnoteReference"/>
          <w:rFonts w:ascii="Times New Roman" w:hAnsi="Times New Roman" w:cs="Times New Roman"/>
          <w:sz w:val="24"/>
          <w:szCs w:val="24"/>
        </w:rPr>
        <w:footnoteReference w:id="2"/>
      </w:r>
      <w:r w:rsidRPr="000A31EA">
        <w:rPr>
          <w:rFonts w:ascii="Times New Roman" w:hAnsi="Times New Roman" w:cs="Times New Roman"/>
          <w:sz w:val="24"/>
          <w:szCs w:val="24"/>
        </w:rPr>
        <w:t xml:space="preserve"> The novel is about the attempts of Pope John Paul II (1920-2005 CE) to bring about the reconciliation of the Catholic and Orthodox Churches, which </w:t>
      </w:r>
      <w:r w:rsidR="00954B3C">
        <w:rPr>
          <w:rFonts w:ascii="Times New Roman" w:hAnsi="Times New Roman" w:cs="Times New Roman"/>
          <w:sz w:val="24"/>
          <w:szCs w:val="24"/>
        </w:rPr>
        <w:t>separated</w:t>
      </w:r>
      <w:r w:rsidRPr="000A31EA">
        <w:rPr>
          <w:rFonts w:ascii="Times New Roman" w:hAnsi="Times New Roman" w:cs="Times New Roman"/>
          <w:sz w:val="24"/>
          <w:szCs w:val="24"/>
        </w:rPr>
        <w:t xml:space="preserve"> in </w:t>
      </w:r>
      <w:r w:rsidR="00954B3C">
        <w:rPr>
          <w:rFonts w:ascii="Times New Roman" w:hAnsi="Times New Roman" w:cs="Times New Roman"/>
          <w:sz w:val="24"/>
          <w:szCs w:val="24"/>
        </w:rPr>
        <w:t xml:space="preserve">the Great Schism of </w:t>
      </w:r>
      <w:r w:rsidRPr="000A31EA">
        <w:rPr>
          <w:rFonts w:ascii="Times New Roman" w:hAnsi="Times New Roman" w:cs="Times New Roman"/>
          <w:sz w:val="24"/>
          <w:szCs w:val="24"/>
        </w:rPr>
        <w:t>1054 CE.</w:t>
      </w:r>
      <w:r w:rsidR="00B22ABE">
        <w:rPr>
          <w:rStyle w:val="FootnoteReference"/>
          <w:rFonts w:ascii="Times New Roman" w:hAnsi="Times New Roman" w:cs="Times New Roman"/>
          <w:sz w:val="24"/>
          <w:szCs w:val="24"/>
        </w:rPr>
        <w:footnoteReference w:id="3"/>
      </w:r>
      <w:r w:rsidRPr="000A31EA">
        <w:rPr>
          <w:rFonts w:ascii="Times New Roman" w:hAnsi="Times New Roman" w:cs="Times New Roman"/>
          <w:sz w:val="24"/>
          <w:szCs w:val="24"/>
        </w:rPr>
        <w:t xml:space="preserve"> The plot turns on the original ownership of the Shroud of Turin. The answer appears to lie in an original text of Tatian’s </w:t>
      </w:r>
      <w:r w:rsidRPr="000A31EA">
        <w:rPr>
          <w:rFonts w:ascii="Times New Roman" w:hAnsi="Times New Roman" w:cs="Times New Roman"/>
          <w:i/>
          <w:sz w:val="24"/>
          <w:szCs w:val="24"/>
        </w:rPr>
        <w:t>Diatessaron</w:t>
      </w:r>
      <w:r w:rsidRPr="000A31EA">
        <w:rPr>
          <w:rFonts w:ascii="Times New Roman" w:hAnsi="Times New Roman" w:cs="Times New Roman"/>
          <w:sz w:val="24"/>
          <w:szCs w:val="24"/>
        </w:rPr>
        <w:t xml:space="preserve"> – a </w:t>
      </w:r>
      <w:r w:rsidR="00830C5A">
        <w:rPr>
          <w:rFonts w:ascii="Times New Roman" w:hAnsi="Times New Roman" w:cs="Times New Roman"/>
          <w:sz w:val="24"/>
          <w:szCs w:val="24"/>
        </w:rPr>
        <w:t>g</w:t>
      </w:r>
      <w:r w:rsidRPr="000A31EA">
        <w:rPr>
          <w:rFonts w:ascii="Times New Roman" w:hAnsi="Times New Roman" w:cs="Times New Roman"/>
          <w:sz w:val="24"/>
          <w:szCs w:val="24"/>
        </w:rPr>
        <w:t xml:space="preserve">ospel harmony or conflation of the four canonical gospels –which is in the possession of the Vatican. In reality, no </w:t>
      </w:r>
      <w:r w:rsidR="009C2583">
        <w:rPr>
          <w:rFonts w:ascii="Times New Roman" w:hAnsi="Times New Roman" w:cs="Times New Roman"/>
          <w:sz w:val="24"/>
          <w:szCs w:val="24"/>
        </w:rPr>
        <w:t xml:space="preserve">complete </w:t>
      </w:r>
      <w:r w:rsidRPr="000A31EA">
        <w:rPr>
          <w:rFonts w:ascii="Times New Roman" w:hAnsi="Times New Roman" w:cs="Times New Roman"/>
          <w:sz w:val="24"/>
          <w:szCs w:val="24"/>
        </w:rPr>
        <w:t xml:space="preserve">original text of the </w:t>
      </w:r>
      <w:r w:rsidRPr="000A31EA">
        <w:rPr>
          <w:rFonts w:ascii="Times New Roman" w:hAnsi="Times New Roman" w:cs="Times New Roman"/>
          <w:i/>
          <w:sz w:val="24"/>
          <w:szCs w:val="24"/>
        </w:rPr>
        <w:t>Diatessaron</w:t>
      </w:r>
      <w:r w:rsidRPr="000A31EA">
        <w:rPr>
          <w:rFonts w:ascii="Times New Roman" w:hAnsi="Times New Roman" w:cs="Times New Roman"/>
          <w:sz w:val="24"/>
          <w:szCs w:val="24"/>
        </w:rPr>
        <w:t xml:space="preserve"> </w:t>
      </w:r>
      <w:r w:rsidR="009C2583">
        <w:rPr>
          <w:rFonts w:ascii="Times New Roman" w:hAnsi="Times New Roman" w:cs="Times New Roman"/>
          <w:sz w:val="24"/>
          <w:szCs w:val="24"/>
        </w:rPr>
        <w:t>has been recovered</w:t>
      </w:r>
      <w:r w:rsidRPr="000A31EA">
        <w:rPr>
          <w:rFonts w:ascii="Times New Roman" w:hAnsi="Times New Roman" w:cs="Times New Roman"/>
          <w:sz w:val="24"/>
          <w:szCs w:val="24"/>
        </w:rPr>
        <w:t xml:space="preserve">, and we are dependent on </w:t>
      </w:r>
      <w:r w:rsidR="008F138E">
        <w:rPr>
          <w:rFonts w:ascii="Times New Roman" w:hAnsi="Times New Roman" w:cs="Times New Roman"/>
          <w:sz w:val="24"/>
          <w:szCs w:val="24"/>
        </w:rPr>
        <w:t>commentaries on the original text</w:t>
      </w:r>
      <w:r w:rsidR="00E87EB2">
        <w:rPr>
          <w:rFonts w:ascii="Times New Roman" w:hAnsi="Times New Roman" w:cs="Times New Roman"/>
          <w:sz w:val="24"/>
          <w:szCs w:val="24"/>
        </w:rPr>
        <w:t xml:space="preserve">, and </w:t>
      </w:r>
      <w:r w:rsidR="00B22ABE">
        <w:rPr>
          <w:rFonts w:ascii="Times New Roman" w:hAnsi="Times New Roman" w:cs="Times New Roman"/>
          <w:sz w:val="24"/>
          <w:szCs w:val="24"/>
        </w:rPr>
        <w:t>versions</w:t>
      </w:r>
      <w:r w:rsidRPr="000A31EA">
        <w:rPr>
          <w:rFonts w:ascii="Times New Roman" w:hAnsi="Times New Roman" w:cs="Times New Roman"/>
          <w:sz w:val="24"/>
          <w:szCs w:val="24"/>
        </w:rPr>
        <w:t xml:space="preserve"> in various vernacular languages</w:t>
      </w:r>
      <w:r w:rsidR="00E87EB2">
        <w:rPr>
          <w:rFonts w:ascii="Times New Roman" w:hAnsi="Times New Roman" w:cs="Times New Roman"/>
          <w:sz w:val="24"/>
          <w:szCs w:val="24"/>
        </w:rPr>
        <w:t xml:space="preserve"> such as</w:t>
      </w:r>
      <w:r w:rsidR="009C2583">
        <w:rPr>
          <w:rFonts w:ascii="Times New Roman" w:hAnsi="Times New Roman" w:cs="Times New Roman"/>
          <w:sz w:val="24"/>
          <w:szCs w:val="24"/>
        </w:rPr>
        <w:t xml:space="preserve"> </w:t>
      </w:r>
      <w:r w:rsidRPr="000A31EA">
        <w:rPr>
          <w:rFonts w:ascii="Times New Roman" w:hAnsi="Times New Roman" w:cs="Times New Roman"/>
          <w:sz w:val="24"/>
          <w:szCs w:val="24"/>
        </w:rPr>
        <w:t>Latin, Arabic</w:t>
      </w:r>
      <w:r w:rsidR="00C270B7">
        <w:rPr>
          <w:rFonts w:ascii="Times New Roman" w:hAnsi="Times New Roman" w:cs="Times New Roman"/>
          <w:sz w:val="24"/>
          <w:szCs w:val="24"/>
        </w:rPr>
        <w:t>,</w:t>
      </w:r>
      <w:r w:rsidRPr="000A31EA">
        <w:rPr>
          <w:rFonts w:ascii="Times New Roman" w:hAnsi="Times New Roman" w:cs="Times New Roman"/>
          <w:sz w:val="24"/>
          <w:szCs w:val="24"/>
        </w:rPr>
        <w:t xml:space="preserve"> </w:t>
      </w:r>
      <w:r w:rsidR="00147B71">
        <w:rPr>
          <w:rFonts w:ascii="Times New Roman" w:hAnsi="Times New Roman" w:cs="Times New Roman"/>
          <w:sz w:val="24"/>
          <w:szCs w:val="24"/>
        </w:rPr>
        <w:t xml:space="preserve">Middle High German </w:t>
      </w:r>
      <w:r w:rsidRPr="000A31EA">
        <w:rPr>
          <w:rFonts w:ascii="Times New Roman" w:hAnsi="Times New Roman" w:cs="Times New Roman"/>
          <w:sz w:val="24"/>
          <w:szCs w:val="24"/>
        </w:rPr>
        <w:t>etc</w:t>
      </w:r>
      <w:r w:rsidR="002B2A5F">
        <w:rPr>
          <w:rFonts w:ascii="Times New Roman" w:hAnsi="Times New Roman" w:cs="Times New Roman"/>
          <w:sz w:val="24"/>
          <w:szCs w:val="24"/>
        </w:rPr>
        <w:t>,</w:t>
      </w:r>
      <w:r w:rsidRPr="000A31EA">
        <w:rPr>
          <w:rFonts w:ascii="Times New Roman" w:hAnsi="Times New Roman" w:cs="Times New Roman"/>
          <w:sz w:val="24"/>
          <w:szCs w:val="24"/>
        </w:rPr>
        <w:t xml:space="preserve"> which</w:t>
      </w:r>
      <w:r w:rsidR="00C270B7">
        <w:rPr>
          <w:rFonts w:ascii="Times New Roman" w:hAnsi="Times New Roman" w:cs="Times New Roman"/>
          <w:sz w:val="24"/>
          <w:szCs w:val="24"/>
        </w:rPr>
        <w:t xml:space="preserve"> continued to be produced down to the 1</w:t>
      </w:r>
      <w:r w:rsidR="000525D1">
        <w:rPr>
          <w:rFonts w:ascii="Times New Roman" w:hAnsi="Times New Roman" w:cs="Times New Roman"/>
          <w:sz w:val="24"/>
          <w:szCs w:val="24"/>
        </w:rPr>
        <w:t>4</w:t>
      </w:r>
      <w:r w:rsidR="00C270B7" w:rsidRPr="00C270B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C270B7">
        <w:rPr>
          <w:rFonts w:ascii="Times New Roman" w:hAnsi="Times New Roman" w:cs="Times New Roman"/>
          <w:sz w:val="24"/>
          <w:szCs w:val="24"/>
        </w:rPr>
        <w:t xml:space="preserve"> century CE</w:t>
      </w:r>
      <w:r w:rsidRPr="000A31EA">
        <w:rPr>
          <w:rFonts w:ascii="Times New Roman" w:hAnsi="Times New Roman" w:cs="Times New Roman"/>
          <w:sz w:val="24"/>
          <w:szCs w:val="24"/>
        </w:rPr>
        <w:t>.</w:t>
      </w:r>
      <w:r w:rsidRPr="000A31EA">
        <w:rPr>
          <w:rStyle w:val="FootnoteReference"/>
          <w:rFonts w:ascii="Times New Roman" w:hAnsi="Times New Roman" w:cs="Times New Roman"/>
          <w:sz w:val="24"/>
          <w:szCs w:val="24"/>
        </w:rPr>
        <w:footnoteReference w:id="4"/>
      </w:r>
      <w:r w:rsidRPr="000A31EA">
        <w:rPr>
          <w:rFonts w:ascii="Times New Roman" w:hAnsi="Times New Roman" w:cs="Times New Roman"/>
          <w:sz w:val="24"/>
          <w:szCs w:val="24"/>
        </w:rPr>
        <w:t xml:space="preserve"> None of these versions mentions the Shroud</w:t>
      </w:r>
      <w:r w:rsidR="00AC58E5">
        <w:rPr>
          <w:rFonts w:ascii="Times New Roman" w:hAnsi="Times New Roman" w:cs="Times New Roman"/>
          <w:sz w:val="24"/>
          <w:szCs w:val="24"/>
        </w:rPr>
        <w:t>.</w:t>
      </w:r>
    </w:p>
    <w:p w14:paraId="6B74E9D7" w14:textId="1316BCC8" w:rsidR="000A31EA" w:rsidRDefault="000A31EA" w:rsidP="000A31E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0A31EA">
        <w:rPr>
          <w:rFonts w:ascii="Times New Roman" w:hAnsi="Times New Roman" w:cs="Times New Roman"/>
          <w:sz w:val="24"/>
          <w:szCs w:val="24"/>
        </w:rPr>
        <w:t xml:space="preserve">By the late second-century CE or perhaps earlier, the four canonical gospels of the New Testament had been </w:t>
      </w:r>
      <w:r w:rsidR="00993F8C">
        <w:rPr>
          <w:rFonts w:ascii="Times New Roman" w:hAnsi="Times New Roman" w:cs="Times New Roman"/>
          <w:sz w:val="24"/>
          <w:szCs w:val="24"/>
        </w:rPr>
        <w:t>decided</w:t>
      </w:r>
      <w:r w:rsidRPr="000A31EA">
        <w:rPr>
          <w:rFonts w:ascii="Times New Roman" w:hAnsi="Times New Roman" w:cs="Times New Roman"/>
          <w:sz w:val="24"/>
          <w:szCs w:val="24"/>
        </w:rPr>
        <w:t xml:space="preserve"> </w:t>
      </w:r>
      <w:r w:rsidR="00E87EB2">
        <w:rPr>
          <w:rFonts w:ascii="Times New Roman" w:hAnsi="Times New Roman" w:cs="Times New Roman"/>
          <w:sz w:val="24"/>
          <w:szCs w:val="24"/>
        </w:rPr>
        <w:t xml:space="preserve">on, </w:t>
      </w:r>
      <w:r w:rsidRPr="000A31EA">
        <w:rPr>
          <w:rFonts w:ascii="Times New Roman" w:hAnsi="Times New Roman" w:cs="Times New Roman"/>
          <w:sz w:val="24"/>
          <w:szCs w:val="24"/>
        </w:rPr>
        <w:t xml:space="preserve">and were gathered together as a single collection; at about the same time a Syrian known as Tatian </w:t>
      </w:r>
      <w:r w:rsidR="00830C5A">
        <w:rPr>
          <w:rFonts w:ascii="Times New Roman" w:hAnsi="Times New Roman" w:cs="Times New Roman"/>
          <w:sz w:val="24"/>
          <w:szCs w:val="24"/>
        </w:rPr>
        <w:t xml:space="preserve">(100-180 CE) </w:t>
      </w:r>
      <w:r w:rsidRPr="000A31EA">
        <w:rPr>
          <w:rFonts w:ascii="Times New Roman" w:hAnsi="Times New Roman" w:cs="Times New Roman"/>
          <w:sz w:val="24"/>
          <w:szCs w:val="24"/>
        </w:rPr>
        <w:t xml:space="preserve">produced a </w:t>
      </w:r>
      <w:r w:rsidR="00C6011D">
        <w:rPr>
          <w:rFonts w:ascii="Times New Roman" w:hAnsi="Times New Roman" w:cs="Times New Roman"/>
          <w:sz w:val="24"/>
          <w:szCs w:val="24"/>
        </w:rPr>
        <w:t>g</w:t>
      </w:r>
      <w:r w:rsidRPr="000A31EA">
        <w:rPr>
          <w:rFonts w:ascii="Times New Roman" w:hAnsi="Times New Roman" w:cs="Times New Roman"/>
          <w:sz w:val="24"/>
          <w:szCs w:val="24"/>
        </w:rPr>
        <w:t xml:space="preserve">ospel ‘harmony’, an arrangement of the canonical </w:t>
      </w:r>
      <w:r w:rsidR="00C6011D">
        <w:rPr>
          <w:rFonts w:ascii="Times New Roman" w:hAnsi="Times New Roman" w:cs="Times New Roman"/>
          <w:sz w:val="24"/>
          <w:szCs w:val="24"/>
        </w:rPr>
        <w:t>g</w:t>
      </w:r>
      <w:r w:rsidRPr="000A31EA">
        <w:rPr>
          <w:rFonts w:ascii="Times New Roman" w:hAnsi="Times New Roman" w:cs="Times New Roman"/>
          <w:sz w:val="24"/>
          <w:szCs w:val="24"/>
        </w:rPr>
        <w:t>ospels as a composite text</w:t>
      </w:r>
      <w:r w:rsidR="00E87EB2">
        <w:rPr>
          <w:rFonts w:ascii="Times New Roman" w:hAnsi="Times New Roman" w:cs="Times New Roman"/>
          <w:sz w:val="24"/>
          <w:szCs w:val="24"/>
        </w:rPr>
        <w:t xml:space="preserve"> around 172 CE</w:t>
      </w:r>
      <w:r w:rsidRPr="000A31EA">
        <w:rPr>
          <w:rFonts w:ascii="Times New Roman" w:hAnsi="Times New Roman" w:cs="Times New Roman"/>
          <w:sz w:val="24"/>
          <w:szCs w:val="24"/>
        </w:rPr>
        <w:t>, in chronological order.</w:t>
      </w:r>
      <w:r w:rsidRPr="000A31EA">
        <w:rPr>
          <w:rStyle w:val="FootnoteReference"/>
          <w:rFonts w:ascii="Times New Roman" w:hAnsi="Times New Roman" w:cs="Times New Roman"/>
          <w:sz w:val="24"/>
          <w:szCs w:val="24"/>
        </w:rPr>
        <w:footnoteReference w:id="5"/>
      </w:r>
      <w:r w:rsidRPr="000A31EA">
        <w:rPr>
          <w:rFonts w:ascii="Times New Roman" w:hAnsi="Times New Roman" w:cs="Times New Roman"/>
          <w:sz w:val="24"/>
          <w:szCs w:val="24"/>
        </w:rPr>
        <w:t xml:space="preserve"> According to Peters, </w:t>
      </w:r>
      <w:r w:rsidR="00FF5F76">
        <w:rPr>
          <w:rFonts w:ascii="Times New Roman" w:hAnsi="Times New Roman" w:cs="Times New Roman"/>
          <w:sz w:val="24"/>
          <w:szCs w:val="24"/>
        </w:rPr>
        <w:t xml:space="preserve">the appearance of </w:t>
      </w:r>
      <w:r w:rsidRPr="000A31EA">
        <w:rPr>
          <w:rFonts w:ascii="Times New Roman" w:hAnsi="Times New Roman" w:cs="Times New Roman"/>
          <w:sz w:val="24"/>
          <w:szCs w:val="24"/>
        </w:rPr>
        <w:t xml:space="preserve">Tatian’s </w:t>
      </w:r>
      <w:r w:rsidRPr="000A31EA">
        <w:rPr>
          <w:rFonts w:ascii="Times New Roman" w:hAnsi="Times New Roman" w:cs="Times New Roman"/>
          <w:i/>
          <w:sz w:val="24"/>
          <w:szCs w:val="24"/>
        </w:rPr>
        <w:t>Diatessaron</w:t>
      </w:r>
      <w:r w:rsidRPr="000A31EA">
        <w:rPr>
          <w:rFonts w:ascii="Times New Roman" w:hAnsi="Times New Roman" w:cs="Times New Roman"/>
          <w:sz w:val="24"/>
          <w:szCs w:val="24"/>
        </w:rPr>
        <w:t xml:space="preserve"> suggests two things: firstly, that the canonical gospels had now reached a pre-eminent position among Christians, and, secondly, they were not yet so fixed in their authority that they could not plausibly </w:t>
      </w:r>
      <w:r w:rsidR="003C41D9">
        <w:rPr>
          <w:rFonts w:ascii="Times New Roman" w:hAnsi="Times New Roman" w:cs="Times New Roman"/>
          <w:sz w:val="24"/>
          <w:szCs w:val="24"/>
        </w:rPr>
        <w:t xml:space="preserve">or acceptably </w:t>
      </w:r>
      <w:r w:rsidRPr="000A31EA">
        <w:rPr>
          <w:rFonts w:ascii="Times New Roman" w:hAnsi="Times New Roman" w:cs="Times New Roman"/>
          <w:sz w:val="24"/>
          <w:szCs w:val="24"/>
        </w:rPr>
        <w:t>be combined in a harmony.</w:t>
      </w:r>
      <w:r w:rsidRPr="000A31EA">
        <w:rPr>
          <w:rStyle w:val="FootnoteReference"/>
          <w:rFonts w:ascii="Times New Roman" w:hAnsi="Times New Roman" w:cs="Times New Roman"/>
          <w:sz w:val="24"/>
          <w:szCs w:val="24"/>
        </w:rPr>
        <w:footnoteReference w:id="6"/>
      </w:r>
      <w:r w:rsidR="000525D1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CCD983F" w14:textId="37335E8F" w:rsidR="00A2248D" w:rsidRPr="0086652A" w:rsidRDefault="00AB7724" w:rsidP="0086652A">
      <w:pPr>
        <w:spacing w:line="360" w:lineRule="auto"/>
        <w:rPr>
          <w:rFonts w:ascii="Times New Roman" w:hAnsi="Times New Roman" w:cs="Times New Roman"/>
          <w:bCs/>
          <w:iCs/>
          <w:sz w:val="24"/>
          <w:szCs w:val="24"/>
        </w:rPr>
      </w:pPr>
      <w:r w:rsidRPr="00AB7724">
        <w:rPr>
          <w:rFonts w:ascii="Times New Roman" w:hAnsi="Times New Roman" w:cs="Times New Roman"/>
          <w:sz w:val="24"/>
          <w:szCs w:val="24"/>
          <w:lang w:val="en-US"/>
        </w:rPr>
        <w:t xml:space="preserve">The purpose of this literature review is to identify and to examine </w:t>
      </w:r>
      <w:r w:rsidR="006D240F" w:rsidRPr="00AB7724">
        <w:rPr>
          <w:rFonts w:ascii="Times New Roman" w:hAnsi="Times New Roman" w:cs="Times New Roman"/>
          <w:sz w:val="24"/>
          <w:szCs w:val="24"/>
          <w:lang w:val="en-US"/>
        </w:rPr>
        <w:t xml:space="preserve">critically </w:t>
      </w:r>
      <w:r w:rsidR="00A617A3">
        <w:rPr>
          <w:rFonts w:ascii="Times New Roman" w:hAnsi="Times New Roman" w:cs="Times New Roman"/>
          <w:sz w:val="24"/>
          <w:szCs w:val="24"/>
          <w:lang w:val="en-US"/>
        </w:rPr>
        <w:t xml:space="preserve">some key </w:t>
      </w:r>
      <w:r w:rsidRPr="00AB7724">
        <w:rPr>
          <w:rFonts w:ascii="Times New Roman" w:hAnsi="Times New Roman" w:cs="Times New Roman"/>
          <w:sz w:val="24"/>
          <w:szCs w:val="24"/>
          <w:lang w:val="en-US"/>
        </w:rPr>
        <w:t xml:space="preserve">writings </w:t>
      </w:r>
      <w:r w:rsidR="007C3BF4">
        <w:rPr>
          <w:rFonts w:ascii="Times New Roman" w:hAnsi="Times New Roman" w:cs="Times New Roman"/>
          <w:sz w:val="24"/>
          <w:szCs w:val="24"/>
          <w:lang w:val="en-US"/>
        </w:rPr>
        <w:t>on</w:t>
      </w:r>
      <w:r w:rsidR="007B55CF">
        <w:rPr>
          <w:rFonts w:ascii="Times New Roman" w:hAnsi="Times New Roman" w:cs="Times New Roman"/>
          <w:sz w:val="24"/>
          <w:szCs w:val="24"/>
          <w:lang w:val="en-US"/>
        </w:rPr>
        <w:t xml:space="preserve"> the</w:t>
      </w:r>
      <w:r w:rsidRPr="00AB7724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Pr="00AB7724">
        <w:rPr>
          <w:rFonts w:ascii="Times New Roman" w:hAnsi="Times New Roman" w:cs="Times New Roman"/>
          <w:i/>
          <w:sz w:val="24"/>
          <w:szCs w:val="24"/>
          <w:lang w:val="en-US"/>
        </w:rPr>
        <w:t>Diatessaro</w:t>
      </w:r>
      <w:r w:rsidR="007B55CF">
        <w:rPr>
          <w:rFonts w:ascii="Times New Roman" w:hAnsi="Times New Roman" w:cs="Times New Roman"/>
          <w:i/>
          <w:sz w:val="24"/>
          <w:szCs w:val="24"/>
          <w:lang w:val="en-US"/>
        </w:rPr>
        <w:t xml:space="preserve">n </w:t>
      </w:r>
      <w:r w:rsidR="007B55CF">
        <w:rPr>
          <w:rFonts w:ascii="Times New Roman" w:hAnsi="Times New Roman" w:cs="Times New Roman"/>
          <w:iCs/>
          <w:sz w:val="24"/>
          <w:szCs w:val="24"/>
          <w:lang w:val="en-US"/>
        </w:rPr>
        <w:t xml:space="preserve">and its </w:t>
      </w:r>
      <w:r w:rsidR="00B500D6">
        <w:rPr>
          <w:rFonts w:ascii="Times New Roman" w:hAnsi="Times New Roman" w:cs="Times New Roman"/>
          <w:iCs/>
          <w:sz w:val="24"/>
          <w:szCs w:val="24"/>
          <w:lang w:val="en-US"/>
        </w:rPr>
        <w:t>connections with</w:t>
      </w:r>
      <w:r w:rsidR="007B55CF">
        <w:rPr>
          <w:rFonts w:ascii="Times New Roman" w:hAnsi="Times New Roman" w:cs="Times New Roman"/>
          <w:iCs/>
          <w:sz w:val="24"/>
          <w:szCs w:val="24"/>
          <w:lang w:val="en-US"/>
        </w:rPr>
        <w:t xml:space="preserve"> the four canonical </w:t>
      </w:r>
      <w:r w:rsidR="004365B0">
        <w:rPr>
          <w:rFonts w:ascii="Times New Roman" w:hAnsi="Times New Roman" w:cs="Times New Roman"/>
          <w:iCs/>
          <w:sz w:val="24"/>
          <w:szCs w:val="24"/>
          <w:lang w:val="en-US"/>
        </w:rPr>
        <w:t>g</w:t>
      </w:r>
      <w:r w:rsidR="007B55CF">
        <w:rPr>
          <w:rFonts w:ascii="Times New Roman" w:hAnsi="Times New Roman" w:cs="Times New Roman"/>
          <w:iCs/>
          <w:sz w:val="24"/>
          <w:szCs w:val="24"/>
          <w:lang w:val="en-US"/>
        </w:rPr>
        <w:t>ospels</w:t>
      </w:r>
      <w:r w:rsidR="006D240F">
        <w:rPr>
          <w:rFonts w:ascii="Times New Roman" w:hAnsi="Times New Roman" w:cs="Times New Roman"/>
          <w:iCs/>
          <w:sz w:val="24"/>
          <w:szCs w:val="24"/>
          <w:lang w:val="en-US"/>
        </w:rPr>
        <w:t>.</w:t>
      </w:r>
      <w:r w:rsidR="00A2248D">
        <w:rPr>
          <w:rFonts w:ascii="Times New Roman" w:hAnsi="Times New Roman" w:cs="Times New Roman"/>
          <w:iCs/>
          <w:sz w:val="24"/>
          <w:szCs w:val="24"/>
          <w:lang w:val="en-US"/>
        </w:rPr>
        <w:t xml:space="preserve"> </w:t>
      </w:r>
      <w:r w:rsidR="004365B0">
        <w:rPr>
          <w:rFonts w:ascii="Times New Roman" w:hAnsi="Times New Roman" w:cs="Times New Roman"/>
          <w:iCs/>
          <w:sz w:val="24"/>
          <w:szCs w:val="24"/>
          <w:lang w:val="en-US"/>
        </w:rPr>
        <w:t xml:space="preserve">The focus </w:t>
      </w:r>
      <w:r w:rsidR="004365B0">
        <w:rPr>
          <w:rFonts w:ascii="Times New Roman" w:hAnsi="Times New Roman" w:cs="Times New Roman"/>
          <w:iCs/>
          <w:sz w:val="24"/>
          <w:szCs w:val="24"/>
          <w:lang w:val="en-US"/>
        </w:rPr>
        <w:lastRenderedPageBreak/>
        <w:t xml:space="preserve">will </w:t>
      </w:r>
      <w:r w:rsidR="00A2248D">
        <w:rPr>
          <w:rFonts w:ascii="Times New Roman" w:hAnsi="Times New Roman" w:cs="Times New Roman"/>
          <w:iCs/>
          <w:sz w:val="24"/>
          <w:szCs w:val="24"/>
          <w:lang w:val="en-US"/>
        </w:rPr>
        <w:t xml:space="preserve">therefore </w:t>
      </w:r>
      <w:r w:rsidR="004365B0">
        <w:rPr>
          <w:rFonts w:ascii="Times New Roman" w:hAnsi="Times New Roman" w:cs="Times New Roman"/>
          <w:iCs/>
          <w:sz w:val="24"/>
          <w:szCs w:val="24"/>
          <w:lang w:val="en-US"/>
        </w:rPr>
        <w:t xml:space="preserve">be </w:t>
      </w:r>
      <w:r w:rsidR="00A2248D">
        <w:rPr>
          <w:rFonts w:ascii="Times New Roman" w:hAnsi="Times New Roman" w:cs="Times New Roman"/>
          <w:iCs/>
          <w:sz w:val="24"/>
          <w:szCs w:val="24"/>
          <w:lang w:val="en-US"/>
        </w:rPr>
        <w:t xml:space="preserve">on the </w:t>
      </w:r>
      <w:r w:rsidR="000D2AD6">
        <w:rPr>
          <w:rFonts w:ascii="Times New Roman" w:hAnsi="Times New Roman" w:cs="Times New Roman"/>
          <w:iCs/>
          <w:sz w:val="24"/>
          <w:szCs w:val="24"/>
          <w:lang w:val="en-US"/>
        </w:rPr>
        <w:t>second</w:t>
      </w:r>
      <w:r w:rsidR="00A2248D">
        <w:rPr>
          <w:rFonts w:ascii="Times New Roman" w:hAnsi="Times New Roman" w:cs="Times New Roman"/>
          <w:iCs/>
          <w:sz w:val="24"/>
          <w:szCs w:val="24"/>
          <w:lang w:val="en-US"/>
        </w:rPr>
        <w:t xml:space="preserve"> century CE</w:t>
      </w:r>
      <w:r w:rsidR="00B80595">
        <w:rPr>
          <w:rFonts w:ascii="Times New Roman" w:hAnsi="Times New Roman" w:cs="Times New Roman"/>
          <w:iCs/>
          <w:sz w:val="24"/>
          <w:szCs w:val="24"/>
          <w:lang w:val="en-US"/>
        </w:rPr>
        <w:t>, an important era in the history of early Christianity and the New Testament</w:t>
      </w:r>
      <w:r w:rsidR="00A2248D">
        <w:rPr>
          <w:rFonts w:ascii="Times New Roman" w:hAnsi="Times New Roman" w:cs="Times New Roman"/>
          <w:iCs/>
          <w:sz w:val="24"/>
          <w:szCs w:val="24"/>
          <w:lang w:val="en-US"/>
        </w:rPr>
        <w:t xml:space="preserve">. </w:t>
      </w:r>
    </w:p>
    <w:p w14:paraId="50330083" w14:textId="58663ECB" w:rsidR="00147B71" w:rsidRPr="0039121D" w:rsidRDefault="00147B71" w:rsidP="00F07D0F">
      <w:pPr>
        <w:spacing w:line="360" w:lineRule="auto"/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t xml:space="preserve">The starting point for research on the </w:t>
      </w:r>
      <w:r>
        <w:rPr>
          <w:rFonts w:ascii="Times New Roman" w:hAnsi="Times New Roman" w:cs="Times New Roman"/>
          <w:bCs/>
          <w:i/>
          <w:iCs/>
          <w:sz w:val="24"/>
          <w:szCs w:val="24"/>
        </w:rPr>
        <w:t>Diatessaron</w:t>
      </w:r>
      <w:r>
        <w:rPr>
          <w:rFonts w:ascii="Times New Roman" w:hAnsi="Times New Roman" w:cs="Times New Roman"/>
          <w:bCs/>
          <w:sz w:val="24"/>
          <w:szCs w:val="24"/>
        </w:rPr>
        <w:t xml:space="preserve"> is</w:t>
      </w:r>
      <w:r w:rsidR="000D2AD6">
        <w:rPr>
          <w:rFonts w:ascii="Times New Roman" w:hAnsi="Times New Roman" w:cs="Times New Roman"/>
          <w:bCs/>
          <w:sz w:val="24"/>
          <w:szCs w:val="24"/>
        </w:rPr>
        <w:t xml:space="preserve">, in my opinion, </w:t>
      </w:r>
      <w:r>
        <w:rPr>
          <w:rFonts w:ascii="Times New Roman" w:hAnsi="Times New Roman" w:cs="Times New Roman"/>
          <w:bCs/>
          <w:sz w:val="24"/>
          <w:szCs w:val="24"/>
        </w:rPr>
        <w:t xml:space="preserve">Petersen’s </w:t>
      </w:r>
      <w:r w:rsidR="004365B0">
        <w:rPr>
          <w:rFonts w:ascii="Times New Roman" w:hAnsi="Times New Roman" w:cs="Times New Roman"/>
          <w:bCs/>
          <w:sz w:val="24"/>
          <w:szCs w:val="24"/>
        </w:rPr>
        <w:t xml:space="preserve">comprehensive </w:t>
      </w:r>
      <w:r w:rsidR="0054621C">
        <w:rPr>
          <w:rFonts w:ascii="Times New Roman" w:hAnsi="Times New Roman" w:cs="Times New Roman"/>
          <w:bCs/>
          <w:sz w:val="24"/>
          <w:szCs w:val="24"/>
        </w:rPr>
        <w:t xml:space="preserve">550 page </w:t>
      </w:r>
      <w:r w:rsidR="000D2AD6">
        <w:rPr>
          <w:rFonts w:ascii="Times New Roman" w:hAnsi="Times New Roman" w:cs="Times New Roman"/>
          <w:bCs/>
          <w:sz w:val="24"/>
          <w:szCs w:val="24"/>
        </w:rPr>
        <w:t>monograph</w:t>
      </w:r>
      <w:r>
        <w:rPr>
          <w:rFonts w:ascii="Times New Roman" w:hAnsi="Times New Roman" w:cs="Times New Roman"/>
          <w:bCs/>
          <w:sz w:val="24"/>
          <w:szCs w:val="24"/>
        </w:rPr>
        <w:t>.</w:t>
      </w:r>
      <w:r>
        <w:rPr>
          <w:rStyle w:val="FootnoteReference"/>
          <w:rFonts w:ascii="Times New Roman" w:hAnsi="Times New Roman" w:cs="Times New Roman"/>
          <w:bCs/>
          <w:sz w:val="24"/>
          <w:szCs w:val="24"/>
        </w:rPr>
        <w:footnoteReference w:id="7"/>
      </w:r>
      <w:r>
        <w:rPr>
          <w:rFonts w:ascii="Times New Roman" w:hAnsi="Times New Roman" w:cs="Times New Roman"/>
          <w:bCs/>
          <w:sz w:val="24"/>
          <w:szCs w:val="24"/>
        </w:rPr>
        <w:t xml:space="preserve"> The</w:t>
      </w:r>
      <w:r w:rsidR="00A2248D">
        <w:rPr>
          <w:rFonts w:ascii="Times New Roman" w:hAnsi="Times New Roman" w:cs="Times New Roman"/>
          <w:bCs/>
          <w:sz w:val="24"/>
          <w:szCs w:val="24"/>
        </w:rPr>
        <w:t xml:space="preserve"> title and</w:t>
      </w:r>
      <w:r>
        <w:rPr>
          <w:rFonts w:ascii="Times New Roman" w:hAnsi="Times New Roman" w:cs="Times New Roman"/>
          <w:bCs/>
          <w:sz w:val="24"/>
          <w:szCs w:val="24"/>
        </w:rPr>
        <w:t xml:space="preserve"> sub-title indicate its scope: </w:t>
      </w:r>
      <w:r w:rsidR="00A2248D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Tatian’s Diatessaron: </w:t>
      </w:r>
      <w:r>
        <w:rPr>
          <w:rFonts w:ascii="Times New Roman" w:hAnsi="Times New Roman" w:cs="Times New Roman"/>
          <w:bCs/>
          <w:i/>
          <w:iCs/>
          <w:sz w:val="24"/>
          <w:szCs w:val="24"/>
        </w:rPr>
        <w:t>Its Creation, Dissemination, Significance and, History in Scholarship</w:t>
      </w:r>
      <w:r w:rsidR="003829AE">
        <w:rPr>
          <w:rFonts w:ascii="Times New Roman" w:hAnsi="Times New Roman" w:cs="Times New Roman"/>
          <w:bCs/>
          <w:sz w:val="24"/>
          <w:szCs w:val="24"/>
        </w:rPr>
        <w:t xml:space="preserve">. Although it is now 25 years old, it is still an indispensable </w:t>
      </w:r>
      <w:r w:rsidR="004B4C16">
        <w:rPr>
          <w:rFonts w:ascii="Times New Roman" w:hAnsi="Times New Roman" w:cs="Times New Roman"/>
          <w:bCs/>
          <w:sz w:val="24"/>
          <w:szCs w:val="24"/>
        </w:rPr>
        <w:t>starting point</w:t>
      </w:r>
      <w:r w:rsidR="003829AE">
        <w:rPr>
          <w:rFonts w:ascii="Times New Roman" w:hAnsi="Times New Roman" w:cs="Times New Roman"/>
          <w:bCs/>
          <w:sz w:val="24"/>
          <w:szCs w:val="24"/>
        </w:rPr>
        <w:t xml:space="preserve"> for </w:t>
      </w:r>
      <w:r w:rsidR="003829AE">
        <w:rPr>
          <w:rFonts w:ascii="Times New Roman" w:hAnsi="Times New Roman" w:cs="Times New Roman"/>
          <w:bCs/>
          <w:i/>
          <w:iCs/>
          <w:sz w:val="24"/>
          <w:szCs w:val="24"/>
        </w:rPr>
        <w:t>Diatessaron</w:t>
      </w:r>
      <w:r w:rsidR="006E59D1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 </w:t>
      </w:r>
      <w:r w:rsidR="006E59D1">
        <w:rPr>
          <w:rFonts w:ascii="Times New Roman" w:hAnsi="Times New Roman" w:cs="Times New Roman"/>
          <w:bCs/>
          <w:sz w:val="24"/>
          <w:szCs w:val="24"/>
        </w:rPr>
        <w:t>studies</w:t>
      </w:r>
      <w:r w:rsidR="003829AE">
        <w:rPr>
          <w:rFonts w:ascii="Times New Roman" w:hAnsi="Times New Roman" w:cs="Times New Roman"/>
          <w:bCs/>
          <w:sz w:val="24"/>
          <w:szCs w:val="24"/>
        </w:rPr>
        <w:t xml:space="preserve">. </w:t>
      </w:r>
      <w:r w:rsidR="004B4C16">
        <w:rPr>
          <w:rFonts w:ascii="Times New Roman" w:hAnsi="Times New Roman" w:cs="Times New Roman"/>
          <w:bCs/>
          <w:sz w:val="24"/>
          <w:szCs w:val="24"/>
        </w:rPr>
        <w:t>‘Few epochs in the history of Christianity are more important or obscure than the second century’, opines Petersen.</w:t>
      </w:r>
      <w:r w:rsidR="004B4C16">
        <w:rPr>
          <w:rStyle w:val="FootnoteReference"/>
          <w:rFonts w:ascii="Times New Roman" w:hAnsi="Times New Roman" w:cs="Times New Roman"/>
          <w:bCs/>
          <w:sz w:val="24"/>
          <w:szCs w:val="24"/>
        </w:rPr>
        <w:footnoteReference w:id="8"/>
      </w:r>
      <w:r w:rsidR="000D2AD6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4B4C16">
        <w:rPr>
          <w:rFonts w:ascii="Times New Roman" w:hAnsi="Times New Roman" w:cs="Times New Roman"/>
          <w:bCs/>
          <w:sz w:val="24"/>
          <w:szCs w:val="24"/>
        </w:rPr>
        <w:t xml:space="preserve">He then provides a </w:t>
      </w:r>
      <w:r w:rsidR="002B2A5F">
        <w:rPr>
          <w:rFonts w:ascii="Times New Roman" w:hAnsi="Times New Roman" w:cs="Times New Roman"/>
          <w:bCs/>
          <w:sz w:val="24"/>
          <w:szCs w:val="24"/>
        </w:rPr>
        <w:t>thorough</w:t>
      </w:r>
      <w:r w:rsidR="000D2AD6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4B4C16">
        <w:rPr>
          <w:rFonts w:ascii="Times New Roman" w:hAnsi="Times New Roman" w:cs="Times New Roman"/>
          <w:bCs/>
          <w:sz w:val="24"/>
          <w:szCs w:val="24"/>
        </w:rPr>
        <w:t>survey</w:t>
      </w:r>
      <w:r w:rsidR="000D2AD6">
        <w:rPr>
          <w:rFonts w:ascii="Times New Roman" w:hAnsi="Times New Roman" w:cs="Times New Roman"/>
          <w:bCs/>
          <w:sz w:val="24"/>
          <w:szCs w:val="24"/>
        </w:rPr>
        <w:t>, though in</w:t>
      </w:r>
      <w:r w:rsidR="00D8710B">
        <w:rPr>
          <w:rFonts w:ascii="Times New Roman" w:hAnsi="Times New Roman" w:cs="Times New Roman"/>
          <w:bCs/>
          <w:sz w:val="24"/>
          <w:szCs w:val="24"/>
        </w:rPr>
        <w:t xml:space="preserve"> somewhat</w:t>
      </w:r>
      <w:r w:rsidR="000D2AD6">
        <w:rPr>
          <w:rFonts w:ascii="Times New Roman" w:hAnsi="Times New Roman" w:cs="Times New Roman"/>
          <w:bCs/>
          <w:sz w:val="24"/>
          <w:szCs w:val="24"/>
        </w:rPr>
        <w:t xml:space="preserve"> laboured prose,</w:t>
      </w:r>
      <w:r w:rsidR="004B4C16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6E59D1">
        <w:rPr>
          <w:rFonts w:ascii="Times New Roman" w:hAnsi="Times New Roman" w:cs="Times New Roman"/>
          <w:bCs/>
          <w:sz w:val="24"/>
          <w:szCs w:val="24"/>
        </w:rPr>
        <w:t>of second-century writers and documents</w:t>
      </w:r>
      <w:r w:rsidR="000D2AD6">
        <w:rPr>
          <w:rFonts w:ascii="Times New Roman" w:hAnsi="Times New Roman" w:cs="Times New Roman"/>
          <w:bCs/>
          <w:sz w:val="24"/>
          <w:szCs w:val="24"/>
        </w:rPr>
        <w:t xml:space="preserve"> (pp.9-34)</w:t>
      </w:r>
      <w:r w:rsidR="006E59D1">
        <w:rPr>
          <w:rFonts w:ascii="Times New Roman" w:hAnsi="Times New Roman" w:cs="Times New Roman"/>
          <w:bCs/>
          <w:sz w:val="24"/>
          <w:szCs w:val="24"/>
        </w:rPr>
        <w:t>. He declares that the text of the four canonical gospels was in a state of flux in the second century, and in fact the whole of the New Testament text was not firmly established</w:t>
      </w:r>
      <w:r w:rsidR="000D2AD6">
        <w:rPr>
          <w:rFonts w:ascii="Times New Roman" w:hAnsi="Times New Roman" w:cs="Times New Roman"/>
          <w:bCs/>
          <w:sz w:val="24"/>
          <w:szCs w:val="24"/>
        </w:rPr>
        <w:t>, with the earliest codices of the canonical gospels, the Codex Vaticanus and the Codex Sinaiticus</w:t>
      </w:r>
      <w:r w:rsidR="006E59D1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0D2AD6">
        <w:rPr>
          <w:rFonts w:ascii="Times New Roman" w:hAnsi="Times New Roman" w:cs="Times New Roman"/>
          <w:bCs/>
          <w:sz w:val="24"/>
          <w:szCs w:val="24"/>
        </w:rPr>
        <w:t xml:space="preserve">dating from as late as the fourth century </w:t>
      </w:r>
      <w:r w:rsidR="009F6F69">
        <w:rPr>
          <w:rFonts w:ascii="Times New Roman" w:hAnsi="Times New Roman" w:cs="Times New Roman"/>
          <w:bCs/>
          <w:sz w:val="24"/>
          <w:szCs w:val="24"/>
        </w:rPr>
        <w:t xml:space="preserve">CE </w:t>
      </w:r>
      <w:r w:rsidR="006E59D1">
        <w:rPr>
          <w:rFonts w:ascii="Times New Roman" w:hAnsi="Times New Roman" w:cs="Times New Roman"/>
          <w:bCs/>
          <w:sz w:val="24"/>
          <w:szCs w:val="24"/>
        </w:rPr>
        <w:t>(p.10)</w:t>
      </w:r>
      <w:r w:rsidR="000D2AD6">
        <w:rPr>
          <w:rFonts w:ascii="Times New Roman" w:hAnsi="Times New Roman" w:cs="Times New Roman"/>
          <w:bCs/>
          <w:sz w:val="24"/>
          <w:szCs w:val="24"/>
        </w:rPr>
        <w:t xml:space="preserve">. </w:t>
      </w:r>
      <w:r w:rsidR="002A2C95">
        <w:rPr>
          <w:rFonts w:ascii="Times New Roman" w:hAnsi="Times New Roman" w:cs="Times New Roman"/>
          <w:bCs/>
          <w:sz w:val="24"/>
          <w:szCs w:val="24"/>
        </w:rPr>
        <w:t xml:space="preserve">Petersen’s chapter on Tatian (pp.35-83) begins with Patristic references to the </w:t>
      </w:r>
      <w:r w:rsidR="002A2C95">
        <w:rPr>
          <w:rFonts w:ascii="Times New Roman" w:hAnsi="Times New Roman" w:cs="Times New Roman"/>
          <w:bCs/>
          <w:i/>
          <w:iCs/>
          <w:sz w:val="24"/>
          <w:szCs w:val="24"/>
        </w:rPr>
        <w:t>Diatessaron</w:t>
      </w:r>
      <w:r w:rsidR="002A2C95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39121D">
        <w:rPr>
          <w:rFonts w:ascii="Times New Roman" w:hAnsi="Times New Roman" w:cs="Times New Roman"/>
          <w:bCs/>
          <w:sz w:val="24"/>
          <w:szCs w:val="24"/>
        </w:rPr>
        <w:t xml:space="preserve">– the list is substantial – </w:t>
      </w:r>
      <w:r w:rsidR="002A2C95">
        <w:rPr>
          <w:rFonts w:ascii="Times New Roman" w:hAnsi="Times New Roman" w:cs="Times New Roman"/>
          <w:bCs/>
          <w:sz w:val="24"/>
          <w:szCs w:val="24"/>
        </w:rPr>
        <w:t>and its attribution to Tatian</w:t>
      </w:r>
      <w:r w:rsidR="0039121D">
        <w:rPr>
          <w:rFonts w:ascii="Times New Roman" w:hAnsi="Times New Roman" w:cs="Times New Roman"/>
          <w:bCs/>
          <w:sz w:val="24"/>
          <w:szCs w:val="24"/>
        </w:rPr>
        <w:t xml:space="preserve">. There then follows such evidence as there is for his biography (pp.67-72), and finally, a section on Tatian’s theology as it relates to the </w:t>
      </w:r>
      <w:r w:rsidR="0039121D">
        <w:rPr>
          <w:rFonts w:ascii="Times New Roman" w:hAnsi="Times New Roman" w:cs="Times New Roman"/>
          <w:bCs/>
          <w:i/>
          <w:iCs/>
          <w:sz w:val="24"/>
          <w:szCs w:val="24"/>
        </w:rPr>
        <w:t>Diatessaron</w:t>
      </w:r>
      <w:r w:rsidR="0039121D">
        <w:rPr>
          <w:rFonts w:ascii="Times New Roman" w:hAnsi="Times New Roman" w:cs="Times New Roman"/>
          <w:bCs/>
          <w:sz w:val="24"/>
          <w:szCs w:val="24"/>
        </w:rPr>
        <w:t xml:space="preserve"> (pp.72-83). </w:t>
      </w:r>
      <w:r w:rsidR="00C52465">
        <w:rPr>
          <w:rFonts w:ascii="Times New Roman" w:hAnsi="Times New Roman" w:cs="Times New Roman"/>
          <w:bCs/>
          <w:sz w:val="24"/>
          <w:szCs w:val="24"/>
        </w:rPr>
        <w:t>This includes his motivation (a topic also taken up by Zola below). Petersen believes that unity was Tatian’s goal in producing a single gospel</w:t>
      </w:r>
      <w:r w:rsidR="0013011C">
        <w:rPr>
          <w:rFonts w:ascii="Times New Roman" w:hAnsi="Times New Roman" w:cs="Times New Roman"/>
          <w:bCs/>
          <w:sz w:val="24"/>
          <w:szCs w:val="24"/>
        </w:rPr>
        <w:t xml:space="preserve">, as many pagan opponents of Christianity cited the contradictions in the </w:t>
      </w:r>
      <w:r w:rsidR="004365B0">
        <w:rPr>
          <w:rFonts w:ascii="Times New Roman" w:hAnsi="Times New Roman" w:cs="Times New Roman"/>
          <w:bCs/>
          <w:sz w:val="24"/>
          <w:szCs w:val="24"/>
        </w:rPr>
        <w:t>four G</w:t>
      </w:r>
      <w:r w:rsidR="0013011C">
        <w:rPr>
          <w:rFonts w:ascii="Times New Roman" w:hAnsi="Times New Roman" w:cs="Times New Roman"/>
          <w:bCs/>
          <w:sz w:val="24"/>
          <w:szCs w:val="24"/>
        </w:rPr>
        <w:t>ospels as evidence that Christianity was fraudulent. Tatian aimed to harmonise these contradictions away.</w:t>
      </w:r>
    </w:p>
    <w:p w14:paraId="108D2843" w14:textId="4F7F113F" w:rsidR="00676294" w:rsidRPr="00FF35E7" w:rsidRDefault="00F56304" w:rsidP="0067629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t xml:space="preserve">Tatian’s motivation is further explored by Zola who raises </w:t>
      </w:r>
      <w:r w:rsidR="00F07D0F">
        <w:rPr>
          <w:rFonts w:ascii="Times New Roman" w:hAnsi="Times New Roman" w:cs="Times New Roman"/>
          <w:sz w:val="24"/>
          <w:szCs w:val="24"/>
        </w:rPr>
        <w:t xml:space="preserve"> the question whether it was </w:t>
      </w:r>
      <w:r w:rsidR="006D240F">
        <w:rPr>
          <w:rFonts w:ascii="Times New Roman" w:hAnsi="Times New Roman" w:cs="Times New Roman"/>
          <w:sz w:val="24"/>
          <w:szCs w:val="24"/>
        </w:rPr>
        <w:t>his</w:t>
      </w:r>
      <w:r w:rsidR="00F07D0F">
        <w:rPr>
          <w:rFonts w:ascii="Times New Roman" w:hAnsi="Times New Roman" w:cs="Times New Roman"/>
          <w:sz w:val="24"/>
          <w:szCs w:val="24"/>
        </w:rPr>
        <w:t xml:space="preserve"> aim to act as a </w:t>
      </w:r>
      <w:r w:rsidR="00F07D0F" w:rsidRPr="00C060CF">
        <w:rPr>
          <w:rFonts w:ascii="Times New Roman" w:hAnsi="Times New Roman" w:cs="Times New Roman"/>
          <w:i/>
          <w:iCs/>
          <w:sz w:val="24"/>
          <w:szCs w:val="24"/>
        </w:rPr>
        <w:t>harmonist</w:t>
      </w:r>
      <w:r w:rsidR="00F07D0F">
        <w:rPr>
          <w:rFonts w:ascii="Times New Roman" w:hAnsi="Times New Roman" w:cs="Times New Roman"/>
          <w:sz w:val="24"/>
          <w:szCs w:val="24"/>
        </w:rPr>
        <w:t xml:space="preserve"> who combined the four Gospels into a </w:t>
      </w:r>
      <w:r w:rsidR="00F07D0F" w:rsidRPr="00C060CF">
        <w:rPr>
          <w:rFonts w:ascii="Times New Roman" w:hAnsi="Times New Roman" w:cs="Times New Roman"/>
          <w:i/>
          <w:iCs/>
          <w:sz w:val="24"/>
          <w:szCs w:val="24"/>
        </w:rPr>
        <w:t>gospel harmony</w:t>
      </w:r>
      <w:r w:rsidR="00F07D0F">
        <w:rPr>
          <w:rFonts w:ascii="Times New Roman" w:hAnsi="Times New Roman" w:cs="Times New Roman"/>
          <w:sz w:val="24"/>
          <w:szCs w:val="24"/>
        </w:rPr>
        <w:t xml:space="preserve"> but left them </w:t>
      </w:r>
      <w:r w:rsidR="00C060CF">
        <w:rPr>
          <w:rFonts w:ascii="Times New Roman" w:hAnsi="Times New Roman" w:cs="Times New Roman"/>
          <w:sz w:val="24"/>
          <w:szCs w:val="24"/>
        </w:rPr>
        <w:t xml:space="preserve">largely </w:t>
      </w:r>
      <w:r w:rsidR="00F07D0F">
        <w:rPr>
          <w:rFonts w:ascii="Times New Roman" w:hAnsi="Times New Roman" w:cs="Times New Roman"/>
          <w:sz w:val="24"/>
          <w:szCs w:val="24"/>
        </w:rPr>
        <w:t>intact</w:t>
      </w:r>
      <w:r w:rsidR="009C3EA3">
        <w:rPr>
          <w:rFonts w:ascii="Times New Roman" w:hAnsi="Times New Roman" w:cs="Times New Roman"/>
          <w:sz w:val="24"/>
          <w:szCs w:val="24"/>
        </w:rPr>
        <w:t>,</w:t>
      </w:r>
      <w:r w:rsidR="00F07D0F">
        <w:rPr>
          <w:rFonts w:ascii="Times New Roman" w:hAnsi="Times New Roman" w:cs="Times New Roman"/>
          <w:sz w:val="24"/>
          <w:szCs w:val="24"/>
        </w:rPr>
        <w:t xml:space="preserve"> or whether he imagined himself as an </w:t>
      </w:r>
      <w:r w:rsidR="00F07D0F" w:rsidRPr="00C060CF">
        <w:rPr>
          <w:rFonts w:ascii="Times New Roman" w:hAnsi="Times New Roman" w:cs="Times New Roman"/>
          <w:i/>
          <w:iCs/>
          <w:sz w:val="24"/>
          <w:szCs w:val="24"/>
        </w:rPr>
        <w:t>evangelist</w:t>
      </w:r>
      <w:r w:rsidR="00F07D0F">
        <w:rPr>
          <w:rFonts w:ascii="Times New Roman" w:hAnsi="Times New Roman" w:cs="Times New Roman"/>
          <w:sz w:val="24"/>
          <w:szCs w:val="24"/>
        </w:rPr>
        <w:t xml:space="preserve"> who recast his sources into a separate gospel that would stand independently.</w:t>
      </w:r>
      <w:r w:rsidR="00F07D0F">
        <w:rPr>
          <w:rStyle w:val="FootnoteReference"/>
          <w:rFonts w:ascii="Times New Roman" w:hAnsi="Times New Roman" w:cs="Times New Roman"/>
          <w:sz w:val="24"/>
          <w:szCs w:val="24"/>
        </w:rPr>
        <w:footnoteReference w:id="9"/>
      </w:r>
      <w:r w:rsidR="006E78F1">
        <w:rPr>
          <w:rFonts w:ascii="Times New Roman" w:hAnsi="Times New Roman" w:cs="Times New Roman"/>
          <w:sz w:val="24"/>
          <w:szCs w:val="24"/>
        </w:rPr>
        <w:t xml:space="preserve"> </w:t>
      </w:r>
      <w:r w:rsidR="00DE4C38">
        <w:rPr>
          <w:rFonts w:ascii="Times New Roman" w:hAnsi="Times New Roman" w:cs="Times New Roman"/>
          <w:sz w:val="24"/>
          <w:szCs w:val="24"/>
        </w:rPr>
        <w:t xml:space="preserve">Zola reviews at length arguments for regarding the </w:t>
      </w:r>
      <w:r w:rsidR="00DE4C38">
        <w:rPr>
          <w:rFonts w:ascii="Times New Roman" w:hAnsi="Times New Roman" w:cs="Times New Roman"/>
          <w:i/>
          <w:iCs/>
          <w:sz w:val="24"/>
          <w:szCs w:val="24"/>
        </w:rPr>
        <w:t>Diatessaron</w:t>
      </w:r>
      <w:r w:rsidR="00DE4C38">
        <w:rPr>
          <w:rFonts w:ascii="Times New Roman" w:hAnsi="Times New Roman" w:cs="Times New Roman"/>
          <w:sz w:val="24"/>
          <w:szCs w:val="24"/>
        </w:rPr>
        <w:t xml:space="preserve"> as a gospel</w:t>
      </w:r>
      <w:r w:rsidR="00D54C9E">
        <w:rPr>
          <w:rFonts w:ascii="Times New Roman" w:hAnsi="Times New Roman" w:cs="Times New Roman"/>
          <w:sz w:val="24"/>
          <w:szCs w:val="24"/>
        </w:rPr>
        <w:t>,</w:t>
      </w:r>
      <w:r w:rsidR="00DE4C38">
        <w:rPr>
          <w:rFonts w:ascii="Times New Roman" w:hAnsi="Times New Roman" w:cs="Times New Roman"/>
          <w:sz w:val="24"/>
          <w:szCs w:val="24"/>
        </w:rPr>
        <w:t xml:space="preserve"> and finds </w:t>
      </w:r>
      <w:r w:rsidR="00B6715E">
        <w:rPr>
          <w:rFonts w:ascii="Times New Roman" w:hAnsi="Times New Roman" w:cs="Times New Roman"/>
          <w:sz w:val="24"/>
          <w:szCs w:val="24"/>
        </w:rPr>
        <w:t>them</w:t>
      </w:r>
      <w:r w:rsidR="00DE4C38">
        <w:rPr>
          <w:rFonts w:ascii="Times New Roman" w:hAnsi="Times New Roman" w:cs="Times New Roman"/>
          <w:sz w:val="24"/>
          <w:szCs w:val="24"/>
        </w:rPr>
        <w:t xml:space="preserve"> wanting.</w:t>
      </w:r>
      <w:r w:rsidR="00373115">
        <w:rPr>
          <w:rStyle w:val="FootnoteReference"/>
          <w:rFonts w:ascii="Times New Roman" w:hAnsi="Times New Roman" w:cs="Times New Roman"/>
          <w:sz w:val="24"/>
          <w:szCs w:val="24"/>
        </w:rPr>
        <w:footnoteReference w:id="10"/>
      </w:r>
      <w:r w:rsidR="00DE4C38">
        <w:rPr>
          <w:rFonts w:ascii="Times New Roman" w:hAnsi="Times New Roman" w:cs="Times New Roman"/>
          <w:sz w:val="24"/>
          <w:szCs w:val="24"/>
        </w:rPr>
        <w:t xml:space="preserve"> The matter tu</w:t>
      </w:r>
      <w:r w:rsidR="00D54C9E">
        <w:rPr>
          <w:rFonts w:ascii="Times New Roman" w:hAnsi="Times New Roman" w:cs="Times New Roman"/>
          <w:sz w:val="24"/>
          <w:szCs w:val="24"/>
        </w:rPr>
        <w:t>r</w:t>
      </w:r>
      <w:r w:rsidR="00DE4C38">
        <w:rPr>
          <w:rFonts w:ascii="Times New Roman" w:hAnsi="Times New Roman" w:cs="Times New Roman"/>
          <w:sz w:val="24"/>
          <w:szCs w:val="24"/>
        </w:rPr>
        <w:t>ns on what Tatian thought at the time</w:t>
      </w:r>
      <w:r w:rsidR="00D54C9E">
        <w:rPr>
          <w:rFonts w:ascii="Times New Roman" w:hAnsi="Times New Roman" w:cs="Times New Roman"/>
          <w:sz w:val="24"/>
          <w:szCs w:val="24"/>
        </w:rPr>
        <w:t xml:space="preserve">; </w:t>
      </w:r>
      <w:r w:rsidR="00C76F1A">
        <w:rPr>
          <w:rFonts w:ascii="Times New Roman" w:hAnsi="Times New Roman" w:cs="Times New Roman"/>
          <w:sz w:val="24"/>
          <w:szCs w:val="24"/>
        </w:rPr>
        <w:t xml:space="preserve">we are, however, hampered by the fact that </w:t>
      </w:r>
      <w:r w:rsidR="00DE4C38">
        <w:rPr>
          <w:rFonts w:ascii="Times New Roman" w:hAnsi="Times New Roman" w:cs="Times New Roman"/>
          <w:sz w:val="24"/>
          <w:szCs w:val="24"/>
        </w:rPr>
        <w:t>there is no preface extant and no contem</w:t>
      </w:r>
      <w:r w:rsidR="00D54C9E">
        <w:rPr>
          <w:rFonts w:ascii="Times New Roman" w:hAnsi="Times New Roman" w:cs="Times New Roman"/>
          <w:sz w:val="24"/>
          <w:szCs w:val="24"/>
        </w:rPr>
        <w:t xml:space="preserve">porary has even mentioned the </w:t>
      </w:r>
      <w:r w:rsidR="00D54C9E">
        <w:rPr>
          <w:rFonts w:ascii="Times New Roman" w:hAnsi="Times New Roman" w:cs="Times New Roman"/>
          <w:i/>
          <w:iCs/>
          <w:sz w:val="24"/>
          <w:szCs w:val="24"/>
        </w:rPr>
        <w:t>Diatessaron</w:t>
      </w:r>
      <w:r w:rsidR="00D54C9E">
        <w:rPr>
          <w:rFonts w:ascii="Times New Roman" w:hAnsi="Times New Roman" w:cs="Times New Roman"/>
          <w:sz w:val="24"/>
          <w:szCs w:val="24"/>
        </w:rPr>
        <w:t>.</w:t>
      </w:r>
      <w:r w:rsidR="00D54C9E">
        <w:rPr>
          <w:rStyle w:val="FootnoteReference"/>
          <w:rFonts w:ascii="Times New Roman" w:hAnsi="Times New Roman" w:cs="Times New Roman"/>
          <w:sz w:val="24"/>
          <w:szCs w:val="24"/>
        </w:rPr>
        <w:footnoteReference w:id="11"/>
      </w:r>
      <w:r w:rsidR="001B43A4">
        <w:rPr>
          <w:rFonts w:ascii="Times New Roman" w:hAnsi="Times New Roman" w:cs="Times New Roman"/>
          <w:sz w:val="24"/>
          <w:szCs w:val="24"/>
        </w:rPr>
        <w:t xml:space="preserve"> </w:t>
      </w:r>
      <w:r w:rsidR="00302807">
        <w:rPr>
          <w:rFonts w:ascii="Times New Roman" w:hAnsi="Times New Roman" w:cs="Times New Roman"/>
          <w:sz w:val="24"/>
          <w:szCs w:val="24"/>
        </w:rPr>
        <w:t xml:space="preserve">This matters for the </w:t>
      </w:r>
      <w:r w:rsidR="00302807">
        <w:rPr>
          <w:rFonts w:ascii="Times New Roman" w:hAnsi="Times New Roman" w:cs="Times New Roman"/>
          <w:sz w:val="24"/>
          <w:szCs w:val="24"/>
        </w:rPr>
        <w:lastRenderedPageBreak/>
        <w:t>following reason: i</w:t>
      </w:r>
      <w:r w:rsidR="00B6715E">
        <w:rPr>
          <w:rFonts w:ascii="Times New Roman" w:hAnsi="Times New Roman" w:cs="Times New Roman"/>
          <w:sz w:val="24"/>
          <w:szCs w:val="24"/>
        </w:rPr>
        <w:t xml:space="preserve">f Tatian wrote a harmony by reordering the texts of second-century </w:t>
      </w:r>
      <w:r w:rsidR="002B2A5F">
        <w:rPr>
          <w:rFonts w:ascii="Times New Roman" w:hAnsi="Times New Roman" w:cs="Times New Roman"/>
          <w:sz w:val="24"/>
          <w:szCs w:val="24"/>
        </w:rPr>
        <w:t>g</w:t>
      </w:r>
      <w:r w:rsidR="00B6715E">
        <w:rPr>
          <w:rFonts w:ascii="Times New Roman" w:hAnsi="Times New Roman" w:cs="Times New Roman"/>
          <w:sz w:val="24"/>
          <w:szCs w:val="24"/>
        </w:rPr>
        <w:t xml:space="preserve">ospels and leaving them intact, then we have indirect access to gospel manuscripts that predate </w:t>
      </w:r>
      <w:r w:rsidR="005E1835">
        <w:rPr>
          <w:rFonts w:ascii="Times New Roman" w:hAnsi="Times New Roman" w:cs="Times New Roman"/>
          <w:sz w:val="24"/>
          <w:szCs w:val="24"/>
        </w:rPr>
        <w:t xml:space="preserve">the earliest extant manuscripts. If, on the other hand, he considered himself to be an evangelist, free to manipulate and edit his text, then we no longer have </w:t>
      </w:r>
      <w:r w:rsidR="00E87EB2">
        <w:rPr>
          <w:rFonts w:ascii="Times New Roman" w:hAnsi="Times New Roman" w:cs="Times New Roman"/>
          <w:sz w:val="24"/>
          <w:szCs w:val="24"/>
        </w:rPr>
        <w:t xml:space="preserve">direct </w:t>
      </w:r>
      <w:r w:rsidR="005E1835">
        <w:rPr>
          <w:rFonts w:ascii="Times New Roman" w:hAnsi="Times New Roman" w:cs="Times New Roman"/>
          <w:sz w:val="24"/>
          <w:szCs w:val="24"/>
        </w:rPr>
        <w:t xml:space="preserve">access to </w:t>
      </w:r>
      <w:r w:rsidR="006D240F">
        <w:rPr>
          <w:rFonts w:ascii="Times New Roman" w:hAnsi="Times New Roman" w:cs="Times New Roman"/>
          <w:sz w:val="24"/>
          <w:szCs w:val="24"/>
        </w:rPr>
        <w:t>early</w:t>
      </w:r>
      <w:r w:rsidR="005E1835">
        <w:rPr>
          <w:rFonts w:ascii="Times New Roman" w:hAnsi="Times New Roman" w:cs="Times New Roman"/>
          <w:sz w:val="24"/>
          <w:szCs w:val="24"/>
        </w:rPr>
        <w:t xml:space="preserve"> lost readings. Zola goes on to deal in greater detail with this harmony/evangelist dichotomy</w:t>
      </w:r>
      <w:r w:rsidR="00F6666A">
        <w:rPr>
          <w:rFonts w:ascii="Times New Roman" w:hAnsi="Times New Roman" w:cs="Times New Roman"/>
          <w:sz w:val="24"/>
          <w:szCs w:val="24"/>
        </w:rPr>
        <w:t>, and concludes that the matter</w:t>
      </w:r>
      <w:r w:rsidR="00FF35E7" w:rsidRPr="00FF35E7">
        <w:rPr>
          <w:rFonts w:ascii="Times New Roman" w:hAnsi="Times New Roman" w:cs="Times New Roman"/>
          <w:sz w:val="24"/>
          <w:szCs w:val="24"/>
        </w:rPr>
        <w:t xml:space="preserve"> </w:t>
      </w:r>
      <w:r w:rsidR="00FF35E7">
        <w:rPr>
          <w:rFonts w:ascii="Times New Roman" w:hAnsi="Times New Roman" w:cs="Times New Roman"/>
          <w:sz w:val="24"/>
          <w:szCs w:val="24"/>
        </w:rPr>
        <w:t xml:space="preserve">is presently </w:t>
      </w:r>
      <w:r w:rsidR="00240784">
        <w:rPr>
          <w:rFonts w:ascii="Times New Roman" w:hAnsi="Times New Roman" w:cs="Times New Roman"/>
          <w:sz w:val="24"/>
          <w:szCs w:val="24"/>
        </w:rPr>
        <w:t>undecidable</w:t>
      </w:r>
      <w:r w:rsidR="00FF35E7">
        <w:rPr>
          <w:rFonts w:ascii="Times New Roman" w:hAnsi="Times New Roman" w:cs="Times New Roman"/>
          <w:sz w:val="24"/>
          <w:szCs w:val="24"/>
        </w:rPr>
        <w:t xml:space="preserve"> as we lack trustworthy editions of primary witness texts.</w:t>
      </w:r>
      <w:r w:rsidR="00FF35E7">
        <w:rPr>
          <w:rStyle w:val="FootnoteReference"/>
          <w:rFonts w:ascii="Times New Roman" w:hAnsi="Times New Roman" w:cs="Times New Roman"/>
          <w:sz w:val="24"/>
          <w:szCs w:val="24"/>
        </w:rPr>
        <w:footnoteReference w:id="12"/>
      </w:r>
      <w:r w:rsidR="0029230D">
        <w:rPr>
          <w:rStyle w:val="a-list-item"/>
          <w:rFonts w:ascii="Times New Roman" w:hAnsi="Times New Roman" w:cs="Times New Roman"/>
          <w:sz w:val="24"/>
          <w:szCs w:val="24"/>
        </w:rPr>
        <w:t xml:space="preserve"> </w:t>
      </w:r>
      <w:r w:rsidR="00FF35E7">
        <w:rPr>
          <w:rStyle w:val="a-list-item"/>
          <w:rFonts w:ascii="Times New Roman" w:hAnsi="Times New Roman" w:cs="Times New Roman"/>
          <w:iCs/>
          <w:sz w:val="24"/>
          <w:szCs w:val="24"/>
        </w:rPr>
        <w:t>Baarda</w:t>
      </w:r>
      <w:r w:rsidR="00BF3CD8">
        <w:rPr>
          <w:rStyle w:val="a-list-item"/>
          <w:rFonts w:ascii="Times New Roman" w:hAnsi="Times New Roman" w:cs="Times New Roman"/>
          <w:iCs/>
          <w:sz w:val="24"/>
          <w:szCs w:val="24"/>
        </w:rPr>
        <w:t xml:space="preserve"> continues this theme</w:t>
      </w:r>
      <w:r w:rsidR="00FF35E7">
        <w:rPr>
          <w:rStyle w:val="a-list-item"/>
          <w:rFonts w:ascii="Times New Roman" w:hAnsi="Times New Roman" w:cs="Times New Roman"/>
          <w:iCs/>
          <w:sz w:val="24"/>
          <w:szCs w:val="24"/>
        </w:rPr>
        <w:t xml:space="preserve"> </w:t>
      </w:r>
      <w:r w:rsidR="00BF3CD8">
        <w:rPr>
          <w:rStyle w:val="a-list-item"/>
          <w:rFonts w:ascii="Times New Roman" w:hAnsi="Times New Roman" w:cs="Times New Roman"/>
          <w:iCs/>
          <w:sz w:val="24"/>
          <w:szCs w:val="24"/>
        </w:rPr>
        <w:t xml:space="preserve">in </w:t>
      </w:r>
      <w:r w:rsidR="0029230D">
        <w:rPr>
          <w:rStyle w:val="a-list-item"/>
          <w:rFonts w:ascii="Times New Roman" w:hAnsi="Times New Roman" w:cs="Times New Roman"/>
          <w:iCs/>
          <w:sz w:val="24"/>
          <w:szCs w:val="24"/>
        </w:rPr>
        <w:t>considering</w:t>
      </w:r>
      <w:r w:rsidR="00FF35E7">
        <w:rPr>
          <w:rStyle w:val="a-list-item"/>
          <w:rFonts w:ascii="Times New Roman" w:hAnsi="Times New Roman" w:cs="Times New Roman"/>
          <w:iCs/>
          <w:sz w:val="24"/>
          <w:szCs w:val="24"/>
        </w:rPr>
        <w:t xml:space="preserve"> what kind of Greek gospel text Tatian</w:t>
      </w:r>
      <w:r w:rsidR="00FF35E7">
        <w:rPr>
          <w:rFonts w:ascii="Times New Roman" w:hAnsi="Times New Roman" w:cs="Times New Roman"/>
          <w:sz w:val="24"/>
          <w:szCs w:val="24"/>
        </w:rPr>
        <w:t xml:space="preserve"> </w:t>
      </w:r>
      <w:r w:rsidR="00676294">
        <w:rPr>
          <w:rStyle w:val="a-list-item"/>
          <w:rFonts w:ascii="Times New Roman" w:hAnsi="Times New Roman" w:cs="Times New Roman"/>
          <w:iCs/>
          <w:sz w:val="24"/>
          <w:szCs w:val="24"/>
        </w:rPr>
        <w:t xml:space="preserve">was familiar with in composing the </w:t>
      </w:r>
      <w:r w:rsidR="00676294">
        <w:rPr>
          <w:rStyle w:val="a-list-item"/>
          <w:rFonts w:ascii="Times New Roman" w:hAnsi="Times New Roman" w:cs="Times New Roman"/>
          <w:i/>
          <w:sz w:val="24"/>
          <w:szCs w:val="24"/>
        </w:rPr>
        <w:t>Diatessaron</w:t>
      </w:r>
      <w:r w:rsidR="00676294">
        <w:rPr>
          <w:rStyle w:val="a-list-item"/>
          <w:rFonts w:ascii="Times New Roman" w:hAnsi="Times New Roman" w:cs="Times New Roman"/>
          <w:iCs/>
          <w:sz w:val="24"/>
          <w:szCs w:val="24"/>
        </w:rPr>
        <w:t>.</w:t>
      </w:r>
      <w:r w:rsidR="00676294">
        <w:rPr>
          <w:rStyle w:val="FootnoteReference"/>
          <w:rFonts w:ascii="Times New Roman" w:hAnsi="Times New Roman" w:cs="Times New Roman"/>
          <w:iCs/>
          <w:sz w:val="24"/>
          <w:szCs w:val="24"/>
        </w:rPr>
        <w:footnoteReference w:id="13"/>
      </w:r>
      <w:r w:rsidR="00676294">
        <w:rPr>
          <w:rStyle w:val="a-list-item"/>
          <w:rFonts w:ascii="Times New Roman" w:hAnsi="Times New Roman" w:cs="Times New Roman"/>
          <w:iCs/>
          <w:sz w:val="24"/>
          <w:szCs w:val="24"/>
        </w:rPr>
        <w:t xml:space="preserve"> </w:t>
      </w:r>
      <w:r w:rsidR="0029230D">
        <w:rPr>
          <w:rStyle w:val="a-list-item"/>
          <w:rFonts w:ascii="Times New Roman" w:hAnsi="Times New Roman" w:cs="Times New Roman"/>
          <w:iCs/>
          <w:sz w:val="24"/>
          <w:szCs w:val="24"/>
        </w:rPr>
        <w:t xml:space="preserve">The original language of the </w:t>
      </w:r>
      <w:r w:rsidR="0029230D">
        <w:rPr>
          <w:rStyle w:val="a-list-item"/>
          <w:rFonts w:ascii="Times New Roman" w:hAnsi="Times New Roman" w:cs="Times New Roman"/>
          <w:i/>
          <w:sz w:val="24"/>
          <w:szCs w:val="24"/>
        </w:rPr>
        <w:t xml:space="preserve">Diatessaron </w:t>
      </w:r>
      <w:r w:rsidR="0029230D">
        <w:rPr>
          <w:rStyle w:val="a-list-item"/>
          <w:rFonts w:ascii="Times New Roman" w:hAnsi="Times New Roman" w:cs="Times New Roman"/>
          <w:iCs/>
          <w:sz w:val="24"/>
          <w:szCs w:val="24"/>
        </w:rPr>
        <w:t xml:space="preserve">is also considered. </w:t>
      </w:r>
      <w:r w:rsidR="00F8011A">
        <w:rPr>
          <w:rStyle w:val="a-list-item"/>
          <w:rFonts w:ascii="Times New Roman" w:hAnsi="Times New Roman" w:cs="Times New Roman"/>
          <w:iCs/>
          <w:sz w:val="24"/>
          <w:szCs w:val="24"/>
        </w:rPr>
        <w:t xml:space="preserve">It seems highly likely that it was </w:t>
      </w:r>
      <w:r w:rsidR="00E87EB2">
        <w:rPr>
          <w:rStyle w:val="a-list-item"/>
          <w:rFonts w:ascii="Times New Roman" w:hAnsi="Times New Roman" w:cs="Times New Roman"/>
          <w:iCs/>
          <w:sz w:val="24"/>
          <w:szCs w:val="24"/>
        </w:rPr>
        <w:t xml:space="preserve">originally </w:t>
      </w:r>
      <w:r w:rsidR="00F8011A">
        <w:rPr>
          <w:rStyle w:val="a-list-item"/>
          <w:rFonts w:ascii="Times New Roman" w:hAnsi="Times New Roman" w:cs="Times New Roman"/>
          <w:iCs/>
          <w:sz w:val="24"/>
          <w:szCs w:val="24"/>
        </w:rPr>
        <w:t>written in Greek</w:t>
      </w:r>
      <w:r w:rsidR="0029230D">
        <w:rPr>
          <w:rStyle w:val="a-list-item"/>
          <w:rFonts w:ascii="Times New Roman" w:hAnsi="Times New Roman" w:cs="Times New Roman"/>
          <w:iCs/>
          <w:sz w:val="24"/>
          <w:szCs w:val="24"/>
        </w:rPr>
        <w:t>,</w:t>
      </w:r>
      <w:r w:rsidR="00F8011A">
        <w:rPr>
          <w:rStyle w:val="a-list-item"/>
          <w:rFonts w:ascii="Times New Roman" w:hAnsi="Times New Roman" w:cs="Times New Roman"/>
          <w:iCs/>
          <w:sz w:val="24"/>
          <w:szCs w:val="24"/>
        </w:rPr>
        <w:t xml:space="preserve"> though some scholars claim Syriac as the original language.</w:t>
      </w:r>
      <w:r w:rsidR="00F8011A">
        <w:rPr>
          <w:rStyle w:val="FootnoteReference"/>
          <w:rFonts w:ascii="Times New Roman" w:hAnsi="Times New Roman" w:cs="Times New Roman"/>
          <w:iCs/>
          <w:sz w:val="24"/>
          <w:szCs w:val="24"/>
        </w:rPr>
        <w:footnoteReference w:id="14"/>
      </w:r>
      <w:r w:rsidR="001D1C4B">
        <w:rPr>
          <w:rStyle w:val="a-list-item"/>
          <w:rFonts w:ascii="Times New Roman" w:hAnsi="Times New Roman" w:cs="Times New Roman"/>
          <w:iCs/>
          <w:sz w:val="24"/>
          <w:szCs w:val="24"/>
        </w:rPr>
        <w:t xml:space="preserve"> </w:t>
      </w:r>
      <w:r w:rsidR="0029230D">
        <w:rPr>
          <w:rStyle w:val="a-list-item"/>
          <w:rFonts w:ascii="Times New Roman" w:hAnsi="Times New Roman" w:cs="Times New Roman"/>
          <w:iCs/>
          <w:sz w:val="24"/>
          <w:szCs w:val="24"/>
        </w:rPr>
        <w:t xml:space="preserve"> </w:t>
      </w:r>
      <w:r w:rsidR="006D240F">
        <w:rPr>
          <w:rStyle w:val="a-list-item"/>
          <w:rFonts w:ascii="Times New Roman" w:hAnsi="Times New Roman" w:cs="Times New Roman"/>
          <w:iCs/>
          <w:sz w:val="24"/>
          <w:szCs w:val="24"/>
        </w:rPr>
        <w:t>Only fragments of</w:t>
      </w:r>
      <w:r w:rsidR="0029230D">
        <w:rPr>
          <w:rStyle w:val="a-list-item"/>
          <w:rFonts w:ascii="Times New Roman" w:hAnsi="Times New Roman" w:cs="Times New Roman"/>
          <w:iCs/>
          <w:sz w:val="24"/>
          <w:szCs w:val="24"/>
        </w:rPr>
        <w:t xml:space="preserve"> the </w:t>
      </w:r>
      <w:r w:rsidR="0083463F">
        <w:rPr>
          <w:rStyle w:val="a-list-item"/>
          <w:rFonts w:ascii="Times New Roman" w:hAnsi="Times New Roman" w:cs="Times New Roman"/>
          <w:iCs/>
          <w:sz w:val="24"/>
          <w:szCs w:val="24"/>
        </w:rPr>
        <w:t xml:space="preserve">Greek </w:t>
      </w:r>
      <w:r w:rsidR="006D240F">
        <w:rPr>
          <w:rStyle w:val="a-list-item"/>
          <w:rFonts w:ascii="Times New Roman" w:hAnsi="Times New Roman" w:cs="Times New Roman"/>
          <w:iCs/>
          <w:sz w:val="24"/>
          <w:szCs w:val="24"/>
        </w:rPr>
        <w:t xml:space="preserve">and </w:t>
      </w:r>
      <w:r w:rsidR="0029230D">
        <w:rPr>
          <w:rStyle w:val="a-list-item"/>
          <w:rFonts w:ascii="Times New Roman" w:hAnsi="Times New Roman" w:cs="Times New Roman"/>
          <w:iCs/>
          <w:sz w:val="24"/>
          <w:szCs w:val="24"/>
        </w:rPr>
        <w:t xml:space="preserve">Syriac </w:t>
      </w:r>
      <w:r w:rsidR="0083463F">
        <w:rPr>
          <w:rStyle w:val="a-list-item"/>
          <w:rFonts w:ascii="Times New Roman" w:hAnsi="Times New Roman" w:cs="Times New Roman"/>
          <w:iCs/>
          <w:sz w:val="24"/>
          <w:szCs w:val="24"/>
        </w:rPr>
        <w:t>text</w:t>
      </w:r>
      <w:r w:rsidR="0029230D">
        <w:rPr>
          <w:rStyle w:val="a-list-item"/>
          <w:rFonts w:ascii="Times New Roman" w:hAnsi="Times New Roman" w:cs="Times New Roman"/>
          <w:iCs/>
          <w:sz w:val="24"/>
          <w:szCs w:val="24"/>
        </w:rPr>
        <w:t>s</w:t>
      </w:r>
      <w:r w:rsidR="0083463F">
        <w:rPr>
          <w:rStyle w:val="a-list-item"/>
          <w:rFonts w:ascii="Times New Roman" w:hAnsi="Times New Roman" w:cs="Times New Roman"/>
          <w:iCs/>
          <w:sz w:val="24"/>
          <w:szCs w:val="24"/>
        </w:rPr>
        <w:t xml:space="preserve"> ha</w:t>
      </w:r>
      <w:r w:rsidR="0029230D">
        <w:rPr>
          <w:rStyle w:val="a-list-item"/>
          <w:rFonts w:ascii="Times New Roman" w:hAnsi="Times New Roman" w:cs="Times New Roman"/>
          <w:iCs/>
          <w:sz w:val="24"/>
          <w:szCs w:val="24"/>
        </w:rPr>
        <w:t xml:space="preserve">ve </w:t>
      </w:r>
      <w:r w:rsidR="0083463F">
        <w:rPr>
          <w:rStyle w:val="a-list-item"/>
          <w:rFonts w:ascii="Times New Roman" w:hAnsi="Times New Roman" w:cs="Times New Roman"/>
          <w:iCs/>
          <w:sz w:val="24"/>
          <w:szCs w:val="24"/>
        </w:rPr>
        <w:t>survived</w:t>
      </w:r>
      <w:r w:rsidR="0029230D">
        <w:rPr>
          <w:rStyle w:val="a-list-item"/>
          <w:rFonts w:ascii="Times New Roman" w:hAnsi="Times New Roman" w:cs="Times New Roman"/>
          <w:iCs/>
          <w:sz w:val="24"/>
          <w:szCs w:val="24"/>
        </w:rPr>
        <w:t>.</w:t>
      </w:r>
      <w:r w:rsidR="0083463F">
        <w:rPr>
          <w:rStyle w:val="a-list-item"/>
          <w:rFonts w:ascii="Times New Roman" w:hAnsi="Times New Roman" w:cs="Times New Roman"/>
          <w:iCs/>
          <w:sz w:val="24"/>
          <w:szCs w:val="24"/>
        </w:rPr>
        <w:t xml:space="preserve"> </w:t>
      </w:r>
    </w:p>
    <w:p w14:paraId="2EA602A3" w14:textId="65800BF8" w:rsidR="00A2248D" w:rsidRPr="00FB1FFE" w:rsidRDefault="0029230D" w:rsidP="00E91D78">
      <w:pPr>
        <w:spacing w:line="360" w:lineRule="auto"/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t xml:space="preserve">The contexts in which Tatian operated is important, and </w:t>
      </w:r>
      <w:r w:rsidR="006E78F1">
        <w:rPr>
          <w:rFonts w:ascii="Times New Roman" w:hAnsi="Times New Roman" w:cs="Times New Roman"/>
          <w:bCs/>
          <w:sz w:val="24"/>
          <w:szCs w:val="24"/>
        </w:rPr>
        <w:t xml:space="preserve">Hunt </w:t>
      </w:r>
      <w:r w:rsidR="008D1330">
        <w:rPr>
          <w:rFonts w:ascii="Times New Roman" w:hAnsi="Times New Roman" w:cs="Times New Roman"/>
          <w:bCs/>
          <w:sz w:val="24"/>
          <w:szCs w:val="24"/>
        </w:rPr>
        <w:t>presents</w:t>
      </w:r>
      <w:r w:rsidR="006E78F1">
        <w:rPr>
          <w:rFonts w:ascii="Times New Roman" w:hAnsi="Times New Roman" w:cs="Times New Roman"/>
          <w:bCs/>
          <w:sz w:val="24"/>
          <w:szCs w:val="24"/>
        </w:rPr>
        <w:t xml:space="preserve"> a wide-ranging presentation of church history</w:t>
      </w:r>
      <w:r w:rsidR="00E91D78">
        <w:rPr>
          <w:rFonts w:ascii="Times New Roman" w:hAnsi="Times New Roman" w:cs="Times New Roman"/>
          <w:bCs/>
          <w:sz w:val="24"/>
          <w:szCs w:val="24"/>
        </w:rPr>
        <w:t xml:space="preserve"> in the second century</w:t>
      </w:r>
      <w:r w:rsidR="006E78F1">
        <w:rPr>
          <w:rFonts w:ascii="Times New Roman" w:hAnsi="Times New Roman" w:cs="Times New Roman"/>
          <w:bCs/>
          <w:sz w:val="24"/>
          <w:szCs w:val="24"/>
        </w:rPr>
        <w:t>, emphasising its fluidity</w:t>
      </w:r>
      <w:r w:rsidR="00FB1FFE">
        <w:rPr>
          <w:rFonts w:ascii="Times New Roman" w:hAnsi="Times New Roman" w:cs="Times New Roman"/>
          <w:bCs/>
          <w:sz w:val="24"/>
          <w:szCs w:val="24"/>
        </w:rPr>
        <w:t xml:space="preserve"> with, for example</w:t>
      </w:r>
      <w:r w:rsidR="009F6F69">
        <w:rPr>
          <w:rFonts w:ascii="Times New Roman" w:hAnsi="Times New Roman" w:cs="Times New Roman"/>
          <w:bCs/>
          <w:sz w:val="24"/>
          <w:szCs w:val="24"/>
        </w:rPr>
        <w:t>,</w:t>
      </w:r>
      <w:r w:rsidR="006E78F1">
        <w:rPr>
          <w:rFonts w:ascii="Times New Roman" w:hAnsi="Times New Roman" w:cs="Times New Roman"/>
          <w:bCs/>
          <w:sz w:val="24"/>
          <w:szCs w:val="24"/>
        </w:rPr>
        <w:t xml:space="preserve"> Christians </w:t>
      </w:r>
      <w:r w:rsidR="00FB1FFE">
        <w:rPr>
          <w:rFonts w:ascii="Times New Roman" w:hAnsi="Times New Roman" w:cs="Times New Roman"/>
          <w:bCs/>
          <w:sz w:val="24"/>
          <w:szCs w:val="24"/>
        </w:rPr>
        <w:t xml:space="preserve">still </w:t>
      </w:r>
      <w:r w:rsidR="006E78F1">
        <w:rPr>
          <w:rFonts w:ascii="Times New Roman" w:hAnsi="Times New Roman" w:cs="Times New Roman"/>
          <w:bCs/>
          <w:sz w:val="24"/>
          <w:szCs w:val="24"/>
        </w:rPr>
        <w:t xml:space="preserve">trying to </w:t>
      </w:r>
      <w:r w:rsidR="009F6F69">
        <w:rPr>
          <w:rFonts w:ascii="Times New Roman" w:hAnsi="Times New Roman" w:cs="Times New Roman"/>
          <w:bCs/>
          <w:sz w:val="24"/>
          <w:szCs w:val="24"/>
        </w:rPr>
        <w:t>identify</w:t>
      </w:r>
      <w:r w:rsidR="006E78F1">
        <w:rPr>
          <w:rFonts w:ascii="Times New Roman" w:hAnsi="Times New Roman" w:cs="Times New Roman"/>
          <w:bCs/>
          <w:sz w:val="24"/>
          <w:szCs w:val="24"/>
        </w:rPr>
        <w:t xml:space="preserve"> themselves in terms of separation from their Jewish roots</w:t>
      </w:r>
      <w:r w:rsidR="00467AEB">
        <w:rPr>
          <w:rFonts w:ascii="Times New Roman" w:hAnsi="Times New Roman" w:cs="Times New Roman"/>
          <w:bCs/>
          <w:sz w:val="24"/>
          <w:szCs w:val="24"/>
        </w:rPr>
        <w:t>,</w:t>
      </w:r>
      <w:r w:rsidR="006E78F1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FB1FFE">
        <w:rPr>
          <w:rFonts w:ascii="Times New Roman" w:hAnsi="Times New Roman" w:cs="Times New Roman"/>
          <w:bCs/>
          <w:sz w:val="24"/>
          <w:szCs w:val="24"/>
        </w:rPr>
        <w:t>and</w:t>
      </w:r>
      <w:r w:rsidR="00E91D78">
        <w:rPr>
          <w:rFonts w:ascii="Times New Roman" w:hAnsi="Times New Roman" w:cs="Times New Roman"/>
          <w:bCs/>
          <w:sz w:val="24"/>
          <w:szCs w:val="24"/>
        </w:rPr>
        <w:t xml:space="preserve"> also </w:t>
      </w:r>
      <w:r w:rsidR="00FB1FFE">
        <w:rPr>
          <w:rFonts w:ascii="Times New Roman" w:hAnsi="Times New Roman" w:cs="Times New Roman"/>
          <w:bCs/>
          <w:sz w:val="24"/>
          <w:szCs w:val="24"/>
        </w:rPr>
        <w:t>facing</w:t>
      </w:r>
      <w:r w:rsidR="00E91D78">
        <w:rPr>
          <w:rFonts w:ascii="Times New Roman" w:hAnsi="Times New Roman" w:cs="Times New Roman"/>
          <w:bCs/>
          <w:sz w:val="24"/>
          <w:szCs w:val="24"/>
        </w:rPr>
        <w:t xml:space="preserve"> the encompassing </w:t>
      </w:r>
      <w:r w:rsidR="00E87EB2">
        <w:rPr>
          <w:rFonts w:ascii="Times New Roman" w:hAnsi="Times New Roman" w:cs="Times New Roman"/>
          <w:bCs/>
          <w:sz w:val="24"/>
          <w:szCs w:val="24"/>
        </w:rPr>
        <w:t xml:space="preserve">hostile </w:t>
      </w:r>
      <w:r w:rsidR="00E91D78">
        <w:rPr>
          <w:rFonts w:ascii="Times New Roman" w:hAnsi="Times New Roman" w:cs="Times New Roman"/>
          <w:bCs/>
          <w:sz w:val="24"/>
          <w:szCs w:val="24"/>
        </w:rPr>
        <w:t>Graeco-Roman world</w:t>
      </w:r>
      <w:r w:rsidR="00FB1FFE">
        <w:rPr>
          <w:rFonts w:ascii="Times New Roman" w:hAnsi="Times New Roman" w:cs="Times New Roman"/>
          <w:bCs/>
          <w:sz w:val="24"/>
          <w:szCs w:val="24"/>
        </w:rPr>
        <w:t xml:space="preserve"> where they were</w:t>
      </w:r>
      <w:r w:rsidR="00751A64">
        <w:rPr>
          <w:rFonts w:ascii="Times New Roman" w:hAnsi="Times New Roman" w:cs="Times New Roman"/>
          <w:bCs/>
          <w:sz w:val="24"/>
          <w:szCs w:val="24"/>
        </w:rPr>
        <w:t xml:space="preserve"> a persecuted minority movemen</w:t>
      </w:r>
      <w:r w:rsidR="00467AEB">
        <w:rPr>
          <w:rFonts w:ascii="Times New Roman" w:hAnsi="Times New Roman" w:cs="Times New Roman"/>
          <w:bCs/>
          <w:sz w:val="24"/>
          <w:szCs w:val="24"/>
        </w:rPr>
        <w:t>t</w:t>
      </w:r>
      <w:r w:rsidR="00E91D78">
        <w:rPr>
          <w:rFonts w:ascii="Times New Roman" w:hAnsi="Times New Roman" w:cs="Times New Roman"/>
          <w:bCs/>
          <w:sz w:val="24"/>
          <w:szCs w:val="24"/>
        </w:rPr>
        <w:t>.</w:t>
      </w:r>
      <w:r w:rsidR="00E91D78">
        <w:rPr>
          <w:rStyle w:val="FootnoteReference"/>
          <w:rFonts w:ascii="Times New Roman" w:hAnsi="Times New Roman" w:cs="Times New Roman"/>
          <w:bCs/>
          <w:sz w:val="24"/>
          <w:szCs w:val="24"/>
        </w:rPr>
        <w:footnoteReference w:id="15"/>
      </w:r>
      <w:r w:rsidR="00467AEB">
        <w:rPr>
          <w:rFonts w:ascii="Times New Roman" w:hAnsi="Times New Roman" w:cs="Times New Roman"/>
          <w:bCs/>
          <w:sz w:val="24"/>
          <w:szCs w:val="24"/>
        </w:rPr>
        <w:t xml:space="preserve"> She also presents several chapters on Tatian, on his contacts and philosophy, for example: ‘Tatian and Justin Martyr’, ‘Tatian and Valentinianism’, ‘Tatian and Hellenistic Philosophy’, and ‘Tatian and the development of a Christian philosophy</w:t>
      </w:r>
      <w:r w:rsidR="00314425">
        <w:rPr>
          <w:rFonts w:ascii="Times New Roman" w:hAnsi="Times New Roman" w:cs="Times New Roman"/>
          <w:bCs/>
          <w:sz w:val="24"/>
          <w:szCs w:val="24"/>
        </w:rPr>
        <w:t>.</w:t>
      </w:r>
      <w:r w:rsidR="00467AEB">
        <w:rPr>
          <w:rFonts w:ascii="Times New Roman" w:hAnsi="Times New Roman" w:cs="Times New Roman"/>
          <w:bCs/>
          <w:sz w:val="24"/>
          <w:szCs w:val="24"/>
        </w:rPr>
        <w:t>’ Hunt provides a valuable guide to the 2</w:t>
      </w:r>
      <w:r w:rsidR="00467AEB" w:rsidRPr="00467AEB">
        <w:rPr>
          <w:rFonts w:ascii="Times New Roman" w:hAnsi="Times New Roman" w:cs="Times New Roman"/>
          <w:bCs/>
          <w:sz w:val="24"/>
          <w:szCs w:val="24"/>
          <w:vertAlign w:val="superscript"/>
        </w:rPr>
        <w:t>nd</w:t>
      </w:r>
      <w:r w:rsidR="00467AEB">
        <w:rPr>
          <w:rFonts w:ascii="Times New Roman" w:hAnsi="Times New Roman" w:cs="Times New Roman"/>
          <w:bCs/>
          <w:sz w:val="24"/>
          <w:szCs w:val="24"/>
        </w:rPr>
        <w:t xml:space="preserve"> century Christian world and </w:t>
      </w:r>
      <w:r w:rsidR="00467AEB" w:rsidRPr="00FB1FFE">
        <w:rPr>
          <w:rFonts w:ascii="Times New Roman" w:hAnsi="Times New Roman" w:cs="Times New Roman"/>
          <w:bCs/>
          <w:sz w:val="24"/>
          <w:szCs w:val="24"/>
        </w:rPr>
        <w:t xml:space="preserve">its contexts, and </w:t>
      </w:r>
      <w:r w:rsidR="00676294" w:rsidRPr="00FB1FFE">
        <w:rPr>
          <w:rFonts w:ascii="Times New Roman" w:hAnsi="Times New Roman" w:cs="Times New Roman"/>
          <w:bCs/>
          <w:sz w:val="24"/>
          <w:szCs w:val="24"/>
        </w:rPr>
        <w:t>more succinctly</w:t>
      </w:r>
      <w:r w:rsidR="00467AEB" w:rsidRPr="00FB1FFE">
        <w:rPr>
          <w:rFonts w:ascii="Times New Roman" w:hAnsi="Times New Roman" w:cs="Times New Roman"/>
          <w:bCs/>
          <w:sz w:val="24"/>
          <w:szCs w:val="24"/>
        </w:rPr>
        <w:t xml:space="preserve"> than Petersen. </w:t>
      </w:r>
    </w:p>
    <w:p w14:paraId="46DE8B36" w14:textId="35D49FD3" w:rsidR="00FB1FFE" w:rsidRDefault="0083463F" w:rsidP="00FB1FFE">
      <w:pPr>
        <w:spacing w:line="360" w:lineRule="auto"/>
        <w:rPr>
          <w:rFonts w:ascii="Times New Roman" w:hAnsi="Times New Roman" w:cs="Times New Roman"/>
          <w:bCs/>
          <w:sz w:val="24"/>
          <w:szCs w:val="24"/>
        </w:rPr>
      </w:pPr>
      <w:r w:rsidRPr="00B20CA1">
        <w:rPr>
          <w:rFonts w:ascii="Times New Roman" w:hAnsi="Times New Roman" w:cs="Times New Roman"/>
          <w:bCs/>
          <w:sz w:val="24"/>
          <w:szCs w:val="24"/>
        </w:rPr>
        <w:t xml:space="preserve">Any </w:t>
      </w:r>
      <w:r w:rsidR="00602974" w:rsidRPr="00B20CA1">
        <w:rPr>
          <w:rFonts w:ascii="Times New Roman" w:hAnsi="Times New Roman" w:cs="Times New Roman"/>
          <w:bCs/>
          <w:sz w:val="24"/>
          <w:szCs w:val="24"/>
        </w:rPr>
        <w:t xml:space="preserve">religious </w:t>
      </w:r>
      <w:r w:rsidRPr="00B20CA1">
        <w:rPr>
          <w:rFonts w:ascii="Times New Roman" w:hAnsi="Times New Roman" w:cs="Times New Roman"/>
          <w:bCs/>
          <w:sz w:val="24"/>
          <w:szCs w:val="24"/>
        </w:rPr>
        <w:t>document created in a particular place and time will</w:t>
      </w:r>
      <w:r w:rsidR="00602974" w:rsidRPr="00B20CA1">
        <w:rPr>
          <w:rFonts w:ascii="Times New Roman" w:hAnsi="Times New Roman" w:cs="Times New Roman"/>
          <w:bCs/>
          <w:sz w:val="24"/>
          <w:szCs w:val="24"/>
        </w:rPr>
        <w:t>,</w:t>
      </w:r>
      <w:r w:rsidRPr="00B20CA1">
        <w:rPr>
          <w:rFonts w:ascii="Times New Roman" w:hAnsi="Times New Roman" w:cs="Times New Roman"/>
          <w:bCs/>
          <w:sz w:val="24"/>
          <w:szCs w:val="24"/>
        </w:rPr>
        <w:t xml:space="preserve"> arguably</w:t>
      </w:r>
      <w:r w:rsidR="00602974" w:rsidRPr="00B20CA1">
        <w:rPr>
          <w:rFonts w:ascii="Times New Roman" w:hAnsi="Times New Roman" w:cs="Times New Roman"/>
          <w:bCs/>
          <w:sz w:val="24"/>
          <w:szCs w:val="24"/>
        </w:rPr>
        <w:t>,</w:t>
      </w:r>
      <w:r w:rsidRPr="00B20CA1">
        <w:rPr>
          <w:rFonts w:ascii="Times New Roman" w:hAnsi="Times New Roman" w:cs="Times New Roman"/>
          <w:bCs/>
          <w:sz w:val="24"/>
          <w:szCs w:val="24"/>
        </w:rPr>
        <w:t xml:space="preserve"> reflect </w:t>
      </w:r>
      <w:r w:rsidR="00602974" w:rsidRPr="00B20CA1">
        <w:rPr>
          <w:rFonts w:ascii="Times New Roman" w:hAnsi="Times New Roman" w:cs="Times New Roman"/>
          <w:bCs/>
          <w:sz w:val="24"/>
          <w:szCs w:val="24"/>
        </w:rPr>
        <w:t xml:space="preserve">the theology and practice of its </w:t>
      </w:r>
      <w:r w:rsidR="009F6F69">
        <w:rPr>
          <w:rFonts w:ascii="Times New Roman" w:hAnsi="Times New Roman" w:cs="Times New Roman"/>
          <w:bCs/>
          <w:sz w:val="24"/>
          <w:szCs w:val="24"/>
        </w:rPr>
        <w:t>environment</w:t>
      </w:r>
      <w:r w:rsidR="00602974" w:rsidRPr="00B20CA1">
        <w:rPr>
          <w:rFonts w:ascii="Times New Roman" w:hAnsi="Times New Roman" w:cs="Times New Roman"/>
          <w:bCs/>
          <w:sz w:val="24"/>
          <w:szCs w:val="24"/>
        </w:rPr>
        <w:t>. Did Christological factors play any part in the</w:t>
      </w:r>
      <w:r w:rsidR="0060297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602974" w:rsidRPr="00B20CA1">
        <w:rPr>
          <w:rFonts w:ascii="Times New Roman" w:hAnsi="Times New Roman" w:cs="Times New Roman"/>
          <w:bCs/>
          <w:i/>
          <w:iCs/>
          <w:sz w:val="24"/>
          <w:szCs w:val="24"/>
        </w:rPr>
        <w:t>Diatessaron</w:t>
      </w:r>
      <w:r w:rsidR="00602974">
        <w:rPr>
          <w:rFonts w:ascii="Times New Roman" w:hAnsi="Times New Roman" w:cs="Times New Roman"/>
          <w:bCs/>
          <w:sz w:val="24"/>
          <w:szCs w:val="24"/>
        </w:rPr>
        <w:t xml:space="preserve">? </w:t>
      </w:r>
      <w:r w:rsidR="00D879CE" w:rsidRPr="00602974">
        <w:rPr>
          <w:rFonts w:ascii="Times New Roman" w:hAnsi="Times New Roman" w:cs="Times New Roman"/>
          <w:bCs/>
          <w:sz w:val="24"/>
          <w:szCs w:val="24"/>
        </w:rPr>
        <w:t>Head</w:t>
      </w:r>
      <w:r w:rsidR="00D879CE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602974">
        <w:rPr>
          <w:rFonts w:ascii="Times New Roman" w:hAnsi="Times New Roman" w:cs="Times New Roman"/>
          <w:bCs/>
          <w:sz w:val="24"/>
          <w:szCs w:val="24"/>
        </w:rPr>
        <w:t>attempts to answer this question</w:t>
      </w:r>
      <w:r w:rsidR="00B20CA1">
        <w:rPr>
          <w:rFonts w:ascii="Times New Roman" w:hAnsi="Times New Roman" w:cs="Times New Roman"/>
          <w:bCs/>
          <w:sz w:val="24"/>
          <w:szCs w:val="24"/>
        </w:rPr>
        <w:t xml:space="preserve"> by discussing the Incarnation, the omission of the genealogies of Christ, and uncertainties in Christological readings in some versions of the </w:t>
      </w:r>
      <w:r w:rsidR="00B20CA1">
        <w:rPr>
          <w:rFonts w:ascii="Times New Roman" w:hAnsi="Times New Roman" w:cs="Times New Roman"/>
          <w:bCs/>
          <w:i/>
          <w:iCs/>
          <w:sz w:val="24"/>
          <w:szCs w:val="24"/>
        </w:rPr>
        <w:t>Diatessaron</w:t>
      </w:r>
      <w:r w:rsidR="00B20CA1">
        <w:rPr>
          <w:rFonts w:ascii="Times New Roman" w:hAnsi="Times New Roman" w:cs="Times New Roman"/>
          <w:bCs/>
          <w:sz w:val="24"/>
          <w:szCs w:val="24"/>
        </w:rPr>
        <w:t>; specific passages are presented and commented on.</w:t>
      </w:r>
      <w:r w:rsidR="00FB1FFE">
        <w:rPr>
          <w:rFonts w:ascii="Times New Roman" w:hAnsi="Times New Roman" w:cs="Times New Roman"/>
          <w:bCs/>
          <w:sz w:val="24"/>
          <w:szCs w:val="24"/>
        </w:rPr>
        <w:t xml:space="preserve"> His conclusion is that </w:t>
      </w:r>
      <w:r w:rsidR="001D3F69">
        <w:rPr>
          <w:rFonts w:ascii="Times New Roman" w:hAnsi="Times New Roman" w:cs="Times New Roman"/>
          <w:bCs/>
          <w:sz w:val="24"/>
          <w:szCs w:val="24"/>
        </w:rPr>
        <w:t>Tatian’s Christology is orthodox.</w:t>
      </w:r>
      <w:r w:rsidR="00602974">
        <w:rPr>
          <w:rStyle w:val="FootnoteReference"/>
          <w:rFonts w:ascii="Times New Roman" w:hAnsi="Times New Roman" w:cs="Times New Roman"/>
          <w:bCs/>
          <w:sz w:val="24"/>
          <w:szCs w:val="24"/>
        </w:rPr>
        <w:footnoteReference w:id="16"/>
      </w:r>
      <w:r w:rsidR="000F3E6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8B56C0">
        <w:rPr>
          <w:rFonts w:ascii="Times New Roman" w:hAnsi="Times New Roman" w:cs="Times New Roman"/>
          <w:bCs/>
          <w:sz w:val="24"/>
          <w:szCs w:val="24"/>
        </w:rPr>
        <w:t xml:space="preserve">Not everyone agreed with this conclusion. Theodoret, Bishop </w:t>
      </w:r>
      <w:r w:rsidR="00FF2322">
        <w:rPr>
          <w:rFonts w:ascii="Times New Roman" w:hAnsi="Times New Roman" w:cs="Times New Roman"/>
          <w:bCs/>
          <w:sz w:val="24"/>
          <w:szCs w:val="24"/>
        </w:rPr>
        <w:t xml:space="preserve">of </w:t>
      </w:r>
      <w:r w:rsidR="008B56C0">
        <w:rPr>
          <w:rFonts w:ascii="Times New Roman" w:hAnsi="Times New Roman" w:cs="Times New Roman"/>
          <w:bCs/>
          <w:sz w:val="24"/>
          <w:szCs w:val="24"/>
        </w:rPr>
        <w:t>Cyrrhus (d.457/8</w:t>
      </w:r>
      <w:r w:rsidR="00FF2322">
        <w:rPr>
          <w:rFonts w:ascii="Times New Roman" w:hAnsi="Times New Roman" w:cs="Times New Roman"/>
          <w:bCs/>
          <w:sz w:val="24"/>
          <w:szCs w:val="24"/>
        </w:rPr>
        <w:t xml:space="preserve"> CE</w:t>
      </w:r>
      <w:r w:rsidR="008B56C0">
        <w:rPr>
          <w:rFonts w:ascii="Times New Roman" w:hAnsi="Times New Roman" w:cs="Times New Roman"/>
          <w:bCs/>
          <w:sz w:val="24"/>
          <w:szCs w:val="24"/>
        </w:rPr>
        <w:t xml:space="preserve">), in banning the </w:t>
      </w:r>
      <w:r w:rsidR="008B56C0">
        <w:rPr>
          <w:rFonts w:ascii="Times New Roman" w:hAnsi="Times New Roman" w:cs="Times New Roman"/>
          <w:bCs/>
          <w:i/>
          <w:iCs/>
          <w:sz w:val="24"/>
          <w:szCs w:val="24"/>
        </w:rPr>
        <w:t>Diatessaron</w:t>
      </w:r>
      <w:r w:rsidR="008B56C0">
        <w:rPr>
          <w:rFonts w:ascii="Times New Roman" w:hAnsi="Times New Roman" w:cs="Times New Roman"/>
          <w:bCs/>
          <w:sz w:val="24"/>
          <w:szCs w:val="24"/>
        </w:rPr>
        <w:t xml:space="preserve"> from </w:t>
      </w:r>
      <w:r w:rsidR="008B56C0">
        <w:rPr>
          <w:rFonts w:ascii="Times New Roman" w:hAnsi="Times New Roman" w:cs="Times New Roman"/>
          <w:bCs/>
          <w:sz w:val="24"/>
          <w:szCs w:val="24"/>
        </w:rPr>
        <w:lastRenderedPageBreak/>
        <w:t>public use in Syrian churches and replacing it with the four canonical gospels, declared that</w:t>
      </w:r>
      <w:r w:rsidR="00FF2322">
        <w:rPr>
          <w:rFonts w:ascii="Times New Roman" w:hAnsi="Times New Roman" w:cs="Times New Roman"/>
          <w:bCs/>
          <w:sz w:val="24"/>
          <w:szCs w:val="24"/>
        </w:rPr>
        <w:t xml:space="preserve"> Tatian was ‘mischievous’ and a heretic</w:t>
      </w:r>
      <w:r w:rsidR="009F6F69">
        <w:rPr>
          <w:rFonts w:ascii="Times New Roman" w:hAnsi="Times New Roman" w:cs="Times New Roman"/>
          <w:bCs/>
          <w:sz w:val="24"/>
          <w:szCs w:val="24"/>
        </w:rPr>
        <w:t xml:space="preserve"> who had interfered with the canonical gospels, which</w:t>
      </w:r>
      <w:r w:rsidR="00EA3399">
        <w:rPr>
          <w:rFonts w:ascii="Times New Roman" w:hAnsi="Times New Roman" w:cs="Times New Roman"/>
          <w:bCs/>
          <w:sz w:val="24"/>
          <w:szCs w:val="24"/>
        </w:rPr>
        <w:t xml:space="preserve">, unlike the second century CE, </w:t>
      </w:r>
      <w:r w:rsidR="009F6F69">
        <w:rPr>
          <w:rFonts w:ascii="Times New Roman" w:hAnsi="Times New Roman" w:cs="Times New Roman"/>
          <w:bCs/>
          <w:sz w:val="24"/>
          <w:szCs w:val="24"/>
        </w:rPr>
        <w:t>were</w:t>
      </w:r>
      <w:r w:rsidR="00FB572C">
        <w:rPr>
          <w:rFonts w:ascii="Times New Roman" w:hAnsi="Times New Roman" w:cs="Times New Roman"/>
          <w:bCs/>
          <w:sz w:val="24"/>
          <w:szCs w:val="24"/>
        </w:rPr>
        <w:t xml:space="preserve"> firmly established by the fifth century CE.</w:t>
      </w:r>
      <w:r w:rsidR="00FF2322">
        <w:rPr>
          <w:rStyle w:val="FootnoteReference"/>
          <w:rFonts w:ascii="Times New Roman" w:hAnsi="Times New Roman" w:cs="Times New Roman"/>
          <w:bCs/>
          <w:sz w:val="24"/>
          <w:szCs w:val="24"/>
        </w:rPr>
        <w:footnoteReference w:id="17"/>
      </w:r>
      <w:r w:rsidR="00955925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EA3399">
        <w:rPr>
          <w:rFonts w:ascii="Times New Roman" w:hAnsi="Times New Roman" w:cs="Times New Roman"/>
          <w:bCs/>
          <w:sz w:val="24"/>
          <w:szCs w:val="24"/>
        </w:rPr>
        <w:t xml:space="preserve">McFall concludes that the Bishop was </w:t>
      </w:r>
      <w:r w:rsidR="00E87EB2">
        <w:rPr>
          <w:rFonts w:ascii="Times New Roman" w:hAnsi="Times New Roman" w:cs="Times New Roman"/>
          <w:bCs/>
          <w:sz w:val="24"/>
          <w:szCs w:val="24"/>
        </w:rPr>
        <w:t>hasty</w:t>
      </w:r>
      <w:r w:rsidR="00EA3399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8F138E">
        <w:rPr>
          <w:rFonts w:ascii="Times New Roman" w:hAnsi="Times New Roman" w:cs="Times New Roman"/>
          <w:bCs/>
          <w:sz w:val="24"/>
          <w:szCs w:val="24"/>
        </w:rPr>
        <w:t>in his assessment of Tatian</w:t>
      </w:r>
      <w:r w:rsidR="00E87EB2">
        <w:rPr>
          <w:rFonts w:ascii="Times New Roman" w:hAnsi="Times New Roman" w:cs="Times New Roman"/>
          <w:bCs/>
          <w:sz w:val="24"/>
          <w:szCs w:val="24"/>
        </w:rPr>
        <w:t xml:space="preserve"> who was,</w:t>
      </w:r>
      <w:r w:rsidR="008F138E">
        <w:rPr>
          <w:rFonts w:ascii="Times New Roman" w:hAnsi="Times New Roman" w:cs="Times New Roman"/>
          <w:bCs/>
          <w:sz w:val="24"/>
          <w:szCs w:val="24"/>
        </w:rPr>
        <w:t xml:space="preserve"> at worst</w:t>
      </w:r>
      <w:r w:rsidR="00E87EB2">
        <w:rPr>
          <w:rFonts w:ascii="Times New Roman" w:hAnsi="Times New Roman" w:cs="Times New Roman"/>
          <w:bCs/>
          <w:sz w:val="24"/>
          <w:szCs w:val="24"/>
        </w:rPr>
        <w:t>,</w:t>
      </w:r>
      <w:r w:rsidR="008F138E">
        <w:rPr>
          <w:rFonts w:ascii="Times New Roman" w:hAnsi="Times New Roman" w:cs="Times New Roman"/>
          <w:bCs/>
          <w:sz w:val="24"/>
          <w:szCs w:val="24"/>
        </w:rPr>
        <w:t xml:space="preserve"> merely misleading.</w:t>
      </w:r>
      <w:r w:rsidR="00D61B96">
        <w:rPr>
          <w:rStyle w:val="FootnoteReference"/>
          <w:rFonts w:ascii="Times New Roman" w:hAnsi="Times New Roman" w:cs="Times New Roman"/>
          <w:bCs/>
          <w:sz w:val="24"/>
          <w:szCs w:val="24"/>
        </w:rPr>
        <w:footnoteReference w:id="18"/>
      </w:r>
    </w:p>
    <w:p w14:paraId="06F0FDE9" w14:textId="7A6CB999" w:rsidR="00FF2322" w:rsidRDefault="005D6293" w:rsidP="00FB1FFE">
      <w:pPr>
        <w:spacing w:line="360" w:lineRule="auto"/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t xml:space="preserve">This review has discussed </w:t>
      </w:r>
      <w:r w:rsidR="00E84820">
        <w:rPr>
          <w:rFonts w:ascii="Times New Roman" w:hAnsi="Times New Roman" w:cs="Times New Roman"/>
          <w:bCs/>
          <w:sz w:val="24"/>
          <w:szCs w:val="24"/>
        </w:rPr>
        <w:t>selective</w:t>
      </w:r>
      <w:r>
        <w:rPr>
          <w:rFonts w:ascii="Times New Roman" w:hAnsi="Times New Roman" w:cs="Times New Roman"/>
          <w:bCs/>
          <w:sz w:val="24"/>
          <w:szCs w:val="24"/>
        </w:rPr>
        <w:t xml:space="preserve"> key texts which discuss the </w:t>
      </w:r>
      <w:r>
        <w:rPr>
          <w:rFonts w:ascii="Times New Roman" w:hAnsi="Times New Roman" w:cs="Times New Roman"/>
          <w:bCs/>
          <w:i/>
          <w:iCs/>
          <w:sz w:val="24"/>
          <w:szCs w:val="24"/>
        </w:rPr>
        <w:t>Diatessaron</w:t>
      </w:r>
      <w:r>
        <w:rPr>
          <w:rFonts w:ascii="Times New Roman" w:hAnsi="Times New Roman" w:cs="Times New Roman"/>
          <w:bCs/>
          <w:sz w:val="24"/>
          <w:szCs w:val="24"/>
        </w:rPr>
        <w:t xml:space="preserve"> and the canonical gospels in the contexts of the secon</w:t>
      </w:r>
      <w:r w:rsidR="006D30F6">
        <w:rPr>
          <w:rFonts w:ascii="Times New Roman" w:hAnsi="Times New Roman" w:cs="Times New Roman"/>
          <w:bCs/>
          <w:sz w:val="24"/>
          <w:szCs w:val="24"/>
        </w:rPr>
        <w:t>d</w:t>
      </w:r>
      <w:r>
        <w:rPr>
          <w:rFonts w:ascii="Times New Roman" w:hAnsi="Times New Roman" w:cs="Times New Roman"/>
          <w:bCs/>
          <w:sz w:val="24"/>
          <w:szCs w:val="24"/>
        </w:rPr>
        <w:t xml:space="preserve"> century CE</w:t>
      </w:r>
      <w:r w:rsidR="008F138E">
        <w:rPr>
          <w:rFonts w:ascii="Times New Roman" w:hAnsi="Times New Roman" w:cs="Times New Roman"/>
          <w:bCs/>
          <w:sz w:val="24"/>
          <w:szCs w:val="24"/>
        </w:rPr>
        <w:t>. This was</w:t>
      </w:r>
      <w:r>
        <w:rPr>
          <w:rFonts w:ascii="Times New Roman" w:hAnsi="Times New Roman" w:cs="Times New Roman"/>
          <w:bCs/>
          <w:sz w:val="24"/>
          <w:szCs w:val="24"/>
        </w:rPr>
        <w:t xml:space="preserve"> a</w:t>
      </w:r>
      <w:r w:rsidR="00E864C6">
        <w:rPr>
          <w:rFonts w:ascii="Times New Roman" w:hAnsi="Times New Roman" w:cs="Times New Roman"/>
          <w:bCs/>
          <w:sz w:val="24"/>
          <w:szCs w:val="24"/>
        </w:rPr>
        <w:t xml:space="preserve"> time</w:t>
      </w:r>
      <w:r>
        <w:rPr>
          <w:rFonts w:ascii="Times New Roman" w:hAnsi="Times New Roman" w:cs="Times New Roman"/>
          <w:bCs/>
          <w:sz w:val="24"/>
          <w:szCs w:val="24"/>
        </w:rPr>
        <w:t xml:space="preserve"> when the canonical gospels </w:t>
      </w:r>
      <w:r w:rsidR="006D30F6">
        <w:rPr>
          <w:rFonts w:ascii="Times New Roman" w:hAnsi="Times New Roman" w:cs="Times New Roman"/>
          <w:bCs/>
          <w:sz w:val="24"/>
          <w:szCs w:val="24"/>
        </w:rPr>
        <w:t xml:space="preserve">were not yet unassailably fixed, and the way was open for Tatian’s </w:t>
      </w:r>
      <w:r w:rsidR="00E84820">
        <w:rPr>
          <w:rFonts w:ascii="Times New Roman" w:hAnsi="Times New Roman" w:cs="Times New Roman"/>
          <w:bCs/>
          <w:sz w:val="24"/>
          <w:szCs w:val="24"/>
        </w:rPr>
        <w:t>gospel harmony</w:t>
      </w:r>
      <w:r w:rsidR="006D30F6">
        <w:rPr>
          <w:rFonts w:ascii="Times New Roman" w:hAnsi="Times New Roman" w:cs="Times New Roman"/>
          <w:bCs/>
          <w:sz w:val="24"/>
          <w:szCs w:val="24"/>
        </w:rPr>
        <w:t xml:space="preserve"> to emerge and gain widespread popularity, particularly in the Eastern Christian world. </w:t>
      </w:r>
      <w:r w:rsidR="00A570BD">
        <w:rPr>
          <w:rFonts w:ascii="Times New Roman" w:hAnsi="Times New Roman" w:cs="Times New Roman"/>
          <w:bCs/>
          <w:sz w:val="24"/>
          <w:szCs w:val="24"/>
        </w:rPr>
        <w:t xml:space="preserve">Our knowledge is restricted by lack of </w:t>
      </w:r>
      <w:r w:rsidR="008F138E">
        <w:rPr>
          <w:rFonts w:ascii="Times New Roman" w:hAnsi="Times New Roman" w:cs="Times New Roman"/>
          <w:bCs/>
          <w:sz w:val="24"/>
          <w:szCs w:val="24"/>
        </w:rPr>
        <w:t>complete</w:t>
      </w:r>
      <w:r w:rsidR="00A570BD">
        <w:rPr>
          <w:rFonts w:ascii="Times New Roman" w:hAnsi="Times New Roman" w:cs="Times New Roman"/>
          <w:bCs/>
          <w:sz w:val="24"/>
          <w:szCs w:val="24"/>
        </w:rPr>
        <w:t xml:space="preserve"> original versions </w:t>
      </w:r>
      <w:r w:rsidR="000525D1">
        <w:rPr>
          <w:rFonts w:ascii="Times New Roman" w:hAnsi="Times New Roman" w:cs="Times New Roman"/>
          <w:bCs/>
          <w:sz w:val="24"/>
          <w:szCs w:val="24"/>
        </w:rPr>
        <w:t xml:space="preserve">of the </w:t>
      </w:r>
      <w:r w:rsidR="000525D1" w:rsidRPr="008F138E">
        <w:rPr>
          <w:rFonts w:ascii="Times New Roman" w:hAnsi="Times New Roman" w:cs="Times New Roman"/>
          <w:bCs/>
          <w:i/>
          <w:iCs/>
          <w:sz w:val="24"/>
          <w:szCs w:val="24"/>
        </w:rPr>
        <w:t>Diatessaron</w:t>
      </w:r>
      <w:r w:rsidR="000525D1">
        <w:rPr>
          <w:rFonts w:ascii="Times New Roman" w:hAnsi="Times New Roman" w:cs="Times New Roman"/>
          <w:bCs/>
          <w:sz w:val="24"/>
          <w:szCs w:val="24"/>
        </w:rPr>
        <w:t>. A</w:t>
      </w:r>
      <w:r w:rsidR="00E84820">
        <w:rPr>
          <w:rFonts w:ascii="Times New Roman" w:hAnsi="Times New Roman" w:cs="Times New Roman"/>
          <w:bCs/>
          <w:sz w:val="24"/>
          <w:szCs w:val="24"/>
        </w:rPr>
        <w:t xml:space="preserve"> possible way forward is the production of edited editions of the numerous </w:t>
      </w:r>
      <w:r w:rsidR="008F138E">
        <w:rPr>
          <w:rFonts w:ascii="Times New Roman" w:hAnsi="Times New Roman" w:cs="Times New Roman"/>
          <w:bCs/>
          <w:sz w:val="24"/>
          <w:szCs w:val="24"/>
        </w:rPr>
        <w:t xml:space="preserve">secondary </w:t>
      </w:r>
      <w:r w:rsidR="00E84820">
        <w:rPr>
          <w:rFonts w:ascii="Times New Roman" w:hAnsi="Times New Roman" w:cs="Times New Roman"/>
          <w:bCs/>
          <w:sz w:val="24"/>
          <w:szCs w:val="24"/>
        </w:rPr>
        <w:t>versions in vernacular languages</w:t>
      </w:r>
      <w:r w:rsidR="008F138E">
        <w:rPr>
          <w:rFonts w:ascii="Times New Roman" w:hAnsi="Times New Roman" w:cs="Times New Roman"/>
          <w:bCs/>
          <w:sz w:val="24"/>
          <w:szCs w:val="24"/>
        </w:rPr>
        <w:t>, and thus give us a fighting chance of getting closer to Tatian’s text</w:t>
      </w:r>
      <w:r w:rsidR="00E864C6">
        <w:rPr>
          <w:rFonts w:ascii="Times New Roman" w:hAnsi="Times New Roman" w:cs="Times New Roman"/>
          <w:bCs/>
          <w:sz w:val="24"/>
          <w:szCs w:val="24"/>
        </w:rPr>
        <w:t xml:space="preserve"> in its original milieu.</w:t>
      </w:r>
    </w:p>
    <w:p w14:paraId="381926FB" w14:textId="77777777" w:rsidR="00D56ADD" w:rsidRPr="008B56C0" w:rsidRDefault="00D56ADD" w:rsidP="00FB1FFE">
      <w:pPr>
        <w:spacing w:line="360" w:lineRule="auto"/>
        <w:rPr>
          <w:rFonts w:ascii="Times New Roman" w:hAnsi="Times New Roman" w:cs="Times New Roman"/>
          <w:bCs/>
          <w:sz w:val="24"/>
          <w:szCs w:val="24"/>
        </w:rPr>
      </w:pPr>
      <w:bookmarkStart w:id="0" w:name="_GoBack"/>
      <w:bookmarkEnd w:id="0"/>
    </w:p>
    <w:p w14:paraId="69C09F67" w14:textId="56249211" w:rsidR="00FB1FFE" w:rsidRDefault="00FF2322" w:rsidP="00F80376">
      <w:pPr>
        <w:spacing w:line="240" w:lineRule="auto"/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0D2AD6">
        <w:rPr>
          <w:rFonts w:ascii="Times New Roman" w:hAnsi="Times New Roman" w:cs="Times New Roman"/>
          <w:bCs/>
          <w:sz w:val="24"/>
          <w:szCs w:val="24"/>
        </w:rPr>
        <w:t>(</w:t>
      </w:r>
      <w:r w:rsidR="008F138E">
        <w:rPr>
          <w:rFonts w:ascii="Times New Roman" w:hAnsi="Times New Roman" w:cs="Times New Roman"/>
          <w:bCs/>
          <w:sz w:val="24"/>
          <w:szCs w:val="24"/>
        </w:rPr>
        <w:t>12</w:t>
      </w:r>
      <w:r w:rsidR="00E864C6">
        <w:rPr>
          <w:rFonts w:ascii="Times New Roman" w:hAnsi="Times New Roman" w:cs="Times New Roman"/>
          <w:bCs/>
          <w:sz w:val="24"/>
          <w:szCs w:val="24"/>
        </w:rPr>
        <w:t>30</w:t>
      </w:r>
      <w:r w:rsidR="000D2AD6">
        <w:rPr>
          <w:rFonts w:ascii="Times New Roman" w:hAnsi="Times New Roman" w:cs="Times New Roman"/>
          <w:bCs/>
          <w:sz w:val="24"/>
          <w:szCs w:val="24"/>
        </w:rPr>
        <w:t xml:space="preserve"> words, excluding </w:t>
      </w:r>
      <w:r w:rsidR="00993F8C">
        <w:rPr>
          <w:rFonts w:ascii="Times New Roman" w:hAnsi="Times New Roman" w:cs="Times New Roman"/>
          <w:bCs/>
          <w:sz w:val="24"/>
          <w:szCs w:val="24"/>
        </w:rPr>
        <w:t>footnotes and bibliography)</w:t>
      </w:r>
    </w:p>
    <w:p w14:paraId="0A9562D3" w14:textId="55456260" w:rsidR="00AB7724" w:rsidRPr="00FB572C" w:rsidRDefault="00FB1FFE" w:rsidP="00FB572C">
      <w:pPr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br w:type="page"/>
      </w:r>
    </w:p>
    <w:p w14:paraId="26822FEA" w14:textId="77777777" w:rsidR="000A31EA" w:rsidRPr="000A31EA" w:rsidRDefault="000A31EA" w:rsidP="000A31E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557A0BB" w14:textId="65D6C7BC" w:rsidR="00AB7724" w:rsidRPr="00AB7724" w:rsidRDefault="00AB7724" w:rsidP="00AE24A2">
      <w:pPr>
        <w:rPr>
          <w:rFonts w:ascii="Times New Roman" w:hAnsi="Times New Roman" w:cs="Times New Roman"/>
          <w:b/>
          <w:sz w:val="24"/>
          <w:szCs w:val="24"/>
        </w:rPr>
      </w:pPr>
      <w:r w:rsidRPr="00AB7724">
        <w:rPr>
          <w:rFonts w:ascii="Times New Roman" w:hAnsi="Times New Roman" w:cs="Times New Roman"/>
          <w:b/>
          <w:sz w:val="24"/>
          <w:szCs w:val="24"/>
        </w:rPr>
        <w:t>BIBLIOGRAPHY</w:t>
      </w:r>
    </w:p>
    <w:p w14:paraId="00D312AD" w14:textId="26A0BF72" w:rsidR="00A0416F" w:rsidRDefault="00A0416F" w:rsidP="00A0416F">
      <w:pPr>
        <w:rPr>
          <w:rStyle w:val="a-list-item"/>
          <w:rFonts w:ascii="Times New Roman" w:hAnsi="Times New Roman" w:cs="Times New Roman"/>
          <w:sz w:val="24"/>
          <w:szCs w:val="24"/>
        </w:rPr>
      </w:pPr>
      <w:r w:rsidRPr="00A0416F">
        <w:rPr>
          <w:rFonts w:ascii="Times New Roman" w:hAnsi="Times New Roman" w:cs="Times New Roman"/>
          <w:sz w:val="24"/>
          <w:szCs w:val="24"/>
        </w:rPr>
        <w:t>Baarda, Tjitze, ‘</w:t>
      </w:r>
      <w:r w:rsidRPr="00A0416F">
        <w:rPr>
          <w:rFonts w:ascii="Times New Roman" w:hAnsi="Times New Roman" w:cs="Times New Roman"/>
          <w:iCs/>
          <w:color w:val="633D5D"/>
          <w:kern w:val="36"/>
          <w:sz w:val="24"/>
          <w:szCs w:val="24"/>
          <w:lang w:val="en"/>
        </w:rPr>
        <w:t>Tatian’s Diatessaron and the Greek Text of the Gospels’</w:t>
      </w:r>
      <w:r w:rsidRPr="00A0416F">
        <w:rPr>
          <w:rFonts w:ascii="Times New Roman" w:hAnsi="Times New Roman" w:cs="Times New Roman"/>
          <w:color w:val="633D5D"/>
          <w:kern w:val="36"/>
          <w:sz w:val="24"/>
          <w:szCs w:val="24"/>
          <w:lang w:val="en"/>
        </w:rPr>
        <w:t xml:space="preserve">, in </w:t>
      </w:r>
      <w:r w:rsidRPr="00A0416F">
        <w:rPr>
          <w:rStyle w:val="a-list-item"/>
          <w:rFonts w:ascii="Times New Roman" w:hAnsi="Times New Roman" w:cs="Times New Roman"/>
          <w:sz w:val="24"/>
          <w:szCs w:val="24"/>
        </w:rPr>
        <w:t xml:space="preserve">Hill, Charles E., and Michael J. Kruger, eds, </w:t>
      </w:r>
      <w:r w:rsidRPr="00A0416F">
        <w:rPr>
          <w:rStyle w:val="a-list-item"/>
          <w:rFonts w:ascii="Times New Roman" w:hAnsi="Times New Roman" w:cs="Times New Roman"/>
          <w:i/>
          <w:sz w:val="24"/>
          <w:szCs w:val="24"/>
        </w:rPr>
        <w:t xml:space="preserve">The Early Text of the New Testament </w:t>
      </w:r>
      <w:r w:rsidRPr="00A0416F">
        <w:rPr>
          <w:rStyle w:val="a-list-item"/>
          <w:rFonts w:ascii="Times New Roman" w:hAnsi="Times New Roman" w:cs="Times New Roman"/>
          <w:sz w:val="24"/>
          <w:szCs w:val="24"/>
        </w:rPr>
        <w:t>(Oxford: OUP, 2012), 336-349</w:t>
      </w:r>
    </w:p>
    <w:p w14:paraId="361EBD98" w14:textId="7B358237" w:rsidR="00770BF8" w:rsidRPr="00770BF8" w:rsidRDefault="00770BF8" w:rsidP="00A0416F">
      <w:pPr>
        <w:rPr>
          <w:rFonts w:ascii="Times New Roman" w:hAnsi="Times New Roman" w:cs="Times New Roman"/>
          <w:sz w:val="24"/>
          <w:szCs w:val="24"/>
        </w:rPr>
      </w:pPr>
      <w:r>
        <w:rPr>
          <w:rStyle w:val="a-list-item"/>
          <w:rFonts w:ascii="Times New Roman" w:hAnsi="Times New Roman" w:cs="Times New Roman"/>
          <w:sz w:val="24"/>
          <w:szCs w:val="24"/>
        </w:rPr>
        <w:t xml:space="preserve">Barton, John, </w:t>
      </w:r>
      <w:r>
        <w:rPr>
          <w:rStyle w:val="a-list-item"/>
          <w:rFonts w:ascii="Times New Roman" w:hAnsi="Times New Roman" w:cs="Times New Roman"/>
          <w:i/>
          <w:iCs/>
          <w:sz w:val="24"/>
          <w:szCs w:val="24"/>
        </w:rPr>
        <w:t>A History of the Bible: The Book and Its Faiths</w:t>
      </w:r>
      <w:r>
        <w:rPr>
          <w:rStyle w:val="a-list-item"/>
          <w:rFonts w:ascii="Times New Roman" w:hAnsi="Times New Roman" w:cs="Times New Roman"/>
          <w:sz w:val="24"/>
          <w:szCs w:val="24"/>
        </w:rPr>
        <w:t xml:space="preserve"> (London: Allen Lane, 2019</w:t>
      </w:r>
      <w:r w:rsidR="00FB572C">
        <w:rPr>
          <w:rStyle w:val="a-list-item"/>
          <w:rFonts w:ascii="Times New Roman" w:hAnsi="Times New Roman" w:cs="Times New Roman"/>
          <w:sz w:val="24"/>
          <w:szCs w:val="24"/>
        </w:rPr>
        <w:t>)</w:t>
      </w:r>
    </w:p>
    <w:p w14:paraId="51F3064A" w14:textId="53B688C3" w:rsidR="00AB7724" w:rsidRPr="00AB7724" w:rsidRDefault="00AB7724" w:rsidP="00AB7724">
      <w:pPr>
        <w:rPr>
          <w:rFonts w:ascii="Times New Roman" w:hAnsi="Times New Roman" w:cs="Times New Roman"/>
          <w:sz w:val="24"/>
          <w:szCs w:val="24"/>
        </w:rPr>
      </w:pPr>
      <w:r w:rsidRPr="00AB7724">
        <w:rPr>
          <w:rFonts w:ascii="Times New Roman" w:hAnsi="Times New Roman" w:cs="Times New Roman"/>
          <w:sz w:val="24"/>
          <w:szCs w:val="24"/>
        </w:rPr>
        <w:t xml:space="preserve">Caldwell, Ian, </w:t>
      </w:r>
      <w:r w:rsidRPr="00AB7724">
        <w:rPr>
          <w:rFonts w:ascii="Times New Roman" w:hAnsi="Times New Roman" w:cs="Times New Roman"/>
          <w:i/>
          <w:sz w:val="24"/>
          <w:szCs w:val="24"/>
        </w:rPr>
        <w:t>The Fifth Gospel</w:t>
      </w:r>
      <w:r w:rsidRPr="00AB7724">
        <w:rPr>
          <w:rFonts w:ascii="Times New Roman" w:hAnsi="Times New Roman" w:cs="Times New Roman"/>
          <w:sz w:val="24"/>
          <w:szCs w:val="24"/>
        </w:rPr>
        <w:t xml:space="preserve"> (London: Simon &amp; Schuster UK Limited, 2015) </w:t>
      </w:r>
    </w:p>
    <w:p w14:paraId="2E533248" w14:textId="30C526D4" w:rsidR="00AB7724" w:rsidRPr="00AB7724" w:rsidRDefault="00AB7724" w:rsidP="00AB7724">
      <w:pPr>
        <w:rPr>
          <w:rFonts w:ascii="Times New Roman" w:hAnsi="Times New Roman" w:cs="Times New Roman"/>
          <w:sz w:val="24"/>
          <w:szCs w:val="24"/>
        </w:rPr>
      </w:pPr>
      <w:r w:rsidRPr="00AB7724">
        <w:rPr>
          <w:rFonts w:ascii="Times New Roman" w:hAnsi="Times New Roman" w:cs="Times New Roman"/>
          <w:sz w:val="24"/>
          <w:szCs w:val="24"/>
        </w:rPr>
        <w:t xml:space="preserve">Head, Peter M. ‘Tatian’s Christology and its Influence on the Composition of the Diatessaron’, </w:t>
      </w:r>
      <w:r w:rsidRPr="00AB7724">
        <w:rPr>
          <w:rFonts w:ascii="Times New Roman" w:hAnsi="Times New Roman" w:cs="Times New Roman"/>
          <w:i/>
          <w:sz w:val="24"/>
          <w:szCs w:val="24"/>
        </w:rPr>
        <w:t>Tyndale Bulletin</w:t>
      </w:r>
      <w:r w:rsidRPr="00AB7724">
        <w:rPr>
          <w:rFonts w:ascii="Times New Roman" w:hAnsi="Times New Roman" w:cs="Times New Roman"/>
          <w:sz w:val="24"/>
          <w:szCs w:val="24"/>
        </w:rPr>
        <w:t xml:space="preserve">, 43.1 (1992), 121-137 </w:t>
      </w:r>
    </w:p>
    <w:p w14:paraId="4857BC8B" w14:textId="21398E0B" w:rsidR="00AB7724" w:rsidRDefault="00AB7724" w:rsidP="00AB7724">
      <w:pPr>
        <w:rPr>
          <w:rFonts w:ascii="Times New Roman" w:hAnsi="Times New Roman" w:cs="Times New Roman"/>
          <w:sz w:val="24"/>
          <w:szCs w:val="24"/>
        </w:rPr>
      </w:pPr>
      <w:r w:rsidRPr="00AB7724">
        <w:rPr>
          <w:rFonts w:ascii="Times New Roman" w:hAnsi="Times New Roman" w:cs="Times New Roman"/>
          <w:sz w:val="24"/>
          <w:szCs w:val="24"/>
        </w:rPr>
        <w:t xml:space="preserve">Hunt, Emily J., </w:t>
      </w:r>
      <w:r w:rsidRPr="00AB7724">
        <w:rPr>
          <w:rFonts w:ascii="Times New Roman" w:hAnsi="Times New Roman" w:cs="Times New Roman"/>
          <w:i/>
          <w:sz w:val="24"/>
          <w:szCs w:val="24"/>
        </w:rPr>
        <w:t>Christianity in the Second Century: The Case of Tatian</w:t>
      </w:r>
      <w:r w:rsidRPr="00AB7724">
        <w:rPr>
          <w:rFonts w:ascii="Times New Roman" w:hAnsi="Times New Roman" w:cs="Times New Roman"/>
          <w:sz w:val="24"/>
          <w:szCs w:val="24"/>
        </w:rPr>
        <w:t xml:space="preserve"> (London: Routledge, 2003) </w:t>
      </w:r>
    </w:p>
    <w:p w14:paraId="34583DF9" w14:textId="455FFD3A" w:rsidR="00B22ABE" w:rsidRPr="00B22ABE" w:rsidRDefault="00B22ABE" w:rsidP="00AB7724">
      <w:pPr>
        <w:rPr>
          <w:rFonts w:ascii="Times New Roman" w:hAnsi="Times New Roman" w:cs="Times New Roman"/>
          <w:sz w:val="24"/>
          <w:szCs w:val="24"/>
        </w:rPr>
      </w:pPr>
      <w:r w:rsidRPr="00B22ABE">
        <w:rPr>
          <w:rFonts w:ascii="Times New Roman" w:hAnsi="Times New Roman" w:cs="Times New Roman"/>
          <w:sz w:val="24"/>
          <w:szCs w:val="24"/>
        </w:rPr>
        <w:t xml:space="preserve">MacCulloch, Diarmaid, </w:t>
      </w:r>
      <w:r w:rsidRPr="00B22ABE">
        <w:rPr>
          <w:rFonts w:ascii="Times New Roman" w:hAnsi="Times New Roman" w:cs="Times New Roman"/>
          <w:i/>
          <w:iCs/>
          <w:sz w:val="24"/>
          <w:szCs w:val="24"/>
        </w:rPr>
        <w:t>A History of Christianity</w:t>
      </w:r>
      <w:r w:rsidRPr="00B22ABE">
        <w:rPr>
          <w:rFonts w:ascii="Times New Roman" w:hAnsi="Times New Roman" w:cs="Times New Roman"/>
          <w:sz w:val="24"/>
          <w:szCs w:val="24"/>
        </w:rPr>
        <w:t xml:space="preserve"> (London: Penguin Books, 2009)</w:t>
      </w:r>
    </w:p>
    <w:p w14:paraId="2557D563" w14:textId="0C5E22DA" w:rsidR="00AB7724" w:rsidRPr="00AB7724" w:rsidRDefault="00AB7724" w:rsidP="00AB7724">
      <w:pPr>
        <w:rPr>
          <w:rFonts w:ascii="Times New Roman" w:hAnsi="Times New Roman" w:cs="Times New Roman"/>
          <w:b/>
          <w:sz w:val="24"/>
          <w:szCs w:val="24"/>
        </w:rPr>
      </w:pPr>
      <w:r w:rsidRPr="00AB7724">
        <w:rPr>
          <w:rFonts w:ascii="Times New Roman" w:hAnsi="Times New Roman" w:cs="Times New Roman"/>
          <w:sz w:val="24"/>
          <w:szCs w:val="24"/>
        </w:rPr>
        <w:t>McFall, L</w:t>
      </w:r>
      <w:r w:rsidR="00FF2322">
        <w:rPr>
          <w:rFonts w:ascii="Times New Roman" w:hAnsi="Times New Roman" w:cs="Times New Roman"/>
          <w:sz w:val="24"/>
          <w:szCs w:val="24"/>
        </w:rPr>
        <w:t>eslie</w:t>
      </w:r>
      <w:r w:rsidRPr="00AB7724">
        <w:rPr>
          <w:rFonts w:ascii="Times New Roman" w:hAnsi="Times New Roman" w:cs="Times New Roman"/>
          <w:sz w:val="24"/>
          <w:szCs w:val="24"/>
        </w:rPr>
        <w:t xml:space="preserve">, ‘Tatian’s Diatessaron: Mischievous or Misleading?’, </w:t>
      </w:r>
      <w:r w:rsidRPr="00AB7724">
        <w:rPr>
          <w:rFonts w:ascii="Times New Roman" w:hAnsi="Times New Roman" w:cs="Times New Roman"/>
          <w:i/>
          <w:iCs/>
          <w:sz w:val="24"/>
          <w:szCs w:val="24"/>
        </w:rPr>
        <w:t xml:space="preserve">Westminster Theological Journal </w:t>
      </w:r>
      <w:r w:rsidRPr="00AB7724">
        <w:rPr>
          <w:rFonts w:ascii="Times New Roman" w:hAnsi="Times New Roman" w:cs="Times New Roman"/>
          <w:sz w:val="24"/>
          <w:szCs w:val="24"/>
        </w:rPr>
        <w:t>56 (1994)</w:t>
      </w:r>
      <w:r w:rsidR="00B20CA1">
        <w:rPr>
          <w:rFonts w:ascii="Times New Roman" w:hAnsi="Times New Roman" w:cs="Times New Roman"/>
          <w:sz w:val="24"/>
          <w:szCs w:val="24"/>
        </w:rPr>
        <w:t xml:space="preserve">, </w:t>
      </w:r>
      <w:r w:rsidRPr="00AB7724">
        <w:rPr>
          <w:rFonts w:ascii="Times New Roman" w:hAnsi="Times New Roman" w:cs="Times New Roman"/>
          <w:sz w:val="24"/>
          <w:szCs w:val="24"/>
        </w:rPr>
        <w:t>87–114</w:t>
      </w:r>
    </w:p>
    <w:p w14:paraId="4A0D3ABE" w14:textId="69534791" w:rsidR="00AB7724" w:rsidRPr="00AB7724" w:rsidRDefault="00AB7724" w:rsidP="00AB7724">
      <w:pPr>
        <w:autoSpaceDE w:val="0"/>
        <w:autoSpaceDN w:val="0"/>
        <w:adjustRightInd w:val="0"/>
        <w:rPr>
          <w:rFonts w:ascii="Times New Roman" w:hAnsi="Times New Roman" w:cs="Times New Roman"/>
          <w:sz w:val="24"/>
          <w:szCs w:val="24"/>
        </w:rPr>
      </w:pPr>
      <w:r w:rsidRPr="00AB7724">
        <w:rPr>
          <w:rFonts w:ascii="Times New Roman" w:hAnsi="Times New Roman" w:cs="Times New Roman"/>
          <w:sz w:val="24"/>
          <w:szCs w:val="24"/>
        </w:rPr>
        <w:t xml:space="preserve">Peters, F.E., </w:t>
      </w:r>
      <w:r w:rsidRPr="00AB7724">
        <w:rPr>
          <w:rFonts w:ascii="Times New Roman" w:hAnsi="Times New Roman" w:cs="Times New Roman"/>
          <w:i/>
          <w:sz w:val="24"/>
          <w:szCs w:val="24"/>
        </w:rPr>
        <w:t>The Voice, The Words, The Books</w:t>
      </w:r>
      <w:r w:rsidR="003C41D9">
        <w:rPr>
          <w:rFonts w:ascii="Times New Roman" w:hAnsi="Times New Roman" w:cs="Times New Roman"/>
          <w:i/>
          <w:sz w:val="24"/>
          <w:szCs w:val="24"/>
        </w:rPr>
        <w:t>: The Sacred Scripture of the Jews, Christians, and Muslims</w:t>
      </w:r>
      <w:r w:rsidRPr="00AB7724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Pr="00AB7724">
        <w:rPr>
          <w:rFonts w:ascii="Times New Roman" w:hAnsi="Times New Roman" w:cs="Times New Roman"/>
          <w:sz w:val="24"/>
          <w:szCs w:val="24"/>
        </w:rPr>
        <w:t xml:space="preserve">(London: The British Library, 2007) </w:t>
      </w:r>
    </w:p>
    <w:p w14:paraId="5890380B" w14:textId="523E8B6D" w:rsidR="00AB7724" w:rsidRPr="00AB7724" w:rsidRDefault="00993F8C" w:rsidP="00AB7724">
      <w:pPr>
        <w:rPr>
          <w:rStyle w:val="a-size-large"/>
          <w:rFonts w:ascii="Times New Roman" w:hAnsi="Times New Roman" w:cs="Times New Roman"/>
          <w:sz w:val="24"/>
          <w:szCs w:val="24"/>
        </w:rPr>
      </w:pPr>
      <w:r w:rsidRPr="00AB7724">
        <w:rPr>
          <w:rFonts w:ascii="Times New Roman" w:hAnsi="Times New Roman" w:cs="Times New Roman"/>
          <w:sz w:val="24"/>
          <w:szCs w:val="24"/>
        </w:rPr>
        <w:t>Petersen, William Lawrence</w:t>
      </w:r>
      <w:r w:rsidR="00AB7724" w:rsidRPr="00AB7724">
        <w:rPr>
          <w:rFonts w:ascii="Times New Roman" w:hAnsi="Times New Roman" w:cs="Times New Roman"/>
          <w:sz w:val="24"/>
          <w:szCs w:val="24"/>
        </w:rPr>
        <w:t xml:space="preserve">, </w:t>
      </w:r>
      <w:r w:rsidR="00AB7724" w:rsidRPr="00AB7724">
        <w:rPr>
          <w:rStyle w:val="a-size-large"/>
          <w:rFonts w:ascii="Times New Roman" w:hAnsi="Times New Roman" w:cs="Times New Roman"/>
          <w:i/>
          <w:sz w:val="24"/>
          <w:szCs w:val="24"/>
        </w:rPr>
        <w:t>Tatian’s Diatessaron: Its Creation, Dissemination, Significance, and History in Scholarship</w:t>
      </w:r>
      <w:r w:rsidR="00AB7724" w:rsidRPr="00AB7724">
        <w:rPr>
          <w:rStyle w:val="a-size-large"/>
          <w:rFonts w:ascii="Times New Roman" w:hAnsi="Times New Roman" w:cs="Times New Roman"/>
          <w:sz w:val="24"/>
          <w:szCs w:val="24"/>
        </w:rPr>
        <w:t xml:space="preserve"> (Leiden: Brill, 1994) </w:t>
      </w:r>
    </w:p>
    <w:p w14:paraId="1FE43E93" w14:textId="51666D6F" w:rsidR="00770BF8" w:rsidRPr="00770BF8" w:rsidRDefault="00770BF8" w:rsidP="00770BF8">
      <w:pPr>
        <w:rPr>
          <w:rStyle w:val="a-size-large"/>
          <w:rFonts w:ascii="Times New Roman" w:hAnsi="Times New Roman" w:cs="Times New Roman"/>
          <w:b/>
          <w:sz w:val="24"/>
          <w:szCs w:val="24"/>
        </w:rPr>
      </w:pPr>
      <w:r w:rsidRPr="00770BF8">
        <w:rPr>
          <w:rStyle w:val="a-size-large"/>
          <w:rFonts w:ascii="Times New Roman" w:hAnsi="Times New Roman" w:cs="Times New Roman"/>
          <w:sz w:val="24"/>
          <w:szCs w:val="24"/>
        </w:rPr>
        <w:t xml:space="preserve">Rogerson, J.W. &amp; Lieu, Judith, eds, </w:t>
      </w:r>
      <w:r w:rsidRPr="00770BF8">
        <w:rPr>
          <w:rStyle w:val="a-size-large"/>
          <w:rFonts w:ascii="Times New Roman" w:hAnsi="Times New Roman" w:cs="Times New Roman"/>
          <w:i/>
          <w:sz w:val="24"/>
          <w:szCs w:val="24"/>
        </w:rPr>
        <w:t xml:space="preserve">The Oxford Handbook of Biblical Studies </w:t>
      </w:r>
      <w:r w:rsidRPr="00770BF8">
        <w:rPr>
          <w:rStyle w:val="a-size-large"/>
          <w:rFonts w:ascii="Times New Roman" w:hAnsi="Times New Roman" w:cs="Times New Roman"/>
          <w:sz w:val="24"/>
          <w:szCs w:val="24"/>
        </w:rPr>
        <w:t xml:space="preserve">(Oxford: OUP, 2006) </w:t>
      </w:r>
    </w:p>
    <w:p w14:paraId="194A3DD9" w14:textId="21439632" w:rsidR="00AB7724" w:rsidRPr="00AB7724" w:rsidRDefault="00AB7724" w:rsidP="00AB7724">
      <w:pPr>
        <w:rPr>
          <w:rFonts w:ascii="Times New Roman" w:hAnsi="Times New Roman" w:cs="Times New Roman"/>
          <w:color w:val="000000"/>
          <w:sz w:val="24"/>
          <w:szCs w:val="24"/>
          <w:lang w:val="en" w:eastAsia="en-GB"/>
        </w:rPr>
      </w:pPr>
      <w:r w:rsidRPr="00AB7724">
        <w:rPr>
          <w:rFonts w:ascii="Times New Roman" w:hAnsi="Times New Roman" w:cs="Times New Roman"/>
          <w:sz w:val="24"/>
          <w:szCs w:val="24"/>
        </w:rPr>
        <w:t>Zola, Nicholas J.,</w:t>
      </w:r>
      <w:r w:rsidR="00B20CA1">
        <w:rPr>
          <w:rFonts w:ascii="Times New Roman" w:hAnsi="Times New Roman" w:cs="Times New Roman"/>
          <w:sz w:val="24"/>
          <w:szCs w:val="24"/>
        </w:rPr>
        <w:t xml:space="preserve"> ‘</w:t>
      </w:r>
      <w:r w:rsidRPr="00AB7724">
        <w:rPr>
          <w:rFonts w:ascii="Times New Roman" w:hAnsi="Times New Roman" w:cs="Times New Roman"/>
          <w:sz w:val="24"/>
          <w:szCs w:val="24"/>
        </w:rPr>
        <w:t xml:space="preserve">Evangelizing Tatian: The </w:t>
      </w:r>
      <w:r w:rsidRPr="00AB7724">
        <w:rPr>
          <w:rFonts w:ascii="Times New Roman" w:hAnsi="Times New Roman" w:cs="Times New Roman"/>
          <w:i/>
          <w:sz w:val="24"/>
          <w:szCs w:val="24"/>
        </w:rPr>
        <w:t>Diatessaron</w:t>
      </w:r>
      <w:r w:rsidRPr="00AB7724">
        <w:rPr>
          <w:rFonts w:ascii="Times New Roman" w:hAnsi="Times New Roman" w:cs="Times New Roman"/>
          <w:sz w:val="24"/>
          <w:szCs w:val="24"/>
        </w:rPr>
        <w:t xml:space="preserve">’s Place in the Emergence of the Fourfold Gospel Canon’. </w:t>
      </w:r>
      <w:r w:rsidRPr="00AB7724">
        <w:rPr>
          <w:rFonts w:ascii="Times New Roman" w:hAnsi="Times New Roman" w:cs="Times New Roman"/>
          <w:i/>
          <w:color w:val="000000"/>
          <w:sz w:val="24"/>
          <w:szCs w:val="24"/>
          <w:bdr w:val="none" w:sz="0" w:space="0" w:color="auto" w:frame="1"/>
          <w:lang w:val="en" w:eastAsia="en-GB"/>
        </w:rPr>
        <w:t>Perspectives in Religious Studies</w:t>
      </w:r>
      <w:r w:rsidRPr="00AB7724">
        <w:rPr>
          <w:rFonts w:ascii="Times New Roman" w:hAnsi="Times New Roman" w:cs="Times New Roman"/>
          <w:color w:val="000000"/>
          <w:sz w:val="24"/>
          <w:szCs w:val="24"/>
          <w:bdr w:val="none" w:sz="0" w:space="0" w:color="auto" w:frame="1"/>
          <w:lang w:val="en" w:eastAsia="en-GB"/>
        </w:rPr>
        <w:t>, 43 (2016), 399-414</w:t>
      </w:r>
    </w:p>
    <w:p w14:paraId="50335A1D" w14:textId="77777777" w:rsidR="00AB7724" w:rsidRPr="00AB7724" w:rsidRDefault="00AB7724" w:rsidP="00AB7724">
      <w:pPr>
        <w:rPr>
          <w:rFonts w:ascii="Times New Roman" w:hAnsi="Times New Roman" w:cs="Times New Roman"/>
          <w:color w:val="000000"/>
          <w:sz w:val="24"/>
          <w:szCs w:val="24"/>
          <w:lang w:val="en" w:eastAsia="en-GB"/>
        </w:rPr>
      </w:pPr>
      <w:r w:rsidRPr="00AB7724">
        <w:rPr>
          <w:rFonts w:ascii="Times New Roman" w:hAnsi="Times New Roman" w:cs="Times New Roman"/>
          <w:color w:val="000000"/>
          <w:sz w:val="24"/>
          <w:szCs w:val="24"/>
          <w:bdr w:val="none" w:sz="0" w:space="0" w:color="auto" w:frame="1"/>
          <w:lang w:val="en" w:eastAsia="en-GB"/>
        </w:rPr>
        <w:t> </w:t>
      </w:r>
    </w:p>
    <w:p w14:paraId="63B67230" w14:textId="0BE5DEDD" w:rsidR="009A55EA" w:rsidRPr="006A6858" w:rsidRDefault="009A55EA" w:rsidP="009A55EA">
      <w:pPr>
        <w:rPr>
          <w:rFonts w:ascii="Times New Roman" w:hAnsi="Times New Roman" w:cs="Times New Roman"/>
          <w:sz w:val="24"/>
          <w:szCs w:val="24"/>
        </w:rPr>
      </w:pPr>
    </w:p>
    <w:sectPr w:rsidR="009A55EA" w:rsidRPr="006A6858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59AB328" w14:textId="77777777" w:rsidR="00CC742D" w:rsidRDefault="00CC742D" w:rsidP="000E76A4">
      <w:pPr>
        <w:spacing w:after="0" w:line="240" w:lineRule="auto"/>
      </w:pPr>
      <w:r>
        <w:separator/>
      </w:r>
    </w:p>
  </w:endnote>
  <w:endnote w:type="continuationSeparator" w:id="0">
    <w:p w14:paraId="5A97C388" w14:textId="77777777" w:rsidR="00CC742D" w:rsidRDefault="00CC742D" w:rsidP="000E76A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angal">
    <w:panose1 w:val="00000400000000000000"/>
    <w:charset w:val="00"/>
    <w:family w:val="roman"/>
    <w:pitch w:val="variable"/>
    <w:sig w:usb0="00008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2DBDC36" w14:textId="77777777" w:rsidR="00E864C6" w:rsidRDefault="00E864C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74679374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51246A4" w14:textId="79BF1FF8" w:rsidR="00E864C6" w:rsidRDefault="00E864C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0D0CB95" w14:textId="77777777" w:rsidR="00E864C6" w:rsidRDefault="00E864C6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7D8E968" w14:textId="77777777" w:rsidR="00E864C6" w:rsidRDefault="00E864C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50AF2F2" w14:textId="77777777" w:rsidR="00CC742D" w:rsidRDefault="00CC742D" w:rsidP="000E76A4">
      <w:pPr>
        <w:spacing w:after="0" w:line="240" w:lineRule="auto"/>
      </w:pPr>
      <w:r>
        <w:separator/>
      </w:r>
    </w:p>
  </w:footnote>
  <w:footnote w:type="continuationSeparator" w:id="0">
    <w:p w14:paraId="0E4C4BE4" w14:textId="77777777" w:rsidR="00CC742D" w:rsidRDefault="00CC742D" w:rsidP="000E76A4">
      <w:pPr>
        <w:spacing w:after="0" w:line="240" w:lineRule="auto"/>
      </w:pPr>
      <w:r>
        <w:continuationSeparator/>
      </w:r>
    </w:p>
  </w:footnote>
  <w:footnote w:id="1">
    <w:p w14:paraId="6E310108" w14:textId="5F468F10" w:rsidR="00E864C6" w:rsidRPr="00614C65" w:rsidRDefault="00E864C6" w:rsidP="003E5D8D">
      <w:pPr>
        <w:pStyle w:val="FootnoteText"/>
      </w:pPr>
      <w:r>
        <w:rPr>
          <w:rStyle w:val="FootnoteReference"/>
        </w:rPr>
        <w:footnoteRef/>
      </w:r>
      <w:r>
        <w:t xml:space="preserve"> John Caldwell. </w:t>
      </w:r>
      <w:r>
        <w:rPr>
          <w:i/>
        </w:rPr>
        <w:t>The Fifth Gospel</w:t>
      </w:r>
      <w:r>
        <w:t xml:space="preserve"> (London: Simon and Schuster UK Ltd, 2015), p.51.</w:t>
      </w:r>
    </w:p>
  </w:footnote>
  <w:footnote w:id="2">
    <w:p w14:paraId="31363826" w14:textId="3B01BD4E" w:rsidR="00E864C6" w:rsidRPr="00301152" w:rsidRDefault="00E864C6" w:rsidP="003E5D8D">
      <w:pPr>
        <w:pStyle w:val="FootnoteText"/>
      </w:pPr>
      <w:r>
        <w:rPr>
          <w:rStyle w:val="FootnoteReference"/>
        </w:rPr>
        <w:footnoteRef/>
      </w:r>
      <w:r>
        <w:t xml:space="preserve"> Currently the most high-profile writer in this genre is Dan Brown (</w:t>
      </w:r>
      <w:r>
        <w:rPr>
          <w:iCs/>
        </w:rPr>
        <w:t>e.g.</w:t>
      </w:r>
      <w:r>
        <w:t xml:space="preserve"> </w:t>
      </w:r>
      <w:r>
        <w:rPr>
          <w:i/>
        </w:rPr>
        <w:t>Angels and Demons</w:t>
      </w:r>
      <w:r>
        <w:t xml:space="preserve">). </w:t>
      </w:r>
    </w:p>
  </w:footnote>
  <w:footnote w:id="3">
    <w:p w14:paraId="5627A49C" w14:textId="6E2E529D" w:rsidR="00E864C6" w:rsidRPr="00B22ABE" w:rsidRDefault="00E864C6" w:rsidP="003E5D8D">
      <w:pPr>
        <w:pStyle w:val="FootnoteText"/>
      </w:pPr>
      <w:r>
        <w:rPr>
          <w:rStyle w:val="FootnoteReference"/>
        </w:rPr>
        <w:footnoteRef/>
      </w:r>
      <w:r>
        <w:t xml:space="preserve"> Diarmaid MacCulloch, </w:t>
      </w:r>
      <w:r>
        <w:rPr>
          <w:i/>
          <w:iCs/>
        </w:rPr>
        <w:t>A History of Christianity</w:t>
      </w:r>
      <w:r>
        <w:t xml:space="preserve"> (London: Penguin Books, 2009), p.362.</w:t>
      </w:r>
    </w:p>
  </w:footnote>
  <w:footnote w:id="4">
    <w:p w14:paraId="20A54E33" w14:textId="12C15580" w:rsidR="00E864C6" w:rsidRPr="00C35F7E" w:rsidRDefault="00E864C6" w:rsidP="003E5D8D">
      <w:pPr>
        <w:spacing w:after="0" w:line="240" w:lineRule="auto"/>
        <w:rPr>
          <w:rFonts w:ascii="Times New Roman" w:hAnsi="Times New Roman" w:cs="Times New Roman"/>
          <w:b/>
          <w:sz w:val="20"/>
          <w:szCs w:val="20"/>
        </w:rPr>
      </w:pPr>
      <w:r w:rsidRPr="00C35F7E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C35F7E">
        <w:rPr>
          <w:rStyle w:val="a-size-large"/>
          <w:rFonts w:ascii="Times New Roman" w:hAnsi="Times New Roman" w:cs="Times New Roman"/>
          <w:sz w:val="20"/>
          <w:szCs w:val="20"/>
        </w:rPr>
        <w:t xml:space="preserve"> J.W. Rogerson</w:t>
      </w:r>
      <w:r>
        <w:rPr>
          <w:rStyle w:val="a-size-large"/>
          <w:rFonts w:ascii="Times New Roman" w:hAnsi="Times New Roman" w:cs="Times New Roman"/>
          <w:sz w:val="20"/>
          <w:szCs w:val="20"/>
        </w:rPr>
        <w:t>, and</w:t>
      </w:r>
      <w:r w:rsidRPr="00C35F7E">
        <w:rPr>
          <w:rStyle w:val="a-size-large"/>
          <w:rFonts w:ascii="Times New Roman" w:hAnsi="Times New Roman" w:cs="Times New Roman"/>
          <w:sz w:val="20"/>
          <w:szCs w:val="20"/>
        </w:rPr>
        <w:t xml:space="preserve"> Lieu, Judith, eds, </w:t>
      </w:r>
      <w:r w:rsidRPr="00C35F7E">
        <w:rPr>
          <w:rStyle w:val="a-size-large"/>
          <w:rFonts w:ascii="Times New Roman" w:hAnsi="Times New Roman" w:cs="Times New Roman"/>
          <w:i/>
          <w:sz w:val="20"/>
          <w:szCs w:val="20"/>
        </w:rPr>
        <w:t xml:space="preserve">The Oxford Handbook of Biblical Studies </w:t>
      </w:r>
      <w:r w:rsidRPr="00C35F7E">
        <w:rPr>
          <w:rStyle w:val="a-size-large"/>
          <w:rFonts w:ascii="Times New Roman" w:hAnsi="Times New Roman" w:cs="Times New Roman"/>
          <w:sz w:val="20"/>
          <w:szCs w:val="20"/>
        </w:rPr>
        <w:t>(Oxford: OUP, 2006), p.</w:t>
      </w:r>
      <w:r>
        <w:rPr>
          <w:rStyle w:val="a-size-large"/>
          <w:rFonts w:ascii="Times New Roman" w:hAnsi="Times New Roman" w:cs="Times New Roman"/>
          <w:sz w:val="20"/>
          <w:szCs w:val="20"/>
        </w:rPr>
        <w:t>795</w:t>
      </w:r>
      <w:r w:rsidRPr="00C35F7E">
        <w:rPr>
          <w:rStyle w:val="a-size-large"/>
          <w:rFonts w:ascii="Times New Roman" w:hAnsi="Times New Roman" w:cs="Times New Roman"/>
          <w:sz w:val="20"/>
          <w:szCs w:val="20"/>
        </w:rPr>
        <w:t>.</w:t>
      </w:r>
    </w:p>
  </w:footnote>
  <w:footnote w:id="5">
    <w:p w14:paraId="7F3BC208" w14:textId="453080EF" w:rsidR="00E864C6" w:rsidRPr="00A12419" w:rsidRDefault="00E864C6" w:rsidP="003E5D8D">
      <w:pPr>
        <w:pStyle w:val="FootnoteText"/>
      </w:pPr>
      <w:r>
        <w:rPr>
          <w:rStyle w:val="FootnoteReference"/>
        </w:rPr>
        <w:footnoteRef/>
      </w:r>
      <w:r>
        <w:t xml:space="preserve"> Tatian’s ‘harmony’ is usually referred to as the </w:t>
      </w:r>
      <w:r>
        <w:rPr>
          <w:i/>
        </w:rPr>
        <w:t>Diatessaron</w:t>
      </w:r>
      <w:r>
        <w:t>, ‘out of four’ in Greek, that is, ‘made of four [elements].’</w:t>
      </w:r>
    </w:p>
  </w:footnote>
  <w:footnote w:id="6">
    <w:p w14:paraId="4E1784A9" w14:textId="6512FE7B" w:rsidR="00E864C6" w:rsidRPr="00955925" w:rsidRDefault="00E864C6" w:rsidP="003E5D8D">
      <w:pPr>
        <w:pStyle w:val="FootnoteText"/>
        <w:rPr>
          <w:szCs w:val="20"/>
        </w:rPr>
      </w:pPr>
      <w:r w:rsidRPr="00F83992">
        <w:rPr>
          <w:rStyle w:val="FootnoteReference"/>
          <w:szCs w:val="20"/>
        </w:rPr>
        <w:footnoteRef/>
      </w:r>
      <w:r w:rsidRPr="00F83992">
        <w:rPr>
          <w:szCs w:val="20"/>
        </w:rPr>
        <w:t xml:space="preserve"> F.E. Peters, </w:t>
      </w:r>
      <w:r w:rsidRPr="00F83992">
        <w:rPr>
          <w:i/>
          <w:szCs w:val="20"/>
        </w:rPr>
        <w:t>The Voice, The Word, The Books</w:t>
      </w:r>
      <w:r>
        <w:rPr>
          <w:i/>
          <w:szCs w:val="20"/>
        </w:rPr>
        <w:t>:</w:t>
      </w:r>
      <w:r w:rsidRPr="00F83992">
        <w:rPr>
          <w:rFonts w:cs="Times New Roman"/>
          <w:i/>
          <w:szCs w:val="20"/>
        </w:rPr>
        <w:t xml:space="preserve"> The Sacred Scripture of the Jews, Christians, and Muslims</w:t>
      </w:r>
      <w:r w:rsidRPr="00F83992">
        <w:rPr>
          <w:i/>
          <w:szCs w:val="20"/>
        </w:rPr>
        <w:t xml:space="preserve"> </w:t>
      </w:r>
      <w:r w:rsidRPr="00F83992">
        <w:rPr>
          <w:szCs w:val="20"/>
        </w:rPr>
        <w:t>(London: The British Library, 2007), p.56.</w:t>
      </w:r>
      <w:r>
        <w:rPr>
          <w:szCs w:val="20"/>
        </w:rPr>
        <w:t xml:space="preserve"> Also John Barton, </w:t>
      </w:r>
      <w:r>
        <w:rPr>
          <w:i/>
          <w:iCs/>
          <w:szCs w:val="20"/>
        </w:rPr>
        <w:t xml:space="preserve">A History of the Bible: The Book and Its Faiths </w:t>
      </w:r>
      <w:r>
        <w:rPr>
          <w:szCs w:val="20"/>
        </w:rPr>
        <w:t>(London: Penguin Books, 2019), p.259.</w:t>
      </w:r>
    </w:p>
  </w:footnote>
  <w:footnote w:id="7">
    <w:p w14:paraId="0A8190A4" w14:textId="080E198D" w:rsidR="00E864C6" w:rsidRPr="00147B71" w:rsidRDefault="00E864C6">
      <w:pPr>
        <w:pStyle w:val="FootnoteText"/>
        <w:rPr>
          <w:szCs w:val="20"/>
        </w:rPr>
      </w:pPr>
      <w:r w:rsidRPr="00147B71">
        <w:rPr>
          <w:rStyle w:val="FootnoteReference"/>
          <w:szCs w:val="20"/>
        </w:rPr>
        <w:footnoteRef/>
      </w:r>
      <w:r w:rsidRPr="00147B71">
        <w:rPr>
          <w:szCs w:val="20"/>
        </w:rPr>
        <w:t xml:space="preserve"> William L. Petersen, </w:t>
      </w:r>
      <w:r w:rsidRPr="00147B71">
        <w:rPr>
          <w:rStyle w:val="a-size-large"/>
          <w:rFonts w:cs="Times New Roman"/>
          <w:i/>
          <w:szCs w:val="20"/>
        </w:rPr>
        <w:t>Tatian</w:t>
      </w:r>
      <w:r>
        <w:rPr>
          <w:rStyle w:val="a-size-large"/>
          <w:rFonts w:cs="Times New Roman"/>
          <w:i/>
          <w:szCs w:val="20"/>
        </w:rPr>
        <w:t>’</w:t>
      </w:r>
      <w:r w:rsidRPr="00147B71">
        <w:rPr>
          <w:rStyle w:val="a-size-large"/>
          <w:rFonts w:cs="Times New Roman"/>
          <w:i/>
          <w:szCs w:val="20"/>
        </w:rPr>
        <w:t>s Diatessaron: Its Creation, Dissemination, Significance, and History in Scholarship</w:t>
      </w:r>
      <w:r w:rsidRPr="00147B71">
        <w:rPr>
          <w:rStyle w:val="a-size-large"/>
          <w:rFonts w:cs="Times New Roman"/>
          <w:szCs w:val="20"/>
        </w:rPr>
        <w:t xml:space="preserve"> (Leiden: Brill, 1994)</w:t>
      </w:r>
      <w:r>
        <w:rPr>
          <w:rStyle w:val="a-size-large"/>
          <w:rFonts w:cs="Times New Roman"/>
          <w:szCs w:val="20"/>
        </w:rPr>
        <w:t>.</w:t>
      </w:r>
    </w:p>
  </w:footnote>
  <w:footnote w:id="8">
    <w:p w14:paraId="3337CE93" w14:textId="670AC433" w:rsidR="00E864C6" w:rsidRDefault="00E864C6">
      <w:pPr>
        <w:pStyle w:val="FootnoteText"/>
      </w:pPr>
      <w:r>
        <w:rPr>
          <w:rStyle w:val="FootnoteReference"/>
        </w:rPr>
        <w:footnoteRef/>
      </w:r>
      <w:r>
        <w:t xml:space="preserve"> Petersen, p.9.</w:t>
      </w:r>
    </w:p>
  </w:footnote>
  <w:footnote w:id="9">
    <w:p w14:paraId="68512A4D" w14:textId="7CD0E70E" w:rsidR="00E864C6" w:rsidRPr="00E91D78" w:rsidRDefault="00E864C6" w:rsidP="003E5D8D">
      <w:pPr>
        <w:spacing w:after="0" w:line="240" w:lineRule="auto"/>
        <w:rPr>
          <w:rFonts w:ascii="Times New Roman" w:hAnsi="Times New Roman" w:cs="Times New Roman"/>
          <w:color w:val="000000"/>
          <w:sz w:val="20"/>
          <w:szCs w:val="20"/>
          <w:lang w:val="en" w:eastAsia="en-GB"/>
        </w:rPr>
      </w:pPr>
      <w:r w:rsidRPr="00F07D0F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F07D0F">
        <w:rPr>
          <w:rFonts w:ascii="Times New Roman" w:hAnsi="Times New Roman" w:cs="Times New Roman"/>
          <w:sz w:val="20"/>
          <w:szCs w:val="20"/>
        </w:rPr>
        <w:t xml:space="preserve"> Nicholas J. Zola,</w:t>
      </w:r>
      <w:r>
        <w:rPr>
          <w:rFonts w:ascii="Times New Roman" w:hAnsi="Times New Roman" w:cs="Times New Roman"/>
          <w:sz w:val="20"/>
          <w:szCs w:val="20"/>
        </w:rPr>
        <w:t xml:space="preserve"> ‘</w:t>
      </w:r>
      <w:r w:rsidRPr="00F07D0F">
        <w:rPr>
          <w:rFonts w:ascii="Times New Roman" w:hAnsi="Times New Roman" w:cs="Times New Roman"/>
          <w:sz w:val="20"/>
          <w:szCs w:val="20"/>
        </w:rPr>
        <w:t xml:space="preserve">Evangelizing Tatian: The </w:t>
      </w:r>
      <w:r w:rsidRPr="00F07D0F">
        <w:rPr>
          <w:rFonts w:ascii="Times New Roman" w:hAnsi="Times New Roman" w:cs="Times New Roman"/>
          <w:i/>
          <w:sz w:val="20"/>
          <w:szCs w:val="20"/>
        </w:rPr>
        <w:t>Diatessaron</w:t>
      </w:r>
      <w:r>
        <w:rPr>
          <w:rFonts w:ascii="Times New Roman" w:hAnsi="Times New Roman" w:cs="Times New Roman"/>
          <w:sz w:val="20"/>
          <w:szCs w:val="20"/>
        </w:rPr>
        <w:t>’</w:t>
      </w:r>
      <w:r w:rsidRPr="00F07D0F">
        <w:rPr>
          <w:rFonts w:ascii="Times New Roman" w:hAnsi="Times New Roman" w:cs="Times New Roman"/>
          <w:sz w:val="20"/>
          <w:szCs w:val="20"/>
        </w:rPr>
        <w:t>s Place in the Emergence of the Fourfold Gospel Canon</w:t>
      </w:r>
      <w:r>
        <w:rPr>
          <w:rFonts w:ascii="Times New Roman" w:hAnsi="Times New Roman" w:cs="Times New Roman"/>
          <w:sz w:val="20"/>
          <w:szCs w:val="20"/>
        </w:rPr>
        <w:t>’</w:t>
      </w:r>
      <w:r w:rsidRPr="00F07D0F">
        <w:rPr>
          <w:rFonts w:ascii="Times New Roman" w:hAnsi="Times New Roman" w:cs="Times New Roman"/>
          <w:sz w:val="20"/>
          <w:szCs w:val="20"/>
        </w:rPr>
        <w:t xml:space="preserve">. </w:t>
      </w:r>
      <w:r w:rsidRPr="00F07D0F">
        <w:rPr>
          <w:rFonts w:ascii="Times New Roman" w:hAnsi="Times New Roman" w:cs="Times New Roman"/>
          <w:i/>
          <w:color w:val="000000"/>
          <w:sz w:val="20"/>
          <w:szCs w:val="20"/>
          <w:bdr w:val="none" w:sz="0" w:space="0" w:color="auto" w:frame="1"/>
          <w:lang w:val="en" w:eastAsia="en-GB"/>
        </w:rPr>
        <w:t>Perspectives in Religious Studies</w:t>
      </w:r>
      <w:r w:rsidRPr="00F07D0F">
        <w:rPr>
          <w:rFonts w:ascii="Times New Roman" w:hAnsi="Times New Roman" w:cs="Times New Roman"/>
          <w:color w:val="000000"/>
          <w:sz w:val="20"/>
          <w:szCs w:val="20"/>
          <w:bdr w:val="none" w:sz="0" w:space="0" w:color="auto" w:frame="1"/>
          <w:lang w:val="en" w:eastAsia="en-GB"/>
        </w:rPr>
        <w:t xml:space="preserve">, 43 (2016), 399-414 </w:t>
      </w:r>
      <w:r>
        <w:rPr>
          <w:rFonts w:ascii="Times New Roman" w:hAnsi="Times New Roman" w:cs="Times New Roman"/>
          <w:color w:val="000000"/>
          <w:sz w:val="20"/>
          <w:szCs w:val="20"/>
          <w:bdr w:val="none" w:sz="0" w:space="0" w:color="auto" w:frame="1"/>
          <w:lang w:val="en" w:eastAsia="en-GB"/>
        </w:rPr>
        <w:t>(p.399).</w:t>
      </w:r>
    </w:p>
  </w:footnote>
  <w:footnote w:id="10">
    <w:p w14:paraId="1E3011E3" w14:textId="5BB40002" w:rsidR="00E864C6" w:rsidRPr="00373115" w:rsidRDefault="00E864C6" w:rsidP="003E5D8D">
      <w:pPr>
        <w:pStyle w:val="FootnoteText"/>
      </w:pPr>
      <w:r>
        <w:rPr>
          <w:rStyle w:val="FootnoteReference"/>
        </w:rPr>
        <w:footnoteRef/>
      </w:r>
      <w:r>
        <w:t xml:space="preserve"> The </w:t>
      </w:r>
      <w:r>
        <w:rPr>
          <w:i/>
          <w:iCs/>
        </w:rPr>
        <w:t xml:space="preserve">Diatessaron </w:t>
      </w:r>
      <w:r>
        <w:t>was, however, used as a gospel up to the fifth century CE in the Syriac-speaking Church (Zola, p.412).</w:t>
      </w:r>
    </w:p>
  </w:footnote>
  <w:footnote w:id="11">
    <w:p w14:paraId="3C89570C" w14:textId="0507286C" w:rsidR="00E864C6" w:rsidRDefault="00E864C6">
      <w:pPr>
        <w:pStyle w:val="FootnoteText"/>
      </w:pPr>
      <w:r>
        <w:rPr>
          <w:rStyle w:val="FootnoteReference"/>
        </w:rPr>
        <w:footnoteRef/>
      </w:r>
      <w:r>
        <w:t xml:space="preserve"> Zola, p.400.</w:t>
      </w:r>
    </w:p>
  </w:footnote>
  <w:footnote w:id="12">
    <w:p w14:paraId="429FDE00" w14:textId="77777777" w:rsidR="00E864C6" w:rsidRDefault="00E864C6" w:rsidP="00FF35E7">
      <w:pPr>
        <w:pStyle w:val="FootnoteText"/>
      </w:pPr>
      <w:r>
        <w:rPr>
          <w:rStyle w:val="FootnoteReference"/>
        </w:rPr>
        <w:footnoteRef/>
      </w:r>
      <w:r>
        <w:t xml:space="preserve"> Zola, pp.401-13.</w:t>
      </w:r>
    </w:p>
  </w:footnote>
  <w:footnote w:id="13">
    <w:p w14:paraId="32DBAFA8" w14:textId="5B23819B" w:rsidR="00E864C6" w:rsidRPr="00F8011A" w:rsidRDefault="00E864C6" w:rsidP="003E5D8D">
      <w:pPr>
        <w:spacing w:after="0"/>
        <w:rPr>
          <w:rFonts w:ascii="Times New Roman" w:hAnsi="Times New Roman" w:cs="Times New Roman"/>
          <w:sz w:val="20"/>
          <w:szCs w:val="20"/>
        </w:rPr>
      </w:pPr>
      <w:r w:rsidRPr="00314425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314425">
        <w:rPr>
          <w:rStyle w:val="a-list-item"/>
          <w:rFonts w:ascii="Times New Roman" w:hAnsi="Times New Roman" w:cs="Times New Roman"/>
          <w:sz w:val="20"/>
          <w:szCs w:val="20"/>
        </w:rPr>
        <w:t xml:space="preserve"> </w:t>
      </w:r>
      <w:r w:rsidRPr="00314425">
        <w:rPr>
          <w:rFonts w:ascii="Times New Roman" w:hAnsi="Times New Roman" w:cs="Times New Roman"/>
          <w:sz w:val="20"/>
          <w:szCs w:val="20"/>
        </w:rPr>
        <w:t xml:space="preserve">Tjitze Baarda, </w:t>
      </w:r>
      <w:r>
        <w:rPr>
          <w:rFonts w:ascii="Times New Roman" w:hAnsi="Times New Roman" w:cs="Times New Roman"/>
          <w:sz w:val="20"/>
          <w:szCs w:val="20"/>
        </w:rPr>
        <w:t>‘</w:t>
      </w:r>
      <w:r w:rsidRPr="00314425">
        <w:rPr>
          <w:rFonts w:ascii="Times New Roman" w:hAnsi="Times New Roman" w:cs="Times New Roman"/>
          <w:iCs/>
          <w:color w:val="633D5D"/>
          <w:kern w:val="36"/>
          <w:sz w:val="20"/>
          <w:szCs w:val="20"/>
          <w:lang w:val="en"/>
        </w:rPr>
        <w:t>Tatian’s Diatessaron and the Greek Text of the Gospels</w:t>
      </w:r>
      <w:r>
        <w:rPr>
          <w:rFonts w:ascii="Times New Roman" w:hAnsi="Times New Roman" w:cs="Times New Roman"/>
          <w:iCs/>
          <w:color w:val="633D5D"/>
          <w:kern w:val="36"/>
          <w:sz w:val="20"/>
          <w:szCs w:val="20"/>
          <w:lang w:val="en"/>
        </w:rPr>
        <w:t>’</w:t>
      </w:r>
      <w:r w:rsidRPr="00314425">
        <w:rPr>
          <w:rFonts w:ascii="Times New Roman" w:hAnsi="Times New Roman" w:cs="Times New Roman"/>
          <w:color w:val="633D5D"/>
          <w:kern w:val="36"/>
          <w:sz w:val="20"/>
          <w:szCs w:val="20"/>
          <w:lang w:val="en"/>
        </w:rPr>
        <w:t xml:space="preserve">, in </w:t>
      </w:r>
      <w:r w:rsidRPr="00314425">
        <w:rPr>
          <w:rStyle w:val="a-list-item"/>
          <w:rFonts w:ascii="Times New Roman" w:hAnsi="Times New Roman" w:cs="Times New Roman"/>
          <w:sz w:val="20"/>
          <w:szCs w:val="20"/>
        </w:rPr>
        <w:t xml:space="preserve">Hill, Charles E., and Michael J. Kruger, eds, </w:t>
      </w:r>
      <w:r w:rsidRPr="00314425">
        <w:rPr>
          <w:rStyle w:val="a-list-item"/>
          <w:rFonts w:ascii="Times New Roman" w:hAnsi="Times New Roman" w:cs="Times New Roman"/>
          <w:i/>
          <w:sz w:val="20"/>
          <w:szCs w:val="20"/>
        </w:rPr>
        <w:t xml:space="preserve">The Early Text of the New Testament </w:t>
      </w:r>
      <w:r w:rsidRPr="00314425">
        <w:rPr>
          <w:rStyle w:val="a-list-item"/>
          <w:rFonts w:ascii="Times New Roman" w:hAnsi="Times New Roman" w:cs="Times New Roman"/>
          <w:sz w:val="20"/>
          <w:szCs w:val="20"/>
        </w:rPr>
        <w:t>(Oxford: OUP, 2012), pp.336-349</w:t>
      </w:r>
      <w:r>
        <w:rPr>
          <w:rStyle w:val="a-list-item"/>
          <w:rFonts w:ascii="Times New Roman" w:hAnsi="Times New Roman" w:cs="Times New Roman"/>
          <w:sz w:val="20"/>
          <w:szCs w:val="20"/>
        </w:rPr>
        <w:t>.</w:t>
      </w:r>
    </w:p>
  </w:footnote>
  <w:footnote w:id="14">
    <w:p w14:paraId="2B472354" w14:textId="7E250E33" w:rsidR="00E864C6" w:rsidRDefault="00E864C6">
      <w:pPr>
        <w:pStyle w:val="FootnoteText"/>
      </w:pPr>
      <w:r>
        <w:rPr>
          <w:rStyle w:val="FootnoteReference"/>
        </w:rPr>
        <w:footnoteRef/>
      </w:r>
      <w:r>
        <w:t xml:space="preserve"> Baarda, p.337.</w:t>
      </w:r>
    </w:p>
  </w:footnote>
  <w:footnote w:id="15">
    <w:p w14:paraId="56938C3A" w14:textId="237DD4BF" w:rsidR="00E864C6" w:rsidRPr="004409D2" w:rsidRDefault="00E864C6" w:rsidP="00314425">
      <w:pPr>
        <w:pStyle w:val="FootnoteText"/>
        <w:rPr>
          <w:szCs w:val="20"/>
        </w:rPr>
      </w:pPr>
      <w:r w:rsidRPr="004409D2">
        <w:rPr>
          <w:rStyle w:val="FootnoteReference"/>
          <w:szCs w:val="20"/>
        </w:rPr>
        <w:footnoteRef/>
      </w:r>
      <w:r w:rsidRPr="004409D2">
        <w:rPr>
          <w:rFonts w:cs="Times New Roman"/>
          <w:szCs w:val="20"/>
        </w:rPr>
        <w:t xml:space="preserve"> Emily J. Hunt, </w:t>
      </w:r>
      <w:r w:rsidRPr="004409D2">
        <w:rPr>
          <w:rFonts w:cs="Times New Roman"/>
          <w:i/>
          <w:szCs w:val="20"/>
        </w:rPr>
        <w:t>Christianity in the Second Century: The Case of Tatian</w:t>
      </w:r>
      <w:r w:rsidRPr="004409D2">
        <w:rPr>
          <w:rFonts w:cs="Times New Roman"/>
          <w:szCs w:val="20"/>
        </w:rPr>
        <w:t xml:space="preserve"> (London: Routledge, 2003)</w:t>
      </w:r>
      <w:r>
        <w:rPr>
          <w:rFonts w:cs="Times New Roman"/>
          <w:szCs w:val="20"/>
        </w:rPr>
        <w:t>, p.1.</w:t>
      </w:r>
    </w:p>
  </w:footnote>
  <w:footnote w:id="16">
    <w:p w14:paraId="5FFA4088" w14:textId="79845D03" w:rsidR="00E864C6" w:rsidRPr="00602974" w:rsidRDefault="00E864C6" w:rsidP="00602974">
      <w:pPr>
        <w:rPr>
          <w:rFonts w:ascii="Times New Roman" w:hAnsi="Times New Roman" w:cs="Times New Roman"/>
          <w:sz w:val="20"/>
          <w:szCs w:val="20"/>
        </w:rPr>
      </w:pPr>
      <w:r w:rsidRPr="00602974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602974">
        <w:rPr>
          <w:rFonts w:ascii="Times New Roman" w:hAnsi="Times New Roman" w:cs="Times New Roman"/>
          <w:sz w:val="20"/>
          <w:szCs w:val="20"/>
        </w:rPr>
        <w:t xml:space="preserve"> Peter M. Head, ‘Tatian’s Christology and its Influence on the Composition of the Diatessaron’, </w:t>
      </w:r>
      <w:r w:rsidRPr="00602974">
        <w:rPr>
          <w:rFonts w:ascii="Times New Roman" w:hAnsi="Times New Roman" w:cs="Times New Roman"/>
          <w:i/>
          <w:sz w:val="20"/>
          <w:szCs w:val="20"/>
        </w:rPr>
        <w:t>Tyndale Bulletin</w:t>
      </w:r>
      <w:r w:rsidRPr="00602974">
        <w:rPr>
          <w:rFonts w:ascii="Times New Roman" w:hAnsi="Times New Roman" w:cs="Times New Roman"/>
          <w:sz w:val="20"/>
          <w:szCs w:val="20"/>
        </w:rPr>
        <w:t>, 43.1 (1992), 121-137</w:t>
      </w:r>
      <w:r>
        <w:rPr>
          <w:rFonts w:ascii="Times New Roman" w:hAnsi="Times New Roman" w:cs="Times New Roman"/>
          <w:sz w:val="20"/>
          <w:szCs w:val="20"/>
        </w:rPr>
        <w:t>.</w:t>
      </w:r>
    </w:p>
    <w:p w14:paraId="60B9124C" w14:textId="1E8A7ED8" w:rsidR="00E864C6" w:rsidRDefault="00E864C6">
      <w:pPr>
        <w:pStyle w:val="FootnoteText"/>
      </w:pPr>
    </w:p>
  </w:footnote>
  <w:footnote w:id="17">
    <w:p w14:paraId="595FCF60" w14:textId="61A53B66" w:rsidR="00E864C6" w:rsidRPr="00FF2322" w:rsidRDefault="00E864C6" w:rsidP="00D56ADD">
      <w:pPr>
        <w:spacing w:after="0" w:line="240" w:lineRule="auto"/>
        <w:rPr>
          <w:rFonts w:ascii="Times New Roman" w:hAnsi="Times New Roman" w:cs="Times New Roman"/>
          <w:b/>
          <w:sz w:val="20"/>
          <w:szCs w:val="20"/>
        </w:rPr>
      </w:pPr>
      <w:r w:rsidRPr="00FF2322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FF2322">
        <w:rPr>
          <w:rFonts w:ascii="Times New Roman" w:hAnsi="Times New Roman" w:cs="Times New Roman"/>
          <w:sz w:val="20"/>
          <w:szCs w:val="20"/>
        </w:rPr>
        <w:t xml:space="preserve"> L</w:t>
      </w:r>
      <w:r>
        <w:rPr>
          <w:rFonts w:ascii="Times New Roman" w:hAnsi="Times New Roman" w:cs="Times New Roman"/>
          <w:sz w:val="20"/>
          <w:szCs w:val="20"/>
        </w:rPr>
        <w:t xml:space="preserve">eslie </w:t>
      </w:r>
      <w:r w:rsidRPr="00FF2322">
        <w:rPr>
          <w:rFonts w:ascii="Times New Roman" w:hAnsi="Times New Roman" w:cs="Times New Roman"/>
          <w:sz w:val="20"/>
          <w:szCs w:val="20"/>
        </w:rPr>
        <w:t xml:space="preserve">McFall, ‘Tatian’s Diatessaron: Mischievous or Misleading?’, </w:t>
      </w:r>
      <w:r w:rsidRPr="00FF2322">
        <w:rPr>
          <w:rFonts w:ascii="Times New Roman" w:hAnsi="Times New Roman" w:cs="Times New Roman"/>
          <w:i/>
          <w:iCs/>
          <w:sz w:val="20"/>
          <w:szCs w:val="20"/>
        </w:rPr>
        <w:t xml:space="preserve">Westminster Theological Journal </w:t>
      </w:r>
      <w:r w:rsidRPr="00FF2322">
        <w:rPr>
          <w:rFonts w:ascii="Times New Roman" w:hAnsi="Times New Roman" w:cs="Times New Roman"/>
          <w:sz w:val="20"/>
          <w:szCs w:val="20"/>
        </w:rPr>
        <w:t>56 (1994), 87–114</w:t>
      </w:r>
      <w:r>
        <w:rPr>
          <w:rFonts w:ascii="Times New Roman" w:hAnsi="Times New Roman" w:cs="Times New Roman"/>
          <w:sz w:val="20"/>
          <w:szCs w:val="20"/>
        </w:rPr>
        <w:t xml:space="preserve"> (p.87). The Bishop particularly objected to the omission of Christ’s genealogies from the </w:t>
      </w:r>
      <w:r>
        <w:rPr>
          <w:rFonts w:ascii="Times New Roman" w:hAnsi="Times New Roman" w:cs="Times New Roman"/>
          <w:i/>
          <w:iCs/>
          <w:sz w:val="20"/>
          <w:szCs w:val="20"/>
        </w:rPr>
        <w:t>Diatessaron</w:t>
      </w:r>
      <w:r>
        <w:rPr>
          <w:rFonts w:ascii="Times New Roman" w:hAnsi="Times New Roman" w:cs="Times New Roman"/>
          <w:sz w:val="20"/>
          <w:szCs w:val="20"/>
        </w:rPr>
        <w:t xml:space="preserve">. </w:t>
      </w:r>
    </w:p>
    <w:p w14:paraId="057B84A5" w14:textId="4BA383F2" w:rsidR="00E864C6" w:rsidRDefault="00E864C6" w:rsidP="00D56ADD">
      <w:pPr>
        <w:pStyle w:val="FootnoteText"/>
        <w:spacing w:after="160"/>
      </w:pPr>
    </w:p>
  </w:footnote>
  <w:footnote w:id="18">
    <w:p w14:paraId="390420D1" w14:textId="4E02A93B" w:rsidR="00D61B96" w:rsidRDefault="00D61B96" w:rsidP="00D56ADD">
      <w:pPr>
        <w:pStyle w:val="FootnoteText"/>
        <w:spacing w:after="160"/>
      </w:pPr>
      <w:r>
        <w:rPr>
          <w:rStyle w:val="FootnoteReference"/>
        </w:rPr>
        <w:footnoteRef/>
      </w:r>
      <w:r>
        <w:t xml:space="preserve"> McFall, p.</w:t>
      </w:r>
      <w:r w:rsidR="00D56ADD">
        <w:t>113.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46BDBAA" w14:textId="77777777" w:rsidR="00E864C6" w:rsidRDefault="00E864C6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3026A3A" w14:textId="43107624" w:rsidR="00E864C6" w:rsidRPr="00ED19F0" w:rsidRDefault="00E864C6" w:rsidP="000E76A4">
    <w:pPr>
      <w:pStyle w:val="Header"/>
      <w:jc w:val="right"/>
      <w:rPr>
        <w:rFonts w:ascii="Times New Roman" w:hAnsi="Times New Roman" w:cs="Times New Roman"/>
        <w:b/>
        <w:bCs/>
        <w:sz w:val="20"/>
        <w:szCs w:val="20"/>
      </w:rPr>
    </w:pPr>
    <w:r w:rsidRPr="00ED19F0">
      <w:rPr>
        <w:rFonts w:ascii="Times New Roman" w:hAnsi="Times New Roman" w:cs="Times New Roman"/>
        <w:b/>
        <w:bCs/>
        <w:sz w:val="20"/>
        <w:szCs w:val="20"/>
      </w:rPr>
      <w:t>Tom Norton 28001101 Literature Review</w:t>
    </w:r>
  </w:p>
  <w:p w14:paraId="21538338" w14:textId="77777777" w:rsidR="00E864C6" w:rsidRDefault="00E864C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E4A99B4" w14:textId="77777777" w:rsidR="00E864C6" w:rsidRDefault="00E864C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6FA2A3E"/>
    <w:multiLevelType w:val="hybridMultilevel"/>
    <w:tmpl w:val="7F2AF9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8A7376D"/>
    <w:multiLevelType w:val="hybridMultilevel"/>
    <w:tmpl w:val="81EE167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36FC"/>
    <w:rsid w:val="000525D1"/>
    <w:rsid w:val="000A31EA"/>
    <w:rsid w:val="000D2AD6"/>
    <w:rsid w:val="000E3D74"/>
    <w:rsid w:val="000E76A4"/>
    <w:rsid w:val="000F3E60"/>
    <w:rsid w:val="0012381B"/>
    <w:rsid w:val="0013011C"/>
    <w:rsid w:val="00147B71"/>
    <w:rsid w:val="00177488"/>
    <w:rsid w:val="00190BAA"/>
    <w:rsid w:val="001B43A4"/>
    <w:rsid w:val="001C4CAD"/>
    <w:rsid w:val="001D1C4B"/>
    <w:rsid w:val="001D3F69"/>
    <w:rsid w:val="00207767"/>
    <w:rsid w:val="00240784"/>
    <w:rsid w:val="00255B27"/>
    <w:rsid w:val="0029230D"/>
    <w:rsid w:val="002A2C95"/>
    <w:rsid w:val="002B2A5F"/>
    <w:rsid w:val="002D62C4"/>
    <w:rsid w:val="00302807"/>
    <w:rsid w:val="00314425"/>
    <w:rsid w:val="003702B5"/>
    <w:rsid w:val="00373115"/>
    <w:rsid w:val="003829AE"/>
    <w:rsid w:val="0039121D"/>
    <w:rsid w:val="003915EE"/>
    <w:rsid w:val="003973C4"/>
    <w:rsid w:val="003C41D9"/>
    <w:rsid w:val="003E5D8D"/>
    <w:rsid w:val="004365B0"/>
    <w:rsid w:val="004409D2"/>
    <w:rsid w:val="00461089"/>
    <w:rsid w:val="00467AEB"/>
    <w:rsid w:val="004B4C16"/>
    <w:rsid w:val="004B5894"/>
    <w:rsid w:val="004F1121"/>
    <w:rsid w:val="00513C60"/>
    <w:rsid w:val="0054621C"/>
    <w:rsid w:val="00553EBA"/>
    <w:rsid w:val="005D6293"/>
    <w:rsid w:val="005E1835"/>
    <w:rsid w:val="00602974"/>
    <w:rsid w:val="00650EF9"/>
    <w:rsid w:val="006678B7"/>
    <w:rsid w:val="00672DB5"/>
    <w:rsid w:val="00676294"/>
    <w:rsid w:val="006A6858"/>
    <w:rsid w:val="006B50AE"/>
    <w:rsid w:val="006D240F"/>
    <w:rsid w:val="006D30F6"/>
    <w:rsid w:val="006E59D1"/>
    <w:rsid w:val="006E78F1"/>
    <w:rsid w:val="00751A64"/>
    <w:rsid w:val="00770BF8"/>
    <w:rsid w:val="007B55CF"/>
    <w:rsid w:val="007C3BF4"/>
    <w:rsid w:val="007D307D"/>
    <w:rsid w:val="008257BD"/>
    <w:rsid w:val="00830C5A"/>
    <w:rsid w:val="0083463F"/>
    <w:rsid w:val="0086652A"/>
    <w:rsid w:val="00875928"/>
    <w:rsid w:val="008A7D91"/>
    <w:rsid w:val="008B56C0"/>
    <w:rsid w:val="008C00BD"/>
    <w:rsid w:val="008D1330"/>
    <w:rsid w:val="008D5D98"/>
    <w:rsid w:val="008F138E"/>
    <w:rsid w:val="00915533"/>
    <w:rsid w:val="00923F00"/>
    <w:rsid w:val="00954B3C"/>
    <w:rsid w:val="00955925"/>
    <w:rsid w:val="0098436B"/>
    <w:rsid w:val="009849AD"/>
    <w:rsid w:val="00993F8C"/>
    <w:rsid w:val="009A55EA"/>
    <w:rsid w:val="009C2583"/>
    <w:rsid w:val="009C3EA3"/>
    <w:rsid w:val="009E6E6F"/>
    <w:rsid w:val="009F6F69"/>
    <w:rsid w:val="00A0416F"/>
    <w:rsid w:val="00A2248D"/>
    <w:rsid w:val="00A570BD"/>
    <w:rsid w:val="00A617A3"/>
    <w:rsid w:val="00A77B24"/>
    <w:rsid w:val="00A80C47"/>
    <w:rsid w:val="00AB7724"/>
    <w:rsid w:val="00AC58E5"/>
    <w:rsid w:val="00AD729B"/>
    <w:rsid w:val="00AE24A2"/>
    <w:rsid w:val="00B20CA1"/>
    <w:rsid w:val="00B22ABE"/>
    <w:rsid w:val="00B37DBC"/>
    <w:rsid w:val="00B500D6"/>
    <w:rsid w:val="00B6715E"/>
    <w:rsid w:val="00B80595"/>
    <w:rsid w:val="00BF3CD8"/>
    <w:rsid w:val="00C060CF"/>
    <w:rsid w:val="00C21309"/>
    <w:rsid w:val="00C22113"/>
    <w:rsid w:val="00C270B7"/>
    <w:rsid w:val="00C35F7E"/>
    <w:rsid w:val="00C52465"/>
    <w:rsid w:val="00C6011D"/>
    <w:rsid w:val="00C645BD"/>
    <w:rsid w:val="00C76F1A"/>
    <w:rsid w:val="00C95D0F"/>
    <w:rsid w:val="00CB6FCB"/>
    <w:rsid w:val="00CC742D"/>
    <w:rsid w:val="00CD36FC"/>
    <w:rsid w:val="00CD74C1"/>
    <w:rsid w:val="00D32A57"/>
    <w:rsid w:val="00D45360"/>
    <w:rsid w:val="00D5037C"/>
    <w:rsid w:val="00D522D7"/>
    <w:rsid w:val="00D54C9E"/>
    <w:rsid w:val="00D56ADD"/>
    <w:rsid w:val="00D57172"/>
    <w:rsid w:val="00D61B96"/>
    <w:rsid w:val="00D8710B"/>
    <w:rsid w:val="00D879CE"/>
    <w:rsid w:val="00DE4C38"/>
    <w:rsid w:val="00E63307"/>
    <w:rsid w:val="00E84820"/>
    <w:rsid w:val="00E864C6"/>
    <w:rsid w:val="00E876E7"/>
    <w:rsid w:val="00E87EB2"/>
    <w:rsid w:val="00E91D78"/>
    <w:rsid w:val="00EA3399"/>
    <w:rsid w:val="00EC7DCC"/>
    <w:rsid w:val="00ED19F0"/>
    <w:rsid w:val="00F07D0F"/>
    <w:rsid w:val="00F56304"/>
    <w:rsid w:val="00F6666A"/>
    <w:rsid w:val="00F8011A"/>
    <w:rsid w:val="00F80376"/>
    <w:rsid w:val="00F82668"/>
    <w:rsid w:val="00F83992"/>
    <w:rsid w:val="00FB1FFE"/>
    <w:rsid w:val="00FB250A"/>
    <w:rsid w:val="00FB572C"/>
    <w:rsid w:val="00FC14EB"/>
    <w:rsid w:val="00FD3356"/>
    <w:rsid w:val="00FF2322"/>
    <w:rsid w:val="00FF35E7"/>
    <w:rsid w:val="00FF5F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D694CBC"/>
  <w15:chartTrackingRefBased/>
  <w15:docId w15:val="{225CBE94-EA8F-49F8-8942-16BD9EDAA2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D19F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E76A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E76A4"/>
  </w:style>
  <w:style w:type="paragraph" w:styleId="Footer">
    <w:name w:val="footer"/>
    <w:basedOn w:val="Normal"/>
    <w:link w:val="FooterChar"/>
    <w:uiPriority w:val="99"/>
    <w:unhideWhenUsed/>
    <w:rsid w:val="000E76A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E76A4"/>
  </w:style>
  <w:style w:type="paragraph" w:styleId="FootnoteText">
    <w:name w:val="footnote text"/>
    <w:basedOn w:val="Normal"/>
    <w:link w:val="FootnoteTextChar"/>
    <w:uiPriority w:val="99"/>
    <w:semiHidden/>
    <w:unhideWhenUsed/>
    <w:rsid w:val="00C645BD"/>
    <w:pPr>
      <w:spacing w:after="0" w:line="240" w:lineRule="auto"/>
    </w:pPr>
    <w:rPr>
      <w:rFonts w:ascii="Times New Roman" w:eastAsia="Times New Roman" w:hAnsi="Times New Roman" w:cs="Mangal"/>
      <w:color w:val="00000A"/>
      <w:sz w:val="20"/>
      <w:szCs w:val="18"/>
      <w:lang w:eastAsia="ar-SA" w:bidi="hi-IN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645BD"/>
    <w:rPr>
      <w:rFonts w:ascii="Times New Roman" w:eastAsia="Times New Roman" w:hAnsi="Times New Roman" w:cs="Mangal"/>
      <w:color w:val="00000A"/>
      <w:sz w:val="20"/>
      <w:szCs w:val="18"/>
      <w:lang w:eastAsia="ar-SA" w:bidi="hi-IN"/>
    </w:rPr>
  </w:style>
  <w:style w:type="character" w:styleId="FootnoteReference">
    <w:name w:val="footnote reference"/>
    <w:basedOn w:val="DefaultParagraphFont"/>
    <w:uiPriority w:val="99"/>
    <w:semiHidden/>
    <w:unhideWhenUsed/>
    <w:rsid w:val="00C645BD"/>
    <w:rPr>
      <w:vertAlign w:val="superscript"/>
    </w:rPr>
  </w:style>
  <w:style w:type="character" w:customStyle="1" w:styleId="a-size-large">
    <w:name w:val="a-size-large"/>
    <w:basedOn w:val="DefaultParagraphFont"/>
    <w:rsid w:val="00AB7724"/>
  </w:style>
  <w:style w:type="character" w:customStyle="1" w:styleId="a-list-item">
    <w:name w:val="a-list-item"/>
    <w:basedOn w:val="DefaultParagraphFont"/>
    <w:rsid w:val="00AB7724"/>
  </w:style>
  <w:style w:type="character" w:customStyle="1" w:styleId="a-size-medium">
    <w:name w:val="a-size-medium"/>
    <w:basedOn w:val="DefaultParagraphFont"/>
    <w:rsid w:val="00AB7724"/>
  </w:style>
  <w:style w:type="character" w:styleId="Hyperlink">
    <w:name w:val="Hyperlink"/>
    <w:basedOn w:val="DefaultParagraphFont"/>
    <w:uiPriority w:val="99"/>
    <w:semiHidden/>
    <w:unhideWhenUsed/>
    <w:rsid w:val="00AB7724"/>
    <w:rPr>
      <w:color w:val="0000FF"/>
      <w:u w:val="single"/>
    </w:rPr>
  </w:style>
  <w:style w:type="character" w:styleId="HTMLCite">
    <w:name w:val="HTML Cite"/>
    <w:basedOn w:val="DefaultParagraphFont"/>
    <w:uiPriority w:val="99"/>
    <w:semiHidden/>
    <w:unhideWhenUsed/>
    <w:rsid w:val="00AB7724"/>
    <w:rPr>
      <w:i/>
      <w:iCs/>
    </w:rPr>
  </w:style>
  <w:style w:type="character" w:customStyle="1" w:styleId="z3988">
    <w:name w:val="z3988"/>
    <w:basedOn w:val="DefaultParagraphFont"/>
    <w:rsid w:val="00AB7724"/>
  </w:style>
  <w:style w:type="paragraph" w:styleId="ListParagraph">
    <w:name w:val="List Paragraph"/>
    <w:basedOn w:val="Normal"/>
    <w:uiPriority w:val="34"/>
    <w:qFormat/>
    <w:rsid w:val="00F80376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ED19F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074691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4794</TotalTime>
  <Pages>5</Pages>
  <Words>1371</Words>
  <Characters>7817</Characters>
  <Application>Microsoft Office Word</Application>
  <DocSecurity>0</DocSecurity>
  <Lines>65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9170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Norton</dc:creator>
  <cp:keywords/>
  <dc:description/>
  <cp:lastModifiedBy>Tom Norton</cp:lastModifiedBy>
  <cp:revision>45</cp:revision>
  <dcterms:created xsi:type="dcterms:W3CDTF">2018-02-03T19:41:00Z</dcterms:created>
  <dcterms:modified xsi:type="dcterms:W3CDTF">2019-11-06T21:49:00Z</dcterms:modified>
</cp:coreProperties>
</file>