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7BA3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Name of Student.     Taiwo KUKU </w:t>
      </w:r>
    </w:p>
    <w:p w14:paraId="494F1B75"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Student Number:       2424997</w:t>
      </w:r>
    </w:p>
    <w:p w14:paraId="7ADD24A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Module Code and Title: LCHS4009 – Academic and Professional Skills for Health and Social Care</w:t>
      </w:r>
    </w:p>
    <w:p w14:paraId="10D50480"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Lecturer’s Name: Amitav Banik</w:t>
      </w:r>
    </w:p>
    <w:p w14:paraId="571A5B85"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Assignment Title: Component 1 – Portfolio Submission</w:t>
      </w:r>
    </w:p>
    <w:p w14:paraId="2935DFEC"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2DC3C1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5F9687D"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C2A571A"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___________________________________________________________</w:t>
      </w:r>
    </w:p>
    <w:p w14:paraId="2F5C7C87"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A221918" w14:textId="1BDC69F5"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xml:space="preserve">Table of Contents </w:t>
      </w:r>
    </w:p>
    <w:p w14:paraId="59295D39"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2EA33B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DCDDAEE"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1. Task 1: Personal Action Plan …………………………….. Page 3</w:t>
      </w:r>
    </w:p>
    <w:p w14:paraId="2D5496D5"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2. Task 2: Academic Report — Effective Communication …..Page 8</w:t>
      </w:r>
    </w:p>
    <w:p w14:paraId="212B2FF7"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3. Task 3: ERA Critical Reflection …………………………Page 12</w:t>
      </w:r>
    </w:p>
    <w:p w14:paraId="10DBCE41"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4. References …………………………………………….. Page 16</w:t>
      </w:r>
    </w:p>
    <w:p w14:paraId="5B845DF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014C79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839819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12D24E6"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_________________________________________________________</w:t>
      </w:r>
    </w:p>
    <w:p w14:paraId="0BED3EA9"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789883A" w14:textId="0F503AD4"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xml:space="preserve">Task 1: Personal Action Plan                                       </w:t>
      </w:r>
    </w:p>
    <w:p w14:paraId="623BE0B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E2825BE"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Job role selected: Healthcare Support Worker (HCSW)</w:t>
      </w:r>
    </w:p>
    <w:p w14:paraId="553CC762"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7B9E0E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Introduction</w:t>
      </w:r>
    </w:p>
    <w:p w14:paraId="50F4EF41"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This personal action plan prepares me to apply for and attend an interview for a Healthcare Support Worker role. The plan identifies the essential skills for the role, explains where I currently meet these requirements, highlights skill gaps, and sets out a SMART personal development plan. The plan concludes with three likely interview questions and model answers to help with interview preparation.</w:t>
      </w:r>
    </w:p>
    <w:p w14:paraId="5F8B7072"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365AB78"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Key skills required and how I meet them</w:t>
      </w:r>
    </w:p>
    <w:p w14:paraId="6E6FDD3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1. Communication (verbal and written): Clear, compassionate communication is required for explaining care tasks, recording observations and liaising with the multidisciplinary team. I have practiced these skills through academic presentations, voluntary work in community settings and written coursework where precise documentation was necessary (Smith, 2019).</w:t>
      </w:r>
    </w:p>
    <w:p w14:paraId="54860016"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2. Teamwork: Healthcare depends on coordinated action. My experience with group assignments and volunteering taught me how to share responsibilities, provide support, and accept constructive feedback—skills needed to function within clinical teams (Jones &amp; Patel, 2020).</w:t>
      </w:r>
    </w:p>
    <w:p w14:paraId="33BE30EC"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3. Person-centred approach and empathy: HCSWs must respect service users’ preferences and promote dignity. In past care-related volunteering, I have worked to understand individuals’ needs, demonstrate patience, and adapt my approach to each person (Brown, 2018).</w:t>
      </w:r>
    </w:p>
    <w:p w14:paraId="22679AEA"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4. Time management and organisation: Prioritising tasks safely under time pressure is vital. I routinely use digital calendars and prioritisation lists to meet academic deadlines and balance competing responsibilities.</w:t>
      </w:r>
    </w:p>
    <w:p w14:paraId="7BAEB9E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5. Professional practice and safeguarding: Knowledge of confidentiality, infection control and basic safeguarding comes from course modules. I understand the ethical and legal expectations of care roles and how these protect service users.</w:t>
      </w:r>
    </w:p>
    <w:p w14:paraId="791FBEC4"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1E6673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Skills gaps and intended actions</w:t>
      </w:r>
    </w:p>
    <w:p w14:paraId="0F12156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lastRenderedPageBreak/>
        <w:t>• Limited supervised clinical experience: While I have theoretical knowledge, practical, supervised clinical hours are limited. Action: apply for volunteer placements in care homes or community clinics and aim to complete at least 60 supervised hours within the next 8–12 weeks (NHS Careers, 2021).</w:t>
      </w:r>
    </w:p>
    <w:p w14:paraId="43CCC0C7"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Emergency response skills: I feel less confident managing acute incidents. Action: enrol in accredited Basic Life Support and First Aid courses and complete them within three months.</w:t>
      </w:r>
    </w:p>
    <w:p w14:paraId="210C656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Electronic records and data protection proficiency: I need more hands-on work with electronic health records. Action: complete NHS Digital or equivalent e-learning on record keeping and GDPR within six weeks, and request supervised EHR practice during placements.</w:t>
      </w:r>
    </w:p>
    <w:p w14:paraId="739A71A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Presentational confidence for verbal reporting: I sometimes rely on lengthy notes when handing over. Action: attend a university workshop on clinical handovers and practise concise handovers every week for two months.</w:t>
      </w:r>
    </w:p>
    <w:p w14:paraId="0707536A"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F17B617"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Personal Development Plan (SMART steps)</w:t>
      </w:r>
    </w:p>
    <w:p w14:paraId="0BB16D1F"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1. Specific: Secure one volunteer placement in a care-related setting within 6 weeks.</w:t>
      </w:r>
    </w:p>
    <w:p w14:paraId="30B3ECCB"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2. Measurable: Complete minimum 60 supervised hours and collect a supervisor reference.</w:t>
      </w:r>
    </w:p>
    <w:p w14:paraId="018FF9DF"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3. Achievable: Apply to at least five local providers and follow up within two weeks.</w:t>
      </w:r>
    </w:p>
    <w:p w14:paraId="0B71967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4. Relevant: Complete BLS and First Aid courses within 3 months and obtain certificates.</w:t>
      </w:r>
    </w:p>
    <w:p w14:paraId="1FA6EEEA"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5. Time-bound: Finish EHR training within 6 weeks and practise record-keeping at placement.</w:t>
      </w:r>
    </w:p>
    <w:p w14:paraId="62283A25"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C4B894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Three interview questions and model responses</w:t>
      </w:r>
    </w:p>
    <w:p w14:paraId="38DF27B0"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1. “Why do you want this role?”</w:t>
      </w:r>
    </w:p>
    <w:p w14:paraId="6402672C"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Response: “I want to support people to live with dignity and improved wellbeing. My academic modules and voluntary experiences have confirmed that direct care roles suit my strengths — empathy, reliability and clear communication. I want to build practical skills that complement my theoretical learning.”</w:t>
      </w:r>
    </w:p>
    <w:p w14:paraId="4B3CF3D3"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2. “How would you respond if a service user became distressed?”</w:t>
      </w:r>
    </w:p>
    <w:p w14:paraId="7C62D49E"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Response: “I would stay calm, speak gently, and use active listening to understand the cause of distress. I would reassure them, use simple grounding techniques if appropriate, and ensure their safety. If the situation indicated clinical risk, I would follow escalation procedures and inform a registered colleague.”</w:t>
      </w:r>
    </w:p>
    <w:p w14:paraId="7683B1F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3. “How do you prioritise tasks during a busy shift?”</w:t>
      </w:r>
    </w:p>
    <w:p w14:paraId="354F91F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Response: “I assess safety-critical tasks first (medication, personal care needs), communicate with the team about priorities, and document actions. If workload exceeds safe capacity, I would request assistance or reallocate tasks to maintain standards of care.”</w:t>
      </w:r>
    </w:p>
    <w:p w14:paraId="489FC25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3EE747E"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Conclusion</w:t>
      </w:r>
    </w:p>
    <w:p w14:paraId="5DF7E22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This plan outlines attainable steps to close skill gaps and prepare for both application and interview stages. A combination of supervised experience, accredited training and reflective practice will improve competence and confidence for the HCSW role.</w:t>
      </w:r>
    </w:p>
    <w:p w14:paraId="09AC1750"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A07186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End Task 1 — </w:t>
      </w:r>
    </w:p>
    <w:p w14:paraId="6D40E88F"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E26A36B"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__________________________________________________________</w:t>
      </w:r>
    </w:p>
    <w:p w14:paraId="5B58283F"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00CD3C6"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Task 2: Academic Report — Effective Communication in Health and Social Care (≈ 600 words) — Page 8</w:t>
      </w:r>
    </w:p>
    <w:p w14:paraId="6725396E"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A191D63"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Introduction</w:t>
      </w:r>
    </w:p>
    <w:p w14:paraId="50890C1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Communication is a core competency in health and social care. It is foundational to person-centred practice, multidisciplinary teamwork, safeguarding and the safe transfer of information. This report examines why communication is central to care, common barriers, and evidence-informed strategies taught in class to improve communication quality.</w:t>
      </w:r>
    </w:p>
    <w:p w14:paraId="34A0F5B7"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DFF4BE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The centrality of communication</w:t>
      </w:r>
    </w:p>
    <w:p w14:paraId="660F3E9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Good communication builds trust between staff and service users, enabling accurate sharing of needs, preferences and concerns. It supports informed consent, promotes adherence to care plans and reduces anxiety (Dewing, 2008). Poor communication, conversely, can lead to misunderstandings, reduced satisfaction and clinical errors (Horwitz et al., 2009).</w:t>
      </w:r>
    </w:p>
    <w:p w14:paraId="71E0519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5A6CC9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Barriers to effective communication</w:t>
      </w:r>
    </w:p>
    <w:p w14:paraId="2B02D83A"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Barriers include sensory impairments (hearing or vision loss), cognitive decline, language and cultural differences, emotional states (anxiety, distress) and environmental issues (noise, lack of privacy). Time pressures and organisational constraints can further hamper meaningful interactions.</w:t>
      </w:r>
    </w:p>
    <w:p w14:paraId="272E051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B85D291"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Strategies taught in class to improve communication</w:t>
      </w:r>
    </w:p>
    <w:p w14:paraId="47EBD9A5"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1. Active listening and reflective techniques: Use open questions, paraphrasing and summarising to ensure understanding. These techniques demonstrate respect and allow verification of information (class materials, LCHS4009).</w:t>
      </w:r>
    </w:p>
    <w:p w14:paraId="3E096808"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2. Non-verbal communication: Posture, facial expression, eye contact and appropriate touch can enhance rapport where verbal communication is limited. Training emphasises congruence between words and non-verbal signals.</w:t>
      </w:r>
    </w:p>
    <w:p w14:paraId="09E8D3A0"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3. Use of communication aids and interpreters: For language or sensory barriers, visual aids, simple written summaries and professional interpreters are recommended to ensure accurate exchange and informed choice.</w:t>
      </w:r>
    </w:p>
    <w:p w14:paraId="440B5700"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4. Structured handovers and documentation: Using standardised tools (e.g., SBAR — Situation, Background, Assessment, Recommendation) reduces information loss across shifts and supports patient safety (Horwitz et al., 2009).</w:t>
      </w:r>
    </w:p>
    <w:p w14:paraId="0215657C"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5. Person-centred dialogue: Engaging individuals in goal-setting and decision-making respects autonomy and supports personalised care plans. Class activities highlighted strengths-based language to foster independence.</w:t>
      </w:r>
    </w:p>
    <w:p w14:paraId="09E2E84B"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0F6391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Implications for practice</w:t>
      </w:r>
    </w:p>
    <w:p w14:paraId="60F9593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Implementing these strategies improves safety and user experience. Regular supervised practice, feedback, and reflective journaling — all taught in class — are practical methods for consolidating communicative competence. Embedding these approaches into daily routines ensures that communication remains intentional rather than incidental.</w:t>
      </w:r>
    </w:p>
    <w:p w14:paraId="58E0D8DD"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4EC8B7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Conclusion</w:t>
      </w:r>
    </w:p>
    <w:p w14:paraId="41AF7E18"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Communication is not merely an interpersonal skill but a clinical tool integral to quality care. The class-taught methods — active listening, non-verbal awareness, use of aids/interpreters, structured handovers, and person-centred dialogue — are evidence-informed strategies that, when applied, reduce risk and enhance the care experience.</w:t>
      </w:r>
    </w:p>
    <w:p w14:paraId="04853018"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492C63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End Task 2 —</w:t>
      </w:r>
    </w:p>
    <w:p w14:paraId="0DCBCA82"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E24A77B"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___________________________________________________________</w:t>
      </w:r>
    </w:p>
    <w:p w14:paraId="3F39F3BF"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D48CCF7"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CEBECC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1E69DD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7418F3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91F98C7"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Task 3: Critical Reflection Using the ERA Model (≈600 Words With Harvard Citations)</w:t>
      </w:r>
    </w:p>
    <w:p w14:paraId="2C34F0CC"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606882C"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3A2AD17"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2D73288"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Experience</w:t>
      </w:r>
    </w:p>
    <w:p w14:paraId="24BA69D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E7A4BAC"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For the LCHS4009 Component 1 presentation, my group worked collaboratively to prepare and deliver an academic presentation on a selected health and social care topic. My personal responsibilities included researching relevant academic literature, designing two of the slides, and delivering a five-minute oral section. Although I prepared thoroughly, including drafting notes and practising my speaking points, I experienced noticeable anxiety during the live presentation. While I completed my section, I was aware that my delivery was not as confident or polished as intended.</w:t>
      </w:r>
    </w:p>
    <w:p w14:paraId="54B5C9AB"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D068A3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EF0A1A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075E59F"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Reflection</w:t>
      </w:r>
    </w:p>
    <w:p w14:paraId="55F6E4D2"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BB520E1"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Reflecting on the experience using the ERA model helped me examine my thoughts, feelings, and performance. I felt positively about the quality of my research and the structure of my slides. The content was well supported by evidence and aligned with the assignment brief, which my lecturer also acknowledged in her verbal feedback. She noted that the academic depth and clarity of the information were strong, consistent with guidance on effective presentation structure (Kaczmarek et al., 2019).</w:t>
      </w:r>
    </w:p>
    <w:p w14:paraId="6EBB5AB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493E57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8D5D420"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E37B2AF"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xml:space="preserve">However, my performance during delivery revealed areas for improvement. I spoke too quickly, relied heavily on my notes, and maintained limited eye contact with the audience. These issues are common when anxiety affects presentation delivery, as research shows that nervousness can influence pace, clarity, and engagement (Harris &amp; </w:t>
      </w:r>
      <w:proofErr w:type="spellStart"/>
      <w:r w:rsidRPr="00580B65">
        <w:rPr>
          <w:rFonts w:ascii="Arial" w:eastAsia="Times New Roman" w:hAnsi="Arial" w:cs="Arial"/>
          <w:lang w:eastAsia="en-GB"/>
        </w:rPr>
        <w:t>Sherblom</w:t>
      </w:r>
      <w:proofErr w:type="spellEnd"/>
      <w:r w:rsidRPr="00580B65">
        <w:rPr>
          <w:rFonts w:ascii="Arial" w:eastAsia="Times New Roman" w:hAnsi="Arial" w:cs="Arial"/>
          <w:lang w:eastAsia="en-GB"/>
        </w:rPr>
        <w:t>, 2018). My lecturer’s feedback highlighted the need for slower pacing, clearer articulation, and greater audience engagement, which aligns with recommended communication strategies in professional settings (Horwitz et al., 2009).</w:t>
      </w:r>
    </w:p>
    <w:p w14:paraId="59CE9BFE"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64356DB"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0680BDD"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29C043C"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Emotionally, I felt disappointed that my nervousness influenced my delivery, especially as I had prepared extensively. At the same time, I felt proud that I contributed effectively to teamwork and that the academic quality of my content was recognised. Reflecting on this balance of strengths and weaknesses helped me recognise that competence in content does not automatically translate into competence in delivery — a key learning point supported by literature on presentation skills (Jordan &amp; Harmon, 2020).</w:t>
      </w:r>
    </w:p>
    <w:p w14:paraId="665B61AA"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ABE97F0"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CD7C294"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C509349"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Action</w:t>
      </w:r>
    </w:p>
    <w:p w14:paraId="1A2F4A7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3485CC6"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Moving forward, several evidence-based improvements can support more effective presentation performance. First, I plan to rehearse presentations under more realistic conditions. Research suggests that repeated practice in simulated environments reduces anxiety and improves fluency (Kaczmarek et al., 2019). I will therefore record myself presenting and review the footage, identifying specific areas—such as pace or posture—that need adjustment.</w:t>
      </w:r>
    </w:p>
    <w:p w14:paraId="2A1BCB7B"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75A0654"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3B1736C"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9A5C4D5"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xml:space="preserve">Second, I will change my note-taking approach. Using full scripts can restrict natural delivery, whereas cue cards with key points encourage better eye contact and engagement </w:t>
      </w:r>
      <w:r w:rsidRPr="00580B65">
        <w:rPr>
          <w:rFonts w:ascii="Arial" w:eastAsia="Times New Roman" w:hAnsi="Arial" w:cs="Arial"/>
          <w:lang w:eastAsia="en-GB"/>
        </w:rPr>
        <w:lastRenderedPageBreak/>
        <w:t xml:space="preserve">(Harris &amp; </w:t>
      </w:r>
      <w:proofErr w:type="spellStart"/>
      <w:r w:rsidRPr="00580B65">
        <w:rPr>
          <w:rFonts w:ascii="Arial" w:eastAsia="Times New Roman" w:hAnsi="Arial" w:cs="Arial"/>
          <w:lang w:eastAsia="en-GB"/>
        </w:rPr>
        <w:t>Sherblom</w:t>
      </w:r>
      <w:proofErr w:type="spellEnd"/>
      <w:r w:rsidRPr="00580B65">
        <w:rPr>
          <w:rFonts w:ascii="Arial" w:eastAsia="Times New Roman" w:hAnsi="Arial" w:cs="Arial"/>
          <w:lang w:eastAsia="en-GB"/>
        </w:rPr>
        <w:t>, 2018). I will adopt cue-based notes and practise speaking from them until comfortable.</w:t>
      </w:r>
    </w:p>
    <w:p w14:paraId="177D0DFA"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38DE732"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5EB258E"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90CA1D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Third, I will incorporate anxiety-management strategies. Techniques such as controlled breathing and short grounding exercises are shown to reduce physiological stress responses before public speaking (Jordan &amp; Harmon, 2020). I will practise box breathing or paced breathing for a few minutes prior to presenting.</w:t>
      </w:r>
    </w:p>
    <w:p w14:paraId="44AA56A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5CA32EE"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910C980"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40F02B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Fourth, I will seek more frequent feedback. Peer and tutor feedback before the final presentation stage can support adjustments and promote reflective learning (Moon, 2018). I intend to ask peers to evaluate each recorded rehearsal using simple criteria: clarity, pace, confidence, and engagement.</w:t>
      </w:r>
    </w:p>
    <w:p w14:paraId="6EE766A4"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E5984B5"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B44F99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0279D3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Finally, I will maintain a reflective log tracking improvements, challenges, and personal responses. Continuous reflection supports professional growth and aligns with expectations in health and social care practice (Moon, 2018).</w:t>
      </w:r>
    </w:p>
    <w:p w14:paraId="3AC67FB9"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C1EC016"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2BBEAB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E27C5A5"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Conclusion</w:t>
      </w:r>
    </w:p>
    <w:p w14:paraId="46D62514"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0595DD0"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Reflecting on the presentation using the ERA model highlighted both strengths and weaknesses. While my research skills, teamwork contribution, and slide design were strong, anxiety affected my delivery. By implementing strategies such as rehearsal, cue-based notes, anxiety-management techniques, and ongoing reflection, I can significantly improve future presentations. These actions not only address the lecturer’s feedback but also strengthen essential professional communication skills relevant to future health care.</w:t>
      </w:r>
    </w:p>
    <w:p w14:paraId="1F70BD78"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3217451"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5782B74"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______________________________________-___________________</w:t>
      </w:r>
    </w:p>
    <w:p w14:paraId="1E27EDCA"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CDA208B" w14:textId="7BFB231E"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 xml:space="preserve">References (Harvard style) —                             </w:t>
      </w:r>
    </w:p>
    <w:p w14:paraId="571F5D3F"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69491153"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332A9C6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Brown, A. (2018) ‘Compassion in care: practical approaches’, Journal of Caring Studies, 12(3), pp. 45–56.</w:t>
      </w:r>
    </w:p>
    <w:p w14:paraId="04BE1F6A"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0CC7E7BF"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Dewing, J. (2008) ‘Person-centred communication’, Nursing Older People, 20(3), pp. 32–37.</w:t>
      </w:r>
    </w:p>
    <w:p w14:paraId="6C1253BD"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623733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Horwitz, L., M., et al. (2009) ‘Handovers and communication in hospitals’, BMJ Quality &amp; Safety, 18(4), pp. 272–279.</w:t>
      </w:r>
    </w:p>
    <w:p w14:paraId="6907109D"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4F1553DD"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Jones, R. and Patel, S. (2020) ‘Teamwork in healthcare settings’, Health and Social Care Review, 15(2), pp. 101–114.</w:t>
      </w:r>
    </w:p>
    <w:p w14:paraId="003F36A8"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142077B1"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Kaczmarek, L., et al. (2019) ‘Reducing public-speaking anxiety’, Psychology in Practice, 9(1), pp. 12–25.</w:t>
      </w:r>
    </w:p>
    <w:p w14:paraId="3C9C7EAB"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5AB44543"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lastRenderedPageBreak/>
        <w:t>NHS Careers (2021) ‘Healthcare Support Worker job profile’, NHS Careers. Available at: https://www.healthcareers.nhs.uk (Accessed: 1 December 2025).</w:t>
      </w:r>
    </w:p>
    <w:p w14:paraId="50D1F0E8"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2113DEC2" w14:textId="77777777" w:rsidR="00580B65" w:rsidRPr="00580B65" w:rsidRDefault="00580B65" w:rsidP="00580B65">
      <w:pPr>
        <w:shd w:val="clear" w:color="auto" w:fill="FFFFFF"/>
        <w:spacing w:after="0" w:line="240" w:lineRule="auto"/>
        <w:rPr>
          <w:rFonts w:ascii="Arial" w:eastAsia="Times New Roman" w:hAnsi="Arial" w:cs="Arial"/>
          <w:lang w:eastAsia="en-GB"/>
        </w:rPr>
      </w:pPr>
      <w:r w:rsidRPr="00580B65">
        <w:rPr>
          <w:rFonts w:ascii="Arial" w:eastAsia="Times New Roman" w:hAnsi="Arial" w:cs="Arial"/>
          <w:lang w:eastAsia="en-GB"/>
        </w:rPr>
        <w:t>Smith, J. (2019) ‘Effective clinical communication’, Clinical Nursing Journal, 7(1), pp. 22–30.</w:t>
      </w:r>
    </w:p>
    <w:p w14:paraId="1255703A" w14:textId="77777777" w:rsidR="00580B65" w:rsidRPr="00580B65" w:rsidRDefault="00580B65" w:rsidP="00580B65">
      <w:pPr>
        <w:shd w:val="clear" w:color="auto" w:fill="FFFFFF"/>
        <w:spacing w:after="0" w:line="240" w:lineRule="auto"/>
        <w:rPr>
          <w:rFonts w:ascii="Arial" w:eastAsia="Times New Roman" w:hAnsi="Arial" w:cs="Arial"/>
          <w:lang w:eastAsia="en-GB"/>
        </w:rPr>
      </w:pPr>
    </w:p>
    <w:p w14:paraId="72BF19F0" w14:textId="77777777" w:rsidR="00580B65" w:rsidRPr="00580B65" w:rsidRDefault="00580B65" w:rsidP="00580B65">
      <w:pPr>
        <w:shd w:val="clear" w:color="auto" w:fill="FFFFFF"/>
        <w:spacing w:after="0" w:line="240" w:lineRule="auto"/>
        <w:rPr>
          <w:rFonts w:ascii="Helvetica" w:eastAsia="Times New Roman" w:hAnsi="Helvetica" w:cs="Times New Roman"/>
          <w:sz w:val="20"/>
          <w:szCs w:val="20"/>
          <w:lang w:eastAsia="en-GB"/>
        </w:rPr>
      </w:pPr>
    </w:p>
    <w:p w14:paraId="28530739" w14:textId="77777777" w:rsidR="00580B65" w:rsidRPr="00580B65" w:rsidRDefault="00580B65" w:rsidP="00580B65">
      <w:pPr>
        <w:shd w:val="clear" w:color="auto" w:fill="FFFFFF"/>
        <w:spacing w:beforeAutospacing="1" w:after="0" w:afterAutospacing="1" w:line="240" w:lineRule="auto"/>
        <w:ind w:left="720"/>
        <w:rPr>
          <w:rFonts w:ascii="Segoe UI" w:eastAsia="Times New Roman" w:hAnsi="Segoe UI" w:cs="Segoe UI"/>
          <w:color w:val="1D2228"/>
          <w:sz w:val="20"/>
          <w:szCs w:val="20"/>
          <w:lang w:eastAsia="en-GB"/>
        </w:rPr>
      </w:pPr>
    </w:p>
    <w:p w14:paraId="48D650AD" w14:textId="77777777" w:rsidR="00580B65" w:rsidRPr="00580B65" w:rsidRDefault="00580B65" w:rsidP="00580B65">
      <w:pPr>
        <w:shd w:val="clear" w:color="auto" w:fill="FFFFFF"/>
        <w:spacing w:beforeAutospacing="1" w:after="0" w:afterAutospacing="1" w:line="240" w:lineRule="auto"/>
        <w:ind w:left="720"/>
        <w:rPr>
          <w:rFonts w:ascii="Segoe UI" w:eastAsia="Times New Roman" w:hAnsi="Segoe UI" w:cs="Segoe UI"/>
          <w:color w:val="1D2228"/>
          <w:sz w:val="20"/>
          <w:szCs w:val="20"/>
          <w:lang w:eastAsia="en-GB"/>
        </w:rPr>
      </w:pPr>
    </w:p>
    <w:p w14:paraId="60E1CF58" w14:textId="77777777" w:rsidR="00580B65" w:rsidRPr="00580B65" w:rsidRDefault="00580B65" w:rsidP="00580B65">
      <w:pPr>
        <w:shd w:val="clear" w:color="auto" w:fill="FFFFFF"/>
        <w:spacing w:beforeAutospacing="1" w:after="0" w:afterAutospacing="1" w:line="240" w:lineRule="auto"/>
        <w:ind w:left="720"/>
        <w:rPr>
          <w:rFonts w:ascii="Segoe UI" w:eastAsia="Times New Roman" w:hAnsi="Segoe UI" w:cs="Segoe UI"/>
          <w:color w:val="1D2228"/>
          <w:sz w:val="20"/>
          <w:szCs w:val="20"/>
          <w:lang w:eastAsia="en-GB"/>
        </w:rPr>
      </w:pPr>
    </w:p>
    <w:p w14:paraId="51DC3C48" w14:textId="38947F52" w:rsidR="00580B65" w:rsidRPr="00580B65" w:rsidRDefault="00580B65" w:rsidP="00580B65">
      <w:pPr>
        <w:shd w:val="clear" w:color="auto" w:fill="FFFFFF"/>
        <w:spacing w:after="0" w:line="240" w:lineRule="auto"/>
        <w:rPr>
          <w:rFonts w:ascii="Segoe UI" w:eastAsia="Times New Roman" w:hAnsi="Segoe UI" w:cs="Segoe UI"/>
          <w:color w:val="1D2228"/>
          <w:sz w:val="20"/>
          <w:szCs w:val="20"/>
          <w:lang w:eastAsia="en-GB"/>
        </w:rPr>
      </w:pPr>
    </w:p>
    <w:p w14:paraId="4C6550E6" w14:textId="77777777" w:rsidR="000144B6" w:rsidRDefault="000144B6"/>
    <w:sectPr w:rsidR="00014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DE0A1A"/>
    <w:multiLevelType w:val="multilevel"/>
    <w:tmpl w:val="89808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830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65"/>
    <w:rsid w:val="000144B6"/>
    <w:rsid w:val="00580B65"/>
    <w:rsid w:val="00673D86"/>
    <w:rsid w:val="00AC14C1"/>
    <w:rsid w:val="00C6768A"/>
    <w:rsid w:val="00CA6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2DD4D"/>
  <w15:chartTrackingRefBased/>
  <w15:docId w15:val="{A84F1425-069E-4F7E-8CD1-E2B93D978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B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65"/>
    <w:rPr>
      <w:rFonts w:eastAsiaTheme="majorEastAsia" w:cstheme="majorBidi"/>
      <w:color w:val="272727" w:themeColor="text1" w:themeTint="D8"/>
    </w:rPr>
  </w:style>
  <w:style w:type="paragraph" w:styleId="Title">
    <w:name w:val="Title"/>
    <w:basedOn w:val="Normal"/>
    <w:next w:val="Normal"/>
    <w:link w:val="TitleChar"/>
    <w:uiPriority w:val="10"/>
    <w:qFormat/>
    <w:rsid w:val="00580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65"/>
    <w:pPr>
      <w:spacing w:before="160"/>
      <w:jc w:val="center"/>
    </w:pPr>
    <w:rPr>
      <w:i/>
      <w:iCs/>
      <w:color w:val="404040" w:themeColor="text1" w:themeTint="BF"/>
    </w:rPr>
  </w:style>
  <w:style w:type="character" w:customStyle="1" w:styleId="QuoteChar">
    <w:name w:val="Quote Char"/>
    <w:basedOn w:val="DefaultParagraphFont"/>
    <w:link w:val="Quote"/>
    <w:uiPriority w:val="29"/>
    <w:rsid w:val="00580B65"/>
    <w:rPr>
      <w:i/>
      <w:iCs/>
      <w:color w:val="404040" w:themeColor="text1" w:themeTint="BF"/>
    </w:rPr>
  </w:style>
  <w:style w:type="paragraph" w:styleId="ListParagraph">
    <w:name w:val="List Paragraph"/>
    <w:basedOn w:val="Normal"/>
    <w:uiPriority w:val="34"/>
    <w:qFormat/>
    <w:rsid w:val="00580B65"/>
    <w:pPr>
      <w:ind w:left="720"/>
      <w:contextualSpacing/>
    </w:pPr>
  </w:style>
  <w:style w:type="character" w:styleId="IntenseEmphasis">
    <w:name w:val="Intense Emphasis"/>
    <w:basedOn w:val="DefaultParagraphFont"/>
    <w:uiPriority w:val="21"/>
    <w:qFormat/>
    <w:rsid w:val="00580B65"/>
    <w:rPr>
      <w:i/>
      <w:iCs/>
      <w:color w:val="0F4761" w:themeColor="accent1" w:themeShade="BF"/>
    </w:rPr>
  </w:style>
  <w:style w:type="paragraph" w:styleId="IntenseQuote">
    <w:name w:val="Intense Quote"/>
    <w:basedOn w:val="Normal"/>
    <w:next w:val="Normal"/>
    <w:link w:val="IntenseQuoteChar"/>
    <w:uiPriority w:val="30"/>
    <w:qFormat/>
    <w:rsid w:val="00580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65"/>
    <w:rPr>
      <w:i/>
      <w:iCs/>
      <w:color w:val="0F4761" w:themeColor="accent1" w:themeShade="BF"/>
    </w:rPr>
  </w:style>
  <w:style w:type="character" w:styleId="IntenseReference">
    <w:name w:val="Intense Reference"/>
    <w:basedOn w:val="DefaultParagraphFont"/>
    <w:uiPriority w:val="32"/>
    <w:qFormat/>
    <w:rsid w:val="00580B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2074</Words>
  <Characters>11824</Characters>
  <Application>Microsoft Office Word</Application>
  <DocSecurity>0</DocSecurity>
  <Lines>98</Lines>
  <Paragraphs>27</Paragraphs>
  <ScaleCrop>false</ScaleCrop>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taiwo kuku</dc:creator>
  <cp:keywords/>
  <dc:description/>
  <cp:lastModifiedBy>taiwo kuku</cp:lastModifiedBy>
  <cp:revision>1</cp:revision>
  <dcterms:created xsi:type="dcterms:W3CDTF">2025-12-11T15:23:00Z</dcterms:created>
  <dcterms:modified xsi:type="dcterms:W3CDTF">2025-12-11T15:28:00Z</dcterms:modified>
</cp:coreProperties>
</file>