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F148B" w:rsidRPr="00FF148B" w:rsidRDefault="00FF148B" w:rsidP="00090654">
      <w:pPr>
        <w:spacing w:after="0" w:line="240" w:lineRule="auto"/>
        <w:rPr>
          <w:rFonts w:ascii="Times New Roman" w:eastAsia="Times New Roman" w:hAnsi="Times New Roman" w:cs="Times New Roman"/>
          <w:sz w:val="24"/>
          <w:szCs w:val="24"/>
          <w:lang w:eastAsia="en-GB"/>
        </w:rPr>
      </w:pPr>
      <w:r w:rsidRPr="00FF148B">
        <w:rPr>
          <w:rFonts w:ascii="Times New Roman" w:eastAsia="Times New Roman" w:hAnsi="Times New Roman" w:cs="Times New Roman"/>
          <w:b/>
          <w:bCs/>
          <w:color w:val="000000"/>
          <w:sz w:val="24"/>
          <w:szCs w:val="24"/>
          <w:lang w:eastAsia="en-GB"/>
        </w:rPr>
        <w:t>What is bad faith? - James Barrow [1702562]</w:t>
      </w:r>
    </w:p>
    <w:p w:rsidR="00FF148B" w:rsidRPr="00FF148B" w:rsidRDefault="00FF148B" w:rsidP="00090654">
      <w:pPr>
        <w:spacing w:after="0" w:line="240" w:lineRule="auto"/>
        <w:rPr>
          <w:rFonts w:ascii="Times New Roman" w:eastAsia="Times New Roman" w:hAnsi="Times New Roman" w:cs="Times New Roman"/>
          <w:sz w:val="24"/>
          <w:szCs w:val="24"/>
          <w:lang w:eastAsia="en-GB"/>
        </w:rPr>
      </w:pPr>
    </w:p>
    <w:p w:rsidR="00DB1972" w:rsidRDefault="00DB1972" w:rsidP="00090654">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Sartre’s view is the most prominent on the matter of bad faith, but there are more philosophers who look into the matter in a different depth, such as Simone de Beauvoir.</w:t>
      </w:r>
      <w:r>
        <w:rPr>
          <w:rFonts w:ascii="Times New Roman" w:eastAsia="Times New Roman" w:hAnsi="Times New Roman" w:cs="Times New Roman"/>
          <w:color w:val="000000"/>
          <w:sz w:val="24"/>
          <w:szCs w:val="24"/>
          <w:lang w:eastAsia="en-GB"/>
        </w:rPr>
        <w:t xml:space="preserve"> This essay will focus entirely on Sartre’s view for the sake of brevity</w:t>
      </w:r>
      <w:bookmarkStart w:id="0" w:name="_GoBack"/>
      <w:bookmarkEnd w:id="0"/>
      <w:r>
        <w:rPr>
          <w:rFonts w:ascii="Times New Roman" w:eastAsia="Times New Roman" w:hAnsi="Times New Roman" w:cs="Times New Roman"/>
          <w:color w:val="000000"/>
          <w:sz w:val="24"/>
          <w:szCs w:val="24"/>
          <w:lang w:eastAsia="en-GB"/>
        </w:rPr>
        <w:t>.</w:t>
      </w:r>
    </w:p>
    <w:p w:rsidR="00DB1972" w:rsidRDefault="00DB1972" w:rsidP="00090654">
      <w:pPr>
        <w:spacing w:after="0" w:line="240" w:lineRule="auto"/>
        <w:jc w:val="both"/>
        <w:rPr>
          <w:rFonts w:ascii="Times New Roman" w:eastAsia="Times New Roman" w:hAnsi="Times New Roman" w:cs="Times New Roman"/>
          <w:color w:val="000000"/>
          <w:sz w:val="24"/>
          <w:szCs w:val="24"/>
          <w:lang w:eastAsia="en-GB"/>
        </w:rPr>
      </w:pPr>
    </w:p>
    <w:p w:rsidR="00AD7E7B" w:rsidRDefault="00FF148B" w:rsidP="00090654">
      <w:pPr>
        <w:spacing w:after="0" w:line="240" w:lineRule="auto"/>
        <w:jc w:val="both"/>
        <w:rPr>
          <w:rFonts w:ascii="Times New Roman" w:eastAsia="Times New Roman" w:hAnsi="Times New Roman" w:cs="Times New Roman"/>
          <w:color w:val="000000"/>
          <w:sz w:val="24"/>
          <w:szCs w:val="24"/>
          <w:lang w:eastAsia="en-GB"/>
        </w:rPr>
      </w:pPr>
      <w:r w:rsidRPr="00FF148B">
        <w:rPr>
          <w:rFonts w:ascii="Times New Roman" w:eastAsia="Times New Roman" w:hAnsi="Times New Roman" w:cs="Times New Roman"/>
          <w:color w:val="000000"/>
          <w:sz w:val="24"/>
          <w:szCs w:val="24"/>
          <w:lang w:eastAsia="en-GB"/>
        </w:rPr>
        <w:t xml:space="preserve">‘Bad faith’ as defined by Jean-Paul Sartre requires some background knowledge on some of Sartre’s other works in philosophy, specifically </w:t>
      </w:r>
      <w:r w:rsidR="008931AF">
        <w:rPr>
          <w:rFonts w:ascii="Times New Roman" w:eastAsia="Times New Roman" w:hAnsi="Times New Roman" w:cs="Times New Roman"/>
          <w:color w:val="000000"/>
          <w:sz w:val="24"/>
          <w:szCs w:val="24"/>
          <w:lang w:eastAsia="en-GB"/>
        </w:rPr>
        <w:t xml:space="preserve">regarding </w:t>
      </w:r>
      <w:r w:rsidRPr="00FF148B">
        <w:rPr>
          <w:rFonts w:ascii="Times New Roman" w:eastAsia="Times New Roman" w:hAnsi="Times New Roman" w:cs="Times New Roman"/>
          <w:color w:val="000000"/>
          <w:sz w:val="24"/>
          <w:szCs w:val="24"/>
          <w:lang w:eastAsia="en-GB"/>
        </w:rPr>
        <w:t xml:space="preserve">materialism. Sartre holds a similar view on the </w:t>
      </w:r>
      <w:r w:rsidR="003145DF">
        <w:rPr>
          <w:rFonts w:ascii="Times New Roman" w:eastAsia="Times New Roman" w:hAnsi="Times New Roman" w:cs="Times New Roman"/>
          <w:color w:val="000000"/>
          <w:sz w:val="24"/>
          <w:szCs w:val="24"/>
          <w:lang w:eastAsia="en-GB"/>
        </w:rPr>
        <w:t xml:space="preserve">material </w:t>
      </w:r>
      <w:r w:rsidRPr="00FF148B">
        <w:rPr>
          <w:rFonts w:ascii="Times New Roman" w:eastAsia="Times New Roman" w:hAnsi="Times New Roman" w:cs="Times New Roman"/>
          <w:color w:val="000000"/>
          <w:sz w:val="24"/>
          <w:szCs w:val="24"/>
          <w:lang w:eastAsia="en-GB"/>
        </w:rPr>
        <w:t>world to that of Karl Marx, who is quoted as saying</w:t>
      </w:r>
      <w:r>
        <w:rPr>
          <w:rFonts w:ascii="Times New Roman" w:eastAsia="Times New Roman" w:hAnsi="Times New Roman" w:cs="Times New Roman"/>
          <w:color w:val="000000"/>
          <w:sz w:val="24"/>
          <w:szCs w:val="24"/>
          <w:lang w:eastAsia="en-GB"/>
        </w:rPr>
        <w:t>,</w:t>
      </w:r>
      <w:r w:rsidRPr="00FF148B">
        <w:rPr>
          <w:rFonts w:ascii="Times New Roman" w:eastAsia="Times New Roman" w:hAnsi="Times New Roman" w:cs="Times New Roman"/>
          <w:color w:val="000000"/>
          <w:sz w:val="24"/>
          <w:szCs w:val="24"/>
          <w:lang w:eastAsia="en-GB"/>
        </w:rPr>
        <w:t xml:space="preserve"> "Religious suffering is, at one and the same time, the expression of real suffering and a protest against real suffering. Religion is the sigh of the oppressed creature, the heart of a heartless world, and the soul of soulless conditions. It is the opium of the people."</w:t>
      </w:r>
      <w:r>
        <w:rPr>
          <w:rStyle w:val="FootnoteReference"/>
          <w:rFonts w:ascii="Times New Roman" w:eastAsia="Times New Roman" w:hAnsi="Times New Roman" w:cs="Times New Roman"/>
          <w:color w:val="000000"/>
          <w:sz w:val="24"/>
          <w:szCs w:val="24"/>
          <w:lang w:eastAsia="en-GB"/>
        </w:rPr>
        <w:footnoteReference w:id="1"/>
      </w:r>
      <w:r>
        <w:rPr>
          <w:rFonts w:ascii="Times New Roman" w:eastAsia="Times New Roman" w:hAnsi="Times New Roman" w:cs="Times New Roman"/>
          <w:color w:val="000000"/>
          <w:sz w:val="24"/>
          <w:szCs w:val="24"/>
          <w:lang w:eastAsia="en-GB"/>
        </w:rPr>
        <w:t xml:space="preserve"> In essence, Marx rejects the notion of religion as he believes it to be similar to a drug that people take to relieve the pressures of the material world by promising the existence of a better world that will be attained after death. Sartre is similar, as he writes in his book </w:t>
      </w:r>
      <w:r>
        <w:rPr>
          <w:rFonts w:ascii="Times New Roman" w:eastAsia="Times New Roman" w:hAnsi="Times New Roman" w:cs="Times New Roman"/>
          <w:i/>
          <w:color w:val="000000"/>
          <w:sz w:val="24"/>
          <w:szCs w:val="24"/>
          <w:lang w:eastAsia="en-GB"/>
        </w:rPr>
        <w:t xml:space="preserve">Existentialism and Humanism, </w:t>
      </w:r>
      <w:r w:rsidR="008F56E1">
        <w:rPr>
          <w:rFonts w:ascii="Times New Roman" w:eastAsia="Times New Roman" w:hAnsi="Times New Roman" w:cs="Times New Roman"/>
          <w:color w:val="000000"/>
          <w:sz w:val="24"/>
          <w:szCs w:val="24"/>
          <w:lang w:eastAsia="en-GB"/>
        </w:rPr>
        <w:t>“[…] man may be born a slave in a pagan society, or may be a feudal baron, or a proletariat. But what may never vary</w:t>
      </w:r>
      <w:r w:rsidR="00AD7E7B">
        <w:rPr>
          <w:rFonts w:ascii="Times New Roman" w:eastAsia="Times New Roman" w:hAnsi="Times New Roman" w:cs="Times New Roman"/>
          <w:color w:val="000000"/>
          <w:sz w:val="24"/>
          <w:szCs w:val="24"/>
          <w:lang w:eastAsia="en-GB"/>
        </w:rPr>
        <w:t xml:space="preserve"> are the necessities of being in the world, of having to labour and to die there.”</w:t>
      </w:r>
      <w:r w:rsidR="00AD7E7B">
        <w:rPr>
          <w:rStyle w:val="FootnoteReference"/>
          <w:rFonts w:ascii="Times New Roman" w:eastAsia="Times New Roman" w:hAnsi="Times New Roman" w:cs="Times New Roman"/>
          <w:color w:val="000000"/>
          <w:sz w:val="24"/>
          <w:szCs w:val="24"/>
          <w:lang w:eastAsia="en-GB"/>
        </w:rPr>
        <w:footnoteReference w:id="2"/>
      </w:r>
      <w:r w:rsidR="00AD7E7B">
        <w:rPr>
          <w:rFonts w:ascii="Times New Roman" w:eastAsia="Times New Roman" w:hAnsi="Times New Roman" w:cs="Times New Roman"/>
          <w:color w:val="000000"/>
          <w:sz w:val="24"/>
          <w:szCs w:val="24"/>
          <w:lang w:eastAsia="en-GB"/>
        </w:rPr>
        <w:t xml:space="preserve"> Sartre argues in this quote that the circumstances of one’s birth may affect that person’s religious belief or mindset for how they view the world, but that these do not affect the notion that we as a species exist in the now, and that we as people will eventually die in the world that we know. All we know is what we see in the material world around us, regardless of our beliefs in the extraordinary or what could happen after we die.</w:t>
      </w:r>
    </w:p>
    <w:p w:rsidR="00AD7E7B" w:rsidRDefault="00AD7E7B" w:rsidP="00090654">
      <w:pPr>
        <w:spacing w:after="0" w:line="240" w:lineRule="auto"/>
        <w:jc w:val="both"/>
        <w:rPr>
          <w:rFonts w:ascii="Times New Roman" w:eastAsia="Times New Roman" w:hAnsi="Times New Roman" w:cs="Times New Roman"/>
          <w:color w:val="000000"/>
          <w:sz w:val="24"/>
          <w:szCs w:val="24"/>
          <w:lang w:eastAsia="en-GB"/>
        </w:rPr>
      </w:pPr>
    </w:p>
    <w:p w:rsidR="00AD7E7B" w:rsidRDefault="00AD7E7B" w:rsidP="00090654">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This is a prelude to Sartre’s concept of ‘bad faith’, as </w:t>
      </w:r>
      <w:r w:rsidR="00DC2B35">
        <w:rPr>
          <w:rFonts w:ascii="Times New Roman" w:eastAsia="Times New Roman" w:hAnsi="Times New Roman" w:cs="Times New Roman"/>
          <w:color w:val="000000"/>
          <w:sz w:val="24"/>
          <w:szCs w:val="24"/>
          <w:lang w:eastAsia="en-GB"/>
        </w:rPr>
        <w:t xml:space="preserve">bad faith is the belief that people may perform as a different entity in the sense that they are denying themselves by acting in such a way that it may be for the betterment of society (at least in their minds). They are not acting in a way that truly represents themselves, but rather in such a way that a different </w:t>
      </w:r>
      <w:r w:rsidR="00090654">
        <w:rPr>
          <w:rFonts w:ascii="Times New Roman" w:eastAsia="Times New Roman" w:hAnsi="Times New Roman" w:cs="Times New Roman"/>
          <w:color w:val="000000"/>
          <w:sz w:val="24"/>
          <w:szCs w:val="24"/>
          <w:lang w:eastAsia="en-GB"/>
        </w:rPr>
        <w:t>being</w:t>
      </w:r>
      <w:r w:rsidR="00DC2B35">
        <w:rPr>
          <w:rFonts w:ascii="Times New Roman" w:eastAsia="Times New Roman" w:hAnsi="Times New Roman" w:cs="Times New Roman"/>
          <w:color w:val="000000"/>
          <w:sz w:val="24"/>
          <w:szCs w:val="24"/>
          <w:lang w:eastAsia="en-GB"/>
        </w:rPr>
        <w:t xml:space="preserve"> is presented as they reject who they are for this ‘play-acting’. Sartre himself writes it as such:</w:t>
      </w:r>
    </w:p>
    <w:p w:rsidR="00DC2B35" w:rsidRDefault="00DC2B35" w:rsidP="00090654">
      <w:pPr>
        <w:spacing w:after="0" w:line="240" w:lineRule="auto"/>
        <w:jc w:val="both"/>
        <w:rPr>
          <w:rFonts w:ascii="Times New Roman" w:eastAsia="Times New Roman" w:hAnsi="Times New Roman" w:cs="Times New Roman"/>
          <w:color w:val="000000"/>
          <w:sz w:val="24"/>
          <w:szCs w:val="24"/>
          <w:lang w:eastAsia="en-GB"/>
        </w:rPr>
      </w:pPr>
    </w:p>
    <w:p w:rsidR="00DC2B35" w:rsidRDefault="00DC2B35" w:rsidP="00090654">
      <w:pPr>
        <w:spacing w:after="0" w:line="240" w:lineRule="auto"/>
        <w:ind w:left="720"/>
        <w:jc w:val="both"/>
        <w:rPr>
          <w:rFonts w:ascii="Times New Roman" w:eastAsia="Times New Roman" w:hAnsi="Times New Roman" w:cs="Times New Roman"/>
          <w:color w:val="000000"/>
          <w:sz w:val="24"/>
          <w:szCs w:val="24"/>
          <w:lang w:eastAsia="en-GB"/>
        </w:rPr>
      </w:pPr>
      <w:r w:rsidRPr="00DC2B35">
        <w:rPr>
          <w:rFonts w:ascii="Times New Roman" w:eastAsia="Times New Roman" w:hAnsi="Times New Roman" w:cs="Times New Roman"/>
          <w:color w:val="000000"/>
          <w:sz w:val="24"/>
          <w:szCs w:val="24"/>
          <w:lang w:eastAsia="en-GB"/>
        </w:rPr>
        <w:t>Let us consider the waiter in the cafe. His movement is quick and forward, a little too precise, a little too rapid. [...] All his behaviour seems to us a game. He applies himself to linking his movements as if they were mechanisms, the one regulating the other; his gestures and even his voice seem to be mechanisms; he gives himself the quickness and pitiless rapidity of things. He is playing, he is amusing himself. But what is he playing? We need not watch long before we can explain it: he is playing at being a waiter in a cafe.</w:t>
      </w:r>
      <w:r>
        <w:rPr>
          <w:rStyle w:val="FootnoteReference"/>
          <w:rFonts w:ascii="Times New Roman" w:eastAsia="Times New Roman" w:hAnsi="Times New Roman" w:cs="Times New Roman"/>
          <w:color w:val="000000"/>
          <w:sz w:val="24"/>
          <w:szCs w:val="24"/>
          <w:lang w:eastAsia="en-GB"/>
        </w:rPr>
        <w:footnoteReference w:id="3"/>
      </w:r>
    </w:p>
    <w:p w:rsidR="00DC2B35" w:rsidRDefault="00DC2B35" w:rsidP="00090654">
      <w:pPr>
        <w:spacing w:after="0" w:line="240" w:lineRule="auto"/>
        <w:jc w:val="both"/>
        <w:rPr>
          <w:rFonts w:ascii="Times New Roman" w:eastAsia="Times New Roman" w:hAnsi="Times New Roman" w:cs="Times New Roman"/>
          <w:color w:val="000000"/>
          <w:sz w:val="24"/>
          <w:szCs w:val="24"/>
          <w:lang w:eastAsia="en-GB"/>
        </w:rPr>
      </w:pPr>
    </w:p>
    <w:p w:rsidR="00DC2B35" w:rsidRDefault="005572E9" w:rsidP="00090654">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The actions that this analogous waiter has </w:t>
      </w:r>
      <w:r w:rsidR="008931AF">
        <w:rPr>
          <w:rFonts w:ascii="Times New Roman" w:eastAsia="Times New Roman" w:hAnsi="Times New Roman" w:cs="Times New Roman"/>
          <w:color w:val="000000"/>
          <w:sz w:val="24"/>
          <w:szCs w:val="24"/>
          <w:lang w:eastAsia="en-GB"/>
        </w:rPr>
        <w:t>performed reject</w:t>
      </w:r>
      <w:r>
        <w:rPr>
          <w:rFonts w:ascii="Times New Roman" w:eastAsia="Times New Roman" w:hAnsi="Times New Roman" w:cs="Times New Roman"/>
          <w:color w:val="000000"/>
          <w:sz w:val="24"/>
          <w:szCs w:val="24"/>
          <w:lang w:eastAsia="en-GB"/>
        </w:rPr>
        <w:t xml:space="preserve"> the material world that Marx and Sartre have proposed, as the person that the waiter </w:t>
      </w:r>
      <w:r w:rsidR="008931AF">
        <w:rPr>
          <w:rFonts w:ascii="Times New Roman" w:eastAsia="Times New Roman" w:hAnsi="Times New Roman" w:cs="Times New Roman"/>
          <w:color w:val="000000"/>
          <w:sz w:val="24"/>
          <w:szCs w:val="24"/>
          <w:lang w:eastAsia="en-GB"/>
        </w:rPr>
        <w:t xml:space="preserve">truly is </w:t>
      </w:r>
      <w:r w:rsidR="00090654">
        <w:rPr>
          <w:rFonts w:ascii="Times New Roman" w:eastAsia="Times New Roman" w:hAnsi="Times New Roman" w:cs="Times New Roman"/>
          <w:color w:val="000000"/>
          <w:sz w:val="24"/>
          <w:szCs w:val="24"/>
          <w:lang w:eastAsia="en-GB"/>
        </w:rPr>
        <w:t xml:space="preserve">can be seen as having </w:t>
      </w:r>
      <w:r>
        <w:rPr>
          <w:rFonts w:ascii="Times New Roman" w:eastAsia="Times New Roman" w:hAnsi="Times New Roman" w:cs="Times New Roman"/>
          <w:color w:val="000000"/>
          <w:sz w:val="24"/>
          <w:szCs w:val="24"/>
          <w:lang w:eastAsia="en-GB"/>
        </w:rPr>
        <w:t>fallen to the wayside so that he may continue the façade that he is this being that is assigned to being a waiter as opposed to his true self. Benjamin K. Elwyn comments on bad faith, saying “</w:t>
      </w:r>
      <w:r w:rsidRPr="005572E9">
        <w:rPr>
          <w:rFonts w:ascii="Times New Roman" w:eastAsia="Times New Roman" w:hAnsi="Times New Roman" w:cs="Times New Roman"/>
          <w:color w:val="000000"/>
          <w:sz w:val="24"/>
          <w:szCs w:val="24"/>
          <w:lang w:eastAsia="en-GB"/>
        </w:rPr>
        <w:t>Its centrality rests in the fact that, like all our attitudes, bad faith determines the way the world and the people w</w:t>
      </w:r>
      <w:r w:rsidR="00090654">
        <w:rPr>
          <w:rFonts w:ascii="Times New Roman" w:eastAsia="Times New Roman" w:hAnsi="Times New Roman" w:cs="Times New Roman"/>
          <w:color w:val="000000"/>
          <w:sz w:val="24"/>
          <w:szCs w:val="24"/>
          <w:lang w:eastAsia="en-GB"/>
        </w:rPr>
        <w:t>ithin it appear, shaping all our</w:t>
      </w:r>
      <w:r w:rsidRPr="005572E9">
        <w:rPr>
          <w:rFonts w:ascii="Times New Roman" w:eastAsia="Times New Roman" w:hAnsi="Times New Roman" w:cs="Times New Roman"/>
          <w:color w:val="000000"/>
          <w:sz w:val="24"/>
          <w:szCs w:val="24"/>
          <w:lang w:eastAsia="en-GB"/>
        </w:rPr>
        <w:t xml:space="preserve"> thoughts and actions as agents in the world."</w:t>
      </w:r>
      <w:r w:rsidR="00327CB5">
        <w:rPr>
          <w:rStyle w:val="FootnoteReference"/>
          <w:rFonts w:ascii="Times New Roman" w:eastAsia="Times New Roman" w:hAnsi="Times New Roman" w:cs="Times New Roman"/>
          <w:color w:val="000000"/>
          <w:sz w:val="24"/>
          <w:szCs w:val="24"/>
          <w:lang w:eastAsia="en-GB"/>
        </w:rPr>
        <w:footnoteReference w:id="4"/>
      </w:r>
      <w:r w:rsidR="006265B8">
        <w:rPr>
          <w:rFonts w:ascii="Times New Roman" w:eastAsia="Times New Roman" w:hAnsi="Times New Roman" w:cs="Times New Roman"/>
          <w:color w:val="000000"/>
          <w:sz w:val="24"/>
          <w:szCs w:val="24"/>
          <w:lang w:eastAsia="en-GB"/>
        </w:rPr>
        <w:t xml:space="preserve"> </w:t>
      </w:r>
      <w:r w:rsidR="00090654">
        <w:rPr>
          <w:rFonts w:ascii="Times New Roman" w:eastAsia="Times New Roman" w:hAnsi="Times New Roman" w:cs="Times New Roman"/>
          <w:color w:val="000000"/>
          <w:sz w:val="24"/>
          <w:szCs w:val="24"/>
          <w:lang w:eastAsia="en-GB"/>
        </w:rPr>
        <w:t>Every set of actions</w:t>
      </w:r>
      <w:r w:rsidR="006265B8">
        <w:rPr>
          <w:rFonts w:ascii="Times New Roman" w:eastAsia="Times New Roman" w:hAnsi="Times New Roman" w:cs="Times New Roman"/>
          <w:color w:val="000000"/>
          <w:sz w:val="24"/>
          <w:szCs w:val="24"/>
          <w:lang w:eastAsia="en-GB"/>
        </w:rPr>
        <w:t xml:space="preserve"> that every human being takes part in is a conscious</w:t>
      </w:r>
      <w:r w:rsidR="00090654">
        <w:rPr>
          <w:rFonts w:ascii="Times New Roman" w:eastAsia="Times New Roman" w:hAnsi="Times New Roman" w:cs="Times New Roman"/>
          <w:color w:val="000000"/>
          <w:sz w:val="24"/>
          <w:szCs w:val="24"/>
          <w:lang w:eastAsia="en-GB"/>
        </w:rPr>
        <w:t xml:space="preserve"> decision made either to adhere</w:t>
      </w:r>
      <w:r w:rsidR="006265B8">
        <w:rPr>
          <w:rFonts w:ascii="Times New Roman" w:eastAsia="Times New Roman" w:hAnsi="Times New Roman" w:cs="Times New Roman"/>
          <w:color w:val="000000"/>
          <w:sz w:val="24"/>
          <w:szCs w:val="24"/>
          <w:lang w:eastAsia="en-GB"/>
        </w:rPr>
        <w:t xml:space="preserve"> </w:t>
      </w:r>
      <w:r w:rsidR="006265B8">
        <w:rPr>
          <w:rFonts w:ascii="Times New Roman" w:eastAsia="Times New Roman" w:hAnsi="Times New Roman" w:cs="Times New Roman"/>
          <w:color w:val="000000"/>
          <w:sz w:val="24"/>
          <w:szCs w:val="24"/>
          <w:lang w:eastAsia="en-GB"/>
        </w:rPr>
        <w:lastRenderedPageBreak/>
        <w:t xml:space="preserve">to the person that they are, insomuch that they are acting in good faith and not constrained to any other identity that they may be acting as, or that they </w:t>
      </w:r>
      <w:r w:rsidR="006265B8" w:rsidRPr="006265B8">
        <w:rPr>
          <w:rFonts w:ascii="Times New Roman" w:eastAsia="Times New Roman" w:hAnsi="Times New Roman" w:cs="Times New Roman"/>
          <w:i/>
          <w:color w:val="000000"/>
          <w:sz w:val="24"/>
          <w:szCs w:val="24"/>
          <w:lang w:eastAsia="en-GB"/>
        </w:rPr>
        <w:t>are</w:t>
      </w:r>
      <w:r w:rsidR="006265B8">
        <w:rPr>
          <w:rFonts w:ascii="Times New Roman" w:eastAsia="Times New Roman" w:hAnsi="Times New Roman" w:cs="Times New Roman"/>
          <w:color w:val="000000"/>
          <w:sz w:val="24"/>
          <w:szCs w:val="24"/>
          <w:lang w:eastAsia="en-GB"/>
        </w:rPr>
        <w:t xml:space="preserve"> play acting as different things and denying their own reality.</w:t>
      </w:r>
    </w:p>
    <w:p w:rsidR="006265B8" w:rsidRDefault="006265B8" w:rsidP="00090654">
      <w:pPr>
        <w:spacing w:after="0" w:line="240" w:lineRule="auto"/>
        <w:jc w:val="both"/>
        <w:rPr>
          <w:rFonts w:ascii="Times New Roman" w:eastAsia="Times New Roman" w:hAnsi="Times New Roman" w:cs="Times New Roman"/>
          <w:color w:val="000000"/>
          <w:sz w:val="24"/>
          <w:szCs w:val="24"/>
          <w:lang w:eastAsia="en-GB"/>
        </w:rPr>
      </w:pPr>
    </w:p>
    <w:p w:rsidR="006265B8" w:rsidRDefault="00D23F7E" w:rsidP="00090654">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Sartre argues that the very idea of nothingness must denote that an experience of nothingness exists, and therefore from that a person can make the logical conclusion that nothingness exists in the material world in an abstract concept.</w:t>
      </w:r>
      <w:r w:rsidR="00090654">
        <w:rPr>
          <w:rStyle w:val="FootnoteReference"/>
          <w:rFonts w:ascii="Times New Roman" w:eastAsia="Times New Roman" w:hAnsi="Times New Roman" w:cs="Times New Roman"/>
          <w:color w:val="000000"/>
          <w:sz w:val="24"/>
          <w:szCs w:val="24"/>
          <w:lang w:eastAsia="en-GB"/>
        </w:rPr>
        <w:footnoteReference w:id="5"/>
      </w:r>
      <w:r>
        <w:rPr>
          <w:rFonts w:ascii="Times New Roman" w:eastAsia="Times New Roman" w:hAnsi="Times New Roman" w:cs="Times New Roman"/>
          <w:color w:val="000000"/>
          <w:sz w:val="24"/>
          <w:szCs w:val="24"/>
          <w:lang w:eastAsia="en-GB"/>
        </w:rPr>
        <w:t xml:space="preserve"> Sartre cites how a blind man may experience the world without the ability to see. He argues that because he sees nothing, the totality of the blind man’s world is affected by the nothingness that he sees, and therefore that the nothingness, adding to the experience of the material world must therefore mean that nothingness as experienced by human beings as existing</w:t>
      </w:r>
      <w:r w:rsidR="00090654">
        <w:rPr>
          <w:rFonts w:ascii="Times New Roman" w:eastAsia="Times New Roman" w:hAnsi="Times New Roman" w:cs="Times New Roman"/>
          <w:color w:val="000000"/>
          <w:sz w:val="24"/>
          <w:szCs w:val="24"/>
          <w:lang w:eastAsia="en-GB"/>
        </w:rPr>
        <w:t xml:space="preserve"> in the world that we know through our own limitations</w:t>
      </w:r>
      <w:r>
        <w:rPr>
          <w:rFonts w:ascii="Times New Roman" w:eastAsia="Times New Roman" w:hAnsi="Times New Roman" w:cs="Times New Roman"/>
          <w:color w:val="000000"/>
          <w:sz w:val="24"/>
          <w:szCs w:val="24"/>
          <w:lang w:eastAsia="en-GB"/>
        </w:rPr>
        <w:t>.</w:t>
      </w:r>
      <w:r>
        <w:rPr>
          <w:rStyle w:val="FootnoteReference"/>
          <w:rFonts w:ascii="Times New Roman" w:eastAsia="Times New Roman" w:hAnsi="Times New Roman" w:cs="Times New Roman"/>
          <w:color w:val="000000"/>
          <w:sz w:val="24"/>
          <w:szCs w:val="24"/>
          <w:lang w:eastAsia="en-GB"/>
        </w:rPr>
        <w:footnoteReference w:id="6"/>
      </w:r>
      <w:r>
        <w:rPr>
          <w:rFonts w:ascii="Times New Roman" w:eastAsia="Times New Roman" w:hAnsi="Times New Roman" w:cs="Times New Roman"/>
          <w:color w:val="000000"/>
          <w:sz w:val="24"/>
          <w:szCs w:val="24"/>
          <w:lang w:eastAsia="en-GB"/>
        </w:rPr>
        <w:t xml:space="preserve"> Sartre is quoted as saying “I</w:t>
      </w:r>
      <w:r w:rsidRPr="00D23F7E">
        <w:rPr>
          <w:rFonts w:ascii="Times New Roman" w:eastAsia="Times New Roman" w:hAnsi="Times New Roman" w:cs="Times New Roman"/>
          <w:color w:val="000000"/>
          <w:sz w:val="24"/>
          <w:szCs w:val="24"/>
          <w:lang w:eastAsia="en-GB"/>
        </w:rPr>
        <w:t>t is evident that non-being always appears within the limits of a human expectation</w:t>
      </w:r>
      <w:r>
        <w:rPr>
          <w:rFonts w:ascii="Times New Roman" w:eastAsia="Times New Roman" w:hAnsi="Times New Roman" w:cs="Times New Roman"/>
          <w:color w:val="000000"/>
          <w:sz w:val="24"/>
          <w:szCs w:val="24"/>
          <w:lang w:eastAsia="en-GB"/>
        </w:rPr>
        <w:t>.”</w:t>
      </w:r>
      <w:r>
        <w:rPr>
          <w:rStyle w:val="FootnoteReference"/>
          <w:rFonts w:ascii="Times New Roman" w:eastAsia="Times New Roman" w:hAnsi="Times New Roman" w:cs="Times New Roman"/>
          <w:color w:val="000000"/>
          <w:sz w:val="24"/>
          <w:szCs w:val="24"/>
          <w:lang w:eastAsia="en-GB"/>
        </w:rPr>
        <w:footnoteReference w:id="7"/>
      </w:r>
      <w:r>
        <w:rPr>
          <w:rFonts w:ascii="Times New Roman" w:eastAsia="Times New Roman" w:hAnsi="Times New Roman" w:cs="Times New Roman"/>
          <w:color w:val="000000"/>
          <w:sz w:val="24"/>
          <w:szCs w:val="24"/>
          <w:lang w:eastAsia="en-GB"/>
        </w:rPr>
        <w:t xml:space="preserve"> In the following chapter, Sartre notes that this concept of nothingness existing must be the point in which that humans can act in ways in which they are not, as the nothingness acts as a singular realisation among humans that they can become anything that they want if it were to fill that void which by all definitions must exist.</w:t>
      </w:r>
      <w:r w:rsidR="00661785">
        <w:rPr>
          <w:rStyle w:val="FootnoteReference"/>
          <w:rFonts w:ascii="Times New Roman" w:eastAsia="Times New Roman" w:hAnsi="Times New Roman" w:cs="Times New Roman"/>
          <w:color w:val="000000"/>
          <w:sz w:val="24"/>
          <w:szCs w:val="24"/>
          <w:lang w:eastAsia="en-GB"/>
        </w:rPr>
        <w:footnoteReference w:id="8"/>
      </w:r>
      <w:r>
        <w:rPr>
          <w:rFonts w:ascii="Times New Roman" w:eastAsia="Times New Roman" w:hAnsi="Times New Roman" w:cs="Times New Roman"/>
          <w:color w:val="000000"/>
          <w:sz w:val="24"/>
          <w:szCs w:val="24"/>
          <w:lang w:eastAsia="en-GB"/>
        </w:rPr>
        <w:t xml:space="preserve"> What is wrong with this ideology is that </w:t>
      </w:r>
      <w:r w:rsidR="00661785">
        <w:rPr>
          <w:rFonts w:ascii="Times New Roman" w:eastAsia="Times New Roman" w:hAnsi="Times New Roman" w:cs="Times New Roman"/>
          <w:color w:val="000000"/>
          <w:sz w:val="24"/>
          <w:szCs w:val="24"/>
          <w:lang w:eastAsia="en-GB"/>
        </w:rPr>
        <w:t xml:space="preserve">when a human being realises that they can become anything, they may try to become something that they are currently not, which is acting in bad faith. </w:t>
      </w:r>
      <w:r>
        <w:rPr>
          <w:rFonts w:ascii="Times New Roman" w:eastAsia="Times New Roman" w:hAnsi="Times New Roman" w:cs="Times New Roman"/>
          <w:color w:val="000000"/>
          <w:sz w:val="24"/>
          <w:szCs w:val="24"/>
          <w:lang w:eastAsia="en-GB"/>
        </w:rPr>
        <w:t xml:space="preserve">This ties back into the aforementioned café waiter analogy that Sartre proposed, as </w:t>
      </w:r>
      <w:r w:rsidR="00661785">
        <w:rPr>
          <w:rFonts w:ascii="Times New Roman" w:eastAsia="Times New Roman" w:hAnsi="Times New Roman" w:cs="Times New Roman"/>
          <w:color w:val="000000"/>
          <w:sz w:val="24"/>
          <w:szCs w:val="24"/>
          <w:lang w:eastAsia="en-GB"/>
        </w:rPr>
        <w:t xml:space="preserve">he is merely acting as a waiter. That is not what this person is, yet it is what the person is intended to be seen as. He wishes to be seen as a waiter, </w:t>
      </w:r>
      <w:r w:rsidR="008931AF">
        <w:rPr>
          <w:rFonts w:ascii="Times New Roman" w:eastAsia="Times New Roman" w:hAnsi="Times New Roman" w:cs="Times New Roman"/>
          <w:color w:val="000000"/>
          <w:sz w:val="24"/>
          <w:szCs w:val="24"/>
          <w:lang w:eastAsia="en-GB"/>
        </w:rPr>
        <w:t>so therefore he</w:t>
      </w:r>
      <w:r w:rsidR="00661785">
        <w:rPr>
          <w:rFonts w:ascii="Times New Roman" w:eastAsia="Times New Roman" w:hAnsi="Times New Roman" w:cs="Times New Roman"/>
          <w:color w:val="000000"/>
          <w:sz w:val="24"/>
          <w:szCs w:val="24"/>
          <w:lang w:eastAsia="en-GB"/>
        </w:rPr>
        <w:t xml:space="preserve"> denies his own reality to project it onto others.</w:t>
      </w:r>
    </w:p>
    <w:p w:rsidR="00661785" w:rsidRDefault="00661785" w:rsidP="00090654">
      <w:pPr>
        <w:spacing w:after="0" w:line="240" w:lineRule="auto"/>
        <w:jc w:val="both"/>
        <w:rPr>
          <w:rFonts w:ascii="Times New Roman" w:eastAsia="Times New Roman" w:hAnsi="Times New Roman" w:cs="Times New Roman"/>
          <w:color w:val="000000"/>
          <w:sz w:val="24"/>
          <w:szCs w:val="24"/>
          <w:lang w:eastAsia="en-GB"/>
        </w:rPr>
      </w:pPr>
    </w:p>
    <w:p w:rsidR="00661785" w:rsidRDefault="00661785" w:rsidP="00090654">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Sartre’s view on ‘bad faith’ also stems from how he makes a distinction as to how human beings differ in their existence and purpose </w:t>
      </w:r>
      <w:r w:rsidR="008931AF">
        <w:rPr>
          <w:rFonts w:ascii="Times New Roman" w:eastAsia="Times New Roman" w:hAnsi="Times New Roman" w:cs="Times New Roman"/>
          <w:color w:val="000000"/>
          <w:sz w:val="24"/>
          <w:szCs w:val="24"/>
          <w:lang w:eastAsia="en-GB"/>
        </w:rPr>
        <w:t>in relation</w:t>
      </w:r>
      <w:r>
        <w:rPr>
          <w:rFonts w:ascii="Times New Roman" w:eastAsia="Times New Roman" w:hAnsi="Times New Roman" w:cs="Times New Roman"/>
          <w:color w:val="000000"/>
          <w:sz w:val="24"/>
          <w:szCs w:val="24"/>
          <w:lang w:eastAsia="en-GB"/>
        </w:rPr>
        <w:t xml:space="preserve"> to every other thing that exists, saying that human beings are ‘</w:t>
      </w:r>
      <w:r>
        <w:rPr>
          <w:rFonts w:ascii="Times New Roman" w:eastAsia="Times New Roman" w:hAnsi="Times New Roman" w:cs="Times New Roman"/>
          <w:i/>
          <w:color w:val="000000"/>
          <w:sz w:val="24"/>
          <w:szCs w:val="24"/>
          <w:lang w:eastAsia="en-GB"/>
        </w:rPr>
        <w:t>beings for-itself’</w:t>
      </w:r>
      <w:r w:rsidR="008931AF">
        <w:rPr>
          <w:rFonts w:ascii="Times New Roman" w:eastAsia="Times New Roman" w:hAnsi="Times New Roman" w:cs="Times New Roman"/>
          <w:color w:val="000000"/>
          <w:sz w:val="24"/>
          <w:szCs w:val="24"/>
          <w:lang w:eastAsia="en-GB"/>
        </w:rPr>
        <w:t>. This is</w:t>
      </w:r>
      <w:r w:rsidR="00090654">
        <w:rPr>
          <w:rFonts w:ascii="Times New Roman" w:eastAsia="Times New Roman" w:hAnsi="Times New Roman" w:cs="Times New Roman"/>
          <w:color w:val="000000"/>
          <w:sz w:val="24"/>
          <w:szCs w:val="24"/>
          <w:lang w:eastAsia="en-GB"/>
        </w:rPr>
        <w:t xml:space="preserve"> the co</w:t>
      </w:r>
      <w:r>
        <w:rPr>
          <w:rFonts w:ascii="Times New Roman" w:eastAsia="Times New Roman" w:hAnsi="Times New Roman" w:cs="Times New Roman"/>
          <w:color w:val="000000"/>
          <w:sz w:val="24"/>
          <w:szCs w:val="24"/>
          <w:lang w:eastAsia="en-GB"/>
        </w:rPr>
        <w:t>ncept that human beings are beings that exist with a primary purpose in their existence,</w:t>
      </w:r>
      <w:r>
        <w:rPr>
          <w:rFonts w:ascii="Times New Roman" w:eastAsia="Times New Roman" w:hAnsi="Times New Roman" w:cs="Times New Roman"/>
          <w:i/>
          <w:color w:val="000000"/>
          <w:sz w:val="24"/>
          <w:szCs w:val="24"/>
          <w:lang w:eastAsia="en-GB"/>
        </w:rPr>
        <w:t xml:space="preserve"> </w:t>
      </w:r>
      <w:r>
        <w:rPr>
          <w:rFonts w:ascii="Times New Roman" w:eastAsia="Times New Roman" w:hAnsi="Times New Roman" w:cs="Times New Roman"/>
          <w:color w:val="000000"/>
          <w:sz w:val="24"/>
          <w:szCs w:val="24"/>
          <w:lang w:eastAsia="en-GB"/>
        </w:rPr>
        <w:t>and that everything else must simply exist for no other purpose other than the objective fact that they do indeed, exist. Sartre refers to non-human beings as ‘</w:t>
      </w:r>
      <w:r w:rsidRPr="00661785">
        <w:rPr>
          <w:rFonts w:ascii="Times New Roman" w:eastAsia="Times New Roman" w:hAnsi="Times New Roman" w:cs="Times New Roman"/>
          <w:i/>
          <w:color w:val="000000"/>
          <w:sz w:val="24"/>
          <w:szCs w:val="24"/>
          <w:lang w:eastAsia="en-GB"/>
        </w:rPr>
        <w:t>beings in-itself’</w:t>
      </w:r>
      <w:r>
        <w:rPr>
          <w:rFonts w:ascii="Times New Roman" w:eastAsia="Times New Roman" w:hAnsi="Times New Roman" w:cs="Times New Roman"/>
          <w:color w:val="000000"/>
          <w:sz w:val="24"/>
          <w:szCs w:val="24"/>
          <w:lang w:eastAsia="en-GB"/>
        </w:rPr>
        <w:t>.</w:t>
      </w:r>
      <w:r>
        <w:rPr>
          <w:rStyle w:val="FootnoteReference"/>
          <w:rFonts w:ascii="Times New Roman" w:eastAsia="Times New Roman" w:hAnsi="Times New Roman" w:cs="Times New Roman"/>
          <w:color w:val="000000"/>
          <w:sz w:val="24"/>
          <w:szCs w:val="24"/>
          <w:lang w:eastAsia="en-GB"/>
        </w:rPr>
        <w:footnoteReference w:id="9"/>
      </w:r>
      <w:r>
        <w:rPr>
          <w:rFonts w:ascii="Times New Roman" w:eastAsia="Times New Roman" w:hAnsi="Times New Roman" w:cs="Times New Roman"/>
          <w:color w:val="000000"/>
          <w:sz w:val="24"/>
          <w:szCs w:val="24"/>
          <w:lang w:eastAsia="en-GB"/>
        </w:rPr>
        <w:t xml:space="preserve"> Sartre argues that the waiter</w:t>
      </w:r>
      <w:r w:rsidR="009D19F9">
        <w:rPr>
          <w:rFonts w:ascii="Times New Roman" w:eastAsia="Times New Roman" w:hAnsi="Times New Roman" w:cs="Times New Roman"/>
          <w:color w:val="000000"/>
          <w:sz w:val="24"/>
          <w:szCs w:val="24"/>
          <w:lang w:eastAsia="en-GB"/>
        </w:rPr>
        <w:t xml:space="preserve"> knows what it means to be a waiter, but in that notion, the waiter is only making the conscious choice to become a being in-itself, or a being that serves only to exist for the sake of existing and not to exist for a purpose that one could define as being free and willing. It is the waiter’s choice to act as he is, and through that, he is acting in bad faith, as he is not acting according to how his existence allows to its full extent.</w:t>
      </w:r>
      <w:r w:rsidR="009D19F9">
        <w:rPr>
          <w:rStyle w:val="FootnoteReference"/>
          <w:rFonts w:ascii="Times New Roman" w:eastAsia="Times New Roman" w:hAnsi="Times New Roman" w:cs="Times New Roman"/>
          <w:color w:val="000000"/>
          <w:sz w:val="24"/>
          <w:szCs w:val="24"/>
          <w:lang w:eastAsia="en-GB"/>
        </w:rPr>
        <w:footnoteReference w:id="10"/>
      </w:r>
    </w:p>
    <w:p w:rsidR="0077652C" w:rsidRDefault="0077652C" w:rsidP="00090654">
      <w:pPr>
        <w:spacing w:after="0" w:line="240" w:lineRule="auto"/>
        <w:jc w:val="both"/>
        <w:rPr>
          <w:rFonts w:ascii="Times New Roman" w:eastAsia="Times New Roman" w:hAnsi="Times New Roman" w:cs="Times New Roman"/>
          <w:color w:val="000000"/>
          <w:sz w:val="24"/>
          <w:szCs w:val="24"/>
          <w:lang w:eastAsia="en-GB"/>
        </w:rPr>
      </w:pPr>
    </w:p>
    <w:p w:rsidR="0077652C" w:rsidRDefault="0077652C" w:rsidP="00090654">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However, what must be stated as not acting in Sartre’s definition of ‘bad faith’, is that if there is an outside cause that is causing a person to act in ways in which they would otherwise not, as they are not in control of them acting in such a manner and</w:t>
      </w:r>
      <w:r w:rsidR="008931AF">
        <w:rPr>
          <w:rFonts w:ascii="Times New Roman" w:eastAsia="Times New Roman" w:hAnsi="Times New Roman" w:cs="Times New Roman"/>
          <w:color w:val="000000"/>
          <w:sz w:val="24"/>
          <w:szCs w:val="24"/>
          <w:lang w:eastAsia="en-GB"/>
        </w:rPr>
        <w:t xml:space="preserve"> that</w:t>
      </w:r>
      <w:r>
        <w:rPr>
          <w:rFonts w:ascii="Times New Roman" w:eastAsia="Times New Roman" w:hAnsi="Times New Roman" w:cs="Times New Roman"/>
          <w:color w:val="000000"/>
          <w:sz w:val="24"/>
          <w:szCs w:val="24"/>
          <w:lang w:eastAsia="en-GB"/>
        </w:rPr>
        <w:t xml:space="preserve"> it is not a conscious choice, as it is with Sartre’s analogous waiter. Such outside causes could be coercion from another person or a mental illness that affects judgement. Joseph S. Catalano posits as such: </w:t>
      </w:r>
    </w:p>
    <w:p w:rsidR="0077652C" w:rsidRDefault="0077652C" w:rsidP="00090654">
      <w:pPr>
        <w:spacing w:after="0" w:line="240" w:lineRule="auto"/>
        <w:jc w:val="both"/>
        <w:rPr>
          <w:rFonts w:ascii="Times New Roman" w:eastAsia="Times New Roman" w:hAnsi="Times New Roman" w:cs="Times New Roman"/>
          <w:color w:val="000000"/>
          <w:sz w:val="24"/>
          <w:szCs w:val="24"/>
          <w:lang w:eastAsia="en-GB"/>
        </w:rPr>
      </w:pPr>
    </w:p>
    <w:p w:rsidR="0077652C" w:rsidRDefault="0077652C" w:rsidP="00090654">
      <w:pPr>
        <w:spacing w:after="0" w:line="240" w:lineRule="auto"/>
        <w:ind w:left="720"/>
        <w:jc w:val="both"/>
        <w:rPr>
          <w:rFonts w:ascii="Times New Roman" w:eastAsia="Times New Roman" w:hAnsi="Times New Roman" w:cs="Times New Roman"/>
          <w:color w:val="000000"/>
          <w:sz w:val="24"/>
          <w:szCs w:val="24"/>
          <w:lang w:eastAsia="en-GB"/>
        </w:rPr>
      </w:pPr>
      <w:r w:rsidRPr="0077652C">
        <w:rPr>
          <w:rFonts w:ascii="Times New Roman" w:eastAsia="Times New Roman" w:hAnsi="Times New Roman" w:cs="Times New Roman"/>
          <w:color w:val="000000"/>
          <w:sz w:val="24"/>
          <w:szCs w:val="24"/>
          <w:lang w:eastAsia="en-GB"/>
        </w:rPr>
        <w:t>For example, a person with a manic-depressive illness app</w:t>
      </w:r>
      <w:r>
        <w:rPr>
          <w:rFonts w:ascii="Times New Roman" w:eastAsia="Times New Roman" w:hAnsi="Times New Roman" w:cs="Times New Roman"/>
          <w:color w:val="000000"/>
          <w:sz w:val="24"/>
          <w:szCs w:val="24"/>
          <w:lang w:eastAsia="en-GB"/>
        </w:rPr>
        <w:t>ears to be ignorant of the reas</w:t>
      </w:r>
      <w:r w:rsidRPr="0077652C">
        <w:rPr>
          <w:rFonts w:ascii="Times New Roman" w:eastAsia="Times New Roman" w:hAnsi="Times New Roman" w:cs="Times New Roman"/>
          <w:color w:val="000000"/>
          <w:sz w:val="24"/>
          <w:szCs w:val="24"/>
          <w:lang w:eastAsia="en-GB"/>
        </w:rPr>
        <w:t>ons for</w:t>
      </w:r>
      <w:r>
        <w:rPr>
          <w:rFonts w:ascii="Times New Roman" w:eastAsia="Times New Roman" w:hAnsi="Times New Roman" w:cs="Times New Roman"/>
          <w:color w:val="000000"/>
          <w:sz w:val="24"/>
          <w:szCs w:val="24"/>
          <w:lang w:eastAsia="en-GB"/>
        </w:rPr>
        <w:t xml:space="preserve"> his extreme change of moods. He</w:t>
      </w:r>
      <w:r w:rsidRPr="0077652C">
        <w:rPr>
          <w:rFonts w:ascii="Times New Roman" w:eastAsia="Times New Roman" w:hAnsi="Times New Roman" w:cs="Times New Roman"/>
          <w:color w:val="000000"/>
          <w:sz w:val="24"/>
          <w:szCs w:val="24"/>
          <w:lang w:eastAsia="en-GB"/>
        </w:rPr>
        <w:t xml:space="preserve"> goes to an analyst asking for help to understand why he acts the way he does. Clearly, many psychoanalysts would no</w:t>
      </w:r>
      <w:r w:rsidR="00090654">
        <w:rPr>
          <w:rFonts w:ascii="Times New Roman" w:eastAsia="Times New Roman" w:hAnsi="Times New Roman" w:cs="Times New Roman"/>
          <w:color w:val="000000"/>
          <w:sz w:val="24"/>
          <w:szCs w:val="24"/>
          <w:lang w:eastAsia="en-GB"/>
        </w:rPr>
        <w:t>t</w:t>
      </w:r>
      <w:r w:rsidRPr="0077652C">
        <w:rPr>
          <w:rFonts w:ascii="Times New Roman" w:eastAsia="Times New Roman" w:hAnsi="Times New Roman" w:cs="Times New Roman"/>
          <w:color w:val="000000"/>
          <w:sz w:val="24"/>
          <w:szCs w:val="24"/>
          <w:lang w:eastAsia="en-GB"/>
        </w:rPr>
        <w:t xml:space="preserve"> explain his illness as a phenomenon</w:t>
      </w:r>
      <w:r>
        <w:rPr>
          <w:rFonts w:ascii="Times New Roman" w:eastAsia="Times New Roman" w:hAnsi="Times New Roman" w:cs="Times New Roman"/>
          <w:color w:val="000000"/>
          <w:sz w:val="24"/>
          <w:szCs w:val="24"/>
          <w:lang w:eastAsia="en-GB"/>
        </w:rPr>
        <w:t xml:space="preserve"> of 'bad faith', but they would </w:t>
      </w:r>
      <w:r w:rsidRPr="0077652C">
        <w:rPr>
          <w:rFonts w:ascii="Times New Roman" w:eastAsia="Times New Roman" w:hAnsi="Times New Roman" w:cs="Times New Roman"/>
          <w:color w:val="000000"/>
          <w:sz w:val="24"/>
          <w:szCs w:val="24"/>
          <w:lang w:eastAsia="en-GB"/>
        </w:rPr>
        <w:t>all agree that at the present time the person truly believes that he does not know the reason for his behaviour, and thus he needs help.</w:t>
      </w:r>
      <w:r>
        <w:rPr>
          <w:rStyle w:val="FootnoteReference"/>
          <w:rFonts w:ascii="Times New Roman" w:eastAsia="Times New Roman" w:hAnsi="Times New Roman" w:cs="Times New Roman"/>
          <w:color w:val="000000"/>
          <w:sz w:val="24"/>
          <w:szCs w:val="24"/>
          <w:lang w:eastAsia="en-GB"/>
        </w:rPr>
        <w:footnoteReference w:id="11"/>
      </w:r>
    </w:p>
    <w:p w:rsidR="0077652C" w:rsidRDefault="0077652C" w:rsidP="00090654">
      <w:pPr>
        <w:spacing w:after="0" w:line="240" w:lineRule="auto"/>
        <w:jc w:val="both"/>
        <w:rPr>
          <w:rFonts w:ascii="Times New Roman" w:eastAsia="Times New Roman" w:hAnsi="Times New Roman" w:cs="Times New Roman"/>
          <w:color w:val="000000"/>
          <w:sz w:val="24"/>
          <w:szCs w:val="24"/>
          <w:lang w:eastAsia="en-GB"/>
        </w:rPr>
      </w:pPr>
    </w:p>
    <w:p w:rsidR="00336A05" w:rsidRDefault="00336A05" w:rsidP="00090654">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What Catalano notes is important for the distinction of ‘bad faith’, as acting in a way that is different to </w:t>
      </w:r>
      <w:r w:rsidR="008931AF">
        <w:rPr>
          <w:rFonts w:ascii="Times New Roman" w:eastAsia="Times New Roman" w:hAnsi="Times New Roman" w:cs="Times New Roman"/>
          <w:color w:val="000000"/>
          <w:sz w:val="24"/>
          <w:szCs w:val="24"/>
          <w:lang w:eastAsia="en-GB"/>
        </w:rPr>
        <w:t>how</w:t>
      </w:r>
      <w:r>
        <w:rPr>
          <w:rFonts w:ascii="Times New Roman" w:eastAsia="Times New Roman" w:hAnsi="Times New Roman" w:cs="Times New Roman"/>
          <w:color w:val="000000"/>
          <w:sz w:val="24"/>
          <w:szCs w:val="24"/>
          <w:lang w:eastAsia="en-GB"/>
        </w:rPr>
        <w:t xml:space="preserve"> a person would act normally is not the </w:t>
      </w:r>
      <w:r w:rsidR="00090654">
        <w:rPr>
          <w:rFonts w:ascii="Times New Roman" w:eastAsia="Times New Roman" w:hAnsi="Times New Roman" w:cs="Times New Roman"/>
          <w:color w:val="000000"/>
          <w:sz w:val="24"/>
          <w:szCs w:val="24"/>
          <w:lang w:eastAsia="en-GB"/>
        </w:rPr>
        <w:t>true</w:t>
      </w:r>
      <w:r>
        <w:rPr>
          <w:rFonts w:ascii="Times New Roman" w:eastAsia="Times New Roman" w:hAnsi="Times New Roman" w:cs="Times New Roman"/>
          <w:color w:val="000000"/>
          <w:sz w:val="24"/>
          <w:szCs w:val="24"/>
          <w:lang w:eastAsia="en-GB"/>
        </w:rPr>
        <w:t xml:space="preserve"> definition </w:t>
      </w:r>
      <w:r w:rsidR="008931AF">
        <w:rPr>
          <w:rFonts w:ascii="Times New Roman" w:eastAsia="Times New Roman" w:hAnsi="Times New Roman" w:cs="Times New Roman"/>
          <w:color w:val="000000"/>
          <w:sz w:val="24"/>
          <w:szCs w:val="24"/>
          <w:lang w:eastAsia="en-GB"/>
        </w:rPr>
        <w:t>of when s</w:t>
      </w:r>
      <w:r>
        <w:rPr>
          <w:rFonts w:ascii="Times New Roman" w:eastAsia="Times New Roman" w:hAnsi="Times New Roman" w:cs="Times New Roman"/>
          <w:color w:val="000000"/>
          <w:sz w:val="24"/>
          <w:szCs w:val="24"/>
          <w:lang w:eastAsia="en-GB"/>
        </w:rPr>
        <w:t>omeone is acting in bad faith. In the example provided in the quote, it is the act of going to the psychoanalyst that is the defining feature of the man’s existence, as he is aware that he requires help on account that any other decisions that are supposedly made by him ar</w:t>
      </w:r>
      <w:r w:rsidR="008931AF">
        <w:rPr>
          <w:rFonts w:ascii="Times New Roman" w:eastAsia="Times New Roman" w:hAnsi="Times New Roman" w:cs="Times New Roman"/>
          <w:color w:val="000000"/>
          <w:sz w:val="24"/>
          <w:szCs w:val="24"/>
          <w:lang w:eastAsia="en-GB"/>
        </w:rPr>
        <w:t>e not part of his existence. His</w:t>
      </w:r>
      <w:r>
        <w:rPr>
          <w:rFonts w:ascii="Times New Roman" w:eastAsia="Times New Roman" w:hAnsi="Times New Roman" w:cs="Times New Roman"/>
          <w:color w:val="000000"/>
          <w:sz w:val="24"/>
          <w:szCs w:val="24"/>
          <w:lang w:eastAsia="en-GB"/>
        </w:rPr>
        <w:t xml:space="preserve"> seeking help is the only important factor, and he is not acting in bad faith, simply because it is an external force creating the other decisions and a conscious choice from the man alone </w:t>
      </w:r>
      <w:r w:rsidR="00090654">
        <w:rPr>
          <w:rFonts w:ascii="Times New Roman" w:eastAsia="Times New Roman" w:hAnsi="Times New Roman" w:cs="Times New Roman"/>
          <w:color w:val="000000"/>
          <w:sz w:val="24"/>
          <w:szCs w:val="24"/>
          <w:lang w:eastAsia="en-GB"/>
        </w:rPr>
        <w:t xml:space="preserve">is the only thing </w:t>
      </w:r>
      <w:r w:rsidR="003D11C8">
        <w:rPr>
          <w:rFonts w:ascii="Times New Roman" w:eastAsia="Times New Roman" w:hAnsi="Times New Roman" w:cs="Times New Roman"/>
          <w:color w:val="000000"/>
          <w:sz w:val="24"/>
          <w:szCs w:val="24"/>
          <w:lang w:eastAsia="en-GB"/>
        </w:rPr>
        <w:t xml:space="preserve">that remains </w:t>
      </w:r>
      <w:r>
        <w:rPr>
          <w:rFonts w:ascii="Times New Roman" w:eastAsia="Times New Roman" w:hAnsi="Times New Roman" w:cs="Times New Roman"/>
          <w:color w:val="000000"/>
          <w:sz w:val="24"/>
          <w:szCs w:val="24"/>
          <w:lang w:eastAsia="en-GB"/>
        </w:rPr>
        <w:t xml:space="preserve">important, as he recognises </w:t>
      </w:r>
      <w:r w:rsidR="003D11C8">
        <w:rPr>
          <w:rFonts w:ascii="Times New Roman" w:eastAsia="Times New Roman" w:hAnsi="Times New Roman" w:cs="Times New Roman"/>
          <w:color w:val="000000"/>
          <w:sz w:val="24"/>
          <w:szCs w:val="24"/>
          <w:lang w:eastAsia="en-GB"/>
        </w:rPr>
        <w:t xml:space="preserve">his incapacities </w:t>
      </w:r>
      <w:r>
        <w:rPr>
          <w:rFonts w:ascii="Times New Roman" w:eastAsia="Times New Roman" w:hAnsi="Times New Roman" w:cs="Times New Roman"/>
          <w:color w:val="000000"/>
          <w:sz w:val="24"/>
          <w:szCs w:val="24"/>
          <w:lang w:eastAsia="en-GB"/>
        </w:rPr>
        <w:t xml:space="preserve">and is wanting for </w:t>
      </w:r>
      <w:r w:rsidR="008931AF">
        <w:rPr>
          <w:rFonts w:ascii="Times New Roman" w:eastAsia="Times New Roman" w:hAnsi="Times New Roman" w:cs="Times New Roman"/>
          <w:color w:val="000000"/>
          <w:sz w:val="24"/>
          <w:szCs w:val="24"/>
          <w:lang w:eastAsia="en-GB"/>
        </w:rPr>
        <w:t>a</w:t>
      </w:r>
      <w:r>
        <w:rPr>
          <w:rFonts w:ascii="Times New Roman" w:eastAsia="Times New Roman" w:hAnsi="Times New Roman" w:cs="Times New Roman"/>
          <w:color w:val="000000"/>
          <w:sz w:val="24"/>
          <w:szCs w:val="24"/>
          <w:lang w:eastAsia="en-GB"/>
        </w:rPr>
        <w:t xml:space="preserve"> change </w:t>
      </w:r>
      <w:r w:rsidR="008931AF">
        <w:rPr>
          <w:rFonts w:ascii="Times New Roman" w:eastAsia="Times New Roman" w:hAnsi="Times New Roman" w:cs="Times New Roman"/>
          <w:color w:val="000000"/>
          <w:sz w:val="24"/>
          <w:szCs w:val="24"/>
          <w:lang w:eastAsia="en-GB"/>
        </w:rPr>
        <w:t xml:space="preserve">to where he can act </w:t>
      </w:r>
      <w:r>
        <w:rPr>
          <w:rFonts w:ascii="Times New Roman" w:eastAsia="Times New Roman" w:hAnsi="Times New Roman" w:cs="Times New Roman"/>
          <w:color w:val="000000"/>
          <w:sz w:val="24"/>
          <w:szCs w:val="24"/>
          <w:lang w:eastAsia="en-GB"/>
        </w:rPr>
        <w:t>as a ‘being for-itself.’</w:t>
      </w:r>
    </w:p>
    <w:p w:rsidR="00336A05" w:rsidRDefault="00336A05" w:rsidP="00090654">
      <w:pPr>
        <w:spacing w:after="0" w:line="240" w:lineRule="auto"/>
        <w:jc w:val="both"/>
        <w:rPr>
          <w:rFonts w:ascii="Times New Roman" w:eastAsia="Times New Roman" w:hAnsi="Times New Roman" w:cs="Times New Roman"/>
          <w:color w:val="000000"/>
          <w:sz w:val="24"/>
          <w:szCs w:val="24"/>
          <w:lang w:eastAsia="en-GB"/>
        </w:rPr>
      </w:pPr>
    </w:p>
    <w:p w:rsidR="0077652C" w:rsidRDefault="008931AF" w:rsidP="00090654">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W</w:t>
      </w:r>
      <w:r w:rsidR="00336A05">
        <w:rPr>
          <w:rFonts w:ascii="Times New Roman" w:eastAsia="Times New Roman" w:hAnsi="Times New Roman" w:cs="Times New Roman"/>
          <w:color w:val="000000"/>
          <w:sz w:val="24"/>
          <w:szCs w:val="24"/>
          <w:lang w:eastAsia="en-GB"/>
        </w:rPr>
        <w:t>ith this,</w:t>
      </w:r>
      <w:r>
        <w:rPr>
          <w:rFonts w:ascii="Times New Roman" w:eastAsia="Times New Roman" w:hAnsi="Times New Roman" w:cs="Times New Roman"/>
          <w:color w:val="000000"/>
          <w:sz w:val="24"/>
          <w:szCs w:val="24"/>
          <w:lang w:eastAsia="en-GB"/>
        </w:rPr>
        <w:t xml:space="preserve"> however,</w:t>
      </w:r>
      <w:r w:rsidR="00336A05">
        <w:rPr>
          <w:rFonts w:ascii="Times New Roman" w:eastAsia="Times New Roman" w:hAnsi="Times New Roman" w:cs="Times New Roman"/>
          <w:color w:val="000000"/>
          <w:sz w:val="24"/>
          <w:szCs w:val="24"/>
          <w:lang w:eastAsia="en-GB"/>
        </w:rPr>
        <w:t xml:space="preserve"> the same set of actions could be </w:t>
      </w:r>
      <w:r w:rsidR="00992E3C">
        <w:rPr>
          <w:rFonts w:ascii="Times New Roman" w:eastAsia="Times New Roman" w:hAnsi="Times New Roman" w:cs="Times New Roman"/>
          <w:color w:val="000000"/>
          <w:sz w:val="24"/>
          <w:szCs w:val="24"/>
          <w:lang w:eastAsia="en-GB"/>
        </w:rPr>
        <w:t>acting in bad faith if one were to turn the intentions around. If th</w:t>
      </w:r>
      <w:r w:rsidR="003D11C8">
        <w:rPr>
          <w:rFonts w:ascii="Times New Roman" w:eastAsia="Times New Roman" w:hAnsi="Times New Roman" w:cs="Times New Roman"/>
          <w:color w:val="000000"/>
          <w:sz w:val="24"/>
          <w:szCs w:val="24"/>
          <w:lang w:eastAsia="en-GB"/>
        </w:rPr>
        <w:t>e man went to the psychoanalyst</w:t>
      </w:r>
      <w:r w:rsidR="00992E3C">
        <w:rPr>
          <w:rFonts w:ascii="Times New Roman" w:eastAsia="Times New Roman" w:hAnsi="Times New Roman" w:cs="Times New Roman"/>
          <w:color w:val="000000"/>
          <w:sz w:val="24"/>
          <w:szCs w:val="24"/>
          <w:lang w:eastAsia="en-GB"/>
        </w:rPr>
        <w:t xml:space="preserve"> for ostensibly the same reason, but with the conscious decision that he does not like the man he is and would like to consciously change </w:t>
      </w:r>
      <w:r>
        <w:rPr>
          <w:rFonts w:ascii="Times New Roman" w:eastAsia="Times New Roman" w:hAnsi="Times New Roman" w:cs="Times New Roman"/>
          <w:color w:val="000000"/>
          <w:sz w:val="24"/>
          <w:szCs w:val="24"/>
          <w:lang w:eastAsia="en-GB"/>
        </w:rPr>
        <w:t xml:space="preserve">himself </w:t>
      </w:r>
      <w:r w:rsidR="00992E3C">
        <w:rPr>
          <w:rFonts w:ascii="Times New Roman" w:eastAsia="Times New Roman" w:hAnsi="Times New Roman" w:cs="Times New Roman"/>
          <w:color w:val="000000"/>
          <w:sz w:val="24"/>
          <w:szCs w:val="24"/>
          <w:lang w:eastAsia="en-GB"/>
        </w:rPr>
        <w:t xml:space="preserve">for his own personal gain and that he did not have a manic-depressive illness that needed rectifying, instead opting to hold the illusion that he has one, then that would indeed be an example of </w:t>
      </w:r>
      <w:r>
        <w:rPr>
          <w:rFonts w:ascii="Times New Roman" w:eastAsia="Times New Roman" w:hAnsi="Times New Roman" w:cs="Times New Roman"/>
          <w:color w:val="000000"/>
          <w:sz w:val="24"/>
          <w:szCs w:val="24"/>
          <w:lang w:eastAsia="en-GB"/>
        </w:rPr>
        <w:t>Sartre’s concept of ‘bad faith’. Thi</w:t>
      </w:r>
      <w:r w:rsidR="00992E3C">
        <w:rPr>
          <w:rFonts w:ascii="Times New Roman" w:eastAsia="Times New Roman" w:hAnsi="Times New Roman" w:cs="Times New Roman"/>
          <w:color w:val="000000"/>
          <w:sz w:val="24"/>
          <w:szCs w:val="24"/>
          <w:lang w:eastAsia="en-GB"/>
        </w:rPr>
        <w:t xml:space="preserve">s would show a conscious effort of sound mind to act as a new </w:t>
      </w:r>
      <w:r w:rsidR="003D11C8">
        <w:rPr>
          <w:rFonts w:ascii="Times New Roman" w:eastAsia="Times New Roman" w:hAnsi="Times New Roman" w:cs="Times New Roman"/>
          <w:color w:val="000000"/>
          <w:sz w:val="24"/>
          <w:szCs w:val="24"/>
          <w:lang w:eastAsia="en-GB"/>
        </w:rPr>
        <w:t>being</w:t>
      </w:r>
      <w:r w:rsidR="00992E3C">
        <w:rPr>
          <w:rFonts w:ascii="Times New Roman" w:eastAsia="Times New Roman" w:hAnsi="Times New Roman" w:cs="Times New Roman"/>
          <w:color w:val="000000"/>
          <w:sz w:val="24"/>
          <w:szCs w:val="24"/>
          <w:lang w:eastAsia="en-GB"/>
        </w:rPr>
        <w:t xml:space="preserve">. Catalano’s example in his commentary then must follow Sartre’s idea that acting in ‘bad faith’ must be a conscious decision made by a person, unaffected by outside influences. Even though a person may be unaware that they are acting in bad faith, it would still be their own efforts of their own mind that denotes them being in bad faith. </w:t>
      </w:r>
    </w:p>
    <w:p w:rsidR="003D11C8" w:rsidRDefault="003D11C8" w:rsidP="00090654">
      <w:pPr>
        <w:spacing w:after="0" w:line="240" w:lineRule="auto"/>
        <w:jc w:val="both"/>
        <w:rPr>
          <w:rFonts w:ascii="Times New Roman" w:eastAsia="Times New Roman" w:hAnsi="Times New Roman" w:cs="Times New Roman"/>
          <w:color w:val="000000"/>
          <w:sz w:val="24"/>
          <w:szCs w:val="24"/>
          <w:lang w:eastAsia="en-GB"/>
        </w:rPr>
      </w:pPr>
    </w:p>
    <w:p w:rsidR="003D11C8" w:rsidRDefault="003D11C8" w:rsidP="00090654">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Sartre holds the view that humanity is “condemned to be free</w:t>
      </w:r>
      <w:r w:rsidR="00B03E88">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w:t>
      </w:r>
      <w:r>
        <w:rPr>
          <w:rStyle w:val="FootnoteReference"/>
          <w:rFonts w:ascii="Times New Roman" w:eastAsia="Times New Roman" w:hAnsi="Times New Roman" w:cs="Times New Roman"/>
          <w:color w:val="000000"/>
          <w:sz w:val="24"/>
          <w:szCs w:val="24"/>
          <w:lang w:eastAsia="en-GB"/>
        </w:rPr>
        <w:footnoteReference w:id="12"/>
      </w:r>
      <w:r>
        <w:rPr>
          <w:rFonts w:ascii="Times New Roman" w:eastAsia="Times New Roman" w:hAnsi="Times New Roman" w:cs="Times New Roman"/>
          <w:color w:val="000000"/>
          <w:sz w:val="24"/>
          <w:szCs w:val="24"/>
          <w:lang w:eastAsia="en-GB"/>
        </w:rPr>
        <w:t xml:space="preserve"> </w:t>
      </w:r>
      <w:r w:rsidR="00B03E88">
        <w:rPr>
          <w:rFonts w:ascii="Times New Roman" w:eastAsia="Times New Roman" w:hAnsi="Times New Roman" w:cs="Times New Roman"/>
          <w:color w:val="000000"/>
          <w:sz w:val="24"/>
          <w:szCs w:val="24"/>
          <w:lang w:eastAsia="en-GB"/>
        </w:rPr>
        <w:t xml:space="preserve">by which he means that the only choice that we as human beings cannot make is the decision to not be free in a conscious sense. Every choice (aside from the choice to no longer be free) that we make is a choice that is made of our own free volition, to such a point that even the decision to be born is somewhat a choice, as a person can make the choice to end their own life, which is a conscious decision to negate the fact that they were born. A longer quote by Sartre in </w:t>
      </w:r>
      <w:r w:rsidR="00B03E88">
        <w:rPr>
          <w:rFonts w:ascii="Times New Roman" w:eastAsia="Times New Roman" w:hAnsi="Times New Roman" w:cs="Times New Roman"/>
          <w:i/>
          <w:color w:val="000000"/>
          <w:sz w:val="24"/>
          <w:szCs w:val="24"/>
          <w:lang w:eastAsia="en-GB"/>
        </w:rPr>
        <w:t xml:space="preserve">Being and Nothingness </w:t>
      </w:r>
      <w:r w:rsidR="00B03E88">
        <w:rPr>
          <w:rFonts w:ascii="Times New Roman" w:eastAsia="Times New Roman" w:hAnsi="Times New Roman" w:cs="Times New Roman"/>
          <w:color w:val="000000"/>
          <w:sz w:val="24"/>
          <w:szCs w:val="24"/>
          <w:lang w:eastAsia="en-GB"/>
        </w:rPr>
        <w:t>reads:</w:t>
      </w:r>
    </w:p>
    <w:p w:rsidR="00B03E88" w:rsidRDefault="00B03E88" w:rsidP="00090654">
      <w:pPr>
        <w:spacing w:after="0" w:line="240" w:lineRule="auto"/>
        <w:jc w:val="both"/>
        <w:rPr>
          <w:rFonts w:ascii="Times New Roman" w:eastAsia="Times New Roman" w:hAnsi="Times New Roman" w:cs="Times New Roman"/>
          <w:color w:val="000000"/>
          <w:sz w:val="24"/>
          <w:szCs w:val="24"/>
          <w:lang w:eastAsia="en-GB"/>
        </w:rPr>
      </w:pPr>
    </w:p>
    <w:p w:rsidR="00B03E88" w:rsidRDefault="00B03E88" w:rsidP="00B03E88">
      <w:pPr>
        <w:spacing w:after="0" w:line="240" w:lineRule="auto"/>
        <w:ind w:left="720"/>
        <w:jc w:val="both"/>
        <w:rPr>
          <w:rFonts w:ascii="Times New Roman" w:eastAsia="Times New Roman" w:hAnsi="Times New Roman" w:cs="Times New Roman"/>
          <w:color w:val="000000"/>
          <w:sz w:val="24"/>
          <w:szCs w:val="24"/>
          <w:lang w:eastAsia="en-GB"/>
        </w:rPr>
      </w:pPr>
      <w:r w:rsidRPr="00B03E88">
        <w:rPr>
          <w:rFonts w:ascii="Times New Roman" w:eastAsia="Times New Roman" w:hAnsi="Times New Roman" w:cs="Times New Roman"/>
          <w:color w:val="000000"/>
          <w:sz w:val="24"/>
          <w:szCs w:val="24"/>
          <w:lang w:eastAsia="en-GB"/>
        </w:rPr>
        <w:t>[...] my freedom is the unique foundation of values and [...] n</w:t>
      </w:r>
      <w:r>
        <w:rPr>
          <w:rFonts w:ascii="Times New Roman" w:eastAsia="Times New Roman" w:hAnsi="Times New Roman" w:cs="Times New Roman"/>
          <w:color w:val="000000"/>
          <w:sz w:val="24"/>
          <w:szCs w:val="24"/>
          <w:lang w:eastAsia="en-GB"/>
        </w:rPr>
        <w:t>o</w:t>
      </w:r>
      <w:r w:rsidRPr="00B03E88">
        <w:rPr>
          <w:rFonts w:ascii="Times New Roman" w:eastAsia="Times New Roman" w:hAnsi="Times New Roman" w:cs="Times New Roman"/>
          <w:color w:val="000000"/>
          <w:sz w:val="24"/>
          <w:szCs w:val="24"/>
          <w:lang w:eastAsia="en-GB"/>
        </w:rPr>
        <w:t>thing, absolutely nothing, justifies me in adopting this or that particular value, or this or that particular scale of values. As a being by whom values exist, I am unjustifiable. My freedom</w:t>
      </w:r>
      <w:r>
        <w:rPr>
          <w:rFonts w:ascii="Times New Roman" w:eastAsia="Times New Roman" w:hAnsi="Times New Roman" w:cs="Times New Roman"/>
          <w:color w:val="000000"/>
          <w:sz w:val="24"/>
          <w:szCs w:val="24"/>
          <w:lang w:eastAsia="en-GB"/>
        </w:rPr>
        <w:t xml:space="preserve"> is anguished at being the found</w:t>
      </w:r>
      <w:r w:rsidRPr="00B03E88">
        <w:rPr>
          <w:rFonts w:ascii="Times New Roman" w:eastAsia="Times New Roman" w:hAnsi="Times New Roman" w:cs="Times New Roman"/>
          <w:color w:val="000000"/>
          <w:sz w:val="24"/>
          <w:szCs w:val="24"/>
          <w:lang w:eastAsia="en-GB"/>
        </w:rPr>
        <w:t>ation of values while itself without foundation.</w:t>
      </w:r>
      <w:r>
        <w:rPr>
          <w:rStyle w:val="FootnoteReference"/>
          <w:rFonts w:ascii="Times New Roman" w:eastAsia="Times New Roman" w:hAnsi="Times New Roman" w:cs="Times New Roman"/>
          <w:color w:val="000000"/>
          <w:sz w:val="24"/>
          <w:szCs w:val="24"/>
          <w:lang w:eastAsia="en-GB"/>
        </w:rPr>
        <w:footnoteReference w:id="13"/>
      </w:r>
    </w:p>
    <w:p w:rsidR="00B03E88" w:rsidRDefault="00B03E88" w:rsidP="00B03E88">
      <w:pPr>
        <w:spacing w:after="0" w:line="240" w:lineRule="auto"/>
        <w:jc w:val="both"/>
        <w:rPr>
          <w:rFonts w:ascii="Times New Roman" w:eastAsia="Times New Roman" w:hAnsi="Times New Roman" w:cs="Times New Roman"/>
          <w:color w:val="000000"/>
          <w:sz w:val="24"/>
          <w:szCs w:val="24"/>
          <w:lang w:eastAsia="en-GB"/>
        </w:rPr>
      </w:pPr>
    </w:p>
    <w:p w:rsidR="00A530CA" w:rsidRDefault="00B03E88" w:rsidP="00B03E88">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Freedom to Sartre is the baseline of existence, as “existence precedes essence”.</w:t>
      </w:r>
      <w:r>
        <w:rPr>
          <w:rStyle w:val="FootnoteReference"/>
          <w:rFonts w:ascii="Times New Roman" w:eastAsia="Times New Roman" w:hAnsi="Times New Roman" w:cs="Times New Roman"/>
          <w:color w:val="000000"/>
          <w:sz w:val="24"/>
          <w:szCs w:val="24"/>
          <w:lang w:eastAsia="en-GB"/>
        </w:rPr>
        <w:footnoteReference w:id="14"/>
      </w:r>
      <w:r w:rsidR="00A530CA">
        <w:rPr>
          <w:rFonts w:ascii="Times New Roman" w:eastAsia="Times New Roman" w:hAnsi="Times New Roman" w:cs="Times New Roman"/>
          <w:color w:val="000000"/>
          <w:sz w:val="24"/>
          <w:szCs w:val="24"/>
          <w:lang w:eastAsia="en-GB"/>
        </w:rPr>
        <w:t xml:space="preserve"> This can be linked to the first point in this essay, as Sartre holds the view that existence only truly matters in the material world, and if this is the case, then our existence there must take precedence over any ‘essence’ that we might have in a spiritual or religious sense. With this, we are free. As a result of this freedom, we are condemned to be free through no choice of our own. The </w:t>
      </w:r>
      <w:r w:rsidR="00A530CA" w:rsidRPr="00A530CA">
        <w:rPr>
          <w:rFonts w:ascii="Times New Roman" w:eastAsia="Times New Roman" w:hAnsi="Times New Roman" w:cs="Times New Roman"/>
          <w:i/>
          <w:color w:val="000000"/>
          <w:sz w:val="24"/>
          <w:szCs w:val="24"/>
          <w:lang w:eastAsia="en-GB"/>
        </w:rPr>
        <w:t>anguish</w:t>
      </w:r>
      <w:r w:rsidR="00A530CA">
        <w:rPr>
          <w:rFonts w:ascii="Times New Roman" w:eastAsia="Times New Roman" w:hAnsi="Times New Roman" w:cs="Times New Roman"/>
          <w:color w:val="000000"/>
          <w:sz w:val="24"/>
          <w:szCs w:val="24"/>
          <w:lang w:eastAsia="en-GB"/>
        </w:rPr>
        <w:t xml:space="preserve"> of this responsibility is the catalyst for how we act as free agents of the world, and therefore the potential for human beings to act in bad faith. Existence would be easier for people if the outcomes of all decisions were not decided by themselves, and they are forced to make the decisions through this condemnation of freedom. Utilising this freedom to act as a being in-itself, like the analogous waiter that was discussed before, is utilising this freedom in bad faith.</w:t>
      </w:r>
      <w:r w:rsidR="004B3F0B">
        <w:rPr>
          <w:rFonts w:ascii="Times New Roman" w:eastAsia="Times New Roman" w:hAnsi="Times New Roman" w:cs="Times New Roman"/>
          <w:color w:val="000000"/>
          <w:sz w:val="24"/>
          <w:szCs w:val="24"/>
          <w:lang w:eastAsia="en-GB"/>
        </w:rPr>
        <w:t xml:space="preserve"> </w:t>
      </w:r>
      <w:r w:rsidR="00A530CA">
        <w:rPr>
          <w:rFonts w:ascii="Times New Roman" w:eastAsia="Times New Roman" w:hAnsi="Times New Roman" w:cs="Times New Roman"/>
          <w:color w:val="000000"/>
          <w:sz w:val="24"/>
          <w:szCs w:val="24"/>
          <w:lang w:eastAsia="en-GB"/>
        </w:rPr>
        <w:t>Sartre further argues about this anguish of the responsibility of freedom as he writes:</w:t>
      </w:r>
    </w:p>
    <w:p w:rsidR="008931AF" w:rsidRDefault="008931AF" w:rsidP="00B03E88">
      <w:pPr>
        <w:spacing w:after="0" w:line="240" w:lineRule="auto"/>
        <w:jc w:val="both"/>
        <w:rPr>
          <w:rFonts w:ascii="Times New Roman" w:eastAsia="Times New Roman" w:hAnsi="Times New Roman" w:cs="Times New Roman"/>
          <w:color w:val="000000"/>
          <w:sz w:val="24"/>
          <w:szCs w:val="24"/>
          <w:lang w:eastAsia="en-GB"/>
        </w:rPr>
      </w:pPr>
    </w:p>
    <w:p w:rsidR="00A530CA" w:rsidRDefault="00A530CA" w:rsidP="00A530CA">
      <w:pPr>
        <w:spacing w:after="0" w:line="240" w:lineRule="auto"/>
        <w:ind w:left="720"/>
        <w:jc w:val="both"/>
        <w:rPr>
          <w:rFonts w:ascii="Times New Roman" w:eastAsia="Times New Roman" w:hAnsi="Times New Roman" w:cs="Times New Roman"/>
          <w:color w:val="000000"/>
          <w:sz w:val="24"/>
          <w:szCs w:val="24"/>
          <w:lang w:eastAsia="en-GB"/>
        </w:rPr>
      </w:pPr>
      <w:r w:rsidRPr="00A530CA">
        <w:rPr>
          <w:rFonts w:ascii="Times New Roman" w:eastAsia="Times New Roman" w:hAnsi="Times New Roman" w:cs="Times New Roman"/>
          <w:color w:val="000000"/>
          <w:sz w:val="24"/>
          <w:szCs w:val="24"/>
          <w:lang w:eastAsia="en-GB"/>
        </w:rPr>
        <w:t>The being of human reality is suffering because it rises in being as perpetually haunted by a totality which it is without being able to be it, precisely because it could not attain the in-itself without losing itself as for-itself. Human reality therefore is by nature an unhappy consciousness with no possibility of surpassing its unhappy state.</w:t>
      </w:r>
      <w:r>
        <w:rPr>
          <w:rStyle w:val="FootnoteReference"/>
          <w:rFonts w:ascii="Times New Roman" w:eastAsia="Times New Roman" w:hAnsi="Times New Roman" w:cs="Times New Roman"/>
          <w:color w:val="000000"/>
          <w:sz w:val="24"/>
          <w:szCs w:val="24"/>
          <w:lang w:eastAsia="en-GB"/>
        </w:rPr>
        <w:footnoteReference w:id="15"/>
      </w:r>
    </w:p>
    <w:p w:rsidR="004B3F0B" w:rsidRDefault="004B3F0B" w:rsidP="004B3F0B">
      <w:pPr>
        <w:spacing w:after="0" w:line="240" w:lineRule="auto"/>
        <w:jc w:val="both"/>
        <w:rPr>
          <w:rFonts w:ascii="Times New Roman" w:eastAsia="Times New Roman" w:hAnsi="Times New Roman" w:cs="Times New Roman"/>
          <w:color w:val="000000"/>
          <w:sz w:val="24"/>
          <w:szCs w:val="24"/>
          <w:lang w:eastAsia="en-GB"/>
        </w:rPr>
      </w:pPr>
    </w:p>
    <w:p w:rsidR="004B3F0B" w:rsidRDefault="004B3F0B" w:rsidP="004B3F0B">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What this quote purports is further evidence for the fact that bad faith is how </w:t>
      </w:r>
      <w:r w:rsidR="008931AF">
        <w:rPr>
          <w:rFonts w:ascii="Times New Roman" w:eastAsia="Times New Roman" w:hAnsi="Times New Roman" w:cs="Times New Roman"/>
          <w:color w:val="000000"/>
          <w:sz w:val="24"/>
          <w:szCs w:val="24"/>
          <w:lang w:eastAsia="en-GB"/>
        </w:rPr>
        <w:t>individuals attempt</w:t>
      </w:r>
      <w:r>
        <w:rPr>
          <w:rFonts w:ascii="Times New Roman" w:eastAsia="Times New Roman" w:hAnsi="Times New Roman" w:cs="Times New Roman"/>
          <w:color w:val="000000"/>
          <w:sz w:val="24"/>
          <w:szCs w:val="24"/>
          <w:lang w:eastAsia="en-GB"/>
        </w:rPr>
        <w:t xml:space="preserve"> to reject their freedom by becoming a being that exists only for the sake of existing, rather than a being that has a further purpose to exist for a cause. Sartre argues that anyone acting in bad faith is an ‘unhappy consciousness’ that will never leave the state of being unhappy for as long as </w:t>
      </w:r>
      <w:r w:rsidR="00420D60">
        <w:rPr>
          <w:rFonts w:ascii="Times New Roman" w:eastAsia="Times New Roman" w:hAnsi="Times New Roman" w:cs="Times New Roman"/>
          <w:color w:val="000000"/>
          <w:sz w:val="24"/>
          <w:szCs w:val="24"/>
          <w:lang w:eastAsia="en-GB"/>
        </w:rPr>
        <w:t>they continue to deceive themselves that they are acting for the betterment of themselves by attempting to deny this freedom from which they cannot escape.</w:t>
      </w:r>
      <w:r w:rsidR="00FE677F">
        <w:rPr>
          <w:rFonts w:ascii="Times New Roman" w:eastAsia="Times New Roman" w:hAnsi="Times New Roman" w:cs="Times New Roman"/>
          <w:color w:val="000000"/>
          <w:sz w:val="24"/>
          <w:szCs w:val="24"/>
          <w:lang w:eastAsia="en-GB"/>
        </w:rPr>
        <w:t xml:space="preserve"> By saying that this is ‘by nature’ for human reality, Sartre is positing that the concept of bad faith </w:t>
      </w:r>
      <w:r w:rsidR="008931AF">
        <w:rPr>
          <w:rFonts w:ascii="Times New Roman" w:eastAsia="Times New Roman" w:hAnsi="Times New Roman" w:cs="Times New Roman"/>
          <w:color w:val="000000"/>
          <w:sz w:val="24"/>
          <w:szCs w:val="24"/>
          <w:lang w:eastAsia="en-GB"/>
        </w:rPr>
        <w:t>is an inevitability</w:t>
      </w:r>
      <w:r w:rsidR="00FE677F">
        <w:rPr>
          <w:rFonts w:ascii="Times New Roman" w:eastAsia="Times New Roman" w:hAnsi="Times New Roman" w:cs="Times New Roman"/>
          <w:color w:val="000000"/>
          <w:sz w:val="24"/>
          <w:szCs w:val="24"/>
          <w:lang w:eastAsia="en-GB"/>
        </w:rPr>
        <w:t xml:space="preserve">, as no singular person is able to ascertain and understand what their freedom truly means, and that they anguish not just because they are condemned to be free with all the responsibilities that come with </w:t>
      </w:r>
      <w:r w:rsidR="008931AF">
        <w:rPr>
          <w:rFonts w:ascii="Times New Roman" w:eastAsia="Times New Roman" w:hAnsi="Times New Roman" w:cs="Times New Roman"/>
          <w:color w:val="000000"/>
          <w:sz w:val="24"/>
          <w:szCs w:val="24"/>
          <w:lang w:eastAsia="en-GB"/>
        </w:rPr>
        <w:t>this</w:t>
      </w:r>
      <w:r w:rsidR="00FE677F">
        <w:rPr>
          <w:rFonts w:ascii="Times New Roman" w:eastAsia="Times New Roman" w:hAnsi="Times New Roman" w:cs="Times New Roman"/>
          <w:color w:val="000000"/>
          <w:sz w:val="24"/>
          <w:szCs w:val="24"/>
          <w:lang w:eastAsia="en-GB"/>
        </w:rPr>
        <w:t>, but also because that freedom is beyond their understanding. Life is what people make of it but it is often made to be what it should not be. It should not be attempted to be made of something else that serves no purpose for itself.</w:t>
      </w:r>
    </w:p>
    <w:p w:rsidR="00FE677F" w:rsidRDefault="00FE677F" w:rsidP="004B3F0B">
      <w:pPr>
        <w:spacing w:after="0" w:line="240" w:lineRule="auto"/>
        <w:jc w:val="both"/>
        <w:rPr>
          <w:rFonts w:ascii="Times New Roman" w:eastAsia="Times New Roman" w:hAnsi="Times New Roman" w:cs="Times New Roman"/>
          <w:color w:val="000000"/>
          <w:sz w:val="24"/>
          <w:szCs w:val="24"/>
          <w:lang w:eastAsia="en-GB"/>
        </w:rPr>
      </w:pPr>
    </w:p>
    <w:p w:rsidR="00FE677F" w:rsidRDefault="00FE677F" w:rsidP="004B3F0B">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Bad faith is therefore the notion that people may act in a way that is not indicative to their true nature and freedom, and that the anguish that the responsibility of that freedom creates is near-inevitable. A person may act like a being that is perfect at their responsibilities, but at a certain point that person becomes an automaton of that purpose they have assigned themselves, and will therefore be acting in bad faith as they attempt to act without freedom and without true responsibility.</w:t>
      </w:r>
      <w:r w:rsidR="00DB1972">
        <w:rPr>
          <w:rFonts w:ascii="Times New Roman" w:eastAsia="Times New Roman" w:hAnsi="Times New Roman" w:cs="Times New Roman"/>
          <w:color w:val="000000"/>
          <w:sz w:val="24"/>
          <w:szCs w:val="24"/>
          <w:lang w:eastAsia="en-GB"/>
        </w:rPr>
        <w:t xml:space="preserve"> </w:t>
      </w:r>
    </w:p>
    <w:p w:rsidR="00FE677F" w:rsidRDefault="00FE677F">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br w:type="page"/>
      </w:r>
    </w:p>
    <w:p w:rsidR="00FE677F" w:rsidRPr="00FE677F" w:rsidRDefault="00FE677F" w:rsidP="00FE677F">
      <w:pPr>
        <w:spacing w:after="0" w:line="240" w:lineRule="auto"/>
        <w:jc w:val="both"/>
        <w:rPr>
          <w:rFonts w:ascii="Times New Roman" w:eastAsia="Times New Roman" w:hAnsi="Times New Roman" w:cs="Times New Roman"/>
          <w:b/>
          <w:color w:val="000000"/>
          <w:sz w:val="36"/>
          <w:szCs w:val="24"/>
          <w:lang w:eastAsia="en-GB"/>
        </w:rPr>
      </w:pPr>
      <w:r w:rsidRPr="00FE677F">
        <w:rPr>
          <w:rFonts w:ascii="Times New Roman" w:eastAsia="Times New Roman" w:hAnsi="Times New Roman" w:cs="Times New Roman"/>
          <w:b/>
          <w:color w:val="000000"/>
          <w:sz w:val="36"/>
          <w:szCs w:val="24"/>
          <w:lang w:eastAsia="en-GB"/>
        </w:rPr>
        <w:t>References</w:t>
      </w:r>
    </w:p>
    <w:p w:rsidR="00FE677F" w:rsidRPr="00FE677F" w:rsidRDefault="00FE677F" w:rsidP="00FE677F">
      <w:pPr>
        <w:spacing w:after="0" w:line="240" w:lineRule="auto"/>
        <w:jc w:val="both"/>
        <w:rPr>
          <w:rFonts w:ascii="Times New Roman" w:eastAsia="Times New Roman" w:hAnsi="Times New Roman" w:cs="Times New Roman"/>
          <w:color w:val="000000"/>
          <w:sz w:val="24"/>
          <w:szCs w:val="24"/>
          <w:lang w:eastAsia="en-GB"/>
        </w:rPr>
      </w:pPr>
    </w:p>
    <w:p w:rsidR="00FE677F" w:rsidRPr="00FE677F" w:rsidRDefault="00FE677F" w:rsidP="00FE677F">
      <w:pPr>
        <w:spacing w:after="0" w:line="240" w:lineRule="auto"/>
        <w:rPr>
          <w:rFonts w:ascii="Times New Roman" w:eastAsia="Times New Roman" w:hAnsi="Times New Roman" w:cs="Times New Roman"/>
          <w:color w:val="000000"/>
          <w:sz w:val="24"/>
          <w:szCs w:val="24"/>
          <w:lang w:eastAsia="en-GB"/>
        </w:rPr>
      </w:pPr>
      <w:r w:rsidRPr="00FE677F">
        <w:rPr>
          <w:rFonts w:ascii="Times New Roman" w:eastAsia="Times New Roman" w:hAnsi="Times New Roman" w:cs="Times New Roman"/>
          <w:color w:val="000000"/>
          <w:sz w:val="24"/>
          <w:szCs w:val="24"/>
          <w:lang w:eastAsia="en-GB"/>
        </w:rPr>
        <w:t xml:space="preserve">Catalano, Joseph S., </w:t>
      </w:r>
      <w:r w:rsidRPr="006C1A58">
        <w:rPr>
          <w:rFonts w:ascii="Times New Roman" w:eastAsia="Times New Roman" w:hAnsi="Times New Roman" w:cs="Times New Roman"/>
          <w:i/>
          <w:color w:val="000000"/>
          <w:sz w:val="24"/>
          <w:szCs w:val="24"/>
          <w:lang w:eastAsia="en-GB"/>
        </w:rPr>
        <w:t>A Commentary on Jean-Paul Sartre's Being and Nothingness</w:t>
      </w:r>
      <w:r w:rsidRPr="00FE677F">
        <w:rPr>
          <w:rFonts w:ascii="Times New Roman" w:eastAsia="Times New Roman" w:hAnsi="Times New Roman" w:cs="Times New Roman"/>
          <w:color w:val="000000"/>
          <w:sz w:val="24"/>
          <w:szCs w:val="24"/>
          <w:lang w:eastAsia="en-GB"/>
        </w:rPr>
        <w:t xml:space="preserve"> (Chicago: University of Chicago Press, 1985), pp. 78-95</w:t>
      </w:r>
    </w:p>
    <w:p w:rsidR="00FE677F" w:rsidRPr="00FE677F" w:rsidRDefault="00FE677F" w:rsidP="00FE677F">
      <w:pPr>
        <w:spacing w:after="0" w:line="240" w:lineRule="auto"/>
        <w:rPr>
          <w:rFonts w:ascii="Times New Roman" w:eastAsia="Times New Roman" w:hAnsi="Times New Roman" w:cs="Times New Roman"/>
          <w:color w:val="000000"/>
          <w:sz w:val="24"/>
          <w:szCs w:val="24"/>
          <w:lang w:eastAsia="en-GB"/>
        </w:rPr>
      </w:pPr>
    </w:p>
    <w:p w:rsidR="00FE677F" w:rsidRPr="00FE677F" w:rsidRDefault="00FE677F" w:rsidP="00FE677F">
      <w:pPr>
        <w:spacing w:after="0" w:line="240" w:lineRule="auto"/>
        <w:rPr>
          <w:rFonts w:ascii="Times New Roman" w:eastAsia="Times New Roman" w:hAnsi="Times New Roman" w:cs="Times New Roman"/>
          <w:color w:val="000000"/>
          <w:sz w:val="24"/>
          <w:szCs w:val="24"/>
          <w:lang w:eastAsia="en-GB"/>
        </w:rPr>
      </w:pPr>
      <w:r w:rsidRPr="00FE677F">
        <w:rPr>
          <w:rFonts w:ascii="Times New Roman" w:eastAsia="Times New Roman" w:hAnsi="Times New Roman" w:cs="Times New Roman"/>
          <w:color w:val="000000"/>
          <w:sz w:val="24"/>
          <w:szCs w:val="24"/>
          <w:lang w:eastAsia="en-GB"/>
        </w:rPr>
        <w:t xml:space="preserve">Elwyn, Benjamin K., "Multiplicity: A New Reading of Sartrean Bad Faith", </w:t>
      </w:r>
      <w:r w:rsidRPr="006C1A58">
        <w:rPr>
          <w:rFonts w:ascii="Times New Roman" w:eastAsia="Times New Roman" w:hAnsi="Times New Roman" w:cs="Times New Roman"/>
          <w:i/>
          <w:color w:val="000000"/>
          <w:sz w:val="24"/>
          <w:szCs w:val="24"/>
          <w:lang w:eastAsia="en-GB"/>
        </w:rPr>
        <w:t>British Journal for the History of Philosophy</w:t>
      </w:r>
      <w:r w:rsidRPr="00FE677F">
        <w:rPr>
          <w:rFonts w:ascii="Times New Roman" w:eastAsia="Times New Roman" w:hAnsi="Times New Roman" w:cs="Times New Roman"/>
          <w:color w:val="000000"/>
          <w:sz w:val="24"/>
          <w:szCs w:val="24"/>
          <w:lang w:eastAsia="en-GB"/>
        </w:rPr>
        <w:t>, 20 (2012), 601-618 &lt;https://doi.org/10.1080/09608788.2012.671583&gt;</w:t>
      </w:r>
    </w:p>
    <w:p w:rsidR="00FE677F" w:rsidRPr="00FE677F" w:rsidRDefault="00FE677F" w:rsidP="00FE677F">
      <w:pPr>
        <w:spacing w:after="0" w:line="240" w:lineRule="auto"/>
        <w:rPr>
          <w:rFonts w:ascii="Times New Roman" w:eastAsia="Times New Roman" w:hAnsi="Times New Roman" w:cs="Times New Roman"/>
          <w:color w:val="000000"/>
          <w:sz w:val="24"/>
          <w:szCs w:val="24"/>
          <w:lang w:eastAsia="en-GB"/>
        </w:rPr>
      </w:pPr>
    </w:p>
    <w:p w:rsidR="00FE677F" w:rsidRDefault="00FE677F" w:rsidP="00FE677F">
      <w:pPr>
        <w:spacing w:after="0" w:line="240" w:lineRule="auto"/>
        <w:rPr>
          <w:rFonts w:ascii="Times New Roman" w:eastAsia="Times New Roman" w:hAnsi="Times New Roman" w:cs="Times New Roman"/>
          <w:color w:val="000000"/>
          <w:sz w:val="24"/>
          <w:szCs w:val="24"/>
          <w:lang w:eastAsia="en-GB"/>
        </w:rPr>
      </w:pPr>
      <w:r w:rsidRPr="00FE677F">
        <w:rPr>
          <w:rFonts w:ascii="Times New Roman" w:eastAsia="Times New Roman" w:hAnsi="Times New Roman" w:cs="Times New Roman"/>
          <w:color w:val="000000"/>
          <w:sz w:val="24"/>
          <w:szCs w:val="24"/>
          <w:lang w:eastAsia="en-GB"/>
        </w:rPr>
        <w:t xml:space="preserve">Laing, R. D, </w:t>
      </w:r>
      <w:r w:rsidRPr="006C1A58">
        <w:rPr>
          <w:rFonts w:ascii="Times New Roman" w:eastAsia="Times New Roman" w:hAnsi="Times New Roman" w:cs="Times New Roman"/>
          <w:i/>
          <w:color w:val="000000"/>
          <w:sz w:val="24"/>
          <w:szCs w:val="24"/>
          <w:lang w:eastAsia="en-GB"/>
        </w:rPr>
        <w:t>R.D. Laing: Selected Works</w:t>
      </w:r>
      <w:r w:rsidRPr="00FE677F">
        <w:rPr>
          <w:rFonts w:ascii="Times New Roman" w:eastAsia="Times New Roman" w:hAnsi="Times New Roman" w:cs="Times New Roman"/>
          <w:color w:val="000000"/>
          <w:sz w:val="24"/>
          <w:szCs w:val="24"/>
          <w:lang w:eastAsia="en-GB"/>
        </w:rPr>
        <w:t xml:space="preserve"> (London: Routledge, 1999)</w:t>
      </w:r>
    </w:p>
    <w:p w:rsidR="003E4516" w:rsidRDefault="003E4516" w:rsidP="00FE677F">
      <w:pPr>
        <w:spacing w:after="0" w:line="240" w:lineRule="auto"/>
        <w:rPr>
          <w:rFonts w:ascii="Times New Roman" w:eastAsia="Times New Roman" w:hAnsi="Times New Roman" w:cs="Times New Roman"/>
          <w:color w:val="000000"/>
          <w:sz w:val="24"/>
          <w:szCs w:val="24"/>
          <w:lang w:eastAsia="en-GB"/>
        </w:rPr>
      </w:pPr>
    </w:p>
    <w:p w:rsidR="003E4516" w:rsidRPr="00FE677F" w:rsidRDefault="003E4516" w:rsidP="00FE677F">
      <w:pPr>
        <w:spacing w:after="0" w:line="240" w:lineRule="auto"/>
        <w:rPr>
          <w:rFonts w:ascii="Times New Roman" w:eastAsia="Times New Roman" w:hAnsi="Times New Roman" w:cs="Times New Roman"/>
          <w:color w:val="000000"/>
          <w:sz w:val="24"/>
          <w:szCs w:val="24"/>
          <w:lang w:eastAsia="en-GB"/>
        </w:rPr>
      </w:pPr>
      <w:r w:rsidRPr="003E4516">
        <w:rPr>
          <w:rFonts w:ascii="Times New Roman" w:eastAsia="Times New Roman" w:hAnsi="Times New Roman" w:cs="Times New Roman"/>
          <w:color w:val="000000"/>
          <w:sz w:val="24"/>
          <w:szCs w:val="24"/>
          <w:lang w:eastAsia="en-GB"/>
        </w:rPr>
        <w:t xml:space="preserve">Landau, </w:t>
      </w:r>
      <w:proofErr w:type="spellStart"/>
      <w:r w:rsidRPr="003E4516">
        <w:rPr>
          <w:rFonts w:ascii="Times New Roman" w:eastAsia="Times New Roman" w:hAnsi="Times New Roman" w:cs="Times New Roman"/>
          <w:color w:val="000000"/>
          <w:sz w:val="24"/>
          <w:szCs w:val="24"/>
          <w:lang w:eastAsia="en-GB"/>
        </w:rPr>
        <w:t>Iddo</w:t>
      </w:r>
      <w:proofErr w:type="spellEnd"/>
      <w:r w:rsidRPr="003E4516">
        <w:rPr>
          <w:rFonts w:ascii="Times New Roman" w:eastAsia="Times New Roman" w:hAnsi="Times New Roman" w:cs="Times New Roman"/>
          <w:color w:val="000000"/>
          <w:sz w:val="24"/>
          <w:szCs w:val="24"/>
          <w:lang w:eastAsia="en-GB"/>
        </w:rPr>
        <w:t>, "</w:t>
      </w:r>
      <w:proofErr w:type="spellStart"/>
      <w:r w:rsidRPr="003E4516">
        <w:rPr>
          <w:rFonts w:ascii="Times New Roman" w:eastAsia="Times New Roman" w:hAnsi="Times New Roman" w:cs="Times New Roman"/>
          <w:color w:val="000000"/>
          <w:sz w:val="24"/>
          <w:szCs w:val="24"/>
          <w:lang w:eastAsia="en-GB"/>
        </w:rPr>
        <w:t>Foundationless</w:t>
      </w:r>
      <w:proofErr w:type="spellEnd"/>
      <w:r w:rsidRPr="003E4516">
        <w:rPr>
          <w:rFonts w:ascii="Times New Roman" w:eastAsia="Times New Roman" w:hAnsi="Times New Roman" w:cs="Times New Roman"/>
          <w:color w:val="000000"/>
          <w:sz w:val="24"/>
          <w:szCs w:val="24"/>
          <w:lang w:eastAsia="en-GB"/>
        </w:rPr>
        <w:t xml:space="preserve"> Freedom and Meaninglessness of Life in</w:t>
      </w:r>
      <w:r>
        <w:rPr>
          <w:rFonts w:ascii="Times New Roman" w:eastAsia="Times New Roman" w:hAnsi="Times New Roman" w:cs="Times New Roman"/>
          <w:color w:val="000000"/>
          <w:sz w:val="24"/>
          <w:szCs w:val="24"/>
          <w:lang w:eastAsia="en-GB"/>
        </w:rPr>
        <w:t xml:space="preserve"> Sartre's: Being a</w:t>
      </w:r>
      <w:r w:rsidRPr="003E4516">
        <w:rPr>
          <w:rFonts w:ascii="Times New Roman" w:eastAsia="Times New Roman" w:hAnsi="Times New Roman" w:cs="Times New Roman"/>
          <w:color w:val="000000"/>
          <w:sz w:val="24"/>
          <w:szCs w:val="24"/>
          <w:lang w:eastAsia="en-GB"/>
        </w:rPr>
        <w:t xml:space="preserve">nd Nothingness", </w:t>
      </w:r>
      <w:r w:rsidRPr="006C1A58">
        <w:rPr>
          <w:rFonts w:ascii="Times New Roman" w:eastAsia="Times New Roman" w:hAnsi="Times New Roman" w:cs="Times New Roman"/>
          <w:i/>
          <w:color w:val="000000"/>
          <w:sz w:val="24"/>
          <w:szCs w:val="24"/>
          <w:lang w:eastAsia="en-GB"/>
        </w:rPr>
        <w:t>Sartre Studies International</w:t>
      </w:r>
      <w:r w:rsidRPr="003E4516">
        <w:rPr>
          <w:rFonts w:ascii="Times New Roman" w:eastAsia="Times New Roman" w:hAnsi="Times New Roman" w:cs="Times New Roman"/>
          <w:color w:val="000000"/>
          <w:sz w:val="24"/>
          <w:szCs w:val="24"/>
          <w:lang w:eastAsia="en-GB"/>
        </w:rPr>
        <w:t>, 18 (2012), 1-8 &lt;https://doi.org/10.3167/ssi.2012.180101&gt;</w:t>
      </w:r>
    </w:p>
    <w:p w:rsidR="00FE677F" w:rsidRPr="00FE677F" w:rsidRDefault="00FE677F" w:rsidP="00FE677F">
      <w:pPr>
        <w:spacing w:after="0" w:line="240" w:lineRule="auto"/>
        <w:rPr>
          <w:rFonts w:ascii="Times New Roman" w:eastAsia="Times New Roman" w:hAnsi="Times New Roman" w:cs="Times New Roman"/>
          <w:color w:val="000000"/>
          <w:sz w:val="24"/>
          <w:szCs w:val="24"/>
          <w:lang w:eastAsia="en-GB"/>
        </w:rPr>
      </w:pPr>
    </w:p>
    <w:p w:rsidR="00FE677F" w:rsidRPr="00FE677F" w:rsidRDefault="00FE677F" w:rsidP="00FE677F">
      <w:pPr>
        <w:spacing w:after="0" w:line="240" w:lineRule="auto"/>
        <w:rPr>
          <w:rFonts w:ascii="Times New Roman" w:eastAsia="Times New Roman" w:hAnsi="Times New Roman" w:cs="Times New Roman"/>
          <w:color w:val="000000"/>
          <w:sz w:val="24"/>
          <w:szCs w:val="24"/>
          <w:lang w:eastAsia="en-GB"/>
        </w:rPr>
      </w:pPr>
      <w:r w:rsidRPr="00FE677F">
        <w:rPr>
          <w:rFonts w:ascii="Times New Roman" w:eastAsia="Times New Roman" w:hAnsi="Times New Roman" w:cs="Times New Roman"/>
          <w:color w:val="000000"/>
          <w:sz w:val="24"/>
          <w:szCs w:val="24"/>
          <w:lang w:eastAsia="en-GB"/>
        </w:rPr>
        <w:t xml:space="preserve">O'Malley, Joseph, and Karl Marx, </w:t>
      </w:r>
      <w:r w:rsidRPr="006C1A58">
        <w:rPr>
          <w:rFonts w:ascii="Times New Roman" w:eastAsia="Times New Roman" w:hAnsi="Times New Roman" w:cs="Times New Roman"/>
          <w:i/>
          <w:color w:val="000000"/>
          <w:sz w:val="24"/>
          <w:szCs w:val="24"/>
          <w:lang w:eastAsia="en-GB"/>
        </w:rPr>
        <w:t>Critique Of Hegel's 'Philosophy of Right'</w:t>
      </w:r>
      <w:r w:rsidRPr="00FE677F">
        <w:rPr>
          <w:rFonts w:ascii="Times New Roman" w:eastAsia="Times New Roman" w:hAnsi="Times New Roman" w:cs="Times New Roman"/>
          <w:color w:val="000000"/>
          <w:sz w:val="24"/>
          <w:szCs w:val="24"/>
          <w:lang w:eastAsia="en-GB"/>
        </w:rPr>
        <w:t xml:space="preserve"> (Cambridge, U.K.: Cambridge University Press, 1970), p. 131</w:t>
      </w:r>
    </w:p>
    <w:p w:rsidR="00FE677F" w:rsidRPr="00FE677F" w:rsidRDefault="00FE677F" w:rsidP="00FE677F">
      <w:pPr>
        <w:spacing w:after="0" w:line="240" w:lineRule="auto"/>
        <w:rPr>
          <w:rFonts w:ascii="Times New Roman" w:eastAsia="Times New Roman" w:hAnsi="Times New Roman" w:cs="Times New Roman"/>
          <w:color w:val="000000"/>
          <w:sz w:val="24"/>
          <w:szCs w:val="24"/>
          <w:lang w:eastAsia="en-GB"/>
        </w:rPr>
      </w:pPr>
    </w:p>
    <w:p w:rsidR="00FE677F" w:rsidRPr="00FE677F" w:rsidRDefault="00FE677F" w:rsidP="00FE677F">
      <w:pPr>
        <w:spacing w:after="0" w:line="240" w:lineRule="auto"/>
        <w:rPr>
          <w:rFonts w:ascii="Times New Roman" w:eastAsia="Times New Roman" w:hAnsi="Times New Roman" w:cs="Times New Roman"/>
          <w:color w:val="000000"/>
          <w:sz w:val="24"/>
          <w:szCs w:val="24"/>
          <w:lang w:eastAsia="en-GB"/>
        </w:rPr>
      </w:pPr>
      <w:r w:rsidRPr="00FE677F">
        <w:rPr>
          <w:rFonts w:ascii="Times New Roman" w:eastAsia="Times New Roman" w:hAnsi="Times New Roman" w:cs="Times New Roman"/>
          <w:color w:val="000000"/>
          <w:sz w:val="24"/>
          <w:szCs w:val="24"/>
          <w:lang w:eastAsia="en-GB"/>
        </w:rPr>
        <w:t xml:space="preserve">Sartre, Jean-Paul, and Stephen Priest, </w:t>
      </w:r>
      <w:r w:rsidRPr="006C1A58">
        <w:rPr>
          <w:rFonts w:ascii="Times New Roman" w:eastAsia="Times New Roman" w:hAnsi="Times New Roman" w:cs="Times New Roman"/>
          <w:i/>
          <w:color w:val="000000"/>
          <w:sz w:val="24"/>
          <w:szCs w:val="24"/>
          <w:lang w:eastAsia="en-GB"/>
        </w:rPr>
        <w:t>Jean-Paul Sartre: Basic Writings</w:t>
      </w:r>
      <w:r w:rsidRPr="00FE677F">
        <w:rPr>
          <w:rFonts w:ascii="Times New Roman" w:eastAsia="Times New Roman" w:hAnsi="Times New Roman" w:cs="Times New Roman"/>
          <w:color w:val="000000"/>
          <w:sz w:val="24"/>
          <w:szCs w:val="24"/>
          <w:lang w:eastAsia="en-GB"/>
        </w:rPr>
        <w:t xml:space="preserve"> (London: Routledge, 2005)</w:t>
      </w:r>
    </w:p>
    <w:p w:rsidR="00FE677F" w:rsidRPr="00FE677F" w:rsidRDefault="00FE677F" w:rsidP="00FE677F">
      <w:pPr>
        <w:spacing w:after="0" w:line="240" w:lineRule="auto"/>
        <w:rPr>
          <w:rFonts w:ascii="Times New Roman" w:eastAsia="Times New Roman" w:hAnsi="Times New Roman" w:cs="Times New Roman"/>
          <w:color w:val="000000"/>
          <w:sz w:val="24"/>
          <w:szCs w:val="24"/>
          <w:lang w:eastAsia="en-GB"/>
        </w:rPr>
      </w:pPr>
    </w:p>
    <w:p w:rsidR="00FE677F" w:rsidRPr="00FE677F" w:rsidRDefault="00FE677F" w:rsidP="00FE677F">
      <w:pPr>
        <w:spacing w:after="0" w:line="240" w:lineRule="auto"/>
        <w:rPr>
          <w:rFonts w:ascii="Times New Roman" w:eastAsia="Times New Roman" w:hAnsi="Times New Roman" w:cs="Times New Roman"/>
          <w:color w:val="000000"/>
          <w:sz w:val="24"/>
          <w:szCs w:val="24"/>
          <w:lang w:eastAsia="en-GB"/>
        </w:rPr>
      </w:pPr>
      <w:r w:rsidRPr="00FE677F">
        <w:rPr>
          <w:rFonts w:ascii="Times New Roman" w:eastAsia="Times New Roman" w:hAnsi="Times New Roman" w:cs="Times New Roman"/>
          <w:color w:val="000000"/>
          <w:sz w:val="24"/>
          <w:szCs w:val="24"/>
          <w:lang w:eastAsia="en-GB"/>
        </w:rPr>
        <w:t xml:space="preserve">Sartre, Jean-Paul, </w:t>
      </w:r>
      <w:r w:rsidRPr="006C1A58">
        <w:rPr>
          <w:rFonts w:ascii="Times New Roman" w:eastAsia="Times New Roman" w:hAnsi="Times New Roman" w:cs="Times New Roman"/>
          <w:i/>
          <w:color w:val="000000"/>
          <w:sz w:val="24"/>
          <w:szCs w:val="24"/>
          <w:lang w:eastAsia="en-GB"/>
        </w:rPr>
        <w:t>Being and Nothingness</w:t>
      </w:r>
      <w:r w:rsidRPr="00FE677F">
        <w:rPr>
          <w:rFonts w:ascii="Times New Roman" w:eastAsia="Times New Roman" w:hAnsi="Times New Roman" w:cs="Times New Roman"/>
          <w:color w:val="000000"/>
          <w:sz w:val="24"/>
          <w:szCs w:val="24"/>
          <w:lang w:eastAsia="en-GB"/>
        </w:rPr>
        <w:t xml:space="preserve"> (New York: Routledge, 1956), p. </w:t>
      </w:r>
      <w:r w:rsidR="003E4516">
        <w:rPr>
          <w:rFonts w:ascii="Times New Roman" w:eastAsia="Times New Roman" w:hAnsi="Times New Roman" w:cs="Times New Roman"/>
          <w:color w:val="000000"/>
          <w:sz w:val="24"/>
          <w:szCs w:val="24"/>
          <w:lang w:eastAsia="en-GB"/>
        </w:rPr>
        <w:t xml:space="preserve">7, </w:t>
      </w:r>
      <w:r w:rsidRPr="00FE677F">
        <w:rPr>
          <w:rFonts w:ascii="Times New Roman" w:eastAsia="Times New Roman" w:hAnsi="Times New Roman" w:cs="Times New Roman"/>
          <w:color w:val="000000"/>
          <w:sz w:val="24"/>
          <w:szCs w:val="24"/>
          <w:lang w:eastAsia="en-GB"/>
        </w:rPr>
        <w:t>82</w:t>
      </w:r>
      <w:r w:rsidR="003E4516">
        <w:rPr>
          <w:rFonts w:ascii="Times New Roman" w:eastAsia="Times New Roman" w:hAnsi="Times New Roman" w:cs="Times New Roman"/>
          <w:color w:val="000000"/>
          <w:sz w:val="24"/>
          <w:szCs w:val="24"/>
          <w:lang w:eastAsia="en-GB"/>
        </w:rPr>
        <w:t>-134</w:t>
      </w:r>
    </w:p>
    <w:p w:rsidR="00FE677F" w:rsidRPr="00FE677F" w:rsidRDefault="00FE677F" w:rsidP="00FE677F">
      <w:pPr>
        <w:spacing w:after="0" w:line="240" w:lineRule="auto"/>
        <w:rPr>
          <w:rFonts w:ascii="Times New Roman" w:eastAsia="Times New Roman" w:hAnsi="Times New Roman" w:cs="Times New Roman"/>
          <w:color w:val="000000"/>
          <w:sz w:val="24"/>
          <w:szCs w:val="24"/>
          <w:lang w:eastAsia="en-GB"/>
        </w:rPr>
      </w:pPr>
    </w:p>
    <w:p w:rsidR="00420D60" w:rsidRPr="00B03E88" w:rsidRDefault="00FE677F" w:rsidP="00FE677F">
      <w:pPr>
        <w:spacing w:after="0" w:line="240" w:lineRule="auto"/>
        <w:rPr>
          <w:rFonts w:ascii="Times New Roman" w:eastAsia="Times New Roman" w:hAnsi="Times New Roman" w:cs="Times New Roman"/>
          <w:color w:val="000000"/>
          <w:sz w:val="24"/>
          <w:szCs w:val="24"/>
          <w:lang w:eastAsia="en-GB"/>
        </w:rPr>
      </w:pPr>
      <w:r w:rsidRPr="00FE677F">
        <w:rPr>
          <w:rFonts w:ascii="Times New Roman" w:eastAsia="Times New Roman" w:hAnsi="Times New Roman" w:cs="Times New Roman"/>
          <w:color w:val="000000"/>
          <w:sz w:val="24"/>
          <w:szCs w:val="24"/>
          <w:lang w:eastAsia="en-GB"/>
        </w:rPr>
        <w:t xml:space="preserve">Sartre, Jean-Paul, </w:t>
      </w:r>
      <w:r w:rsidRPr="006C1A58">
        <w:rPr>
          <w:rFonts w:ascii="Times New Roman" w:eastAsia="Times New Roman" w:hAnsi="Times New Roman" w:cs="Times New Roman"/>
          <w:i/>
          <w:color w:val="000000"/>
          <w:sz w:val="24"/>
          <w:szCs w:val="24"/>
          <w:lang w:eastAsia="en-GB"/>
        </w:rPr>
        <w:t>Existentialism &amp; Humanism</w:t>
      </w:r>
      <w:r w:rsidRPr="00FE677F">
        <w:rPr>
          <w:rFonts w:ascii="Times New Roman" w:eastAsia="Times New Roman" w:hAnsi="Times New Roman" w:cs="Times New Roman"/>
          <w:color w:val="000000"/>
          <w:sz w:val="24"/>
          <w:szCs w:val="24"/>
          <w:lang w:eastAsia="en-GB"/>
        </w:rPr>
        <w:t xml:space="preserve"> (Methuen, 1987), pp. 42-55</w:t>
      </w:r>
    </w:p>
    <w:sectPr w:rsidR="00420D60" w:rsidRPr="00B03E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F282B" w:rsidRDefault="001F282B" w:rsidP="00FF148B">
      <w:pPr>
        <w:spacing w:after="0" w:line="240" w:lineRule="auto"/>
      </w:pPr>
      <w:r>
        <w:separator/>
      </w:r>
    </w:p>
  </w:endnote>
  <w:endnote w:type="continuationSeparator" w:id="0">
    <w:p w:rsidR="001F282B" w:rsidRDefault="001F282B" w:rsidP="00FF14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F282B" w:rsidRDefault="001F282B" w:rsidP="00FF148B">
      <w:pPr>
        <w:spacing w:after="0" w:line="240" w:lineRule="auto"/>
      </w:pPr>
      <w:r>
        <w:separator/>
      </w:r>
    </w:p>
  </w:footnote>
  <w:footnote w:type="continuationSeparator" w:id="0">
    <w:p w:rsidR="001F282B" w:rsidRDefault="001F282B" w:rsidP="00FF148B">
      <w:pPr>
        <w:spacing w:after="0" w:line="240" w:lineRule="auto"/>
      </w:pPr>
      <w:r>
        <w:continuationSeparator/>
      </w:r>
    </w:p>
  </w:footnote>
  <w:footnote w:id="1">
    <w:p w:rsidR="009D19F9" w:rsidRPr="003D11C8" w:rsidRDefault="009D19F9">
      <w:pPr>
        <w:pStyle w:val="FootnoteText"/>
        <w:rPr>
          <w:rFonts w:ascii="Calibri" w:hAnsi="Calibri" w:cs="Calibri"/>
        </w:rPr>
      </w:pPr>
      <w:r w:rsidRPr="003D11C8">
        <w:rPr>
          <w:rStyle w:val="FootnoteReference"/>
          <w:rFonts w:ascii="Calibri" w:hAnsi="Calibri" w:cs="Calibri"/>
        </w:rPr>
        <w:footnoteRef/>
      </w:r>
      <w:r w:rsidRPr="003D11C8">
        <w:rPr>
          <w:rFonts w:ascii="Calibri" w:hAnsi="Calibri" w:cs="Calibri"/>
        </w:rPr>
        <w:t xml:space="preserve"> </w:t>
      </w:r>
      <w:r w:rsidRPr="003D11C8">
        <w:rPr>
          <w:rFonts w:ascii="Calibri" w:hAnsi="Calibri" w:cs="Calibri"/>
          <w:color w:val="000000"/>
          <w:shd w:val="clear" w:color="auto" w:fill="FFFFFF"/>
        </w:rPr>
        <w:t>Joseph O'Malley and Karl Marx, </w:t>
      </w:r>
      <w:r w:rsidRPr="003D11C8">
        <w:rPr>
          <w:rFonts w:ascii="Calibri" w:hAnsi="Calibri" w:cs="Calibri"/>
          <w:i/>
          <w:iCs/>
          <w:color w:val="000000"/>
          <w:shd w:val="clear" w:color="auto" w:fill="FFFFFF"/>
        </w:rPr>
        <w:t>Critique Of Hegel's 'Philosophy Of Right'</w:t>
      </w:r>
      <w:r w:rsidRPr="003D11C8">
        <w:rPr>
          <w:rFonts w:ascii="Calibri" w:hAnsi="Calibri" w:cs="Calibri"/>
          <w:color w:val="000000"/>
          <w:shd w:val="clear" w:color="auto" w:fill="FFFFFF"/>
        </w:rPr>
        <w:t> (Cambridge, U.K.: Cambridge University Press, 1970), p. 131.</w:t>
      </w:r>
    </w:p>
  </w:footnote>
  <w:footnote w:id="2">
    <w:p w:rsidR="009D19F9" w:rsidRPr="003D11C8" w:rsidRDefault="009D19F9">
      <w:pPr>
        <w:pStyle w:val="FootnoteText"/>
        <w:rPr>
          <w:rFonts w:ascii="Calibri" w:hAnsi="Calibri" w:cs="Calibri"/>
        </w:rPr>
      </w:pPr>
      <w:r w:rsidRPr="003D11C8">
        <w:rPr>
          <w:rStyle w:val="FootnoteReference"/>
          <w:rFonts w:ascii="Calibri" w:hAnsi="Calibri" w:cs="Calibri"/>
        </w:rPr>
        <w:footnoteRef/>
      </w:r>
      <w:r w:rsidRPr="003D11C8">
        <w:rPr>
          <w:rFonts w:ascii="Calibri" w:hAnsi="Calibri" w:cs="Calibri"/>
        </w:rPr>
        <w:t xml:space="preserve"> </w:t>
      </w:r>
      <w:r w:rsidRPr="003D11C8">
        <w:rPr>
          <w:rFonts w:ascii="Calibri" w:hAnsi="Calibri" w:cs="Calibri"/>
          <w:color w:val="000000"/>
          <w:shd w:val="clear" w:color="auto" w:fill="FFFFFF"/>
        </w:rPr>
        <w:t>Jean-Paul Sartre, </w:t>
      </w:r>
      <w:r w:rsidR="00A530CA">
        <w:rPr>
          <w:rFonts w:ascii="Calibri" w:hAnsi="Calibri" w:cs="Calibri"/>
          <w:color w:val="000000"/>
          <w:shd w:val="clear" w:color="auto" w:fill="FFFFFF"/>
        </w:rPr>
        <w:t xml:space="preserve">Paul Mairet (trans.) </w:t>
      </w:r>
      <w:r w:rsidRPr="003D11C8">
        <w:rPr>
          <w:rFonts w:ascii="Calibri" w:hAnsi="Calibri" w:cs="Calibri"/>
          <w:i/>
          <w:iCs/>
          <w:color w:val="000000"/>
          <w:shd w:val="clear" w:color="auto" w:fill="FFFFFF"/>
        </w:rPr>
        <w:t>Existentialism &amp; Humanism</w:t>
      </w:r>
      <w:r w:rsidRPr="003D11C8">
        <w:rPr>
          <w:rFonts w:ascii="Calibri" w:hAnsi="Calibri" w:cs="Calibri"/>
          <w:color w:val="000000"/>
          <w:shd w:val="clear" w:color="auto" w:fill="FFFFFF"/>
        </w:rPr>
        <w:t> (Methuen, 1987), pp. 42-55.</w:t>
      </w:r>
    </w:p>
  </w:footnote>
  <w:footnote w:id="3">
    <w:p w:rsidR="009D19F9" w:rsidRPr="003D11C8" w:rsidRDefault="009D19F9">
      <w:pPr>
        <w:pStyle w:val="FootnoteText"/>
        <w:rPr>
          <w:rFonts w:ascii="Calibri" w:hAnsi="Calibri" w:cs="Calibri"/>
        </w:rPr>
      </w:pPr>
      <w:r w:rsidRPr="003D11C8">
        <w:rPr>
          <w:rStyle w:val="FootnoteReference"/>
          <w:rFonts w:ascii="Calibri" w:hAnsi="Calibri" w:cs="Calibri"/>
        </w:rPr>
        <w:footnoteRef/>
      </w:r>
      <w:r w:rsidRPr="003D11C8">
        <w:rPr>
          <w:rFonts w:ascii="Calibri" w:hAnsi="Calibri" w:cs="Calibri"/>
        </w:rPr>
        <w:t xml:space="preserve"> </w:t>
      </w:r>
      <w:r w:rsidRPr="003D11C8">
        <w:rPr>
          <w:rFonts w:ascii="Calibri" w:hAnsi="Calibri" w:cs="Calibri"/>
          <w:color w:val="000000"/>
          <w:shd w:val="clear" w:color="auto" w:fill="FFFFFF"/>
        </w:rPr>
        <w:t>Jean-Paul Sartre, </w:t>
      </w:r>
      <w:r w:rsidRPr="003D11C8">
        <w:rPr>
          <w:rFonts w:ascii="Calibri" w:hAnsi="Calibri" w:cs="Calibri"/>
          <w:i/>
          <w:iCs/>
          <w:color w:val="000000"/>
          <w:shd w:val="clear" w:color="auto" w:fill="FFFFFF"/>
        </w:rPr>
        <w:t>Being and Nothingness</w:t>
      </w:r>
      <w:r w:rsidRPr="003D11C8">
        <w:rPr>
          <w:rFonts w:ascii="Calibri" w:hAnsi="Calibri" w:cs="Calibri"/>
          <w:color w:val="000000"/>
          <w:shd w:val="clear" w:color="auto" w:fill="FFFFFF"/>
        </w:rPr>
        <w:t> (New York: Routledge, 1956), p. 82.</w:t>
      </w:r>
    </w:p>
  </w:footnote>
  <w:footnote w:id="4">
    <w:p w:rsidR="009D19F9" w:rsidRPr="003D11C8" w:rsidRDefault="009D19F9">
      <w:pPr>
        <w:pStyle w:val="FootnoteText"/>
        <w:rPr>
          <w:rFonts w:ascii="Calibri" w:hAnsi="Calibri" w:cs="Calibri"/>
        </w:rPr>
      </w:pPr>
      <w:r w:rsidRPr="003D11C8">
        <w:rPr>
          <w:rStyle w:val="FootnoteReference"/>
          <w:rFonts w:ascii="Calibri" w:hAnsi="Calibri" w:cs="Calibri"/>
        </w:rPr>
        <w:footnoteRef/>
      </w:r>
      <w:r w:rsidRPr="003D11C8">
        <w:rPr>
          <w:rFonts w:ascii="Calibri" w:hAnsi="Calibri" w:cs="Calibri"/>
        </w:rPr>
        <w:t xml:space="preserve"> </w:t>
      </w:r>
      <w:r w:rsidRPr="003D11C8">
        <w:rPr>
          <w:rFonts w:ascii="Calibri" w:hAnsi="Calibri" w:cs="Calibri"/>
          <w:color w:val="000000"/>
          <w:shd w:val="clear" w:color="auto" w:fill="FFFFFF"/>
        </w:rPr>
        <w:t>Benjamin K. Elwyn, "Multiplicity: A New Reading of Sartrean Bad Faith", </w:t>
      </w:r>
      <w:r w:rsidRPr="003D11C8">
        <w:rPr>
          <w:rFonts w:ascii="Calibri" w:hAnsi="Calibri" w:cs="Calibri"/>
          <w:i/>
          <w:iCs/>
          <w:color w:val="000000"/>
          <w:shd w:val="clear" w:color="auto" w:fill="FFFFFF"/>
        </w:rPr>
        <w:t>British Journal for the History of Philosophy</w:t>
      </w:r>
      <w:r w:rsidRPr="003D11C8">
        <w:rPr>
          <w:rFonts w:ascii="Calibri" w:hAnsi="Calibri" w:cs="Calibri"/>
          <w:color w:val="000000"/>
          <w:shd w:val="clear" w:color="auto" w:fill="FFFFFF"/>
        </w:rPr>
        <w:t>, 20.3 (2012), 601-618 &lt;https://doi.org/10.1080/09608788.2012.671583&gt;.</w:t>
      </w:r>
    </w:p>
  </w:footnote>
  <w:footnote w:id="5">
    <w:p w:rsidR="00090654" w:rsidRPr="003D11C8" w:rsidRDefault="00090654">
      <w:pPr>
        <w:pStyle w:val="FootnoteText"/>
        <w:rPr>
          <w:rFonts w:ascii="Calibri" w:hAnsi="Calibri" w:cs="Calibri"/>
        </w:rPr>
      </w:pPr>
      <w:r w:rsidRPr="003D11C8">
        <w:rPr>
          <w:rStyle w:val="FootnoteReference"/>
          <w:rFonts w:ascii="Calibri" w:hAnsi="Calibri" w:cs="Calibri"/>
        </w:rPr>
        <w:footnoteRef/>
      </w:r>
      <w:r w:rsidRPr="003D11C8">
        <w:rPr>
          <w:rFonts w:ascii="Calibri" w:hAnsi="Calibri" w:cs="Calibri"/>
        </w:rPr>
        <w:t xml:space="preserve"> </w:t>
      </w:r>
      <w:r w:rsidRPr="003D11C8">
        <w:rPr>
          <w:rFonts w:ascii="Calibri" w:hAnsi="Calibri" w:cs="Calibri"/>
          <w:color w:val="000000"/>
          <w:shd w:val="clear" w:color="auto" w:fill="FFFFFF"/>
        </w:rPr>
        <w:t>Jean-Paul Sartre, </w:t>
      </w:r>
      <w:r w:rsidRPr="003D11C8">
        <w:rPr>
          <w:rFonts w:ascii="Calibri" w:hAnsi="Calibri" w:cs="Calibri"/>
          <w:i/>
          <w:iCs/>
          <w:color w:val="000000"/>
          <w:shd w:val="clear" w:color="auto" w:fill="FFFFFF"/>
        </w:rPr>
        <w:t xml:space="preserve">Being and Nothingness </w:t>
      </w:r>
      <w:r w:rsidRPr="003D11C8">
        <w:rPr>
          <w:rFonts w:ascii="Calibri" w:hAnsi="Calibri" w:cs="Calibri"/>
          <w:color w:val="000000"/>
          <w:shd w:val="clear" w:color="auto" w:fill="FFFFFF"/>
        </w:rPr>
        <w:t>(New York: Routledge, 1956). p. 7</w:t>
      </w:r>
    </w:p>
  </w:footnote>
  <w:footnote w:id="6">
    <w:p w:rsidR="009D19F9" w:rsidRPr="003D11C8" w:rsidRDefault="009D19F9">
      <w:pPr>
        <w:pStyle w:val="FootnoteText"/>
        <w:rPr>
          <w:rFonts w:ascii="Calibri" w:hAnsi="Calibri" w:cs="Calibri"/>
        </w:rPr>
      </w:pPr>
      <w:r w:rsidRPr="003D11C8">
        <w:rPr>
          <w:rStyle w:val="FootnoteReference"/>
          <w:rFonts w:ascii="Calibri" w:hAnsi="Calibri" w:cs="Calibri"/>
        </w:rPr>
        <w:footnoteRef/>
      </w:r>
      <w:r w:rsidRPr="003D11C8">
        <w:rPr>
          <w:rFonts w:ascii="Calibri" w:hAnsi="Calibri" w:cs="Calibri"/>
        </w:rPr>
        <w:t xml:space="preserve"> </w:t>
      </w:r>
      <w:r w:rsidR="00090654" w:rsidRPr="003D11C8">
        <w:rPr>
          <w:rFonts w:ascii="Calibri" w:hAnsi="Calibri" w:cs="Calibri"/>
        </w:rPr>
        <w:t>ibid.</w:t>
      </w:r>
    </w:p>
  </w:footnote>
  <w:footnote w:id="7">
    <w:p w:rsidR="009D19F9" w:rsidRPr="003D11C8" w:rsidRDefault="009D19F9">
      <w:pPr>
        <w:pStyle w:val="FootnoteText"/>
        <w:rPr>
          <w:rFonts w:ascii="Calibri" w:hAnsi="Calibri" w:cs="Calibri"/>
        </w:rPr>
      </w:pPr>
      <w:r w:rsidRPr="003D11C8">
        <w:rPr>
          <w:rStyle w:val="FootnoteReference"/>
          <w:rFonts w:ascii="Calibri" w:hAnsi="Calibri" w:cs="Calibri"/>
        </w:rPr>
        <w:footnoteRef/>
      </w:r>
      <w:r w:rsidRPr="003D11C8">
        <w:rPr>
          <w:rFonts w:ascii="Calibri" w:hAnsi="Calibri" w:cs="Calibri"/>
        </w:rPr>
        <w:t xml:space="preserve"> ibid.</w:t>
      </w:r>
    </w:p>
  </w:footnote>
  <w:footnote w:id="8">
    <w:p w:rsidR="009D19F9" w:rsidRPr="003D11C8" w:rsidRDefault="009D19F9">
      <w:pPr>
        <w:pStyle w:val="FootnoteText"/>
        <w:rPr>
          <w:rFonts w:ascii="Calibri" w:hAnsi="Calibri" w:cs="Calibri"/>
        </w:rPr>
      </w:pPr>
      <w:r w:rsidRPr="003D11C8">
        <w:rPr>
          <w:rStyle w:val="FootnoteReference"/>
          <w:rFonts w:ascii="Calibri" w:hAnsi="Calibri" w:cs="Calibri"/>
        </w:rPr>
        <w:footnoteRef/>
      </w:r>
      <w:r w:rsidRPr="003D11C8">
        <w:rPr>
          <w:rFonts w:ascii="Calibri" w:hAnsi="Calibri" w:cs="Calibri"/>
        </w:rPr>
        <w:t xml:space="preserve"> </w:t>
      </w:r>
      <w:r w:rsidR="00090654" w:rsidRPr="003D11C8">
        <w:rPr>
          <w:rFonts w:ascii="Calibri" w:hAnsi="Calibri" w:cs="Calibri"/>
        </w:rPr>
        <w:t xml:space="preserve">Sartre, </w:t>
      </w:r>
      <w:r w:rsidR="00090654" w:rsidRPr="003D11C8">
        <w:rPr>
          <w:rFonts w:ascii="Calibri" w:hAnsi="Calibri" w:cs="Calibri"/>
          <w:i/>
        </w:rPr>
        <w:t xml:space="preserve">Being and Nothingness. </w:t>
      </w:r>
      <w:r w:rsidR="00090654" w:rsidRPr="003D11C8">
        <w:rPr>
          <w:rFonts w:ascii="Calibri" w:hAnsi="Calibri" w:cs="Calibri"/>
        </w:rPr>
        <w:t>p. 8</w:t>
      </w:r>
    </w:p>
  </w:footnote>
  <w:footnote w:id="9">
    <w:p w:rsidR="009D19F9" w:rsidRPr="00B03E88" w:rsidRDefault="009D19F9">
      <w:pPr>
        <w:pStyle w:val="FootnoteText"/>
        <w:rPr>
          <w:rFonts w:ascii="Calibri" w:hAnsi="Calibri" w:cs="Calibri"/>
          <w:i/>
        </w:rPr>
      </w:pPr>
      <w:r w:rsidRPr="003D11C8">
        <w:rPr>
          <w:rStyle w:val="FootnoteReference"/>
          <w:rFonts w:ascii="Calibri" w:hAnsi="Calibri" w:cs="Calibri"/>
        </w:rPr>
        <w:footnoteRef/>
      </w:r>
      <w:r w:rsidRPr="003D11C8">
        <w:rPr>
          <w:rFonts w:ascii="Calibri" w:hAnsi="Calibri" w:cs="Calibri"/>
        </w:rPr>
        <w:t xml:space="preserve"> </w:t>
      </w:r>
      <w:r w:rsidR="00B03E88">
        <w:rPr>
          <w:rFonts w:ascii="Calibri" w:hAnsi="Calibri" w:cs="Calibri"/>
          <w:color w:val="000000"/>
          <w:shd w:val="clear" w:color="auto" w:fill="FFFFFF"/>
        </w:rPr>
        <w:t xml:space="preserve">Sartre, </w:t>
      </w:r>
      <w:r w:rsidR="00B03E88">
        <w:rPr>
          <w:rFonts w:ascii="Calibri" w:hAnsi="Calibri" w:cs="Calibri"/>
          <w:i/>
          <w:color w:val="000000"/>
          <w:shd w:val="clear" w:color="auto" w:fill="FFFFFF"/>
        </w:rPr>
        <w:t>Existentialism &amp; Humanism. p. 42-55</w:t>
      </w:r>
    </w:p>
  </w:footnote>
  <w:footnote w:id="10">
    <w:p w:rsidR="009D19F9" w:rsidRPr="003D11C8" w:rsidRDefault="009D19F9">
      <w:pPr>
        <w:pStyle w:val="FootnoteText"/>
        <w:rPr>
          <w:rFonts w:ascii="Calibri" w:hAnsi="Calibri" w:cs="Calibri"/>
        </w:rPr>
      </w:pPr>
      <w:r w:rsidRPr="003D11C8">
        <w:rPr>
          <w:rStyle w:val="FootnoteReference"/>
          <w:rFonts w:ascii="Calibri" w:hAnsi="Calibri" w:cs="Calibri"/>
        </w:rPr>
        <w:footnoteRef/>
      </w:r>
      <w:r w:rsidRPr="003D11C8">
        <w:rPr>
          <w:rFonts w:ascii="Calibri" w:hAnsi="Calibri" w:cs="Calibri"/>
        </w:rPr>
        <w:t xml:space="preserve"> </w:t>
      </w:r>
      <w:r w:rsidR="0077652C" w:rsidRPr="003D11C8">
        <w:rPr>
          <w:rFonts w:ascii="Calibri" w:hAnsi="Calibri" w:cs="Calibri"/>
          <w:color w:val="000000"/>
          <w:shd w:val="clear" w:color="auto" w:fill="FFFFFF"/>
        </w:rPr>
        <w:t>Jean-Paul Sartre and Stephen Priest, </w:t>
      </w:r>
      <w:r w:rsidR="0077652C" w:rsidRPr="003D11C8">
        <w:rPr>
          <w:rFonts w:ascii="Calibri" w:hAnsi="Calibri" w:cs="Calibri"/>
          <w:i/>
          <w:iCs/>
          <w:color w:val="000000"/>
          <w:shd w:val="clear" w:color="auto" w:fill="FFFFFF"/>
        </w:rPr>
        <w:t>Jean-Paul Sartre: Basic Writings</w:t>
      </w:r>
      <w:r w:rsidR="0077652C" w:rsidRPr="003D11C8">
        <w:rPr>
          <w:rFonts w:ascii="Calibri" w:hAnsi="Calibri" w:cs="Calibri"/>
          <w:color w:val="000000"/>
          <w:shd w:val="clear" w:color="auto" w:fill="FFFFFF"/>
        </w:rPr>
        <w:t> (London: Routledge, 2005).p. 219</w:t>
      </w:r>
    </w:p>
  </w:footnote>
  <w:footnote w:id="11">
    <w:p w:rsidR="0077652C" w:rsidRPr="003D11C8" w:rsidRDefault="0077652C">
      <w:pPr>
        <w:pStyle w:val="FootnoteText"/>
        <w:rPr>
          <w:rFonts w:ascii="Calibri" w:hAnsi="Calibri" w:cs="Calibri"/>
        </w:rPr>
      </w:pPr>
      <w:r w:rsidRPr="003D11C8">
        <w:rPr>
          <w:rStyle w:val="FootnoteReference"/>
          <w:rFonts w:ascii="Calibri" w:hAnsi="Calibri" w:cs="Calibri"/>
        </w:rPr>
        <w:footnoteRef/>
      </w:r>
      <w:r w:rsidRPr="003D11C8">
        <w:rPr>
          <w:rFonts w:ascii="Calibri" w:hAnsi="Calibri" w:cs="Calibri"/>
        </w:rPr>
        <w:t xml:space="preserve"> </w:t>
      </w:r>
      <w:r w:rsidRPr="003D11C8">
        <w:rPr>
          <w:rFonts w:ascii="Calibri" w:hAnsi="Calibri" w:cs="Calibri"/>
          <w:color w:val="000000"/>
          <w:shd w:val="clear" w:color="auto" w:fill="FFFFFF"/>
        </w:rPr>
        <w:t>Joseph S. Catalano, </w:t>
      </w:r>
      <w:r w:rsidRPr="003D11C8">
        <w:rPr>
          <w:rFonts w:ascii="Calibri" w:hAnsi="Calibri" w:cs="Calibri"/>
          <w:i/>
          <w:iCs/>
          <w:color w:val="000000"/>
          <w:shd w:val="clear" w:color="auto" w:fill="FFFFFF"/>
        </w:rPr>
        <w:t xml:space="preserve">A Commentary </w:t>
      </w:r>
      <w:r w:rsidR="00FE677F" w:rsidRPr="003D11C8">
        <w:rPr>
          <w:rFonts w:ascii="Calibri" w:hAnsi="Calibri" w:cs="Calibri"/>
          <w:i/>
          <w:iCs/>
          <w:color w:val="000000"/>
          <w:shd w:val="clear" w:color="auto" w:fill="FFFFFF"/>
        </w:rPr>
        <w:t>on</w:t>
      </w:r>
      <w:r w:rsidRPr="003D11C8">
        <w:rPr>
          <w:rFonts w:ascii="Calibri" w:hAnsi="Calibri" w:cs="Calibri"/>
          <w:i/>
          <w:iCs/>
          <w:color w:val="000000"/>
          <w:shd w:val="clear" w:color="auto" w:fill="FFFFFF"/>
        </w:rPr>
        <w:t xml:space="preserve"> Jean-Paul Sartre's Being </w:t>
      </w:r>
      <w:r w:rsidR="00FE677F" w:rsidRPr="003D11C8">
        <w:rPr>
          <w:rFonts w:ascii="Calibri" w:hAnsi="Calibri" w:cs="Calibri"/>
          <w:i/>
          <w:iCs/>
          <w:color w:val="000000"/>
          <w:shd w:val="clear" w:color="auto" w:fill="FFFFFF"/>
        </w:rPr>
        <w:t>and</w:t>
      </w:r>
      <w:r w:rsidRPr="003D11C8">
        <w:rPr>
          <w:rFonts w:ascii="Calibri" w:hAnsi="Calibri" w:cs="Calibri"/>
          <w:i/>
          <w:iCs/>
          <w:color w:val="000000"/>
          <w:shd w:val="clear" w:color="auto" w:fill="FFFFFF"/>
        </w:rPr>
        <w:t xml:space="preserve"> Nothingness</w:t>
      </w:r>
      <w:r w:rsidRPr="003D11C8">
        <w:rPr>
          <w:rFonts w:ascii="Calibri" w:hAnsi="Calibri" w:cs="Calibri"/>
          <w:color w:val="000000"/>
          <w:shd w:val="clear" w:color="auto" w:fill="FFFFFF"/>
        </w:rPr>
        <w:t> (Chicago: University of Chicago Press, 1985), pp. 78-95.</w:t>
      </w:r>
    </w:p>
  </w:footnote>
  <w:footnote w:id="12">
    <w:p w:rsidR="003D11C8" w:rsidRPr="00B03E88" w:rsidRDefault="003D11C8">
      <w:pPr>
        <w:pStyle w:val="FootnoteText"/>
        <w:rPr>
          <w:rFonts w:ascii="Calibri" w:hAnsi="Calibri" w:cs="Calibri"/>
        </w:rPr>
      </w:pPr>
      <w:r w:rsidRPr="003D11C8">
        <w:rPr>
          <w:rStyle w:val="FootnoteReference"/>
          <w:rFonts w:ascii="Calibri" w:hAnsi="Calibri" w:cs="Calibri"/>
        </w:rPr>
        <w:footnoteRef/>
      </w:r>
      <w:r w:rsidRPr="003D11C8">
        <w:rPr>
          <w:rFonts w:ascii="Calibri" w:hAnsi="Calibri" w:cs="Calibri"/>
        </w:rPr>
        <w:t xml:space="preserve"> </w:t>
      </w:r>
      <w:r w:rsidR="00B03E88">
        <w:rPr>
          <w:rFonts w:ascii="Calibri" w:hAnsi="Calibri" w:cs="Calibri"/>
        </w:rPr>
        <w:t xml:space="preserve">Sartre, </w:t>
      </w:r>
      <w:r w:rsidR="00B03E88">
        <w:rPr>
          <w:rFonts w:ascii="Calibri" w:hAnsi="Calibri" w:cs="Calibri"/>
          <w:i/>
        </w:rPr>
        <w:t xml:space="preserve">Existentialism &amp; Humanism, </w:t>
      </w:r>
      <w:r w:rsidR="00B03E88">
        <w:rPr>
          <w:rFonts w:ascii="Calibri" w:hAnsi="Calibri" w:cs="Calibri"/>
        </w:rPr>
        <w:t>p. 42-55</w:t>
      </w:r>
    </w:p>
  </w:footnote>
  <w:footnote w:id="13">
    <w:p w:rsidR="00B03E88" w:rsidRPr="00B03E88" w:rsidRDefault="00B03E88">
      <w:pPr>
        <w:pStyle w:val="FootnoteText"/>
      </w:pPr>
      <w:r>
        <w:rPr>
          <w:rStyle w:val="FootnoteReference"/>
        </w:rPr>
        <w:footnoteRef/>
      </w:r>
      <w:r>
        <w:t xml:space="preserve"> Sartre, </w:t>
      </w:r>
      <w:r>
        <w:rPr>
          <w:i/>
        </w:rPr>
        <w:t>Being and Nothingness</w:t>
      </w:r>
      <w:r>
        <w:t>. p. 72</w:t>
      </w:r>
    </w:p>
  </w:footnote>
  <w:footnote w:id="14">
    <w:p w:rsidR="00B03E88" w:rsidRPr="00B03E88" w:rsidRDefault="00B03E88">
      <w:pPr>
        <w:pStyle w:val="FootnoteText"/>
      </w:pPr>
      <w:r>
        <w:rPr>
          <w:rStyle w:val="FootnoteReference"/>
        </w:rPr>
        <w:footnoteRef/>
      </w:r>
      <w:r>
        <w:t xml:space="preserve"> Sartre, </w:t>
      </w:r>
      <w:r>
        <w:rPr>
          <w:i/>
        </w:rPr>
        <w:t xml:space="preserve">Existentialism &amp; Humanism, </w:t>
      </w:r>
      <w:r>
        <w:t>p. 42-55</w:t>
      </w:r>
    </w:p>
  </w:footnote>
  <w:footnote w:id="15">
    <w:p w:rsidR="00A530CA" w:rsidRPr="00A530CA" w:rsidRDefault="00A530CA">
      <w:pPr>
        <w:pStyle w:val="FootnoteText"/>
      </w:pPr>
      <w:r>
        <w:rPr>
          <w:rStyle w:val="FootnoteReference"/>
        </w:rPr>
        <w:footnoteRef/>
      </w:r>
      <w:r>
        <w:t xml:space="preserve"> Sartre, </w:t>
      </w:r>
      <w:r>
        <w:rPr>
          <w:i/>
        </w:rPr>
        <w:t>Being and Nothingness</w:t>
      </w:r>
      <w:r>
        <w:t xml:space="preserve">. </w:t>
      </w:r>
      <w:r w:rsidR="00624F6F">
        <w:t>p. 133-134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148B"/>
    <w:rsid w:val="000172DA"/>
    <w:rsid w:val="00090654"/>
    <w:rsid w:val="0014284F"/>
    <w:rsid w:val="001F282B"/>
    <w:rsid w:val="003145DF"/>
    <w:rsid w:val="00327CB5"/>
    <w:rsid w:val="00336A05"/>
    <w:rsid w:val="003D11C8"/>
    <w:rsid w:val="003E4516"/>
    <w:rsid w:val="00420D60"/>
    <w:rsid w:val="00422DC8"/>
    <w:rsid w:val="00435F0F"/>
    <w:rsid w:val="004B3F0B"/>
    <w:rsid w:val="005572E9"/>
    <w:rsid w:val="00624F6F"/>
    <w:rsid w:val="006265B8"/>
    <w:rsid w:val="00641465"/>
    <w:rsid w:val="00661785"/>
    <w:rsid w:val="006C1A58"/>
    <w:rsid w:val="0077652C"/>
    <w:rsid w:val="008931AF"/>
    <w:rsid w:val="008A2097"/>
    <w:rsid w:val="008F56E1"/>
    <w:rsid w:val="00985B3B"/>
    <w:rsid w:val="00992E3C"/>
    <w:rsid w:val="009D0829"/>
    <w:rsid w:val="009D19F9"/>
    <w:rsid w:val="00A530CA"/>
    <w:rsid w:val="00AD7E7B"/>
    <w:rsid w:val="00B03E88"/>
    <w:rsid w:val="00C81D12"/>
    <w:rsid w:val="00D23F7E"/>
    <w:rsid w:val="00DB1972"/>
    <w:rsid w:val="00DC2B35"/>
    <w:rsid w:val="00E6134C"/>
    <w:rsid w:val="00F21919"/>
    <w:rsid w:val="00FE677F"/>
    <w:rsid w:val="00FF1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B551791-3760-469F-B3C4-2409A9E9E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F148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FF148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F148B"/>
    <w:rPr>
      <w:sz w:val="20"/>
      <w:szCs w:val="20"/>
    </w:rPr>
  </w:style>
  <w:style w:type="character" w:styleId="FootnoteReference">
    <w:name w:val="footnote reference"/>
    <w:basedOn w:val="DefaultParagraphFont"/>
    <w:uiPriority w:val="99"/>
    <w:semiHidden/>
    <w:unhideWhenUsed/>
    <w:rsid w:val="00FF148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7943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2069</Words>
  <Characters>11794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Barrow</dc:creator>
  <cp:keywords/>
  <dc:description/>
  <cp:lastModifiedBy>James Barrow</cp:lastModifiedBy>
  <cp:revision>2</cp:revision>
  <dcterms:created xsi:type="dcterms:W3CDTF">2019-11-15T12:16:00Z</dcterms:created>
  <dcterms:modified xsi:type="dcterms:W3CDTF">2019-11-15T12:16:00Z</dcterms:modified>
</cp:coreProperties>
</file>