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801309534"/>
        <w:docPartObj>
          <w:docPartGallery w:val="Cover Pages"/>
          <w:docPartUnique/>
        </w:docPartObj>
      </w:sdtPr>
      <w:sdtContent>
        <w:p w14:paraId="20FD642B" w14:textId="656B801D" w:rsidR="002946F0" w:rsidRDefault="002946F0">
          <w:r>
            <w:rPr>
              <w:noProof/>
            </w:rPr>
            <mc:AlternateContent>
              <mc:Choice Requires="wps">
                <w:drawing>
                  <wp:anchor distT="0" distB="0" distL="114300" distR="114300" simplePos="0" relativeHeight="251659264" behindDoc="1" locked="0" layoutInCell="1" allowOverlap="0" wp14:anchorId="33F89B31" wp14:editId="7540CA70">
                    <wp:simplePos x="0" y="0"/>
                    <wp:positionH relativeFrom="page">
                      <wp:align>center</wp:align>
                    </wp:positionH>
                    <wp:positionV relativeFrom="page">
                      <wp:align>center</wp:align>
                    </wp:positionV>
                    <wp:extent cx="6858000" cy="9144000"/>
                    <wp:effectExtent l="0" t="0" r="0" b="0"/>
                    <wp:wrapNone/>
                    <wp:docPr id="1" name="Text Box 2" descr="Cover page layout"/>
                    <wp:cNvGraphicFramePr/>
                    <a:graphic xmlns:a="http://schemas.openxmlformats.org/drawingml/2006/main">
                      <a:graphicData uri="http://schemas.microsoft.com/office/word/2010/wordprocessingShape">
                        <wps:wsp>
                          <wps:cNvSpPr txBox="1"/>
                          <wps:spPr>
                            <a:xfrm>
                              <a:off x="0" y="0"/>
                              <a:ext cx="6858000" cy="9144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tblCellMar>
                                    <w:left w:w="0" w:type="dxa"/>
                                    <w:right w:w="0" w:type="dxa"/>
                                  </w:tblCellMar>
                                  <w:tblLook w:val="04A0" w:firstRow="1" w:lastRow="0" w:firstColumn="1" w:lastColumn="0" w:noHBand="0" w:noVBand="1"/>
                                  <w:tblDescription w:val="Cover page layout"/>
                                </w:tblPr>
                                <w:tblGrid>
                                  <w:gridCol w:w="10805"/>
                                </w:tblGrid>
                                <w:tr w:rsidR="002946F0" w14:paraId="317EA873" w14:textId="77777777">
                                  <w:trPr>
                                    <w:trHeight w:hRule="exact" w:val="9360"/>
                                  </w:trPr>
                                  <w:tc>
                                    <w:tcPr>
                                      <w:tcW w:w="9350" w:type="dxa"/>
                                    </w:tcPr>
                                    <w:p w14:paraId="388DC300" w14:textId="77777777" w:rsidR="002946F0" w:rsidRDefault="002946F0">
                                      <w:r>
                                        <w:rPr>
                                          <w:noProof/>
                                        </w:rPr>
                                        <w:drawing>
                                          <wp:inline distT="0" distB="0" distL="0" distR="0" wp14:anchorId="2D810DB6" wp14:editId="4AF7D6EF">
                                            <wp:extent cx="6858000" cy="5961888"/>
                                            <wp:effectExtent l="0" t="0" r="0" b="1270"/>
                                            <wp:docPr id="5" name="Picture 4" descr="Photo displaying partial image of two pie charts on a canvas-textured page"/>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rotWithShape="1">
                                                    <a:blip r:embed="rId11" cstate="print">
                                                      <a:extLst>
                                                        <a:ext uri="{28A0092B-C50C-407E-A947-70E740481C1C}">
                                                          <a14:useLocalDpi xmlns:a14="http://schemas.microsoft.com/office/drawing/2010/main" val="0"/>
                                                        </a:ext>
                                                      </a:extLst>
                                                    </a:blip>
                                                    <a:srcRect l="18915" t="2451" r="22299" b="20665"/>
                                                    <a:stretch/>
                                                  </pic:blipFill>
                                                  <pic:spPr bwMode="auto">
                                                    <a:xfrm>
                                                      <a:off x="0" y="0"/>
                                                      <a:ext cx="6858000" cy="5961888"/>
                                                    </a:xfrm>
                                                    <a:prstGeom prst="rect">
                                                      <a:avLst/>
                                                    </a:prstGeom>
                                                    <a:ln>
                                                      <a:noFill/>
                                                    </a:ln>
                                                    <a:extLst>
                                                      <a:ext uri="{53640926-AAD7-44D8-BBD7-CCE9431645EC}">
                                                        <a14:shadowObscured xmlns:a14="http://schemas.microsoft.com/office/drawing/2010/main"/>
                                                      </a:ext>
                                                    </a:extLst>
                                                  </pic:spPr>
                                                </pic:pic>
                                              </a:graphicData>
                                            </a:graphic>
                                          </wp:inline>
                                        </w:drawing>
                                      </w:r>
                                    </w:p>
                                  </w:tc>
                                </w:tr>
                                <w:tr w:rsidR="002946F0" w14:paraId="2BA09117" w14:textId="77777777">
                                  <w:trPr>
                                    <w:trHeight w:hRule="exact" w:val="4320"/>
                                  </w:trPr>
                                  <w:tc>
                                    <w:tcPr>
                                      <w:tcW w:w="9350" w:type="dxa"/>
                                      <w:shd w:val="clear" w:color="auto" w:fill="0E2841" w:themeFill="text2"/>
                                      <w:vAlign w:val="center"/>
                                    </w:tcPr>
                                    <w:p w14:paraId="1F76CCEE" w14:textId="4238D89A" w:rsidR="002946F0" w:rsidRDefault="00984770" w:rsidP="000C507B">
                                      <w:pPr>
                                        <w:pStyle w:val="NoSpacing"/>
                                        <w:spacing w:before="240"/>
                                        <w:ind w:right="720"/>
                                        <w:jc w:val="center"/>
                                        <w:rPr>
                                          <w:color w:val="FFFFFF" w:themeColor="background1"/>
                                          <w:sz w:val="32"/>
                                          <w:szCs w:val="32"/>
                                        </w:rPr>
                                      </w:pPr>
                                      <w:r w:rsidRPr="00984770">
                                        <w:rPr>
                                          <w:rFonts w:asciiTheme="majorHAnsi" w:hAnsiTheme="majorHAnsi"/>
                                          <w:color w:val="FFFFFF" w:themeColor="background1"/>
                                          <w:sz w:val="40"/>
                                          <w:szCs w:val="40"/>
                                        </w:rPr>
                                        <w:t>From Waste to Worth: Food Waste Reduction as a Driver of Sustainable</w:t>
                                      </w:r>
                                      <w:r w:rsidRPr="00984770">
                                        <w:rPr>
                                          <w:rFonts w:asciiTheme="majorHAnsi" w:hAnsiTheme="majorHAnsi"/>
                                          <w:color w:val="FFFFFF" w:themeColor="background1"/>
                                          <w:sz w:val="96"/>
                                          <w:szCs w:val="96"/>
                                        </w:rPr>
                                        <w:t xml:space="preserve"> </w:t>
                                      </w:r>
                                      <w:r w:rsidR="00784FF3" w:rsidRPr="00984770">
                                        <w:rPr>
                                          <w:rFonts w:asciiTheme="majorHAnsi" w:hAnsiTheme="majorHAnsi"/>
                                          <w:color w:val="FFFFFF" w:themeColor="background1"/>
                                          <w:sz w:val="40"/>
                                          <w:szCs w:val="40"/>
                                        </w:rPr>
                                        <w:t>Hospitality</w:t>
                                      </w:r>
                                      <w:r w:rsidR="00784FF3">
                                        <w:rPr>
                                          <w:color w:val="FFFFFF" w:themeColor="background1"/>
                                          <w:sz w:val="32"/>
                                          <w:szCs w:val="32"/>
                                        </w:rPr>
                                        <w:t xml:space="preserve"> </w:t>
                                      </w:r>
                                      <w:r w:rsidR="001A454D">
                                        <w:rPr>
                                          <w:color w:val="FFFFFF" w:themeColor="background1"/>
                                          <w:sz w:val="32"/>
                                          <w:szCs w:val="32"/>
                                        </w:rPr>
                                        <w:t>Contemporary Themes</w:t>
                                      </w:r>
                                      <w:sdt>
                                        <w:sdtPr>
                                          <w:rPr>
                                            <w:color w:val="FFFFFF" w:themeColor="background1"/>
                                            <w:sz w:val="32"/>
                                            <w:szCs w:val="32"/>
                                          </w:rPr>
                                          <w:alias w:val="Subtitle"/>
                                          <w:tag w:val=""/>
                                          <w:id w:val="1143089448"/>
                                          <w:placeholder>
                                            <w:docPart w:val="46F64CB396B4471D882C02F82FDF7B5F"/>
                                          </w:placeholder>
                                          <w:dataBinding w:prefixMappings="xmlns:ns0='http://purl.org/dc/elements/1.1/' xmlns:ns1='http://schemas.openxmlformats.org/package/2006/metadata/core-properties' " w:xpath="/ns1:coreProperties[1]/ns0:subject[1]" w:storeItemID="{6C3C8BC8-F283-45AE-878A-BAB7291924A1}"/>
                                          <w:text/>
                                        </w:sdtPr>
                                        <w:sdtContent>
                                          <w:r w:rsidR="001C36FD">
                                            <w:rPr>
                                              <w:color w:val="FFFFFF" w:themeColor="background1"/>
                                              <w:sz w:val="32"/>
                                              <w:szCs w:val="32"/>
                                            </w:rPr>
                                            <w:t xml:space="preserve"> </w:t>
                                          </w:r>
                                          <w:r w:rsidR="00B53F9C">
                                            <w:rPr>
                                              <w:color w:val="FFFFFF" w:themeColor="background1"/>
                                              <w:sz w:val="32"/>
                                              <w:szCs w:val="32"/>
                                            </w:rPr>
                                            <w:t>in the Hotel and Hospitality Sector                                                                                                                  BMIH6001 Level 6</w:t>
                                          </w:r>
                                        </w:sdtContent>
                                      </w:sdt>
                                    </w:p>
                                  </w:tc>
                                </w:tr>
                                <w:tr w:rsidR="002946F0" w14:paraId="7B4DE068" w14:textId="77777777">
                                  <w:trPr>
                                    <w:trHeight w:hRule="exact" w:val="720"/>
                                  </w:trPr>
                                  <w:tc>
                                    <w:tcPr>
                                      <w:tcW w:w="9350" w:type="dxa"/>
                                      <w:shd w:val="clear" w:color="auto" w:fill="4EA72E" w:themeFill="accent6"/>
                                    </w:tcPr>
                                    <w:tbl>
                                      <w:tblPr>
                                        <w:tblW w:w="5000" w:type="pct"/>
                                        <w:tblCellMar>
                                          <w:left w:w="0" w:type="dxa"/>
                                          <w:right w:w="0" w:type="dxa"/>
                                        </w:tblCellMar>
                                        <w:tblLook w:val="04A0" w:firstRow="1" w:lastRow="0" w:firstColumn="1" w:lastColumn="0" w:noHBand="0" w:noVBand="1"/>
                                        <w:tblDescription w:val="Cover page info"/>
                                      </w:tblPr>
                                      <w:tblGrid>
                                        <w:gridCol w:w="3601"/>
                                        <w:gridCol w:w="3602"/>
                                        <w:gridCol w:w="3602"/>
                                      </w:tblGrid>
                                      <w:tr w:rsidR="002946F0" w14:paraId="058B60A9" w14:textId="77777777">
                                        <w:trPr>
                                          <w:trHeight w:hRule="exact" w:val="720"/>
                                        </w:trPr>
                                        <w:tc>
                                          <w:tcPr>
                                            <w:tcW w:w="3590" w:type="dxa"/>
                                            <w:vAlign w:val="center"/>
                                          </w:tcPr>
                                          <w:p w14:paraId="49EAF5E6" w14:textId="40C77527" w:rsidR="002946F0" w:rsidRDefault="00000000">
                                            <w:pPr>
                                              <w:pStyle w:val="NoSpacing"/>
                                              <w:ind w:left="720" w:right="144"/>
                                              <w:rPr>
                                                <w:color w:val="FFFFFF" w:themeColor="background1"/>
                                              </w:rPr>
                                            </w:pPr>
                                            <w:sdt>
                                              <w:sdtPr>
                                                <w:rPr>
                                                  <w:color w:val="FFFFFF" w:themeColor="background1"/>
                                                </w:rPr>
                                                <w:alias w:val="Author"/>
                                                <w:tag w:val=""/>
                                                <w:id w:val="942812742"/>
                                                <w:placeholder>
                                                  <w:docPart w:val="8552DB7BF93F48C68609FECE5D7060D6"/>
                                                </w:placeholder>
                                                <w:dataBinding w:prefixMappings="xmlns:ns0='http://purl.org/dc/elements/1.1/' xmlns:ns1='http://schemas.openxmlformats.org/package/2006/metadata/core-properties' " w:xpath="/ns1:coreProperties[1]/ns0:creator[1]" w:storeItemID="{6C3C8BC8-F283-45AE-878A-BAB7291924A1}"/>
                                                <w:text/>
                                              </w:sdtPr>
                                              <w:sdtContent>
                                                <w:r w:rsidR="002946F0">
                                                  <w:rPr>
                                                    <w:color w:val="FFFFFF" w:themeColor="background1"/>
                                                  </w:rPr>
                                                  <w:t>Augusta Roxana Toth (2226559)</w:t>
                                                </w:r>
                                              </w:sdtContent>
                                            </w:sdt>
                                          </w:p>
                                        </w:tc>
                                        <w:tc>
                                          <w:tcPr>
                                            <w:tcW w:w="3591" w:type="dxa"/>
                                            <w:vAlign w:val="center"/>
                                          </w:tcPr>
                                          <w:sdt>
                                            <w:sdtPr>
                                              <w:rPr>
                                                <w:color w:val="FFFFFF" w:themeColor="background1"/>
                                              </w:rPr>
                                              <w:alias w:val="Date"/>
                                              <w:tag w:val=""/>
                                              <w:id w:val="748164578"/>
                                              <w:placeholder>
                                                <w:docPart w:val="B8B65929A5454AB3B2077ECDC9A06685"/>
                                              </w:placeholder>
                                              <w:dataBinding w:prefixMappings="xmlns:ns0='http://schemas.microsoft.com/office/2006/coverPageProps' " w:xpath="/ns0:CoverPageProperties[1]/ns0:PublishDate[1]" w:storeItemID="{55AF091B-3C7A-41E3-B477-F2FDAA23CFDA}"/>
                                              <w:date w:fullDate="2025-10-30T00:00:00Z">
                                                <w:dateFormat w:val="M/d/yy"/>
                                                <w:lid w:val="en-US"/>
                                                <w:storeMappedDataAs w:val="dateTime"/>
                                                <w:calendar w:val="gregorian"/>
                                              </w:date>
                                            </w:sdtPr>
                                            <w:sdtContent>
                                              <w:p w14:paraId="55E84A86" w14:textId="0A72EA81" w:rsidR="002946F0" w:rsidRDefault="007B6B22">
                                                <w:pPr>
                                                  <w:pStyle w:val="NoSpacing"/>
                                                  <w:ind w:left="144" w:right="144"/>
                                                  <w:jc w:val="center"/>
                                                  <w:rPr>
                                                    <w:color w:val="FFFFFF" w:themeColor="background1"/>
                                                  </w:rPr>
                                                </w:pPr>
                                                <w:r>
                                                  <w:rPr>
                                                    <w:color w:val="FFFFFF" w:themeColor="background1"/>
                                                  </w:rPr>
                                                  <w:t>10/30/25</w:t>
                                                </w:r>
                                              </w:p>
                                            </w:sdtContent>
                                          </w:sdt>
                                        </w:tc>
                                        <w:sdt>
                                          <w:sdtPr>
                                            <w:rPr>
                                              <w:color w:val="FFFFFF" w:themeColor="background1"/>
                                            </w:rPr>
                                            <w:alias w:val="Course title"/>
                                            <w:tag w:val=""/>
                                            <w:id w:val="-15923909"/>
                                            <w:placeholder>
                                              <w:docPart w:val="9417680968114C2EA9D1CE138A820AE7"/>
                                            </w:placeholder>
                                            <w:dataBinding w:prefixMappings="xmlns:ns0='http://purl.org/dc/elements/1.1/' xmlns:ns1='http://schemas.openxmlformats.org/package/2006/metadata/core-properties' " w:xpath="/ns1:coreProperties[1]/ns1:category[1]" w:storeItemID="{6C3C8BC8-F283-45AE-878A-BAB7291924A1}"/>
                                            <w:text/>
                                          </w:sdtPr>
                                          <w:sdtContent>
                                            <w:tc>
                                              <w:tcPr>
                                                <w:tcW w:w="3591" w:type="dxa"/>
                                                <w:vAlign w:val="center"/>
                                              </w:tcPr>
                                              <w:p w14:paraId="4B7FEBF1" w14:textId="704033F0" w:rsidR="002946F0" w:rsidRDefault="003D4CF0">
                                                <w:pPr>
                                                  <w:pStyle w:val="NoSpacing"/>
                                                  <w:ind w:left="144" w:right="720"/>
                                                  <w:jc w:val="right"/>
                                                  <w:rPr>
                                                    <w:color w:val="FFFFFF" w:themeColor="background1"/>
                                                  </w:rPr>
                                                </w:pPr>
                                                <w:r w:rsidRPr="003D4CF0">
                                                  <w:rPr>
                                                    <w:color w:val="FFFFFF" w:themeColor="background1"/>
                                                  </w:rPr>
                                                  <w:t>BMIH6001</w:t>
                                                </w:r>
                                              </w:p>
                                            </w:tc>
                                          </w:sdtContent>
                                        </w:sdt>
                                      </w:tr>
                                    </w:tbl>
                                    <w:p w14:paraId="4F07DA48" w14:textId="77777777" w:rsidR="002946F0" w:rsidRDefault="002946F0"/>
                                  </w:tc>
                                </w:tr>
                              </w:tbl>
                              <w:p w14:paraId="75A6F754" w14:textId="77777777" w:rsidR="002946F0" w:rsidRDefault="002946F0"/>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33F89B31" id="_x0000_t202" coordsize="21600,21600" o:spt="202" path="m,l,21600r21600,l21600,xe">
                    <v:stroke joinstyle="miter"/>
                    <v:path gradientshapeok="t" o:connecttype="rect"/>
                  </v:shapetype>
                  <v:shape id="Text Box 2" o:spid="_x0000_s1026" type="#_x0000_t202" alt="Cover page layout" style="position:absolute;margin-left:0;margin-top:0;width:540pt;height:10in;z-index:-251657216;visibility:visible;mso-wrap-style:square;mso-width-percent:0;mso-height-percent:0;mso-wrap-distance-left:9pt;mso-wrap-distance-top:0;mso-wrap-distance-right:9pt;mso-wrap-distance-bottom:0;mso-position-horizontal:center;mso-position-horizontal-relative:page;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" o:allowoverlap="f" filled="f" stroked="f" strokeweight=".5pt">
                    <v:textbox inset="0,0,0,0">
                      <w:txbxContent>
                        <w:tbl>
                          <w:tblPr>
                            <w:tblW w:w="5000" w:type="pct"/>
                            <w:tblCellMar>
                              <w:left w:w="0" w:type="dxa"/>
                              <w:right w:w="0" w:type="dxa"/>
                            </w:tblCellMar>
                            <w:tblLook w:val="04A0" w:firstRow="1" w:lastRow="0" w:firstColumn="1" w:lastColumn="0" w:noHBand="0" w:noVBand="1"/>
                            <w:tblDescription w:val="Cover page layout"/>
                          </w:tblPr>
                          <w:tblGrid>
                            <w:gridCol w:w="10805"/>
                          </w:tblGrid>
                          <w:tr w:rsidR="002946F0" w14:paraId="317EA873" w14:textId="77777777">
                            <w:trPr>
                              <w:trHeight w:hRule="exact" w:val="9360"/>
                            </w:trPr>
                            <w:tc>
                              <w:tcPr>
                                <w:tcW w:w="9350" w:type="dxa"/>
                              </w:tcPr>
                              <w:p w14:paraId="388DC300" w14:textId="77777777" w:rsidR="002946F0" w:rsidRDefault="002946F0">
                                <w:r>
                                  <w:rPr>
                                    <w:noProof/>
                                  </w:rPr>
                                  <w:drawing>
                                    <wp:inline distT="0" distB="0" distL="0" distR="0" wp14:anchorId="2D810DB6" wp14:editId="4AF7D6EF">
                                      <wp:extent cx="6858000" cy="5961888"/>
                                      <wp:effectExtent l="0" t="0" r="0" b="1270"/>
                                      <wp:docPr id="5" name="Picture 4" descr="Photo displaying partial image of two pie charts on a canvas-textured page"/>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rotWithShape="1">
                                              <a:blip r:embed="rId11" cstate="print">
                                                <a:extLst>
                                                  <a:ext uri="{28A0092B-C50C-407E-A947-70E740481C1C}">
                                                    <a14:useLocalDpi xmlns:a14="http://schemas.microsoft.com/office/drawing/2010/main" val="0"/>
                                                  </a:ext>
                                                </a:extLst>
                                              </a:blip>
                                              <a:srcRect l="18915" t="2451" r="22299" b="20665"/>
                                              <a:stretch/>
                                            </pic:blipFill>
                                            <pic:spPr bwMode="auto">
                                              <a:xfrm>
                                                <a:off x="0" y="0"/>
                                                <a:ext cx="6858000" cy="5961888"/>
                                              </a:xfrm>
                                              <a:prstGeom prst="rect">
                                                <a:avLst/>
                                              </a:prstGeom>
                                              <a:ln>
                                                <a:noFill/>
                                              </a:ln>
                                              <a:extLst>
                                                <a:ext uri="{53640926-AAD7-44D8-BBD7-CCE9431645EC}">
                                                  <a14:shadowObscured xmlns:a14="http://schemas.microsoft.com/office/drawing/2010/main"/>
                                                </a:ext>
                                              </a:extLst>
                                            </pic:spPr>
                                          </pic:pic>
                                        </a:graphicData>
                                      </a:graphic>
                                    </wp:inline>
                                  </w:drawing>
                                </w:r>
                              </w:p>
                            </w:tc>
                          </w:tr>
                          <w:tr w:rsidR="002946F0" w14:paraId="2BA09117" w14:textId="77777777">
                            <w:trPr>
                              <w:trHeight w:hRule="exact" w:val="4320"/>
                            </w:trPr>
                            <w:tc>
                              <w:tcPr>
                                <w:tcW w:w="9350" w:type="dxa"/>
                                <w:shd w:val="clear" w:color="auto" w:fill="0E2841" w:themeFill="text2"/>
                                <w:vAlign w:val="center"/>
                              </w:tcPr>
                              <w:p w14:paraId="1F76CCEE" w14:textId="4238D89A" w:rsidR="002946F0" w:rsidRDefault="00984770" w:rsidP="000C507B">
                                <w:pPr>
                                  <w:pStyle w:val="NoSpacing"/>
                                  <w:spacing w:before="240"/>
                                  <w:ind w:right="720"/>
                                  <w:jc w:val="center"/>
                                  <w:rPr>
                                    <w:color w:val="FFFFFF" w:themeColor="background1"/>
                                    <w:sz w:val="32"/>
                                    <w:szCs w:val="32"/>
                                  </w:rPr>
                                </w:pPr>
                                <w:r w:rsidRPr="00984770">
                                  <w:rPr>
                                    <w:rFonts w:asciiTheme="majorHAnsi" w:hAnsiTheme="majorHAnsi"/>
                                    <w:color w:val="FFFFFF" w:themeColor="background1"/>
                                    <w:sz w:val="40"/>
                                    <w:szCs w:val="40"/>
                                  </w:rPr>
                                  <w:t>From Waste to Worth: Food Waste Reduction as a Driver of Sustainable</w:t>
                                </w:r>
                                <w:r w:rsidRPr="00984770">
                                  <w:rPr>
                                    <w:rFonts w:asciiTheme="majorHAnsi" w:hAnsiTheme="majorHAnsi"/>
                                    <w:color w:val="FFFFFF" w:themeColor="background1"/>
                                    <w:sz w:val="96"/>
                                    <w:szCs w:val="96"/>
                                  </w:rPr>
                                  <w:t xml:space="preserve"> </w:t>
                                </w:r>
                                <w:r w:rsidR="00784FF3" w:rsidRPr="00984770">
                                  <w:rPr>
                                    <w:rFonts w:asciiTheme="majorHAnsi" w:hAnsiTheme="majorHAnsi"/>
                                    <w:color w:val="FFFFFF" w:themeColor="background1"/>
                                    <w:sz w:val="40"/>
                                    <w:szCs w:val="40"/>
                                  </w:rPr>
                                  <w:t>Hospitality</w:t>
                                </w:r>
                                <w:r w:rsidR="00784FF3">
                                  <w:rPr>
                                    <w:color w:val="FFFFFF" w:themeColor="background1"/>
                                    <w:sz w:val="32"/>
                                    <w:szCs w:val="32"/>
                                  </w:rPr>
                                  <w:t xml:space="preserve"> </w:t>
                                </w:r>
                                <w:r w:rsidR="001A454D">
                                  <w:rPr>
                                    <w:color w:val="FFFFFF" w:themeColor="background1"/>
                                    <w:sz w:val="32"/>
                                    <w:szCs w:val="32"/>
                                  </w:rPr>
                                  <w:t>Contemporary Themes</w:t>
                                </w:r>
                                <w:sdt>
                                  <w:sdtPr>
                                    <w:rPr>
                                      <w:color w:val="FFFFFF" w:themeColor="background1"/>
                                      <w:sz w:val="32"/>
                                      <w:szCs w:val="32"/>
                                    </w:rPr>
                                    <w:alias w:val="Subtitle"/>
                                    <w:tag w:val=""/>
                                    <w:id w:val="1143089448"/>
                                    <w:placeholder>
                                      <w:docPart w:val="46F64CB396B4471D882C02F82FDF7B5F"/>
                                    </w:placeholder>
                                    <w:dataBinding w:prefixMappings="xmlns:ns0='http://purl.org/dc/elements/1.1/' xmlns:ns1='http://schemas.openxmlformats.org/package/2006/metadata/core-properties' " w:xpath="/ns1:coreProperties[1]/ns0:subject[1]" w:storeItemID="{6C3C8BC8-F283-45AE-878A-BAB7291924A1}"/>
                                    <w:text/>
                                  </w:sdtPr>
                                  <w:sdtContent>
                                    <w:r w:rsidR="001C36FD">
                                      <w:rPr>
                                        <w:color w:val="FFFFFF" w:themeColor="background1"/>
                                        <w:sz w:val="32"/>
                                        <w:szCs w:val="32"/>
                                      </w:rPr>
                                      <w:t xml:space="preserve"> </w:t>
                                    </w:r>
                                    <w:r w:rsidR="00B53F9C">
                                      <w:rPr>
                                        <w:color w:val="FFFFFF" w:themeColor="background1"/>
                                        <w:sz w:val="32"/>
                                        <w:szCs w:val="32"/>
                                      </w:rPr>
                                      <w:t>in the Hotel and Hospitality Sector                                                                                                                  BMIH6001 Level 6</w:t>
                                    </w:r>
                                  </w:sdtContent>
                                </w:sdt>
                              </w:p>
                            </w:tc>
                          </w:tr>
                          <w:tr w:rsidR="002946F0" w14:paraId="7B4DE068" w14:textId="77777777">
                            <w:trPr>
                              <w:trHeight w:hRule="exact" w:val="720"/>
                            </w:trPr>
                            <w:tc>
                              <w:tcPr>
                                <w:tcW w:w="9350" w:type="dxa"/>
                                <w:shd w:val="clear" w:color="auto" w:fill="4EA72E" w:themeFill="accent6"/>
                              </w:tcPr>
                              <w:tbl>
                                <w:tblPr>
                                  <w:tblW w:w="5000" w:type="pct"/>
                                  <w:tblCellMar>
                                    <w:left w:w="0" w:type="dxa"/>
                                    <w:right w:w="0" w:type="dxa"/>
                                  </w:tblCellMar>
                                  <w:tblLook w:val="04A0" w:firstRow="1" w:lastRow="0" w:firstColumn="1" w:lastColumn="0" w:noHBand="0" w:noVBand="1"/>
                                  <w:tblDescription w:val="Cover page info"/>
                                </w:tblPr>
                                <w:tblGrid>
                                  <w:gridCol w:w="3601"/>
                                  <w:gridCol w:w="3602"/>
                                  <w:gridCol w:w="3602"/>
                                </w:tblGrid>
                                <w:tr w:rsidR="002946F0" w14:paraId="058B60A9" w14:textId="77777777">
                                  <w:trPr>
                                    <w:trHeight w:hRule="exact" w:val="720"/>
                                  </w:trPr>
                                  <w:tc>
                                    <w:tcPr>
                                      <w:tcW w:w="3590" w:type="dxa"/>
                                      <w:vAlign w:val="center"/>
                                    </w:tcPr>
                                    <w:p w14:paraId="49EAF5E6" w14:textId="40C77527" w:rsidR="002946F0" w:rsidRDefault="00000000">
                                      <w:pPr>
                                        <w:pStyle w:val="NoSpacing"/>
                                        <w:ind w:left="720" w:right="144"/>
                                        <w:rPr>
                                          <w:color w:val="FFFFFF" w:themeColor="background1"/>
                                        </w:rPr>
                                      </w:pPr>
                                      <w:sdt>
                                        <w:sdtPr>
                                          <w:rPr>
                                            <w:color w:val="FFFFFF" w:themeColor="background1"/>
                                          </w:rPr>
                                          <w:alias w:val="Author"/>
                                          <w:tag w:val=""/>
                                          <w:id w:val="942812742"/>
                                          <w:placeholder>
                                            <w:docPart w:val="8552DB7BF93F48C68609FECE5D7060D6"/>
                                          </w:placeholder>
                                          <w:dataBinding w:prefixMappings="xmlns:ns0='http://purl.org/dc/elements/1.1/' xmlns:ns1='http://schemas.openxmlformats.org/package/2006/metadata/core-properties' " w:xpath="/ns1:coreProperties[1]/ns0:creator[1]" w:storeItemID="{6C3C8BC8-F283-45AE-878A-BAB7291924A1}"/>
                                          <w:text/>
                                        </w:sdtPr>
                                        <w:sdtContent>
                                          <w:r w:rsidR="002946F0">
                                            <w:rPr>
                                              <w:color w:val="FFFFFF" w:themeColor="background1"/>
                                            </w:rPr>
                                            <w:t>Augusta Roxana Toth (2226559)</w:t>
                                          </w:r>
                                        </w:sdtContent>
                                      </w:sdt>
                                    </w:p>
                                  </w:tc>
                                  <w:tc>
                                    <w:tcPr>
                                      <w:tcW w:w="3591" w:type="dxa"/>
                                      <w:vAlign w:val="center"/>
                                    </w:tcPr>
                                    <w:sdt>
                                      <w:sdtPr>
                                        <w:rPr>
                                          <w:color w:val="FFFFFF" w:themeColor="background1"/>
                                        </w:rPr>
                                        <w:alias w:val="Date"/>
                                        <w:tag w:val=""/>
                                        <w:id w:val="748164578"/>
                                        <w:placeholder>
                                          <w:docPart w:val="B8B65929A5454AB3B2077ECDC9A06685"/>
                                        </w:placeholder>
                                        <w:dataBinding w:prefixMappings="xmlns:ns0='http://schemas.microsoft.com/office/2006/coverPageProps' " w:xpath="/ns0:CoverPageProperties[1]/ns0:PublishDate[1]" w:storeItemID="{55AF091B-3C7A-41E3-B477-F2FDAA23CFDA}"/>
                                        <w:date w:fullDate="2025-10-30T00:00:00Z">
                                          <w:dateFormat w:val="M/d/yy"/>
                                          <w:lid w:val="en-US"/>
                                          <w:storeMappedDataAs w:val="dateTime"/>
                                          <w:calendar w:val="gregorian"/>
                                        </w:date>
                                      </w:sdtPr>
                                      <w:sdtContent>
                                        <w:p w14:paraId="55E84A86" w14:textId="0A72EA81" w:rsidR="002946F0" w:rsidRDefault="007B6B22">
                                          <w:pPr>
                                            <w:pStyle w:val="NoSpacing"/>
                                            <w:ind w:left="144" w:right="144"/>
                                            <w:jc w:val="center"/>
                                            <w:rPr>
                                              <w:color w:val="FFFFFF" w:themeColor="background1"/>
                                            </w:rPr>
                                          </w:pPr>
                                          <w:r>
                                            <w:rPr>
                                              <w:color w:val="FFFFFF" w:themeColor="background1"/>
                                            </w:rPr>
                                            <w:t>10/30/25</w:t>
                                          </w:r>
                                        </w:p>
                                      </w:sdtContent>
                                    </w:sdt>
                                  </w:tc>
                                  <w:sdt>
                                    <w:sdtPr>
                                      <w:rPr>
                                        <w:color w:val="FFFFFF" w:themeColor="background1"/>
                                      </w:rPr>
                                      <w:alias w:val="Course title"/>
                                      <w:tag w:val=""/>
                                      <w:id w:val="-15923909"/>
                                      <w:placeholder>
                                        <w:docPart w:val="9417680968114C2EA9D1CE138A820AE7"/>
                                      </w:placeholder>
                                      <w:dataBinding w:prefixMappings="xmlns:ns0='http://purl.org/dc/elements/1.1/' xmlns:ns1='http://schemas.openxmlformats.org/package/2006/metadata/core-properties' " w:xpath="/ns1:coreProperties[1]/ns1:category[1]" w:storeItemID="{6C3C8BC8-F283-45AE-878A-BAB7291924A1}"/>
                                      <w:text/>
                                    </w:sdtPr>
                                    <w:sdtContent>
                                      <w:tc>
                                        <w:tcPr>
                                          <w:tcW w:w="3591" w:type="dxa"/>
                                          <w:vAlign w:val="center"/>
                                        </w:tcPr>
                                        <w:p w14:paraId="4B7FEBF1" w14:textId="704033F0" w:rsidR="002946F0" w:rsidRDefault="003D4CF0">
                                          <w:pPr>
                                            <w:pStyle w:val="NoSpacing"/>
                                            <w:ind w:left="144" w:right="720"/>
                                            <w:jc w:val="right"/>
                                            <w:rPr>
                                              <w:color w:val="FFFFFF" w:themeColor="background1"/>
                                            </w:rPr>
                                          </w:pPr>
                                          <w:r w:rsidRPr="003D4CF0">
                                            <w:rPr>
                                              <w:color w:val="FFFFFF" w:themeColor="background1"/>
                                            </w:rPr>
                                            <w:t>BMIH6001</w:t>
                                          </w:r>
                                        </w:p>
                                      </w:tc>
                                    </w:sdtContent>
                                  </w:sdt>
                                </w:tr>
                              </w:tbl>
                              <w:p w14:paraId="4F07DA48" w14:textId="77777777" w:rsidR="002946F0" w:rsidRDefault="002946F0"/>
                            </w:tc>
                          </w:tr>
                        </w:tbl>
                        <w:p w14:paraId="75A6F754" w14:textId="77777777" w:rsidR="002946F0" w:rsidRDefault="002946F0"/>
                      </w:txbxContent>
                    </v:textbox>
                    <w10:wrap anchorx="page" anchory="page"/>
                  </v:shape>
                </w:pict>
              </mc:Fallback>
            </mc:AlternateContent>
          </w:r>
        </w:p>
        <w:p w14:paraId="3F89E3B9" w14:textId="3957B3A9" w:rsidR="002946F0" w:rsidRDefault="00984770">
          <w:r>
            <w:rPr>
              <w:noProof/>
            </w:rPr>
            <mc:AlternateContent>
              <mc:Choice Requires="wps">
                <w:drawing>
                  <wp:anchor distT="0" distB="0" distL="114300" distR="114300" simplePos="0" relativeHeight="251660288" behindDoc="0" locked="0" layoutInCell="1" allowOverlap="1" wp14:anchorId="74942C4A" wp14:editId="525D17B8">
                    <wp:simplePos x="0" y="0"/>
                    <wp:positionH relativeFrom="column">
                      <wp:posOffset>-228600</wp:posOffset>
                    </wp:positionH>
                    <wp:positionV relativeFrom="paragraph">
                      <wp:posOffset>7620000</wp:posOffset>
                    </wp:positionV>
                    <wp:extent cx="2162175" cy="466725"/>
                    <wp:effectExtent l="0" t="0" r="28575" b="28575"/>
                    <wp:wrapNone/>
                    <wp:docPr id="966842001" name="Text Box 1"/>
                    <wp:cNvGraphicFramePr/>
                    <a:graphic xmlns:a="http://schemas.openxmlformats.org/drawingml/2006/main">
                      <a:graphicData uri="http://schemas.microsoft.com/office/word/2010/wordprocessingShape">
                        <wps:wsp>
                          <wps:cNvSpPr txBox="1"/>
                          <wps:spPr>
                            <a:xfrm>
                              <a:off x="0" y="0"/>
                              <a:ext cx="2162175" cy="466725"/>
                            </a:xfrm>
                            <a:prstGeom prst="rect">
                              <a:avLst/>
                            </a:prstGeom>
                            <a:solidFill>
                              <a:schemeClr val="lt1"/>
                            </a:solidFill>
                            <a:ln w="6350">
                              <a:solidFill>
                                <a:prstClr val="black"/>
                              </a:solidFill>
                            </a:ln>
                          </wps:spPr>
                          <wps:txbx>
                            <w:txbxContent>
                              <w:p w14:paraId="65BBEB5A" w14:textId="1A1FE072" w:rsidR="00984770" w:rsidRPr="00984770" w:rsidRDefault="00984770">
                                <w:pPr>
                                  <w:rPr>
                                    <w:lang w:val="en-US"/>
                                  </w:rPr>
                                </w:pPr>
                                <w:r>
                                  <w:rPr>
                                    <w:lang w:val="en-US"/>
                                  </w:rPr>
                                  <w:t>Module Lead: Natalie</w:t>
                                </w:r>
                                <w:r w:rsidR="00730AA5">
                                  <w:rPr>
                                    <w:lang w:val="en-US"/>
                                  </w:rPr>
                                  <w:t xml:space="preserve">  </w:t>
                                </w:r>
                                <w:r w:rsidR="00730AA5" w:rsidRPr="00730AA5">
                                  <w:rPr>
                                    <w:lang w:val="en-US"/>
                                  </w:rPr>
                                  <w:t xml:space="preserve"> Brailsford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4942C4A" id="Text Box 1" o:spid="_x0000_s1027" type="#_x0000_t202" style="position:absolute;margin-left:-18pt;margin-top:600pt;width:170.25pt;height:36.7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" fillcolor="white [3201]" strokeweight=".5pt">
                    <v:textbox>
                      <w:txbxContent>
                        <w:p w14:paraId="65BBEB5A" w14:textId="1A1FE072" w:rsidR="00984770" w:rsidRPr="00984770" w:rsidRDefault="00984770">
                          <w:pPr>
                            <w:rPr>
                              <w:lang w:val="en-US"/>
                            </w:rPr>
                          </w:pPr>
                          <w:r>
                            <w:rPr>
                              <w:lang w:val="en-US"/>
                            </w:rPr>
                            <w:t>Module Lead: Natalie</w:t>
                          </w:r>
                          <w:r w:rsidR="00730AA5">
                            <w:rPr>
                              <w:lang w:val="en-US"/>
                            </w:rPr>
                            <w:t xml:space="preserve">  </w:t>
                          </w:r>
                          <w:r w:rsidR="00730AA5" w:rsidRPr="00730AA5">
                            <w:rPr>
                              <w:lang w:val="en-US"/>
                            </w:rPr>
                            <w:t xml:space="preserve"> Brailsford</w:t>
                          </w:r>
                        </w:p>
                      </w:txbxContent>
                    </v:textbox>
                  </v:shape>
                </w:pict>
              </mc:Fallback>
            </mc:AlternateContent>
          </w:r>
          <w:r w:rsidR="002946F0">
            <w:br w:type="page"/>
          </w:r>
        </w:p>
      </w:sdtContent>
    </w:sdt>
    <w:p w14:paraId="2B2680D8" w14:textId="79EFE393" w:rsidR="00C346AD" w:rsidRDefault="00C346AD" w:rsidP="006A38C6">
      <w:pPr>
        <w:spacing w:line="360" w:lineRule="auto"/>
        <w:jc w:val="both"/>
        <w:rPr>
          <w:rFonts w:ascii="Arial" w:hAnsi="Arial" w:cs="Arial"/>
          <w:sz w:val="24"/>
          <w:szCs w:val="24"/>
        </w:rPr>
      </w:pPr>
      <w:r w:rsidRPr="00C346AD">
        <w:rPr>
          <w:rFonts w:ascii="Arial" w:hAnsi="Arial" w:cs="Arial"/>
          <w:sz w:val="24"/>
          <w:szCs w:val="24"/>
        </w:rPr>
        <w:lastRenderedPageBreak/>
        <w:t>AI Use Statement</w:t>
      </w:r>
    </w:p>
    <w:p w14:paraId="4431D2D1" w14:textId="63CF84CC" w:rsidR="006A38C6" w:rsidRPr="006A38C6" w:rsidRDefault="006A38C6" w:rsidP="006A38C6">
      <w:pPr>
        <w:spacing w:line="360" w:lineRule="auto"/>
        <w:jc w:val="both"/>
        <w:rPr>
          <w:rFonts w:ascii="Arial" w:hAnsi="Arial" w:cs="Arial"/>
          <w:sz w:val="24"/>
          <w:szCs w:val="24"/>
        </w:rPr>
      </w:pPr>
      <w:r w:rsidRPr="006A38C6">
        <w:rPr>
          <w:rFonts w:ascii="Arial" w:hAnsi="Arial" w:cs="Arial"/>
          <w:sz w:val="24"/>
          <w:szCs w:val="24"/>
        </w:rPr>
        <w:t>I confirm that on 20 October 2025, I used ChatGPT as a language and writing support tool to help clarify ideas and improve the structure and academic tone of my essay. I developed the content, arguments and analysis independently. In addition, I used Grammarly to check grammar, spelling and word choice in some sections of the text to ensure accuracy and fluency. All research, critical evaluation and referencing were conducted by me in accordance with academic integrity guidelines.</w:t>
      </w:r>
    </w:p>
    <w:p w14:paraId="0A9D07EC" w14:textId="77777777" w:rsidR="006A38C6" w:rsidRDefault="006A38C6">
      <w:pPr>
        <w:rPr>
          <w:rFonts w:ascii="Arial" w:hAnsi="Arial" w:cs="Arial"/>
          <w:b/>
          <w:bCs/>
          <w:sz w:val="24"/>
          <w:szCs w:val="24"/>
        </w:rPr>
      </w:pPr>
    </w:p>
    <w:p w14:paraId="18E5C80B" w14:textId="77777777" w:rsidR="006A38C6" w:rsidRDefault="006A38C6">
      <w:pPr>
        <w:rPr>
          <w:rFonts w:ascii="Arial" w:hAnsi="Arial" w:cs="Arial"/>
          <w:b/>
          <w:bCs/>
          <w:sz w:val="24"/>
          <w:szCs w:val="24"/>
        </w:rPr>
      </w:pPr>
    </w:p>
    <w:p w14:paraId="5F68D7FC" w14:textId="45459158" w:rsidR="00317D5E" w:rsidRDefault="001E46B4">
      <w:pPr>
        <w:rPr>
          <w:rFonts w:ascii="Arial" w:hAnsi="Arial" w:cs="Arial"/>
          <w:b/>
          <w:bCs/>
          <w:sz w:val="24"/>
          <w:szCs w:val="24"/>
        </w:rPr>
      </w:pPr>
      <w:r w:rsidRPr="001E6485">
        <w:rPr>
          <w:rFonts w:ascii="Arial" w:hAnsi="Arial" w:cs="Arial"/>
          <w:b/>
          <w:bCs/>
          <w:sz w:val="24"/>
          <w:szCs w:val="24"/>
        </w:rPr>
        <w:t>Abstract</w:t>
      </w:r>
    </w:p>
    <w:p w14:paraId="4B397646" w14:textId="746FA1FF" w:rsidR="007B167D" w:rsidRPr="007B167D" w:rsidRDefault="007B167D" w:rsidP="007B167D">
      <w:pPr>
        <w:spacing w:line="360" w:lineRule="auto"/>
        <w:jc w:val="both"/>
        <w:rPr>
          <w:rFonts w:ascii="Arial" w:hAnsi="Arial" w:cs="Arial"/>
          <w:sz w:val="24"/>
          <w:szCs w:val="24"/>
        </w:rPr>
      </w:pPr>
      <w:r w:rsidRPr="007B167D">
        <w:rPr>
          <w:rFonts w:ascii="Arial" w:hAnsi="Arial" w:cs="Arial"/>
          <w:sz w:val="24"/>
          <w:szCs w:val="24"/>
        </w:rPr>
        <w:t xml:space="preserve">Food waste has become a significant challenge within the hospitality industry, reflecting broader environmental, economic and social concerns. Hotels generate substantial levels of waste due to operational inefficiencies, unpredictable demand and guest expectations of variety. This </w:t>
      </w:r>
      <w:r w:rsidR="005D14B8">
        <w:rPr>
          <w:rFonts w:ascii="Arial" w:hAnsi="Arial" w:cs="Arial"/>
          <w:sz w:val="24"/>
          <w:szCs w:val="24"/>
        </w:rPr>
        <w:t xml:space="preserve">research </w:t>
      </w:r>
      <w:r w:rsidRPr="007B167D">
        <w:rPr>
          <w:rFonts w:ascii="Arial" w:hAnsi="Arial" w:cs="Arial"/>
          <w:sz w:val="24"/>
          <w:szCs w:val="24"/>
        </w:rPr>
        <w:t xml:space="preserve">paper </w:t>
      </w:r>
      <w:r>
        <w:rPr>
          <w:rFonts w:ascii="Arial" w:hAnsi="Arial" w:cs="Arial"/>
          <w:sz w:val="24"/>
          <w:szCs w:val="24"/>
        </w:rPr>
        <w:t>examines the strategies and innovations being implemented to address this issue, with a focus on digital technologies, behavioural change,</w:t>
      </w:r>
      <w:r w:rsidRPr="007B167D">
        <w:rPr>
          <w:rFonts w:ascii="Arial" w:hAnsi="Arial" w:cs="Arial"/>
          <w:sz w:val="24"/>
          <w:szCs w:val="24"/>
        </w:rPr>
        <w:t xml:space="preserve"> and circular economy practices. The study evaluates how solutions such as smart inventory systems, AI-based monitoring, surplus food donation and composting can reduce waste while improving efficiency, profitability and brand reputation. It also highlights the ongoing difficulties smaller hotels face when adopting new technologies or sustainability programmes, due to financial limitations and </w:t>
      </w:r>
      <w:r>
        <w:rPr>
          <w:rFonts w:ascii="Arial" w:hAnsi="Arial" w:cs="Arial"/>
          <w:sz w:val="24"/>
          <w:szCs w:val="24"/>
        </w:rPr>
        <w:t xml:space="preserve">a </w:t>
      </w:r>
      <w:r w:rsidRPr="007B167D">
        <w:rPr>
          <w:rFonts w:ascii="Arial" w:hAnsi="Arial" w:cs="Arial"/>
          <w:sz w:val="24"/>
          <w:szCs w:val="24"/>
        </w:rPr>
        <w:t>lack of infrastructure. The analysis demonstrates that long-term success requires not only technological advancement but also strong leadership commitment, staff engagement and effective collaboration across departments and with external partners. The reduction of food waste represents both an environmental necessity and a strategic opportunity for the hotel sector to enhance resilience, operational efficiency and alignment with global sustainability goals.</w:t>
      </w:r>
    </w:p>
    <w:p w14:paraId="3CB28AAB" w14:textId="77777777" w:rsidR="00BD1B9E" w:rsidRDefault="00BD1B9E" w:rsidP="009C228B">
      <w:pPr>
        <w:spacing w:line="360" w:lineRule="auto"/>
        <w:jc w:val="both"/>
        <w:rPr>
          <w:rFonts w:ascii="Arial" w:hAnsi="Arial" w:cs="Arial"/>
          <w:b/>
          <w:bCs/>
          <w:sz w:val="24"/>
          <w:szCs w:val="24"/>
        </w:rPr>
      </w:pPr>
    </w:p>
    <w:p w14:paraId="3A9F8BA4" w14:textId="77777777" w:rsidR="00AD5519" w:rsidRDefault="00AD5519" w:rsidP="009C228B">
      <w:pPr>
        <w:spacing w:line="360" w:lineRule="auto"/>
        <w:jc w:val="both"/>
        <w:rPr>
          <w:rFonts w:ascii="Arial" w:hAnsi="Arial" w:cs="Arial"/>
          <w:b/>
          <w:bCs/>
          <w:sz w:val="24"/>
          <w:szCs w:val="24"/>
        </w:rPr>
      </w:pPr>
    </w:p>
    <w:p w14:paraId="0D4D84F5" w14:textId="77777777" w:rsidR="00AD5519" w:rsidRDefault="00AD5519" w:rsidP="009C228B">
      <w:pPr>
        <w:spacing w:line="360" w:lineRule="auto"/>
        <w:jc w:val="both"/>
        <w:rPr>
          <w:rFonts w:ascii="Arial" w:hAnsi="Arial" w:cs="Arial"/>
          <w:b/>
          <w:bCs/>
          <w:sz w:val="24"/>
          <w:szCs w:val="24"/>
        </w:rPr>
      </w:pPr>
    </w:p>
    <w:p w14:paraId="7C4D0D43" w14:textId="77777777" w:rsidR="00AD5519" w:rsidRDefault="00AD5519" w:rsidP="009C228B">
      <w:pPr>
        <w:spacing w:line="360" w:lineRule="auto"/>
        <w:jc w:val="both"/>
        <w:rPr>
          <w:rFonts w:ascii="Arial" w:hAnsi="Arial" w:cs="Arial"/>
          <w:b/>
          <w:bCs/>
          <w:sz w:val="24"/>
          <w:szCs w:val="24"/>
        </w:rPr>
      </w:pPr>
    </w:p>
    <w:p w14:paraId="0CEEF36B" w14:textId="77777777" w:rsidR="00AD5519" w:rsidRDefault="00AD5519" w:rsidP="009C228B">
      <w:pPr>
        <w:spacing w:line="360" w:lineRule="auto"/>
        <w:jc w:val="both"/>
        <w:rPr>
          <w:rFonts w:ascii="Arial" w:hAnsi="Arial" w:cs="Arial"/>
          <w:b/>
          <w:bCs/>
          <w:sz w:val="24"/>
          <w:szCs w:val="24"/>
        </w:rPr>
      </w:pPr>
    </w:p>
    <w:p w14:paraId="1C8EDEA2" w14:textId="3302C93D" w:rsidR="009C228B" w:rsidRPr="009C228B" w:rsidRDefault="009C228B" w:rsidP="009C228B">
      <w:pPr>
        <w:spacing w:line="360" w:lineRule="auto"/>
        <w:jc w:val="both"/>
        <w:rPr>
          <w:rFonts w:ascii="Arial" w:hAnsi="Arial" w:cs="Arial"/>
          <w:b/>
          <w:bCs/>
          <w:sz w:val="24"/>
          <w:szCs w:val="24"/>
        </w:rPr>
      </w:pPr>
      <w:r w:rsidRPr="009C228B">
        <w:rPr>
          <w:rFonts w:ascii="Arial" w:hAnsi="Arial" w:cs="Arial"/>
          <w:b/>
          <w:bCs/>
          <w:sz w:val="24"/>
          <w:szCs w:val="24"/>
        </w:rPr>
        <w:lastRenderedPageBreak/>
        <w:t>Introduction</w:t>
      </w:r>
    </w:p>
    <w:p w14:paraId="2FFFB96E" w14:textId="77777777" w:rsidR="009C228B" w:rsidRPr="009C228B" w:rsidRDefault="009C228B" w:rsidP="009C228B">
      <w:pPr>
        <w:spacing w:line="360" w:lineRule="auto"/>
        <w:jc w:val="both"/>
        <w:rPr>
          <w:rFonts w:ascii="Arial" w:hAnsi="Arial" w:cs="Arial"/>
          <w:sz w:val="24"/>
          <w:szCs w:val="24"/>
        </w:rPr>
      </w:pPr>
    </w:p>
    <w:p w14:paraId="4FB80433" w14:textId="4828E16A" w:rsidR="009C228B" w:rsidRPr="009C228B" w:rsidRDefault="009C228B" w:rsidP="009C228B">
      <w:pPr>
        <w:spacing w:line="360" w:lineRule="auto"/>
        <w:jc w:val="both"/>
        <w:rPr>
          <w:rFonts w:ascii="Arial" w:hAnsi="Arial" w:cs="Arial"/>
          <w:sz w:val="24"/>
          <w:szCs w:val="24"/>
        </w:rPr>
      </w:pPr>
      <w:r w:rsidRPr="009C228B">
        <w:rPr>
          <w:rFonts w:ascii="Arial" w:hAnsi="Arial" w:cs="Arial"/>
          <w:sz w:val="24"/>
          <w:szCs w:val="24"/>
        </w:rPr>
        <w:t xml:space="preserve">Food waste has become a critical sustainability issue in the global hospitality industry, </w:t>
      </w:r>
      <w:r w:rsidR="00F640FE" w:rsidRPr="009C228B">
        <w:rPr>
          <w:rFonts w:ascii="Arial" w:hAnsi="Arial" w:cs="Arial"/>
          <w:sz w:val="24"/>
          <w:szCs w:val="24"/>
        </w:rPr>
        <w:t>linking</w:t>
      </w:r>
      <w:r w:rsidRPr="009C228B">
        <w:rPr>
          <w:rFonts w:ascii="Arial" w:hAnsi="Arial" w:cs="Arial"/>
          <w:sz w:val="24"/>
          <w:szCs w:val="24"/>
        </w:rPr>
        <w:t xml:space="preserve"> environmental responsibility with operational efficiency and financial performance. </w:t>
      </w:r>
      <w:r w:rsidR="006355B7" w:rsidRPr="006355B7">
        <w:rPr>
          <w:rFonts w:ascii="Arial" w:hAnsi="Arial" w:cs="Arial"/>
          <w:sz w:val="24"/>
          <w:szCs w:val="24"/>
        </w:rPr>
        <w:t>The hotel industry is acknowledged as a significant contributor to the annual loss or waste of almost one-third of all food produced globally, according to the United Nations Environment Programme (UNEP, 2024)</w:t>
      </w:r>
      <w:r w:rsidRPr="009C228B">
        <w:rPr>
          <w:rFonts w:ascii="Arial" w:hAnsi="Arial" w:cs="Arial"/>
          <w:sz w:val="24"/>
          <w:szCs w:val="24"/>
        </w:rPr>
        <w:t xml:space="preserve">. Within hotels, food waste can account for 5–15% of total food purchases, representing a significant loss of resources, revenue and labour (Papargyropoulou et al., 2019). </w:t>
      </w:r>
      <w:r w:rsidR="00AF2C4E" w:rsidRPr="00AF2C4E">
        <w:rPr>
          <w:rFonts w:ascii="Arial" w:hAnsi="Arial" w:cs="Arial"/>
          <w:sz w:val="24"/>
          <w:szCs w:val="24"/>
        </w:rPr>
        <w:t>Climate change is also exacerbated by the greenhouse gas emissions, especially methane, produced by the landfilling of food waste (Filimonau &amp; De Coteau, 2019). Food waste is therefore a strategic environmental and economic dilemma rather than just an operational one.</w:t>
      </w:r>
    </w:p>
    <w:p w14:paraId="6185F12B" w14:textId="62A80FEC" w:rsidR="009C228B" w:rsidRPr="009C228B" w:rsidRDefault="009C228B" w:rsidP="009C228B">
      <w:pPr>
        <w:spacing w:line="360" w:lineRule="auto"/>
        <w:jc w:val="both"/>
        <w:rPr>
          <w:rFonts w:ascii="Arial" w:hAnsi="Arial" w:cs="Arial"/>
          <w:sz w:val="24"/>
          <w:szCs w:val="24"/>
        </w:rPr>
      </w:pPr>
      <w:r w:rsidRPr="009C228B">
        <w:rPr>
          <w:rFonts w:ascii="Arial" w:hAnsi="Arial" w:cs="Arial"/>
          <w:sz w:val="24"/>
          <w:szCs w:val="24"/>
        </w:rPr>
        <w:t xml:space="preserve">The hotel sector is uniquely vulnerable to food waste due to fluctuating guest demand, buffet service formats, extensive menu offerings and strict standards of freshness and availability (Pirani &amp; Arafat, 2016). Overproduction and unpredictable customer behaviour further increase waste levels (Vizzoto, Testa &amp; Iraldo, 2021). </w:t>
      </w:r>
      <w:r w:rsidR="00F8177A" w:rsidRPr="00F8177A">
        <w:rPr>
          <w:rFonts w:ascii="Arial" w:hAnsi="Arial" w:cs="Arial"/>
          <w:sz w:val="24"/>
          <w:szCs w:val="24"/>
        </w:rPr>
        <w:t xml:space="preserve">At the same time, travellers are becoming more aware of sustainability and anticipate that hotels will follow ethical environmental standards. </w:t>
      </w:r>
      <w:r w:rsidRPr="009C228B">
        <w:rPr>
          <w:rFonts w:ascii="Arial" w:hAnsi="Arial" w:cs="Arial"/>
          <w:sz w:val="24"/>
          <w:szCs w:val="24"/>
        </w:rPr>
        <w:t>(Dhir et al., 2020). Failure to address food waste can lead to reputational damage, regulatory pressure and reduced competitiveness, whereas effective waste reduction strategies can improve brand image and customer loyalty (Juvan, Grün &amp; Dolnicar, 2023).</w:t>
      </w:r>
    </w:p>
    <w:p w14:paraId="6A81DF5A" w14:textId="77777777" w:rsidR="009C228B" w:rsidRPr="009C228B" w:rsidRDefault="009C228B" w:rsidP="009C228B">
      <w:pPr>
        <w:spacing w:line="360" w:lineRule="auto"/>
        <w:jc w:val="both"/>
        <w:rPr>
          <w:rFonts w:ascii="Arial" w:hAnsi="Arial" w:cs="Arial"/>
          <w:sz w:val="24"/>
          <w:szCs w:val="24"/>
        </w:rPr>
      </w:pPr>
    </w:p>
    <w:p w14:paraId="13626CA5" w14:textId="7C65169A" w:rsidR="009C228B" w:rsidRPr="009C228B" w:rsidRDefault="009C228B" w:rsidP="009C228B">
      <w:pPr>
        <w:spacing w:line="360" w:lineRule="auto"/>
        <w:jc w:val="both"/>
        <w:rPr>
          <w:rFonts w:ascii="Arial" w:hAnsi="Arial" w:cs="Arial"/>
          <w:sz w:val="24"/>
          <w:szCs w:val="24"/>
        </w:rPr>
      </w:pPr>
      <w:r w:rsidRPr="009C228B">
        <w:rPr>
          <w:rFonts w:ascii="Arial" w:hAnsi="Arial" w:cs="Arial"/>
          <w:sz w:val="24"/>
          <w:szCs w:val="24"/>
        </w:rPr>
        <w:t>Food waste reduction also offers clear financial benefits. Research indicates that reducing waste can lower purchasing costs, minimise disposal fees and improve profit margins (Vizzoto, Testa &amp; Iraldo, 2021). Even small operational improvements can translate into significant savings in high-volume environments such as resort buffets or conference hotels (Filimonau &amp; De Coteau, 2019). Furthermore, integrating technological solutions, staff training</w:t>
      </w:r>
      <w:r w:rsidR="007B6B22">
        <w:rPr>
          <w:rFonts w:ascii="Arial" w:hAnsi="Arial" w:cs="Arial"/>
          <w:sz w:val="24"/>
          <w:szCs w:val="24"/>
        </w:rPr>
        <w:t>,</w:t>
      </w:r>
      <w:r w:rsidRPr="009C228B">
        <w:rPr>
          <w:rFonts w:ascii="Arial" w:hAnsi="Arial" w:cs="Arial"/>
          <w:sz w:val="24"/>
          <w:szCs w:val="24"/>
        </w:rPr>
        <w:t xml:space="preserve"> and guest engagement has been shown to enhance both environmental and financial outcomes (Da Rosa et al., 2024). As a result, food waste reduction has emerged as a strategic opportunity for hotels seeking long-term sustainability, resilience and competitive advantage (Cárdenas, Schivinski &amp; Brennan, 2024).</w:t>
      </w:r>
    </w:p>
    <w:p w14:paraId="41EEAD77" w14:textId="77777777" w:rsidR="009C228B" w:rsidRPr="009C228B" w:rsidRDefault="009C228B" w:rsidP="009C228B">
      <w:pPr>
        <w:spacing w:line="360" w:lineRule="auto"/>
        <w:jc w:val="both"/>
        <w:rPr>
          <w:rFonts w:ascii="Arial" w:hAnsi="Arial" w:cs="Arial"/>
          <w:sz w:val="24"/>
          <w:szCs w:val="24"/>
        </w:rPr>
      </w:pPr>
    </w:p>
    <w:p w14:paraId="7C81788E" w14:textId="0C06F79A" w:rsidR="009C228B" w:rsidRPr="009C228B" w:rsidRDefault="009C228B" w:rsidP="009C228B">
      <w:pPr>
        <w:spacing w:line="360" w:lineRule="auto"/>
        <w:jc w:val="both"/>
        <w:rPr>
          <w:rFonts w:ascii="Arial" w:hAnsi="Arial" w:cs="Arial"/>
          <w:sz w:val="24"/>
          <w:szCs w:val="24"/>
        </w:rPr>
      </w:pPr>
      <w:r w:rsidRPr="009C228B">
        <w:rPr>
          <w:rFonts w:ascii="Arial" w:hAnsi="Arial" w:cs="Arial"/>
          <w:sz w:val="24"/>
          <w:szCs w:val="24"/>
        </w:rPr>
        <w:t>This paper examines how food waste reduction strategies</w:t>
      </w:r>
      <w:r w:rsidR="007B6B22">
        <w:rPr>
          <w:rFonts w:ascii="Arial" w:hAnsi="Arial" w:cs="Arial"/>
          <w:sz w:val="24"/>
          <w:szCs w:val="24"/>
        </w:rPr>
        <w:t xml:space="preserve"> </w:t>
      </w:r>
      <w:r w:rsidRPr="009C228B">
        <w:rPr>
          <w:rFonts w:ascii="Arial" w:hAnsi="Arial" w:cs="Arial"/>
          <w:sz w:val="24"/>
          <w:szCs w:val="24"/>
        </w:rPr>
        <w:t>such as digital monitoring, staff engagement, guest behaviour interventions and circular practices</w:t>
      </w:r>
      <w:r w:rsidR="007B6B22">
        <w:rPr>
          <w:rFonts w:ascii="Arial" w:hAnsi="Arial" w:cs="Arial"/>
          <w:sz w:val="24"/>
          <w:szCs w:val="24"/>
        </w:rPr>
        <w:t xml:space="preserve"> </w:t>
      </w:r>
      <w:r w:rsidRPr="009C228B">
        <w:rPr>
          <w:rFonts w:ascii="Arial" w:hAnsi="Arial" w:cs="Arial"/>
          <w:sz w:val="24"/>
          <w:szCs w:val="24"/>
        </w:rPr>
        <w:t xml:space="preserve">can support sustainable hospitality. Using a qualitative review of recent peer-reviewed literature, the study evaluates the drivers of food waste, its impacts on hotels and the effectiveness of current industry responses. By applying analytical frameworks such as the Waste Hierarchy and the Drivers–Impacts–Responses (DIR) model, the paper critically explores how integrated approaches can balance operational efficiency with environmental responsibility. </w:t>
      </w:r>
      <w:r w:rsidR="000F7CD2" w:rsidRPr="009C228B">
        <w:rPr>
          <w:rFonts w:ascii="Arial" w:hAnsi="Arial" w:cs="Arial"/>
          <w:sz w:val="24"/>
          <w:szCs w:val="24"/>
        </w:rPr>
        <w:t>It</w:t>
      </w:r>
      <w:r w:rsidRPr="009C228B">
        <w:rPr>
          <w:rFonts w:ascii="Arial" w:hAnsi="Arial" w:cs="Arial"/>
          <w:sz w:val="24"/>
          <w:szCs w:val="24"/>
        </w:rPr>
        <w:t xml:space="preserve"> argues that food waste reduction is not only an environmental necessity but a strategic lever for innovation, profitability and brand differentiation in the hospitality sector.</w:t>
      </w:r>
    </w:p>
    <w:p w14:paraId="0DFAE6FC" w14:textId="77777777" w:rsidR="009C228B" w:rsidRPr="009C228B" w:rsidRDefault="009C228B" w:rsidP="009C228B">
      <w:pPr>
        <w:spacing w:line="360" w:lineRule="auto"/>
        <w:jc w:val="both"/>
        <w:rPr>
          <w:rFonts w:ascii="Arial" w:hAnsi="Arial" w:cs="Arial"/>
          <w:sz w:val="24"/>
          <w:szCs w:val="24"/>
        </w:rPr>
      </w:pPr>
    </w:p>
    <w:p w14:paraId="024C1D75" w14:textId="77777777" w:rsidR="009C228B" w:rsidRDefault="009C228B" w:rsidP="009C228B">
      <w:pPr>
        <w:spacing w:line="360" w:lineRule="auto"/>
        <w:jc w:val="both"/>
        <w:rPr>
          <w:rFonts w:ascii="Arial" w:hAnsi="Arial" w:cs="Arial"/>
          <w:sz w:val="24"/>
          <w:szCs w:val="24"/>
        </w:rPr>
      </w:pPr>
    </w:p>
    <w:p w14:paraId="6D7C0DB6" w14:textId="0171B57D" w:rsidR="009C228B" w:rsidRPr="009C228B" w:rsidRDefault="009C228B" w:rsidP="009C228B">
      <w:pPr>
        <w:spacing w:line="360" w:lineRule="auto"/>
        <w:jc w:val="both"/>
        <w:rPr>
          <w:rFonts w:ascii="Arial" w:hAnsi="Arial" w:cs="Arial"/>
          <w:b/>
          <w:bCs/>
          <w:sz w:val="24"/>
          <w:szCs w:val="24"/>
        </w:rPr>
      </w:pPr>
      <w:r w:rsidRPr="009C228B">
        <w:rPr>
          <w:rFonts w:ascii="Arial" w:hAnsi="Arial" w:cs="Arial"/>
          <w:b/>
          <w:bCs/>
          <w:sz w:val="24"/>
          <w:szCs w:val="24"/>
        </w:rPr>
        <w:t>Literature Review</w:t>
      </w:r>
    </w:p>
    <w:p w14:paraId="4B26F9D9" w14:textId="77777777" w:rsidR="009C228B" w:rsidRPr="009C228B" w:rsidRDefault="009C228B" w:rsidP="009C228B">
      <w:pPr>
        <w:spacing w:line="360" w:lineRule="auto"/>
        <w:jc w:val="both"/>
        <w:rPr>
          <w:rFonts w:ascii="Arial" w:hAnsi="Arial" w:cs="Arial"/>
          <w:sz w:val="24"/>
          <w:szCs w:val="24"/>
          <w:u w:val="single"/>
        </w:rPr>
      </w:pPr>
      <w:r w:rsidRPr="009C228B">
        <w:rPr>
          <w:rFonts w:ascii="Arial" w:hAnsi="Arial" w:cs="Arial"/>
          <w:sz w:val="24"/>
          <w:szCs w:val="24"/>
          <w:u w:val="single"/>
        </w:rPr>
        <w:t>1. The Scale and Significance of Food Waste in Hospitality</w:t>
      </w:r>
    </w:p>
    <w:p w14:paraId="48121BFB" w14:textId="4D736D50" w:rsidR="009C228B" w:rsidRPr="009C228B" w:rsidRDefault="009C228B" w:rsidP="009C228B">
      <w:pPr>
        <w:spacing w:line="360" w:lineRule="auto"/>
        <w:jc w:val="both"/>
        <w:rPr>
          <w:rFonts w:ascii="Arial" w:hAnsi="Arial" w:cs="Arial"/>
          <w:sz w:val="24"/>
          <w:szCs w:val="24"/>
        </w:rPr>
      </w:pPr>
      <w:r w:rsidRPr="009C228B">
        <w:rPr>
          <w:rFonts w:ascii="Arial" w:hAnsi="Arial" w:cs="Arial"/>
          <w:sz w:val="24"/>
          <w:szCs w:val="24"/>
        </w:rPr>
        <w:t xml:space="preserve">Food waste is widely recognised as one of the most pressing sustainability challenges in the hospitality sector (Pirani &amp; Arafat, 2016). Hotels are responsible for substantial levels of avoidable food waste due to buffet-style dining, unpredictable guest numbers and high service expectations (Papargyropoulou et al., 2014). Studies indicate that the food service sector produces a large percentage of global food waste, leading to environmental, economic and social consequences (Juvan, Grün &amp; Dolnicar, 2023). Beyond financial losses, </w:t>
      </w:r>
      <w:r w:rsidR="00283B37">
        <w:rPr>
          <w:rFonts w:ascii="Arial" w:hAnsi="Arial" w:cs="Arial"/>
          <w:sz w:val="24"/>
          <w:szCs w:val="24"/>
        </w:rPr>
        <w:t>f</w:t>
      </w:r>
      <w:r w:rsidR="00283B37" w:rsidRPr="00283B37">
        <w:rPr>
          <w:rFonts w:ascii="Arial" w:hAnsi="Arial" w:cs="Arial"/>
          <w:sz w:val="24"/>
          <w:szCs w:val="24"/>
        </w:rPr>
        <w:t xml:space="preserve">ood waste increases resource depletion, landfill reliance, and greenhouse gas emissions. </w:t>
      </w:r>
      <w:r w:rsidRPr="009C228B">
        <w:rPr>
          <w:rFonts w:ascii="Arial" w:hAnsi="Arial" w:cs="Arial"/>
          <w:sz w:val="24"/>
          <w:szCs w:val="24"/>
        </w:rPr>
        <w:t>(Filimonau &amp; De Coteau, 2019).</w:t>
      </w:r>
    </w:p>
    <w:p w14:paraId="79C83D2E" w14:textId="77777777" w:rsidR="009C228B" w:rsidRPr="009C228B" w:rsidRDefault="009C228B" w:rsidP="009C228B">
      <w:pPr>
        <w:spacing w:line="360" w:lineRule="auto"/>
        <w:jc w:val="both"/>
        <w:rPr>
          <w:rFonts w:ascii="Arial" w:hAnsi="Arial" w:cs="Arial"/>
          <w:sz w:val="24"/>
          <w:szCs w:val="24"/>
        </w:rPr>
      </w:pPr>
    </w:p>
    <w:p w14:paraId="11DFF51D" w14:textId="77777777" w:rsidR="009C228B" w:rsidRPr="009C228B" w:rsidRDefault="009C228B" w:rsidP="009C228B">
      <w:pPr>
        <w:spacing w:line="360" w:lineRule="auto"/>
        <w:jc w:val="both"/>
        <w:rPr>
          <w:rFonts w:ascii="Arial" w:hAnsi="Arial" w:cs="Arial"/>
          <w:sz w:val="24"/>
          <w:szCs w:val="24"/>
        </w:rPr>
      </w:pPr>
      <w:r w:rsidRPr="009C228B">
        <w:rPr>
          <w:rFonts w:ascii="Arial" w:hAnsi="Arial" w:cs="Arial"/>
          <w:sz w:val="24"/>
          <w:szCs w:val="24"/>
        </w:rPr>
        <w:t xml:space="preserve">The economic implications are considerable. Businesses incur costs not only for purchasing food that is never consumed but also for labour, energy, storage and disposal (Vizzoto, Testa &amp; Iraldo, 2021). In many cases, hotels unknowingly lose revenue due to poor portion control, inaccurate demand forecasting and inefficient kitchen processes (Cárdenas, Schivinski &amp; Brennan, 2024). As competition in the </w:t>
      </w:r>
      <w:r w:rsidRPr="009C228B">
        <w:rPr>
          <w:rFonts w:ascii="Arial" w:hAnsi="Arial" w:cs="Arial"/>
          <w:sz w:val="24"/>
          <w:szCs w:val="24"/>
        </w:rPr>
        <w:lastRenderedPageBreak/>
        <w:t>hospitality industry increases, food waste reduction is becoming a critical driver of profitability and operational efficiency (Da Rosa et al., 2024).</w:t>
      </w:r>
    </w:p>
    <w:p w14:paraId="57CB267C" w14:textId="77777777" w:rsidR="009C228B" w:rsidRPr="009C228B" w:rsidRDefault="009C228B" w:rsidP="009C228B">
      <w:pPr>
        <w:spacing w:line="360" w:lineRule="auto"/>
        <w:jc w:val="both"/>
        <w:rPr>
          <w:rFonts w:ascii="Arial" w:hAnsi="Arial" w:cs="Arial"/>
          <w:sz w:val="24"/>
          <w:szCs w:val="24"/>
        </w:rPr>
      </w:pPr>
    </w:p>
    <w:p w14:paraId="279051CB" w14:textId="77777777" w:rsidR="009C228B" w:rsidRPr="009C228B" w:rsidRDefault="009C228B" w:rsidP="009C228B">
      <w:pPr>
        <w:spacing w:line="360" w:lineRule="auto"/>
        <w:jc w:val="both"/>
        <w:rPr>
          <w:rFonts w:ascii="Arial" w:hAnsi="Arial" w:cs="Arial"/>
          <w:sz w:val="24"/>
          <w:szCs w:val="24"/>
          <w:u w:val="single"/>
        </w:rPr>
      </w:pPr>
      <w:r w:rsidRPr="009C228B">
        <w:rPr>
          <w:rFonts w:ascii="Arial" w:hAnsi="Arial" w:cs="Arial"/>
          <w:sz w:val="24"/>
          <w:szCs w:val="24"/>
          <w:u w:val="single"/>
        </w:rPr>
        <w:t>2. Food Waste as Strategic Sustainability</w:t>
      </w:r>
    </w:p>
    <w:p w14:paraId="669E9E0E" w14:textId="77777777" w:rsidR="009C228B" w:rsidRPr="009C228B" w:rsidRDefault="009C228B" w:rsidP="009C228B">
      <w:pPr>
        <w:spacing w:line="360" w:lineRule="auto"/>
        <w:jc w:val="both"/>
        <w:rPr>
          <w:rFonts w:ascii="Arial" w:hAnsi="Arial" w:cs="Arial"/>
          <w:sz w:val="24"/>
          <w:szCs w:val="24"/>
        </w:rPr>
      </w:pPr>
    </w:p>
    <w:p w14:paraId="6E225999" w14:textId="61EF816E" w:rsidR="009C228B" w:rsidRPr="009C228B" w:rsidRDefault="009C228B" w:rsidP="009C228B">
      <w:pPr>
        <w:spacing w:line="360" w:lineRule="auto"/>
        <w:jc w:val="both"/>
        <w:rPr>
          <w:rFonts w:ascii="Arial" w:hAnsi="Arial" w:cs="Arial"/>
          <w:sz w:val="24"/>
          <w:szCs w:val="24"/>
        </w:rPr>
      </w:pPr>
      <w:r w:rsidRPr="009C228B">
        <w:rPr>
          <w:rFonts w:ascii="Arial" w:hAnsi="Arial" w:cs="Arial"/>
          <w:sz w:val="24"/>
          <w:szCs w:val="24"/>
        </w:rPr>
        <w:t xml:space="preserve">Recent literature emphasises that food waste reduction is not simply a cost-saving measure but a strategic sustainability practice that enhances brand reputation and customer satisfaction (Dhir et al., 2020). Guests now expect hotels to align with environmental values, and sustainable practices are perceived as indicators of quality and trust (Juvan, Grün &amp; Dolnicar, 2023). Integrating sustainability into food service operations can therefore generate </w:t>
      </w:r>
      <w:r w:rsidR="001B74D5">
        <w:rPr>
          <w:rFonts w:ascii="Arial" w:hAnsi="Arial" w:cs="Arial"/>
          <w:sz w:val="24"/>
          <w:szCs w:val="24"/>
        </w:rPr>
        <w:t xml:space="preserve">a </w:t>
      </w:r>
      <w:r w:rsidRPr="009C228B">
        <w:rPr>
          <w:rFonts w:ascii="Arial" w:hAnsi="Arial" w:cs="Arial"/>
          <w:sz w:val="24"/>
          <w:szCs w:val="24"/>
        </w:rPr>
        <w:t>competitive advantage by appealing to environmentally conscious consumers (Cárdenas, Schivinski &amp; Brennan, 2024).</w:t>
      </w:r>
    </w:p>
    <w:p w14:paraId="36D42C9B" w14:textId="77777777" w:rsidR="009C228B" w:rsidRPr="009C228B" w:rsidRDefault="009C228B" w:rsidP="009C228B">
      <w:pPr>
        <w:spacing w:line="360" w:lineRule="auto"/>
        <w:jc w:val="both"/>
        <w:rPr>
          <w:rFonts w:ascii="Arial" w:hAnsi="Arial" w:cs="Arial"/>
          <w:sz w:val="24"/>
          <w:szCs w:val="24"/>
        </w:rPr>
      </w:pPr>
    </w:p>
    <w:p w14:paraId="50128B7A" w14:textId="04C0110D" w:rsidR="009C228B" w:rsidRDefault="009C228B" w:rsidP="009C228B">
      <w:pPr>
        <w:spacing w:line="360" w:lineRule="auto"/>
        <w:jc w:val="both"/>
        <w:rPr>
          <w:rFonts w:ascii="Arial" w:hAnsi="Arial" w:cs="Arial"/>
          <w:sz w:val="24"/>
          <w:szCs w:val="24"/>
        </w:rPr>
      </w:pPr>
      <w:r w:rsidRPr="009C228B">
        <w:rPr>
          <w:rFonts w:ascii="Arial" w:hAnsi="Arial" w:cs="Arial"/>
          <w:sz w:val="24"/>
          <w:szCs w:val="24"/>
        </w:rPr>
        <w:t>Hotels that position themselves as leaders in sustainability often report stronger customer loyalty, improved brand image and increased market differentiation (Papargyropoulou et al., 2019). However, researchers note that the success of sustainability initiatives depends on comprehensive implementation that combines technological solutions with behavioural change and management commitment (Pirani &amp; Arafat, 2016).</w:t>
      </w:r>
    </w:p>
    <w:p w14:paraId="18CA9D92" w14:textId="77777777" w:rsidR="00DF6369" w:rsidRDefault="00DF6369" w:rsidP="009C228B">
      <w:pPr>
        <w:spacing w:line="360" w:lineRule="auto"/>
        <w:jc w:val="both"/>
        <w:rPr>
          <w:rFonts w:ascii="Arial" w:hAnsi="Arial" w:cs="Arial"/>
          <w:sz w:val="24"/>
          <w:szCs w:val="24"/>
        </w:rPr>
      </w:pPr>
    </w:p>
    <w:p w14:paraId="7E8A018F" w14:textId="77777777" w:rsidR="00DF6369" w:rsidRPr="00DF6369" w:rsidRDefault="00DF6369" w:rsidP="00DF6369">
      <w:pPr>
        <w:spacing w:line="360" w:lineRule="auto"/>
        <w:jc w:val="both"/>
        <w:rPr>
          <w:rFonts w:ascii="Arial" w:hAnsi="Arial" w:cs="Arial"/>
          <w:sz w:val="24"/>
          <w:szCs w:val="24"/>
          <w:u w:val="single"/>
        </w:rPr>
      </w:pPr>
      <w:r w:rsidRPr="00DF6369">
        <w:rPr>
          <w:rFonts w:ascii="Arial" w:hAnsi="Arial" w:cs="Arial"/>
          <w:sz w:val="24"/>
          <w:szCs w:val="24"/>
          <w:u w:val="single"/>
        </w:rPr>
        <w:t>3. Digital innovation and behavioural change</w:t>
      </w:r>
    </w:p>
    <w:p w14:paraId="0F6ACA41" w14:textId="77777777" w:rsidR="00DF6369" w:rsidRPr="00DF6369" w:rsidRDefault="00DF6369" w:rsidP="00DF6369">
      <w:pPr>
        <w:spacing w:line="360" w:lineRule="auto"/>
        <w:jc w:val="both"/>
        <w:rPr>
          <w:rFonts w:ascii="Arial" w:hAnsi="Arial" w:cs="Arial"/>
          <w:sz w:val="24"/>
          <w:szCs w:val="24"/>
        </w:rPr>
      </w:pPr>
    </w:p>
    <w:p w14:paraId="0EDDEA78" w14:textId="54A77573" w:rsidR="00DF6369" w:rsidRPr="00DF6369" w:rsidRDefault="00DF6369" w:rsidP="00DF6369">
      <w:pPr>
        <w:spacing w:line="360" w:lineRule="auto"/>
        <w:jc w:val="both"/>
        <w:rPr>
          <w:rFonts w:ascii="Arial" w:hAnsi="Arial" w:cs="Arial"/>
          <w:sz w:val="24"/>
          <w:szCs w:val="24"/>
        </w:rPr>
      </w:pPr>
      <w:r w:rsidRPr="00DF6369">
        <w:rPr>
          <w:rFonts w:ascii="Arial" w:hAnsi="Arial" w:cs="Arial"/>
          <w:sz w:val="24"/>
          <w:szCs w:val="24"/>
        </w:rPr>
        <w:t>Recent research highlights digital monitoring and data analytics as critical tools for reducing food waste in hotels (Sigala, 2025). Artificial</w:t>
      </w:r>
      <w:r w:rsidR="001B74D5">
        <w:rPr>
          <w:rFonts w:ascii="Arial" w:hAnsi="Arial" w:cs="Arial"/>
          <w:sz w:val="24"/>
          <w:szCs w:val="24"/>
        </w:rPr>
        <w:t xml:space="preserve"> intelligence-enabled</w:t>
      </w:r>
      <w:r w:rsidRPr="00DF6369">
        <w:rPr>
          <w:rFonts w:ascii="Arial" w:hAnsi="Arial" w:cs="Arial"/>
          <w:sz w:val="24"/>
          <w:szCs w:val="24"/>
        </w:rPr>
        <w:t xml:space="preserve"> systems can identify waste patterns, track portions and optimise procurement. These technologies improve forecasting accuracy and encourage staff accountability by providing real-time insights into kitchen performance. However, technology alone is insufficient without managerial commitment and behavioural engagement (Filimonau &amp; De Coteau, 2019). Training programmes and clear communication help employees </w:t>
      </w:r>
      <w:r w:rsidRPr="00DF6369">
        <w:rPr>
          <w:rFonts w:ascii="Arial" w:hAnsi="Arial" w:cs="Arial"/>
          <w:sz w:val="24"/>
          <w:szCs w:val="24"/>
        </w:rPr>
        <w:lastRenderedPageBreak/>
        <w:t>understand both the environmental and economic consequences of waste (Vizzoto, Testa &amp; Iraldo, 2021).</w:t>
      </w:r>
    </w:p>
    <w:p w14:paraId="7278C2AD" w14:textId="77777777" w:rsidR="00DF6369" w:rsidRPr="00DF6369" w:rsidRDefault="00DF6369" w:rsidP="00DF6369">
      <w:pPr>
        <w:spacing w:line="360" w:lineRule="auto"/>
        <w:jc w:val="both"/>
        <w:rPr>
          <w:rFonts w:ascii="Arial" w:hAnsi="Arial" w:cs="Arial"/>
          <w:sz w:val="24"/>
          <w:szCs w:val="24"/>
        </w:rPr>
      </w:pPr>
    </w:p>
    <w:p w14:paraId="4D07B030" w14:textId="351088B1" w:rsidR="00DF6369" w:rsidRDefault="00DF6369" w:rsidP="00DF6369">
      <w:pPr>
        <w:spacing w:line="360" w:lineRule="auto"/>
        <w:jc w:val="both"/>
        <w:rPr>
          <w:rFonts w:ascii="Arial" w:hAnsi="Arial" w:cs="Arial"/>
          <w:sz w:val="24"/>
          <w:szCs w:val="24"/>
        </w:rPr>
      </w:pPr>
      <w:r w:rsidRPr="00DF6369">
        <w:rPr>
          <w:rFonts w:ascii="Arial" w:hAnsi="Arial" w:cs="Arial"/>
          <w:sz w:val="24"/>
          <w:szCs w:val="24"/>
        </w:rPr>
        <w:t xml:space="preserve">Behavioural interventions directed at guests also play a role. Studies show that smaller plate sizes, personalised portion options and informational signage can </w:t>
      </w:r>
      <w:r w:rsidR="001B74D5" w:rsidRPr="00DF6369">
        <w:rPr>
          <w:rFonts w:ascii="Arial" w:hAnsi="Arial" w:cs="Arial"/>
          <w:sz w:val="24"/>
          <w:szCs w:val="24"/>
        </w:rPr>
        <w:t>lower</w:t>
      </w:r>
      <w:r w:rsidRPr="00DF6369">
        <w:rPr>
          <w:rFonts w:ascii="Arial" w:hAnsi="Arial" w:cs="Arial"/>
          <w:sz w:val="24"/>
          <w:szCs w:val="24"/>
        </w:rPr>
        <w:t xml:space="preserve"> buffet waste (Wu &amp; Teng, 2022). Integrating digital nudging</w:t>
      </w:r>
      <w:r w:rsidR="001B74D5">
        <w:rPr>
          <w:rFonts w:ascii="Arial" w:hAnsi="Arial" w:cs="Arial"/>
          <w:sz w:val="24"/>
          <w:szCs w:val="24"/>
        </w:rPr>
        <w:t xml:space="preserve">, </w:t>
      </w:r>
      <w:r w:rsidRPr="00DF6369">
        <w:rPr>
          <w:rFonts w:ascii="Arial" w:hAnsi="Arial" w:cs="Arial"/>
          <w:sz w:val="24"/>
          <w:szCs w:val="24"/>
        </w:rPr>
        <w:t>such as real-time display of food waste statistics</w:t>
      </w:r>
      <w:r w:rsidR="001B74D5">
        <w:rPr>
          <w:rFonts w:ascii="Arial" w:hAnsi="Arial" w:cs="Arial"/>
          <w:sz w:val="24"/>
          <w:szCs w:val="24"/>
        </w:rPr>
        <w:t xml:space="preserve">, </w:t>
      </w:r>
      <w:r w:rsidRPr="00DF6369">
        <w:rPr>
          <w:rFonts w:ascii="Arial" w:hAnsi="Arial" w:cs="Arial"/>
          <w:sz w:val="24"/>
          <w:szCs w:val="24"/>
        </w:rPr>
        <w:t xml:space="preserve">further motivates both staff and customers to act responsibly (Sigala, 2025). Thus, sustainable food management depends on </w:t>
      </w:r>
      <w:r w:rsidR="001B74D5" w:rsidRPr="00DF6369">
        <w:rPr>
          <w:rFonts w:ascii="Arial" w:hAnsi="Arial" w:cs="Arial"/>
          <w:sz w:val="24"/>
          <w:szCs w:val="24"/>
        </w:rPr>
        <w:t>a comprehensive approach</w:t>
      </w:r>
      <w:r w:rsidRPr="00DF6369">
        <w:rPr>
          <w:rFonts w:ascii="Arial" w:hAnsi="Arial" w:cs="Arial"/>
          <w:sz w:val="24"/>
          <w:szCs w:val="24"/>
        </w:rPr>
        <w:t xml:space="preserve"> that aligns technology, organisational culture and consumer participation.</w:t>
      </w:r>
    </w:p>
    <w:p w14:paraId="79E6DA94" w14:textId="77777777" w:rsidR="006940E3" w:rsidRDefault="006940E3" w:rsidP="00DF6369">
      <w:pPr>
        <w:spacing w:line="360" w:lineRule="auto"/>
        <w:jc w:val="both"/>
        <w:rPr>
          <w:rFonts w:ascii="Arial" w:hAnsi="Arial" w:cs="Arial"/>
          <w:sz w:val="24"/>
          <w:szCs w:val="24"/>
        </w:rPr>
      </w:pPr>
    </w:p>
    <w:p w14:paraId="0FD25D83" w14:textId="54859476" w:rsidR="00D502C3" w:rsidRPr="00D502C3" w:rsidRDefault="00D502C3" w:rsidP="00D502C3">
      <w:pPr>
        <w:spacing w:line="360" w:lineRule="auto"/>
        <w:jc w:val="both"/>
        <w:rPr>
          <w:rFonts w:ascii="Arial" w:hAnsi="Arial" w:cs="Arial"/>
          <w:b/>
          <w:bCs/>
          <w:sz w:val="24"/>
          <w:szCs w:val="24"/>
        </w:rPr>
      </w:pPr>
      <w:r w:rsidRPr="00D502C3">
        <w:rPr>
          <w:rFonts w:ascii="Arial" w:hAnsi="Arial" w:cs="Arial"/>
          <w:b/>
          <w:bCs/>
          <w:sz w:val="24"/>
          <w:szCs w:val="24"/>
        </w:rPr>
        <w:t xml:space="preserve">Methodology </w:t>
      </w:r>
    </w:p>
    <w:p w14:paraId="7332AEA2" w14:textId="77777777" w:rsidR="00162755" w:rsidRPr="00162755" w:rsidRDefault="00162755" w:rsidP="00162755">
      <w:pPr>
        <w:spacing w:line="360" w:lineRule="auto"/>
        <w:jc w:val="both"/>
        <w:rPr>
          <w:rFonts w:ascii="Arial" w:hAnsi="Arial" w:cs="Arial"/>
          <w:sz w:val="24"/>
          <w:szCs w:val="24"/>
        </w:rPr>
      </w:pPr>
    </w:p>
    <w:p w14:paraId="7A626B5E" w14:textId="77777777" w:rsidR="00162755" w:rsidRPr="00162755" w:rsidRDefault="00162755" w:rsidP="00162755">
      <w:pPr>
        <w:spacing w:line="360" w:lineRule="auto"/>
        <w:jc w:val="both"/>
        <w:rPr>
          <w:rFonts w:ascii="Arial" w:hAnsi="Arial" w:cs="Arial"/>
          <w:sz w:val="24"/>
          <w:szCs w:val="24"/>
        </w:rPr>
      </w:pPr>
      <w:r w:rsidRPr="00162755">
        <w:rPr>
          <w:rFonts w:ascii="Arial" w:hAnsi="Arial" w:cs="Arial"/>
          <w:sz w:val="24"/>
          <w:szCs w:val="24"/>
        </w:rPr>
        <w:t>This study explores the strategies adopted by hotels to manage and minimise food waste, employing a qualitative research design based on secondary data analysis. Data were collected exclusively from peer-reviewed academic journal articles published between 2014 and 2025, retrieved from reputable databases such as ScienceDirect, Emerald Insight, Wiley Online Library, and Taylor &amp; Francis Online. The literature search was guided by a combination of keywords including “food waste,” “hotel,” “hospitality,” “artificial intelligence,” “behavioural change,” “circular economy,” and “sustainable operations.”</w:t>
      </w:r>
    </w:p>
    <w:p w14:paraId="2CBDF25B" w14:textId="77777777" w:rsidR="00162755" w:rsidRPr="00162755" w:rsidRDefault="00162755" w:rsidP="00162755">
      <w:pPr>
        <w:spacing w:line="360" w:lineRule="auto"/>
        <w:jc w:val="both"/>
        <w:rPr>
          <w:rFonts w:ascii="Arial" w:hAnsi="Arial" w:cs="Arial"/>
          <w:sz w:val="24"/>
          <w:szCs w:val="24"/>
        </w:rPr>
      </w:pPr>
    </w:p>
    <w:p w14:paraId="0E07549E" w14:textId="77777777" w:rsidR="00162755" w:rsidRPr="00162755" w:rsidRDefault="00162755" w:rsidP="00162755">
      <w:pPr>
        <w:spacing w:line="360" w:lineRule="auto"/>
        <w:jc w:val="both"/>
        <w:rPr>
          <w:rFonts w:ascii="Arial" w:hAnsi="Arial" w:cs="Arial"/>
          <w:sz w:val="24"/>
          <w:szCs w:val="24"/>
        </w:rPr>
      </w:pPr>
      <w:r w:rsidRPr="00162755">
        <w:rPr>
          <w:rFonts w:ascii="Arial" w:hAnsi="Arial" w:cs="Arial"/>
          <w:sz w:val="24"/>
          <w:szCs w:val="24"/>
        </w:rPr>
        <w:t>To ensure both validity and relevance, only empirical studies and systematic reviews directly addressing food waste within the hotel sector were included. This approach ensured a focused and credible evidence base for analysis.</w:t>
      </w:r>
    </w:p>
    <w:p w14:paraId="4A45F6C8" w14:textId="77777777" w:rsidR="00162755" w:rsidRPr="00162755" w:rsidRDefault="00162755" w:rsidP="00162755">
      <w:pPr>
        <w:spacing w:line="360" w:lineRule="auto"/>
        <w:jc w:val="both"/>
        <w:rPr>
          <w:rFonts w:ascii="Arial" w:hAnsi="Arial" w:cs="Arial"/>
          <w:sz w:val="24"/>
          <w:szCs w:val="24"/>
        </w:rPr>
      </w:pPr>
    </w:p>
    <w:p w14:paraId="79193823" w14:textId="77777777" w:rsidR="00162755" w:rsidRPr="00162755" w:rsidRDefault="00162755" w:rsidP="00162755">
      <w:pPr>
        <w:spacing w:line="360" w:lineRule="auto"/>
        <w:jc w:val="both"/>
        <w:rPr>
          <w:rFonts w:ascii="Arial" w:hAnsi="Arial" w:cs="Arial"/>
          <w:sz w:val="24"/>
          <w:szCs w:val="24"/>
        </w:rPr>
      </w:pPr>
      <w:r w:rsidRPr="00162755">
        <w:rPr>
          <w:rFonts w:ascii="Arial" w:hAnsi="Arial" w:cs="Arial"/>
          <w:sz w:val="24"/>
          <w:szCs w:val="24"/>
        </w:rPr>
        <w:t>The selected studies were examined using thematic analysis (Braun &amp; Clarke, 2006), which facilitated the identification of recurrent patterns, strategies, and challenges discussed across the literature. The emerging themes were categorised into four main areas: technological innovation, behavioural interventions, operational practices, and organisational barriers.</w:t>
      </w:r>
    </w:p>
    <w:p w14:paraId="578B7C9E" w14:textId="77777777" w:rsidR="00162755" w:rsidRPr="00162755" w:rsidRDefault="00162755" w:rsidP="00162755">
      <w:pPr>
        <w:spacing w:line="360" w:lineRule="auto"/>
        <w:jc w:val="both"/>
        <w:rPr>
          <w:rFonts w:ascii="Arial" w:hAnsi="Arial" w:cs="Arial"/>
          <w:sz w:val="24"/>
          <w:szCs w:val="24"/>
        </w:rPr>
      </w:pPr>
    </w:p>
    <w:p w14:paraId="1D389470" w14:textId="2648B841" w:rsidR="00162755" w:rsidRPr="00162755" w:rsidRDefault="00162755" w:rsidP="00162755">
      <w:pPr>
        <w:spacing w:line="360" w:lineRule="auto"/>
        <w:jc w:val="both"/>
        <w:rPr>
          <w:rFonts w:ascii="Arial" w:hAnsi="Arial" w:cs="Arial"/>
          <w:sz w:val="24"/>
          <w:szCs w:val="24"/>
        </w:rPr>
      </w:pPr>
      <w:r w:rsidRPr="00162755">
        <w:rPr>
          <w:rFonts w:ascii="Arial" w:hAnsi="Arial" w:cs="Arial"/>
          <w:sz w:val="24"/>
          <w:szCs w:val="24"/>
        </w:rPr>
        <w:t>To provide conceptual depth, the Waste Hierarchy Model (European Commission, 2008) was adopted to assess hotel food waste management practices across prevention, reuse, recycling, recovery, and disposal stages. Additionally, the Drivers</w:t>
      </w:r>
      <w:r>
        <w:rPr>
          <w:rFonts w:ascii="Arial" w:hAnsi="Arial" w:cs="Arial"/>
          <w:sz w:val="24"/>
          <w:szCs w:val="24"/>
        </w:rPr>
        <w:t xml:space="preserve"> </w:t>
      </w:r>
      <w:r w:rsidRPr="00162755">
        <w:rPr>
          <w:rFonts w:ascii="Arial" w:hAnsi="Arial" w:cs="Arial"/>
          <w:sz w:val="24"/>
          <w:szCs w:val="24"/>
        </w:rPr>
        <w:t>Impacts</w:t>
      </w:r>
      <w:r>
        <w:rPr>
          <w:rFonts w:ascii="Arial" w:hAnsi="Arial" w:cs="Arial"/>
          <w:sz w:val="24"/>
          <w:szCs w:val="24"/>
        </w:rPr>
        <w:t xml:space="preserve"> </w:t>
      </w:r>
      <w:r w:rsidRPr="00162755">
        <w:rPr>
          <w:rFonts w:ascii="Arial" w:hAnsi="Arial" w:cs="Arial"/>
          <w:sz w:val="24"/>
          <w:szCs w:val="24"/>
        </w:rPr>
        <w:t>Responses (DIR) Framework (OECD, 2003) was employed as an analytical lens to examine the causes of food waste, its environmental and financial implications, and the industry’s corresponding responses.</w:t>
      </w:r>
    </w:p>
    <w:p w14:paraId="1EA35AC4" w14:textId="77777777" w:rsidR="00162755" w:rsidRPr="00162755" w:rsidRDefault="00162755" w:rsidP="00162755">
      <w:pPr>
        <w:spacing w:line="360" w:lineRule="auto"/>
        <w:jc w:val="both"/>
        <w:rPr>
          <w:rFonts w:ascii="Arial" w:hAnsi="Arial" w:cs="Arial"/>
          <w:sz w:val="24"/>
          <w:szCs w:val="24"/>
        </w:rPr>
      </w:pPr>
    </w:p>
    <w:p w14:paraId="797EAE90" w14:textId="7BDDCF04" w:rsidR="006940E3" w:rsidRDefault="00162755" w:rsidP="00162755">
      <w:pPr>
        <w:spacing w:line="360" w:lineRule="auto"/>
        <w:jc w:val="both"/>
        <w:rPr>
          <w:rFonts w:ascii="Arial" w:hAnsi="Arial" w:cs="Arial"/>
          <w:sz w:val="24"/>
          <w:szCs w:val="24"/>
        </w:rPr>
      </w:pPr>
      <w:r w:rsidRPr="00162755">
        <w:rPr>
          <w:rFonts w:ascii="Arial" w:hAnsi="Arial" w:cs="Arial"/>
          <w:sz w:val="24"/>
          <w:szCs w:val="24"/>
        </w:rPr>
        <w:t>The integration of these two frameworks enabled both descriptive and critical evaluation, resulting in a holistic understanding of how hotels can enhance their food waste reduction strategies within the wider sustainability agenda of the hospitality sector.</w:t>
      </w:r>
    </w:p>
    <w:p w14:paraId="6944DAE8" w14:textId="77777777" w:rsidR="0095564A" w:rsidRDefault="0095564A" w:rsidP="006940E3">
      <w:pPr>
        <w:spacing w:line="360" w:lineRule="auto"/>
        <w:jc w:val="both"/>
        <w:rPr>
          <w:rFonts w:ascii="Arial" w:hAnsi="Arial" w:cs="Arial"/>
          <w:b/>
          <w:bCs/>
          <w:sz w:val="24"/>
          <w:szCs w:val="24"/>
        </w:rPr>
      </w:pPr>
    </w:p>
    <w:p w14:paraId="7AB935F7" w14:textId="77777777" w:rsidR="00E65E98" w:rsidRPr="00E65E98" w:rsidRDefault="00E65E98" w:rsidP="00E65E98">
      <w:pPr>
        <w:spacing w:line="360" w:lineRule="auto"/>
        <w:jc w:val="both"/>
        <w:rPr>
          <w:rFonts w:ascii="Arial" w:hAnsi="Arial" w:cs="Arial"/>
          <w:b/>
          <w:bCs/>
          <w:sz w:val="24"/>
          <w:szCs w:val="24"/>
        </w:rPr>
      </w:pPr>
      <w:r w:rsidRPr="00E65E98">
        <w:rPr>
          <w:rFonts w:ascii="Arial" w:hAnsi="Arial" w:cs="Arial"/>
          <w:b/>
          <w:bCs/>
          <w:sz w:val="24"/>
          <w:szCs w:val="24"/>
        </w:rPr>
        <w:t>Theme Impact Analysis – Drivers–Impacts–Responses (DIR) Framework</w:t>
      </w:r>
    </w:p>
    <w:p w14:paraId="2E584097" w14:textId="77777777" w:rsidR="00E65E98" w:rsidRPr="00E65E98" w:rsidRDefault="00E65E98" w:rsidP="00E65E98">
      <w:pPr>
        <w:spacing w:line="360" w:lineRule="auto"/>
        <w:jc w:val="both"/>
        <w:rPr>
          <w:rFonts w:ascii="Arial" w:hAnsi="Arial" w:cs="Arial"/>
          <w:sz w:val="24"/>
          <w:szCs w:val="24"/>
        </w:rPr>
      </w:pPr>
    </w:p>
    <w:p w14:paraId="0AB29E13" w14:textId="77777777" w:rsidR="00E65E98" w:rsidRPr="00E65E98" w:rsidRDefault="00E65E98" w:rsidP="00E65E98">
      <w:pPr>
        <w:spacing w:line="360" w:lineRule="auto"/>
        <w:jc w:val="both"/>
        <w:rPr>
          <w:rFonts w:ascii="Arial" w:hAnsi="Arial" w:cs="Arial"/>
          <w:sz w:val="24"/>
          <w:szCs w:val="24"/>
        </w:rPr>
      </w:pPr>
      <w:r w:rsidRPr="00E65E98">
        <w:rPr>
          <w:rFonts w:ascii="Arial" w:hAnsi="Arial" w:cs="Arial"/>
          <w:sz w:val="24"/>
          <w:szCs w:val="24"/>
        </w:rPr>
        <w:t>Food waste has become a critical contemporary issue in the hospitality industry, with hotels consistently identified as major contributors due to unpredictable demand, buffet-style service models, and the high expectation of variety. To analyse its complexity and evaluate industry responses, this section applies the Drivers–Impacts–Responses (DIR) Framework, originally developed by the Organisation for Economic Co-operation and Development (OECD, 2003). This model is particularly effective in examining why food waste occurs, how it affects hotel operations and performance, and how organisations have responded in practice (Papargyropoulou et al., 2014). The framework also supports critical reflection on the effectiveness and limitations of existing strategies.</w:t>
      </w:r>
    </w:p>
    <w:p w14:paraId="016701BE" w14:textId="77777777" w:rsidR="00E65E98" w:rsidRPr="00E65E98" w:rsidRDefault="00E65E98" w:rsidP="00E65E98">
      <w:pPr>
        <w:spacing w:line="360" w:lineRule="auto"/>
        <w:jc w:val="both"/>
        <w:rPr>
          <w:rFonts w:ascii="Arial" w:hAnsi="Arial" w:cs="Arial"/>
          <w:sz w:val="24"/>
          <w:szCs w:val="24"/>
        </w:rPr>
      </w:pPr>
    </w:p>
    <w:p w14:paraId="47BCC97F" w14:textId="77777777" w:rsidR="00E65E98" w:rsidRDefault="00E65E98" w:rsidP="00E65E98">
      <w:pPr>
        <w:spacing w:line="360" w:lineRule="auto"/>
        <w:jc w:val="both"/>
        <w:rPr>
          <w:rFonts w:ascii="Arial" w:hAnsi="Arial" w:cs="Arial"/>
          <w:sz w:val="24"/>
          <w:szCs w:val="24"/>
        </w:rPr>
      </w:pPr>
    </w:p>
    <w:p w14:paraId="5D3BC5F0" w14:textId="77777777" w:rsidR="00E65E98" w:rsidRDefault="00E65E98" w:rsidP="00E65E98">
      <w:pPr>
        <w:spacing w:line="360" w:lineRule="auto"/>
        <w:jc w:val="both"/>
        <w:rPr>
          <w:rFonts w:ascii="Arial" w:hAnsi="Arial" w:cs="Arial"/>
          <w:sz w:val="24"/>
          <w:szCs w:val="24"/>
        </w:rPr>
      </w:pPr>
    </w:p>
    <w:p w14:paraId="0B8D2871" w14:textId="77777777" w:rsidR="00E65E98" w:rsidRDefault="00E65E98" w:rsidP="00E65E98">
      <w:pPr>
        <w:spacing w:line="360" w:lineRule="auto"/>
        <w:jc w:val="both"/>
        <w:rPr>
          <w:rFonts w:ascii="Arial" w:hAnsi="Arial" w:cs="Arial"/>
          <w:sz w:val="24"/>
          <w:szCs w:val="24"/>
        </w:rPr>
      </w:pPr>
    </w:p>
    <w:p w14:paraId="67BA8A65" w14:textId="59256B2B" w:rsidR="00E65E98" w:rsidRPr="00264B83" w:rsidRDefault="00E65E98" w:rsidP="00E65E98">
      <w:pPr>
        <w:spacing w:line="360" w:lineRule="auto"/>
        <w:jc w:val="both"/>
        <w:rPr>
          <w:rFonts w:ascii="Arial" w:hAnsi="Arial" w:cs="Arial"/>
          <w:sz w:val="24"/>
          <w:szCs w:val="24"/>
          <w:u w:val="single"/>
        </w:rPr>
      </w:pPr>
      <w:r w:rsidRPr="00264B83">
        <w:rPr>
          <w:rFonts w:ascii="Arial" w:hAnsi="Arial" w:cs="Arial"/>
          <w:sz w:val="24"/>
          <w:szCs w:val="24"/>
          <w:u w:val="single"/>
        </w:rPr>
        <w:lastRenderedPageBreak/>
        <w:t>Drivers of Food Waste in Hotels</w:t>
      </w:r>
    </w:p>
    <w:p w14:paraId="7A5C439E" w14:textId="77777777" w:rsidR="00E65E98" w:rsidRPr="00E65E98" w:rsidRDefault="00E65E98" w:rsidP="00E65E98">
      <w:pPr>
        <w:spacing w:line="360" w:lineRule="auto"/>
        <w:jc w:val="both"/>
        <w:rPr>
          <w:rFonts w:ascii="Arial" w:hAnsi="Arial" w:cs="Arial"/>
          <w:sz w:val="24"/>
          <w:szCs w:val="24"/>
        </w:rPr>
      </w:pPr>
    </w:p>
    <w:p w14:paraId="409B0487" w14:textId="77777777" w:rsidR="00E65E98" w:rsidRPr="00E65E98" w:rsidRDefault="00E65E98" w:rsidP="00E65E98">
      <w:pPr>
        <w:spacing w:line="360" w:lineRule="auto"/>
        <w:jc w:val="both"/>
        <w:rPr>
          <w:rFonts w:ascii="Arial" w:hAnsi="Arial" w:cs="Arial"/>
          <w:sz w:val="24"/>
          <w:szCs w:val="24"/>
        </w:rPr>
      </w:pPr>
      <w:r w:rsidRPr="00E65E98">
        <w:rPr>
          <w:rFonts w:ascii="Arial" w:hAnsi="Arial" w:cs="Arial"/>
          <w:sz w:val="24"/>
          <w:szCs w:val="24"/>
        </w:rPr>
        <w:t>Internal operational drivers are central to food waste generation in hotels. Overproduction is common, as kitchens prepare surplus food to ensure availability and maintain service standards, especially in buffet operations (Okumus et al., 2020). Inaccurate demand forecasting further exacerbates the issue, given that guest numbers fluctuate daily due to seasonality, events, and last-minute bookings. Menu complexity increases waste likelihood, as offering a broad variety of dishes requires more ingredients, heightening the risk of spoilage (Pirani &amp; Arafat, 2016). Moreover, insufficient staff training and limited interdepartmental communication contribute to poor portion control and duplicated preparation tasks (Filimonau &amp; De Coteau, 2019).</w:t>
      </w:r>
    </w:p>
    <w:p w14:paraId="160979E6" w14:textId="77777777" w:rsidR="00E65E98" w:rsidRPr="00E65E98" w:rsidRDefault="00E65E98" w:rsidP="00E65E98">
      <w:pPr>
        <w:spacing w:line="360" w:lineRule="auto"/>
        <w:jc w:val="both"/>
        <w:rPr>
          <w:rFonts w:ascii="Arial" w:hAnsi="Arial" w:cs="Arial"/>
          <w:sz w:val="24"/>
          <w:szCs w:val="24"/>
        </w:rPr>
      </w:pPr>
    </w:p>
    <w:p w14:paraId="049631A4" w14:textId="2F81B68C" w:rsidR="00E65E98" w:rsidRPr="00E65E98" w:rsidRDefault="00E65E98" w:rsidP="00E65E98">
      <w:pPr>
        <w:spacing w:line="360" w:lineRule="auto"/>
        <w:jc w:val="both"/>
        <w:rPr>
          <w:rFonts w:ascii="Arial" w:hAnsi="Arial" w:cs="Arial"/>
          <w:sz w:val="24"/>
          <w:szCs w:val="24"/>
        </w:rPr>
      </w:pPr>
      <w:r w:rsidRPr="00E65E98">
        <w:rPr>
          <w:rFonts w:ascii="Arial" w:hAnsi="Arial" w:cs="Arial"/>
          <w:sz w:val="24"/>
          <w:szCs w:val="24"/>
        </w:rPr>
        <w:t>External factors also influence food waste. Customer behaviour is a major driver, with guests often overloading plates in self-service environments, leading to substantial post-consumer waste (Wu &amp; Teng, 2022). At a broader level, stakeholder expectations</w:t>
      </w:r>
      <w:r w:rsidR="00264B83">
        <w:rPr>
          <w:rFonts w:ascii="Arial" w:hAnsi="Arial" w:cs="Arial"/>
          <w:sz w:val="24"/>
          <w:szCs w:val="24"/>
        </w:rPr>
        <w:t xml:space="preserve">, </w:t>
      </w:r>
      <w:r w:rsidRPr="00E65E98">
        <w:rPr>
          <w:rFonts w:ascii="Arial" w:hAnsi="Arial" w:cs="Arial"/>
          <w:sz w:val="24"/>
          <w:szCs w:val="24"/>
        </w:rPr>
        <w:t>including regulators, investors, and consumers</w:t>
      </w:r>
      <w:r w:rsidR="00264B83">
        <w:rPr>
          <w:rFonts w:ascii="Arial" w:hAnsi="Arial" w:cs="Arial"/>
          <w:sz w:val="24"/>
          <w:szCs w:val="24"/>
        </w:rPr>
        <w:t>,</w:t>
      </w:r>
      <w:r w:rsidRPr="00E65E98">
        <w:rPr>
          <w:rFonts w:ascii="Arial" w:hAnsi="Arial" w:cs="Arial"/>
          <w:sz w:val="24"/>
          <w:szCs w:val="24"/>
        </w:rPr>
        <w:t xml:space="preserve"> exert pressure on hotels to address food waste for both environmental and reputational reasons (Cárdenas, Schivinski &amp; Brennan, 2024). Thus, the drivers of food waste are both operational and strategic, shaped by organisational culture, service design, and stakeholder influence.</w:t>
      </w:r>
    </w:p>
    <w:p w14:paraId="10FB2631" w14:textId="77777777" w:rsidR="00E65E98" w:rsidRPr="00E65E98" w:rsidRDefault="00E65E98" w:rsidP="00E65E98">
      <w:pPr>
        <w:spacing w:line="360" w:lineRule="auto"/>
        <w:jc w:val="both"/>
        <w:rPr>
          <w:rFonts w:ascii="Arial" w:hAnsi="Arial" w:cs="Arial"/>
          <w:sz w:val="24"/>
          <w:szCs w:val="24"/>
        </w:rPr>
      </w:pPr>
    </w:p>
    <w:p w14:paraId="0DF4CF77" w14:textId="77777777" w:rsidR="00E65E98" w:rsidRPr="00264B83" w:rsidRDefault="00E65E98" w:rsidP="00E65E98">
      <w:pPr>
        <w:spacing w:line="360" w:lineRule="auto"/>
        <w:jc w:val="both"/>
        <w:rPr>
          <w:rFonts w:ascii="Arial" w:hAnsi="Arial" w:cs="Arial"/>
          <w:sz w:val="24"/>
          <w:szCs w:val="24"/>
          <w:u w:val="single"/>
        </w:rPr>
      </w:pPr>
      <w:r w:rsidRPr="00264B83">
        <w:rPr>
          <w:rFonts w:ascii="Arial" w:hAnsi="Arial" w:cs="Arial"/>
          <w:sz w:val="24"/>
          <w:szCs w:val="24"/>
          <w:u w:val="single"/>
        </w:rPr>
        <w:t>Impacts on the Hospitality Industry</w:t>
      </w:r>
    </w:p>
    <w:p w14:paraId="03C7BB69" w14:textId="77777777" w:rsidR="00E65E98" w:rsidRPr="00E65E98" w:rsidRDefault="00E65E98" w:rsidP="00E65E98">
      <w:pPr>
        <w:spacing w:line="360" w:lineRule="auto"/>
        <w:jc w:val="both"/>
        <w:rPr>
          <w:rFonts w:ascii="Arial" w:hAnsi="Arial" w:cs="Arial"/>
          <w:sz w:val="24"/>
          <w:szCs w:val="24"/>
        </w:rPr>
      </w:pPr>
    </w:p>
    <w:p w14:paraId="206D60F2" w14:textId="77777777" w:rsidR="00E65E98" w:rsidRPr="00E65E98" w:rsidRDefault="00E65E98" w:rsidP="00E65E98">
      <w:pPr>
        <w:spacing w:line="360" w:lineRule="auto"/>
        <w:jc w:val="both"/>
        <w:rPr>
          <w:rFonts w:ascii="Arial" w:hAnsi="Arial" w:cs="Arial"/>
          <w:sz w:val="24"/>
          <w:szCs w:val="24"/>
        </w:rPr>
      </w:pPr>
      <w:r w:rsidRPr="00E65E98">
        <w:rPr>
          <w:rFonts w:ascii="Arial" w:hAnsi="Arial" w:cs="Arial"/>
          <w:sz w:val="24"/>
          <w:szCs w:val="24"/>
        </w:rPr>
        <w:t>The impacts of food waste are multidimensional. Financially, waste represents a direct loss, as hotels invest in ingredients, labour, energy, and storage for food that is never consumed (Vizzoto, Testa &amp; Iraldo, 2021). Disposal costs also rise, further reducing profit margins, particularly in large-scale operations such as resorts and conference venues. Operationally, food waste signals inefficiencies in menu planning, inventory management, and kitchen workflows; high waste levels often reflect poor coordination between purchasing, production, and service teams (Da Rosa et al., 2024).</w:t>
      </w:r>
    </w:p>
    <w:p w14:paraId="1F2CE76D" w14:textId="77777777" w:rsidR="00E65E98" w:rsidRPr="00E65E98" w:rsidRDefault="00E65E98" w:rsidP="00E65E98">
      <w:pPr>
        <w:spacing w:line="360" w:lineRule="auto"/>
        <w:jc w:val="both"/>
        <w:rPr>
          <w:rFonts w:ascii="Arial" w:hAnsi="Arial" w:cs="Arial"/>
          <w:sz w:val="24"/>
          <w:szCs w:val="24"/>
        </w:rPr>
      </w:pPr>
    </w:p>
    <w:p w14:paraId="18B70D54" w14:textId="78E7FF79" w:rsidR="00E65E98" w:rsidRPr="00E65E98" w:rsidRDefault="00E65E98" w:rsidP="00E65E98">
      <w:pPr>
        <w:spacing w:line="360" w:lineRule="auto"/>
        <w:jc w:val="both"/>
        <w:rPr>
          <w:rFonts w:ascii="Arial" w:hAnsi="Arial" w:cs="Arial"/>
          <w:sz w:val="24"/>
          <w:szCs w:val="24"/>
        </w:rPr>
      </w:pPr>
      <w:r w:rsidRPr="00E65E98">
        <w:rPr>
          <w:rFonts w:ascii="Arial" w:hAnsi="Arial" w:cs="Arial"/>
          <w:sz w:val="24"/>
          <w:szCs w:val="24"/>
        </w:rPr>
        <w:lastRenderedPageBreak/>
        <w:t xml:space="preserve">Environmentally, food waste contributes to greenhouse gas emissions, water consumption, and land degradation across the food supply chain. When disposed of in </w:t>
      </w:r>
      <w:r w:rsidR="00162C88">
        <w:rPr>
          <w:rFonts w:ascii="Arial" w:hAnsi="Arial" w:cs="Arial"/>
          <w:sz w:val="24"/>
          <w:szCs w:val="24"/>
        </w:rPr>
        <w:t xml:space="preserve">a </w:t>
      </w:r>
      <w:r w:rsidRPr="00E65E98">
        <w:rPr>
          <w:rFonts w:ascii="Arial" w:hAnsi="Arial" w:cs="Arial"/>
          <w:sz w:val="24"/>
          <w:szCs w:val="24"/>
        </w:rPr>
        <w:t>landfill, it generates methane, exacerbating the hotel sector’s environmental footprint (Beretta &amp; Hellweg, 2019). Reputationally, high levels of waste can undermine sustainability claims, as guests increasingly expect transparent and environmentally responsible operations (Dhir et al., 2020). Moreover, in a world facing persistent food insecurity, discarding edible food raises ethical concerns and challenges hotels’ corporate social responsibility commitments (Papargyropoulou et al., 2019). The impacts</w:t>
      </w:r>
      <w:r w:rsidR="00162C88">
        <w:rPr>
          <w:rFonts w:ascii="Arial" w:hAnsi="Arial" w:cs="Arial"/>
          <w:sz w:val="24"/>
          <w:szCs w:val="24"/>
        </w:rPr>
        <w:t>,</w:t>
      </w:r>
      <w:r w:rsidRPr="00E65E98">
        <w:rPr>
          <w:rFonts w:ascii="Arial" w:hAnsi="Arial" w:cs="Arial"/>
          <w:sz w:val="24"/>
          <w:szCs w:val="24"/>
        </w:rPr>
        <w:t xml:space="preserve"> therefore</w:t>
      </w:r>
      <w:r w:rsidR="00162C88">
        <w:rPr>
          <w:rFonts w:ascii="Arial" w:hAnsi="Arial" w:cs="Arial"/>
          <w:sz w:val="24"/>
          <w:szCs w:val="24"/>
        </w:rPr>
        <w:t>,</w:t>
      </w:r>
      <w:r w:rsidRPr="00E65E98">
        <w:rPr>
          <w:rFonts w:ascii="Arial" w:hAnsi="Arial" w:cs="Arial"/>
          <w:sz w:val="24"/>
          <w:szCs w:val="24"/>
        </w:rPr>
        <w:t xml:space="preserve"> extend across financial, environmental, social, and ethical dimensions.</w:t>
      </w:r>
    </w:p>
    <w:p w14:paraId="418702FE" w14:textId="77777777" w:rsidR="00E65E98" w:rsidRPr="00E65E98" w:rsidRDefault="00E65E98" w:rsidP="00E65E98">
      <w:pPr>
        <w:spacing w:line="360" w:lineRule="auto"/>
        <w:jc w:val="both"/>
        <w:rPr>
          <w:rFonts w:ascii="Arial" w:hAnsi="Arial" w:cs="Arial"/>
          <w:sz w:val="24"/>
          <w:szCs w:val="24"/>
        </w:rPr>
      </w:pPr>
    </w:p>
    <w:p w14:paraId="738A9BF1" w14:textId="77777777" w:rsidR="00E65E98" w:rsidRPr="00162C88" w:rsidRDefault="00E65E98" w:rsidP="00E65E98">
      <w:pPr>
        <w:spacing w:line="360" w:lineRule="auto"/>
        <w:jc w:val="both"/>
        <w:rPr>
          <w:rFonts w:ascii="Arial" w:hAnsi="Arial" w:cs="Arial"/>
          <w:sz w:val="24"/>
          <w:szCs w:val="24"/>
          <w:u w:val="single"/>
        </w:rPr>
      </w:pPr>
      <w:r w:rsidRPr="00162C88">
        <w:rPr>
          <w:rFonts w:ascii="Arial" w:hAnsi="Arial" w:cs="Arial"/>
          <w:sz w:val="24"/>
          <w:szCs w:val="24"/>
          <w:u w:val="single"/>
        </w:rPr>
        <w:t>Industry Responses: Strengths and Limitations</w:t>
      </w:r>
    </w:p>
    <w:p w14:paraId="278D6C4E" w14:textId="77777777" w:rsidR="00E65E98" w:rsidRPr="00E65E98" w:rsidRDefault="00E65E98" w:rsidP="00E65E98">
      <w:pPr>
        <w:spacing w:line="360" w:lineRule="auto"/>
        <w:jc w:val="both"/>
        <w:rPr>
          <w:rFonts w:ascii="Arial" w:hAnsi="Arial" w:cs="Arial"/>
          <w:sz w:val="24"/>
          <w:szCs w:val="24"/>
        </w:rPr>
      </w:pPr>
    </w:p>
    <w:p w14:paraId="7780BAA2" w14:textId="77777777" w:rsidR="00E65E98" w:rsidRPr="00E65E98" w:rsidRDefault="00E65E98" w:rsidP="00E65E98">
      <w:pPr>
        <w:spacing w:line="360" w:lineRule="auto"/>
        <w:jc w:val="both"/>
        <w:rPr>
          <w:rFonts w:ascii="Arial" w:hAnsi="Arial" w:cs="Arial"/>
          <w:sz w:val="24"/>
          <w:szCs w:val="24"/>
        </w:rPr>
      </w:pPr>
      <w:r w:rsidRPr="00E65E98">
        <w:rPr>
          <w:rFonts w:ascii="Arial" w:hAnsi="Arial" w:cs="Arial"/>
          <w:sz w:val="24"/>
          <w:szCs w:val="24"/>
        </w:rPr>
        <w:t>Hotels have adopted a range of strategies to reduce food waste, particularly through technological, behavioural, and circular economy approaches.</w:t>
      </w:r>
    </w:p>
    <w:p w14:paraId="2084D1F0" w14:textId="60D66835" w:rsidR="00E65E98" w:rsidRPr="00E65E98" w:rsidRDefault="00E65E98" w:rsidP="00E65E98">
      <w:pPr>
        <w:spacing w:line="360" w:lineRule="auto"/>
        <w:jc w:val="both"/>
        <w:rPr>
          <w:rFonts w:ascii="Arial" w:hAnsi="Arial" w:cs="Arial"/>
          <w:sz w:val="24"/>
          <w:szCs w:val="24"/>
        </w:rPr>
      </w:pPr>
      <w:r w:rsidRPr="00E65E98">
        <w:rPr>
          <w:rFonts w:ascii="Arial" w:hAnsi="Arial" w:cs="Arial"/>
          <w:sz w:val="24"/>
          <w:szCs w:val="24"/>
        </w:rPr>
        <w:t>Technological innovation has become increasingly influential, with AI-based systems such as Winnow Vision</w:t>
      </w:r>
      <w:r w:rsidR="00162C88">
        <w:rPr>
          <w:rFonts w:ascii="Arial" w:hAnsi="Arial" w:cs="Arial"/>
          <w:sz w:val="24"/>
          <w:szCs w:val="24"/>
        </w:rPr>
        <w:t xml:space="preserve"> </w:t>
      </w:r>
      <w:r w:rsidRPr="00E65E98">
        <w:rPr>
          <w:rFonts w:ascii="Arial" w:hAnsi="Arial" w:cs="Arial"/>
          <w:sz w:val="24"/>
          <w:szCs w:val="24"/>
        </w:rPr>
        <w:t>used by Hilton and Marriott International</w:t>
      </w:r>
      <w:r w:rsidR="00162C88">
        <w:rPr>
          <w:rFonts w:ascii="Arial" w:hAnsi="Arial" w:cs="Arial"/>
          <w:sz w:val="24"/>
          <w:szCs w:val="24"/>
        </w:rPr>
        <w:t xml:space="preserve"> </w:t>
      </w:r>
      <w:r w:rsidRPr="00E65E98">
        <w:rPr>
          <w:rFonts w:ascii="Arial" w:hAnsi="Arial" w:cs="Arial"/>
          <w:sz w:val="24"/>
          <w:szCs w:val="24"/>
        </w:rPr>
        <w:t>tracking waste in real time and providing data analytics that support operational adjustments (Winnow, 2025). This data-driven approach improves accuracy and long-term monitoring. However, smaller independent hotels may struggle with implementation costs and technical capacity (Filimonau &amp; De Coteau, 2019). Technology alone does not guarantee change unless supported by staff engagement and managerial follow-up.</w:t>
      </w:r>
    </w:p>
    <w:p w14:paraId="2276AC0C" w14:textId="77777777" w:rsidR="00E65E98" w:rsidRPr="00E65E98" w:rsidRDefault="00E65E98" w:rsidP="00E65E98">
      <w:pPr>
        <w:spacing w:line="360" w:lineRule="auto"/>
        <w:jc w:val="both"/>
        <w:rPr>
          <w:rFonts w:ascii="Arial" w:hAnsi="Arial" w:cs="Arial"/>
          <w:sz w:val="24"/>
          <w:szCs w:val="24"/>
        </w:rPr>
      </w:pPr>
    </w:p>
    <w:p w14:paraId="3DB30341" w14:textId="232C7523" w:rsidR="00E65E98" w:rsidRPr="00E65E98" w:rsidRDefault="00E65E98" w:rsidP="00E65E98">
      <w:pPr>
        <w:spacing w:line="360" w:lineRule="auto"/>
        <w:jc w:val="both"/>
        <w:rPr>
          <w:rFonts w:ascii="Arial" w:hAnsi="Arial" w:cs="Arial"/>
          <w:sz w:val="24"/>
          <w:szCs w:val="24"/>
        </w:rPr>
      </w:pPr>
      <w:r w:rsidRPr="00E65E98">
        <w:rPr>
          <w:rFonts w:ascii="Arial" w:hAnsi="Arial" w:cs="Arial"/>
          <w:sz w:val="24"/>
          <w:szCs w:val="24"/>
        </w:rPr>
        <w:t>Behavioural interventions have also proven effective. Staff training programmes focusing on portion control, stock rotation, and efficient preparation techniques have significantly reduced kitchen waste (Vizzoto et al., 2021). Guest-focused strategies</w:t>
      </w:r>
      <w:r w:rsidR="00162C88">
        <w:rPr>
          <w:rFonts w:ascii="Arial" w:hAnsi="Arial" w:cs="Arial"/>
          <w:sz w:val="24"/>
          <w:szCs w:val="24"/>
        </w:rPr>
        <w:t xml:space="preserve"> </w:t>
      </w:r>
      <w:r w:rsidRPr="00E65E98">
        <w:rPr>
          <w:rFonts w:ascii="Arial" w:hAnsi="Arial" w:cs="Arial"/>
          <w:sz w:val="24"/>
          <w:szCs w:val="24"/>
        </w:rPr>
        <w:t>such as offering smaller plates, promoting mindful consumption, or communicating sustainability messages at buffets</w:t>
      </w:r>
      <w:r w:rsidR="00162C88">
        <w:rPr>
          <w:rFonts w:ascii="Arial" w:hAnsi="Arial" w:cs="Arial"/>
          <w:sz w:val="24"/>
          <w:szCs w:val="24"/>
        </w:rPr>
        <w:t xml:space="preserve"> </w:t>
      </w:r>
      <w:r w:rsidRPr="00E65E98">
        <w:rPr>
          <w:rFonts w:ascii="Arial" w:hAnsi="Arial" w:cs="Arial"/>
          <w:sz w:val="24"/>
          <w:szCs w:val="24"/>
        </w:rPr>
        <w:t>have lowered post-consumer waste (Wu &amp; Teng, 2022). These low-cost initiatives depend, however, on leadership commitment and consistent reinforcement (Dhir et al., 2020).</w:t>
      </w:r>
    </w:p>
    <w:p w14:paraId="1790A59D" w14:textId="77777777" w:rsidR="00E65E98" w:rsidRPr="00E65E98" w:rsidRDefault="00E65E98" w:rsidP="00E65E98">
      <w:pPr>
        <w:spacing w:line="360" w:lineRule="auto"/>
        <w:jc w:val="both"/>
        <w:rPr>
          <w:rFonts w:ascii="Arial" w:hAnsi="Arial" w:cs="Arial"/>
          <w:sz w:val="24"/>
          <w:szCs w:val="24"/>
        </w:rPr>
      </w:pPr>
    </w:p>
    <w:p w14:paraId="232E3913" w14:textId="4B4CF644" w:rsidR="00E65E98" w:rsidRPr="00E65E98" w:rsidRDefault="00E65E98" w:rsidP="00E65E98">
      <w:pPr>
        <w:spacing w:line="360" w:lineRule="auto"/>
        <w:jc w:val="both"/>
        <w:rPr>
          <w:rFonts w:ascii="Arial" w:hAnsi="Arial" w:cs="Arial"/>
          <w:sz w:val="24"/>
          <w:szCs w:val="24"/>
        </w:rPr>
      </w:pPr>
      <w:r w:rsidRPr="00E65E98">
        <w:rPr>
          <w:rFonts w:ascii="Arial" w:hAnsi="Arial" w:cs="Arial"/>
          <w:sz w:val="24"/>
          <w:szCs w:val="24"/>
        </w:rPr>
        <w:t>Circular economy practices are increasingly embraced as part of holistic sustainability agendas. Accor Hotels’ “Love Food, Not Waste” initiative aims to reduce food waste by 30% by 2030 through prevention, redistribution, and composting programmes (Accor, 2024). Some hotels partner with local NGOs to donate surplus food or collaborate with farms to repurpose waste as animal feed (Pirani &amp; Arafat, 2016). These initiatives enhance brand reputation and align with the United Nations Sustainable Development Goals (SDGs). Nonetheless, legal and logistical barriers</w:t>
      </w:r>
      <w:r w:rsidR="00162C88">
        <w:rPr>
          <w:rFonts w:ascii="Arial" w:hAnsi="Arial" w:cs="Arial"/>
          <w:sz w:val="24"/>
          <w:szCs w:val="24"/>
        </w:rPr>
        <w:t xml:space="preserve"> </w:t>
      </w:r>
      <w:r w:rsidRPr="00E65E98">
        <w:rPr>
          <w:rFonts w:ascii="Arial" w:hAnsi="Arial" w:cs="Arial"/>
          <w:sz w:val="24"/>
          <w:szCs w:val="24"/>
        </w:rPr>
        <w:t>such as liability regulations and limited infrastructure</w:t>
      </w:r>
      <w:r w:rsidR="00162C88">
        <w:rPr>
          <w:rFonts w:ascii="Arial" w:hAnsi="Arial" w:cs="Arial"/>
          <w:sz w:val="24"/>
          <w:szCs w:val="24"/>
        </w:rPr>
        <w:t xml:space="preserve"> </w:t>
      </w:r>
      <w:r w:rsidRPr="00E65E98">
        <w:rPr>
          <w:rFonts w:ascii="Arial" w:hAnsi="Arial" w:cs="Arial"/>
          <w:sz w:val="24"/>
          <w:szCs w:val="24"/>
        </w:rPr>
        <w:t>can constrain implementation (Okumus et al., 2020). Success depends on partnerships, supportive policy frameworks, and an organisational culture that prioritises sustainability.</w:t>
      </w:r>
    </w:p>
    <w:p w14:paraId="3F505ADB" w14:textId="77777777" w:rsidR="00E65E98" w:rsidRPr="00E65E98" w:rsidRDefault="00E65E98" w:rsidP="00E65E98">
      <w:pPr>
        <w:spacing w:line="360" w:lineRule="auto"/>
        <w:jc w:val="both"/>
        <w:rPr>
          <w:rFonts w:ascii="Arial" w:hAnsi="Arial" w:cs="Arial"/>
          <w:sz w:val="24"/>
          <w:szCs w:val="24"/>
        </w:rPr>
      </w:pPr>
    </w:p>
    <w:p w14:paraId="08BA4BF1" w14:textId="77777777" w:rsidR="00E65E98" w:rsidRPr="00162C88" w:rsidRDefault="00E65E98" w:rsidP="00E65E98">
      <w:pPr>
        <w:spacing w:line="360" w:lineRule="auto"/>
        <w:jc w:val="both"/>
        <w:rPr>
          <w:rFonts w:ascii="Arial" w:hAnsi="Arial" w:cs="Arial"/>
          <w:sz w:val="24"/>
          <w:szCs w:val="24"/>
          <w:u w:val="single"/>
        </w:rPr>
      </w:pPr>
      <w:r w:rsidRPr="00162C88">
        <w:rPr>
          <w:rFonts w:ascii="Arial" w:hAnsi="Arial" w:cs="Arial"/>
          <w:sz w:val="24"/>
          <w:szCs w:val="24"/>
          <w:u w:val="single"/>
        </w:rPr>
        <w:t>Critical Reflection</w:t>
      </w:r>
    </w:p>
    <w:p w14:paraId="6E0021DB" w14:textId="77777777" w:rsidR="00E65E98" w:rsidRPr="00E65E98" w:rsidRDefault="00E65E98" w:rsidP="00E65E98">
      <w:pPr>
        <w:spacing w:line="360" w:lineRule="auto"/>
        <w:jc w:val="both"/>
        <w:rPr>
          <w:rFonts w:ascii="Arial" w:hAnsi="Arial" w:cs="Arial"/>
          <w:sz w:val="24"/>
          <w:szCs w:val="24"/>
        </w:rPr>
      </w:pPr>
    </w:p>
    <w:p w14:paraId="161FCF70" w14:textId="5E0E3077" w:rsidR="00E65E98" w:rsidRPr="00E65E98" w:rsidRDefault="00E65E98" w:rsidP="00E65E98">
      <w:pPr>
        <w:spacing w:line="360" w:lineRule="auto"/>
        <w:jc w:val="both"/>
        <w:rPr>
          <w:rFonts w:ascii="Arial" w:hAnsi="Arial" w:cs="Arial"/>
          <w:sz w:val="24"/>
          <w:szCs w:val="24"/>
        </w:rPr>
      </w:pPr>
      <w:r w:rsidRPr="00E65E98">
        <w:rPr>
          <w:rFonts w:ascii="Arial" w:hAnsi="Arial" w:cs="Arial"/>
          <w:sz w:val="24"/>
          <w:szCs w:val="24"/>
        </w:rPr>
        <w:t>The DIR analysis reveals that food waste stems from structural, operational, and behavioural factors, with impacts that extend beyond financial loss to influence environmental credibility and competitive positioning. While hotels have implemented numerous strategies, the most effective responses are integrated, combining technology, staff engagement, and circular economy practices (Da Rosa et al., 2024). Single interventions</w:t>
      </w:r>
      <w:r w:rsidR="007F4968">
        <w:rPr>
          <w:rFonts w:ascii="Arial" w:hAnsi="Arial" w:cs="Arial"/>
          <w:sz w:val="24"/>
          <w:szCs w:val="24"/>
        </w:rPr>
        <w:t xml:space="preserve"> </w:t>
      </w:r>
      <w:r w:rsidRPr="00E65E98">
        <w:rPr>
          <w:rFonts w:ascii="Arial" w:hAnsi="Arial" w:cs="Arial"/>
          <w:sz w:val="24"/>
          <w:szCs w:val="24"/>
        </w:rPr>
        <w:t>such as technology alone or isolated training programmes</w:t>
      </w:r>
      <w:r w:rsidR="007F4968">
        <w:rPr>
          <w:rFonts w:ascii="Arial" w:hAnsi="Arial" w:cs="Arial"/>
          <w:sz w:val="24"/>
          <w:szCs w:val="24"/>
        </w:rPr>
        <w:t xml:space="preserve"> </w:t>
      </w:r>
      <w:r w:rsidRPr="00E65E98">
        <w:rPr>
          <w:rFonts w:ascii="Arial" w:hAnsi="Arial" w:cs="Arial"/>
          <w:sz w:val="24"/>
          <w:szCs w:val="24"/>
        </w:rPr>
        <w:t>tend to yield limited or short-term outcomes. Larger hotel chains are better equipped to implement comprehensive systems due to greater resources, whereas smaller establishments face capacity constraints (Filimonau &amp; De Coteau, 2019).</w:t>
      </w:r>
    </w:p>
    <w:p w14:paraId="5D65BF59" w14:textId="77777777" w:rsidR="00E65E98" w:rsidRPr="00E65E98" w:rsidRDefault="00E65E98" w:rsidP="00E65E98">
      <w:pPr>
        <w:spacing w:line="360" w:lineRule="auto"/>
        <w:jc w:val="both"/>
        <w:rPr>
          <w:rFonts w:ascii="Arial" w:hAnsi="Arial" w:cs="Arial"/>
          <w:sz w:val="24"/>
          <w:szCs w:val="24"/>
        </w:rPr>
      </w:pPr>
    </w:p>
    <w:p w14:paraId="6EDC9032" w14:textId="294F1E58" w:rsidR="00BF4818" w:rsidRDefault="007F4968" w:rsidP="00E65E98">
      <w:pPr>
        <w:spacing w:line="360" w:lineRule="auto"/>
        <w:jc w:val="both"/>
        <w:rPr>
          <w:rFonts w:ascii="Arial" w:hAnsi="Arial" w:cs="Arial"/>
          <w:sz w:val="24"/>
          <w:szCs w:val="24"/>
        </w:rPr>
      </w:pPr>
      <w:r w:rsidRPr="00E65E98">
        <w:rPr>
          <w:rFonts w:ascii="Arial" w:hAnsi="Arial" w:cs="Arial"/>
          <w:sz w:val="24"/>
          <w:szCs w:val="24"/>
        </w:rPr>
        <w:t>Food</w:t>
      </w:r>
      <w:r w:rsidR="00E65E98" w:rsidRPr="00E65E98">
        <w:rPr>
          <w:rFonts w:ascii="Arial" w:hAnsi="Arial" w:cs="Arial"/>
          <w:sz w:val="24"/>
          <w:szCs w:val="24"/>
        </w:rPr>
        <w:t xml:space="preserve"> waste reduction has evolved from a back-of-house concern into a strategic imperative. When hotels embed waste reduction into their organisational culture, supported by leadership, data analytics, and innovation, they not only improve financial performance but also strengthen brand integrity and contribute meaningfully to global sustainability goals.</w:t>
      </w:r>
    </w:p>
    <w:p w14:paraId="69FF6B41" w14:textId="77777777" w:rsidR="00B44B7F" w:rsidRDefault="00B44B7F" w:rsidP="006940E3">
      <w:pPr>
        <w:spacing w:line="360" w:lineRule="auto"/>
        <w:jc w:val="both"/>
        <w:rPr>
          <w:rFonts w:ascii="Arial" w:hAnsi="Arial" w:cs="Arial"/>
          <w:b/>
          <w:bCs/>
          <w:sz w:val="24"/>
          <w:szCs w:val="24"/>
        </w:rPr>
      </w:pPr>
    </w:p>
    <w:p w14:paraId="71D05D90" w14:textId="77777777" w:rsidR="00B44B7F" w:rsidRDefault="00B44B7F" w:rsidP="006940E3">
      <w:pPr>
        <w:spacing w:line="360" w:lineRule="auto"/>
        <w:jc w:val="both"/>
        <w:rPr>
          <w:rFonts w:ascii="Arial" w:hAnsi="Arial" w:cs="Arial"/>
          <w:b/>
          <w:bCs/>
          <w:sz w:val="24"/>
          <w:szCs w:val="24"/>
        </w:rPr>
      </w:pPr>
    </w:p>
    <w:p w14:paraId="2A8EBDDC" w14:textId="77777777" w:rsidR="00B44B7F" w:rsidRDefault="00B44B7F" w:rsidP="006940E3">
      <w:pPr>
        <w:spacing w:line="360" w:lineRule="auto"/>
        <w:jc w:val="both"/>
        <w:rPr>
          <w:rFonts w:ascii="Arial" w:hAnsi="Arial" w:cs="Arial"/>
          <w:b/>
          <w:bCs/>
          <w:sz w:val="24"/>
          <w:szCs w:val="24"/>
        </w:rPr>
      </w:pPr>
    </w:p>
    <w:p w14:paraId="4E087A88" w14:textId="61A24DC7" w:rsidR="00BF4818" w:rsidRPr="000001E5" w:rsidRDefault="000001E5" w:rsidP="006940E3">
      <w:pPr>
        <w:spacing w:line="360" w:lineRule="auto"/>
        <w:jc w:val="both"/>
        <w:rPr>
          <w:rFonts w:ascii="Arial" w:hAnsi="Arial" w:cs="Arial"/>
          <w:b/>
          <w:bCs/>
          <w:sz w:val="24"/>
          <w:szCs w:val="24"/>
        </w:rPr>
      </w:pPr>
      <w:r w:rsidRPr="000001E5">
        <w:rPr>
          <w:rFonts w:ascii="Arial" w:hAnsi="Arial" w:cs="Arial"/>
          <w:b/>
          <w:bCs/>
          <w:sz w:val="24"/>
          <w:szCs w:val="24"/>
        </w:rPr>
        <w:t>Conclusion</w:t>
      </w:r>
    </w:p>
    <w:p w14:paraId="0396E011" w14:textId="3D74A708" w:rsidR="00293EC1" w:rsidRDefault="00D96378" w:rsidP="00D502C3">
      <w:pPr>
        <w:spacing w:line="360" w:lineRule="auto"/>
        <w:jc w:val="both"/>
        <w:rPr>
          <w:rFonts w:ascii="Arial" w:hAnsi="Arial" w:cs="Arial"/>
          <w:sz w:val="24"/>
          <w:szCs w:val="24"/>
        </w:rPr>
      </w:pPr>
      <w:r w:rsidRPr="00D96378">
        <w:rPr>
          <w:rFonts w:ascii="Arial" w:hAnsi="Arial" w:cs="Arial"/>
          <w:sz w:val="24"/>
          <w:szCs w:val="24"/>
        </w:rPr>
        <w:t>Food waste in hotels is primarily driven by operational inefficiencies, behavioural factors and guest expectations of abundance, resulting in significant financial losses, environmental harm and reputational risks for the hospitality industry. The most effective responses are integrated strategies that combine digital monitoring, staff training, guest engagement and circular practices, as these address both the causes and consequences of waste. To achieve long-term sustainability and competitive advantage, hotels must embed food waste reduction into daily operations through strong leadership, performance measurement and cross-department collaboration.</w:t>
      </w:r>
    </w:p>
    <w:p w14:paraId="4A1FC0E8" w14:textId="77777777" w:rsidR="008258B8" w:rsidRPr="008258B8" w:rsidRDefault="008258B8" w:rsidP="008258B8">
      <w:pPr>
        <w:spacing w:line="360" w:lineRule="auto"/>
        <w:jc w:val="both"/>
        <w:rPr>
          <w:rFonts w:ascii="Arial" w:hAnsi="Arial" w:cs="Arial"/>
          <w:b/>
          <w:bCs/>
          <w:sz w:val="24"/>
          <w:szCs w:val="24"/>
        </w:rPr>
      </w:pPr>
      <w:r w:rsidRPr="008258B8">
        <w:rPr>
          <w:rFonts w:ascii="Arial" w:hAnsi="Arial" w:cs="Arial"/>
          <w:b/>
          <w:bCs/>
          <w:sz w:val="24"/>
          <w:szCs w:val="24"/>
        </w:rPr>
        <w:t>Recommendations</w:t>
      </w:r>
    </w:p>
    <w:p w14:paraId="3F38538E" w14:textId="77777777" w:rsidR="008258B8" w:rsidRPr="008258B8" w:rsidRDefault="008258B8" w:rsidP="008258B8">
      <w:pPr>
        <w:spacing w:line="360" w:lineRule="auto"/>
        <w:jc w:val="both"/>
        <w:rPr>
          <w:rFonts w:ascii="Arial" w:hAnsi="Arial" w:cs="Arial"/>
          <w:sz w:val="24"/>
          <w:szCs w:val="24"/>
        </w:rPr>
      </w:pPr>
    </w:p>
    <w:p w14:paraId="6EEA4F2A" w14:textId="77777777" w:rsidR="008258B8" w:rsidRPr="008258B8" w:rsidRDefault="008258B8" w:rsidP="008258B8">
      <w:pPr>
        <w:spacing w:line="360" w:lineRule="auto"/>
        <w:jc w:val="both"/>
        <w:rPr>
          <w:rFonts w:ascii="Arial" w:hAnsi="Arial" w:cs="Arial"/>
          <w:sz w:val="24"/>
          <w:szCs w:val="24"/>
        </w:rPr>
      </w:pPr>
      <w:r w:rsidRPr="008258B8">
        <w:rPr>
          <w:rFonts w:ascii="Arial" w:hAnsi="Arial" w:cs="Arial"/>
          <w:sz w:val="24"/>
          <w:szCs w:val="24"/>
        </w:rPr>
        <w:t>Food waste reduction should be recognised as a long-term strategic priority rather than a short-term operational concern. Building on the findings from the DIR analysis, the following policy-oriented recommendations are proposed to enhance the hospitality industry’s capacity to prevent and manage food waste effectively.</w:t>
      </w:r>
    </w:p>
    <w:p w14:paraId="2DEC03A2" w14:textId="77777777" w:rsidR="008258B8" w:rsidRPr="008258B8" w:rsidRDefault="008258B8" w:rsidP="008258B8">
      <w:pPr>
        <w:spacing w:line="360" w:lineRule="auto"/>
        <w:jc w:val="both"/>
        <w:rPr>
          <w:rFonts w:ascii="Arial" w:hAnsi="Arial" w:cs="Arial"/>
          <w:sz w:val="24"/>
          <w:szCs w:val="24"/>
        </w:rPr>
      </w:pPr>
    </w:p>
    <w:p w14:paraId="52541D9D" w14:textId="77777777" w:rsidR="008258B8" w:rsidRPr="008258B8" w:rsidRDefault="008258B8" w:rsidP="008258B8">
      <w:pPr>
        <w:spacing w:line="360" w:lineRule="auto"/>
        <w:jc w:val="both"/>
        <w:rPr>
          <w:rFonts w:ascii="Arial" w:hAnsi="Arial" w:cs="Arial"/>
          <w:sz w:val="24"/>
          <w:szCs w:val="24"/>
          <w:u w:val="single"/>
        </w:rPr>
      </w:pPr>
      <w:r w:rsidRPr="008258B8">
        <w:rPr>
          <w:rFonts w:ascii="Arial" w:hAnsi="Arial" w:cs="Arial"/>
          <w:sz w:val="24"/>
          <w:szCs w:val="24"/>
          <w:u w:val="single"/>
        </w:rPr>
        <w:t>1. Policy and Governance</w:t>
      </w:r>
    </w:p>
    <w:p w14:paraId="0000FFFB" w14:textId="77777777" w:rsidR="008258B8" w:rsidRPr="008258B8" w:rsidRDefault="008258B8" w:rsidP="008258B8">
      <w:pPr>
        <w:spacing w:line="360" w:lineRule="auto"/>
        <w:jc w:val="both"/>
        <w:rPr>
          <w:rFonts w:ascii="Arial" w:hAnsi="Arial" w:cs="Arial"/>
          <w:sz w:val="24"/>
          <w:szCs w:val="24"/>
        </w:rPr>
      </w:pPr>
    </w:p>
    <w:p w14:paraId="416901E5" w14:textId="2C6B877B" w:rsidR="008258B8" w:rsidRPr="008258B8" w:rsidRDefault="008258B8" w:rsidP="008258B8">
      <w:pPr>
        <w:spacing w:line="360" w:lineRule="auto"/>
        <w:jc w:val="both"/>
        <w:rPr>
          <w:rFonts w:ascii="Arial" w:hAnsi="Arial" w:cs="Arial"/>
          <w:sz w:val="24"/>
          <w:szCs w:val="24"/>
        </w:rPr>
      </w:pPr>
      <w:r w:rsidRPr="008258B8">
        <w:rPr>
          <w:rFonts w:ascii="Arial" w:hAnsi="Arial" w:cs="Arial"/>
          <w:sz w:val="24"/>
          <w:szCs w:val="24"/>
        </w:rPr>
        <w:t>Governments and tourism authorities should introduce clear regulatory frameworks and incentive mechanisms to encourage hotels to reduce waste. Mandatory food waste reporting, aligned with the European Union Waste Framework Directive (2008/98/EC), would promote transparency and accountability across the sector. Fiscal incentives</w:t>
      </w:r>
      <w:r>
        <w:rPr>
          <w:rFonts w:ascii="Arial" w:hAnsi="Arial" w:cs="Arial"/>
          <w:sz w:val="24"/>
          <w:szCs w:val="24"/>
        </w:rPr>
        <w:t xml:space="preserve"> </w:t>
      </w:r>
      <w:r w:rsidRPr="008258B8">
        <w:rPr>
          <w:rFonts w:ascii="Arial" w:hAnsi="Arial" w:cs="Arial"/>
          <w:sz w:val="24"/>
          <w:szCs w:val="24"/>
        </w:rPr>
        <w:t>such as tax rebates, accreditation schemes, or subsidies for digital tools</w:t>
      </w:r>
      <w:r>
        <w:rPr>
          <w:rFonts w:ascii="Arial" w:hAnsi="Arial" w:cs="Arial"/>
          <w:sz w:val="24"/>
          <w:szCs w:val="24"/>
        </w:rPr>
        <w:t xml:space="preserve"> </w:t>
      </w:r>
      <w:r w:rsidRPr="008258B8">
        <w:rPr>
          <w:rFonts w:ascii="Arial" w:hAnsi="Arial" w:cs="Arial"/>
          <w:sz w:val="24"/>
          <w:szCs w:val="24"/>
        </w:rPr>
        <w:t>could support adoption, particularly among small and medium-sized enterprises (SMEs).</w:t>
      </w:r>
    </w:p>
    <w:p w14:paraId="747A937E" w14:textId="77777777" w:rsidR="008258B8" w:rsidRPr="008258B8" w:rsidRDefault="008258B8" w:rsidP="008258B8">
      <w:pPr>
        <w:spacing w:line="360" w:lineRule="auto"/>
        <w:jc w:val="both"/>
        <w:rPr>
          <w:rFonts w:ascii="Arial" w:hAnsi="Arial" w:cs="Arial"/>
          <w:sz w:val="24"/>
          <w:szCs w:val="24"/>
        </w:rPr>
      </w:pPr>
      <w:r w:rsidRPr="008258B8">
        <w:rPr>
          <w:rFonts w:ascii="Arial" w:hAnsi="Arial" w:cs="Arial"/>
          <w:sz w:val="24"/>
          <w:szCs w:val="24"/>
        </w:rPr>
        <w:t xml:space="preserve">Industry bodies such as the World Travel &amp; Tourism Council (WTTC) and UNEP’s Sustainable Tourism Programme could also establish sector-wide benchmarks for </w:t>
      </w:r>
      <w:r w:rsidRPr="008258B8">
        <w:rPr>
          <w:rFonts w:ascii="Arial" w:hAnsi="Arial" w:cs="Arial"/>
          <w:sz w:val="24"/>
          <w:szCs w:val="24"/>
        </w:rPr>
        <w:lastRenderedPageBreak/>
        <w:t>waste reduction, ensuring alignment between corporate practices and international sustainability goals (UNEP, 2024).</w:t>
      </w:r>
    </w:p>
    <w:p w14:paraId="1D7946A8" w14:textId="77777777" w:rsidR="008258B8" w:rsidRPr="008258B8" w:rsidRDefault="008258B8" w:rsidP="008258B8">
      <w:pPr>
        <w:spacing w:line="360" w:lineRule="auto"/>
        <w:jc w:val="both"/>
        <w:rPr>
          <w:rFonts w:ascii="Arial" w:hAnsi="Arial" w:cs="Arial"/>
          <w:sz w:val="24"/>
          <w:szCs w:val="24"/>
        </w:rPr>
      </w:pPr>
    </w:p>
    <w:p w14:paraId="50985480" w14:textId="77777777" w:rsidR="008258B8" w:rsidRPr="002E5526" w:rsidRDefault="008258B8" w:rsidP="008258B8">
      <w:pPr>
        <w:spacing w:line="360" w:lineRule="auto"/>
        <w:jc w:val="both"/>
        <w:rPr>
          <w:rFonts w:ascii="Arial" w:hAnsi="Arial" w:cs="Arial"/>
          <w:sz w:val="24"/>
          <w:szCs w:val="24"/>
          <w:u w:val="single"/>
        </w:rPr>
      </w:pPr>
      <w:r w:rsidRPr="002E5526">
        <w:rPr>
          <w:rFonts w:ascii="Arial" w:hAnsi="Arial" w:cs="Arial"/>
          <w:sz w:val="24"/>
          <w:szCs w:val="24"/>
          <w:u w:val="single"/>
        </w:rPr>
        <w:t>2. Technology and Innovation</w:t>
      </w:r>
    </w:p>
    <w:p w14:paraId="7EEE988C" w14:textId="77777777" w:rsidR="008258B8" w:rsidRPr="008258B8" w:rsidRDefault="008258B8" w:rsidP="008258B8">
      <w:pPr>
        <w:spacing w:line="360" w:lineRule="auto"/>
        <w:jc w:val="both"/>
        <w:rPr>
          <w:rFonts w:ascii="Arial" w:hAnsi="Arial" w:cs="Arial"/>
          <w:sz w:val="24"/>
          <w:szCs w:val="24"/>
        </w:rPr>
      </w:pPr>
    </w:p>
    <w:p w14:paraId="225F4233" w14:textId="4C3DE48E" w:rsidR="008258B8" w:rsidRPr="008258B8" w:rsidRDefault="008258B8" w:rsidP="008258B8">
      <w:pPr>
        <w:spacing w:line="360" w:lineRule="auto"/>
        <w:jc w:val="both"/>
        <w:rPr>
          <w:rFonts w:ascii="Arial" w:hAnsi="Arial" w:cs="Arial"/>
          <w:sz w:val="24"/>
          <w:szCs w:val="24"/>
        </w:rPr>
      </w:pPr>
      <w:r w:rsidRPr="008258B8">
        <w:rPr>
          <w:rFonts w:ascii="Arial" w:hAnsi="Arial" w:cs="Arial"/>
          <w:sz w:val="24"/>
          <w:szCs w:val="24"/>
        </w:rPr>
        <w:t>Hotels should prioritise preventive technology rather than reactive monitoring. Investment in data-driven tools</w:t>
      </w:r>
      <w:r w:rsidR="002E5526">
        <w:rPr>
          <w:rFonts w:ascii="Arial" w:hAnsi="Arial" w:cs="Arial"/>
          <w:sz w:val="24"/>
          <w:szCs w:val="24"/>
        </w:rPr>
        <w:t xml:space="preserve"> </w:t>
      </w:r>
      <w:r w:rsidRPr="008258B8">
        <w:rPr>
          <w:rFonts w:ascii="Arial" w:hAnsi="Arial" w:cs="Arial"/>
          <w:sz w:val="24"/>
          <w:szCs w:val="24"/>
        </w:rPr>
        <w:t>such as AI-enabled forecasting, digital inventory management, and predictive analytics</w:t>
      </w:r>
      <w:r w:rsidR="002E5526">
        <w:rPr>
          <w:rFonts w:ascii="Arial" w:hAnsi="Arial" w:cs="Arial"/>
          <w:sz w:val="24"/>
          <w:szCs w:val="24"/>
        </w:rPr>
        <w:t xml:space="preserve"> </w:t>
      </w:r>
      <w:r w:rsidRPr="008258B8">
        <w:rPr>
          <w:rFonts w:ascii="Arial" w:hAnsi="Arial" w:cs="Arial"/>
          <w:sz w:val="24"/>
          <w:szCs w:val="24"/>
        </w:rPr>
        <w:t>can reduce overproduction and improve menu planning.</w:t>
      </w:r>
    </w:p>
    <w:p w14:paraId="3B7B6470" w14:textId="77777777" w:rsidR="008258B8" w:rsidRPr="008258B8" w:rsidRDefault="008258B8" w:rsidP="008258B8">
      <w:pPr>
        <w:spacing w:line="360" w:lineRule="auto"/>
        <w:jc w:val="both"/>
        <w:rPr>
          <w:rFonts w:ascii="Arial" w:hAnsi="Arial" w:cs="Arial"/>
          <w:sz w:val="24"/>
          <w:szCs w:val="24"/>
        </w:rPr>
      </w:pPr>
      <w:r w:rsidRPr="008258B8">
        <w:rPr>
          <w:rFonts w:ascii="Arial" w:hAnsi="Arial" w:cs="Arial"/>
          <w:sz w:val="24"/>
          <w:szCs w:val="24"/>
        </w:rPr>
        <w:t>To ensure accessibility, governments or industry associations could promote shared digital platforms and subscription-based models, allowing smaller and independent hotels to benefit from innovation at lower cost (Winnow, 2025).</w:t>
      </w:r>
    </w:p>
    <w:p w14:paraId="07C8E23A" w14:textId="77777777" w:rsidR="008258B8" w:rsidRPr="008258B8" w:rsidRDefault="008258B8" w:rsidP="008258B8">
      <w:pPr>
        <w:spacing w:line="360" w:lineRule="auto"/>
        <w:jc w:val="both"/>
        <w:rPr>
          <w:rFonts w:ascii="Arial" w:hAnsi="Arial" w:cs="Arial"/>
          <w:sz w:val="24"/>
          <w:szCs w:val="24"/>
        </w:rPr>
      </w:pPr>
      <w:r w:rsidRPr="008258B8">
        <w:rPr>
          <w:rFonts w:ascii="Arial" w:hAnsi="Arial" w:cs="Arial"/>
          <w:sz w:val="24"/>
          <w:szCs w:val="24"/>
        </w:rPr>
        <w:t>Partnerships with technology providers, supported by public funding, would accelerate the diffusion of sustainable innovations throughout the industry.</w:t>
      </w:r>
    </w:p>
    <w:p w14:paraId="409B6DC3" w14:textId="77777777" w:rsidR="008258B8" w:rsidRPr="008258B8" w:rsidRDefault="008258B8" w:rsidP="008258B8">
      <w:pPr>
        <w:spacing w:line="360" w:lineRule="auto"/>
        <w:jc w:val="both"/>
        <w:rPr>
          <w:rFonts w:ascii="Arial" w:hAnsi="Arial" w:cs="Arial"/>
          <w:sz w:val="24"/>
          <w:szCs w:val="24"/>
        </w:rPr>
      </w:pPr>
    </w:p>
    <w:p w14:paraId="25CEAF81" w14:textId="77777777" w:rsidR="008258B8" w:rsidRPr="002E5526" w:rsidRDefault="008258B8" w:rsidP="008258B8">
      <w:pPr>
        <w:spacing w:line="360" w:lineRule="auto"/>
        <w:jc w:val="both"/>
        <w:rPr>
          <w:rFonts w:ascii="Arial" w:hAnsi="Arial" w:cs="Arial"/>
          <w:sz w:val="24"/>
          <w:szCs w:val="24"/>
          <w:u w:val="single"/>
        </w:rPr>
      </w:pPr>
      <w:r w:rsidRPr="002E5526">
        <w:rPr>
          <w:rFonts w:ascii="Arial" w:hAnsi="Arial" w:cs="Arial"/>
          <w:sz w:val="24"/>
          <w:szCs w:val="24"/>
          <w:u w:val="single"/>
        </w:rPr>
        <w:t>3. Organisational Culture and Training</w:t>
      </w:r>
    </w:p>
    <w:p w14:paraId="052F9D4B" w14:textId="77777777" w:rsidR="008258B8" w:rsidRPr="008258B8" w:rsidRDefault="008258B8" w:rsidP="008258B8">
      <w:pPr>
        <w:spacing w:line="360" w:lineRule="auto"/>
        <w:jc w:val="both"/>
        <w:rPr>
          <w:rFonts w:ascii="Arial" w:hAnsi="Arial" w:cs="Arial"/>
          <w:sz w:val="24"/>
          <w:szCs w:val="24"/>
        </w:rPr>
      </w:pPr>
    </w:p>
    <w:p w14:paraId="0EB1E6EB" w14:textId="3A15CBF7" w:rsidR="008258B8" w:rsidRPr="008258B8" w:rsidRDefault="008258B8" w:rsidP="008258B8">
      <w:pPr>
        <w:spacing w:line="360" w:lineRule="auto"/>
        <w:jc w:val="both"/>
        <w:rPr>
          <w:rFonts w:ascii="Arial" w:hAnsi="Arial" w:cs="Arial"/>
          <w:sz w:val="24"/>
          <w:szCs w:val="24"/>
        </w:rPr>
      </w:pPr>
      <w:r w:rsidRPr="008258B8">
        <w:rPr>
          <w:rFonts w:ascii="Arial" w:hAnsi="Arial" w:cs="Arial"/>
          <w:sz w:val="24"/>
          <w:szCs w:val="24"/>
        </w:rPr>
        <w:t>Technology alone is insufficient without a supportive organisational culture. Hotels should integrate sustainability training into day-to-day operations, ensuring that all employees</w:t>
      </w:r>
      <w:r w:rsidR="002E5526">
        <w:rPr>
          <w:rFonts w:ascii="Arial" w:hAnsi="Arial" w:cs="Arial"/>
          <w:sz w:val="24"/>
          <w:szCs w:val="24"/>
        </w:rPr>
        <w:t xml:space="preserve"> </w:t>
      </w:r>
      <w:r w:rsidRPr="008258B8">
        <w:rPr>
          <w:rFonts w:ascii="Arial" w:hAnsi="Arial" w:cs="Arial"/>
          <w:sz w:val="24"/>
          <w:szCs w:val="24"/>
        </w:rPr>
        <w:t>from procurement to service</w:t>
      </w:r>
      <w:r w:rsidR="002E5526">
        <w:rPr>
          <w:rFonts w:ascii="Arial" w:hAnsi="Arial" w:cs="Arial"/>
          <w:sz w:val="24"/>
          <w:szCs w:val="24"/>
        </w:rPr>
        <w:t xml:space="preserve"> </w:t>
      </w:r>
      <w:r w:rsidRPr="008258B8">
        <w:rPr>
          <w:rFonts w:ascii="Arial" w:hAnsi="Arial" w:cs="Arial"/>
          <w:sz w:val="24"/>
          <w:szCs w:val="24"/>
        </w:rPr>
        <w:t>understand their role in reducing food waste (Vizzoto, Testa &amp; Iraldo, 2021).</w:t>
      </w:r>
    </w:p>
    <w:p w14:paraId="59F48057" w14:textId="77777777" w:rsidR="008258B8" w:rsidRPr="008258B8" w:rsidRDefault="008258B8" w:rsidP="008258B8">
      <w:pPr>
        <w:spacing w:line="360" w:lineRule="auto"/>
        <w:jc w:val="both"/>
        <w:rPr>
          <w:rFonts w:ascii="Arial" w:hAnsi="Arial" w:cs="Arial"/>
          <w:sz w:val="24"/>
          <w:szCs w:val="24"/>
        </w:rPr>
      </w:pPr>
      <w:r w:rsidRPr="008258B8">
        <w:rPr>
          <w:rFonts w:ascii="Arial" w:hAnsi="Arial" w:cs="Arial"/>
          <w:sz w:val="24"/>
          <w:szCs w:val="24"/>
        </w:rPr>
        <w:t>Embedding sustainability metrics into staff performance reviews and recognition schemes would enhance accountability and engagement.</w:t>
      </w:r>
    </w:p>
    <w:p w14:paraId="13EC6193" w14:textId="77777777" w:rsidR="008258B8" w:rsidRPr="008258B8" w:rsidRDefault="008258B8" w:rsidP="008258B8">
      <w:pPr>
        <w:spacing w:line="360" w:lineRule="auto"/>
        <w:jc w:val="both"/>
        <w:rPr>
          <w:rFonts w:ascii="Arial" w:hAnsi="Arial" w:cs="Arial"/>
          <w:sz w:val="24"/>
          <w:szCs w:val="24"/>
        </w:rPr>
      </w:pPr>
      <w:r w:rsidRPr="008258B8">
        <w:rPr>
          <w:rFonts w:ascii="Arial" w:hAnsi="Arial" w:cs="Arial"/>
          <w:sz w:val="24"/>
          <w:szCs w:val="24"/>
        </w:rPr>
        <w:t>Guest engagement should be approached positively: service redesign, flexible portion sizes, and educational communication can influence behaviour without compromising experience (Wu &amp; Teng, 2022).</w:t>
      </w:r>
    </w:p>
    <w:p w14:paraId="6E680151" w14:textId="77777777" w:rsidR="008258B8" w:rsidRPr="008258B8" w:rsidRDefault="008258B8" w:rsidP="008258B8">
      <w:pPr>
        <w:spacing w:line="360" w:lineRule="auto"/>
        <w:jc w:val="both"/>
        <w:rPr>
          <w:rFonts w:ascii="Arial" w:hAnsi="Arial" w:cs="Arial"/>
          <w:sz w:val="24"/>
          <w:szCs w:val="24"/>
        </w:rPr>
      </w:pPr>
      <w:r w:rsidRPr="008258B8">
        <w:rPr>
          <w:rFonts w:ascii="Arial" w:hAnsi="Arial" w:cs="Arial"/>
          <w:sz w:val="24"/>
          <w:szCs w:val="24"/>
        </w:rPr>
        <w:t>When staff and guests are both empowered to act, behavioural change becomes consistent and sustainable.</w:t>
      </w:r>
    </w:p>
    <w:p w14:paraId="2707741E" w14:textId="77777777" w:rsidR="008258B8" w:rsidRPr="008258B8" w:rsidRDefault="008258B8" w:rsidP="008258B8">
      <w:pPr>
        <w:spacing w:line="360" w:lineRule="auto"/>
        <w:jc w:val="both"/>
        <w:rPr>
          <w:rFonts w:ascii="Arial" w:hAnsi="Arial" w:cs="Arial"/>
          <w:sz w:val="24"/>
          <w:szCs w:val="24"/>
        </w:rPr>
      </w:pPr>
    </w:p>
    <w:p w14:paraId="63FE67C1" w14:textId="77777777" w:rsidR="008258B8" w:rsidRPr="003D02F9" w:rsidRDefault="008258B8" w:rsidP="008258B8">
      <w:pPr>
        <w:spacing w:line="360" w:lineRule="auto"/>
        <w:jc w:val="both"/>
        <w:rPr>
          <w:rFonts w:ascii="Arial" w:hAnsi="Arial" w:cs="Arial"/>
          <w:sz w:val="24"/>
          <w:szCs w:val="24"/>
          <w:u w:val="single"/>
        </w:rPr>
      </w:pPr>
      <w:r w:rsidRPr="008258B8">
        <w:rPr>
          <w:rFonts w:ascii="Arial" w:hAnsi="Arial" w:cs="Arial"/>
          <w:sz w:val="24"/>
          <w:szCs w:val="24"/>
        </w:rPr>
        <w:t xml:space="preserve">4. </w:t>
      </w:r>
      <w:r w:rsidRPr="003D02F9">
        <w:rPr>
          <w:rFonts w:ascii="Arial" w:hAnsi="Arial" w:cs="Arial"/>
          <w:sz w:val="24"/>
          <w:szCs w:val="24"/>
          <w:u w:val="single"/>
        </w:rPr>
        <w:t>Collaboration and Circular Partnerships</w:t>
      </w:r>
    </w:p>
    <w:p w14:paraId="31DF548B" w14:textId="77777777" w:rsidR="008258B8" w:rsidRPr="008258B8" w:rsidRDefault="008258B8" w:rsidP="008258B8">
      <w:pPr>
        <w:spacing w:line="360" w:lineRule="auto"/>
        <w:jc w:val="both"/>
        <w:rPr>
          <w:rFonts w:ascii="Arial" w:hAnsi="Arial" w:cs="Arial"/>
          <w:sz w:val="24"/>
          <w:szCs w:val="24"/>
        </w:rPr>
      </w:pPr>
    </w:p>
    <w:p w14:paraId="5FBB34E2" w14:textId="77777777" w:rsidR="008258B8" w:rsidRPr="008258B8" w:rsidRDefault="008258B8" w:rsidP="008258B8">
      <w:pPr>
        <w:spacing w:line="360" w:lineRule="auto"/>
        <w:jc w:val="both"/>
        <w:rPr>
          <w:rFonts w:ascii="Arial" w:hAnsi="Arial" w:cs="Arial"/>
          <w:sz w:val="24"/>
          <w:szCs w:val="24"/>
        </w:rPr>
      </w:pPr>
      <w:r w:rsidRPr="008258B8">
        <w:rPr>
          <w:rFonts w:ascii="Arial" w:hAnsi="Arial" w:cs="Arial"/>
          <w:sz w:val="24"/>
          <w:szCs w:val="24"/>
        </w:rPr>
        <w:t>Food waste prevention extends beyond individual hotels. Collaborative partnerships with suppliers, local farms, food banks, and waste-to-energy facilities can ensure that unavoidable surplus food is redistributed or repurposed rather than discarded (Accor, 2024).</w:t>
      </w:r>
    </w:p>
    <w:p w14:paraId="2BE89A85" w14:textId="77777777" w:rsidR="008258B8" w:rsidRPr="008258B8" w:rsidRDefault="008258B8" w:rsidP="008258B8">
      <w:pPr>
        <w:spacing w:line="360" w:lineRule="auto"/>
        <w:jc w:val="both"/>
        <w:rPr>
          <w:rFonts w:ascii="Arial" w:hAnsi="Arial" w:cs="Arial"/>
          <w:sz w:val="24"/>
          <w:szCs w:val="24"/>
        </w:rPr>
      </w:pPr>
      <w:r w:rsidRPr="008258B8">
        <w:rPr>
          <w:rFonts w:ascii="Arial" w:hAnsi="Arial" w:cs="Arial"/>
          <w:sz w:val="24"/>
          <w:szCs w:val="24"/>
        </w:rPr>
        <w:t>Industry-wide benchmarking platforms could enable hotels to share best practices, compare performance indicators, and collectively accelerate innovation.</w:t>
      </w:r>
    </w:p>
    <w:p w14:paraId="157CA0AF" w14:textId="77777777" w:rsidR="008258B8" w:rsidRPr="008258B8" w:rsidRDefault="008258B8" w:rsidP="008258B8">
      <w:pPr>
        <w:spacing w:line="360" w:lineRule="auto"/>
        <w:jc w:val="both"/>
        <w:rPr>
          <w:rFonts w:ascii="Arial" w:hAnsi="Arial" w:cs="Arial"/>
          <w:sz w:val="24"/>
          <w:szCs w:val="24"/>
        </w:rPr>
      </w:pPr>
      <w:r w:rsidRPr="008258B8">
        <w:rPr>
          <w:rFonts w:ascii="Arial" w:hAnsi="Arial" w:cs="Arial"/>
          <w:sz w:val="24"/>
          <w:szCs w:val="24"/>
        </w:rPr>
        <w:t>Such collaboration not only supports environmental goals but also enhances corporate reputation and compliance with global sustainability standards such as the UN SDGs.</w:t>
      </w:r>
    </w:p>
    <w:p w14:paraId="692D0E2C" w14:textId="77777777" w:rsidR="008258B8" w:rsidRPr="008258B8" w:rsidRDefault="008258B8" w:rsidP="008258B8">
      <w:pPr>
        <w:spacing w:line="360" w:lineRule="auto"/>
        <w:jc w:val="both"/>
        <w:rPr>
          <w:rFonts w:ascii="Arial" w:hAnsi="Arial" w:cs="Arial"/>
          <w:sz w:val="24"/>
          <w:szCs w:val="24"/>
        </w:rPr>
      </w:pPr>
    </w:p>
    <w:p w14:paraId="00859B75" w14:textId="77777777" w:rsidR="008258B8" w:rsidRPr="00A5319F" w:rsidRDefault="008258B8" w:rsidP="008258B8">
      <w:pPr>
        <w:spacing w:line="360" w:lineRule="auto"/>
        <w:jc w:val="both"/>
        <w:rPr>
          <w:rFonts w:ascii="Arial" w:hAnsi="Arial" w:cs="Arial"/>
          <w:sz w:val="24"/>
          <w:szCs w:val="24"/>
          <w:u w:val="single"/>
        </w:rPr>
      </w:pPr>
      <w:r w:rsidRPr="008258B8">
        <w:rPr>
          <w:rFonts w:ascii="Arial" w:hAnsi="Arial" w:cs="Arial"/>
          <w:sz w:val="24"/>
          <w:szCs w:val="24"/>
        </w:rPr>
        <w:t>5</w:t>
      </w:r>
      <w:r w:rsidRPr="00A5319F">
        <w:rPr>
          <w:rFonts w:ascii="Arial" w:hAnsi="Arial" w:cs="Arial"/>
          <w:sz w:val="24"/>
          <w:szCs w:val="24"/>
          <w:u w:val="single"/>
        </w:rPr>
        <w:t>. Integrated Strategic Approach</w:t>
      </w:r>
    </w:p>
    <w:p w14:paraId="20A99971" w14:textId="77777777" w:rsidR="008258B8" w:rsidRPr="008258B8" w:rsidRDefault="008258B8" w:rsidP="008258B8">
      <w:pPr>
        <w:spacing w:line="360" w:lineRule="auto"/>
        <w:jc w:val="both"/>
        <w:rPr>
          <w:rFonts w:ascii="Arial" w:hAnsi="Arial" w:cs="Arial"/>
          <w:sz w:val="24"/>
          <w:szCs w:val="24"/>
        </w:rPr>
      </w:pPr>
    </w:p>
    <w:p w14:paraId="257057E6" w14:textId="77777777" w:rsidR="008258B8" w:rsidRPr="008258B8" w:rsidRDefault="008258B8" w:rsidP="008258B8">
      <w:pPr>
        <w:spacing w:line="360" w:lineRule="auto"/>
        <w:jc w:val="both"/>
        <w:rPr>
          <w:rFonts w:ascii="Arial" w:hAnsi="Arial" w:cs="Arial"/>
          <w:sz w:val="24"/>
          <w:szCs w:val="24"/>
        </w:rPr>
      </w:pPr>
      <w:r w:rsidRPr="008258B8">
        <w:rPr>
          <w:rFonts w:ascii="Arial" w:hAnsi="Arial" w:cs="Arial"/>
          <w:sz w:val="24"/>
          <w:szCs w:val="24"/>
        </w:rPr>
        <w:t>Sustainable food waste reduction requires an integrated strategy that combines smart technology, empowered people, collaborative partnerships, and supportive policies.</w:t>
      </w:r>
    </w:p>
    <w:p w14:paraId="61E8DB59" w14:textId="77777777" w:rsidR="008258B8" w:rsidRPr="008258B8" w:rsidRDefault="008258B8" w:rsidP="008258B8">
      <w:pPr>
        <w:spacing w:line="360" w:lineRule="auto"/>
        <w:jc w:val="both"/>
        <w:rPr>
          <w:rFonts w:ascii="Arial" w:hAnsi="Arial" w:cs="Arial"/>
          <w:sz w:val="24"/>
          <w:szCs w:val="24"/>
        </w:rPr>
      </w:pPr>
      <w:r w:rsidRPr="008258B8">
        <w:rPr>
          <w:rFonts w:ascii="Arial" w:hAnsi="Arial" w:cs="Arial"/>
          <w:sz w:val="24"/>
          <w:szCs w:val="24"/>
        </w:rPr>
        <w:t>By embedding waste prevention within procurement policies, brand standards, and performance management systems, hotels can align environmental responsibility with commercial objectives.</w:t>
      </w:r>
    </w:p>
    <w:p w14:paraId="78C8AF31" w14:textId="3D33BDC9" w:rsidR="00D96378" w:rsidRDefault="008258B8" w:rsidP="008258B8">
      <w:pPr>
        <w:spacing w:line="360" w:lineRule="auto"/>
        <w:jc w:val="both"/>
        <w:rPr>
          <w:rFonts w:ascii="Arial" w:hAnsi="Arial" w:cs="Arial"/>
          <w:sz w:val="24"/>
          <w:szCs w:val="24"/>
        </w:rPr>
      </w:pPr>
      <w:r w:rsidRPr="008258B8">
        <w:rPr>
          <w:rFonts w:ascii="Arial" w:hAnsi="Arial" w:cs="Arial"/>
          <w:sz w:val="24"/>
          <w:szCs w:val="24"/>
        </w:rPr>
        <w:t>Ultimately, reducing food waste is not only an operational efficiency measure but also a strategic pathway towards sustainable hospitality leadership.</w:t>
      </w:r>
    </w:p>
    <w:p w14:paraId="0A1E817A" w14:textId="77777777" w:rsidR="00293EC1" w:rsidRDefault="00293EC1" w:rsidP="00D502C3">
      <w:pPr>
        <w:spacing w:line="360" w:lineRule="auto"/>
        <w:jc w:val="both"/>
        <w:rPr>
          <w:rFonts w:ascii="Arial" w:hAnsi="Arial" w:cs="Arial"/>
          <w:sz w:val="24"/>
          <w:szCs w:val="24"/>
        </w:rPr>
      </w:pPr>
    </w:p>
    <w:p w14:paraId="47C47A6A" w14:textId="77777777" w:rsidR="00293EC1" w:rsidRDefault="00293EC1" w:rsidP="00D502C3">
      <w:pPr>
        <w:spacing w:line="360" w:lineRule="auto"/>
        <w:jc w:val="both"/>
        <w:rPr>
          <w:rFonts w:ascii="Arial" w:hAnsi="Arial" w:cs="Arial"/>
          <w:sz w:val="24"/>
          <w:szCs w:val="24"/>
        </w:rPr>
      </w:pPr>
    </w:p>
    <w:p w14:paraId="77647E26" w14:textId="77777777" w:rsidR="00641BEF" w:rsidRDefault="00641BEF" w:rsidP="00BF02C3">
      <w:pPr>
        <w:spacing w:line="360" w:lineRule="auto"/>
        <w:jc w:val="both"/>
        <w:rPr>
          <w:rFonts w:ascii="Arial" w:hAnsi="Arial" w:cs="Arial"/>
          <w:sz w:val="24"/>
          <w:szCs w:val="24"/>
        </w:rPr>
      </w:pPr>
    </w:p>
    <w:p w14:paraId="45753484" w14:textId="77777777" w:rsidR="004573CF" w:rsidRDefault="004573CF" w:rsidP="00BF02C3">
      <w:pPr>
        <w:spacing w:line="360" w:lineRule="auto"/>
        <w:jc w:val="both"/>
        <w:rPr>
          <w:rFonts w:ascii="Arial" w:hAnsi="Arial" w:cs="Arial"/>
          <w:sz w:val="24"/>
          <w:szCs w:val="24"/>
        </w:rPr>
      </w:pPr>
    </w:p>
    <w:p w14:paraId="2810E88B" w14:textId="77777777" w:rsidR="004573CF" w:rsidRDefault="004573CF" w:rsidP="00BF02C3">
      <w:pPr>
        <w:spacing w:line="360" w:lineRule="auto"/>
        <w:jc w:val="both"/>
        <w:rPr>
          <w:rFonts w:ascii="Arial" w:hAnsi="Arial" w:cs="Arial"/>
          <w:sz w:val="24"/>
          <w:szCs w:val="24"/>
        </w:rPr>
      </w:pPr>
    </w:p>
    <w:p w14:paraId="7CEC279A" w14:textId="77777777" w:rsidR="004573CF" w:rsidRDefault="004573CF" w:rsidP="00BF02C3">
      <w:pPr>
        <w:spacing w:line="360" w:lineRule="auto"/>
        <w:jc w:val="both"/>
        <w:rPr>
          <w:rFonts w:ascii="Arial" w:hAnsi="Arial" w:cs="Arial"/>
          <w:sz w:val="24"/>
          <w:szCs w:val="24"/>
        </w:rPr>
      </w:pPr>
    </w:p>
    <w:p w14:paraId="6B4F6143" w14:textId="2BB5EA59" w:rsidR="00BF02C3" w:rsidRDefault="00BF02C3" w:rsidP="00BF02C3">
      <w:pPr>
        <w:spacing w:line="360" w:lineRule="auto"/>
        <w:jc w:val="both"/>
        <w:rPr>
          <w:rFonts w:ascii="Arial" w:hAnsi="Arial" w:cs="Arial"/>
          <w:sz w:val="24"/>
          <w:szCs w:val="24"/>
        </w:rPr>
      </w:pPr>
      <w:r>
        <w:rPr>
          <w:rFonts w:ascii="Arial" w:hAnsi="Arial" w:cs="Arial"/>
          <w:sz w:val="24"/>
          <w:szCs w:val="24"/>
        </w:rPr>
        <w:lastRenderedPageBreak/>
        <w:t xml:space="preserve">References: </w:t>
      </w:r>
    </w:p>
    <w:p w14:paraId="76DADC03" w14:textId="5CE396B6" w:rsidR="0023037B" w:rsidRPr="0023037B" w:rsidRDefault="0023037B" w:rsidP="0023037B">
      <w:pPr>
        <w:pStyle w:val="ListParagraph"/>
        <w:numPr>
          <w:ilvl w:val="0"/>
          <w:numId w:val="1"/>
        </w:numPr>
        <w:spacing w:line="360" w:lineRule="auto"/>
        <w:jc w:val="both"/>
        <w:rPr>
          <w:rFonts w:ascii="Arial" w:hAnsi="Arial" w:cs="Arial"/>
          <w:sz w:val="24"/>
          <w:szCs w:val="24"/>
        </w:rPr>
      </w:pPr>
      <w:r w:rsidRPr="0023037B">
        <w:rPr>
          <w:rFonts w:ascii="Arial" w:hAnsi="Arial" w:cs="Arial"/>
          <w:sz w:val="24"/>
          <w:szCs w:val="24"/>
        </w:rPr>
        <w:t xml:space="preserve">Accor Group (2024) Good Food Policy. November 2024. Available at: </w:t>
      </w:r>
      <w:hyperlink r:id="rId12" w:history="1">
        <w:r w:rsidRPr="00DC31A8">
          <w:rPr>
            <w:rStyle w:val="Hyperlink"/>
            <w:rFonts w:ascii="Arial" w:hAnsi="Arial" w:cs="Arial"/>
            <w:sz w:val="24"/>
            <w:szCs w:val="24"/>
          </w:rPr>
          <w:t>https://group.accor.com/-/media/Corporate/Commitment/PDF-for-pages/Policy/Accor-Good-Food-Policy.pdf</w:t>
        </w:r>
      </w:hyperlink>
      <w:r>
        <w:rPr>
          <w:rFonts w:ascii="Arial" w:hAnsi="Arial" w:cs="Arial"/>
          <w:sz w:val="24"/>
          <w:szCs w:val="24"/>
        </w:rPr>
        <w:t xml:space="preserve"> </w:t>
      </w:r>
      <w:r w:rsidRPr="0023037B">
        <w:rPr>
          <w:rFonts w:ascii="Arial" w:hAnsi="Arial" w:cs="Arial"/>
          <w:sz w:val="24"/>
          <w:szCs w:val="24"/>
        </w:rPr>
        <w:t>(Accessed: 29 October 2025).</w:t>
      </w:r>
    </w:p>
    <w:p w14:paraId="2B95F5E9" w14:textId="440B0C12" w:rsidR="00FF27CE" w:rsidRPr="00FF27CE" w:rsidRDefault="00FF27CE" w:rsidP="00FF27CE">
      <w:pPr>
        <w:pStyle w:val="ListParagraph"/>
        <w:numPr>
          <w:ilvl w:val="0"/>
          <w:numId w:val="1"/>
        </w:numPr>
        <w:spacing w:line="360" w:lineRule="auto"/>
        <w:jc w:val="both"/>
        <w:rPr>
          <w:rFonts w:ascii="Arial" w:hAnsi="Arial" w:cs="Arial"/>
          <w:sz w:val="24"/>
          <w:szCs w:val="24"/>
        </w:rPr>
      </w:pPr>
      <w:r w:rsidRPr="00FF27CE">
        <w:rPr>
          <w:rFonts w:ascii="Arial" w:hAnsi="Arial" w:cs="Arial"/>
          <w:sz w:val="24"/>
          <w:szCs w:val="24"/>
        </w:rPr>
        <w:t xml:space="preserve">Accor (2024) Responsible Food Model. Available at: </w:t>
      </w:r>
      <w:hyperlink r:id="rId13" w:history="1">
        <w:r w:rsidRPr="00DC31A8">
          <w:rPr>
            <w:rStyle w:val="Hyperlink"/>
            <w:rFonts w:ascii="Arial" w:hAnsi="Arial" w:cs="Arial"/>
            <w:sz w:val="24"/>
            <w:szCs w:val="24"/>
          </w:rPr>
          <w:t>https://group.accor.com/en/group/sustainable-hospitality/responsible-food-model</w:t>
        </w:r>
      </w:hyperlink>
      <w:r>
        <w:rPr>
          <w:rFonts w:ascii="Arial" w:hAnsi="Arial" w:cs="Arial"/>
          <w:sz w:val="24"/>
          <w:szCs w:val="24"/>
        </w:rPr>
        <w:t xml:space="preserve"> </w:t>
      </w:r>
      <w:r w:rsidRPr="00FF27CE">
        <w:rPr>
          <w:rFonts w:ascii="Arial" w:hAnsi="Arial" w:cs="Arial"/>
          <w:sz w:val="24"/>
          <w:szCs w:val="24"/>
        </w:rPr>
        <w:t xml:space="preserve"> (Accessed: 29 October 2025).</w:t>
      </w:r>
    </w:p>
    <w:p w14:paraId="3C8022E2" w14:textId="4E6248F6" w:rsidR="00143BCC" w:rsidRPr="007B7035" w:rsidRDefault="00143BCC" w:rsidP="007B7035">
      <w:pPr>
        <w:pStyle w:val="ListParagraph"/>
        <w:numPr>
          <w:ilvl w:val="0"/>
          <w:numId w:val="1"/>
        </w:numPr>
        <w:spacing w:line="360" w:lineRule="auto"/>
        <w:jc w:val="both"/>
        <w:rPr>
          <w:rFonts w:ascii="Arial" w:hAnsi="Arial" w:cs="Arial"/>
          <w:sz w:val="24"/>
          <w:szCs w:val="24"/>
        </w:rPr>
      </w:pPr>
      <w:r w:rsidRPr="007B7035">
        <w:rPr>
          <w:rFonts w:ascii="Arial" w:hAnsi="Arial" w:cs="Arial"/>
          <w:sz w:val="24"/>
          <w:szCs w:val="24"/>
        </w:rPr>
        <w:t xml:space="preserve">Amicarelli, V., Aluculesei, A-C., Lagioia, G., Pamfilie, R. and Bux, C. (2021) ‘How to manage and minimise food waste in the hotel industry: exploratory research’, International Journal of Contemporary Tourism and Hospitality Research, 16(1), pp. 152–168. Available at: </w:t>
      </w:r>
      <w:hyperlink r:id="rId14" w:history="1">
        <w:r w:rsidRPr="007B7035">
          <w:rPr>
            <w:rStyle w:val="Hyperlink"/>
            <w:rFonts w:ascii="Arial" w:hAnsi="Arial" w:cs="Arial"/>
            <w:sz w:val="24"/>
            <w:szCs w:val="24"/>
          </w:rPr>
          <w:t>https://www.emerald.com/ijcthr/article/16/1/152/137461/How-to-manage-and-minimize-food-waste-in-the-hotel</w:t>
        </w:r>
      </w:hyperlink>
      <w:r w:rsidRPr="007B7035">
        <w:rPr>
          <w:rFonts w:ascii="Arial" w:hAnsi="Arial" w:cs="Arial"/>
          <w:sz w:val="24"/>
          <w:szCs w:val="24"/>
        </w:rPr>
        <w:t xml:space="preserve"> (Accessed 09 October 2025). </w:t>
      </w:r>
    </w:p>
    <w:p w14:paraId="1AC706C7" w14:textId="77777777" w:rsidR="00143BCC" w:rsidRPr="002170A0" w:rsidRDefault="00143BCC" w:rsidP="002170A0">
      <w:pPr>
        <w:pStyle w:val="ListParagraph"/>
        <w:numPr>
          <w:ilvl w:val="0"/>
          <w:numId w:val="1"/>
        </w:numPr>
        <w:spacing w:line="360" w:lineRule="auto"/>
        <w:jc w:val="both"/>
        <w:rPr>
          <w:rFonts w:ascii="Arial" w:hAnsi="Arial" w:cs="Arial"/>
          <w:sz w:val="24"/>
          <w:szCs w:val="24"/>
        </w:rPr>
      </w:pPr>
      <w:r w:rsidRPr="002170A0">
        <w:rPr>
          <w:rFonts w:ascii="Arial" w:hAnsi="Arial" w:cs="Arial"/>
          <w:sz w:val="24"/>
          <w:szCs w:val="24"/>
        </w:rPr>
        <w:t xml:space="preserve">Beretta, C. &amp; Hellweg, S. (2019) ‘Potential environmental benefits from food waste prevention in the food service sector’, Resources, Conservation and Recycling, 147, 169–178. Available at: </w:t>
      </w:r>
      <w:hyperlink r:id="rId15" w:history="1">
        <w:r w:rsidRPr="00822348">
          <w:rPr>
            <w:rStyle w:val="Hyperlink"/>
            <w:rFonts w:ascii="Arial" w:hAnsi="Arial" w:cs="Arial"/>
            <w:sz w:val="24"/>
            <w:szCs w:val="24"/>
          </w:rPr>
          <w:t>https://doi.org/10.1016/j.resconrec.2019.03.023</w:t>
        </w:r>
      </w:hyperlink>
      <w:r>
        <w:rPr>
          <w:rFonts w:ascii="Arial" w:hAnsi="Arial" w:cs="Arial"/>
          <w:sz w:val="24"/>
          <w:szCs w:val="24"/>
        </w:rPr>
        <w:t xml:space="preserve"> </w:t>
      </w:r>
      <w:r w:rsidRPr="002170A0">
        <w:rPr>
          <w:rFonts w:ascii="Arial" w:hAnsi="Arial" w:cs="Arial"/>
          <w:sz w:val="24"/>
          <w:szCs w:val="24"/>
        </w:rPr>
        <w:t>(Accessed: 20 October 2025).</w:t>
      </w:r>
    </w:p>
    <w:p w14:paraId="605BCF7E" w14:textId="77777777" w:rsidR="00143BCC" w:rsidRDefault="00143BCC" w:rsidP="002170A0">
      <w:pPr>
        <w:pStyle w:val="ListParagraph"/>
        <w:numPr>
          <w:ilvl w:val="0"/>
          <w:numId w:val="1"/>
        </w:numPr>
        <w:spacing w:line="360" w:lineRule="auto"/>
        <w:jc w:val="both"/>
        <w:rPr>
          <w:rFonts w:ascii="Arial" w:hAnsi="Arial" w:cs="Arial"/>
          <w:sz w:val="24"/>
          <w:szCs w:val="24"/>
        </w:rPr>
      </w:pPr>
      <w:r w:rsidRPr="002170A0">
        <w:rPr>
          <w:rFonts w:ascii="Arial" w:hAnsi="Arial" w:cs="Arial"/>
          <w:sz w:val="24"/>
          <w:szCs w:val="24"/>
        </w:rPr>
        <w:t xml:space="preserve">Betz, A., Buchli, J., Göbel, C. &amp; Müller, C. (2015) ‘Food waste in the Swiss food service industry—Magnitude and potential for reduction’, Waste Management, 35, 218–226. Available at: </w:t>
      </w:r>
      <w:hyperlink r:id="rId16" w:history="1">
        <w:r w:rsidRPr="00822348">
          <w:rPr>
            <w:rStyle w:val="Hyperlink"/>
            <w:rFonts w:ascii="Arial" w:hAnsi="Arial" w:cs="Arial"/>
            <w:sz w:val="24"/>
            <w:szCs w:val="24"/>
          </w:rPr>
          <w:t>https://doi.org/10.1016/j.wasman.2014.09.015</w:t>
        </w:r>
      </w:hyperlink>
      <w:r>
        <w:rPr>
          <w:rFonts w:ascii="Arial" w:hAnsi="Arial" w:cs="Arial"/>
          <w:sz w:val="24"/>
          <w:szCs w:val="24"/>
        </w:rPr>
        <w:t xml:space="preserve"> </w:t>
      </w:r>
      <w:r w:rsidRPr="002170A0">
        <w:rPr>
          <w:rFonts w:ascii="Arial" w:hAnsi="Arial" w:cs="Arial"/>
          <w:sz w:val="24"/>
          <w:szCs w:val="24"/>
        </w:rPr>
        <w:t>(Accessed: 20 October 2025).</w:t>
      </w:r>
    </w:p>
    <w:p w14:paraId="1858055A" w14:textId="105DD5E3" w:rsidR="00B1254B" w:rsidRPr="00B1254B" w:rsidRDefault="00B1254B" w:rsidP="00B1254B">
      <w:pPr>
        <w:pStyle w:val="ListParagraph"/>
        <w:numPr>
          <w:ilvl w:val="0"/>
          <w:numId w:val="1"/>
        </w:numPr>
        <w:spacing w:line="360" w:lineRule="auto"/>
        <w:jc w:val="both"/>
        <w:rPr>
          <w:rFonts w:ascii="Arial" w:hAnsi="Arial" w:cs="Arial"/>
          <w:sz w:val="24"/>
          <w:szCs w:val="24"/>
        </w:rPr>
      </w:pPr>
      <w:r w:rsidRPr="00B1254B">
        <w:rPr>
          <w:rFonts w:ascii="Arial" w:hAnsi="Arial" w:cs="Arial"/>
          <w:sz w:val="24"/>
          <w:szCs w:val="24"/>
        </w:rPr>
        <w:t xml:space="preserve">Braun, V. and Clarke, V. (2006) ‘Using thematic analysis in psychology’, Qualitative Research in Psychology, 3(2), pp. 77–101. Available at: </w:t>
      </w:r>
      <w:hyperlink r:id="rId17" w:history="1">
        <w:r w:rsidRPr="00DC31A8">
          <w:rPr>
            <w:rStyle w:val="Hyperlink"/>
            <w:rFonts w:ascii="Arial" w:hAnsi="Arial" w:cs="Arial"/>
            <w:sz w:val="24"/>
            <w:szCs w:val="24"/>
          </w:rPr>
          <w:t>https://doi.org/10.1191/1478088706qp063oa</w:t>
        </w:r>
      </w:hyperlink>
      <w:r>
        <w:rPr>
          <w:rFonts w:ascii="Arial" w:hAnsi="Arial" w:cs="Arial"/>
          <w:sz w:val="24"/>
          <w:szCs w:val="24"/>
        </w:rPr>
        <w:t xml:space="preserve"> </w:t>
      </w:r>
      <w:r w:rsidRPr="00B1254B">
        <w:rPr>
          <w:rFonts w:ascii="Arial" w:hAnsi="Arial" w:cs="Arial"/>
          <w:sz w:val="24"/>
          <w:szCs w:val="24"/>
        </w:rPr>
        <w:t xml:space="preserve"> (Accessed: 29 October 2025).</w:t>
      </w:r>
    </w:p>
    <w:p w14:paraId="3D33EE63" w14:textId="77777777" w:rsidR="00143BCC" w:rsidRDefault="00143BCC" w:rsidP="00E83AE4">
      <w:pPr>
        <w:pStyle w:val="ListParagraph"/>
        <w:numPr>
          <w:ilvl w:val="0"/>
          <w:numId w:val="1"/>
        </w:numPr>
        <w:spacing w:line="360" w:lineRule="auto"/>
        <w:jc w:val="both"/>
        <w:rPr>
          <w:rFonts w:ascii="Arial" w:hAnsi="Arial" w:cs="Arial"/>
          <w:sz w:val="24"/>
          <w:szCs w:val="24"/>
        </w:rPr>
      </w:pPr>
      <w:r w:rsidRPr="00E83AE4">
        <w:rPr>
          <w:rFonts w:ascii="Arial" w:hAnsi="Arial" w:cs="Arial"/>
          <w:sz w:val="24"/>
          <w:szCs w:val="24"/>
        </w:rPr>
        <w:t xml:space="preserve">Business Insider (2024) ‘Hotels and offices are using an AI tool that scans what they throw in the trash to reduce their food waste and cut costs’. Business Insider, 7 July. Available at: </w:t>
      </w:r>
      <w:hyperlink r:id="rId18" w:history="1">
        <w:r w:rsidRPr="008A4C01">
          <w:rPr>
            <w:rStyle w:val="Hyperlink"/>
            <w:rFonts w:ascii="Arial" w:hAnsi="Arial" w:cs="Arial"/>
            <w:sz w:val="24"/>
            <w:szCs w:val="24"/>
          </w:rPr>
          <w:t>https://www.businessinsider.com/hotels-offices-kitchens-winnow-ai-tool-reduce-food-waste-costs-2024-7</w:t>
        </w:r>
      </w:hyperlink>
      <w:r>
        <w:rPr>
          <w:rFonts w:ascii="Arial" w:hAnsi="Arial" w:cs="Arial"/>
          <w:sz w:val="24"/>
          <w:szCs w:val="24"/>
        </w:rPr>
        <w:t xml:space="preserve"> </w:t>
      </w:r>
      <w:r w:rsidRPr="00E83AE4">
        <w:rPr>
          <w:rFonts w:ascii="Arial" w:hAnsi="Arial" w:cs="Arial"/>
          <w:sz w:val="24"/>
          <w:szCs w:val="24"/>
        </w:rPr>
        <w:t xml:space="preserve">(Accessed: </w:t>
      </w:r>
      <w:r>
        <w:rPr>
          <w:rFonts w:ascii="Arial" w:hAnsi="Arial" w:cs="Arial"/>
          <w:sz w:val="24"/>
          <w:szCs w:val="24"/>
        </w:rPr>
        <w:t>9</w:t>
      </w:r>
      <w:r w:rsidRPr="00E83AE4">
        <w:rPr>
          <w:rFonts w:ascii="Arial" w:hAnsi="Arial" w:cs="Arial"/>
          <w:sz w:val="24"/>
          <w:szCs w:val="24"/>
        </w:rPr>
        <w:t xml:space="preserve"> October 2025).</w:t>
      </w:r>
    </w:p>
    <w:p w14:paraId="0C4D2F19" w14:textId="77777777" w:rsidR="00143BCC" w:rsidRPr="001A09C8" w:rsidRDefault="00143BCC" w:rsidP="00DC579A">
      <w:pPr>
        <w:pStyle w:val="ListParagraph"/>
        <w:numPr>
          <w:ilvl w:val="0"/>
          <w:numId w:val="1"/>
        </w:numPr>
        <w:spacing w:line="360" w:lineRule="auto"/>
        <w:jc w:val="both"/>
        <w:rPr>
          <w:rFonts w:ascii="Arial" w:hAnsi="Arial" w:cs="Arial"/>
          <w:sz w:val="24"/>
          <w:szCs w:val="24"/>
        </w:rPr>
      </w:pPr>
      <w:r w:rsidRPr="001A09C8">
        <w:rPr>
          <w:rFonts w:ascii="Arial" w:hAnsi="Arial" w:cs="Arial"/>
          <w:sz w:val="24"/>
          <w:szCs w:val="24"/>
        </w:rPr>
        <w:t xml:space="preserve"> Cárdenas, M., Schivinski, B. &amp; Brennan, L. (2024) ‘Circular practices in the hospitality sector regarding food waste’, Journal of Cleaner Production, 472, 143452. Available at: </w:t>
      </w:r>
      <w:hyperlink r:id="rId19" w:history="1">
        <w:r w:rsidRPr="001A09C8">
          <w:rPr>
            <w:rStyle w:val="Hyperlink"/>
            <w:rFonts w:ascii="Arial" w:hAnsi="Arial" w:cs="Arial"/>
            <w:sz w:val="24"/>
            <w:szCs w:val="24"/>
          </w:rPr>
          <w:t>https://doi.org/10.1016/j.jclepro.2024.143452</w:t>
        </w:r>
      </w:hyperlink>
      <w:r w:rsidRPr="001A09C8">
        <w:rPr>
          <w:rFonts w:ascii="Arial" w:hAnsi="Arial" w:cs="Arial"/>
          <w:sz w:val="24"/>
          <w:szCs w:val="24"/>
        </w:rPr>
        <w:t xml:space="preserve">  (Accessed: </w:t>
      </w:r>
      <w:r>
        <w:rPr>
          <w:rFonts w:ascii="Arial" w:hAnsi="Arial" w:cs="Arial"/>
          <w:sz w:val="24"/>
          <w:szCs w:val="24"/>
        </w:rPr>
        <w:t xml:space="preserve">10 </w:t>
      </w:r>
      <w:r w:rsidRPr="001A09C8">
        <w:rPr>
          <w:rFonts w:ascii="Arial" w:hAnsi="Arial" w:cs="Arial"/>
          <w:sz w:val="24"/>
          <w:szCs w:val="24"/>
        </w:rPr>
        <w:t>October 2025).</w:t>
      </w:r>
    </w:p>
    <w:p w14:paraId="0814917A" w14:textId="77777777" w:rsidR="00143BCC" w:rsidRDefault="00143BCC" w:rsidP="00B4769C">
      <w:pPr>
        <w:pStyle w:val="ListParagraph"/>
        <w:numPr>
          <w:ilvl w:val="0"/>
          <w:numId w:val="1"/>
        </w:numPr>
        <w:spacing w:line="360" w:lineRule="auto"/>
        <w:jc w:val="both"/>
        <w:rPr>
          <w:rFonts w:ascii="Arial" w:hAnsi="Arial" w:cs="Arial"/>
          <w:sz w:val="24"/>
          <w:szCs w:val="24"/>
        </w:rPr>
      </w:pPr>
      <w:r w:rsidRPr="009E6A35">
        <w:rPr>
          <w:rFonts w:ascii="Arial" w:hAnsi="Arial" w:cs="Arial"/>
          <w:sz w:val="24"/>
          <w:szCs w:val="24"/>
        </w:rPr>
        <w:lastRenderedPageBreak/>
        <w:t xml:space="preserve">Da Rosa, F. S., Lunkes, R. J., Schäfer, J. D., &amp; Codesso, M. M. (2024). Digital innovation for food waste reduction in hotels: the complementary effect of digital capabilities and innovation ecosystem coopetition. Journal of Sustainable Tourism, 1–15. </w:t>
      </w:r>
      <w:r>
        <w:rPr>
          <w:rFonts w:ascii="Arial" w:hAnsi="Arial" w:cs="Arial"/>
          <w:sz w:val="24"/>
          <w:szCs w:val="24"/>
        </w:rPr>
        <w:t xml:space="preserve">Available at: </w:t>
      </w:r>
      <w:hyperlink r:id="rId20" w:history="1">
        <w:r w:rsidRPr="008A4C01">
          <w:rPr>
            <w:rStyle w:val="Hyperlink"/>
            <w:rFonts w:ascii="Arial" w:hAnsi="Arial" w:cs="Arial"/>
            <w:sz w:val="24"/>
            <w:szCs w:val="24"/>
          </w:rPr>
          <w:t>https://www.tandfonline.com/doi/full/10.1080/09669582.2024.2438233?af=R/</w:t>
        </w:r>
      </w:hyperlink>
      <w:r>
        <w:rPr>
          <w:rFonts w:ascii="Arial" w:hAnsi="Arial" w:cs="Arial"/>
          <w:sz w:val="24"/>
          <w:szCs w:val="24"/>
        </w:rPr>
        <w:t xml:space="preserve"> (Accessed 09 October 2025).</w:t>
      </w:r>
    </w:p>
    <w:p w14:paraId="181D9C10" w14:textId="77777777" w:rsidR="00143BCC" w:rsidRPr="002170A0" w:rsidRDefault="00143BCC" w:rsidP="002170A0">
      <w:pPr>
        <w:pStyle w:val="ListParagraph"/>
        <w:numPr>
          <w:ilvl w:val="0"/>
          <w:numId w:val="1"/>
        </w:numPr>
        <w:spacing w:line="360" w:lineRule="auto"/>
        <w:jc w:val="both"/>
        <w:rPr>
          <w:rFonts w:ascii="Arial" w:hAnsi="Arial" w:cs="Arial"/>
          <w:sz w:val="24"/>
          <w:szCs w:val="24"/>
        </w:rPr>
      </w:pPr>
      <w:r>
        <w:rPr>
          <w:rFonts w:ascii="Arial" w:hAnsi="Arial" w:cs="Arial"/>
          <w:sz w:val="24"/>
          <w:szCs w:val="24"/>
        </w:rPr>
        <w:t xml:space="preserve"> </w:t>
      </w:r>
      <w:r w:rsidRPr="002170A0">
        <w:rPr>
          <w:rFonts w:ascii="Arial" w:hAnsi="Arial" w:cs="Arial"/>
          <w:sz w:val="24"/>
          <w:szCs w:val="24"/>
        </w:rPr>
        <w:t xml:space="preserve">Da Rosa, F.S., Lunkes, R.J., Schäfer, J.D. &amp; Codesso, M.M. (2024) ‘Digital innovation for food waste reduction in hotels: the complementary effect of digital capabilities and innovation ecosystem coopetition’, Journal of Sustainable Tourism, online first. Available at: </w:t>
      </w:r>
      <w:hyperlink r:id="rId21" w:history="1">
        <w:r w:rsidRPr="00822348">
          <w:rPr>
            <w:rStyle w:val="Hyperlink"/>
            <w:rFonts w:ascii="Arial" w:hAnsi="Arial" w:cs="Arial"/>
            <w:sz w:val="24"/>
            <w:szCs w:val="24"/>
          </w:rPr>
          <w:t>https://doi.org/10.1080/09669582.2024.2438233</w:t>
        </w:r>
      </w:hyperlink>
      <w:r>
        <w:rPr>
          <w:rFonts w:ascii="Arial" w:hAnsi="Arial" w:cs="Arial"/>
          <w:sz w:val="24"/>
          <w:szCs w:val="24"/>
        </w:rPr>
        <w:t xml:space="preserve"> </w:t>
      </w:r>
      <w:r w:rsidRPr="002170A0">
        <w:rPr>
          <w:rFonts w:ascii="Arial" w:hAnsi="Arial" w:cs="Arial"/>
          <w:sz w:val="24"/>
          <w:szCs w:val="24"/>
        </w:rPr>
        <w:t xml:space="preserve"> (Accessed: 20 October 2025).</w:t>
      </w:r>
    </w:p>
    <w:p w14:paraId="42F8C1C4" w14:textId="77777777" w:rsidR="00143BCC" w:rsidRDefault="00143BCC" w:rsidP="00DC579A">
      <w:pPr>
        <w:pStyle w:val="ListParagraph"/>
        <w:numPr>
          <w:ilvl w:val="0"/>
          <w:numId w:val="1"/>
        </w:numPr>
        <w:spacing w:line="360" w:lineRule="auto"/>
        <w:jc w:val="both"/>
        <w:rPr>
          <w:rFonts w:ascii="Arial" w:hAnsi="Arial" w:cs="Arial"/>
          <w:sz w:val="24"/>
          <w:szCs w:val="24"/>
        </w:rPr>
      </w:pPr>
      <w:r w:rsidRPr="00DC579A">
        <w:rPr>
          <w:rFonts w:ascii="Arial" w:hAnsi="Arial" w:cs="Arial"/>
          <w:sz w:val="24"/>
          <w:szCs w:val="24"/>
        </w:rPr>
        <w:t xml:space="preserve">Dhir, A., Talwar, S., Kaur, P. &amp; Malibari, A. (2020) ‘Food waste in hospitality and food services: A systematic literature review and framework development approach’, Journal of Cleaner Production, 270, 122861. Available at: </w:t>
      </w:r>
      <w:hyperlink r:id="rId22" w:history="1">
        <w:r w:rsidRPr="00822348">
          <w:rPr>
            <w:rStyle w:val="Hyperlink"/>
            <w:rFonts w:ascii="Arial" w:hAnsi="Arial" w:cs="Arial"/>
            <w:sz w:val="24"/>
            <w:szCs w:val="24"/>
          </w:rPr>
          <w:t>https://doi.org/10.1016/j.jclepro.2020.122861</w:t>
        </w:r>
      </w:hyperlink>
      <w:r>
        <w:rPr>
          <w:rFonts w:ascii="Arial" w:hAnsi="Arial" w:cs="Arial"/>
          <w:sz w:val="24"/>
          <w:szCs w:val="24"/>
        </w:rPr>
        <w:t xml:space="preserve"> </w:t>
      </w:r>
      <w:r w:rsidRPr="00DC579A">
        <w:rPr>
          <w:rFonts w:ascii="Arial" w:hAnsi="Arial" w:cs="Arial"/>
          <w:sz w:val="24"/>
          <w:szCs w:val="24"/>
        </w:rPr>
        <w:t xml:space="preserve"> (Accessed: </w:t>
      </w:r>
      <w:r>
        <w:rPr>
          <w:rFonts w:ascii="Arial" w:hAnsi="Arial" w:cs="Arial"/>
          <w:sz w:val="24"/>
          <w:szCs w:val="24"/>
        </w:rPr>
        <w:t>15</w:t>
      </w:r>
      <w:r w:rsidRPr="00DC579A">
        <w:rPr>
          <w:rFonts w:ascii="Arial" w:hAnsi="Arial" w:cs="Arial"/>
          <w:sz w:val="24"/>
          <w:szCs w:val="24"/>
        </w:rPr>
        <w:t xml:space="preserve"> October 2025).</w:t>
      </w:r>
    </w:p>
    <w:p w14:paraId="11206637" w14:textId="57355215" w:rsidR="00772AA2" w:rsidRPr="00772AA2" w:rsidRDefault="00772AA2" w:rsidP="00772AA2">
      <w:pPr>
        <w:pStyle w:val="ListParagraph"/>
        <w:numPr>
          <w:ilvl w:val="0"/>
          <w:numId w:val="1"/>
        </w:numPr>
        <w:spacing w:line="360" w:lineRule="auto"/>
        <w:jc w:val="both"/>
        <w:rPr>
          <w:rFonts w:ascii="Arial" w:hAnsi="Arial" w:cs="Arial"/>
          <w:sz w:val="24"/>
          <w:szCs w:val="24"/>
        </w:rPr>
      </w:pPr>
      <w:r w:rsidRPr="00772AA2">
        <w:rPr>
          <w:rFonts w:ascii="Arial" w:hAnsi="Arial" w:cs="Arial"/>
          <w:sz w:val="24"/>
          <w:szCs w:val="24"/>
        </w:rPr>
        <w:t xml:space="preserve">Dhir, A. et al. (2020) ‘Determinants of food waste reduction in hospitality’, International Journal of Hospitality Management, 89, 102525. Available at: </w:t>
      </w:r>
      <w:hyperlink r:id="rId23" w:history="1">
        <w:r w:rsidRPr="00DC31A8">
          <w:rPr>
            <w:rStyle w:val="Hyperlink"/>
            <w:rFonts w:ascii="Arial" w:hAnsi="Arial" w:cs="Arial"/>
            <w:sz w:val="24"/>
            <w:szCs w:val="24"/>
          </w:rPr>
          <w:t>https://doi.org/10.1016/j.ijhm.2020.102525</w:t>
        </w:r>
      </w:hyperlink>
      <w:r>
        <w:rPr>
          <w:rFonts w:ascii="Arial" w:hAnsi="Arial" w:cs="Arial"/>
          <w:sz w:val="24"/>
          <w:szCs w:val="24"/>
        </w:rPr>
        <w:t xml:space="preserve"> </w:t>
      </w:r>
      <w:r w:rsidRPr="00772AA2">
        <w:rPr>
          <w:rFonts w:ascii="Arial" w:hAnsi="Arial" w:cs="Arial"/>
          <w:sz w:val="24"/>
          <w:szCs w:val="24"/>
        </w:rPr>
        <w:t xml:space="preserve"> (Accessed: 29 October 2025).</w:t>
      </w:r>
    </w:p>
    <w:p w14:paraId="5C2E5FA2" w14:textId="77777777" w:rsidR="00143BCC" w:rsidRDefault="00143BCC" w:rsidP="00B4769C">
      <w:pPr>
        <w:pStyle w:val="ListParagraph"/>
        <w:numPr>
          <w:ilvl w:val="0"/>
          <w:numId w:val="1"/>
        </w:numPr>
        <w:spacing w:line="360" w:lineRule="auto"/>
        <w:jc w:val="both"/>
        <w:rPr>
          <w:rFonts w:ascii="Arial" w:hAnsi="Arial" w:cs="Arial"/>
          <w:sz w:val="24"/>
          <w:szCs w:val="24"/>
        </w:rPr>
      </w:pPr>
      <w:r w:rsidRPr="00B4769C">
        <w:rPr>
          <w:rFonts w:ascii="Arial" w:hAnsi="Arial" w:cs="Arial"/>
          <w:sz w:val="24"/>
          <w:szCs w:val="24"/>
        </w:rPr>
        <w:t>European Commission (2008) Directive 2008/98/EC on waste and repealing certain directives (Waste Framework Directive). Official Journal of the European Union, L312/3.</w:t>
      </w:r>
      <w:r>
        <w:rPr>
          <w:rFonts w:ascii="Arial" w:hAnsi="Arial" w:cs="Arial"/>
          <w:sz w:val="24"/>
          <w:szCs w:val="24"/>
        </w:rPr>
        <w:t xml:space="preserve"> Available at: </w:t>
      </w:r>
      <w:hyperlink r:id="rId24" w:history="1">
        <w:r w:rsidRPr="008A4C01">
          <w:rPr>
            <w:rStyle w:val="Hyperlink"/>
            <w:rFonts w:ascii="Arial" w:hAnsi="Arial" w:cs="Arial"/>
            <w:sz w:val="24"/>
            <w:szCs w:val="24"/>
          </w:rPr>
          <w:t>https://eur-lex.europa.eu/eli/dir/2008/98/oj/eng/</w:t>
        </w:r>
      </w:hyperlink>
      <w:r>
        <w:rPr>
          <w:rFonts w:ascii="Arial" w:hAnsi="Arial" w:cs="Arial"/>
          <w:sz w:val="24"/>
          <w:szCs w:val="24"/>
        </w:rPr>
        <w:t xml:space="preserve"> (Accessed 09 October 2025).</w:t>
      </w:r>
    </w:p>
    <w:p w14:paraId="7A17A51C" w14:textId="77777777" w:rsidR="00143BCC" w:rsidRPr="00066F16" w:rsidRDefault="00143BCC" w:rsidP="00066F16">
      <w:pPr>
        <w:pStyle w:val="ListParagraph"/>
        <w:numPr>
          <w:ilvl w:val="0"/>
          <w:numId w:val="1"/>
        </w:numPr>
        <w:spacing w:line="360" w:lineRule="auto"/>
        <w:jc w:val="both"/>
        <w:rPr>
          <w:rFonts w:ascii="Arial" w:hAnsi="Arial" w:cs="Arial"/>
          <w:sz w:val="24"/>
          <w:szCs w:val="24"/>
        </w:rPr>
      </w:pPr>
      <w:r w:rsidRPr="00C9719F">
        <w:rPr>
          <w:rFonts w:ascii="Arial" w:hAnsi="Arial" w:cs="Arial"/>
          <w:sz w:val="24"/>
          <w:szCs w:val="24"/>
        </w:rPr>
        <w:t>European Commission. (</w:t>
      </w:r>
      <w:r>
        <w:rPr>
          <w:rFonts w:ascii="Arial" w:hAnsi="Arial" w:cs="Arial"/>
          <w:sz w:val="24"/>
          <w:szCs w:val="24"/>
        </w:rPr>
        <w:t>2008</w:t>
      </w:r>
      <w:r w:rsidRPr="00C9719F">
        <w:rPr>
          <w:rFonts w:ascii="Arial" w:hAnsi="Arial" w:cs="Arial"/>
          <w:sz w:val="24"/>
          <w:szCs w:val="24"/>
        </w:rPr>
        <w:t xml:space="preserve">) ‘Waste Framework Directive – Environment’. Available at: </w:t>
      </w:r>
      <w:hyperlink r:id="rId25" w:history="1">
        <w:r w:rsidRPr="00DC31A8">
          <w:rPr>
            <w:rStyle w:val="Hyperlink"/>
            <w:rFonts w:ascii="Arial" w:hAnsi="Arial" w:cs="Arial"/>
            <w:sz w:val="24"/>
            <w:szCs w:val="24"/>
          </w:rPr>
          <w:t>https://environment.ec.europa.eu/topics/waste-and-recycling/waste-framework-directive_en</w:t>
        </w:r>
      </w:hyperlink>
      <w:r>
        <w:rPr>
          <w:rFonts w:ascii="Arial" w:hAnsi="Arial" w:cs="Arial"/>
          <w:sz w:val="24"/>
          <w:szCs w:val="24"/>
        </w:rPr>
        <w:t xml:space="preserve"> </w:t>
      </w:r>
      <w:r w:rsidRPr="00066F16">
        <w:rPr>
          <w:rFonts w:ascii="Arial" w:hAnsi="Arial" w:cs="Arial"/>
          <w:sz w:val="24"/>
          <w:szCs w:val="24"/>
        </w:rPr>
        <w:t xml:space="preserve"> (Accessed: 29 October 2025).</w:t>
      </w:r>
    </w:p>
    <w:p w14:paraId="78262C83" w14:textId="77777777" w:rsidR="00143BCC" w:rsidRPr="00C9719F" w:rsidRDefault="00143BCC" w:rsidP="00C9719F">
      <w:pPr>
        <w:pStyle w:val="ListParagraph"/>
        <w:numPr>
          <w:ilvl w:val="0"/>
          <w:numId w:val="1"/>
        </w:numPr>
        <w:spacing w:line="360" w:lineRule="auto"/>
        <w:jc w:val="both"/>
        <w:rPr>
          <w:rFonts w:ascii="Arial" w:hAnsi="Arial" w:cs="Arial"/>
          <w:sz w:val="24"/>
          <w:szCs w:val="24"/>
        </w:rPr>
      </w:pPr>
      <w:r w:rsidRPr="00641BEF">
        <w:rPr>
          <w:rFonts w:ascii="Arial" w:hAnsi="Arial" w:cs="Arial"/>
          <w:sz w:val="24"/>
          <w:szCs w:val="24"/>
        </w:rPr>
        <w:t xml:space="preserve">European Commission. (2008) Directive 2008/98/EC of the European Parliament and of the Council of 19 November 2008 on waste and repealing certain Directives. Available at: </w:t>
      </w:r>
      <w:hyperlink r:id="rId26" w:history="1">
        <w:r w:rsidRPr="00DC31A8">
          <w:rPr>
            <w:rStyle w:val="Hyperlink"/>
            <w:rFonts w:ascii="Arial" w:hAnsi="Arial" w:cs="Arial"/>
            <w:sz w:val="24"/>
            <w:szCs w:val="24"/>
          </w:rPr>
          <w:t>https://eur-le</w:t>
        </w:r>
        <w:r w:rsidRPr="00DC31A8">
          <w:rPr>
            <w:rStyle w:val="Hyperlink"/>
            <w:rFonts w:ascii="Arial" w:hAnsi="Arial" w:cs="Arial"/>
            <w:sz w:val="24"/>
            <w:szCs w:val="24"/>
          </w:rPr>
          <w:t>x</w:t>
        </w:r>
        <w:r w:rsidRPr="00DC31A8">
          <w:rPr>
            <w:rStyle w:val="Hyperlink"/>
            <w:rFonts w:ascii="Arial" w:hAnsi="Arial" w:cs="Arial"/>
            <w:sz w:val="24"/>
            <w:szCs w:val="24"/>
          </w:rPr>
          <w:t>.europa.eu/eli/dir/2008/98/oj</w:t>
        </w:r>
      </w:hyperlink>
      <w:r>
        <w:rPr>
          <w:rFonts w:ascii="Arial" w:hAnsi="Arial" w:cs="Arial"/>
          <w:sz w:val="24"/>
          <w:szCs w:val="24"/>
        </w:rPr>
        <w:t xml:space="preserve"> </w:t>
      </w:r>
      <w:r w:rsidRPr="00C9719F">
        <w:rPr>
          <w:rFonts w:ascii="Arial" w:hAnsi="Arial" w:cs="Arial"/>
          <w:sz w:val="24"/>
          <w:szCs w:val="24"/>
        </w:rPr>
        <w:t xml:space="preserve">(Accessed: 29 October 2025). </w:t>
      </w:r>
    </w:p>
    <w:p w14:paraId="6B869BD7" w14:textId="77777777" w:rsidR="00143BCC" w:rsidRPr="00DC579A" w:rsidRDefault="00143BCC" w:rsidP="00DC579A">
      <w:pPr>
        <w:pStyle w:val="ListParagraph"/>
        <w:numPr>
          <w:ilvl w:val="0"/>
          <w:numId w:val="1"/>
        </w:numPr>
        <w:spacing w:line="360" w:lineRule="auto"/>
        <w:jc w:val="both"/>
        <w:rPr>
          <w:rFonts w:ascii="Arial" w:hAnsi="Arial" w:cs="Arial"/>
          <w:sz w:val="24"/>
          <w:szCs w:val="24"/>
        </w:rPr>
      </w:pPr>
      <w:r w:rsidRPr="00DC579A">
        <w:rPr>
          <w:rFonts w:ascii="Arial" w:hAnsi="Arial" w:cs="Arial"/>
          <w:sz w:val="24"/>
          <w:szCs w:val="24"/>
        </w:rPr>
        <w:t>Filimonau, V. &amp; De Coteau, D.A. (2019) ‘Food waste management in hospitality operations: A critical review’, Tourism Management, 71, pp. 234–245.</w:t>
      </w:r>
      <w:r>
        <w:rPr>
          <w:rFonts w:ascii="Arial" w:hAnsi="Arial" w:cs="Arial"/>
          <w:sz w:val="24"/>
          <w:szCs w:val="24"/>
        </w:rPr>
        <w:t xml:space="preserve"> </w:t>
      </w:r>
      <w:r w:rsidRPr="00DC579A">
        <w:rPr>
          <w:rFonts w:ascii="Arial" w:hAnsi="Arial" w:cs="Arial"/>
          <w:sz w:val="24"/>
          <w:szCs w:val="24"/>
        </w:rPr>
        <w:t xml:space="preserve">Available at: </w:t>
      </w:r>
      <w:hyperlink r:id="rId27" w:history="1">
        <w:r w:rsidRPr="00822348">
          <w:rPr>
            <w:rStyle w:val="Hyperlink"/>
            <w:rFonts w:ascii="Arial" w:hAnsi="Arial" w:cs="Arial"/>
            <w:sz w:val="24"/>
            <w:szCs w:val="24"/>
          </w:rPr>
          <w:t>https://doi.org/10.1016/j.tourman.2018.10.009</w:t>
        </w:r>
      </w:hyperlink>
      <w:r>
        <w:rPr>
          <w:rFonts w:ascii="Arial" w:hAnsi="Arial" w:cs="Arial"/>
          <w:sz w:val="24"/>
          <w:szCs w:val="24"/>
        </w:rPr>
        <w:t xml:space="preserve"> </w:t>
      </w:r>
      <w:r w:rsidRPr="00DC579A">
        <w:rPr>
          <w:rFonts w:ascii="Arial" w:hAnsi="Arial" w:cs="Arial"/>
          <w:sz w:val="24"/>
          <w:szCs w:val="24"/>
        </w:rPr>
        <w:t xml:space="preserve"> (Accessed: </w:t>
      </w:r>
      <w:r>
        <w:rPr>
          <w:rFonts w:ascii="Arial" w:hAnsi="Arial" w:cs="Arial"/>
          <w:sz w:val="24"/>
          <w:szCs w:val="24"/>
        </w:rPr>
        <w:t>09</w:t>
      </w:r>
      <w:r w:rsidRPr="00DC579A">
        <w:rPr>
          <w:rFonts w:ascii="Arial" w:hAnsi="Arial" w:cs="Arial"/>
          <w:sz w:val="24"/>
          <w:szCs w:val="24"/>
        </w:rPr>
        <w:t xml:space="preserve"> October 2025).</w:t>
      </w:r>
    </w:p>
    <w:p w14:paraId="261589DB" w14:textId="77777777" w:rsidR="00143BCC" w:rsidRPr="00125974" w:rsidRDefault="00143BCC" w:rsidP="00125974">
      <w:pPr>
        <w:pStyle w:val="ListParagraph"/>
        <w:numPr>
          <w:ilvl w:val="0"/>
          <w:numId w:val="1"/>
        </w:numPr>
        <w:spacing w:line="360" w:lineRule="auto"/>
        <w:jc w:val="both"/>
        <w:rPr>
          <w:rFonts w:ascii="Arial" w:hAnsi="Arial" w:cs="Arial"/>
          <w:sz w:val="24"/>
          <w:szCs w:val="24"/>
        </w:rPr>
      </w:pPr>
      <w:r w:rsidRPr="005E024E">
        <w:rPr>
          <w:rFonts w:ascii="Arial" w:hAnsi="Arial" w:cs="Arial"/>
          <w:sz w:val="24"/>
          <w:szCs w:val="24"/>
        </w:rPr>
        <w:t xml:space="preserve">Filimonau, V., Fidan, H., Alexieva, I., Dragoev, S. and Marinova, D.D. (2020) ‘Food waste management in hospitality: The role of staff engagement, </w:t>
      </w:r>
      <w:r w:rsidRPr="005E024E">
        <w:rPr>
          <w:rFonts w:ascii="Arial" w:hAnsi="Arial" w:cs="Arial"/>
          <w:sz w:val="24"/>
          <w:szCs w:val="24"/>
        </w:rPr>
        <w:lastRenderedPageBreak/>
        <w:t>communication, and behavioural change’, Tourism Management, 77, 104016.</w:t>
      </w:r>
      <w:r>
        <w:rPr>
          <w:rFonts w:ascii="Arial" w:hAnsi="Arial" w:cs="Arial"/>
          <w:sz w:val="24"/>
          <w:szCs w:val="24"/>
        </w:rPr>
        <w:t xml:space="preserve"> Available at: </w:t>
      </w:r>
      <w:hyperlink r:id="rId28" w:history="1">
        <w:r w:rsidRPr="008A4C01">
          <w:rPr>
            <w:rStyle w:val="Hyperlink"/>
            <w:rFonts w:ascii="Arial" w:hAnsi="Arial" w:cs="Arial"/>
            <w:sz w:val="24"/>
            <w:szCs w:val="24"/>
          </w:rPr>
          <w:t>https://www.researchgate.net/publication/342822163_Food_Waste_in_Hospitality_and_Food_Services_A_Systematic_Literature_Review_and_Framework_Development_Approach/</w:t>
        </w:r>
      </w:hyperlink>
      <w:r>
        <w:rPr>
          <w:rFonts w:ascii="Arial" w:hAnsi="Arial" w:cs="Arial"/>
          <w:sz w:val="24"/>
          <w:szCs w:val="24"/>
        </w:rPr>
        <w:t xml:space="preserve"> (Accessed 15 October 2025).</w:t>
      </w:r>
    </w:p>
    <w:p w14:paraId="23566F0D" w14:textId="77777777" w:rsidR="00143BCC" w:rsidRPr="00642F52" w:rsidRDefault="00143BCC" w:rsidP="00642F52">
      <w:pPr>
        <w:pStyle w:val="ListParagraph"/>
        <w:numPr>
          <w:ilvl w:val="0"/>
          <w:numId w:val="1"/>
        </w:numPr>
        <w:spacing w:line="360" w:lineRule="auto"/>
        <w:jc w:val="both"/>
        <w:rPr>
          <w:rFonts w:ascii="Arial" w:hAnsi="Arial" w:cs="Arial"/>
          <w:sz w:val="24"/>
          <w:szCs w:val="24"/>
        </w:rPr>
      </w:pPr>
      <w:r w:rsidRPr="00642F52">
        <w:rPr>
          <w:rFonts w:ascii="Arial" w:hAnsi="Arial" w:cs="Arial"/>
          <w:sz w:val="24"/>
          <w:szCs w:val="24"/>
        </w:rPr>
        <w:t xml:space="preserve">HospitalityNet (2024) The environmental and financial impact of food waste in hospitality. Available at: </w:t>
      </w:r>
      <w:hyperlink r:id="rId29" w:history="1">
        <w:r w:rsidRPr="008A4C01">
          <w:rPr>
            <w:rStyle w:val="Hyperlink"/>
            <w:rFonts w:ascii="Arial" w:hAnsi="Arial" w:cs="Arial"/>
            <w:sz w:val="24"/>
            <w:szCs w:val="24"/>
          </w:rPr>
          <w:t>https://www.hospitalitynet.org/news/4119367.html/</w:t>
        </w:r>
      </w:hyperlink>
      <w:r>
        <w:rPr>
          <w:rFonts w:ascii="Arial" w:hAnsi="Arial" w:cs="Arial"/>
          <w:sz w:val="24"/>
          <w:szCs w:val="24"/>
        </w:rPr>
        <w:t xml:space="preserve"> </w:t>
      </w:r>
      <w:r w:rsidRPr="00642F52">
        <w:rPr>
          <w:rFonts w:ascii="Arial" w:hAnsi="Arial" w:cs="Arial"/>
          <w:sz w:val="24"/>
          <w:szCs w:val="24"/>
        </w:rPr>
        <w:t xml:space="preserve"> (Accessed: 7 October 2025).</w:t>
      </w:r>
    </w:p>
    <w:p w14:paraId="45EF0D0E" w14:textId="77777777" w:rsidR="00143BCC" w:rsidRPr="001551AF" w:rsidRDefault="00143BCC" w:rsidP="001551AF">
      <w:pPr>
        <w:pStyle w:val="ListParagraph"/>
        <w:numPr>
          <w:ilvl w:val="0"/>
          <w:numId w:val="1"/>
        </w:numPr>
        <w:spacing w:line="360" w:lineRule="auto"/>
        <w:jc w:val="both"/>
        <w:rPr>
          <w:rFonts w:ascii="Arial" w:hAnsi="Arial" w:cs="Arial"/>
          <w:sz w:val="24"/>
          <w:szCs w:val="24"/>
        </w:rPr>
      </w:pPr>
      <w:r w:rsidRPr="001551AF">
        <w:rPr>
          <w:rFonts w:ascii="Arial" w:hAnsi="Arial" w:cs="Arial"/>
          <w:sz w:val="24"/>
          <w:szCs w:val="24"/>
        </w:rPr>
        <w:t xml:space="preserve">How to Manage and Minimise Food Waste in the Hotel Industry (2021) Green Hotelier. Available at: </w:t>
      </w:r>
      <w:hyperlink r:id="rId30" w:history="1">
        <w:r w:rsidRPr="008A4C01">
          <w:rPr>
            <w:rStyle w:val="Hyperlink"/>
            <w:rFonts w:ascii="Arial" w:hAnsi="Arial" w:cs="Arial"/>
            <w:sz w:val="24"/>
            <w:szCs w:val="24"/>
          </w:rPr>
          <w:t>https://www.greenhotelier.org/</w:t>
        </w:r>
      </w:hyperlink>
      <w:r>
        <w:rPr>
          <w:rFonts w:ascii="Arial" w:hAnsi="Arial" w:cs="Arial"/>
          <w:sz w:val="24"/>
          <w:szCs w:val="24"/>
        </w:rPr>
        <w:t xml:space="preserve"> </w:t>
      </w:r>
      <w:r w:rsidRPr="001551AF">
        <w:rPr>
          <w:rFonts w:ascii="Arial" w:hAnsi="Arial" w:cs="Arial"/>
          <w:sz w:val="24"/>
          <w:szCs w:val="24"/>
        </w:rPr>
        <w:t>(Accessed: 7 October 2025).</w:t>
      </w:r>
    </w:p>
    <w:p w14:paraId="7ED4A8ED" w14:textId="77777777" w:rsidR="00143BCC" w:rsidRPr="00DC579A" w:rsidRDefault="00143BCC" w:rsidP="00DC579A">
      <w:pPr>
        <w:pStyle w:val="ListParagraph"/>
        <w:numPr>
          <w:ilvl w:val="0"/>
          <w:numId w:val="1"/>
        </w:numPr>
        <w:spacing w:line="360" w:lineRule="auto"/>
        <w:jc w:val="both"/>
        <w:rPr>
          <w:rFonts w:ascii="Arial" w:hAnsi="Arial" w:cs="Arial"/>
          <w:sz w:val="24"/>
          <w:szCs w:val="24"/>
        </w:rPr>
      </w:pPr>
      <w:r w:rsidRPr="00DC579A">
        <w:rPr>
          <w:rFonts w:ascii="Arial" w:hAnsi="Arial" w:cs="Arial"/>
          <w:sz w:val="24"/>
          <w:szCs w:val="24"/>
        </w:rPr>
        <w:t xml:space="preserve">Juvan, E., Grün, B. &amp; Dolnicar, S. (2023) ‘Waste production patterns in hotels and restaurants: An intra-sectoral segmentation approach’, Annals of Tourism Research Empirical Insights, 4(1), 100090. Available at: </w:t>
      </w:r>
      <w:hyperlink r:id="rId31" w:history="1">
        <w:r w:rsidRPr="00822348">
          <w:rPr>
            <w:rStyle w:val="Hyperlink"/>
            <w:rFonts w:ascii="Arial" w:hAnsi="Arial" w:cs="Arial"/>
            <w:sz w:val="24"/>
            <w:szCs w:val="24"/>
          </w:rPr>
          <w:t>https://doi.org/10.1016/j.annale.2023.100090</w:t>
        </w:r>
      </w:hyperlink>
      <w:r>
        <w:rPr>
          <w:rFonts w:ascii="Arial" w:hAnsi="Arial" w:cs="Arial"/>
          <w:sz w:val="24"/>
          <w:szCs w:val="24"/>
        </w:rPr>
        <w:t xml:space="preserve"> </w:t>
      </w:r>
      <w:r w:rsidRPr="00DC579A">
        <w:rPr>
          <w:rFonts w:ascii="Arial" w:hAnsi="Arial" w:cs="Arial"/>
          <w:sz w:val="24"/>
          <w:szCs w:val="24"/>
        </w:rPr>
        <w:t xml:space="preserve"> (Accessed: </w:t>
      </w:r>
      <w:r>
        <w:rPr>
          <w:rFonts w:ascii="Arial" w:hAnsi="Arial" w:cs="Arial"/>
          <w:sz w:val="24"/>
          <w:szCs w:val="24"/>
        </w:rPr>
        <w:t>09</w:t>
      </w:r>
      <w:r w:rsidRPr="00DC579A">
        <w:rPr>
          <w:rFonts w:ascii="Arial" w:hAnsi="Arial" w:cs="Arial"/>
          <w:sz w:val="24"/>
          <w:szCs w:val="24"/>
        </w:rPr>
        <w:t xml:space="preserve"> October 2025).</w:t>
      </w:r>
    </w:p>
    <w:p w14:paraId="3F6179F1" w14:textId="77777777" w:rsidR="00143BCC" w:rsidRPr="00CB093E" w:rsidRDefault="00143BCC" w:rsidP="00313D97">
      <w:pPr>
        <w:pStyle w:val="ListParagraph"/>
        <w:numPr>
          <w:ilvl w:val="0"/>
          <w:numId w:val="1"/>
        </w:numPr>
        <w:spacing w:line="360" w:lineRule="auto"/>
        <w:jc w:val="both"/>
        <w:rPr>
          <w:rFonts w:ascii="Arial" w:hAnsi="Arial" w:cs="Arial"/>
          <w:sz w:val="24"/>
          <w:szCs w:val="24"/>
        </w:rPr>
      </w:pPr>
      <w:r w:rsidRPr="00CB093E">
        <w:rPr>
          <w:rFonts w:ascii="Arial" w:hAnsi="Arial" w:cs="Arial"/>
          <w:sz w:val="24"/>
          <w:szCs w:val="24"/>
        </w:rPr>
        <w:t xml:space="preserve"> Legrand, W., Sloan, P. and Simons, A. (2022) ‘How to manage and minimize food waste in the hotel’, International Journal of Contemporary Hospitality Management, 16(1), pp. 152–168. Available at: </w:t>
      </w:r>
      <w:hyperlink r:id="rId32" w:history="1">
        <w:r w:rsidRPr="00CB093E">
          <w:rPr>
            <w:rStyle w:val="Hyperlink"/>
            <w:rFonts w:ascii="Arial" w:hAnsi="Arial" w:cs="Arial"/>
            <w:sz w:val="24"/>
            <w:szCs w:val="24"/>
          </w:rPr>
          <w:t>https://www.emerald.com/ijcthr/article/16/1/152/137461/How-to-manage-and-minimize-food-waste-in-the-hotel/</w:t>
        </w:r>
      </w:hyperlink>
      <w:r w:rsidRPr="00CB093E">
        <w:rPr>
          <w:rFonts w:ascii="Arial" w:hAnsi="Arial" w:cs="Arial"/>
          <w:sz w:val="24"/>
          <w:szCs w:val="24"/>
        </w:rPr>
        <w:t xml:space="preserve"> (Accessed 09 October 2025).</w:t>
      </w:r>
    </w:p>
    <w:p w14:paraId="198FF77B" w14:textId="77777777" w:rsidR="00143BCC" w:rsidRPr="00034CB5" w:rsidRDefault="00143BCC" w:rsidP="00034CB5">
      <w:pPr>
        <w:pStyle w:val="ListParagraph"/>
        <w:numPr>
          <w:ilvl w:val="0"/>
          <w:numId w:val="1"/>
        </w:numPr>
        <w:spacing w:line="360" w:lineRule="auto"/>
        <w:jc w:val="both"/>
        <w:rPr>
          <w:rFonts w:ascii="Arial" w:hAnsi="Arial" w:cs="Arial"/>
          <w:sz w:val="24"/>
          <w:szCs w:val="24"/>
        </w:rPr>
      </w:pPr>
      <w:r w:rsidRPr="004610CE">
        <w:rPr>
          <w:rFonts w:ascii="Arial" w:hAnsi="Arial" w:cs="Arial"/>
          <w:sz w:val="24"/>
          <w:szCs w:val="24"/>
        </w:rPr>
        <w:t xml:space="preserve"> </w:t>
      </w:r>
      <w:r w:rsidRPr="00034CB5">
        <w:rPr>
          <w:rFonts w:ascii="Arial" w:hAnsi="Arial" w:cs="Arial"/>
          <w:sz w:val="24"/>
          <w:szCs w:val="24"/>
        </w:rPr>
        <w:t xml:space="preserve">Martin-Rios, C. (2023) ‘Food waste management: innovative solutions for Hospitality’, Hospitality Insights. Available at: </w:t>
      </w:r>
      <w:hyperlink r:id="rId33" w:history="1">
        <w:r w:rsidRPr="008A4C01">
          <w:rPr>
            <w:rStyle w:val="Hyperlink"/>
            <w:rFonts w:ascii="Arial" w:hAnsi="Arial" w:cs="Arial"/>
            <w:sz w:val="24"/>
            <w:szCs w:val="24"/>
          </w:rPr>
          <w:t>https://hospitalityinsights.ehl.edu/food-waste-management-innovative-solutions-hospitality/</w:t>
        </w:r>
      </w:hyperlink>
      <w:r>
        <w:rPr>
          <w:rFonts w:ascii="Arial" w:hAnsi="Arial" w:cs="Arial"/>
          <w:sz w:val="24"/>
          <w:szCs w:val="24"/>
        </w:rPr>
        <w:t xml:space="preserve"> (Accessed 07 October 2025).</w:t>
      </w:r>
    </w:p>
    <w:p w14:paraId="4315F6DC" w14:textId="77777777" w:rsidR="00143BCC" w:rsidRPr="001E2B6A" w:rsidRDefault="00143BCC" w:rsidP="001E2B6A">
      <w:pPr>
        <w:pStyle w:val="ListParagraph"/>
        <w:numPr>
          <w:ilvl w:val="0"/>
          <w:numId w:val="1"/>
        </w:numPr>
        <w:spacing w:line="360" w:lineRule="auto"/>
        <w:jc w:val="both"/>
        <w:rPr>
          <w:rFonts w:ascii="Arial" w:hAnsi="Arial" w:cs="Arial"/>
          <w:sz w:val="24"/>
          <w:szCs w:val="24"/>
        </w:rPr>
      </w:pPr>
      <w:r w:rsidRPr="001E2B6A">
        <w:rPr>
          <w:rFonts w:ascii="Arial" w:hAnsi="Arial" w:cs="Arial"/>
          <w:sz w:val="24"/>
          <w:szCs w:val="24"/>
        </w:rPr>
        <w:t>Ndung’u, M.W. and Magaju, P. (2024) ‘The contribution of food waste management to hotel sustainability in Kenya’, African Journal of Hospitality, Tourism and Leisure, 13(2), pp. 256–268.</w:t>
      </w:r>
      <w:r>
        <w:rPr>
          <w:rFonts w:ascii="Arial" w:hAnsi="Arial" w:cs="Arial"/>
          <w:sz w:val="24"/>
          <w:szCs w:val="24"/>
        </w:rPr>
        <w:t xml:space="preserve"> Available at: </w:t>
      </w:r>
      <w:hyperlink r:id="rId34" w:history="1">
        <w:r w:rsidRPr="008A4C01">
          <w:rPr>
            <w:rStyle w:val="Hyperlink"/>
            <w:rFonts w:ascii="Arial" w:hAnsi="Arial" w:cs="Arial"/>
            <w:sz w:val="24"/>
            <w:szCs w:val="24"/>
          </w:rPr>
          <w:t>https://www.researchgate.net/publication/378675225_The_Contribution_of_Food_Waste_Management_on_Hotel_Sustainability_in_Kenya</w:t>
        </w:r>
      </w:hyperlink>
      <w:r>
        <w:rPr>
          <w:rFonts w:ascii="Arial" w:hAnsi="Arial" w:cs="Arial"/>
          <w:sz w:val="24"/>
          <w:szCs w:val="24"/>
        </w:rPr>
        <w:t xml:space="preserve"> (Accessed 07 October 2025).</w:t>
      </w:r>
    </w:p>
    <w:p w14:paraId="3CAC3335" w14:textId="77777777" w:rsidR="00143BCC" w:rsidRPr="00C9719F" w:rsidRDefault="00143BCC" w:rsidP="00C9719F">
      <w:pPr>
        <w:pStyle w:val="ListParagraph"/>
        <w:numPr>
          <w:ilvl w:val="0"/>
          <w:numId w:val="1"/>
        </w:numPr>
        <w:spacing w:line="360" w:lineRule="auto"/>
        <w:jc w:val="both"/>
        <w:rPr>
          <w:rFonts w:ascii="Arial" w:hAnsi="Arial" w:cs="Arial"/>
          <w:sz w:val="24"/>
          <w:szCs w:val="24"/>
        </w:rPr>
      </w:pPr>
      <w:r w:rsidRPr="00C9719F">
        <w:rPr>
          <w:rFonts w:ascii="Arial" w:hAnsi="Arial" w:cs="Arial"/>
          <w:sz w:val="24"/>
          <w:szCs w:val="24"/>
        </w:rPr>
        <w:t xml:space="preserve">OECD. (2001) OECD Environmental Indicators: Development, Measurement and Use. Available at: </w:t>
      </w:r>
      <w:hyperlink r:id="rId35" w:history="1">
        <w:r w:rsidRPr="00DC31A8">
          <w:rPr>
            <w:rStyle w:val="Hyperlink"/>
            <w:rFonts w:ascii="Arial" w:hAnsi="Arial" w:cs="Arial"/>
            <w:sz w:val="24"/>
            <w:szCs w:val="24"/>
          </w:rPr>
          <w:t>https://www.oecd.org/content/dam/oecd/en/publications/reports/2001/08/oecd-environmental-indicators_g1gh2882/9789264193499-en.pdf</w:t>
        </w:r>
      </w:hyperlink>
      <w:r>
        <w:rPr>
          <w:rFonts w:ascii="Arial" w:hAnsi="Arial" w:cs="Arial"/>
          <w:sz w:val="24"/>
          <w:szCs w:val="24"/>
        </w:rPr>
        <w:t xml:space="preserve"> </w:t>
      </w:r>
      <w:r w:rsidRPr="00C9719F">
        <w:rPr>
          <w:rFonts w:ascii="Arial" w:hAnsi="Arial" w:cs="Arial"/>
          <w:sz w:val="24"/>
          <w:szCs w:val="24"/>
        </w:rPr>
        <w:t xml:space="preserve"> (Accessed: 29 October 2025). </w:t>
      </w:r>
    </w:p>
    <w:p w14:paraId="35355790" w14:textId="77777777" w:rsidR="00143BCC" w:rsidRPr="00DC579A" w:rsidRDefault="00143BCC" w:rsidP="00DC579A">
      <w:pPr>
        <w:pStyle w:val="ListParagraph"/>
        <w:numPr>
          <w:ilvl w:val="0"/>
          <w:numId w:val="1"/>
        </w:numPr>
        <w:spacing w:line="360" w:lineRule="auto"/>
        <w:jc w:val="both"/>
        <w:rPr>
          <w:rFonts w:ascii="Arial" w:hAnsi="Arial" w:cs="Arial"/>
          <w:sz w:val="24"/>
          <w:szCs w:val="24"/>
        </w:rPr>
      </w:pPr>
      <w:r w:rsidRPr="00DC579A">
        <w:rPr>
          <w:rFonts w:ascii="Arial" w:hAnsi="Arial" w:cs="Arial"/>
          <w:sz w:val="24"/>
          <w:szCs w:val="24"/>
        </w:rPr>
        <w:lastRenderedPageBreak/>
        <w:t>Okumus, B., Taheri, B., Giritlioglu, I. &amp; Gannon, M.J. (2020) ‘Tackling food waste in all-inclusive resort hotels’,</w:t>
      </w:r>
      <w:r>
        <w:rPr>
          <w:rFonts w:ascii="Arial" w:hAnsi="Arial" w:cs="Arial"/>
          <w:sz w:val="24"/>
          <w:szCs w:val="24"/>
        </w:rPr>
        <w:t xml:space="preserve"> </w:t>
      </w:r>
      <w:r w:rsidRPr="00DC579A">
        <w:rPr>
          <w:rFonts w:ascii="Arial" w:hAnsi="Arial" w:cs="Arial"/>
          <w:sz w:val="24"/>
          <w:szCs w:val="24"/>
        </w:rPr>
        <w:t>International Journal of Hospitality Management, 88, 102543.</w:t>
      </w:r>
      <w:r>
        <w:rPr>
          <w:rFonts w:ascii="Arial" w:hAnsi="Arial" w:cs="Arial"/>
          <w:sz w:val="24"/>
          <w:szCs w:val="24"/>
        </w:rPr>
        <w:t xml:space="preserve"> </w:t>
      </w:r>
      <w:r w:rsidRPr="00DC579A">
        <w:rPr>
          <w:rFonts w:ascii="Arial" w:hAnsi="Arial" w:cs="Arial"/>
          <w:sz w:val="24"/>
          <w:szCs w:val="24"/>
        </w:rPr>
        <w:t xml:space="preserve">Available at: </w:t>
      </w:r>
      <w:hyperlink r:id="rId36" w:history="1">
        <w:r w:rsidRPr="00822348">
          <w:rPr>
            <w:rStyle w:val="Hyperlink"/>
            <w:rFonts w:ascii="Arial" w:hAnsi="Arial" w:cs="Arial"/>
            <w:sz w:val="24"/>
            <w:szCs w:val="24"/>
          </w:rPr>
          <w:t>https://doi.org/10.1016/j.ijhm.2020.102543</w:t>
        </w:r>
      </w:hyperlink>
      <w:r>
        <w:rPr>
          <w:rFonts w:ascii="Arial" w:hAnsi="Arial" w:cs="Arial"/>
          <w:sz w:val="24"/>
          <w:szCs w:val="24"/>
        </w:rPr>
        <w:t xml:space="preserve"> </w:t>
      </w:r>
      <w:r w:rsidRPr="00DC579A">
        <w:rPr>
          <w:rFonts w:ascii="Arial" w:hAnsi="Arial" w:cs="Arial"/>
          <w:sz w:val="24"/>
          <w:szCs w:val="24"/>
        </w:rPr>
        <w:t xml:space="preserve"> (Accessed: 20 October 2025).</w:t>
      </w:r>
    </w:p>
    <w:p w14:paraId="5A6D0AF3" w14:textId="77777777" w:rsidR="00143BCC" w:rsidRPr="00811875" w:rsidRDefault="00143BCC" w:rsidP="00B4769C">
      <w:pPr>
        <w:pStyle w:val="ListParagraph"/>
        <w:numPr>
          <w:ilvl w:val="0"/>
          <w:numId w:val="1"/>
        </w:numPr>
        <w:spacing w:line="360" w:lineRule="auto"/>
        <w:jc w:val="both"/>
        <w:rPr>
          <w:rFonts w:ascii="Arial" w:hAnsi="Arial" w:cs="Arial"/>
          <w:sz w:val="24"/>
          <w:szCs w:val="24"/>
        </w:rPr>
      </w:pPr>
      <w:r w:rsidRPr="00811875">
        <w:rPr>
          <w:rFonts w:ascii="Arial" w:hAnsi="Arial" w:cs="Arial"/>
          <w:sz w:val="24"/>
          <w:szCs w:val="24"/>
        </w:rPr>
        <w:t xml:space="preserve"> Öztürk, D., Seçim, Y., &amp; Seçuk, B. (2023). Food waste management in hospitality operations: A study of 4- and 5-Star hotels in Konya Province. Journal of Tourismology. Available at: </w:t>
      </w:r>
      <w:hyperlink r:id="rId37" w:history="1">
        <w:r w:rsidRPr="00811875">
          <w:rPr>
            <w:rStyle w:val="Hyperlink"/>
            <w:rFonts w:ascii="Arial" w:hAnsi="Arial" w:cs="Arial"/>
            <w:sz w:val="24"/>
            <w:szCs w:val="24"/>
          </w:rPr>
          <w:t>https://dergipark.org.tr/en/pub/iuturizmoloji/issue/80974/1254147</w:t>
        </w:r>
      </w:hyperlink>
      <w:r w:rsidRPr="00811875">
        <w:rPr>
          <w:rFonts w:ascii="Arial" w:hAnsi="Arial" w:cs="Arial"/>
          <w:sz w:val="24"/>
          <w:szCs w:val="24"/>
        </w:rPr>
        <w:t xml:space="preserve"> (Accessed 09 October 2025).</w:t>
      </w:r>
    </w:p>
    <w:p w14:paraId="2449EBBD" w14:textId="77777777" w:rsidR="00143BCC" w:rsidRPr="00DC579A" w:rsidRDefault="00143BCC" w:rsidP="00DC579A">
      <w:pPr>
        <w:pStyle w:val="ListParagraph"/>
        <w:numPr>
          <w:ilvl w:val="0"/>
          <w:numId w:val="1"/>
        </w:numPr>
        <w:spacing w:line="360" w:lineRule="auto"/>
        <w:jc w:val="both"/>
        <w:rPr>
          <w:rFonts w:ascii="Arial" w:hAnsi="Arial" w:cs="Arial"/>
          <w:sz w:val="24"/>
          <w:szCs w:val="24"/>
        </w:rPr>
      </w:pPr>
      <w:r w:rsidRPr="00DC579A">
        <w:rPr>
          <w:rFonts w:ascii="Arial" w:hAnsi="Arial" w:cs="Arial"/>
          <w:sz w:val="24"/>
          <w:szCs w:val="24"/>
        </w:rPr>
        <w:t xml:space="preserve">Papargyropoulou, E., Lozano, R., Steinberger, J.K., Wright, N. &amp; Ujang, Z. (2014) ‘The food waste hierarchy as a framework for the management of food surplus and food waste’, Journal of Cleaner Production, 76, pp. 106–115. Available at: </w:t>
      </w:r>
      <w:hyperlink r:id="rId38" w:history="1">
        <w:r w:rsidRPr="00822348">
          <w:rPr>
            <w:rStyle w:val="Hyperlink"/>
            <w:rFonts w:ascii="Arial" w:hAnsi="Arial" w:cs="Arial"/>
            <w:sz w:val="24"/>
            <w:szCs w:val="24"/>
          </w:rPr>
          <w:t>https://doi.org/10.1016/j.jclepro.2014.04.020</w:t>
        </w:r>
      </w:hyperlink>
      <w:r>
        <w:rPr>
          <w:rFonts w:ascii="Arial" w:hAnsi="Arial" w:cs="Arial"/>
          <w:sz w:val="24"/>
          <w:szCs w:val="24"/>
        </w:rPr>
        <w:t xml:space="preserve"> </w:t>
      </w:r>
      <w:r w:rsidRPr="00DC579A">
        <w:rPr>
          <w:rFonts w:ascii="Arial" w:hAnsi="Arial" w:cs="Arial"/>
          <w:sz w:val="24"/>
          <w:szCs w:val="24"/>
        </w:rPr>
        <w:t xml:space="preserve"> (Accessed: 20 October 2025).</w:t>
      </w:r>
    </w:p>
    <w:p w14:paraId="42E574DF" w14:textId="77777777" w:rsidR="00143BCC" w:rsidRPr="002170A0" w:rsidRDefault="00143BCC" w:rsidP="002170A0">
      <w:pPr>
        <w:pStyle w:val="ListParagraph"/>
        <w:numPr>
          <w:ilvl w:val="0"/>
          <w:numId w:val="1"/>
        </w:numPr>
        <w:spacing w:line="360" w:lineRule="auto"/>
        <w:jc w:val="both"/>
        <w:rPr>
          <w:rFonts w:ascii="Arial" w:hAnsi="Arial" w:cs="Arial"/>
          <w:sz w:val="24"/>
          <w:szCs w:val="24"/>
        </w:rPr>
      </w:pPr>
      <w:r w:rsidRPr="002170A0">
        <w:rPr>
          <w:rFonts w:ascii="Arial" w:hAnsi="Arial" w:cs="Arial"/>
          <w:sz w:val="24"/>
          <w:szCs w:val="24"/>
        </w:rPr>
        <w:t xml:space="preserve">Papargyropoulou, E., Steinberger, J.K., Wright, N., Lozano, R., Padfield, R. &amp; Ujang, Z. (2019) ‘Patterns and causes of food waste in the hospitality and food service sector: Food waste prevention insights from Malaysia’, Sustainability, 11(21), 6016. Available at: </w:t>
      </w:r>
      <w:hyperlink r:id="rId39" w:history="1">
        <w:r w:rsidRPr="00822348">
          <w:rPr>
            <w:rStyle w:val="Hyperlink"/>
            <w:rFonts w:ascii="Arial" w:hAnsi="Arial" w:cs="Arial"/>
            <w:sz w:val="24"/>
            <w:szCs w:val="24"/>
          </w:rPr>
          <w:t>https://doi.org/10.3390/su11216016</w:t>
        </w:r>
      </w:hyperlink>
      <w:r>
        <w:rPr>
          <w:rFonts w:ascii="Arial" w:hAnsi="Arial" w:cs="Arial"/>
          <w:sz w:val="24"/>
          <w:szCs w:val="24"/>
        </w:rPr>
        <w:t xml:space="preserve"> </w:t>
      </w:r>
      <w:r w:rsidRPr="002170A0">
        <w:rPr>
          <w:rFonts w:ascii="Arial" w:hAnsi="Arial" w:cs="Arial"/>
          <w:sz w:val="24"/>
          <w:szCs w:val="24"/>
        </w:rPr>
        <w:t xml:space="preserve">(Accessed: </w:t>
      </w:r>
      <w:r>
        <w:rPr>
          <w:rFonts w:ascii="Arial" w:hAnsi="Arial" w:cs="Arial"/>
          <w:sz w:val="24"/>
          <w:szCs w:val="24"/>
        </w:rPr>
        <w:t>09</w:t>
      </w:r>
      <w:r w:rsidRPr="002170A0">
        <w:rPr>
          <w:rFonts w:ascii="Arial" w:hAnsi="Arial" w:cs="Arial"/>
          <w:sz w:val="24"/>
          <w:szCs w:val="24"/>
        </w:rPr>
        <w:t xml:space="preserve"> October 2025).</w:t>
      </w:r>
    </w:p>
    <w:p w14:paraId="77C1663A" w14:textId="77777777" w:rsidR="00143BCC" w:rsidRPr="00DC579A" w:rsidRDefault="00143BCC" w:rsidP="00DC579A">
      <w:pPr>
        <w:pStyle w:val="ListParagraph"/>
        <w:numPr>
          <w:ilvl w:val="0"/>
          <w:numId w:val="1"/>
        </w:numPr>
        <w:spacing w:line="360" w:lineRule="auto"/>
        <w:jc w:val="both"/>
        <w:rPr>
          <w:rFonts w:ascii="Arial" w:hAnsi="Arial" w:cs="Arial"/>
          <w:sz w:val="24"/>
          <w:szCs w:val="24"/>
        </w:rPr>
      </w:pPr>
      <w:r w:rsidRPr="00DC579A">
        <w:rPr>
          <w:rFonts w:ascii="Arial" w:hAnsi="Arial" w:cs="Arial"/>
          <w:sz w:val="24"/>
          <w:szCs w:val="24"/>
        </w:rPr>
        <w:t>Pirani, S.I. &amp; Arafat, H.A. (2016) ‘Reduction of food waste generation in the hospitality industry’, Journal of Cleaner Production, 132, pp. 129–145.</w:t>
      </w:r>
      <w:r>
        <w:rPr>
          <w:rFonts w:ascii="Arial" w:hAnsi="Arial" w:cs="Arial"/>
          <w:sz w:val="24"/>
          <w:szCs w:val="24"/>
        </w:rPr>
        <w:t xml:space="preserve"> </w:t>
      </w:r>
      <w:r w:rsidRPr="00DC579A">
        <w:rPr>
          <w:rFonts w:ascii="Arial" w:hAnsi="Arial" w:cs="Arial"/>
          <w:sz w:val="24"/>
          <w:szCs w:val="24"/>
        </w:rPr>
        <w:t>Available at: https://doi.org/10.1016/j.jclepro.2015.07.146 (Accessed: 20 October 2025).</w:t>
      </w:r>
    </w:p>
    <w:p w14:paraId="517BA965" w14:textId="77777777" w:rsidR="00143BCC" w:rsidRDefault="00143BCC" w:rsidP="00B4769C">
      <w:pPr>
        <w:pStyle w:val="ListParagraph"/>
        <w:numPr>
          <w:ilvl w:val="0"/>
          <w:numId w:val="1"/>
        </w:numPr>
        <w:spacing w:line="360" w:lineRule="auto"/>
        <w:jc w:val="both"/>
        <w:rPr>
          <w:rFonts w:ascii="Arial" w:hAnsi="Arial" w:cs="Arial"/>
          <w:sz w:val="24"/>
          <w:szCs w:val="24"/>
        </w:rPr>
      </w:pPr>
      <w:r w:rsidRPr="009E5B8D">
        <w:rPr>
          <w:rFonts w:ascii="Arial" w:hAnsi="Arial" w:cs="Arial"/>
          <w:sz w:val="24"/>
          <w:szCs w:val="24"/>
        </w:rPr>
        <w:t xml:space="preserve">Rady, A., Dawood, A. E., Taleb, M. A., &amp; Adel, M. (2021). Food waste in hotel restaurants: Causes, reducing practices and barriers. Minia Journal of Tourism and Hospitality Research, 12(1), 135–155. </w:t>
      </w:r>
      <w:r>
        <w:rPr>
          <w:rFonts w:ascii="Arial" w:hAnsi="Arial" w:cs="Arial"/>
          <w:sz w:val="24"/>
          <w:szCs w:val="24"/>
        </w:rPr>
        <w:t xml:space="preserve">Available at: </w:t>
      </w:r>
      <w:hyperlink r:id="rId40" w:history="1">
        <w:r w:rsidRPr="008A4C01">
          <w:rPr>
            <w:rStyle w:val="Hyperlink"/>
            <w:rFonts w:ascii="Arial" w:hAnsi="Arial" w:cs="Arial"/>
            <w:sz w:val="24"/>
            <w:szCs w:val="24"/>
          </w:rPr>
          <w:t>https://mjthr.journals.ekb.eg/article_208377.html/</w:t>
        </w:r>
      </w:hyperlink>
      <w:r>
        <w:rPr>
          <w:rFonts w:ascii="Arial" w:hAnsi="Arial" w:cs="Arial"/>
          <w:sz w:val="24"/>
          <w:szCs w:val="24"/>
        </w:rPr>
        <w:t xml:space="preserve"> (Accessed 09 October 2025).</w:t>
      </w:r>
    </w:p>
    <w:p w14:paraId="101E57F1" w14:textId="77777777" w:rsidR="00143BCC" w:rsidRPr="002170A0" w:rsidRDefault="00143BCC" w:rsidP="002170A0">
      <w:pPr>
        <w:pStyle w:val="ListParagraph"/>
        <w:numPr>
          <w:ilvl w:val="0"/>
          <w:numId w:val="1"/>
        </w:numPr>
        <w:spacing w:line="360" w:lineRule="auto"/>
        <w:jc w:val="both"/>
        <w:rPr>
          <w:rFonts w:ascii="Arial" w:hAnsi="Arial" w:cs="Arial"/>
          <w:sz w:val="24"/>
          <w:szCs w:val="24"/>
        </w:rPr>
      </w:pPr>
      <w:r w:rsidRPr="002170A0">
        <w:rPr>
          <w:rFonts w:ascii="Arial" w:hAnsi="Arial" w:cs="Arial"/>
          <w:sz w:val="24"/>
          <w:szCs w:val="24"/>
        </w:rPr>
        <w:t xml:space="preserve">Sakaguchi, L., Pak, N. &amp; Potts, M.D. (2018) ‘Tackling the issue of food waste in restaurants: Options for measurement method, reduction and behavioural change’, Journal of Cleaner Production, 180, 430–436. Available at: </w:t>
      </w:r>
      <w:hyperlink r:id="rId41" w:history="1">
        <w:r w:rsidRPr="00822348">
          <w:rPr>
            <w:rStyle w:val="Hyperlink"/>
            <w:rFonts w:ascii="Arial" w:hAnsi="Arial" w:cs="Arial"/>
            <w:sz w:val="24"/>
            <w:szCs w:val="24"/>
          </w:rPr>
          <w:t>https://doi.org/10.1016/j.jclepro.2017.12.136</w:t>
        </w:r>
      </w:hyperlink>
      <w:r>
        <w:rPr>
          <w:rFonts w:ascii="Arial" w:hAnsi="Arial" w:cs="Arial"/>
          <w:sz w:val="24"/>
          <w:szCs w:val="24"/>
        </w:rPr>
        <w:t xml:space="preserve"> </w:t>
      </w:r>
      <w:r w:rsidRPr="002170A0">
        <w:rPr>
          <w:rFonts w:ascii="Arial" w:hAnsi="Arial" w:cs="Arial"/>
          <w:sz w:val="24"/>
          <w:szCs w:val="24"/>
        </w:rPr>
        <w:t>(Accessed: 20 October 2025).</w:t>
      </w:r>
    </w:p>
    <w:p w14:paraId="772080A1" w14:textId="77777777" w:rsidR="00143BCC" w:rsidRPr="00165045" w:rsidRDefault="00143BCC" w:rsidP="00165045">
      <w:pPr>
        <w:pStyle w:val="ListParagraph"/>
        <w:numPr>
          <w:ilvl w:val="0"/>
          <w:numId w:val="1"/>
        </w:numPr>
        <w:spacing w:line="360" w:lineRule="auto"/>
        <w:jc w:val="both"/>
        <w:rPr>
          <w:rFonts w:ascii="Arial" w:hAnsi="Arial" w:cs="Arial"/>
          <w:sz w:val="24"/>
          <w:szCs w:val="24"/>
        </w:rPr>
      </w:pPr>
      <w:r w:rsidRPr="00165045">
        <w:rPr>
          <w:rFonts w:ascii="Arial" w:hAnsi="Arial" w:cs="Arial"/>
          <w:sz w:val="24"/>
          <w:szCs w:val="24"/>
        </w:rPr>
        <w:t xml:space="preserve">Samsuddin, Z., Zainal, N. A. M., Sulong, S. N., &amp; Bakar, A. M. F. A. (2022). Handling food waste in the hotel industry. Malaysian Journal of Social Sciences and Humanities (MJSSH), 7(11), e001926-e001926. Available at: </w:t>
      </w:r>
      <w:hyperlink r:id="rId42" w:history="1">
        <w:r w:rsidRPr="00165045">
          <w:rPr>
            <w:rStyle w:val="Hyperlink"/>
            <w:rFonts w:ascii="Arial" w:hAnsi="Arial" w:cs="Arial"/>
            <w:sz w:val="24"/>
            <w:szCs w:val="24"/>
          </w:rPr>
          <w:t>https://consensus.app/sign-in/?redirect_url=%2Fpapers%2Fhandling-food-waste-in-the-hotel-industry-zainal-</w:t>
        </w:r>
        <w:r w:rsidRPr="00165045">
          <w:rPr>
            <w:rStyle w:val="Hyperlink"/>
            <w:rFonts w:ascii="Arial" w:hAnsi="Arial" w:cs="Arial"/>
            <w:sz w:val="24"/>
            <w:szCs w:val="24"/>
          </w:rPr>
          <w:lastRenderedPageBreak/>
          <w:t>sulong%2F827c271f70d952f39fe608f3d8eab8ec%2F/</w:t>
        </w:r>
      </w:hyperlink>
      <w:r w:rsidRPr="00165045">
        <w:rPr>
          <w:rFonts w:ascii="Arial" w:hAnsi="Arial" w:cs="Arial"/>
          <w:sz w:val="24"/>
          <w:szCs w:val="24"/>
        </w:rPr>
        <w:t xml:space="preserve"> (Accessed 07 October 2025).</w:t>
      </w:r>
    </w:p>
    <w:p w14:paraId="34F396A7" w14:textId="77777777" w:rsidR="00143BCC" w:rsidRPr="002170A0" w:rsidRDefault="00143BCC" w:rsidP="002170A0">
      <w:pPr>
        <w:pStyle w:val="ListParagraph"/>
        <w:numPr>
          <w:ilvl w:val="0"/>
          <w:numId w:val="1"/>
        </w:numPr>
        <w:spacing w:line="360" w:lineRule="auto"/>
        <w:jc w:val="both"/>
        <w:rPr>
          <w:rFonts w:ascii="Arial" w:hAnsi="Arial" w:cs="Arial"/>
          <w:sz w:val="24"/>
          <w:szCs w:val="24"/>
        </w:rPr>
      </w:pPr>
      <w:r w:rsidRPr="002170A0">
        <w:rPr>
          <w:rFonts w:ascii="Arial" w:hAnsi="Arial" w:cs="Arial"/>
          <w:sz w:val="24"/>
          <w:szCs w:val="24"/>
        </w:rPr>
        <w:t xml:space="preserve">Sigala, E.G. (2025) ‘Reducing food waste in the HORECA sector using AI-enabled monitoring and analytics’, Waste Management, in press. Available at: </w:t>
      </w:r>
      <w:hyperlink r:id="rId43" w:history="1">
        <w:r w:rsidRPr="00822348">
          <w:rPr>
            <w:rStyle w:val="Hyperlink"/>
            <w:rFonts w:ascii="Arial" w:hAnsi="Arial" w:cs="Arial"/>
            <w:sz w:val="24"/>
            <w:szCs w:val="24"/>
          </w:rPr>
          <w:t>https://www.sciencedirect.com/science/article/pii/S0956053X25001072</w:t>
        </w:r>
      </w:hyperlink>
      <w:r>
        <w:rPr>
          <w:rFonts w:ascii="Arial" w:hAnsi="Arial" w:cs="Arial"/>
          <w:sz w:val="24"/>
          <w:szCs w:val="24"/>
        </w:rPr>
        <w:t xml:space="preserve"> </w:t>
      </w:r>
      <w:r w:rsidRPr="002170A0">
        <w:rPr>
          <w:rFonts w:ascii="Arial" w:hAnsi="Arial" w:cs="Arial"/>
          <w:sz w:val="24"/>
          <w:szCs w:val="24"/>
        </w:rPr>
        <w:t xml:space="preserve"> (Accessed: </w:t>
      </w:r>
      <w:r>
        <w:rPr>
          <w:rFonts w:ascii="Arial" w:hAnsi="Arial" w:cs="Arial"/>
          <w:sz w:val="24"/>
          <w:szCs w:val="24"/>
        </w:rPr>
        <w:t>09</w:t>
      </w:r>
      <w:r w:rsidRPr="002170A0">
        <w:rPr>
          <w:rFonts w:ascii="Arial" w:hAnsi="Arial" w:cs="Arial"/>
          <w:sz w:val="24"/>
          <w:szCs w:val="24"/>
        </w:rPr>
        <w:t xml:space="preserve"> October 2025).</w:t>
      </w:r>
    </w:p>
    <w:p w14:paraId="7FE74960" w14:textId="77777777" w:rsidR="00143BCC" w:rsidRPr="002170A0" w:rsidRDefault="00143BCC" w:rsidP="002170A0">
      <w:pPr>
        <w:pStyle w:val="ListParagraph"/>
        <w:numPr>
          <w:ilvl w:val="0"/>
          <w:numId w:val="1"/>
        </w:numPr>
        <w:spacing w:line="360" w:lineRule="auto"/>
        <w:jc w:val="both"/>
        <w:rPr>
          <w:rFonts w:ascii="Arial" w:hAnsi="Arial" w:cs="Arial"/>
          <w:sz w:val="24"/>
          <w:szCs w:val="24"/>
        </w:rPr>
      </w:pPr>
      <w:r w:rsidRPr="002170A0">
        <w:rPr>
          <w:rFonts w:ascii="Arial" w:hAnsi="Arial" w:cs="Arial"/>
          <w:sz w:val="24"/>
          <w:szCs w:val="24"/>
        </w:rPr>
        <w:t xml:space="preserve">Silvennoinen, K., Heikkilä, L., Katajajuuri, J.-M. &amp; Reinikainen, A. (2015) ‘Food waste volume and origin: Case studies in the Finnish food service sector’, Waste Management, 46, 140–145. Available at: </w:t>
      </w:r>
      <w:hyperlink r:id="rId44" w:history="1">
        <w:r w:rsidRPr="00822348">
          <w:rPr>
            <w:rStyle w:val="Hyperlink"/>
            <w:rFonts w:ascii="Arial" w:hAnsi="Arial" w:cs="Arial"/>
            <w:sz w:val="24"/>
            <w:szCs w:val="24"/>
          </w:rPr>
          <w:t>https://doi.org/10.1016/j.wasman.2015.09.010</w:t>
        </w:r>
      </w:hyperlink>
      <w:r>
        <w:rPr>
          <w:rFonts w:ascii="Arial" w:hAnsi="Arial" w:cs="Arial"/>
          <w:sz w:val="24"/>
          <w:szCs w:val="24"/>
        </w:rPr>
        <w:t xml:space="preserve"> </w:t>
      </w:r>
      <w:r w:rsidRPr="002170A0">
        <w:rPr>
          <w:rFonts w:ascii="Arial" w:hAnsi="Arial" w:cs="Arial"/>
          <w:sz w:val="24"/>
          <w:szCs w:val="24"/>
        </w:rPr>
        <w:t>(Accessed: 20 October 2025).</w:t>
      </w:r>
    </w:p>
    <w:p w14:paraId="66F6D75E" w14:textId="77777777" w:rsidR="00143BCC" w:rsidRPr="004610CE" w:rsidRDefault="00143BCC" w:rsidP="004610CE">
      <w:pPr>
        <w:pStyle w:val="ListParagraph"/>
        <w:numPr>
          <w:ilvl w:val="0"/>
          <w:numId w:val="1"/>
        </w:numPr>
        <w:spacing w:line="360" w:lineRule="auto"/>
        <w:jc w:val="both"/>
        <w:rPr>
          <w:rFonts w:ascii="Arial" w:hAnsi="Arial" w:cs="Arial"/>
          <w:sz w:val="24"/>
          <w:szCs w:val="24"/>
        </w:rPr>
      </w:pPr>
      <w:r w:rsidRPr="004610CE">
        <w:rPr>
          <w:rFonts w:ascii="Arial" w:hAnsi="Arial" w:cs="Arial"/>
          <w:sz w:val="24"/>
          <w:szCs w:val="24"/>
        </w:rPr>
        <w:t xml:space="preserve">Sustainable Hospitality Alliance (2024) Decarbonising Hotel Food Systems. Available at: </w:t>
      </w:r>
      <w:hyperlink r:id="rId45" w:history="1">
        <w:r w:rsidRPr="008A4C01">
          <w:rPr>
            <w:rStyle w:val="Hyperlink"/>
            <w:rFonts w:ascii="Arial" w:hAnsi="Arial" w:cs="Arial"/>
            <w:sz w:val="24"/>
            <w:szCs w:val="24"/>
          </w:rPr>
          <w:t>https://sustainablehospitalityalliance.org/wp-content/uploads/2024/12/Iberostar_WSHA_DecarbonizingHotelFoodSystems_vfinal.pdf/</w:t>
        </w:r>
      </w:hyperlink>
      <w:r>
        <w:rPr>
          <w:rFonts w:ascii="Arial" w:hAnsi="Arial" w:cs="Arial"/>
          <w:sz w:val="24"/>
          <w:szCs w:val="24"/>
        </w:rPr>
        <w:t xml:space="preserve"> (Accessed 07 October 2025).</w:t>
      </w:r>
    </w:p>
    <w:p w14:paraId="26B115C7" w14:textId="77777777" w:rsidR="00143BCC" w:rsidRPr="00AC7B89" w:rsidRDefault="00143BCC" w:rsidP="00AC7B89">
      <w:pPr>
        <w:pStyle w:val="ListParagraph"/>
        <w:numPr>
          <w:ilvl w:val="0"/>
          <w:numId w:val="1"/>
        </w:numPr>
        <w:spacing w:line="360" w:lineRule="auto"/>
        <w:jc w:val="both"/>
        <w:rPr>
          <w:rFonts w:ascii="Arial" w:hAnsi="Arial" w:cs="Arial"/>
          <w:sz w:val="24"/>
          <w:szCs w:val="24"/>
        </w:rPr>
      </w:pPr>
      <w:r w:rsidRPr="00AC7B89">
        <w:rPr>
          <w:rFonts w:ascii="Arial" w:hAnsi="Arial" w:cs="Arial"/>
          <w:sz w:val="24"/>
          <w:szCs w:val="24"/>
        </w:rPr>
        <w:t xml:space="preserve">Sustainable Hospitality Alliance (2024) Reduce food waste: Tips for hotels. Available at: </w:t>
      </w:r>
      <w:hyperlink r:id="rId46" w:history="1">
        <w:r w:rsidRPr="008A4C01">
          <w:rPr>
            <w:rStyle w:val="Hyperlink"/>
            <w:rFonts w:ascii="Arial" w:hAnsi="Arial" w:cs="Arial"/>
            <w:sz w:val="24"/>
            <w:szCs w:val="24"/>
          </w:rPr>
          <w:t>https://sustainablehospitalityalliance.org/resource/reduce-food-waste-tips-for-hotels/</w:t>
        </w:r>
      </w:hyperlink>
      <w:r>
        <w:rPr>
          <w:rFonts w:ascii="Arial" w:hAnsi="Arial" w:cs="Arial"/>
          <w:sz w:val="24"/>
          <w:szCs w:val="24"/>
        </w:rPr>
        <w:t xml:space="preserve"> </w:t>
      </w:r>
      <w:r w:rsidRPr="00AC7B89">
        <w:rPr>
          <w:rFonts w:ascii="Arial" w:hAnsi="Arial" w:cs="Arial"/>
          <w:sz w:val="24"/>
          <w:szCs w:val="24"/>
        </w:rPr>
        <w:t>(Accessed: 7 October 2025).</w:t>
      </w:r>
    </w:p>
    <w:p w14:paraId="729D4AF5" w14:textId="77777777" w:rsidR="00143BCC" w:rsidRDefault="00143BCC" w:rsidP="00B4769C">
      <w:pPr>
        <w:pStyle w:val="ListParagraph"/>
        <w:numPr>
          <w:ilvl w:val="0"/>
          <w:numId w:val="1"/>
        </w:numPr>
        <w:spacing w:line="360" w:lineRule="auto"/>
        <w:jc w:val="both"/>
        <w:rPr>
          <w:rFonts w:ascii="Arial" w:hAnsi="Arial" w:cs="Arial"/>
          <w:sz w:val="24"/>
          <w:szCs w:val="24"/>
        </w:rPr>
      </w:pPr>
      <w:r w:rsidRPr="00A82725">
        <w:rPr>
          <w:rFonts w:ascii="Arial" w:hAnsi="Arial" w:cs="Arial"/>
          <w:sz w:val="24"/>
          <w:szCs w:val="24"/>
        </w:rPr>
        <w:t>Troitino, C. (2017) ‘The Tragedy of the Buffet Commons: Reducing food waste at hotels’, Forbes.</w:t>
      </w:r>
      <w:r>
        <w:rPr>
          <w:rFonts w:ascii="Arial" w:hAnsi="Arial" w:cs="Arial"/>
          <w:sz w:val="24"/>
          <w:szCs w:val="24"/>
        </w:rPr>
        <w:t xml:space="preserve"> Available at: </w:t>
      </w:r>
      <w:hyperlink r:id="rId47" w:history="1">
        <w:r w:rsidRPr="008A4C01">
          <w:rPr>
            <w:rStyle w:val="Hyperlink"/>
            <w:rFonts w:ascii="Arial" w:hAnsi="Arial" w:cs="Arial"/>
            <w:sz w:val="24"/>
            <w:szCs w:val="24"/>
          </w:rPr>
          <w:t>https://www.forbes.com/sites/christinatroitino/2017/09/14/the-tragedy-of-the-buffet-commons-reducing-food-waste-at-hotels/</w:t>
        </w:r>
      </w:hyperlink>
      <w:r>
        <w:rPr>
          <w:rFonts w:ascii="Arial" w:hAnsi="Arial" w:cs="Arial"/>
          <w:sz w:val="24"/>
          <w:szCs w:val="24"/>
        </w:rPr>
        <w:t xml:space="preserve"> (Accessed 09 October 2025).</w:t>
      </w:r>
    </w:p>
    <w:p w14:paraId="175186C7" w14:textId="77777777" w:rsidR="00143BCC" w:rsidRDefault="00143BCC" w:rsidP="00E83AE4">
      <w:pPr>
        <w:pStyle w:val="ListParagraph"/>
        <w:numPr>
          <w:ilvl w:val="0"/>
          <w:numId w:val="1"/>
        </w:numPr>
        <w:spacing w:line="360" w:lineRule="auto"/>
        <w:jc w:val="both"/>
        <w:rPr>
          <w:rFonts w:ascii="Arial" w:hAnsi="Arial" w:cs="Arial"/>
          <w:sz w:val="24"/>
          <w:szCs w:val="24"/>
        </w:rPr>
      </w:pPr>
      <w:r w:rsidRPr="00E14097">
        <w:rPr>
          <w:rFonts w:ascii="Arial" w:hAnsi="Arial" w:cs="Arial"/>
          <w:sz w:val="24"/>
          <w:szCs w:val="24"/>
        </w:rPr>
        <w:t>United Nations Environment Programme (UNEP) (2024) Food Waste Index Report 2024. Nairobi: United Nations Environment Programme.</w:t>
      </w:r>
      <w:r>
        <w:rPr>
          <w:rFonts w:ascii="Arial" w:hAnsi="Arial" w:cs="Arial"/>
          <w:sz w:val="24"/>
          <w:szCs w:val="24"/>
        </w:rPr>
        <w:t xml:space="preserve"> Available at: </w:t>
      </w:r>
      <w:hyperlink r:id="rId48" w:history="1">
        <w:r w:rsidRPr="008A4C01">
          <w:rPr>
            <w:rStyle w:val="Hyperlink"/>
            <w:rFonts w:ascii="Arial" w:hAnsi="Arial" w:cs="Arial"/>
            <w:sz w:val="24"/>
            <w:szCs w:val="24"/>
          </w:rPr>
          <w:t>https://unstats.un.org/unsd/envstats/fdes/EGES11/9UNEP_Food%20Waste%20Index.pdf/</w:t>
        </w:r>
      </w:hyperlink>
      <w:r>
        <w:rPr>
          <w:rFonts w:ascii="Arial" w:hAnsi="Arial" w:cs="Arial"/>
          <w:sz w:val="24"/>
          <w:szCs w:val="24"/>
        </w:rPr>
        <w:t xml:space="preserve"> (Accessed 09 October 2025).</w:t>
      </w:r>
    </w:p>
    <w:p w14:paraId="2DAC37D1" w14:textId="77777777" w:rsidR="00143BCC" w:rsidRDefault="00143BCC" w:rsidP="00AC7B89">
      <w:pPr>
        <w:pStyle w:val="ListParagraph"/>
        <w:numPr>
          <w:ilvl w:val="0"/>
          <w:numId w:val="1"/>
        </w:numPr>
        <w:spacing w:line="360" w:lineRule="auto"/>
        <w:jc w:val="both"/>
        <w:rPr>
          <w:rFonts w:ascii="Arial" w:hAnsi="Arial" w:cs="Arial"/>
          <w:sz w:val="24"/>
          <w:szCs w:val="24"/>
        </w:rPr>
      </w:pPr>
      <w:r w:rsidRPr="00AC7B89">
        <w:rPr>
          <w:rFonts w:ascii="Arial" w:hAnsi="Arial" w:cs="Arial"/>
          <w:sz w:val="24"/>
          <w:szCs w:val="24"/>
        </w:rPr>
        <w:t xml:space="preserve">Verive (2023) Food waste in hospitality: Why it matters and how to avoid it. Available at: </w:t>
      </w:r>
      <w:hyperlink r:id="rId49" w:history="1">
        <w:r w:rsidRPr="008A4C01">
          <w:rPr>
            <w:rStyle w:val="Hyperlink"/>
            <w:rFonts w:ascii="Arial" w:hAnsi="Arial" w:cs="Arial"/>
            <w:sz w:val="24"/>
            <w:szCs w:val="24"/>
          </w:rPr>
          <w:t>https://verive.eu/resources/food-waste-in-hospitality/</w:t>
        </w:r>
      </w:hyperlink>
      <w:r>
        <w:rPr>
          <w:rFonts w:ascii="Arial" w:hAnsi="Arial" w:cs="Arial"/>
          <w:sz w:val="24"/>
          <w:szCs w:val="24"/>
        </w:rPr>
        <w:t xml:space="preserve">  </w:t>
      </w:r>
      <w:r w:rsidRPr="00AC7B89">
        <w:rPr>
          <w:rFonts w:ascii="Arial" w:hAnsi="Arial" w:cs="Arial"/>
          <w:sz w:val="24"/>
          <w:szCs w:val="24"/>
        </w:rPr>
        <w:t>(Accessed</w:t>
      </w:r>
      <w:r>
        <w:rPr>
          <w:rFonts w:ascii="Arial" w:hAnsi="Arial" w:cs="Arial"/>
          <w:sz w:val="24"/>
          <w:szCs w:val="24"/>
        </w:rPr>
        <w:t xml:space="preserve"> </w:t>
      </w:r>
      <w:r w:rsidRPr="00AC7B89">
        <w:rPr>
          <w:rFonts w:ascii="Arial" w:hAnsi="Arial" w:cs="Arial"/>
          <w:sz w:val="24"/>
          <w:szCs w:val="24"/>
        </w:rPr>
        <w:t>7 October 2025).</w:t>
      </w:r>
    </w:p>
    <w:p w14:paraId="7E1F7C5D" w14:textId="09B6E884" w:rsidR="00136FC2" w:rsidRPr="006F47B0" w:rsidRDefault="006F47B0" w:rsidP="006F47B0">
      <w:pPr>
        <w:pStyle w:val="ListParagraph"/>
        <w:numPr>
          <w:ilvl w:val="0"/>
          <w:numId w:val="1"/>
        </w:numPr>
        <w:spacing w:line="360" w:lineRule="auto"/>
        <w:jc w:val="both"/>
        <w:rPr>
          <w:rFonts w:ascii="Arial" w:hAnsi="Arial" w:cs="Arial"/>
          <w:sz w:val="24"/>
          <w:szCs w:val="24"/>
        </w:rPr>
      </w:pPr>
      <w:r w:rsidRPr="006F47B0">
        <w:rPr>
          <w:rFonts w:ascii="Arial" w:hAnsi="Arial" w:cs="Arial"/>
          <w:sz w:val="24"/>
          <w:szCs w:val="24"/>
        </w:rPr>
        <w:t xml:space="preserve">Vizzoto, F., Testa, F. and Iraldo, F. (2021) ‘Behavioural change and waste prevention in hospitality’, Sustainability, 13(4), 2065. Available at: </w:t>
      </w:r>
      <w:hyperlink r:id="rId50" w:history="1">
        <w:r w:rsidRPr="00DC31A8">
          <w:rPr>
            <w:rStyle w:val="Hyperlink"/>
            <w:rFonts w:ascii="Arial" w:hAnsi="Arial" w:cs="Arial"/>
            <w:sz w:val="24"/>
            <w:szCs w:val="24"/>
          </w:rPr>
          <w:t>https://doi.org/10.3390/su13042065</w:t>
        </w:r>
      </w:hyperlink>
      <w:r>
        <w:rPr>
          <w:rFonts w:ascii="Arial" w:hAnsi="Arial" w:cs="Arial"/>
          <w:sz w:val="24"/>
          <w:szCs w:val="24"/>
        </w:rPr>
        <w:t xml:space="preserve"> </w:t>
      </w:r>
      <w:r w:rsidRPr="006F47B0">
        <w:rPr>
          <w:rFonts w:ascii="Arial" w:hAnsi="Arial" w:cs="Arial"/>
          <w:sz w:val="24"/>
          <w:szCs w:val="24"/>
        </w:rPr>
        <w:t>(Accessed: 29 October 2025).</w:t>
      </w:r>
    </w:p>
    <w:p w14:paraId="42E61741" w14:textId="77777777" w:rsidR="00143BCC" w:rsidRPr="002170A0" w:rsidRDefault="00143BCC" w:rsidP="002170A0">
      <w:pPr>
        <w:pStyle w:val="ListParagraph"/>
        <w:numPr>
          <w:ilvl w:val="0"/>
          <w:numId w:val="1"/>
        </w:numPr>
        <w:spacing w:line="360" w:lineRule="auto"/>
        <w:jc w:val="both"/>
        <w:rPr>
          <w:rFonts w:ascii="Arial" w:hAnsi="Arial" w:cs="Arial"/>
          <w:sz w:val="24"/>
          <w:szCs w:val="24"/>
        </w:rPr>
      </w:pPr>
      <w:r w:rsidRPr="002170A0">
        <w:rPr>
          <w:rFonts w:ascii="Arial" w:hAnsi="Arial" w:cs="Arial"/>
          <w:sz w:val="24"/>
          <w:szCs w:val="24"/>
        </w:rPr>
        <w:t xml:space="preserve">Vizzoto, F., Testa, F. &amp; Iraldo, F. (2021) ‘Strategies to reduce food waste in the foodservices sector: A systematic review’, International Journal of Hospitality </w:t>
      </w:r>
      <w:r w:rsidRPr="002170A0">
        <w:rPr>
          <w:rFonts w:ascii="Arial" w:hAnsi="Arial" w:cs="Arial"/>
          <w:sz w:val="24"/>
          <w:szCs w:val="24"/>
        </w:rPr>
        <w:lastRenderedPageBreak/>
        <w:t xml:space="preserve">Management, 95, 102933. Available at: </w:t>
      </w:r>
      <w:hyperlink r:id="rId51" w:history="1">
        <w:r w:rsidRPr="00822348">
          <w:rPr>
            <w:rStyle w:val="Hyperlink"/>
            <w:rFonts w:ascii="Arial" w:hAnsi="Arial" w:cs="Arial"/>
            <w:sz w:val="24"/>
            <w:szCs w:val="24"/>
          </w:rPr>
          <w:t>https://doi.org/10.1016/j.ijhm.2021.102933</w:t>
        </w:r>
      </w:hyperlink>
      <w:r>
        <w:rPr>
          <w:rFonts w:ascii="Arial" w:hAnsi="Arial" w:cs="Arial"/>
          <w:sz w:val="24"/>
          <w:szCs w:val="24"/>
        </w:rPr>
        <w:t xml:space="preserve"> </w:t>
      </w:r>
      <w:r w:rsidRPr="002170A0">
        <w:rPr>
          <w:rFonts w:ascii="Arial" w:hAnsi="Arial" w:cs="Arial"/>
          <w:sz w:val="24"/>
          <w:szCs w:val="24"/>
        </w:rPr>
        <w:t xml:space="preserve"> (Accessed: 20 October 2025).</w:t>
      </w:r>
    </w:p>
    <w:p w14:paraId="1016F9A6" w14:textId="77777777" w:rsidR="00143BCC" w:rsidRPr="001B18D4" w:rsidRDefault="00143BCC" w:rsidP="001B18D4">
      <w:pPr>
        <w:pStyle w:val="ListParagraph"/>
        <w:numPr>
          <w:ilvl w:val="0"/>
          <w:numId w:val="1"/>
        </w:numPr>
        <w:spacing w:line="360" w:lineRule="auto"/>
        <w:jc w:val="both"/>
        <w:rPr>
          <w:rFonts w:ascii="Arial" w:hAnsi="Arial" w:cs="Arial"/>
          <w:sz w:val="24"/>
          <w:szCs w:val="24"/>
        </w:rPr>
      </w:pPr>
      <w:r>
        <w:rPr>
          <w:rFonts w:ascii="Arial" w:hAnsi="Arial" w:cs="Arial"/>
          <w:sz w:val="24"/>
          <w:szCs w:val="24"/>
        </w:rPr>
        <w:t xml:space="preserve"> </w:t>
      </w:r>
      <w:r w:rsidRPr="001B18D4">
        <w:rPr>
          <w:rFonts w:ascii="Arial" w:hAnsi="Arial" w:cs="Arial"/>
          <w:sz w:val="24"/>
          <w:szCs w:val="24"/>
        </w:rPr>
        <w:t xml:space="preserve">Wastage on the Economic Outcome (2023) Evidence from the Hotel Industry. Available at: </w:t>
      </w:r>
      <w:hyperlink r:id="rId52" w:history="1">
        <w:r w:rsidRPr="001B18D4">
          <w:rPr>
            <w:rStyle w:val="Hyperlink"/>
            <w:rFonts w:ascii="Arial" w:hAnsi="Arial" w:cs="Arial"/>
            <w:sz w:val="24"/>
            <w:szCs w:val="24"/>
          </w:rPr>
          <w:t>https://www.researchgate.net/publication/381944679</w:t>
        </w:r>
      </w:hyperlink>
      <w:r w:rsidRPr="001B18D4">
        <w:rPr>
          <w:rFonts w:ascii="Arial" w:hAnsi="Arial" w:cs="Arial"/>
          <w:sz w:val="24"/>
          <w:szCs w:val="24"/>
        </w:rPr>
        <w:t xml:space="preserve"> (Accessed: 7 October 2025).</w:t>
      </w:r>
    </w:p>
    <w:p w14:paraId="5C741165" w14:textId="77777777" w:rsidR="00143BCC" w:rsidRDefault="00143BCC" w:rsidP="00F3179C">
      <w:pPr>
        <w:pStyle w:val="ListParagraph"/>
        <w:numPr>
          <w:ilvl w:val="0"/>
          <w:numId w:val="1"/>
        </w:numPr>
        <w:spacing w:line="360" w:lineRule="auto"/>
        <w:jc w:val="both"/>
        <w:rPr>
          <w:rFonts w:ascii="Arial" w:hAnsi="Arial" w:cs="Arial"/>
          <w:sz w:val="24"/>
          <w:szCs w:val="24"/>
        </w:rPr>
      </w:pPr>
      <w:r w:rsidRPr="00F3179C">
        <w:rPr>
          <w:rFonts w:ascii="Arial" w:hAnsi="Arial" w:cs="Arial"/>
          <w:sz w:val="24"/>
          <w:szCs w:val="24"/>
        </w:rPr>
        <w:t xml:space="preserve">WRAP (2022) Guardians of Grub – Cost of Living Brief. Banbury: WRAP. Available at: </w:t>
      </w:r>
      <w:hyperlink r:id="rId53" w:history="1">
        <w:r w:rsidRPr="008A4C01">
          <w:rPr>
            <w:rStyle w:val="Hyperlink"/>
            <w:rFonts w:ascii="Arial" w:hAnsi="Arial" w:cs="Arial"/>
            <w:sz w:val="24"/>
            <w:szCs w:val="24"/>
          </w:rPr>
          <w:t>https://guardiansofgrub.com</w:t>
        </w:r>
      </w:hyperlink>
      <w:r>
        <w:rPr>
          <w:rFonts w:ascii="Arial" w:hAnsi="Arial" w:cs="Arial"/>
          <w:sz w:val="24"/>
          <w:szCs w:val="24"/>
        </w:rPr>
        <w:t xml:space="preserve"> </w:t>
      </w:r>
      <w:r w:rsidRPr="00F3179C">
        <w:rPr>
          <w:rFonts w:ascii="Arial" w:hAnsi="Arial" w:cs="Arial"/>
          <w:sz w:val="24"/>
          <w:szCs w:val="24"/>
        </w:rPr>
        <w:t>(Accessed</w:t>
      </w:r>
      <w:r>
        <w:rPr>
          <w:rFonts w:ascii="Arial" w:hAnsi="Arial" w:cs="Arial"/>
          <w:sz w:val="24"/>
          <w:szCs w:val="24"/>
        </w:rPr>
        <w:t xml:space="preserve"> 9</w:t>
      </w:r>
      <w:r w:rsidRPr="00F3179C">
        <w:rPr>
          <w:rFonts w:ascii="Arial" w:hAnsi="Arial" w:cs="Arial"/>
          <w:sz w:val="24"/>
          <w:szCs w:val="24"/>
        </w:rPr>
        <w:t xml:space="preserve"> October 2025).</w:t>
      </w:r>
    </w:p>
    <w:p w14:paraId="6BCC4374" w14:textId="77777777" w:rsidR="00143BCC" w:rsidRPr="002170A0" w:rsidRDefault="00143BCC" w:rsidP="002170A0">
      <w:pPr>
        <w:pStyle w:val="ListParagraph"/>
        <w:numPr>
          <w:ilvl w:val="0"/>
          <w:numId w:val="1"/>
        </w:numPr>
        <w:spacing w:line="360" w:lineRule="auto"/>
        <w:jc w:val="both"/>
        <w:rPr>
          <w:rFonts w:ascii="Arial" w:hAnsi="Arial" w:cs="Arial"/>
          <w:sz w:val="24"/>
          <w:szCs w:val="24"/>
        </w:rPr>
      </w:pPr>
      <w:r w:rsidRPr="002170A0">
        <w:rPr>
          <w:rFonts w:ascii="Arial" w:hAnsi="Arial" w:cs="Arial"/>
          <w:sz w:val="24"/>
          <w:szCs w:val="24"/>
        </w:rPr>
        <w:t xml:space="preserve">Wu, C.-M.E. &amp; Teng, C.-C. (2022) ‘Reducing food waste in buffet restaurants: A corporate management approach’, Foods, 12(1), 162. Available at: </w:t>
      </w:r>
      <w:hyperlink r:id="rId54" w:history="1">
        <w:r w:rsidRPr="00822348">
          <w:rPr>
            <w:rStyle w:val="Hyperlink"/>
            <w:rFonts w:ascii="Arial" w:hAnsi="Arial" w:cs="Arial"/>
            <w:sz w:val="24"/>
            <w:szCs w:val="24"/>
          </w:rPr>
          <w:t>https://doi.org/10.3390/foods12010162</w:t>
        </w:r>
      </w:hyperlink>
      <w:r>
        <w:rPr>
          <w:rFonts w:ascii="Arial" w:hAnsi="Arial" w:cs="Arial"/>
          <w:sz w:val="24"/>
          <w:szCs w:val="24"/>
        </w:rPr>
        <w:t xml:space="preserve"> </w:t>
      </w:r>
      <w:r w:rsidRPr="002170A0">
        <w:rPr>
          <w:rFonts w:ascii="Arial" w:hAnsi="Arial" w:cs="Arial"/>
          <w:sz w:val="24"/>
          <w:szCs w:val="24"/>
        </w:rPr>
        <w:t>(Accessed: 20 October 2025).</w:t>
      </w:r>
    </w:p>
    <w:p w14:paraId="1644AB56" w14:textId="77777777" w:rsidR="00143BCC" w:rsidRDefault="00143BCC" w:rsidP="00F3179C">
      <w:pPr>
        <w:pStyle w:val="ListParagraph"/>
        <w:numPr>
          <w:ilvl w:val="0"/>
          <w:numId w:val="1"/>
        </w:numPr>
        <w:spacing w:line="360" w:lineRule="auto"/>
        <w:jc w:val="both"/>
        <w:rPr>
          <w:rFonts w:ascii="Arial" w:hAnsi="Arial" w:cs="Arial"/>
          <w:sz w:val="24"/>
          <w:szCs w:val="24"/>
        </w:rPr>
      </w:pPr>
      <w:r>
        <w:rPr>
          <w:rFonts w:ascii="Arial" w:hAnsi="Arial" w:cs="Arial"/>
          <w:sz w:val="24"/>
          <w:szCs w:val="24"/>
        </w:rPr>
        <w:t xml:space="preserve"> </w:t>
      </w:r>
      <w:r w:rsidRPr="00891447">
        <w:rPr>
          <w:rFonts w:ascii="Arial" w:hAnsi="Arial" w:cs="Arial"/>
          <w:sz w:val="24"/>
          <w:szCs w:val="24"/>
        </w:rPr>
        <w:t>Wu, C.-M.E. and Teng, C.-C. (2023) ‘Reducing food waste in buffet restaurants: a corporate management approach’, Foods, 12(1), 162.</w:t>
      </w:r>
      <w:r>
        <w:rPr>
          <w:rFonts w:ascii="Arial" w:hAnsi="Arial" w:cs="Arial"/>
          <w:sz w:val="24"/>
          <w:szCs w:val="24"/>
        </w:rPr>
        <w:t xml:space="preserve"> Available at: </w:t>
      </w:r>
      <w:hyperlink r:id="rId55" w:history="1">
        <w:r w:rsidRPr="008A4C01">
          <w:rPr>
            <w:rStyle w:val="Hyperlink"/>
            <w:rFonts w:ascii="Arial" w:hAnsi="Arial" w:cs="Arial"/>
            <w:sz w:val="24"/>
            <w:szCs w:val="24"/>
          </w:rPr>
          <w:t>https://www.researchgate.net/publication/366648315_Reducing_Food_Waste_in_Buffet_Restaurants_A_Corporate_Management_Approach/</w:t>
        </w:r>
      </w:hyperlink>
      <w:r>
        <w:rPr>
          <w:rFonts w:ascii="Arial" w:hAnsi="Arial" w:cs="Arial"/>
          <w:sz w:val="24"/>
          <w:szCs w:val="24"/>
        </w:rPr>
        <w:t xml:space="preserve"> (Accessed 09 October 2025).</w:t>
      </w:r>
    </w:p>
    <w:sectPr w:rsidR="00143BCC" w:rsidSect="002946F0">
      <w:footerReference w:type="default" r:id="rId5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351C5E" w14:textId="77777777" w:rsidR="00064EA8" w:rsidRDefault="00064EA8" w:rsidP="00222D47">
      <w:pPr>
        <w:spacing w:after="0" w:line="240" w:lineRule="auto"/>
      </w:pPr>
      <w:r>
        <w:separator/>
      </w:r>
    </w:p>
  </w:endnote>
  <w:endnote w:type="continuationSeparator" w:id="0">
    <w:p w14:paraId="61949F76" w14:textId="77777777" w:rsidR="00064EA8" w:rsidRDefault="00064EA8" w:rsidP="00222D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77294253"/>
      <w:docPartObj>
        <w:docPartGallery w:val="Page Numbers (Bottom of Page)"/>
        <w:docPartUnique/>
      </w:docPartObj>
    </w:sdtPr>
    <w:sdtEndPr>
      <w:rPr>
        <w:noProof/>
      </w:rPr>
    </w:sdtEndPr>
    <w:sdtContent>
      <w:p w14:paraId="45C0226A" w14:textId="6B42C640" w:rsidR="00222D47" w:rsidRDefault="00222D4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6D6814A" w14:textId="77777777" w:rsidR="00222D47" w:rsidRDefault="00222D4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A25588" w14:textId="77777777" w:rsidR="00064EA8" w:rsidRDefault="00064EA8" w:rsidP="00222D47">
      <w:pPr>
        <w:spacing w:after="0" w:line="240" w:lineRule="auto"/>
      </w:pPr>
      <w:r>
        <w:separator/>
      </w:r>
    </w:p>
  </w:footnote>
  <w:footnote w:type="continuationSeparator" w:id="0">
    <w:p w14:paraId="1DE13168" w14:textId="77777777" w:rsidR="00064EA8" w:rsidRDefault="00064EA8" w:rsidP="00222D4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985D63"/>
    <w:multiLevelType w:val="hybridMultilevel"/>
    <w:tmpl w:val="E076B304"/>
    <w:lvl w:ilvl="0" w:tplc="0809000F">
      <w:start w:val="1"/>
      <w:numFmt w:val="decimal"/>
      <w:lvlText w:val="%1."/>
      <w:lvlJc w:val="left"/>
      <w:pPr>
        <w:ind w:left="502"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306613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4F40"/>
    <w:rsid w:val="000001E5"/>
    <w:rsid w:val="00034CB5"/>
    <w:rsid w:val="000441E5"/>
    <w:rsid w:val="00044E8D"/>
    <w:rsid w:val="000460E2"/>
    <w:rsid w:val="00053D09"/>
    <w:rsid w:val="00064EA8"/>
    <w:rsid w:val="00066F16"/>
    <w:rsid w:val="000745BB"/>
    <w:rsid w:val="000A602F"/>
    <w:rsid w:val="000C507B"/>
    <w:rsid w:val="000F2E03"/>
    <w:rsid w:val="000F7CD2"/>
    <w:rsid w:val="00100EF7"/>
    <w:rsid w:val="001108BF"/>
    <w:rsid w:val="00125974"/>
    <w:rsid w:val="00136FC2"/>
    <w:rsid w:val="00143BCC"/>
    <w:rsid w:val="001551AF"/>
    <w:rsid w:val="00162755"/>
    <w:rsid w:val="00162C88"/>
    <w:rsid w:val="00165045"/>
    <w:rsid w:val="00186C1C"/>
    <w:rsid w:val="001A09C8"/>
    <w:rsid w:val="001A454D"/>
    <w:rsid w:val="001A492E"/>
    <w:rsid w:val="001B18D4"/>
    <w:rsid w:val="001B74D5"/>
    <w:rsid w:val="001C0BCD"/>
    <w:rsid w:val="001C36FD"/>
    <w:rsid w:val="001C40FE"/>
    <w:rsid w:val="001E2B6A"/>
    <w:rsid w:val="001E46B4"/>
    <w:rsid w:val="001E6485"/>
    <w:rsid w:val="002170A0"/>
    <w:rsid w:val="00222D47"/>
    <w:rsid w:val="0023037B"/>
    <w:rsid w:val="00264B83"/>
    <w:rsid w:val="002748F7"/>
    <w:rsid w:val="00283B37"/>
    <w:rsid w:val="0029084C"/>
    <w:rsid w:val="00293EC1"/>
    <w:rsid w:val="002946F0"/>
    <w:rsid w:val="002A4F40"/>
    <w:rsid w:val="002B2772"/>
    <w:rsid w:val="002C4C9F"/>
    <w:rsid w:val="002E5526"/>
    <w:rsid w:val="002E7150"/>
    <w:rsid w:val="002F4CA2"/>
    <w:rsid w:val="00313D97"/>
    <w:rsid w:val="00317D5E"/>
    <w:rsid w:val="003440AA"/>
    <w:rsid w:val="003476DF"/>
    <w:rsid w:val="003A26AB"/>
    <w:rsid w:val="003D02F9"/>
    <w:rsid w:val="003D4CF0"/>
    <w:rsid w:val="003D4E6B"/>
    <w:rsid w:val="003D6EF4"/>
    <w:rsid w:val="003F1B8D"/>
    <w:rsid w:val="00451DA8"/>
    <w:rsid w:val="004573CF"/>
    <w:rsid w:val="004610CE"/>
    <w:rsid w:val="00507127"/>
    <w:rsid w:val="00512E84"/>
    <w:rsid w:val="00560B56"/>
    <w:rsid w:val="005C4656"/>
    <w:rsid w:val="005D14B8"/>
    <w:rsid w:val="005E024E"/>
    <w:rsid w:val="006334D9"/>
    <w:rsid w:val="006355B7"/>
    <w:rsid w:val="00641BEF"/>
    <w:rsid w:val="00642F52"/>
    <w:rsid w:val="006471C5"/>
    <w:rsid w:val="006610BB"/>
    <w:rsid w:val="006940E3"/>
    <w:rsid w:val="006A38C6"/>
    <w:rsid w:val="006B2BB8"/>
    <w:rsid w:val="006B3A03"/>
    <w:rsid w:val="006D583E"/>
    <w:rsid w:val="006F1296"/>
    <w:rsid w:val="006F47B0"/>
    <w:rsid w:val="007051BD"/>
    <w:rsid w:val="00730AA5"/>
    <w:rsid w:val="007366D7"/>
    <w:rsid w:val="00763218"/>
    <w:rsid w:val="007645EF"/>
    <w:rsid w:val="00764F5E"/>
    <w:rsid w:val="00772AA2"/>
    <w:rsid w:val="00780007"/>
    <w:rsid w:val="00784FF3"/>
    <w:rsid w:val="007952F6"/>
    <w:rsid w:val="007B167D"/>
    <w:rsid w:val="007B1DA4"/>
    <w:rsid w:val="007B6B22"/>
    <w:rsid w:val="007B7035"/>
    <w:rsid w:val="007E4150"/>
    <w:rsid w:val="007F4968"/>
    <w:rsid w:val="00811875"/>
    <w:rsid w:val="008258B8"/>
    <w:rsid w:val="00875F7F"/>
    <w:rsid w:val="008810EC"/>
    <w:rsid w:val="00891447"/>
    <w:rsid w:val="0095564A"/>
    <w:rsid w:val="00984770"/>
    <w:rsid w:val="009B7A8D"/>
    <w:rsid w:val="009C228B"/>
    <w:rsid w:val="009E5B8D"/>
    <w:rsid w:val="009E6A35"/>
    <w:rsid w:val="00A0309A"/>
    <w:rsid w:val="00A04208"/>
    <w:rsid w:val="00A122CD"/>
    <w:rsid w:val="00A129A9"/>
    <w:rsid w:val="00A31471"/>
    <w:rsid w:val="00A32701"/>
    <w:rsid w:val="00A43AEA"/>
    <w:rsid w:val="00A5319F"/>
    <w:rsid w:val="00A61F33"/>
    <w:rsid w:val="00A6213A"/>
    <w:rsid w:val="00A82725"/>
    <w:rsid w:val="00AA3B3D"/>
    <w:rsid w:val="00AB4B16"/>
    <w:rsid w:val="00AB4E6D"/>
    <w:rsid w:val="00AC7B89"/>
    <w:rsid w:val="00AD5519"/>
    <w:rsid w:val="00AF2C4E"/>
    <w:rsid w:val="00B0233F"/>
    <w:rsid w:val="00B1254B"/>
    <w:rsid w:val="00B13A26"/>
    <w:rsid w:val="00B22CB0"/>
    <w:rsid w:val="00B24820"/>
    <w:rsid w:val="00B44B7F"/>
    <w:rsid w:val="00B4769C"/>
    <w:rsid w:val="00B53F9C"/>
    <w:rsid w:val="00BA0308"/>
    <w:rsid w:val="00BD14F5"/>
    <w:rsid w:val="00BD1B9E"/>
    <w:rsid w:val="00BE71AF"/>
    <w:rsid w:val="00BF02C3"/>
    <w:rsid w:val="00BF4818"/>
    <w:rsid w:val="00C158FB"/>
    <w:rsid w:val="00C346AD"/>
    <w:rsid w:val="00C376AB"/>
    <w:rsid w:val="00C60C86"/>
    <w:rsid w:val="00C9719F"/>
    <w:rsid w:val="00CA126C"/>
    <w:rsid w:val="00CB093E"/>
    <w:rsid w:val="00CB1CD8"/>
    <w:rsid w:val="00CD7BA6"/>
    <w:rsid w:val="00CE0D0C"/>
    <w:rsid w:val="00D219C0"/>
    <w:rsid w:val="00D2210D"/>
    <w:rsid w:val="00D2449A"/>
    <w:rsid w:val="00D305D0"/>
    <w:rsid w:val="00D502C3"/>
    <w:rsid w:val="00D96378"/>
    <w:rsid w:val="00DC065D"/>
    <w:rsid w:val="00DC579A"/>
    <w:rsid w:val="00DF6369"/>
    <w:rsid w:val="00E14097"/>
    <w:rsid w:val="00E65E98"/>
    <w:rsid w:val="00E833BC"/>
    <w:rsid w:val="00E83AE4"/>
    <w:rsid w:val="00EC17D0"/>
    <w:rsid w:val="00EC394B"/>
    <w:rsid w:val="00EC792F"/>
    <w:rsid w:val="00F1285B"/>
    <w:rsid w:val="00F17AC8"/>
    <w:rsid w:val="00F3179C"/>
    <w:rsid w:val="00F352C1"/>
    <w:rsid w:val="00F36F14"/>
    <w:rsid w:val="00F6249A"/>
    <w:rsid w:val="00F640FE"/>
    <w:rsid w:val="00F8177A"/>
    <w:rsid w:val="00FB2A2A"/>
    <w:rsid w:val="00FC1D7E"/>
    <w:rsid w:val="00FD342E"/>
    <w:rsid w:val="00FF27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48B4DCD"/>
  <w15:chartTrackingRefBased/>
  <w15:docId w15:val="{9CA923D3-EF89-4E98-9DDB-53BBE94699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A4F4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A4F4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A4F4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A4F4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A4F4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A4F4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A4F4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A4F4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A4F4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A4F4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A4F4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A4F4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A4F4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A4F4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A4F4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A4F4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A4F4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A4F40"/>
    <w:rPr>
      <w:rFonts w:eastAsiaTheme="majorEastAsia" w:cstheme="majorBidi"/>
      <w:color w:val="272727" w:themeColor="text1" w:themeTint="D8"/>
    </w:rPr>
  </w:style>
  <w:style w:type="paragraph" w:styleId="Title">
    <w:name w:val="Title"/>
    <w:basedOn w:val="Normal"/>
    <w:next w:val="Normal"/>
    <w:link w:val="TitleChar"/>
    <w:uiPriority w:val="10"/>
    <w:qFormat/>
    <w:rsid w:val="002A4F4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A4F4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A4F4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A4F4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A4F40"/>
    <w:pPr>
      <w:spacing w:before="160"/>
      <w:jc w:val="center"/>
    </w:pPr>
    <w:rPr>
      <w:i/>
      <w:iCs/>
      <w:color w:val="404040" w:themeColor="text1" w:themeTint="BF"/>
    </w:rPr>
  </w:style>
  <w:style w:type="character" w:customStyle="1" w:styleId="QuoteChar">
    <w:name w:val="Quote Char"/>
    <w:basedOn w:val="DefaultParagraphFont"/>
    <w:link w:val="Quote"/>
    <w:uiPriority w:val="29"/>
    <w:rsid w:val="002A4F40"/>
    <w:rPr>
      <w:i/>
      <w:iCs/>
      <w:color w:val="404040" w:themeColor="text1" w:themeTint="BF"/>
    </w:rPr>
  </w:style>
  <w:style w:type="paragraph" w:styleId="ListParagraph">
    <w:name w:val="List Paragraph"/>
    <w:basedOn w:val="Normal"/>
    <w:uiPriority w:val="34"/>
    <w:qFormat/>
    <w:rsid w:val="002A4F40"/>
    <w:pPr>
      <w:ind w:left="720"/>
      <w:contextualSpacing/>
    </w:pPr>
  </w:style>
  <w:style w:type="character" w:styleId="IntenseEmphasis">
    <w:name w:val="Intense Emphasis"/>
    <w:basedOn w:val="DefaultParagraphFont"/>
    <w:uiPriority w:val="21"/>
    <w:qFormat/>
    <w:rsid w:val="002A4F40"/>
    <w:rPr>
      <w:i/>
      <w:iCs/>
      <w:color w:val="0F4761" w:themeColor="accent1" w:themeShade="BF"/>
    </w:rPr>
  </w:style>
  <w:style w:type="paragraph" w:styleId="IntenseQuote">
    <w:name w:val="Intense Quote"/>
    <w:basedOn w:val="Normal"/>
    <w:next w:val="Normal"/>
    <w:link w:val="IntenseQuoteChar"/>
    <w:uiPriority w:val="30"/>
    <w:qFormat/>
    <w:rsid w:val="002A4F4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A4F40"/>
    <w:rPr>
      <w:i/>
      <w:iCs/>
      <w:color w:val="0F4761" w:themeColor="accent1" w:themeShade="BF"/>
    </w:rPr>
  </w:style>
  <w:style w:type="character" w:styleId="IntenseReference">
    <w:name w:val="Intense Reference"/>
    <w:basedOn w:val="DefaultParagraphFont"/>
    <w:uiPriority w:val="32"/>
    <w:qFormat/>
    <w:rsid w:val="002A4F40"/>
    <w:rPr>
      <w:b/>
      <w:bCs/>
      <w:smallCaps/>
      <w:color w:val="0F4761" w:themeColor="accent1" w:themeShade="BF"/>
      <w:spacing w:val="5"/>
    </w:rPr>
  </w:style>
  <w:style w:type="paragraph" w:styleId="NoSpacing">
    <w:name w:val="No Spacing"/>
    <w:uiPriority w:val="1"/>
    <w:qFormat/>
    <w:rsid w:val="002946F0"/>
    <w:pPr>
      <w:spacing w:after="0" w:line="240" w:lineRule="auto"/>
    </w:pPr>
    <w:rPr>
      <w:color w:val="0E2841" w:themeColor="text2"/>
      <w:kern w:val="0"/>
      <w:sz w:val="20"/>
      <w:szCs w:val="20"/>
      <w:lang w:val="en-US"/>
      <w14:ligatures w14:val="none"/>
    </w:rPr>
  </w:style>
  <w:style w:type="character" w:styleId="Hyperlink">
    <w:name w:val="Hyperlink"/>
    <w:basedOn w:val="DefaultParagraphFont"/>
    <w:uiPriority w:val="99"/>
    <w:unhideWhenUsed/>
    <w:rsid w:val="003D4E6B"/>
    <w:rPr>
      <w:color w:val="467886" w:themeColor="hyperlink"/>
      <w:u w:val="single"/>
    </w:rPr>
  </w:style>
  <w:style w:type="character" w:styleId="UnresolvedMention">
    <w:name w:val="Unresolved Mention"/>
    <w:basedOn w:val="DefaultParagraphFont"/>
    <w:uiPriority w:val="99"/>
    <w:semiHidden/>
    <w:unhideWhenUsed/>
    <w:rsid w:val="003D4E6B"/>
    <w:rPr>
      <w:color w:val="605E5C"/>
      <w:shd w:val="clear" w:color="auto" w:fill="E1DFDD"/>
    </w:rPr>
  </w:style>
  <w:style w:type="character" w:styleId="FollowedHyperlink">
    <w:name w:val="FollowedHyperlink"/>
    <w:basedOn w:val="DefaultParagraphFont"/>
    <w:uiPriority w:val="99"/>
    <w:semiHidden/>
    <w:unhideWhenUsed/>
    <w:rsid w:val="001551AF"/>
    <w:rPr>
      <w:color w:val="96607D" w:themeColor="followedHyperlink"/>
      <w:u w:val="single"/>
    </w:rPr>
  </w:style>
  <w:style w:type="paragraph" w:styleId="Header">
    <w:name w:val="header"/>
    <w:basedOn w:val="Normal"/>
    <w:link w:val="HeaderChar"/>
    <w:uiPriority w:val="99"/>
    <w:unhideWhenUsed/>
    <w:rsid w:val="00222D47"/>
    <w:pPr>
      <w:tabs>
        <w:tab w:val="center" w:pos="4513"/>
        <w:tab w:val="right" w:pos="9026"/>
      </w:tabs>
      <w:spacing w:after="0" w:line="240" w:lineRule="auto"/>
    </w:pPr>
  </w:style>
  <w:style w:type="character" w:customStyle="1" w:styleId="HeaderChar">
    <w:name w:val="Header Char"/>
    <w:basedOn w:val="DefaultParagraphFont"/>
    <w:link w:val="Header"/>
    <w:uiPriority w:val="99"/>
    <w:rsid w:val="00222D47"/>
  </w:style>
  <w:style w:type="paragraph" w:styleId="Footer">
    <w:name w:val="footer"/>
    <w:basedOn w:val="Normal"/>
    <w:link w:val="FooterChar"/>
    <w:uiPriority w:val="99"/>
    <w:unhideWhenUsed/>
    <w:rsid w:val="00222D47"/>
    <w:pPr>
      <w:tabs>
        <w:tab w:val="center" w:pos="4513"/>
        <w:tab w:val="right" w:pos="9026"/>
      </w:tabs>
      <w:spacing w:after="0" w:line="240" w:lineRule="auto"/>
    </w:pPr>
  </w:style>
  <w:style w:type="character" w:customStyle="1" w:styleId="FooterChar">
    <w:name w:val="Footer Char"/>
    <w:basedOn w:val="DefaultParagraphFont"/>
    <w:link w:val="Footer"/>
    <w:uiPriority w:val="99"/>
    <w:rsid w:val="00222D4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group.accor.com/en/group/sustainable-hospitality/responsible-food-model" TargetMode="External"/><Relationship Id="rId18" Type="http://schemas.openxmlformats.org/officeDocument/2006/relationships/hyperlink" Target="https://www.businessinsider.com/hotels-offices-kitchens-winnow-ai-tool-reduce-food-waste-costs-2024-7" TargetMode="External"/><Relationship Id="rId26" Type="http://schemas.openxmlformats.org/officeDocument/2006/relationships/hyperlink" Target="https://eur-lex.europa.eu/eli/dir/2008/98/oj" TargetMode="External"/><Relationship Id="rId39" Type="http://schemas.openxmlformats.org/officeDocument/2006/relationships/hyperlink" Target="https://doi.org/10.3390/su11216016" TargetMode="External"/><Relationship Id="rId21" Type="http://schemas.openxmlformats.org/officeDocument/2006/relationships/hyperlink" Target="https://doi.org/10.1080/09669582.2024.2438233" TargetMode="External"/><Relationship Id="rId34" Type="http://schemas.openxmlformats.org/officeDocument/2006/relationships/hyperlink" Target="https://www.researchgate.net/publication/378675225_The_Contribution_of_Food_Waste_Management_on_Hotel_Sustainability_in_Kenya" TargetMode="External"/><Relationship Id="rId42" Type="http://schemas.openxmlformats.org/officeDocument/2006/relationships/hyperlink" Target="https://consensus.app/sign-in/?redirect_url=%2Fpapers%2Fhandling-food-waste-in-the-hotel-industry-zainal-sulong%2F827c271f70d952f39fe608f3d8eab8ec%2F/" TargetMode="External"/><Relationship Id="rId47" Type="http://schemas.openxmlformats.org/officeDocument/2006/relationships/hyperlink" Target="https://www.forbes.com/sites/christinatroitino/2017/09/14/the-tragedy-of-the-buffet-commons-reducing-food-waste-at-hotels/" TargetMode="External"/><Relationship Id="rId50" Type="http://schemas.openxmlformats.org/officeDocument/2006/relationships/hyperlink" Target="https://doi.org/10.3390/su13042065" TargetMode="External"/><Relationship Id="rId55" Type="http://schemas.openxmlformats.org/officeDocument/2006/relationships/hyperlink" Target="https://www.researchgate.net/publication/366648315_Reducing_Food_Waste_in_Buffet_Restaurants_A_Corporate_Management_Approach/"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doi.org/10.1016/j.wasman.2014.09.015" TargetMode="External"/><Relationship Id="rId29" Type="http://schemas.openxmlformats.org/officeDocument/2006/relationships/hyperlink" Target="https://www.hospitalitynet.org/news/4119367.html/" TargetMode="External"/><Relationship Id="rId11" Type="http://schemas.openxmlformats.org/officeDocument/2006/relationships/image" Target="media/image1.jpeg"/><Relationship Id="rId24" Type="http://schemas.openxmlformats.org/officeDocument/2006/relationships/hyperlink" Target="https://eur-lex.europa.eu/eli/dir/2008/98/oj/eng/" TargetMode="External"/><Relationship Id="rId32" Type="http://schemas.openxmlformats.org/officeDocument/2006/relationships/hyperlink" Target="https://www.emerald.com/ijcthr/article/16/1/152/137461/How-to-manage-and-minimize-food-waste-in-the-hotel/" TargetMode="External"/><Relationship Id="rId37" Type="http://schemas.openxmlformats.org/officeDocument/2006/relationships/hyperlink" Target="https://dergipark.org.tr/en/pub/iuturizmoloji/issue/80974/1254147" TargetMode="External"/><Relationship Id="rId40" Type="http://schemas.openxmlformats.org/officeDocument/2006/relationships/hyperlink" Target="https://mjthr.journals.ekb.eg/article_208377.html/" TargetMode="External"/><Relationship Id="rId45" Type="http://schemas.openxmlformats.org/officeDocument/2006/relationships/hyperlink" Target="https://sustainablehospitalityalliance.org/wp-content/uploads/2024/12/Iberostar_WSHA_DecarbonizingHotelFoodSystems_vfinal.pdf/" TargetMode="External"/><Relationship Id="rId53" Type="http://schemas.openxmlformats.org/officeDocument/2006/relationships/hyperlink" Target="https://guardiansofgrub.com" TargetMode="External"/><Relationship Id="rId58" Type="http://schemas.openxmlformats.org/officeDocument/2006/relationships/glossaryDocument" Target="glossary/document.xml"/><Relationship Id="rId5" Type="http://schemas.openxmlformats.org/officeDocument/2006/relationships/numbering" Target="numbering.xml"/><Relationship Id="rId19" Type="http://schemas.openxmlformats.org/officeDocument/2006/relationships/hyperlink" Target="https://doi.org/10.1016/j.jclepro.2024.143452"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emerald.com/ijcthr/article/16/1/152/137461/How-to-manage-and-minimize-food-waste-in-the-hotel" TargetMode="External"/><Relationship Id="rId22" Type="http://schemas.openxmlformats.org/officeDocument/2006/relationships/hyperlink" Target="https://doi.org/10.1016/j.jclepro.2020.122861" TargetMode="External"/><Relationship Id="rId27" Type="http://schemas.openxmlformats.org/officeDocument/2006/relationships/hyperlink" Target="https://doi.org/10.1016/j.tourman.2018.10.009" TargetMode="External"/><Relationship Id="rId30" Type="http://schemas.openxmlformats.org/officeDocument/2006/relationships/hyperlink" Target="https://www.greenhotelier.org/" TargetMode="External"/><Relationship Id="rId35" Type="http://schemas.openxmlformats.org/officeDocument/2006/relationships/hyperlink" Target="https://www.oecd.org/content/dam/oecd/en/publications/reports/2001/08/oecd-environmental-indicators_g1gh2882/9789264193499-en.pdf" TargetMode="External"/><Relationship Id="rId43" Type="http://schemas.openxmlformats.org/officeDocument/2006/relationships/hyperlink" Target="https://www.sciencedirect.com/science/article/pii/S0956053X25001072" TargetMode="External"/><Relationship Id="rId48" Type="http://schemas.openxmlformats.org/officeDocument/2006/relationships/hyperlink" Target="https://unstats.un.org/unsd/envstats/fdes/EGES11/9UNEP_Food%20Waste%20Index.pdf/" TargetMode="External"/><Relationship Id="rId56" Type="http://schemas.openxmlformats.org/officeDocument/2006/relationships/footer" Target="footer1.xml"/><Relationship Id="rId8" Type="http://schemas.openxmlformats.org/officeDocument/2006/relationships/webSettings" Target="webSettings.xml"/><Relationship Id="rId51" Type="http://schemas.openxmlformats.org/officeDocument/2006/relationships/hyperlink" Target="https://doi.org/10.1016/j.ijhm.2021.102933" TargetMode="External"/><Relationship Id="rId3" Type="http://schemas.openxmlformats.org/officeDocument/2006/relationships/customXml" Target="../customXml/item3.xml"/><Relationship Id="rId12" Type="http://schemas.openxmlformats.org/officeDocument/2006/relationships/hyperlink" Target="https://group.accor.com/-/media/Corporate/Commitment/PDF-for-pages/Policy/Accor-Good-Food-Policy.pdf" TargetMode="External"/><Relationship Id="rId17" Type="http://schemas.openxmlformats.org/officeDocument/2006/relationships/hyperlink" Target="https://doi.org/10.1191/1478088706qp063oa" TargetMode="External"/><Relationship Id="rId25" Type="http://schemas.openxmlformats.org/officeDocument/2006/relationships/hyperlink" Target="https://environment.ec.europa.eu/topics/waste-and-recycling/waste-framework-directive_en" TargetMode="External"/><Relationship Id="rId33" Type="http://schemas.openxmlformats.org/officeDocument/2006/relationships/hyperlink" Target="https://hospitalityinsights.ehl.edu/food-waste-management-innovative-solutions-hospitality/" TargetMode="External"/><Relationship Id="rId38" Type="http://schemas.openxmlformats.org/officeDocument/2006/relationships/hyperlink" Target="https://doi.org/10.1016/j.jclepro.2014.04.020" TargetMode="External"/><Relationship Id="rId46" Type="http://schemas.openxmlformats.org/officeDocument/2006/relationships/hyperlink" Target="https://sustainablehospitalityalliance.org/resource/reduce-food-waste-tips-for-hotels/" TargetMode="External"/><Relationship Id="rId59" Type="http://schemas.openxmlformats.org/officeDocument/2006/relationships/theme" Target="theme/theme1.xml"/><Relationship Id="rId20" Type="http://schemas.openxmlformats.org/officeDocument/2006/relationships/hyperlink" Target="https://www.tandfonline.com/doi/full/10.1080/09669582.2024.2438233?af=R/" TargetMode="External"/><Relationship Id="rId41" Type="http://schemas.openxmlformats.org/officeDocument/2006/relationships/hyperlink" Target="https://doi.org/10.1016/j.jclepro.2017.12.136" TargetMode="External"/><Relationship Id="rId54" Type="http://schemas.openxmlformats.org/officeDocument/2006/relationships/hyperlink" Target="https://doi.org/10.3390/foods12010162"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doi.org/10.1016/j.resconrec.2019.03.023" TargetMode="External"/><Relationship Id="rId23" Type="http://schemas.openxmlformats.org/officeDocument/2006/relationships/hyperlink" Target="https://doi.org/10.1016/j.ijhm.2020.102525" TargetMode="External"/><Relationship Id="rId28" Type="http://schemas.openxmlformats.org/officeDocument/2006/relationships/hyperlink" Target="https://www.researchgate.net/publication/342822163_Food_Waste_in_Hospitality_and_Food_Services_A_Systematic_Literature_Review_and_Framework_Development_Approach/" TargetMode="External"/><Relationship Id="rId36" Type="http://schemas.openxmlformats.org/officeDocument/2006/relationships/hyperlink" Target="https://doi.org/10.1016/j.ijhm.2020.102543" TargetMode="External"/><Relationship Id="rId49" Type="http://schemas.openxmlformats.org/officeDocument/2006/relationships/hyperlink" Target="https://verive.eu/resources/food-waste-in-hospitality/" TargetMode="External"/><Relationship Id="rId57" Type="http://schemas.openxmlformats.org/officeDocument/2006/relationships/fontTable" Target="fontTable.xml"/><Relationship Id="rId10" Type="http://schemas.openxmlformats.org/officeDocument/2006/relationships/endnotes" Target="endnotes.xml"/><Relationship Id="rId31" Type="http://schemas.openxmlformats.org/officeDocument/2006/relationships/hyperlink" Target="https://doi.org/10.1016/j.annale.2023.100090" TargetMode="External"/><Relationship Id="rId44" Type="http://schemas.openxmlformats.org/officeDocument/2006/relationships/hyperlink" Target="https://doi.org/10.1016/j.wasman.2015.09.010" TargetMode="External"/><Relationship Id="rId52" Type="http://schemas.openxmlformats.org/officeDocument/2006/relationships/hyperlink" Target="https://www.researchgate.net/publication/381944679"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46F64CB396B4471D882C02F82FDF7B5F"/>
        <w:category>
          <w:name w:val="General"/>
          <w:gallery w:val="placeholder"/>
        </w:category>
        <w:types>
          <w:type w:val="bbPlcHdr"/>
        </w:types>
        <w:behaviors>
          <w:behavior w:val="content"/>
        </w:behaviors>
        <w:guid w:val="{21210735-6222-4772-838F-DF5F554BC214}"/>
      </w:docPartPr>
      <w:docPartBody>
        <w:p w:rsidR="00437824" w:rsidRDefault="003975AE" w:rsidP="003975AE">
          <w:pPr>
            <w:pStyle w:val="46F64CB396B4471D882C02F82FDF7B5F"/>
          </w:pPr>
          <w:r>
            <w:rPr>
              <w:color w:val="FFFFFF" w:themeColor="background1"/>
              <w:sz w:val="32"/>
              <w:szCs w:val="32"/>
            </w:rPr>
            <w:t>[Document subtitle]</w:t>
          </w:r>
        </w:p>
      </w:docPartBody>
    </w:docPart>
    <w:docPart>
      <w:docPartPr>
        <w:name w:val="8552DB7BF93F48C68609FECE5D7060D6"/>
        <w:category>
          <w:name w:val="General"/>
          <w:gallery w:val="placeholder"/>
        </w:category>
        <w:types>
          <w:type w:val="bbPlcHdr"/>
        </w:types>
        <w:behaviors>
          <w:behavior w:val="content"/>
        </w:behaviors>
        <w:guid w:val="{FE27E845-66DB-484A-A6AD-3189968224E2}"/>
      </w:docPartPr>
      <w:docPartBody>
        <w:p w:rsidR="00437824" w:rsidRDefault="003975AE" w:rsidP="003975AE">
          <w:pPr>
            <w:pStyle w:val="8552DB7BF93F48C68609FECE5D7060D6"/>
          </w:pPr>
          <w:r>
            <w:rPr>
              <w:color w:val="FFFFFF" w:themeColor="background1"/>
            </w:rPr>
            <w:t>[Author name]</w:t>
          </w:r>
        </w:p>
      </w:docPartBody>
    </w:docPart>
    <w:docPart>
      <w:docPartPr>
        <w:name w:val="B8B65929A5454AB3B2077ECDC9A06685"/>
        <w:category>
          <w:name w:val="General"/>
          <w:gallery w:val="placeholder"/>
        </w:category>
        <w:types>
          <w:type w:val="bbPlcHdr"/>
        </w:types>
        <w:behaviors>
          <w:behavior w:val="content"/>
        </w:behaviors>
        <w:guid w:val="{B9D5649A-2287-44E3-9F76-582939785EFF}"/>
      </w:docPartPr>
      <w:docPartBody>
        <w:p w:rsidR="00437824" w:rsidRDefault="003975AE" w:rsidP="003975AE">
          <w:pPr>
            <w:pStyle w:val="B8B65929A5454AB3B2077ECDC9A06685"/>
          </w:pPr>
          <w:r>
            <w:rPr>
              <w:color w:val="FFFFFF" w:themeColor="background1"/>
            </w:rPr>
            <w:t>[Date]</w:t>
          </w:r>
        </w:p>
      </w:docPartBody>
    </w:docPart>
    <w:docPart>
      <w:docPartPr>
        <w:name w:val="9417680968114C2EA9D1CE138A820AE7"/>
        <w:category>
          <w:name w:val="General"/>
          <w:gallery w:val="placeholder"/>
        </w:category>
        <w:types>
          <w:type w:val="bbPlcHdr"/>
        </w:types>
        <w:behaviors>
          <w:behavior w:val="content"/>
        </w:behaviors>
        <w:guid w:val="{5EF11DAC-FDAB-4199-8E7E-FB955C45E76C}"/>
      </w:docPartPr>
      <w:docPartBody>
        <w:p w:rsidR="00437824" w:rsidRDefault="003975AE" w:rsidP="003975AE">
          <w:pPr>
            <w:pStyle w:val="9417680968114C2EA9D1CE138A820AE7"/>
          </w:pPr>
          <w:r>
            <w:rPr>
              <w:color w:val="FFFFFF" w:themeColor="background1"/>
            </w:rPr>
            <w:t>[Course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75AE"/>
    <w:rsid w:val="00044E8D"/>
    <w:rsid w:val="0023360B"/>
    <w:rsid w:val="003975AE"/>
    <w:rsid w:val="00437824"/>
    <w:rsid w:val="004D697E"/>
    <w:rsid w:val="005E10BF"/>
    <w:rsid w:val="00763218"/>
    <w:rsid w:val="00780007"/>
    <w:rsid w:val="00A02EDE"/>
    <w:rsid w:val="00A0309A"/>
    <w:rsid w:val="00A61F33"/>
    <w:rsid w:val="00C376AB"/>
    <w:rsid w:val="00CB1CD8"/>
    <w:rsid w:val="00E0237B"/>
    <w:rsid w:val="00EB146C"/>
    <w:rsid w:val="00F128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6F64CB396B4471D882C02F82FDF7B5F">
    <w:name w:val="46F64CB396B4471D882C02F82FDF7B5F"/>
    <w:rsid w:val="003975AE"/>
  </w:style>
  <w:style w:type="paragraph" w:customStyle="1" w:styleId="8552DB7BF93F48C68609FECE5D7060D6">
    <w:name w:val="8552DB7BF93F48C68609FECE5D7060D6"/>
    <w:rsid w:val="003975AE"/>
  </w:style>
  <w:style w:type="paragraph" w:customStyle="1" w:styleId="B8B65929A5454AB3B2077ECDC9A06685">
    <w:name w:val="B8B65929A5454AB3B2077ECDC9A06685"/>
    <w:rsid w:val="003975AE"/>
  </w:style>
  <w:style w:type="paragraph" w:customStyle="1" w:styleId="9417680968114C2EA9D1CE138A820AE7">
    <w:name w:val="9417680968114C2EA9D1CE138A820AE7"/>
    <w:rsid w:val="003975A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2025-10-30T00:00:00</PublishDate>
  <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_activity xmlns="d8e79d84-78fb-44a9-92e9-d04bdd8f0359"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20804DBFC42F64693D899720BA9B0FE" ma:contentTypeVersion="16" ma:contentTypeDescription="Create a new document." ma:contentTypeScope="" ma:versionID="2c1b53edec95ac80823844df15ba9235">
  <xsd:schema xmlns:xsd="http://www.w3.org/2001/XMLSchema" xmlns:xs="http://www.w3.org/2001/XMLSchema" xmlns:p="http://schemas.microsoft.com/office/2006/metadata/properties" xmlns:ns3="d8e79d84-78fb-44a9-92e9-d04bdd8f0359" xmlns:ns4="04c7059f-bde8-4ce9-bb0f-e52888740953" targetNamespace="http://schemas.microsoft.com/office/2006/metadata/properties" ma:root="true" ma:fieldsID="7bd3f11e4c08b2659fee3feb90661e3f" ns3:_="" ns4:_="">
    <xsd:import namespace="d8e79d84-78fb-44a9-92e9-d04bdd8f0359"/>
    <xsd:import namespace="04c7059f-bde8-4ce9-bb0f-e52888740953"/>
    <xsd:element name="properties">
      <xsd:complexType>
        <xsd:sequence>
          <xsd:element name="documentManagement">
            <xsd:complexType>
              <xsd:all>
                <xsd:element ref="ns3:_activity" minOccurs="0"/>
                <xsd:element ref="ns4:SharedWithUsers" minOccurs="0"/>
                <xsd:element ref="ns4:SharedWithDetails" minOccurs="0"/>
                <xsd:element ref="ns4:SharingHintHash" minOccurs="0"/>
                <xsd:element ref="ns3:MediaServiceMetadata" minOccurs="0"/>
                <xsd:element ref="ns3:MediaServiceFastMetadata" minOccurs="0"/>
                <xsd:element ref="ns3:MediaServiceSearchPropertie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LengthInSeconds" minOccurs="0"/>
                <xsd:element ref="ns3:MediaServiceObjectDetectorVersions" minOccurs="0"/>
                <xsd:element ref="ns3:MediaServiceSystemTag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e79d84-78fb-44a9-92e9-d04bdd8f0359" elementFormDefault="qualified">
    <xsd:import namespace="http://schemas.microsoft.com/office/2006/documentManagement/types"/>
    <xsd:import namespace="http://schemas.microsoft.com/office/infopath/2007/PartnerControls"/>
    <xsd:element name="_activity" ma:index="8" nillable="true" ma:displayName="_activity" ma:hidden="true" ma:internalName="_activity">
      <xsd:simpleType>
        <xsd:restriction base="dms:Note"/>
      </xsd:simple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ystemTags" ma:index="22" nillable="true" ma:displayName="MediaServiceSystemTags" ma:hidden="true" ma:internalName="MediaServiceSystemTags" ma:readOnly="true">
      <xsd:simpleType>
        <xsd:restriction base="dms:Note"/>
      </xsd:simpleType>
    </xsd:element>
    <xsd:element name="MediaServiceLocation" ma:index="23"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4c7059f-bde8-4ce9-bb0f-e52888740953" elementFormDefault="qualified">
    <xsd:import namespace="http://schemas.microsoft.com/office/2006/documentManagement/types"/>
    <xsd:import namespace="http://schemas.microsoft.com/office/infopath/2007/PartnerControls"/>
    <xsd:element name="SharedWithUsers" ma:index="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0" nillable="true" ma:displayName="Shared With Details" ma:internalName="SharedWithDetails" ma:readOnly="true">
      <xsd:simpleType>
        <xsd:restriction base="dms:Note">
          <xsd:maxLength value="255"/>
        </xsd:restriction>
      </xsd:simpleType>
    </xsd:element>
    <xsd:element name="SharingHintHash" ma:index="1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60D2866-98D4-4200-A582-A4EC42E7A9A0}">
  <ds:schemaRefs>
    <ds:schemaRef ds:uri="http://schemas.microsoft.com/office/2006/metadata/properties"/>
    <ds:schemaRef ds:uri="http://schemas.microsoft.com/office/infopath/2007/PartnerControls"/>
    <ds:schemaRef ds:uri="d8e79d84-78fb-44a9-92e9-d04bdd8f0359"/>
  </ds:schemaRefs>
</ds:datastoreItem>
</file>

<file path=customXml/itemProps3.xml><?xml version="1.0" encoding="utf-8"?>
<ds:datastoreItem xmlns:ds="http://schemas.openxmlformats.org/officeDocument/2006/customXml" ds:itemID="{227A59B1-E28C-4506-9512-0162052612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e79d84-78fb-44a9-92e9-d04bdd8f0359"/>
    <ds:schemaRef ds:uri="04c7059f-bde8-4ce9-bb0f-e528887409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96C7179-0456-4A2F-9E5E-F1CCEE33E7F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631</TotalTime>
  <Pages>19</Pages>
  <Words>4206</Words>
  <Characters>29385</Characters>
  <Application>Microsoft Office Word</Application>
  <DocSecurity>0</DocSecurity>
  <Lines>538</Lines>
  <Paragraphs>111</Paragraphs>
  <ScaleCrop>false</ScaleCrop>
  <Company/>
  <LinksUpToDate>false</LinksUpToDate>
  <CharactersWithSpaces>33488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in the Hotel and Hospitality Sector                                                                                                                  BMIH6001 Level 6</dc:subject>
  <dc:creator>Augusta Roxana Toth (2226559)</dc:creator>
  <cp:keywords/>
  <dc:description/>
  <cp:lastModifiedBy>Augusta Roxana Toth (2226559)</cp:lastModifiedBy>
  <cp:revision>162</cp:revision>
  <dcterms:created xsi:type="dcterms:W3CDTF">2025-10-01T08:24:00Z</dcterms:created>
  <dcterms:modified xsi:type="dcterms:W3CDTF">2025-10-29T10:49:00Z</dcterms:modified>
  <cp:category>BMIH6001</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ae17a5f4-2d31-49a2-8df4-e6ad1fa0bbb8</vt:lpwstr>
  </property>
  <property fmtid="{D5CDD505-2E9C-101B-9397-08002B2CF9AE}" pid="3" name="ContentTypeId">
    <vt:lpwstr>0x010100A20804DBFC42F64693D899720BA9B0FE</vt:lpwstr>
  </property>
</Properties>
</file>