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31A1" w:rsidRDefault="00A631A1" w:rsidP="00A631A1">
      <w:r>
        <w:t>Working with homeless families I have seen a rise in individuals accessing the service whom are experiencing mental health issues which has a significant negative impact on their lives, “68% of women and 57% of men with mental health problem are parents” (mental health foundation).  Mental health can have detrimental effects on a child and ‘research has long proposed a link between parental mental health illness and risk to children of abuse, neglect and developmental delay.’ (Aldridge 2006)</w:t>
      </w:r>
    </w:p>
    <w:p w:rsidR="00A631A1" w:rsidRDefault="00A631A1" w:rsidP="00A631A1">
      <w:r>
        <w:t>I have identified I need further knowledge around mental health conditions, the signs as well as coping strategies. I will gain this by accessing further mental health training via local and voluntary Services, as well as reading literature specialised in this area through journals and online services. It may also be beneficial to shadow mental health services to gain further knowledge.</w:t>
      </w:r>
    </w:p>
    <w:p w:rsidR="00A631A1" w:rsidRDefault="00A631A1" w:rsidP="00A631A1">
      <w:r>
        <w:t xml:space="preserve">Working collaboratively with other professionals </w:t>
      </w:r>
    </w:p>
    <w:p w:rsidR="00A631A1" w:rsidRDefault="00A631A1" w:rsidP="00A631A1">
      <w:r>
        <w:t>Being within a non-statutory service I have found that collaborative working is not always reciprocal from agencies, and that information is not always shared that may be important for the service to be aware of. In Lord Laming’s report after the death of Victoria Climbe it focused on the failure of multi agencies working, resulting in the safeguarding children; Working together under the Children Act 2004. Following the wales safeguarding procedures multi-agency working is a key principle outlined in the Social Services and Wellbeing Act 2014</w:t>
      </w:r>
    </w:p>
    <w:p w:rsidR="00A631A1" w:rsidRDefault="00A631A1" w:rsidP="00A631A1">
      <w:r>
        <w:t>I need to gain better knowledge around child protection processes through more specialist safeguarding training via the local authority. increased knowledge of Local authority procedures will provide a better understanding as well as the ability to challenge if necessary, as outlined within the Code of Professional Practice and National Occupational Standards for social workers.</w:t>
      </w:r>
    </w:p>
    <w:p w:rsidR="00A631A1" w:rsidRDefault="00A631A1" w:rsidP="00A631A1">
      <w:r>
        <w:t>Applying analysis in assessment to inform judgment</w:t>
      </w:r>
    </w:p>
    <w:p w:rsidR="00A631A1" w:rsidRDefault="00A631A1" w:rsidP="00A631A1">
      <w:r>
        <w:t>Since my return from maternity leave in 2019, my first year of practice I have identified an increased awareness of using theory/models within my practice however I have noted with my mentor the need to be more in depth to strengthen my interventions. Within my second year I will be applying further knowledge I have gained through continued professional development as well as using theories and evidence-based practice to enhance my professional practice.</w:t>
      </w:r>
    </w:p>
    <w:p w:rsidR="00A631A1" w:rsidRDefault="00A631A1" w:rsidP="00A631A1">
      <w:r>
        <w:t xml:space="preserve">Intervention and application of professional judgment in increasingly complex situations </w:t>
      </w:r>
    </w:p>
    <w:p w:rsidR="00A631A1" w:rsidRDefault="00A631A1" w:rsidP="00A631A1">
      <w:r>
        <w:t xml:space="preserve">Within the service individual needs are much higher than previously, changes to criteria has seen an increase in complex referrals and assessments identifying more complex planning and risk assessments. A rise in concerns including domestic violence, mental health, substance misuse (Toxic trio) have identified a significant increase in safeguarding concerns resulting in working with local authority and other specialist agencies to support individuals. </w:t>
      </w:r>
    </w:p>
    <w:p w:rsidR="008B6EA7" w:rsidRDefault="00A631A1" w:rsidP="00A631A1">
      <w:r>
        <w:t>To ensure I am providing best practice, I need further knowledge through specialist training around safeguarding and mental health and the services available locally. Working with adults and children requires the need for several professionals to be involved in a family’s support and by failing to provide this will cause further challenges including damaging effects on children exposed to adverse childhood experiences into their adult life.  (Public Health Network Cyrmu,2017) Prevention and early intervention is a key principle of the SSWBA14 and working partnership with services and gaining further knowledge will be beneficial in applying professional judgement in my practice.</w:t>
      </w:r>
    </w:p>
    <w:p w:rsidR="00A631A1" w:rsidRDefault="00A631A1" w:rsidP="00A631A1"/>
    <w:p w:rsidR="00A631A1" w:rsidRDefault="00A631A1" w:rsidP="00A631A1"/>
    <w:p w:rsidR="00A631A1" w:rsidRDefault="00A631A1" w:rsidP="00A631A1">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i/>
          <w:sz w:val="24"/>
        </w:rPr>
      </w:pPr>
      <w:r>
        <w:rPr>
          <w:rFonts w:ascii="Arial" w:eastAsia="Arial" w:hAnsi="Arial" w:cs="Arial"/>
          <w:i/>
          <w:sz w:val="24"/>
        </w:rPr>
        <w:lastRenderedPageBreak/>
        <w:t xml:space="preserve"> </w:t>
      </w:r>
      <w:r>
        <w:rPr>
          <w:rFonts w:ascii="Arial" w:eastAsia="Arial" w:hAnsi="Arial" w:cs="Arial"/>
          <w:sz w:val="24"/>
        </w:rPr>
        <w:t xml:space="preserve"> </w:t>
      </w:r>
    </w:p>
    <w:p w:rsidR="00A631A1" w:rsidRPr="00E608F6" w:rsidRDefault="00A631A1" w:rsidP="00A631A1">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i/>
          <w:sz w:val="24"/>
          <w:szCs w:val="24"/>
        </w:rPr>
      </w:pPr>
      <w:r w:rsidRPr="00E608F6">
        <w:rPr>
          <w:rFonts w:ascii="Arial" w:eastAsia="Arial" w:hAnsi="Arial" w:cs="Arial"/>
          <w:sz w:val="24"/>
          <w:szCs w:val="24"/>
        </w:rPr>
        <w:t xml:space="preserve">The objective </w:t>
      </w:r>
      <w:r>
        <w:rPr>
          <w:rFonts w:ascii="Arial" w:eastAsia="Arial" w:hAnsi="Arial" w:cs="Arial"/>
          <w:sz w:val="24"/>
          <w:szCs w:val="24"/>
        </w:rPr>
        <w:t>is</w:t>
      </w:r>
      <w:r w:rsidRPr="00E608F6">
        <w:rPr>
          <w:rFonts w:ascii="Arial" w:eastAsia="Arial" w:hAnsi="Arial" w:cs="Arial"/>
          <w:sz w:val="24"/>
          <w:szCs w:val="24"/>
        </w:rPr>
        <w:t xml:space="preserve"> a planned meeting of transfer of practitioner for</w:t>
      </w:r>
      <w:r>
        <w:rPr>
          <w:rFonts w:ascii="Arial" w:eastAsia="Arial" w:hAnsi="Arial" w:cs="Arial"/>
          <w:sz w:val="24"/>
          <w:szCs w:val="24"/>
        </w:rPr>
        <w:t xml:space="preserve"> a looked after child, </w:t>
      </w:r>
      <w:r w:rsidRPr="00E608F6">
        <w:rPr>
          <w:rFonts w:ascii="Arial" w:eastAsia="Arial" w:hAnsi="Arial" w:cs="Arial"/>
          <w:sz w:val="24"/>
          <w:szCs w:val="24"/>
        </w:rPr>
        <w:t>currently living out of area and in a residential placement as placed by the Local authority</w:t>
      </w:r>
      <w:r>
        <w:rPr>
          <w:rFonts w:ascii="Arial" w:eastAsia="Arial" w:hAnsi="Arial" w:cs="Arial"/>
          <w:sz w:val="24"/>
          <w:szCs w:val="24"/>
        </w:rPr>
        <w:t xml:space="preserve"> under S</w:t>
      </w:r>
      <w:r w:rsidRPr="00E608F6">
        <w:rPr>
          <w:rFonts w:ascii="Arial" w:eastAsia="Arial" w:hAnsi="Arial" w:cs="Arial"/>
          <w:sz w:val="24"/>
          <w:szCs w:val="24"/>
        </w:rPr>
        <w:t>76 Social services and Wellbeing Act 2014.</w:t>
      </w:r>
      <w:r w:rsidRPr="00E608F6">
        <w:rPr>
          <w:rFonts w:ascii="Arial" w:hAnsi="Arial" w:cs="Arial"/>
          <w:sz w:val="24"/>
          <w:szCs w:val="24"/>
        </w:rPr>
        <w:t xml:space="preserve"> </w:t>
      </w:r>
    </w:p>
    <w:p w:rsidR="00A631A1" w:rsidRPr="00E608F6" w:rsidRDefault="00A631A1" w:rsidP="00A631A1">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p>
    <w:p w:rsidR="00A631A1" w:rsidRPr="00E608F6" w:rsidRDefault="00A631A1" w:rsidP="00A631A1">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r w:rsidRPr="00E608F6">
        <w:rPr>
          <w:rFonts w:ascii="Arial" w:eastAsia="Arial" w:hAnsi="Arial" w:cs="Arial"/>
          <w:sz w:val="24"/>
          <w:szCs w:val="24"/>
        </w:rPr>
        <w:t xml:space="preserve">Child 1 is a White British 16-year-old </w:t>
      </w:r>
      <w:r>
        <w:rPr>
          <w:rFonts w:ascii="Arial" w:eastAsia="Arial" w:hAnsi="Arial" w:cs="Arial"/>
          <w:sz w:val="24"/>
          <w:szCs w:val="24"/>
        </w:rPr>
        <w:t xml:space="preserve">child whom is </w:t>
      </w:r>
      <w:r w:rsidRPr="00E608F6">
        <w:rPr>
          <w:rFonts w:ascii="Arial" w:eastAsia="Arial" w:hAnsi="Arial" w:cs="Arial"/>
          <w:sz w:val="24"/>
          <w:szCs w:val="24"/>
        </w:rPr>
        <w:t>looked after by the local authority under a S31 Care Order</w:t>
      </w:r>
      <w:r>
        <w:rPr>
          <w:rFonts w:ascii="Arial" w:eastAsia="Arial" w:hAnsi="Arial" w:cs="Arial"/>
          <w:sz w:val="24"/>
          <w:szCs w:val="24"/>
        </w:rPr>
        <w:t xml:space="preserve"> due to being </w:t>
      </w:r>
      <w:r w:rsidRPr="00E608F6">
        <w:rPr>
          <w:rFonts w:ascii="Arial" w:eastAsia="Arial" w:hAnsi="Arial" w:cs="Arial"/>
          <w:sz w:val="24"/>
          <w:szCs w:val="24"/>
        </w:rPr>
        <w:t xml:space="preserve">deemed ‘beyond parental control’ following no parent exercising their responsibility based on a number of factors. Child 1 has a complex presentation with mental health and a history of challenging behaviours which include self-harm and suicidal ideations. </w:t>
      </w:r>
      <w:r>
        <w:rPr>
          <w:rFonts w:ascii="Arial" w:eastAsia="Arial" w:hAnsi="Arial" w:cs="Arial"/>
          <w:sz w:val="24"/>
          <w:szCs w:val="24"/>
        </w:rPr>
        <w:t>Under S20 of the UNCRC</w:t>
      </w:r>
      <w:r w:rsidRPr="00E72103">
        <w:rPr>
          <w:rFonts w:ascii="Arial" w:eastAsia="Arial" w:hAnsi="Arial" w:cs="Arial"/>
          <w:sz w:val="24"/>
          <w:szCs w:val="24"/>
        </w:rPr>
        <w:t xml:space="preserve">, Child 1 has the right to a safe home that respects their culture and language.  </w:t>
      </w:r>
    </w:p>
    <w:p w:rsidR="00A631A1" w:rsidRPr="00E608F6" w:rsidRDefault="00A631A1" w:rsidP="00A631A1">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E608F6">
        <w:rPr>
          <w:rFonts w:ascii="Arial" w:eastAsia="Arial" w:hAnsi="Arial" w:cs="Arial"/>
          <w:sz w:val="24"/>
          <w:szCs w:val="24"/>
        </w:rPr>
        <w:t xml:space="preserve">The </w:t>
      </w:r>
      <w:r>
        <w:rPr>
          <w:rFonts w:ascii="Arial" w:eastAsia="Arial" w:hAnsi="Arial" w:cs="Arial"/>
          <w:sz w:val="24"/>
          <w:szCs w:val="24"/>
        </w:rPr>
        <w:t xml:space="preserve">disengagement process will be </w:t>
      </w:r>
      <w:r w:rsidRPr="00E608F6">
        <w:rPr>
          <w:rFonts w:ascii="Arial" w:eastAsia="Arial" w:hAnsi="Arial" w:cs="Arial"/>
          <w:sz w:val="24"/>
          <w:szCs w:val="24"/>
        </w:rPr>
        <w:t>an informal conversation with Child 1, practitioner 2 and myself via video call following COVID19 regulations. I have</w:t>
      </w:r>
      <w:r>
        <w:rPr>
          <w:rFonts w:ascii="Arial" w:eastAsia="Arial" w:hAnsi="Arial" w:cs="Arial"/>
          <w:sz w:val="24"/>
          <w:szCs w:val="24"/>
        </w:rPr>
        <w:t xml:space="preserve"> prior</w:t>
      </w:r>
      <w:r w:rsidRPr="00E608F6">
        <w:rPr>
          <w:rFonts w:ascii="Arial" w:eastAsia="Arial" w:hAnsi="Arial" w:cs="Arial"/>
          <w:sz w:val="24"/>
          <w:szCs w:val="24"/>
        </w:rPr>
        <w:t xml:space="preserve"> </w:t>
      </w:r>
      <w:r>
        <w:rPr>
          <w:rFonts w:ascii="Arial" w:eastAsia="Arial" w:hAnsi="Arial" w:cs="Arial"/>
          <w:sz w:val="24"/>
          <w:szCs w:val="24"/>
        </w:rPr>
        <w:t>discussed with</w:t>
      </w:r>
      <w:r w:rsidRPr="00E608F6">
        <w:rPr>
          <w:rFonts w:ascii="Arial" w:eastAsia="Arial" w:hAnsi="Arial" w:cs="Arial"/>
          <w:sz w:val="24"/>
          <w:szCs w:val="24"/>
        </w:rPr>
        <w:t xml:space="preserve"> Child 1 about the change in </w:t>
      </w:r>
      <w:r>
        <w:rPr>
          <w:rFonts w:ascii="Arial" w:eastAsia="Arial" w:hAnsi="Arial" w:cs="Arial"/>
          <w:sz w:val="24"/>
          <w:szCs w:val="24"/>
        </w:rPr>
        <w:t>social worker</w:t>
      </w:r>
      <w:r w:rsidRPr="00E608F6">
        <w:rPr>
          <w:rFonts w:ascii="Arial" w:eastAsia="Arial" w:hAnsi="Arial" w:cs="Arial"/>
          <w:sz w:val="24"/>
          <w:szCs w:val="24"/>
        </w:rPr>
        <w:t xml:space="preserve"> and</w:t>
      </w:r>
      <w:r>
        <w:rPr>
          <w:rFonts w:ascii="Arial" w:eastAsia="Arial" w:hAnsi="Arial" w:cs="Arial"/>
          <w:sz w:val="24"/>
          <w:szCs w:val="24"/>
        </w:rPr>
        <w:t xml:space="preserve"> arranged a</w:t>
      </w:r>
      <w:r w:rsidRPr="00E608F6">
        <w:rPr>
          <w:rFonts w:ascii="Arial" w:eastAsia="Arial" w:hAnsi="Arial" w:cs="Arial"/>
          <w:sz w:val="24"/>
          <w:szCs w:val="24"/>
        </w:rPr>
        <w:t xml:space="preserve"> meeting to</w:t>
      </w:r>
      <w:r>
        <w:rPr>
          <w:rFonts w:ascii="Arial" w:eastAsia="Arial" w:hAnsi="Arial" w:cs="Arial"/>
          <w:sz w:val="24"/>
          <w:szCs w:val="24"/>
        </w:rPr>
        <w:t xml:space="preserve"> ensure</w:t>
      </w:r>
      <w:r w:rsidRPr="00E608F6">
        <w:rPr>
          <w:rFonts w:ascii="Arial" w:eastAsia="Arial" w:hAnsi="Arial" w:cs="Arial"/>
          <w:sz w:val="24"/>
          <w:szCs w:val="24"/>
        </w:rPr>
        <w:t xml:space="preserve"> Child 1 </w:t>
      </w:r>
      <w:r>
        <w:rPr>
          <w:rFonts w:ascii="Arial" w:eastAsia="Arial" w:hAnsi="Arial" w:cs="Arial"/>
          <w:sz w:val="24"/>
          <w:szCs w:val="24"/>
        </w:rPr>
        <w:t>is supported</w:t>
      </w:r>
      <w:r w:rsidRPr="00E608F6">
        <w:rPr>
          <w:rFonts w:ascii="Arial" w:eastAsia="Arial" w:hAnsi="Arial" w:cs="Arial"/>
          <w:sz w:val="24"/>
          <w:szCs w:val="24"/>
        </w:rPr>
        <w:t xml:space="preserve"> in the transition of </w:t>
      </w:r>
      <w:r w:rsidRPr="00652F72">
        <w:rPr>
          <w:rFonts w:ascii="Arial" w:eastAsia="Arial" w:hAnsi="Arial" w:cs="Arial"/>
          <w:sz w:val="24"/>
          <w:szCs w:val="24"/>
        </w:rPr>
        <w:t>practitioner. We also determined the meeting to be held after school</w:t>
      </w:r>
      <w:r>
        <w:rPr>
          <w:rFonts w:ascii="Arial" w:eastAsia="Arial" w:hAnsi="Arial" w:cs="Arial"/>
          <w:sz w:val="24"/>
          <w:szCs w:val="24"/>
        </w:rPr>
        <w:t xml:space="preserve"> at a specific time and </w:t>
      </w:r>
      <w:r w:rsidRPr="00652F72">
        <w:rPr>
          <w:rFonts w:ascii="Arial" w:eastAsia="Arial" w:hAnsi="Arial" w:cs="Arial"/>
          <w:sz w:val="24"/>
          <w:szCs w:val="24"/>
        </w:rPr>
        <w:t>date and that Child 1 had the means to access the meeting via their phone.</w:t>
      </w:r>
      <w:r>
        <w:rPr>
          <w:rFonts w:ascii="Arial" w:eastAsia="Arial" w:hAnsi="Arial" w:cs="Arial"/>
          <w:sz w:val="24"/>
          <w:szCs w:val="24"/>
        </w:rPr>
        <w:t xml:space="preserve"> Local Authority share responsibility for Child 1, both carers and parents are to be updated about the meeting.</w:t>
      </w:r>
      <w:r w:rsidRPr="00652F72">
        <w:rPr>
          <w:rFonts w:ascii="Arial" w:eastAsia="Arial" w:hAnsi="Arial" w:cs="Arial"/>
          <w:sz w:val="24"/>
          <w:szCs w:val="24"/>
        </w:rPr>
        <w:t xml:space="preserve">  Acknowledgment of the ‘active offer’ under SSWBA14 was </w:t>
      </w:r>
      <w:r>
        <w:rPr>
          <w:rFonts w:ascii="Arial" w:eastAsia="Arial" w:hAnsi="Arial" w:cs="Arial"/>
          <w:sz w:val="24"/>
          <w:szCs w:val="24"/>
        </w:rPr>
        <w:t>considered</w:t>
      </w:r>
      <w:r w:rsidRPr="00652F72">
        <w:rPr>
          <w:rFonts w:ascii="Arial" w:eastAsia="Arial" w:hAnsi="Arial" w:cs="Arial"/>
          <w:sz w:val="24"/>
          <w:szCs w:val="24"/>
        </w:rPr>
        <w:t xml:space="preserve"> however Child 1’s preferred language is English therefore no arrangement for a translator or alternative information to be considered in Welsh or another language is needed.</w:t>
      </w:r>
      <w:r w:rsidRPr="00652F72">
        <w:rPr>
          <w:rFonts w:ascii="Arial" w:hAnsi="Arial" w:cs="Arial"/>
          <w:spacing w:val="7"/>
          <w:sz w:val="24"/>
          <w:szCs w:val="24"/>
          <w:lang w:val="en"/>
        </w:rPr>
        <w:t xml:space="preserve"> </w:t>
      </w:r>
      <w:r w:rsidRPr="00652F72">
        <w:rPr>
          <w:rFonts w:ascii="Arial" w:eastAsia="Arial" w:hAnsi="Arial" w:cs="Arial"/>
          <w:sz w:val="24"/>
          <w:szCs w:val="24"/>
        </w:rPr>
        <w:t xml:space="preserve">Appropriate language and communication skills are to be used to ensure that Child 1 understands and does not feel overwhelmed during the meeting. </w:t>
      </w:r>
      <w:r>
        <w:rPr>
          <w:rFonts w:ascii="Arial" w:eastAsia="Arial" w:hAnsi="Arial" w:cs="Arial"/>
          <w:sz w:val="24"/>
          <w:szCs w:val="24"/>
        </w:rPr>
        <w:t xml:space="preserve">This is a person </w:t>
      </w:r>
      <w:proofErr w:type="spellStart"/>
      <w:r>
        <w:rPr>
          <w:rFonts w:ascii="Arial" w:eastAsia="Arial" w:hAnsi="Arial" w:cs="Arial"/>
          <w:sz w:val="24"/>
          <w:szCs w:val="24"/>
        </w:rPr>
        <w:t>centered</w:t>
      </w:r>
      <w:proofErr w:type="spellEnd"/>
      <w:r>
        <w:rPr>
          <w:rFonts w:ascii="Arial" w:eastAsia="Arial" w:hAnsi="Arial" w:cs="Arial"/>
          <w:sz w:val="24"/>
          <w:szCs w:val="24"/>
        </w:rPr>
        <w:t xml:space="preserve"> approach and it</w:t>
      </w:r>
      <w:r w:rsidRPr="00652F72">
        <w:rPr>
          <w:rFonts w:ascii="Arial" w:eastAsia="Arial" w:hAnsi="Arial" w:cs="Arial"/>
          <w:sz w:val="24"/>
          <w:szCs w:val="24"/>
        </w:rPr>
        <w:t xml:space="preserve"> is imperative that Child 1 feels fully informed about their care and also able to voice their views and opinions as reinforced by Article 12 UNCRC. </w:t>
      </w: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This meeting was held via video call due to COVID19 regulations. This was not the preferred way of a meeting with a young person to transfer and conduct a plan of disengagement (NOS20.P1) however unfortunately due to the pandemic this was the safest way at the time.  Child 1 had already used this platform a number of times previously and was confident to access this independently. Having worked with Child 1 for a period of time there was already a built rapport, so there was some good understanding of the child </w:t>
      </w:r>
      <w:r>
        <w:rPr>
          <w:rFonts w:ascii="Arial" w:hAnsi="Arial" w:cs="Arial"/>
          <w:sz w:val="24"/>
          <w:szCs w:val="24"/>
        </w:rPr>
        <w:t>and their</w:t>
      </w:r>
      <w:r w:rsidRPr="00652F72">
        <w:rPr>
          <w:rFonts w:ascii="Arial" w:hAnsi="Arial" w:cs="Arial"/>
          <w:sz w:val="24"/>
          <w:szCs w:val="24"/>
        </w:rPr>
        <w:t xml:space="preserve"> </w:t>
      </w:r>
      <w:r>
        <w:rPr>
          <w:rFonts w:ascii="Arial" w:hAnsi="Arial" w:cs="Arial"/>
          <w:sz w:val="24"/>
          <w:szCs w:val="24"/>
        </w:rPr>
        <w:t>needs</w:t>
      </w:r>
      <w:r w:rsidRPr="00652F72">
        <w:rPr>
          <w:rFonts w:ascii="Arial" w:hAnsi="Arial" w:cs="Arial"/>
          <w:sz w:val="24"/>
          <w:szCs w:val="24"/>
        </w:rPr>
        <w:t xml:space="preserve"> </w:t>
      </w:r>
      <w:r>
        <w:rPr>
          <w:rFonts w:ascii="Arial" w:hAnsi="Arial" w:cs="Arial"/>
          <w:sz w:val="24"/>
          <w:szCs w:val="24"/>
        </w:rPr>
        <w:t>as well as</w:t>
      </w:r>
      <w:r w:rsidRPr="00652F72">
        <w:rPr>
          <w:rFonts w:ascii="Arial" w:hAnsi="Arial" w:cs="Arial"/>
          <w:sz w:val="24"/>
          <w:szCs w:val="24"/>
        </w:rPr>
        <w:t xml:space="preserve"> them as a</w:t>
      </w:r>
      <w:r>
        <w:rPr>
          <w:rFonts w:ascii="Arial" w:hAnsi="Arial" w:cs="Arial"/>
          <w:sz w:val="24"/>
          <w:szCs w:val="24"/>
        </w:rPr>
        <w:t xml:space="preserve">n individual. </w:t>
      </w:r>
      <w:r w:rsidRPr="00652F72">
        <w:rPr>
          <w:rFonts w:ascii="Arial" w:hAnsi="Arial" w:cs="Arial"/>
          <w:sz w:val="24"/>
          <w:szCs w:val="24"/>
        </w:rPr>
        <w:t xml:space="preserve"> Child 1 was aware that there would be a transfer in social worker and this is important for any child to be kept informed about their care, ‘Children need to be consulted at all stages of their care journey; involving children can improve the quality of decisions and lead to more stable placements.’(Doh,2014) ‘research consistently demonstrates that children like it when social workers have qualities such as honesty, reliability and consistency (Luckock et al, 2006; Munro, 2011).’ There was also a history of abandonment and rejection to be noted for Child 1 and it was important that this process was positive to ensure this was a co-productive transition and ensured Child 1 did not become </w:t>
      </w:r>
      <w:r>
        <w:rPr>
          <w:rFonts w:ascii="Arial" w:hAnsi="Arial" w:cs="Arial"/>
          <w:sz w:val="24"/>
          <w:szCs w:val="24"/>
        </w:rPr>
        <w:t xml:space="preserve">emotionally </w:t>
      </w:r>
      <w:r w:rsidRPr="00652F72">
        <w:rPr>
          <w:rFonts w:ascii="Arial" w:hAnsi="Arial" w:cs="Arial"/>
          <w:sz w:val="24"/>
          <w:szCs w:val="24"/>
        </w:rPr>
        <w:t>dysregulated.</w:t>
      </w: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Child 1 is a looked after child by the local authority under S78 SSWBA14 </w:t>
      </w:r>
      <w:r>
        <w:rPr>
          <w:rFonts w:ascii="Arial" w:hAnsi="Arial" w:cs="Arial"/>
          <w:sz w:val="24"/>
          <w:szCs w:val="24"/>
        </w:rPr>
        <w:t>whereby there is a duty</w:t>
      </w:r>
      <w:r w:rsidRPr="00652F72">
        <w:rPr>
          <w:rFonts w:ascii="Arial" w:hAnsi="Arial" w:cs="Arial"/>
          <w:sz w:val="24"/>
          <w:szCs w:val="24"/>
        </w:rPr>
        <w:t xml:space="preserve"> to safeguard and accommodate a child with consideration to </w:t>
      </w:r>
      <w:r w:rsidRPr="00652F72">
        <w:rPr>
          <w:rFonts w:ascii="Arial" w:hAnsi="Arial" w:cs="Arial"/>
          <w:sz w:val="24"/>
          <w:szCs w:val="24"/>
        </w:rPr>
        <w:lastRenderedPageBreak/>
        <w:t xml:space="preserve">education and their wellbeing. The Local authority hold </w:t>
      </w:r>
      <w:r>
        <w:rPr>
          <w:rFonts w:ascii="Arial" w:hAnsi="Arial" w:cs="Arial"/>
          <w:sz w:val="24"/>
          <w:szCs w:val="24"/>
        </w:rPr>
        <w:t xml:space="preserve">most </w:t>
      </w:r>
      <w:r w:rsidRPr="00652F72">
        <w:rPr>
          <w:rFonts w:ascii="Arial" w:hAnsi="Arial" w:cs="Arial"/>
          <w:sz w:val="24"/>
          <w:szCs w:val="24"/>
        </w:rPr>
        <w:t>parental responsibility for Child 1, prior to the meeting Child 1 had stated they did not want any carers in the placement to be present and they were happy for this to go ahead. Family and carers were prior notified of the change of social worker to ensu</w:t>
      </w:r>
      <w:r>
        <w:rPr>
          <w:rFonts w:ascii="Arial" w:hAnsi="Arial" w:cs="Arial"/>
          <w:sz w:val="24"/>
          <w:szCs w:val="24"/>
        </w:rPr>
        <w:t>re that they were kept informed and involved.</w:t>
      </w: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Child 1 was 16-years-old and deemed to have the capacity to make their own decision following the Gillick competence guidelines. When considering a child </w:t>
      </w:r>
      <w:proofErr w:type="spellStart"/>
      <w:r w:rsidRPr="00652F72">
        <w:rPr>
          <w:rFonts w:ascii="Arial" w:hAnsi="Arial" w:cs="Arial"/>
          <w:sz w:val="24"/>
          <w:szCs w:val="24"/>
        </w:rPr>
        <w:t>centered</w:t>
      </w:r>
      <w:proofErr w:type="spellEnd"/>
      <w:r w:rsidRPr="00652F72">
        <w:rPr>
          <w:rFonts w:ascii="Arial" w:hAnsi="Arial" w:cs="Arial"/>
          <w:sz w:val="24"/>
          <w:szCs w:val="24"/>
        </w:rPr>
        <w:t xml:space="preserve"> approach this allowed Child 1 to remain informed and able to make their own decisions regarding the meeting (Copp 1,1). On the day I called Child 1 to ensure they were still happy for the meeting to go ahead and not to make that assumption myself. A number of factors may have changed the plan and in social work</w:t>
      </w:r>
      <w:r>
        <w:rPr>
          <w:rFonts w:ascii="Arial" w:hAnsi="Arial" w:cs="Arial"/>
          <w:sz w:val="24"/>
          <w:szCs w:val="24"/>
        </w:rPr>
        <w:t xml:space="preserve"> this is a common occurrence, ha</w:t>
      </w:r>
      <w:r w:rsidRPr="00652F72">
        <w:rPr>
          <w:rFonts w:ascii="Arial" w:hAnsi="Arial" w:cs="Arial"/>
          <w:sz w:val="24"/>
          <w:szCs w:val="24"/>
        </w:rPr>
        <w:t>d this been an issue we would have rearranged or considered an alternative plan. Younger children or children with disabilities may need alternative forms of verbal and</w:t>
      </w:r>
      <w:r>
        <w:rPr>
          <w:rFonts w:ascii="Arial" w:hAnsi="Arial" w:cs="Arial"/>
          <w:sz w:val="24"/>
          <w:szCs w:val="24"/>
        </w:rPr>
        <w:t xml:space="preserve"> non-verbal communication or the</w:t>
      </w:r>
      <w:r w:rsidRPr="00652F72">
        <w:rPr>
          <w:rFonts w:ascii="Arial" w:hAnsi="Arial" w:cs="Arial"/>
          <w:sz w:val="24"/>
          <w:szCs w:val="24"/>
        </w:rPr>
        <w:t xml:space="preserve"> use of aides. </w:t>
      </w:r>
      <w:r>
        <w:rPr>
          <w:rFonts w:ascii="Arial" w:hAnsi="Arial" w:cs="Arial"/>
          <w:sz w:val="24"/>
          <w:szCs w:val="24"/>
        </w:rPr>
        <w:t>‘</w:t>
      </w:r>
      <w:r w:rsidRPr="00652F72">
        <w:rPr>
          <w:rFonts w:ascii="Arial" w:hAnsi="Arial" w:cs="Arial"/>
          <w:sz w:val="24"/>
          <w:szCs w:val="24"/>
        </w:rPr>
        <w:t>Practitioners need to work at the child’s pace and tailor their communication style to the best way of communicating with individual children and young people. This requires time, patience, space and resources</w:t>
      </w:r>
      <w:r>
        <w:rPr>
          <w:rFonts w:ascii="Arial" w:hAnsi="Arial" w:cs="Arial"/>
          <w:sz w:val="24"/>
          <w:szCs w:val="24"/>
        </w:rPr>
        <w:t>.’</w:t>
      </w:r>
      <w:r w:rsidRPr="00652F72">
        <w:rPr>
          <w:rFonts w:ascii="Arial" w:hAnsi="Arial" w:cs="Arial"/>
          <w:sz w:val="24"/>
          <w:szCs w:val="24"/>
        </w:rPr>
        <w:t xml:space="preserve"> (L</w:t>
      </w:r>
      <w:r>
        <w:rPr>
          <w:rFonts w:ascii="Arial" w:hAnsi="Arial" w:cs="Arial"/>
          <w:sz w:val="24"/>
          <w:szCs w:val="24"/>
        </w:rPr>
        <w:t>uckock et al, 2006). In terms of local communication support, the Local A</w:t>
      </w:r>
      <w:r w:rsidRPr="00652F72">
        <w:rPr>
          <w:rFonts w:ascii="Arial" w:hAnsi="Arial" w:cs="Arial"/>
          <w:sz w:val="24"/>
          <w:szCs w:val="24"/>
        </w:rPr>
        <w:t>uthority had created a mobile app for children and young people to voice their views, worries and opinions and this could have been an alternative option for Child1.</w:t>
      </w: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There were no language needs identified however with consideration to the Welsh context and with 19.8% of the population being Welsh speakers the </w:t>
      </w:r>
      <w:r>
        <w:rPr>
          <w:rFonts w:ascii="Arial" w:hAnsi="Arial" w:cs="Arial"/>
          <w:sz w:val="24"/>
          <w:szCs w:val="24"/>
        </w:rPr>
        <w:t>‘</w:t>
      </w:r>
      <w:r w:rsidRPr="00652F72">
        <w:rPr>
          <w:rFonts w:ascii="Arial" w:hAnsi="Arial" w:cs="Arial"/>
          <w:sz w:val="24"/>
          <w:szCs w:val="24"/>
        </w:rPr>
        <w:t>Active offer</w:t>
      </w:r>
      <w:r>
        <w:rPr>
          <w:rFonts w:ascii="Arial" w:hAnsi="Arial" w:cs="Arial"/>
          <w:sz w:val="24"/>
          <w:szCs w:val="24"/>
        </w:rPr>
        <w:t>’</w:t>
      </w:r>
      <w:r w:rsidRPr="00652F72">
        <w:rPr>
          <w:rFonts w:ascii="Arial" w:hAnsi="Arial" w:cs="Arial"/>
          <w:sz w:val="24"/>
          <w:szCs w:val="24"/>
        </w:rPr>
        <w:t xml:space="preserve"> would be offered without the person asking for the service. (Copp2.3). It is important for individuals to feel comfortable and particular</w:t>
      </w:r>
      <w:r>
        <w:rPr>
          <w:rFonts w:ascii="Arial" w:hAnsi="Arial" w:cs="Arial"/>
          <w:sz w:val="24"/>
          <w:szCs w:val="24"/>
        </w:rPr>
        <w:t>ly</w:t>
      </w:r>
      <w:r w:rsidRPr="00652F72">
        <w:rPr>
          <w:rFonts w:ascii="Arial" w:hAnsi="Arial" w:cs="Arial"/>
          <w:sz w:val="24"/>
          <w:szCs w:val="24"/>
        </w:rPr>
        <w:t xml:space="preserve"> when in difficult situation or crisis to speak their mother language. Child 1 was living in a ne</w:t>
      </w:r>
      <w:r>
        <w:rPr>
          <w:rFonts w:ascii="Arial" w:hAnsi="Arial" w:cs="Arial"/>
          <w:sz w:val="24"/>
          <w:szCs w:val="24"/>
        </w:rPr>
        <w:t>w area and away from any family and friends and had they requested the presence of appropriate family</w:t>
      </w:r>
      <w:r w:rsidRPr="00652F72">
        <w:rPr>
          <w:rFonts w:ascii="Arial" w:hAnsi="Arial" w:cs="Arial"/>
          <w:sz w:val="24"/>
          <w:szCs w:val="24"/>
        </w:rPr>
        <w:t xml:space="preserve"> in this meeting it would have been imperative that arrangements were made. As highlighted by Gwenon Prysor in the ‘more than just words’ video the importance of making a child feel comfortable in a strange place by speaking Welsh or their first language is key in providing the best care and service for a child. Self-reflection as a social worker and being aware of the context you are working in is crucial to ensure that practice is not discriminatory and that society is not unequal. (Cop5.5)</w:t>
      </w: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The meeting was straight forward with the introductions which was </w:t>
      </w:r>
      <w:r>
        <w:rPr>
          <w:rFonts w:ascii="Arial" w:hAnsi="Arial" w:cs="Arial"/>
          <w:sz w:val="24"/>
          <w:szCs w:val="24"/>
        </w:rPr>
        <w:t>positive and the main objective completed.</w:t>
      </w:r>
      <w:r w:rsidRPr="00652F72">
        <w:rPr>
          <w:rFonts w:ascii="Arial" w:hAnsi="Arial" w:cs="Arial"/>
          <w:sz w:val="24"/>
          <w:szCs w:val="24"/>
        </w:rPr>
        <w:t xml:space="preserve"> I took on the main role initially and then summarized the plan and change in social worker to ensure that Child 1 was actively involved and fully understanding of the changes</w:t>
      </w:r>
      <w:r>
        <w:rPr>
          <w:rFonts w:ascii="Arial" w:hAnsi="Arial" w:cs="Arial"/>
          <w:sz w:val="24"/>
          <w:szCs w:val="24"/>
        </w:rPr>
        <w:t>. (Copp.3.1) ‘I</w:t>
      </w:r>
      <w:r w:rsidRPr="00652F72">
        <w:rPr>
          <w:rFonts w:ascii="Arial" w:hAnsi="Arial" w:cs="Arial"/>
          <w:sz w:val="24"/>
          <w:szCs w:val="24"/>
        </w:rPr>
        <w:t>t is important to gently paraphrase and summaries the service user’s account to verify your own understanding, reflecting back and seeking clarification.’ (Open university) Child 1 did engage however it was clear that they did not want to talk much which now reflecting on the meeting it was quite difficult to manage as this was not usually how Child 1 would present. Their normal self was usually confident and chatty and I had made the assumption that this would be the same during the meeting when in fact it was the opposite. At the time of the observation I tried to focus on usual conversations</w:t>
      </w:r>
      <w:r>
        <w:rPr>
          <w:rFonts w:ascii="Arial" w:hAnsi="Arial" w:cs="Arial"/>
          <w:sz w:val="24"/>
          <w:szCs w:val="24"/>
        </w:rPr>
        <w:t xml:space="preserve"> of interests</w:t>
      </w:r>
      <w:r w:rsidRPr="00652F72">
        <w:rPr>
          <w:rFonts w:ascii="Arial" w:hAnsi="Arial" w:cs="Arial"/>
          <w:sz w:val="24"/>
          <w:szCs w:val="24"/>
        </w:rPr>
        <w:t xml:space="preserve"> including family, friends and school to make this as regular</w:t>
      </w:r>
      <w:r>
        <w:rPr>
          <w:rFonts w:ascii="Arial" w:hAnsi="Arial" w:cs="Arial"/>
          <w:sz w:val="24"/>
          <w:szCs w:val="24"/>
        </w:rPr>
        <w:t xml:space="preserve"> </w:t>
      </w:r>
      <w:r w:rsidRPr="00652F72">
        <w:rPr>
          <w:rFonts w:ascii="Arial" w:hAnsi="Arial" w:cs="Arial"/>
          <w:sz w:val="24"/>
          <w:szCs w:val="24"/>
        </w:rPr>
        <w:t xml:space="preserve">for Child 1 especially when there was a clear </w:t>
      </w:r>
      <w:r>
        <w:rPr>
          <w:rFonts w:ascii="Arial" w:hAnsi="Arial" w:cs="Arial"/>
          <w:sz w:val="24"/>
          <w:szCs w:val="24"/>
        </w:rPr>
        <w:t>barrier in communication.</w:t>
      </w:r>
      <w:r w:rsidRPr="00652F72">
        <w:rPr>
          <w:rFonts w:ascii="Arial" w:hAnsi="Arial" w:cs="Arial"/>
          <w:sz w:val="24"/>
          <w:szCs w:val="24"/>
        </w:rPr>
        <w:t xml:space="preserve"> However, I had not </w:t>
      </w:r>
      <w:r w:rsidRPr="00652F72">
        <w:rPr>
          <w:rFonts w:ascii="Arial" w:hAnsi="Arial" w:cs="Arial"/>
          <w:sz w:val="24"/>
          <w:szCs w:val="24"/>
        </w:rPr>
        <w:lastRenderedPageBreak/>
        <w:t xml:space="preserve">taken into consideration that Child 1 would need to form a new relationship and build that </w:t>
      </w:r>
      <w:r>
        <w:rPr>
          <w:rFonts w:ascii="Arial" w:hAnsi="Arial" w:cs="Arial"/>
          <w:sz w:val="24"/>
          <w:szCs w:val="24"/>
        </w:rPr>
        <w:t>trust again and when incorporating</w:t>
      </w:r>
      <w:r w:rsidRPr="00652F72">
        <w:rPr>
          <w:rFonts w:ascii="Arial" w:hAnsi="Arial" w:cs="Arial"/>
          <w:sz w:val="24"/>
          <w:szCs w:val="24"/>
        </w:rPr>
        <w:t xml:space="preserve"> Bowlby’s attachment theory as well as Child 1 relationship difficulties and traumas ‘Continuity of relationships is key to helping children construct their identity and devel</w:t>
      </w:r>
      <w:r>
        <w:rPr>
          <w:rFonts w:ascii="Arial" w:hAnsi="Arial" w:cs="Arial"/>
          <w:sz w:val="24"/>
          <w:szCs w:val="24"/>
        </w:rPr>
        <w:t>op a strong sense of belonging, a</w:t>
      </w:r>
      <w:r w:rsidRPr="00652F72">
        <w:rPr>
          <w:rFonts w:ascii="Arial" w:hAnsi="Arial" w:cs="Arial"/>
          <w:sz w:val="24"/>
          <w:szCs w:val="24"/>
        </w:rPr>
        <w:t>ll of these are crucial for their well-being (The care Inquiry, 2013). Reflecting on my practice</w:t>
      </w:r>
      <w:r>
        <w:rPr>
          <w:rFonts w:ascii="Arial" w:hAnsi="Arial" w:cs="Arial"/>
          <w:sz w:val="24"/>
          <w:szCs w:val="24"/>
        </w:rPr>
        <w:t xml:space="preserve"> considering Mclean’s</w:t>
      </w:r>
      <w:r w:rsidRPr="00652F72">
        <w:rPr>
          <w:rFonts w:ascii="Arial" w:hAnsi="Arial" w:cs="Arial"/>
          <w:sz w:val="24"/>
          <w:szCs w:val="24"/>
        </w:rPr>
        <w:t xml:space="preserve"> (2016) </w:t>
      </w:r>
      <w:r>
        <w:rPr>
          <w:rFonts w:ascii="Arial" w:hAnsi="Arial" w:cs="Arial"/>
          <w:sz w:val="24"/>
          <w:szCs w:val="24"/>
        </w:rPr>
        <w:t>‘</w:t>
      </w:r>
      <w:r w:rsidRPr="00652F72">
        <w:rPr>
          <w:rFonts w:ascii="Arial" w:hAnsi="Arial" w:cs="Arial"/>
          <w:sz w:val="24"/>
          <w:szCs w:val="24"/>
        </w:rPr>
        <w:t>Weather mode</w:t>
      </w:r>
      <w:r>
        <w:rPr>
          <w:rFonts w:ascii="Arial" w:hAnsi="Arial" w:cs="Arial"/>
          <w:sz w:val="24"/>
          <w:szCs w:val="24"/>
        </w:rPr>
        <w:t>l’</w:t>
      </w:r>
      <w:r w:rsidRPr="00652F72">
        <w:rPr>
          <w:rFonts w:ascii="Arial" w:hAnsi="Arial" w:cs="Arial"/>
          <w:sz w:val="24"/>
          <w:szCs w:val="24"/>
        </w:rPr>
        <w:t xml:space="preserve"> </w:t>
      </w: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Pr>
          <w:rFonts w:ascii="Arial" w:hAnsi="Arial" w:cs="Arial"/>
          <w:sz w:val="24"/>
          <w:szCs w:val="24"/>
        </w:rPr>
        <w:t>I felt myself to be in the stage of</w:t>
      </w:r>
      <w:r w:rsidRPr="00652F72">
        <w:rPr>
          <w:rFonts w:ascii="Arial" w:hAnsi="Arial" w:cs="Arial"/>
          <w:sz w:val="24"/>
          <w:szCs w:val="24"/>
        </w:rPr>
        <w:t xml:space="preserve"> </w:t>
      </w:r>
      <w:r w:rsidRPr="00951160">
        <w:rPr>
          <w:rFonts w:ascii="Arial" w:hAnsi="Arial" w:cs="Arial"/>
          <w:b/>
          <w:sz w:val="24"/>
          <w:szCs w:val="24"/>
        </w:rPr>
        <w:t>lightning</w:t>
      </w:r>
      <w:r>
        <w:rPr>
          <w:rFonts w:ascii="Arial" w:hAnsi="Arial" w:cs="Arial"/>
          <w:sz w:val="24"/>
          <w:szCs w:val="24"/>
        </w:rPr>
        <w:t xml:space="preserve"> which is that of shock,</w:t>
      </w:r>
      <w:r w:rsidRPr="00652F72">
        <w:rPr>
          <w:rFonts w:ascii="Arial" w:hAnsi="Arial" w:cs="Arial"/>
          <w:sz w:val="24"/>
          <w:szCs w:val="24"/>
        </w:rPr>
        <w:t xml:space="preserve"> Child 1 not </w:t>
      </w:r>
      <w:r>
        <w:rPr>
          <w:rFonts w:ascii="Arial" w:hAnsi="Arial" w:cs="Arial"/>
          <w:sz w:val="24"/>
          <w:szCs w:val="24"/>
        </w:rPr>
        <w:t>showing no interest</w:t>
      </w:r>
      <w:r w:rsidRPr="00652F72">
        <w:rPr>
          <w:rFonts w:ascii="Arial" w:hAnsi="Arial" w:cs="Arial"/>
          <w:sz w:val="24"/>
          <w:szCs w:val="24"/>
        </w:rPr>
        <w:t xml:space="preserve"> to engage in the meeting any longer</w:t>
      </w:r>
      <w:r>
        <w:rPr>
          <w:rFonts w:ascii="Arial" w:hAnsi="Arial" w:cs="Arial"/>
          <w:sz w:val="24"/>
          <w:szCs w:val="24"/>
        </w:rPr>
        <w:t xml:space="preserve"> which proceeded to the</w:t>
      </w:r>
      <w:r w:rsidRPr="00652F72">
        <w:rPr>
          <w:rFonts w:ascii="Arial" w:hAnsi="Arial" w:cs="Arial"/>
          <w:sz w:val="24"/>
          <w:szCs w:val="24"/>
        </w:rPr>
        <w:t xml:space="preserve"> </w:t>
      </w:r>
      <w:r w:rsidRPr="00951160">
        <w:rPr>
          <w:rFonts w:ascii="Arial" w:hAnsi="Arial" w:cs="Arial"/>
          <w:b/>
          <w:sz w:val="24"/>
          <w:szCs w:val="24"/>
        </w:rPr>
        <w:t>fog</w:t>
      </w:r>
      <w:r w:rsidRPr="00652F72">
        <w:rPr>
          <w:rFonts w:ascii="Arial" w:hAnsi="Arial" w:cs="Arial"/>
          <w:sz w:val="24"/>
          <w:szCs w:val="24"/>
        </w:rPr>
        <w:t xml:space="preserve"> stage </w:t>
      </w:r>
      <w:r>
        <w:rPr>
          <w:rFonts w:ascii="Arial" w:hAnsi="Arial" w:cs="Arial"/>
          <w:sz w:val="24"/>
          <w:szCs w:val="24"/>
        </w:rPr>
        <w:t>where I was confused as the practitioner and unable to comprehend this, not knowing the reason for lack of engagement</w:t>
      </w:r>
      <w:r w:rsidRPr="00652F72">
        <w:rPr>
          <w:rFonts w:ascii="Arial" w:hAnsi="Arial" w:cs="Arial"/>
          <w:sz w:val="24"/>
          <w:szCs w:val="24"/>
        </w:rPr>
        <w:t>.</w:t>
      </w:r>
      <w:r>
        <w:rPr>
          <w:rFonts w:ascii="Arial" w:hAnsi="Arial" w:cs="Arial"/>
          <w:sz w:val="24"/>
          <w:szCs w:val="24"/>
        </w:rPr>
        <w:t xml:space="preserve"> It made me feel quite hopeless as a social worker and without the tools to manage effectively.</w:t>
      </w: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In the meeting I aimed to encourage Child 1 to express anything they wanted to ask and to have their say (Article 12 and 13 UNCRC). Communication is reciprocal and not one way, it incorporated skills including active listening, language, awareness of body language as well as interpersonal skills such as being caring, trustworthy and honest.</w:t>
      </w:r>
      <w:r w:rsidRPr="00266100">
        <w:rPr>
          <w:rFonts w:ascii="Arial" w:hAnsi="Arial" w:cs="Arial"/>
          <w:spacing w:val="7"/>
          <w:sz w:val="24"/>
          <w:szCs w:val="24"/>
          <w:lang w:val="en"/>
        </w:rPr>
        <w:t xml:space="preserve"> </w:t>
      </w:r>
      <w:r w:rsidRPr="00652F72">
        <w:rPr>
          <w:rFonts w:ascii="Arial" w:hAnsi="Arial" w:cs="Arial"/>
          <w:spacing w:val="7"/>
          <w:sz w:val="24"/>
          <w:szCs w:val="24"/>
          <w:lang w:val="en"/>
        </w:rPr>
        <w:t>Social work will ‘likely involve children and young people who have disabilities that affect communication, as well as with children and young people whose first language is not English and who have a range of ethnic and cultural backgrounds.’(Winter,2016)</w:t>
      </w:r>
      <w:r w:rsidRPr="00652F72">
        <w:rPr>
          <w:rFonts w:ascii="Arial" w:eastAsia="Arial" w:hAnsi="Arial" w:cs="Arial"/>
          <w:sz w:val="24"/>
          <w:szCs w:val="24"/>
        </w:rPr>
        <w:t xml:space="preserve"> </w:t>
      </w:r>
      <w:r w:rsidRPr="00652F72">
        <w:rPr>
          <w:rFonts w:ascii="Arial" w:hAnsi="Arial" w:cs="Arial"/>
          <w:sz w:val="24"/>
          <w:szCs w:val="24"/>
        </w:rPr>
        <w:t>Advocating on behalf the child and being reliable and non-judgmental are important and in relation to this meeting, Child 1 and myself did have good communication skills however this situation was met by the end of my social work involvement with this young person which I had not prior thought about. Changes in social worker can be difficult and this is something I hadn’t considered prior to this</w:t>
      </w:r>
      <w:r>
        <w:rPr>
          <w:rFonts w:ascii="Arial" w:hAnsi="Arial" w:cs="Arial"/>
          <w:sz w:val="24"/>
          <w:szCs w:val="24"/>
        </w:rPr>
        <w:t xml:space="preserve"> observation, the need for a</w:t>
      </w:r>
      <w:r w:rsidRPr="00652F72">
        <w:rPr>
          <w:rFonts w:ascii="Arial" w:hAnsi="Arial" w:cs="Arial"/>
          <w:sz w:val="24"/>
          <w:szCs w:val="24"/>
        </w:rPr>
        <w:t xml:space="preserve"> ‘consistent social worker and said frequent changes could be distressing and made life feel more chaotic.’(Carter,2019). Another barrier was the meeting being held virtually which also made the non engagement difficult to manage. At points during the meeting there were long pauses, one word answers and silence which I felt </w:t>
      </w:r>
      <w:r>
        <w:rPr>
          <w:rFonts w:ascii="Arial" w:hAnsi="Arial" w:cs="Arial"/>
          <w:sz w:val="24"/>
          <w:szCs w:val="24"/>
        </w:rPr>
        <w:t>was quite challenging. Egan</w:t>
      </w:r>
      <w:r w:rsidRPr="00652F72">
        <w:rPr>
          <w:rFonts w:ascii="Arial" w:hAnsi="Arial" w:cs="Arial"/>
          <w:sz w:val="24"/>
          <w:szCs w:val="24"/>
        </w:rPr>
        <w:t xml:space="preserve"> (1994) suggests ‘that communication can be improved by facing the other person squarely, maintaining an open posture, leaning slightly towards them, maintaining eye contact, and trying to be relaxed.’(Egan,1994)</w:t>
      </w: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D3257F">
        <w:rPr>
          <w:rFonts w:ascii="Arial" w:hAnsi="Arial" w:cs="Arial"/>
          <w:sz w:val="24"/>
          <w:szCs w:val="24"/>
        </w:rPr>
        <w:t>Child 1 had been exposed to adverse child experiences(ACEs) and trauma in their life and now placed in Local authority care. As</w:t>
      </w:r>
      <w:r>
        <w:rPr>
          <w:rFonts w:ascii="Arial" w:hAnsi="Arial" w:cs="Arial"/>
          <w:sz w:val="24"/>
          <w:szCs w:val="24"/>
        </w:rPr>
        <w:t xml:space="preserve"> noted in the Codes of Professional Practice ‘good communication underpins effective social work practice’ (Social care Wales, 2019) As</w:t>
      </w:r>
      <w:r w:rsidRPr="00D3257F">
        <w:rPr>
          <w:rFonts w:ascii="Arial" w:hAnsi="Arial" w:cs="Arial"/>
          <w:sz w:val="24"/>
          <w:szCs w:val="24"/>
        </w:rPr>
        <w:t xml:space="preserve"> the social worker I needed to have better understanding of ending my professional relationship with Child 1 </w:t>
      </w:r>
      <w:r>
        <w:rPr>
          <w:rFonts w:ascii="Arial" w:hAnsi="Arial" w:cs="Arial"/>
          <w:sz w:val="24"/>
          <w:szCs w:val="24"/>
        </w:rPr>
        <w:t>as noted in NOS20. Knowledge of t</w:t>
      </w:r>
      <w:r w:rsidRPr="00D3257F">
        <w:rPr>
          <w:rFonts w:ascii="Arial" w:hAnsi="Arial" w:cs="Arial"/>
          <w:sz w:val="24"/>
          <w:szCs w:val="24"/>
        </w:rPr>
        <w:t xml:space="preserve">rauma-informed care </w:t>
      </w:r>
      <w:r>
        <w:rPr>
          <w:rFonts w:ascii="Arial" w:hAnsi="Arial" w:cs="Arial"/>
          <w:sz w:val="24"/>
          <w:szCs w:val="24"/>
        </w:rPr>
        <w:t xml:space="preserve">would be further needed to add to my skills as this allows </w:t>
      </w:r>
      <w:r w:rsidRPr="00D3257F">
        <w:rPr>
          <w:rFonts w:ascii="Arial" w:hAnsi="Arial" w:cs="Arial"/>
          <w:sz w:val="24"/>
          <w:szCs w:val="24"/>
        </w:rPr>
        <w:t xml:space="preserve">social workers </w:t>
      </w:r>
      <w:r>
        <w:rPr>
          <w:rFonts w:ascii="Arial" w:hAnsi="Arial" w:cs="Arial"/>
          <w:sz w:val="24"/>
          <w:szCs w:val="24"/>
        </w:rPr>
        <w:t>to ‘</w:t>
      </w:r>
      <w:r w:rsidRPr="00D3257F">
        <w:rPr>
          <w:rFonts w:ascii="Arial" w:hAnsi="Arial" w:cs="Arial"/>
          <w:sz w:val="24"/>
          <w:szCs w:val="24"/>
        </w:rPr>
        <w:t>recognize the prevalence of early adversity in the lives of clients, view presenting problems as symptoms of maladaptive coping</w:t>
      </w:r>
      <w:r>
        <w:rPr>
          <w:rFonts w:ascii="Arial" w:hAnsi="Arial" w:cs="Arial"/>
          <w:sz w:val="24"/>
          <w:szCs w:val="24"/>
        </w:rPr>
        <w:t xml:space="preserve"> skills</w:t>
      </w:r>
      <w:r w:rsidRPr="00D3257F">
        <w:rPr>
          <w:rFonts w:ascii="Arial" w:hAnsi="Arial" w:cs="Arial"/>
          <w:sz w:val="24"/>
          <w:szCs w:val="24"/>
        </w:rPr>
        <w:t>, and understand how early trauma shapes a client's beliefs about the world and affects his or her psychosocial functioning across the life span.’ (Levenson,2017 p105-113)</w:t>
      </w: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Although the outcome was achieved and the meeting was straightforward, overall reflecting on this I felt it was challenging at times and I had made the assumption </w:t>
      </w:r>
      <w:r w:rsidRPr="00652F72">
        <w:rPr>
          <w:rFonts w:ascii="Arial" w:hAnsi="Arial" w:cs="Arial"/>
          <w:sz w:val="24"/>
          <w:szCs w:val="24"/>
        </w:rPr>
        <w:lastRenderedPageBreak/>
        <w:t>that it would have been more interactive between myself and Child 1 however I had not considered the impact</w:t>
      </w:r>
      <w:r>
        <w:rPr>
          <w:rFonts w:ascii="Arial" w:hAnsi="Arial" w:cs="Arial"/>
          <w:sz w:val="24"/>
          <w:szCs w:val="24"/>
        </w:rPr>
        <w:t xml:space="preserve"> of further change for Child 1.</w:t>
      </w:r>
    </w:p>
    <w:p w:rsidR="00A631A1"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A631A1" w:rsidRPr="00652F72" w:rsidRDefault="00A631A1" w:rsidP="00A631A1">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Pr>
          <w:rFonts w:ascii="Arial" w:hAnsi="Arial" w:cs="Arial"/>
          <w:sz w:val="24"/>
          <w:szCs w:val="24"/>
        </w:rPr>
        <w:t>(1425)</w:t>
      </w:r>
    </w:p>
    <w:p w:rsidR="00A631A1" w:rsidRDefault="00A631A1" w:rsidP="00A631A1">
      <w:r>
        <w:t xml:space="preserve">My current role is within a Childrens safeguarding team in which I have been employed in since March 2020 as a social worker. </w:t>
      </w:r>
    </w:p>
    <w:p w:rsidR="00A631A1" w:rsidRDefault="00A631A1" w:rsidP="00A631A1"/>
    <w:p w:rsidR="00A631A1" w:rsidRDefault="00A631A1" w:rsidP="00A631A1">
      <w:r>
        <w:t>I will be reflecting on a case study completing a risk assessment to identify the current needs of a child and the capacity of the parent to meet these needs. The assessment was completed following escalating concerns ‘where the question of whether harm is significant on the child health or development. In 2016/17 43%of children on the CPR were registered under the cartoony of neglect. (Safeguarding, Wales,2021). ‘Safeguarding is wider than child protection, it encompasses promoting the welfare of the child, protecting them from abuse, harm and neglect, preventing their health and development from being impaired and ensuring that they receive safe and effective care.’ (Childreninwales, 2021).</w:t>
      </w:r>
    </w:p>
    <w:p w:rsidR="00A631A1" w:rsidRDefault="00A631A1" w:rsidP="00A631A1"/>
    <w:p w:rsidR="00A631A1" w:rsidRDefault="00A631A1" w:rsidP="00A631A1">
      <w:r>
        <w:t xml:space="preserve"> Parent 1 is a single parent to a 10-month old child who was had been supported by the local authority via a Care and Support plan(CASP), Under P4S31(1) of the Social Services and Wellbeing Act 2014, therefore the family were prior known to the Local Authority.</w:t>
      </w:r>
    </w:p>
    <w:p w:rsidR="00A631A1" w:rsidRDefault="00A631A1" w:rsidP="00A631A1"/>
    <w:p w:rsidR="00A631A1" w:rsidRDefault="00A631A1" w:rsidP="00A631A1">
      <w:r>
        <w:t xml:space="preserve">The CASP had been in place since the child was born to ensure that the parent was able to manage and provide consistent care. There were a number of factors negatively impacting on Parents 1skills, there was history of Adverse Childhood Experiences(ACE’s), poor relationships, risky decision making, prioritizing relationships and which was leading to unsafe choices for their child. Following a period of time working via the CASP and following the breakdown in accommodation and family support. Parent 1 moved out of the family home and it was agreed Child 1 to remain in the care of grandparents with a planned contact daily between the child and parent until secure accommodation was sourced for the family.  </w:t>
      </w:r>
    </w:p>
    <w:p w:rsidR="00A631A1" w:rsidRDefault="00A631A1" w:rsidP="00A631A1"/>
    <w:p w:rsidR="00A631A1" w:rsidRDefault="00A631A1" w:rsidP="00A631A1">
      <w:r>
        <w:t xml:space="preserve">There was information suggesting that Parent 1 was not able to care for the child and was leaving them for long periods of time with different family members on a regular basis highlighting an unsettled routine and environment. There were reports to the Local Authority that Parent 1 was not providing basic care for Child1 and there was information that the Child1 was around individuals who may not have been appropriate. Other factors to consider included Parent 1 had not independently cared for the child since birth solely for a long period, allowing family members to take on this role.  Parent 1 was deemed homeless, there were mental health concerns and risky behaviours to consider. At this time although Child 1 was remaining cared for by family members it considered that parent 1 was not being excising their parental responsibility as defined in the Children Act 1989S2. Despite measures to provide support with little engagement, this highlighted concerns that child 1 was may not forming the attachment needed for a young child with their care giver. It also questioned whether Parent 1 would be able to have the coping and parenting skills at the time which raised the concern that Child1 would continue to be at risk of harm if cared for independently.  The Local Authority’s concerns identified that Child 1 was at risk of ‘significant harm’ </w:t>
      </w:r>
      <w:r>
        <w:lastRenderedPageBreak/>
        <w:t>based on their basic needs not being met therefore determining factor of neglect. The SSWBA14 defines ‘neglect as the failure to meet a person’s basic physical, emotional, social or psychological needs, which as a result on an impairment on the persons wellbeing.’(SSBA14). There is no definitive definition of significant harm and that a child at risk of harm is a person under the age of 18 years ‘who is experiencing or is at risk of abuse, neglect, or other kinds of harm, and who has needs for care and support.’ (Safeguarding procedures, 2021).</w:t>
      </w:r>
    </w:p>
    <w:p w:rsidR="00A631A1" w:rsidRDefault="00A631A1" w:rsidP="00A631A1"/>
    <w:p w:rsidR="00A631A1" w:rsidRDefault="00A631A1" w:rsidP="00A631A1">
      <w:r>
        <w:t>The risk assessment was completed to identify the current risks to the child and the parent’s capacity to care for the child based on the information gathered. The protective factors in place had broken down and Parent 1 was struggling to manage. (NOS12.P9) There is a statutory timescale to complete assessments within 42 days. The CASP appeared to be inadequate therefore the risk assessment identified the reasons why the plan was not working to keep Child 1 was safe. There was little information that could evident Parent 1 showing a willing effort to show that they were able to meet the child’s basic needs and based on the information already held by the local authority. S1 of the CA89 outlines that the welfare of the child is the paramount principle and the child views and wishes must be listened to, to ensure the voice of the child is heard. The United Nations Convention on the Rights of the Child(UNCRC) outline 54 articles to ensure that a child’s human rights are paramount. (Copp 1.5) Children’s rights are already enshrined in Welsh law under Rights of Children and Young Persons (Wales) Measure 2011 - underlining Wales’ commitment to children’s rights.  As Child1 was under one years old it was developmentally inappropriate for them to be able to express their wishes therefore the assessment was about considering whether their needs were being met by comparison of that of another child of a similar age as outlined s197.SSWBA14 and under S31(10) CA89 where ‘the child’s health and development is to be compared with that which could reasonably be expected of a similar child.’</w:t>
      </w:r>
    </w:p>
    <w:p w:rsidR="00A631A1" w:rsidRDefault="00A631A1" w:rsidP="00A631A1"/>
    <w:p w:rsidR="00A631A1" w:rsidRDefault="00A631A1" w:rsidP="00A631A1">
      <w:r>
        <w:t xml:space="preserve">In this case there were outstanding health appointments and concerns for poor routines and structure which is important for early development in a child as well as risky decisions being made by the parent and lack of parental responsibility being held for Child 1. The Children Act 1989 is the principal piece of legislation which makes provision about the safeguarding and promotion of the welfare of children incorporating The Children Act 2004. Parts of the CA89 have now been replaced by the SSWBA14 including Part 3 and 4 in assessing and meeting the needs for children. </w:t>
      </w:r>
    </w:p>
    <w:p w:rsidR="00A631A1" w:rsidRDefault="00A631A1" w:rsidP="00A631A1"/>
    <w:p w:rsidR="00A631A1" w:rsidRDefault="00A631A1" w:rsidP="00A631A1">
      <w:r>
        <w:t xml:space="preserve">Child 1 was already subject to a Part 3 CASP however due to the information and current circumstances with escalating concerns for Child1’s welfare and emerging information that they were as at risk of significant harm. (NOS13.P1) ‘at the point that those working with the child and their family believe that the concern is such that the child suffering or likely to suffer significant harm Section 47 enquires must be considered.’ (Safeguarding Procedures, 2021). </w:t>
      </w:r>
    </w:p>
    <w:p w:rsidR="00A631A1" w:rsidRDefault="00A631A1" w:rsidP="00A631A1">
      <w:r>
        <w:t xml:space="preserve">S47(1) of the Children Act 1989 contains duties which requires the Local Authority to make enquiries as it considers necessary to enable a decision whether the Local Authority should take any action to safeguard or promote the child’s welfare. Following concerns for Child1 welfare, the Local authority had a duty to choose the appropriate action and way forward to manage and assess that information. Under the S130 of the SSWBA14, the Local authority must make enquiries that are deemed the appropriate way to decide how to move forward to action and protect a child under the S47 Children Act 1989. When considering this case there were a number of concerns raised by family </w:t>
      </w:r>
      <w:r>
        <w:lastRenderedPageBreak/>
        <w:t>members and professionals and as the social worker I had to be accountable to investigate those concerns (NOS 1. P3) The purpose of the children Act 1989 section 47 enquires is to establish whether a child is suffering or likely to suffer significant harm and requires intervention to safeguard and promote their well-being.’ (Wales, 2021).</w:t>
      </w:r>
    </w:p>
    <w:p w:rsidR="00A631A1" w:rsidRDefault="00A631A1" w:rsidP="00A631A1"/>
    <w:p w:rsidR="00A631A1" w:rsidRDefault="00A631A1" w:rsidP="00A631A1">
      <w:r>
        <w:t xml:space="preserve">Knowledge of local legislation within Wales regarding the protection of children processes as well as the assessment process is essential to ensure that practitioners are continually up-to-date in order to provide good evidence based practice, this is also a legal requirement of social work registration.(NOS2 p3,7,8) The statutory procedures for child protection process are outlined within Wales safeguarding procedures as underpinned in Part 7 of the SSWBA14 and ‘Working Together Guidance around Handling Individuals cases provide a clear legal framework for agencies to safeguard individuals at risk. (Copp 6.1) </w:t>
      </w:r>
    </w:p>
    <w:p w:rsidR="00A631A1" w:rsidRDefault="00A631A1" w:rsidP="00A631A1"/>
    <w:p w:rsidR="00A631A1" w:rsidRDefault="00A631A1" w:rsidP="00A631A1">
      <w:r>
        <w:t xml:space="preserve">In Wales, there are Local Safeguarding Boards to protect all individuals in its area who are experiencing or at risk of abuse, neglect. Safeguarding Boards were initiated by Children Act 2004 and the ‘Every Child Matters’ following the murder of Victoria Climbie. This Act made it clear that children could only be kept safe properly if the there was a multi-agency approach. Following Victoria’s review Safeguarding boards were added into legislation under S31 to 34 of the Children Act 2004 however this has not been repealed to S134-140 of the SSWBA14. </w:t>
      </w:r>
    </w:p>
    <w:p w:rsidR="00A631A1" w:rsidRDefault="00A631A1" w:rsidP="00A631A1"/>
    <w:p w:rsidR="00A631A1" w:rsidRDefault="00A631A1" w:rsidP="00A631A1">
      <w:r>
        <w:t xml:space="preserve">The risk assessment considers the Working Together to Safeguard Children assessment model. This examines different aspects of a child's life, context and the impact on the child. This considers the child’s developmental needs, parenting capacity and family/environmental factors. (Copp4.2/4.3) Contextual Safeguarding incorporate the threats towards a child from outside factors that may be deemed abusive of detrimental to a child wellbeing such as exploitation. The systems theory considered Parent1’s informal support system to have broken down at the time of the assessment, ‘it can be very hard for parents to provide their children with safe and loving care, particularly if they are isolated or aren't getting the support they need (Cleaver, Unell and Aldgate, 2011 NSPCC, 2021) </w:t>
      </w:r>
    </w:p>
    <w:p w:rsidR="00A631A1" w:rsidRDefault="00A631A1" w:rsidP="00A631A1"/>
    <w:p w:rsidR="00A631A1" w:rsidRDefault="00A631A1" w:rsidP="00A631A1">
      <w:r>
        <w:t xml:space="preserve"> Consideration of the Welsh context is vital and the ‘more than just words ‘paper is underpinned by the Welsh Language Measure 2011 and SSWBA14. It promotes the use of the ‘Active offer’ which is about offering services in Welsh without it being asked for. The ‘More than Just Words….”is the Framework for Welsh language services in health and social care and outlines the current position and provides a systematic approach. It is essential to all individuals living in Wales and especially when experiencing challenging and difficult times that the ‘Active Offer’ is provided as this is about creating the right environment where service users feel empowered and confident that their needs will be met. (More than just words,2015) In this case the family were English speaking however if Welsh or any other preferred language of the family, this would be accommodated for (Copp1.5/2.3) Information would be provided in the Welsh language (NOS 10. P3) I am aware of the language and cultural needs and by providing this I am promoting anti-oppressive practice and empowerment. Wales has high rates of social deprivation, studies show that more than 4 in 10 children are living in poverty and ‘new Government figures reveal there were almost 25,690 children in North Wales living below the breadline in March 2019, even before the cost of housing was taken into account.’ </w:t>
      </w:r>
      <w:r>
        <w:lastRenderedPageBreak/>
        <w:t>(Daily Post,2020). This considers the impact on children and young people as well as their parent’s face living in Wales. There are mitigating factors so unemployment, substances misuse and mental health to consider. Due to the rising concern for the future generation being presented with challenges and struggles to grow. Wales developed The Well-being of Future Generations (Wales) Act 2015 is about improving the social, economic, environmental and cultural well-being of Wales in which S26 of the Children Act 2004 was repealed by the Well-being of Future Generations (Wales) Act 2015 and replaced by the duty on public service boards to prepare and publish assessments of local well-being and local well-being plans. (NOS 2p5)</w:t>
      </w:r>
    </w:p>
    <w:p w:rsidR="00A631A1" w:rsidRDefault="00A631A1" w:rsidP="00A631A1"/>
    <w:p w:rsidR="00A631A1" w:rsidRDefault="00A631A1" w:rsidP="00A631A1">
      <w:r>
        <w:t xml:space="preserve">Parent 1 had not cared for the child for a long period of time and would often rely on other family to take on the parental responsibilities. Parent 1 also had a long history of mental health which appeared not to be managed at the time. This queried that there may be deregulated attachment formed between parent and child. ‘If parents experience mental health problems in pregnancy or the first year of a baby’s life, this can affect the way they are able to bond with and care for their child. This can have an impact on the child’s intellectual, emotional, social and psychological development (Garos and Beaver,2017). Bowlby (1969) developed the attachment theory and found that children are born to be wanted and this is </w:t>
      </w:r>
      <w:proofErr w:type="gramStart"/>
      <w:r>
        <w:t>a counterproductive behaviours</w:t>
      </w:r>
      <w:proofErr w:type="gramEnd"/>
      <w:r>
        <w:t>, however when a child does not form that bond ‘where a child has parents who do not make the child feel severe, or where attachments have been ruptured, there is a significant risk of the child having difficulty with a range of relationship sand their problem solving and coping skills can be poorer.’ (Mclean, 2017).</w:t>
      </w:r>
    </w:p>
    <w:p w:rsidR="00A631A1" w:rsidRDefault="00A631A1" w:rsidP="00A631A1">
      <w:r>
        <w:t xml:space="preserve"> Attachment highlights the way that a child will respond and adapt to the environment into which they are born. By the age of 3 years, a child will have developed their attachment styles, this is knowing as the ‘critical period.’ Child 1 was under one years old and has already began to form attachments with adults however due to the unstable home environment and number of carers involved it considered that Child 1’s present attachment would be described as an ambivalent to disorganized attachment which has the future risk based on evidence of struggling as an adult. This did cause an ethical dilemma where I needed to reflect on my own personal and professional values (NOS5, P1,3) whereby I was questioning how Parent 1 was not making an effort to see Child1 however from the knowledge around mental health and also considering the Bandura (1979) social learning theory, Parent 1 had experienced ACES’s themselves and may have impacted on their ability of what they deemed as risky or unacceptable care for Child1 or the impact of their behaviours.  Most human </w:t>
      </w:r>
      <w:proofErr w:type="spellStart"/>
      <w:r>
        <w:t>behavior</w:t>
      </w:r>
      <w:proofErr w:type="spellEnd"/>
      <w:r>
        <w:t xml:space="preserve"> is learned observationally through modelling: from observing others one forms an idea of how new behaviours are performed, and on later occasions, this coded information serves as a guide for action."(Cherry,2019)</w:t>
      </w:r>
    </w:p>
    <w:p w:rsidR="00A631A1" w:rsidRDefault="00A631A1" w:rsidP="00A631A1"/>
    <w:p w:rsidR="00A631A1" w:rsidRDefault="00A631A1" w:rsidP="00A631A1">
      <w:r>
        <w:t xml:space="preserve">The risk assessment was formed through gathering evidence held by the local authority, with the individual, family and with external professionals (NOS 8, P6). Under S164 SSWBA14 all professionals from other agencies have duty to co-productively and provide information in order to help with this process. (SSWB14). Collaborative work with a multi-agency focus is essential when working with children, having individuals with specialist knowledge is imperative to support a family. In this case professionals involved with the family included health, housing and family services, whom hold their own expertise’s. (CoPP 6.8) (NOS6.P1, P3) When acknowledging Lord Lammings report in to the death of Victoria Climbe, it was found that there were failings from all professionals with a lack of communication. Following Victoria’s death, the ‘Every Child Matters’ paper along with the Children Act 2004 saw an emphasis multi-agency working. ‘where risk of harm…has been investigated and </w:t>
      </w:r>
      <w:r>
        <w:lastRenderedPageBreak/>
        <w:t>confirmed, plan to address the risk must be agreed urgently with relevant agencies…. these include planning restorative approaches, where possible, in the longer term. (Social care Wales,2019).  Information sharing is key to good safeguarding practice, all professionals need to share information in accordance with Data Protection legislation (Data protection Act 2018). This legislation allows information to be shared and should not be a reason for not doing so ‘one of the specific circumstances which provides for information sharing is in order to prevent abuse or serious harm to others.’ (Safeguarding, Wales,2021). If information is not shared, wrong decisions can be made which then leads to poor safeguarding practices ultimately allowing children to remain at risk of harm. (CoPP 4.4) (NOS7.P5)</w:t>
      </w:r>
    </w:p>
    <w:p w:rsidR="00A631A1" w:rsidRDefault="00A631A1" w:rsidP="00A631A1"/>
    <w:p w:rsidR="00A631A1" w:rsidRDefault="00A631A1" w:rsidP="00A631A1">
      <w:r>
        <w:t>The risk assessment was based on an actuarial assessment model which considers risk calculation, ‘often documents which are underpinned by the actuarial assessment techniques involve methods such as traffic lights or scoring systems to seek to express the likelihood of risk.’(Maclean,2017).  Social work practice considers the model of assessments published by Smale (1993) used within social services. In this case I considered all 3 models, the questioning model using my own expertise to consider the safeguarding process of the local authority and the national procedures The procedural model gather all of the information about Parent1 and Child 1 already held and the current circumstances and changes that had raised concerns for the safety of the child.(NOS 17.P1) This model allowed me to make a professional judgement based on the information gather for the risk assessment that Child 1 was at risk of harm.(NOS4.P1,P4) The expertise model incorporated Parent 1 to consider how they perceived their current circumstances and how they feel about the concerns that I highlighted, I focused on areas they felt there was further support needed and also that they felt was positive. Reflecting on the assessment model in this case although the aim was to promote empowerment to Parent 1, it did cause conflict between the objective professional judgment a Parent 1’s subjective perceptions. Dealing with dilemma’s and conflict is challenging and in this case, parent 1 was not accepting the views of the Local authority which ultimately has a negative effect on our working relationship. (NOS8, P5) Confrontation was an area that I have struggled with as a newly qualified social worker and at times I have become overwhelmed and defensive however I have acknowledged that this is a challenging time for families when Local Authorities become in involved. It is about recognizing that I need to aware of my professional self and values, the main factor is for the welfare of the child and it is about working holistically with the family to consider ways effectively to promote positive change. Again reflecting on the location of families in Wales has a huge impact on services and support available, often families have bad experiences with professionals and struggle to gain trust and form that bond, causing an ethical dilemma for the social worker. I have gained a great deal of emotional resilience when dealing with conflict with individuals, professionals and reflecting on my own personals beliefs (NOS2, P6), this has increased my own confidence and tools of problem solving and managing ways to deal effectively. (CoPP 3.4)</w:t>
      </w:r>
    </w:p>
    <w:p w:rsidR="00A631A1" w:rsidRDefault="00A631A1" w:rsidP="00A631A1"/>
    <w:p w:rsidR="00A631A1" w:rsidRDefault="00A631A1" w:rsidP="00A631A1">
      <w:r>
        <w:t xml:space="preserve"> In terms of being the assessor, the main focus considered is that of the ‘risk’ assessor, in which it was clear about identifying the risks that were putting Child1 at risk of significant harm. Where harm is considered to be of ‘significant harm’ and putting a child at immediate danger or where there has been a criminal offence or that is similar to that of a hate crime then this case would be discussed in a strategy meeting with the police. I also took on a traditional assessor role which focuses on a person </w:t>
      </w:r>
      <w:proofErr w:type="spellStart"/>
      <w:r>
        <w:t>centered</w:t>
      </w:r>
      <w:proofErr w:type="spellEnd"/>
      <w:r>
        <w:t xml:space="preserve"> approach, ‘the purpose of assessment focuses on needs and expectations, problems and solutions, and weaknesses and strengths, mediated by the social worker’s professional </w:t>
      </w:r>
      <w:r>
        <w:lastRenderedPageBreak/>
        <w:t>judgement.’ (SCIE, 2007) Parent 1 was able to identify areas that they had been struggling with and together we jotted down these to focus on areas change, such as engaging with mental health services. (NOS18.P1)</w:t>
      </w:r>
    </w:p>
    <w:p w:rsidR="00A631A1" w:rsidRDefault="00A631A1" w:rsidP="00A631A1"/>
    <w:p w:rsidR="00A631A1" w:rsidRDefault="00A631A1" w:rsidP="00A631A1">
      <w:r>
        <w:t>Barlow’s (2012) model of risk assessment was designed to identify harm in children, the Safeguarding Children’s Assessment and Analysis framework(SAAF) provides an evidenced based 7 stage model of assessment, analysis and intervention. Following this model, I was able to consider the information by gathering evidence and information of the child’s needs and parent’s capacity, organize this information following the framework. I incorporated a chronology to consider the time of significant events and make a judgement based on the intimation collated within the risk assessment. The risk assessment was identified to meet the threshold of significant harm whereby the child protection process would need to be initiated. I was able to consider the type of intervention and support that would be most beneficial for child 1 and parent1 which would be considered during the initial conference and then progressed into stage 7 of this model whereby monitoring and review of the child protection support plan, this tool is useful when considering if a child should be made subject of a child protection plan. (NOS19.P3). Similarly, Dendy and Turney (2019) framework is also useful during the assessment process to identify the concerns of what had occurred, for example, Child 1 was being left with multiple individuals and having little contact with parent 1. There had been reported incidents where Child 1 was not adequately cared for and left without basic needs at times. This framework considers specific parental behaviours that may be contributing to neglectful behaviours.</w:t>
      </w:r>
    </w:p>
    <w:p w:rsidR="00A631A1" w:rsidRDefault="00A631A1" w:rsidP="00A631A1"/>
    <w:p w:rsidR="00A631A1" w:rsidRDefault="00A631A1" w:rsidP="00A631A1">
      <w:r>
        <w:t xml:space="preserve">It was important to ensure that Parents are kept informed about the current situation, I incorporated a person </w:t>
      </w:r>
      <w:proofErr w:type="spellStart"/>
      <w:r>
        <w:t>centered</w:t>
      </w:r>
      <w:proofErr w:type="spellEnd"/>
      <w:r>
        <w:t xml:space="preserve"> approach with Parent 1(CoPP 1.1) I ensured that they were kept involved with the assessment process and they were able to voice their views also. (NOS9.P3) Contact was consistent and included face to face visits and telephone calls to discuss current circumstances and areas that remained unmet, having already met the family I was aware of communication needs. Parent 1 felt more comfortable to express themselves through text messages and I soon learnt this was their preferred method of communication. I remained honest and transparent about the concerns highlighted for Child 1 and that these were considered to put the child at significant risk.  (Copp 2.1). The professional ‘relationship is more likely to develop if parents are treated with respect, empathy, warmth, listened, spoken to honestly and the power imbalance considered. (Wales safeguarding provedures,2021). It’s important to work co-productively(Copp1.3) and consider the areas that of concern and what support that may be beneficial to the family. In this case the discussion around parenting advice and the services that we could consider, this assessment did have an outcome based focus with professional judgement made of what would help Parent 1 to manage independently with a child. There was a number of environmental unmet needs which needed to incorporate other services including housing, daily support as well as mental health services. (NOS6.P5)</w:t>
      </w:r>
    </w:p>
    <w:p w:rsidR="00A631A1" w:rsidRDefault="00A631A1" w:rsidP="00A631A1">
      <w:r>
        <w:t xml:space="preserve"> However, at the same time there was need to consider the balance of this to ensure that Parent 1 was not overwhelmed with a number of professionals with an overload of information. It was necessary to decide a plan in what would be the most beneficial and together with Parent 1, we identified short term goals and tasks that were solution focused (NOS 14. P3). This was to ensure that the temporary accommodation was suitable for a child with safe cot and essentials, and referrals to Local Authority family teams in order to provide daily support in place, this highlighted </w:t>
      </w:r>
      <w:r>
        <w:lastRenderedPageBreak/>
        <w:t>the active model where Parent1 is given the opportunity to learn skills and provide the good basic care independently. There were short term goals including attending appointments with mental health team for Parent 1, statistics evidence that ‘around 68% of women’s and 57% of men with mental health problems are parents.’ It is essential not to be discriminatory or judgmental towards individuals based individual certain characteristic as underpinned by the Equality Act 2010. (Copp5.5) (NOS2, P8) (NOS.P5). The long term goals were to consider therapeutic intervention and family group work to rebuild relationships however this was to be considered following immediate issues. (NOS16.16/P5)</w:t>
      </w:r>
    </w:p>
    <w:p w:rsidR="00A631A1" w:rsidRDefault="00A631A1" w:rsidP="00A631A1"/>
    <w:p w:rsidR="00A631A1" w:rsidRDefault="00A631A1" w:rsidP="00A631A1">
      <w:r>
        <w:t>It was also important to ensure that Parent 1 fully understood the assessment and the plan of the local authority to proceed to case conference, they were offered copies of assessments, advocate services. It is easy for a social worker to assume that individuals understand professional terminologies and processes used in services however this is very much the opposite and something to be mindful of when working with adults and children.</w:t>
      </w:r>
    </w:p>
    <w:p w:rsidR="00A631A1" w:rsidRDefault="00A631A1" w:rsidP="00A631A1"/>
    <w:p w:rsidR="00A631A1" w:rsidRDefault="00A631A1" w:rsidP="00A631A1"/>
    <w:p w:rsidR="00A631A1" w:rsidRDefault="00A631A1" w:rsidP="00A631A1"/>
    <w:p w:rsidR="00A631A1" w:rsidRDefault="00A631A1" w:rsidP="00A631A1">
      <w:r>
        <w:t>Using my professional judgement, following the Local Authority’s threshold document as underpinned by the SSWBA14 and incorporating professional advice and meetings as well formal and informal supervision. (NOS 2, P1,4) (NOS15.P1) There was considerable information that determination 3 was evidenced and where concerns are substantiated, the child is considered to be experiencing or at risk of neglect therefore a child protection conference should be convened. (NOS13.P8). Based on this outcome, I had prior discussed with Parent 1 of the options that the Local Authority would be considering and the process of initiating child protection conference, therefore, there would be further involvement at this time to support the family. (NOS20.P3)</w:t>
      </w:r>
    </w:p>
    <w:p w:rsidR="00A631A1" w:rsidRDefault="00A631A1" w:rsidP="00A631A1"/>
    <w:p w:rsidR="00A631A1" w:rsidRDefault="00A631A1" w:rsidP="00A631A1"/>
    <w:p w:rsidR="00A631A1" w:rsidRDefault="00A631A1" w:rsidP="00A631A1">
      <w:r>
        <w:t xml:space="preserve"> Wales Safeguarding Procedures ensure that practitioners use the statutory guidance Working together to Safeguard people as underpinned by the Social Services and Wellbeing Act (Wales)2014. S.197 of the SSWBA14 defines harm and neglect the same for adults and children ‘whether safeguarding an adult at risk from abuse or neglect or protecting children from abuse, neglect and harm, the procedures are based on the same principles.’(Howarth,2020).</w:t>
      </w:r>
    </w:p>
    <w:p w:rsidR="00A631A1" w:rsidRDefault="00A631A1" w:rsidP="00A631A1"/>
    <w:p w:rsidR="00A631A1" w:rsidRDefault="00A631A1" w:rsidP="00A631A1">
      <w:r>
        <w:t>Safeguarding legislation and guidance specific to children predominantly remains defined within the Children Act 1989, part 4 and 5. Guidance for children’s rights are defined within the UNCRC and ratified into Welsh law.</w:t>
      </w:r>
    </w:p>
    <w:p w:rsidR="00A631A1" w:rsidRDefault="00A631A1" w:rsidP="00A631A1"/>
    <w:p w:rsidR="00A631A1" w:rsidRDefault="00A631A1" w:rsidP="00A631A1">
      <w:r>
        <w:t>Adults safeguarding is outlined in the SSWBA14 with consideration to specific legislation including the Mental Capacity Act 2005, The Mental Health Act 1983, The Equality Act 2010 and the Domestic Abuse (Violence against Women, Domestic Abuse and Sexual Violence) Wales Act 2015.</w:t>
      </w:r>
    </w:p>
    <w:p w:rsidR="00A631A1" w:rsidRDefault="00A631A1" w:rsidP="00A631A1">
      <w:r>
        <w:lastRenderedPageBreak/>
        <w:t>The assessment and meeting care and support needs are bounded in part3 and 4 of the SSWBA14 for both adults and children. Under SSWBA14 P2. S5 there is ‘the wellbeing duty’ which outlines that any person in need of care and support has the right to an assessment whereby a person’s voice and control is a principle key part of the legislation and every individual has the right to be heard.</w:t>
      </w:r>
    </w:p>
    <w:p w:rsidR="00A631A1" w:rsidRDefault="00A631A1" w:rsidP="00A631A1"/>
    <w:p w:rsidR="00A631A1" w:rsidRDefault="00A631A1" w:rsidP="00A631A1">
      <w:r>
        <w:t xml:space="preserve">Adults have the ability to make decision’s deemed risky or unwise and to manage those consequences. Consent and Involvement from services is paramount and ensures good practice as well as providing a person </w:t>
      </w:r>
      <w:proofErr w:type="spellStart"/>
      <w:r>
        <w:t>centered</w:t>
      </w:r>
      <w:proofErr w:type="spellEnd"/>
      <w:r>
        <w:t xml:space="preserve"> approach a key principle of social work practice and defined with the NOS and CoPP. Social workers need to promote an adult’s rights including Human Rights, The United Nations Principles of Older Persons.</w:t>
      </w:r>
    </w:p>
    <w:p w:rsidR="00A631A1" w:rsidRDefault="00A631A1" w:rsidP="00A631A1">
      <w:r>
        <w:t>When professional judgment and information evidences harm and risk to an adult, a person’s wishes may be superseded. This may be when a person is deemed not to have capacity or at high risk of abuse from others, themselves or considered a risk to others. For children where the threshold of ‘significant harm’ is considered, the Local Authority has a duty to investigate and proceed under S47 CA89 safeguard whether a child or parent is consenting or not.</w:t>
      </w:r>
    </w:p>
    <w:p w:rsidR="00A631A1" w:rsidRDefault="00A631A1" w:rsidP="00A631A1"/>
    <w:p w:rsidR="00A631A1" w:rsidRDefault="00A631A1" w:rsidP="00A631A1">
      <w:r>
        <w:t>The SSWBA14 allows consistency in safeguarding procedures for adults and children in which practitioners can access in one document however there are specific guidance of ‘handling individual case’ as outlined for children volume 5 and adult’s volume 6.</w:t>
      </w:r>
    </w:p>
    <w:p w:rsidR="00A631A1" w:rsidRDefault="00A631A1" w:rsidP="00A631A1"/>
    <w:p w:rsidR="00A631A1" w:rsidRDefault="00A631A1" w:rsidP="00A631A1">
      <w:r>
        <w:t>Since starting the consolidation award I have changed employment from a third sector service to a statutory children’s safeguarding team. When reflecting on S2 it was identified the need for further learning of statutory child protection training as my knowledge was basic. Having been in a local authority team for the past year, have gained a considerable amount of knowledge which has included that of safeguarding process, risk assessments, reports writing, statutory timescales and expectations as a social worker in children safeguarding team.  An area I added to S2 was to gain better knowledge of child protection processes and being in a safeguarding team this has provided me vital knowledge of those procedures. I have gained a good understanding of the legislation underpinning safeguarding as well as the procedures that I have to be accountable to. Knowledge of legislation and thresholds has significantly helped direct my own practice and also challenge other professionals. This role has given me an insight into signs of abuse, being aware of ‘disguised compliance’ both from parents and children and consideration to services and ways to manage risks and needs. It has also made me much more self-aware of my own judgements and not to be to make assumptions which could lead to oppressive practice. (NOS2)</w:t>
      </w:r>
    </w:p>
    <w:p w:rsidR="00A631A1" w:rsidRDefault="00A631A1" w:rsidP="00A631A1"/>
    <w:p w:rsidR="00A631A1" w:rsidRDefault="00A631A1" w:rsidP="00A631A1">
      <w:r>
        <w:t xml:space="preserve"> I have gained knowledge of Looked after children including legislation, assessments and court processes therefore this has been a good source of learning.  Through one to one support from managers and colleagues as well as attending specialized training courses this has increased my knowledge in this area prominent to safeguarding that previously I had not considered.</w:t>
      </w:r>
    </w:p>
    <w:p w:rsidR="00A631A1" w:rsidRDefault="00A631A1" w:rsidP="00A631A1">
      <w:r>
        <w:t xml:space="preserve">Knowledge through regular supervision(NOS2) and managers ensuring the team is provided with up to date information around safeguarding, Local Authority threshold documents and process maps have been essential in my learning and development.  Having stared a new role during the </w:t>
      </w:r>
      <w:r>
        <w:lastRenderedPageBreak/>
        <w:t xml:space="preserve">pandemic, training was limited initially therefore I found supervision both formal and informal to be extremely supportive as a newly qualified social worker. I gained knowledge from different teams by having one to one session with services and learning tools to use with families myself. More recently I was able to complete video training to support my professional development in specialized areas including transitioning and substance misuse. </w:t>
      </w:r>
    </w:p>
    <w:p w:rsidR="00A631A1" w:rsidRDefault="00A631A1" w:rsidP="00A631A1"/>
    <w:p w:rsidR="00A631A1" w:rsidRDefault="00A631A1" w:rsidP="00A631A1">
      <w:r>
        <w:t>When reflecting on S2, it was clear that I was lacking knowledge around mental health conditions with adults and children, with 1 in 4 children with a mother suffering with mental health, the statistics are relatively prominent. Something that became clear quickly in statutory services is that that mental health does have a negative impact on parenting which can lead to safeguarding concerns.  Crisis situations and circumstances can change quickly and there is the need to work both autonomously and collaboratively with families and professionals. I gained a huge amount of experience in other statutory services including adult and children, Community mental health teams, health, and criminal justice services. Multi-disciplinary working has also further increased my knowledge and provided me with more tools that I can use in my every day practice.</w:t>
      </w:r>
    </w:p>
    <w:p w:rsidR="00A631A1" w:rsidRDefault="00A631A1" w:rsidP="00A631A1"/>
    <w:p w:rsidR="00A631A1" w:rsidRDefault="00A631A1" w:rsidP="00A631A1">
      <w:r>
        <w:t xml:space="preserve">Since my first and second year qualified I feel more confident in identifying theories/models and applying these within my own practice and assessments systematically. I have found the use of models in my assessments and direct work to help identify needs and risks as well as to plan outcomes and work collaboratively. I have also had conversations with my mentor around the benefit of reading case law and how this can support my own practice and also queries, which again was not something I had not automatically considered in my own practice, this can be noted within the observation section with reference to competence guidelines. </w:t>
      </w:r>
    </w:p>
    <w:p w:rsidR="00A631A1" w:rsidRDefault="00A631A1" w:rsidP="00A631A1"/>
    <w:p w:rsidR="00A631A1" w:rsidRDefault="00A631A1" w:rsidP="00A631A1">
      <w:r>
        <w:t>When considering areas to continue with my development and to remain competent as an experienced social worker. It was identified with my mentor the need to have further knowledge of adults and older person’s services as at present this knowledge remains quite limited. It will be beneficial to consider spending time with a locality team to gain some experience and also book relevant training such as adults safeguarding and mental health. Reflecting on the observation Child 1 had been exposed to adverse child experiences(ACEs) and trauma in their life and now placed in Local authority care, as the social worker I needed to have better plan of the disengagement process. Further training around trauma-informed care would be beneficial in providing services and recognizing the frequency of early adversity in a person’s life, considering the presenting problems and understanding that early trauma forms an individual’s beliefs about which then affects their psychosocial functioning across the life span. An area that was identified with my mentor and is supervision is the need for further knowledge around third sector services for families as unfortunately due to the pandemic, services have been unable to operate the same as previously however a future area of need for my own development would be focused having better understanding of local services for families</w:t>
      </w:r>
      <w:bookmarkStart w:id="0" w:name="_GoBack"/>
      <w:bookmarkEnd w:id="0"/>
    </w:p>
    <w:sectPr w:rsidR="00A631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31A1"/>
    <w:rsid w:val="008B6EA7"/>
    <w:rsid w:val="00A63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A9B19"/>
  <w15:chartTrackingRefBased/>
  <w15:docId w15:val="{E6C56B13-E488-4257-A286-A377E02B2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6964</Words>
  <Characters>39699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Denbighshire County Council</Company>
  <LinksUpToDate>false</LinksUpToDate>
  <CharactersWithSpaces>46570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Kavanagh</dc:creator>
  <cp:keywords/>
  <dc:description/>
  <cp:lastModifiedBy>Toni Kavanagh</cp:lastModifiedBy>
  <cp:revision>1</cp:revision>
  <dcterms:created xsi:type="dcterms:W3CDTF">2021-05-11T16:09:00Z</dcterms:created>
  <dcterms:modified xsi:type="dcterms:W3CDTF">2021-05-11T16:13:00Z</dcterms:modified>
</cp:coreProperties>
</file>