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76AD25D" wp14:paraId="2C078E63" wp14:textId="71931E73">
      <w:pPr>
        <w:pStyle w:val="Heading1"/>
        <w:rPr>
          <w:rFonts w:ascii="Arial" w:hAnsi="Arial" w:eastAsia="Arial" w:cs="Arial"/>
        </w:rPr>
      </w:pPr>
      <w:r w:rsidRPr="476AD25D" w:rsidR="2FF42EB6">
        <w:rPr>
          <w:rFonts w:ascii="Arial" w:hAnsi="Arial" w:eastAsia="Arial" w:cs="Arial"/>
        </w:rPr>
        <w:t xml:space="preserve">Constructive Dismissal </w:t>
      </w:r>
      <w:r w:rsidRPr="476AD25D" w:rsidR="5E44C6EF">
        <w:rPr>
          <w:rFonts w:ascii="Arial" w:hAnsi="Arial" w:eastAsia="Arial" w:cs="Arial"/>
        </w:rPr>
        <w:t>(as of 25</w:t>
      </w:r>
      <w:r w:rsidRPr="476AD25D" w:rsidR="5E44C6EF">
        <w:rPr>
          <w:rFonts w:ascii="Arial" w:hAnsi="Arial" w:eastAsia="Arial" w:cs="Arial"/>
          <w:vertAlign w:val="superscript"/>
        </w:rPr>
        <w:t>th</w:t>
      </w:r>
      <w:r w:rsidRPr="476AD25D" w:rsidR="5E44C6EF">
        <w:rPr>
          <w:rFonts w:ascii="Arial" w:hAnsi="Arial" w:eastAsia="Arial" w:cs="Arial"/>
        </w:rPr>
        <w:t xml:space="preserve"> February 2026)</w:t>
      </w:r>
    </w:p>
    <w:p w:rsidR="476AD25D" w:rsidP="476AD25D" w:rsidRDefault="476AD25D" w14:paraId="73883432" w14:textId="2DFE00DE">
      <w:pPr>
        <w:pStyle w:val="Normal"/>
      </w:pPr>
    </w:p>
    <w:tbl>
      <w:tblPr>
        <w:tblStyle w:val="TableNormal"/>
        <w:bidiVisual w:val="0"/>
        <w:tblW w:w="0" w:type="auto"/>
        <w:tblLook w:val="06A0" w:firstRow="1" w:lastRow="0" w:firstColumn="1" w:lastColumn="0" w:noHBand="1" w:noVBand="1"/>
      </w:tblPr>
      <w:tblGrid>
        <w:gridCol w:w="2220"/>
        <w:gridCol w:w="1806"/>
        <w:gridCol w:w="5334"/>
      </w:tblGrid>
      <w:tr w:rsidR="476AD25D" w:rsidTr="476AD25D" w14:paraId="3DD94BD9">
        <w:trPr>
          <w:trHeight w:val="300"/>
        </w:trPr>
        <w:tc>
          <w:tcPr>
            <w:tcW w:w="2220" w:type="dxa"/>
            <w:tcBorders>
              <w:top w:val="single" w:color="DDDDDD" w:sz="6"/>
              <w:left w:val="single" w:color="DDDDDD" w:sz="6"/>
              <w:bottom w:val="single" w:color="DDDDDD" w:sz="6"/>
              <w:right w:val="single" w:color="DDDDDD" w:sz="6"/>
            </w:tcBorders>
            <w:shd w:val="clear" w:color="auto" w:fill="F2F2F2" w:themeFill="background1" w:themeFillShade="F2"/>
            <w:tcMar>
              <w:top w:w="120" w:type="dxa"/>
              <w:left w:w="120" w:type="dxa"/>
              <w:bottom w:w="120" w:type="dxa"/>
              <w:right w:w="120" w:type="dxa"/>
            </w:tcMar>
            <w:vAlign w:val="center"/>
          </w:tcPr>
          <w:p w:rsidR="476AD25D" w:rsidP="476AD25D" w:rsidRDefault="476AD25D" w14:paraId="448424C7" w14:textId="40C392DE">
            <w:pPr>
              <w:spacing w:before="0" w:beforeAutospacing="off" w:after="0" w:afterAutospacing="off"/>
              <w:jc w:val="left"/>
            </w:pPr>
            <w:r w:rsidRPr="476AD25D" w:rsidR="476AD25D">
              <w:rPr>
                <w:rFonts w:ascii="Arial" w:hAnsi="Arial" w:eastAsia="Arial" w:cs="Arial"/>
                <w:b w:val="1"/>
                <w:bCs w:val="1"/>
              </w:rPr>
              <w:t>Theme</w:t>
            </w:r>
          </w:p>
        </w:tc>
        <w:tc>
          <w:tcPr>
            <w:tcW w:w="1806" w:type="dxa"/>
            <w:tcBorders>
              <w:top w:val="single" w:color="DDDDDD" w:sz="6"/>
              <w:left w:val="single" w:color="DDDDDD" w:sz="6"/>
              <w:bottom w:val="single" w:color="DDDDDD" w:sz="6"/>
              <w:right w:val="single" w:color="DDDDDD" w:sz="6"/>
            </w:tcBorders>
            <w:shd w:val="clear" w:color="auto" w:fill="F2F2F2" w:themeFill="background1" w:themeFillShade="F2"/>
            <w:tcMar>
              <w:top w:w="120" w:type="dxa"/>
              <w:left w:w="120" w:type="dxa"/>
              <w:bottom w:w="120" w:type="dxa"/>
              <w:right w:w="120" w:type="dxa"/>
            </w:tcMar>
            <w:vAlign w:val="center"/>
          </w:tcPr>
          <w:p w:rsidR="476AD25D" w:rsidP="476AD25D" w:rsidRDefault="476AD25D" w14:paraId="0EE00533" w14:textId="00D6FA41">
            <w:pPr>
              <w:spacing w:before="0" w:beforeAutospacing="off" w:after="0" w:afterAutospacing="off"/>
              <w:jc w:val="left"/>
            </w:pPr>
            <w:r w:rsidRPr="476AD25D" w:rsidR="476AD25D">
              <w:rPr>
                <w:rFonts w:ascii="Arial" w:hAnsi="Arial" w:eastAsia="Arial" w:cs="Arial"/>
                <w:b w:val="1"/>
                <w:bCs w:val="1"/>
              </w:rPr>
              <w:t>Key case(s)</w:t>
            </w:r>
          </w:p>
        </w:tc>
        <w:tc>
          <w:tcPr>
            <w:tcW w:w="5334" w:type="dxa"/>
            <w:tcBorders>
              <w:top w:val="single" w:color="DDDDDD" w:sz="6"/>
              <w:left w:val="single" w:color="DDDDDD" w:sz="6"/>
              <w:bottom w:val="single" w:color="DDDDDD" w:sz="6"/>
              <w:right w:val="single" w:color="DDDDDD" w:sz="6"/>
            </w:tcBorders>
            <w:shd w:val="clear" w:color="auto" w:fill="F2F2F2" w:themeFill="background1" w:themeFillShade="F2"/>
            <w:tcMar>
              <w:top w:w="120" w:type="dxa"/>
              <w:left w:w="120" w:type="dxa"/>
              <w:bottom w:w="120" w:type="dxa"/>
              <w:right w:w="120" w:type="dxa"/>
            </w:tcMar>
            <w:vAlign w:val="center"/>
          </w:tcPr>
          <w:p w:rsidR="476AD25D" w:rsidP="476AD25D" w:rsidRDefault="476AD25D" w14:paraId="4A41EC3F" w14:textId="79253630">
            <w:pPr>
              <w:spacing w:before="0" w:beforeAutospacing="off" w:after="0" w:afterAutospacing="off"/>
              <w:jc w:val="left"/>
            </w:pPr>
            <w:r w:rsidRPr="476AD25D" w:rsidR="476AD25D">
              <w:rPr>
                <w:rFonts w:ascii="Arial" w:hAnsi="Arial" w:eastAsia="Arial" w:cs="Arial"/>
                <w:b w:val="1"/>
                <w:bCs w:val="1"/>
              </w:rPr>
              <w:t>Core principle (very short)</w:t>
            </w:r>
          </w:p>
        </w:tc>
      </w:tr>
      <w:tr w:rsidR="476AD25D" w:rsidTr="476AD25D" w14:paraId="79334C68">
        <w:trPr>
          <w:trHeight w:val="300"/>
        </w:trPr>
        <w:tc>
          <w:tcPr>
            <w:tcW w:w="2220"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7BF3CD42" w14:textId="13594968">
            <w:pPr>
              <w:spacing w:before="0" w:beforeAutospacing="off" w:after="0" w:afterAutospacing="off"/>
              <w:jc w:val="left"/>
            </w:pPr>
            <w:r w:rsidRPr="476AD25D" w:rsidR="476AD25D">
              <w:rPr>
                <w:rFonts w:ascii="Arial" w:hAnsi="Arial" w:eastAsia="Arial" w:cs="Arial"/>
              </w:rPr>
              <w:t>Basic definition of constructive dismissal</w:t>
            </w:r>
          </w:p>
        </w:tc>
        <w:tc>
          <w:tcPr>
            <w:tcW w:w="1806"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1168C690" w14:textId="6E40DB23">
            <w:pPr>
              <w:spacing w:before="0" w:beforeAutospacing="off" w:after="0" w:afterAutospacing="off"/>
              <w:jc w:val="left"/>
            </w:pPr>
            <w:r w:rsidRPr="476AD25D" w:rsidR="476AD25D">
              <w:rPr>
                <w:rFonts w:ascii="Arial" w:hAnsi="Arial" w:eastAsia="Arial" w:cs="Arial"/>
              </w:rPr>
              <w:t>Western Excavating (ECC) Ltd v Sharp ICR 221</w:t>
            </w:r>
          </w:p>
        </w:tc>
        <w:tc>
          <w:tcPr>
            <w:tcW w:w="5334"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37C35C7F" w14:textId="35151160">
            <w:pPr>
              <w:spacing w:before="0" w:beforeAutospacing="off" w:after="0" w:afterAutospacing="off"/>
              <w:jc w:val="left"/>
            </w:pPr>
            <w:r w:rsidRPr="476AD25D" w:rsidR="476AD25D">
              <w:rPr>
                <w:rFonts w:ascii="Arial" w:hAnsi="Arial" w:eastAsia="Arial" w:cs="Arial"/>
              </w:rPr>
              <w:t xml:space="preserve">Repudiatory breach test: significant breach going to root of contract or showing employer no longer intends to be bound; employee may treat contract as </w:t>
            </w:r>
            <w:r w:rsidRPr="476AD25D" w:rsidR="476AD25D">
              <w:rPr>
                <w:rFonts w:ascii="Arial" w:hAnsi="Arial" w:eastAsia="Arial" w:cs="Arial"/>
              </w:rPr>
              <w:t>terminated</w:t>
            </w:r>
            <w:r w:rsidRPr="476AD25D" w:rsidR="476AD25D">
              <w:rPr>
                <w:rFonts w:ascii="Arial" w:hAnsi="Arial" w:eastAsia="Arial" w:cs="Arial"/>
              </w:rPr>
              <w:t xml:space="preserve">. </w:t>
            </w:r>
          </w:p>
        </w:tc>
      </w:tr>
      <w:tr w:rsidR="476AD25D" w:rsidTr="476AD25D" w14:paraId="74706B89">
        <w:trPr>
          <w:trHeight w:val="300"/>
        </w:trPr>
        <w:tc>
          <w:tcPr>
            <w:tcW w:w="2220"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246E21A4" w14:textId="1BA2933C">
            <w:pPr>
              <w:spacing w:before="0" w:beforeAutospacing="off" w:after="0" w:afterAutospacing="off"/>
              <w:jc w:val="left"/>
            </w:pPr>
            <w:r w:rsidRPr="476AD25D" w:rsidR="476AD25D">
              <w:rPr>
                <w:rFonts w:ascii="Arial" w:hAnsi="Arial" w:eastAsia="Arial" w:cs="Arial"/>
              </w:rPr>
              <w:t>Mutual trust and confidence</w:t>
            </w:r>
          </w:p>
        </w:tc>
        <w:tc>
          <w:tcPr>
            <w:tcW w:w="1806"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26081FB6" w14:textId="53715EE1">
            <w:pPr>
              <w:spacing w:before="0" w:beforeAutospacing="off" w:after="0" w:afterAutospacing="off"/>
              <w:jc w:val="left"/>
            </w:pPr>
            <w:r w:rsidRPr="476AD25D" w:rsidR="476AD25D">
              <w:rPr>
                <w:rFonts w:ascii="Arial" w:hAnsi="Arial" w:eastAsia="Arial" w:cs="Arial"/>
              </w:rPr>
              <w:t>Malik v Bank of Credit and Commerce International SA UKHL 23 (often cited generally)</w:t>
            </w:r>
          </w:p>
        </w:tc>
        <w:tc>
          <w:tcPr>
            <w:tcW w:w="5334"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0CC77D4C" w14:textId="00CBBBB0">
            <w:pPr>
              <w:spacing w:before="0" w:beforeAutospacing="off" w:after="0" w:afterAutospacing="off"/>
              <w:jc w:val="left"/>
            </w:pPr>
            <w:r w:rsidRPr="476AD25D" w:rsidR="476AD25D">
              <w:rPr>
                <w:rFonts w:ascii="Arial" w:hAnsi="Arial" w:eastAsia="Arial" w:cs="Arial"/>
              </w:rPr>
              <w:t xml:space="preserve">Confirms the implied term that </w:t>
            </w:r>
            <w:r w:rsidRPr="476AD25D" w:rsidR="476AD25D">
              <w:rPr>
                <w:rFonts w:ascii="Arial" w:hAnsi="Arial" w:eastAsia="Arial" w:cs="Arial"/>
              </w:rPr>
              <w:t>employer</w:t>
            </w:r>
            <w:r w:rsidRPr="476AD25D" w:rsidR="476AD25D">
              <w:rPr>
                <w:rFonts w:ascii="Arial" w:hAnsi="Arial" w:eastAsia="Arial" w:cs="Arial"/>
              </w:rPr>
              <w:t xml:space="preserve"> must not, without reasonable and proper cause, conduct itself </w:t>
            </w:r>
            <w:r w:rsidRPr="476AD25D" w:rsidR="476AD25D">
              <w:rPr>
                <w:rFonts w:ascii="Arial" w:hAnsi="Arial" w:eastAsia="Arial" w:cs="Arial"/>
              </w:rPr>
              <w:t>so as to</w:t>
            </w:r>
            <w:r w:rsidRPr="476AD25D" w:rsidR="476AD25D">
              <w:rPr>
                <w:rFonts w:ascii="Arial" w:hAnsi="Arial" w:eastAsia="Arial" w:cs="Arial"/>
              </w:rPr>
              <w:t xml:space="preserve"> destroy or seriously damage mutual trust and confidence. </w:t>
            </w:r>
          </w:p>
        </w:tc>
      </w:tr>
      <w:tr w:rsidR="476AD25D" w:rsidTr="476AD25D" w14:paraId="1A539AC2">
        <w:trPr>
          <w:trHeight w:val="300"/>
        </w:trPr>
        <w:tc>
          <w:tcPr>
            <w:tcW w:w="2220"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47DAC935" w14:textId="01EAB7B3">
            <w:pPr>
              <w:spacing w:before="0" w:beforeAutospacing="off" w:after="0" w:afterAutospacing="off"/>
              <w:jc w:val="left"/>
            </w:pPr>
            <w:r w:rsidRPr="476AD25D" w:rsidR="476AD25D">
              <w:rPr>
                <w:rFonts w:ascii="Arial" w:hAnsi="Arial" w:eastAsia="Arial" w:cs="Arial"/>
              </w:rPr>
              <w:t>Series of acts / “last straw”</w:t>
            </w:r>
          </w:p>
        </w:tc>
        <w:tc>
          <w:tcPr>
            <w:tcW w:w="1806"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2CAC56E2" w14:textId="31509354">
            <w:pPr>
              <w:spacing w:before="0" w:beforeAutospacing="off" w:after="0" w:afterAutospacing="off"/>
              <w:jc w:val="left"/>
            </w:pPr>
            <w:r w:rsidRPr="476AD25D" w:rsidR="476AD25D">
              <w:rPr>
                <w:rFonts w:ascii="Arial" w:hAnsi="Arial" w:eastAsia="Arial" w:cs="Arial"/>
              </w:rPr>
              <w:t>Lewis v Motorworld Garages Ltd IRLR 465</w:t>
            </w:r>
          </w:p>
        </w:tc>
        <w:tc>
          <w:tcPr>
            <w:tcW w:w="5334"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45BB93F8" w14:textId="40E44B24">
            <w:pPr>
              <w:spacing w:before="0" w:beforeAutospacing="off" w:after="0" w:afterAutospacing="off"/>
              <w:jc w:val="left"/>
              <w:rPr>
                <w:rFonts w:ascii="Arial" w:hAnsi="Arial" w:eastAsia="Arial" w:cs="Arial"/>
              </w:rPr>
            </w:pPr>
            <w:r w:rsidRPr="476AD25D" w:rsidR="476AD25D">
              <w:rPr>
                <w:rFonts w:ascii="Arial" w:hAnsi="Arial" w:eastAsia="Arial" w:cs="Arial"/>
              </w:rPr>
              <w:t xml:space="preserve">A cumulative course of conduct can amount to a fundamental breach; last incident may be minor but </w:t>
            </w:r>
            <w:r w:rsidRPr="476AD25D" w:rsidR="476AD25D">
              <w:rPr>
                <w:rFonts w:ascii="Arial" w:hAnsi="Arial" w:eastAsia="Arial" w:cs="Arial"/>
              </w:rPr>
              <w:t>crystallises</w:t>
            </w:r>
            <w:r w:rsidRPr="476AD25D" w:rsidR="476AD25D">
              <w:rPr>
                <w:rFonts w:ascii="Arial" w:hAnsi="Arial" w:eastAsia="Arial" w:cs="Arial"/>
              </w:rPr>
              <w:t xml:space="preserve"> earlier breaches.</w:t>
            </w:r>
          </w:p>
        </w:tc>
      </w:tr>
      <w:tr w:rsidR="476AD25D" w:rsidTr="476AD25D" w14:paraId="4018B554">
        <w:trPr>
          <w:trHeight w:val="300"/>
        </w:trPr>
        <w:tc>
          <w:tcPr>
            <w:tcW w:w="2220"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393F83C5" w14:textId="087EA0CA">
            <w:pPr>
              <w:spacing w:before="0" w:beforeAutospacing="off" w:after="0" w:afterAutospacing="off"/>
              <w:jc w:val="left"/>
            </w:pPr>
            <w:r w:rsidRPr="476AD25D" w:rsidR="476AD25D">
              <w:rPr>
                <w:rFonts w:ascii="Arial" w:hAnsi="Arial" w:eastAsia="Arial" w:cs="Arial"/>
              </w:rPr>
              <w:t>Need to resign in response / no affirmation</w:t>
            </w:r>
          </w:p>
        </w:tc>
        <w:tc>
          <w:tcPr>
            <w:tcW w:w="1806"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06AB4460" w14:textId="4E86F1F0">
            <w:pPr>
              <w:spacing w:before="0" w:beforeAutospacing="off" w:after="0" w:afterAutospacing="off"/>
              <w:jc w:val="left"/>
            </w:pPr>
            <w:r w:rsidRPr="476AD25D" w:rsidR="476AD25D">
              <w:rPr>
                <w:rFonts w:ascii="Arial" w:hAnsi="Arial" w:eastAsia="Arial" w:cs="Arial"/>
              </w:rPr>
              <w:t>Western Excavating (ECC) v Sharp; later repeated in many decisions</w:t>
            </w:r>
          </w:p>
        </w:tc>
        <w:tc>
          <w:tcPr>
            <w:tcW w:w="5334"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2E4D89FC" w14:textId="5D16A00B">
            <w:pPr>
              <w:spacing w:before="0" w:beforeAutospacing="off" w:after="0" w:afterAutospacing="off"/>
              <w:jc w:val="left"/>
            </w:pPr>
            <w:r w:rsidRPr="476AD25D" w:rsidR="476AD25D">
              <w:rPr>
                <w:rFonts w:ascii="Arial" w:hAnsi="Arial" w:eastAsia="Arial" w:cs="Arial"/>
              </w:rPr>
              <w:t>Employee</w:t>
            </w:r>
            <w:r w:rsidRPr="476AD25D" w:rsidR="476AD25D">
              <w:rPr>
                <w:rFonts w:ascii="Arial" w:hAnsi="Arial" w:eastAsia="Arial" w:cs="Arial"/>
              </w:rPr>
              <w:t xml:space="preserve"> must resign because of the breach and without undue delay; delay or continued working can amount to affirmation. </w:t>
            </w:r>
          </w:p>
        </w:tc>
      </w:tr>
      <w:tr w:rsidR="476AD25D" w:rsidTr="476AD25D" w14:paraId="624A5587">
        <w:trPr>
          <w:trHeight w:val="300"/>
        </w:trPr>
        <w:tc>
          <w:tcPr>
            <w:tcW w:w="2220"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2C2E7999" w14:textId="73D50164">
            <w:pPr>
              <w:spacing w:before="0" w:beforeAutospacing="off" w:after="0" w:afterAutospacing="off"/>
              <w:jc w:val="left"/>
            </w:pPr>
            <w:r w:rsidRPr="476AD25D" w:rsidR="476AD25D">
              <w:rPr>
                <w:rFonts w:ascii="Arial" w:hAnsi="Arial" w:eastAsia="Arial" w:cs="Arial"/>
              </w:rPr>
              <w:t>Reasonableness and grievance procedures</w:t>
            </w:r>
          </w:p>
        </w:tc>
        <w:tc>
          <w:tcPr>
            <w:tcW w:w="1806"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09B02602" w14:textId="1A56EED7">
            <w:pPr>
              <w:spacing w:before="0" w:beforeAutospacing="off" w:after="0" w:afterAutospacing="off"/>
              <w:jc w:val="left"/>
            </w:pPr>
            <w:r w:rsidRPr="476AD25D" w:rsidR="476AD25D">
              <w:rPr>
                <w:rFonts w:ascii="Arial" w:hAnsi="Arial" w:eastAsia="Arial" w:cs="Arial"/>
              </w:rPr>
              <w:t>Conway v Ulster Bank Ltd; Ranchin v Allianz Worldwide Care SA; Travers v MBNA Ireland Ltd</w:t>
            </w:r>
          </w:p>
        </w:tc>
        <w:tc>
          <w:tcPr>
            <w:tcW w:w="5334" w:type="dxa"/>
            <w:tcBorders>
              <w:top w:val="single" w:color="DDDDDD" w:sz="6"/>
              <w:left w:val="single" w:color="DDDDDD" w:sz="6"/>
              <w:bottom w:val="single" w:color="DDDDDD" w:sz="6"/>
              <w:right w:val="single" w:color="DDDDDD" w:sz="6"/>
            </w:tcBorders>
            <w:tcMar>
              <w:top w:w="120" w:type="dxa"/>
              <w:left w:w="120" w:type="dxa"/>
              <w:bottom w:w="120" w:type="dxa"/>
              <w:right w:w="120" w:type="dxa"/>
            </w:tcMar>
            <w:vAlign w:val="center"/>
          </w:tcPr>
          <w:p w:rsidR="476AD25D" w:rsidP="476AD25D" w:rsidRDefault="476AD25D" w14:paraId="26A16CD4" w14:textId="6832D318">
            <w:pPr>
              <w:spacing w:before="0" w:beforeAutospacing="off" w:after="0" w:afterAutospacing="off"/>
              <w:jc w:val="left"/>
              <w:rPr>
                <w:rFonts w:ascii="Arial" w:hAnsi="Arial" w:eastAsia="Arial" w:cs="Arial"/>
              </w:rPr>
            </w:pPr>
            <w:r w:rsidRPr="476AD25D" w:rsidR="476AD25D">
              <w:rPr>
                <w:rFonts w:ascii="Arial" w:hAnsi="Arial" w:eastAsia="Arial" w:cs="Arial"/>
              </w:rPr>
              <w:t xml:space="preserve">Employees invoking the “reasonableness” line of cases are </w:t>
            </w:r>
            <w:r w:rsidRPr="476AD25D" w:rsidR="476AD25D">
              <w:rPr>
                <w:rFonts w:ascii="Arial" w:hAnsi="Arial" w:eastAsia="Arial" w:cs="Arial"/>
              </w:rPr>
              <w:t>generally expected</w:t>
            </w:r>
            <w:r w:rsidRPr="476AD25D" w:rsidR="476AD25D">
              <w:rPr>
                <w:rFonts w:ascii="Arial" w:hAnsi="Arial" w:eastAsia="Arial" w:cs="Arial"/>
              </w:rPr>
              <w:t xml:space="preserve"> to use internal grievance procedures before </w:t>
            </w:r>
            <w:r w:rsidRPr="476AD25D" w:rsidR="476AD25D">
              <w:rPr>
                <w:rFonts w:ascii="Arial" w:hAnsi="Arial" w:eastAsia="Arial" w:cs="Arial"/>
              </w:rPr>
              <w:t>resigning, unless</w:t>
            </w:r>
            <w:r w:rsidRPr="476AD25D" w:rsidR="476AD25D">
              <w:rPr>
                <w:rFonts w:ascii="Arial" w:hAnsi="Arial" w:eastAsia="Arial" w:cs="Arial"/>
              </w:rPr>
              <w:t xml:space="preserve"> that would itself be unreasonable. </w:t>
            </w:r>
          </w:p>
        </w:tc>
      </w:tr>
    </w:tbl>
    <w:p w:rsidR="476AD25D" w:rsidP="476AD25D" w:rsidRDefault="476AD25D" w14:paraId="0CF46D8E" w14:textId="28FDE4EB">
      <w:pPr>
        <w:pStyle w:val="Normal"/>
      </w:pPr>
    </w:p>
    <w:p w:rsidR="182716A3" w:rsidP="476AD25D" w:rsidRDefault="182716A3" w14:paraId="67A4F834" w14:textId="132FEDA9">
      <w:pPr>
        <w:pStyle w:val="Heading2"/>
        <w:rPr>
          <w:rFonts w:ascii="Arial" w:hAnsi="Arial" w:eastAsia="Arial" w:cs="Arial"/>
        </w:rPr>
      </w:pPr>
      <w:r w:rsidRPr="476AD25D" w:rsidR="182716A3">
        <w:rPr>
          <w:rFonts w:ascii="Arial" w:hAnsi="Arial" w:eastAsia="Arial" w:cs="Arial"/>
        </w:rPr>
        <w:t>Core legal test</w:t>
      </w:r>
    </w:p>
    <w:p w:rsidR="476AD25D" w:rsidP="476AD25D" w:rsidRDefault="476AD25D" w14:paraId="4916CFD2" w14:textId="46108FE5">
      <w:pPr>
        <w:pStyle w:val="Normal"/>
      </w:pPr>
    </w:p>
    <w:p w:rsidR="182716A3" w:rsidP="476AD25D" w:rsidRDefault="182716A3" w14:paraId="5BDA57C7" w14:textId="021FA9DA">
      <w:pPr>
        <w:spacing w:before="120" w:beforeAutospacing="off" w:after="120" w:afterAutospacing="off"/>
        <w:rPr>
          <w:rFonts w:ascii="Arial" w:hAnsi="Arial" w:eastAsia="Arial" w:cs="Arial"/>
          <w:b w:val="0"/>
          <w:bCs w:val="0"/>
          <w:i w:val="0"/>
          <w:iCs w:val="0"/>
          <w:caps w:val="0"/>
          <w:smallCaps w:val="0"/>
          <w:noProof w:val="0"/>
          <w:sz w:val="24"/>
          <w:szCs w:val="24"/>
          <w:lang w:val="en-US"/>
        </w:rPr>
      </w:pPr>
      <w:r w:rsidRPr="476AD25D" w:rsidR="182716A3">
        <w:rPr>
          <w:rFonts w:ascii="Arial" w:hAnsi="Arial" w:eastAsia="Arial" w:cs="Arial"/>
          <w:b w:val="0"/>
          <w:bCs w:val="0"/>
          <w:i w:val="0"/>
          <w:iCs w:val="0"/>
          <w:caps w:val="0"/>
          <w:smallCaps w:val="0"/>
          <w:noProof w:val="0"/>
          <w:sz w:val="24"/>
          <w:szCs w:val="24"/>
          <w:lang w:val="en-US"/>
        </w:rPr>
        <w:t xml:space="preserve">The modern starting point for constructive dismissal in UK law is usually traced to the test articulated in Western Excavating (ECC) Ltd v Sharp, which is repeatedly cited in UK and Irish decisions as the classic formulation. Tribunals now routinely </w:t>
      </w:r>
      <w:r w:rsidRPr="476AD25D" w:rsidR="182716A3">
        <w:rPr>
          <w:rFonts w:ascii="Arial" w:hAnsi="Arial" w:eastAsia="Arial" w:cs="Arial"/>
          <w:b w:val="0"/>
          <w:bCs w:val="0"/>
          <w:i w:val="0"/>
          <w:iCs w:val="0"/>
          <w:caps w:val="0"/>
          <w:smallCaps w:val="0"/>
          <w:noProof w:val="0"/>
          <w:sz w:val="24"/>
          <w:szCs w:val="24"/>
          <w:lang w:val="en-US"/>
        </w:rPr>
        <w:t>summarise</w:t>
      </w:r>
      <w:r w:rsidRPr="476AD25D" w:rsidR="182716A3">
        <w:rPr>
          <w:rFonts w:ascii="Arial" w:hAnsi="Arial" w:eastAsia="Arial" w:cs="Arial"/>
          <w:b w:val="0"/>
          <w:bCs w:val="0"/>
          <w:i w:val="0"/>
          <w:iCs w:val="0"/>
          <w:caps w:val="0"/>
          <w:smallCaps w:val="0"/>
          <w:noProof w:val="0"/>
          <w:sz w:val="24"/>
          <w:szCs w:val="24"/>
          <w:lang w:val="en-US"/>
        </w:rPr>
        <w:t xml:space="preserve"> the law using that test and </w:t>
      </w:r>
      <w:r w:rsidRPr="476AD25D" w:rsidR="182716A3">
        <w:rPr>
          <w:rFonts w:ascii="Arial" w:hAnsi="Arial" w:eastAsia="Arial" w:cs="Arial"/>
          <w:b w:val="0"/>
          <w:bCs w:val="0"/>
          <w:i w:val="0"/>
          <w:iCs w:val="0"/>
          <w:caps w:val="0"/>
          <w:smallCaps w:val="0"/>
          <w:noProof w:val="0"/>
          <w:sz w:val="24"/>
          <w:szCs w:val="24"/>
          <w:lang w:val="en-US"/>
        </w:rPr>
        <w:t>subsequent</w:t>
      </w:r>
      <w:r w:rsidRPr="476AD25D" w:rsidR="182716A3">
        <w:rPr>
          <w:rFonts w:ascii="Arial" w:hAnsi="Arial" w:eastAsia="Arial" w:cs="Arial"/>
          <w:b w:val="0"/>
          <w:bCs w:val="0"/>
          <w:i w:val="0"/>
          <w:iCs w:val="0"/>
          <w:caps w:val="0"/>
          <w:smallCaps w:val="0"/>
          <w:noProof w:val="0"/>
          <w:sz w:val="24"/>
          <w:szCs w:val="24"/>
          <w:lang w:val="en-US"/>
        </w:rPr>
        <w:t xml:space="preserve"> refinements.</w:t>
      </w:r>
    </w:p>
    <w:p w:rsidR="182716A3" w:rsidP="476AD25D" w:rsidRDefault="182716A3" w14:paraId="0296103D" w14:textId="42DAB6CF">
      <w:pPr>
        <w:spacing w:before="240" w:beforeAutospacing="off" w:after="120" w:afterAutospacing="off"/>
        <w:rPr>
          <w:rFonts w:ascii="Arial" w:hAnsi="Arial" w:eastAsia="Arial" w:cs="Arial"/>
          <w:b w:val="0"/>
          <w:bCs w:val="0"/>
          <w:i w:val="0"/>
          <w:iCs w:val="0"/>
          <w:caps w:val="0"/>
          <w:smallCaps w:val="0"/>
          <w:noProof w:val="0"/>
          <w:sz w:val="24"/>
          <w:szCs w:val="24"/>
          <w:lang w:val="en-US"/>
        </w:rPr>
      </w:pPr>
      <w:r w:rsidRPr="476AD25D" w:rsidR="182716A3">
        <w:rPr>
          <w:rFonts w:ascii="Arial" w:hAnsi="Arial" w:eastAsia="Arial" w:cs="Arial"/>
          <w:b w:val="0"/>
          <w:bCs w:val="0"/>
          <w:i w:val="0"/>
          <w:iCs w:val="0"/>
          <w:caps w:val="0"/>
          <w:smallCaps w:val="0"/>
          <w:noProof w:val="0"/>
          <w:sz w:val="24"/>
          <w:szCs w:val="24"/>
          <w:lang w:val="en-US"/>
        </w:rPr>
        <w:t>At its simplest, the employee must show:</w:t>
      </w:r>
    </w:p>
    <w:p w:rsidR="182716A3" w:rsidP="476AD25D" w:rsidRDefault="182716A3" w14:paraId="17B227F1" w14:textId="366EB998">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sz w:val="24"/>
          <w:szCs w:val="24"/>
          <w:lang w:val="en-US"/>
        </w:rPr>
      </w:pPr>
      <w:r w:rsidRPr="476AD25D" w:rsidR="182716A3">
        <w:rPr>
          <w:rFonts w:ascii="Arial" w:hAnsi="Arial" w:eastAsia="Arial" w:cs="Arial"/>
          <w:b w:val="0"/>
          <w:bCs w:val="0"/>
          <w:i w:val="0"/>
          <w:iCs w:val="0"/>
          <w:caps w:val="0"/>
          <w:smallCaps w:val="0"/>
          <w:noProof w:val="0"/>
          <w:sz w:val="24"/>
          <w:szCs w:val="24"/>
          <w:lang w:val="en-US"/>
        </w:rPr>
        <w:t xml:space="preserve">A </w:t>
      </w:r>
      <w:r w:rsidRPr="476AD25D" w:rsidR="182716A3">
        <w:rPr>
          <w:rFonts w:ascii="Arial" w:hAnsi="Arial" w:eastAsia="Arial" w:cs="Arial"/>
          <w:b w:val="1"/>
          <w:bCs w:val="1"/>
          <w:i w:val="0"/>
          <w:iCs w:val="0"/>
          <w:caps w:val="0"/>
          <w:smallCaps w:val="0"/>
          <w:noProof w:val="0"/>
          <w:sz w:val="24"/>
          <w:szCs w:val="24"/>
          <w:lang w:val="en-US"/>
        </w:rPr>
        <w:t>fundamental breach of contract</w:t>
      </w:r>
      <w:r w:rsidRPr="476AD25D" w:rsidR="182716A3">
        <w:rPr>
          <w:rFonts w:ascii="Arial" w:hAnsi="Arial" w:eastAsia="Arial" w:cs="Arial"/>
          <w:b w:val="0"/>
          <w:bCs w:val="0"/>
          <w:i w:val="0"/>
          <w:iCs w:val="0"/>
          <w:caps w:val="0"/>
          <w:smallCaps w:val="0"/>
          <w:noProof w:val="0"/>
          <w:sz w:val="24"/>
          <w:szCs w:val="24"/>
          <w:lang w:val="en-US"/>
        </w:rPr>
        <w:t xml:space="preserve"> by the employer (express term or implied term, usually mutual </w:t>
      </w:r>
      <w:r w:rsidRPr="476AD25D" w:rsidR="182716A3">
        <w:rPr>
          <w:rFonts w:ascii="Arial" w:hAnsi="Arial" w:eastAsia="Arial" w:cs="Arial"/>
          <w:b w:val="0"/>
          <w:bCs w:val="0"/>
          <w:i w:val="0"/>
          <w:iCs w:val="0"/>
          <w:caps w:val="0"/>
          <w:smallCaps w:val="0"/>
          <w:noProof w:val="0"/>
          <w:sz w:val="24"/>
          <w:szCs w:val="24"/>
          <w:lang w:val="en-US"/>
        </w:rPr>
        <w:t>trust</w:t>
      </w:r>
      <w:r w:rsidRPr="476AD25D" w:rsidR="182716A3">
        <w:rPr>
          <w:rFonts w:ascii="Arial" w:hAnsi="Arial" w:eastAsia="Arial" w:cs="Arial"/>
          <w:b w:val="0"/>
          <w:bCs w:val="0"/>
          <w:i w:val="0"/>
          <w:iCs w:val="0"/>
          <w:caps w:val="0"/>
          <w:smallCaps w:val="0"/>
          <w:noProof w:val="0"/>
          <w:sz w:val="24"/>
          <w:szCs w:val="24"/>
          <w:lang w:val="en-US"/>
        </w:rPr>
        <w:t xml:space="preserve"> and confidence).</w:t>
      </w:r>
    </w:p>
    <w:p w:rsidR="182716A3" w:rsidP="476AD25D" w:rsidRDefault="182716A3" w14:paraId="4A4B1E2F" w14:textId="6228D04F">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sz w:val="24"/>
          <w:szCs w:val="24"/>
          <w:lang w:val="en-US"/>
        </w:rPr>
      </w:pPr>
      <w:r w:rsidRPr="476AD25D" w:rsidR="182716A3">
        <w:rPr>
          <w:rFonts w:ascii="Arial" w:hAnsi="Arial" w:eastAsia="Arial" w:cs="Arial"/>
          <w:b w:val="0"/>
          <w:bCs w:val="0"/>
          <w:i w:val="0"/>
          <w:iCs w:val="0"/>
          <w:caps w:val="0"/>
          <w:smallCaps w:val="0"/>
          <w:noProof w:val="0"/>
          <w:sz w:val="24"/>
          <w:szCs w:val="24"/>
          <w:lang w:val="en-US"/>
        </w:rPr>
        <w:t xml:space="preserve">That they </w:t>
      </w:r>
      <w:r w:rsidRPr="476AD25D" w:rsidR="182716A3">
        <w:rPr>
          <w:rFonts w:ascii="Arial" w:hAnsi="Arial" w:eastAsia="Arial" w:cs="Arial"/>
          <w:b w:val="1"/>
          <w:bCs w:val="1"/>
          <w:i w:val="0"/>
          <w:iCs w:val="0"/>
          <w:caps w:val="0"/>
          <w:smallCaps w:val="0"/>
          <w:noProof w:val="0"/>
          <w:sz w:val="24"/>
          <w:szCs w:val="24"/>
          <w:lang w:val="en-US"/>
        </w:rPr>
        <w:t>resigned in response</w:t>
      </w:r>
      <w:r w:rsidRPr="476AD25D" w:rsidR="182716A3">
        <w:rPr>
          <w:rFonts w:ascii="Arial" w:hAnsi="Arial" w:eastAsia="Arial" w:cs="Arial"/>
          <w:b w:val="0"/>
          <w:bCs w:val="0"/>
          <w:i w:val="0"/>
          <w:iCs w:val="0"/>
          <w:caps w:val="0"/>
          <w:smallCaps w:val="0"/>
          <w:noProof w:val="0"/>
          <w:sz w:val="24"/>
          <w:szCs w:val="24"/>
          <w:lang w:val="en-US"/>
        </w:rPr>
        <w:t xml:space="preserve"> to that breach, and not for an unrelated reason.</w:t>
      </w:r>
    </w:p>
    <w:p w:rsidR="182716A3" w:rsidP="476AD25D" w:rsidRDefault="182716A3" w14:paraId="4D9DFD04" w14:textId="51568F8D">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sz w:val="24"/>
          <w:szCs w:val="24"/>
          <w:lang w:val="en-US"/>
        </w:rPr>
      </w:pPr>
      <w:r w:rsidRPr="476AD25D" w:rsidR="182716A3">
        <w:rPr>
          <w:rFonts w:ascii="Arial" w:hAnsi="Arial" w:eastAsia="Arial" w:cs="Arial"/>
          <w:b w:val="0"/>
          <w:bCs w:val="0"/>
          <w:i w:val="0"/>
          <w:iCs w:val="0"/>
          <w:caps w:val="0"/>
          <w:smallCaps w:val="0"/>
          <w:noProof w:val="0"/>
          <w:sz w:val="24"/>
          <w:szCs w:val="24"/>
          <w:lang w:val="en-US"/>
        </w:rPr>
        <w:t xml:space="preserve">That they </w:t>
      </w:r>
      <w:r w:rsidRPr="476AD25D" w:rsidR="182716A3">
        <w:rPr>
          <w:rFonts w:ascii="Arial" w:hAnsi="Arial" w:eastAsia="Arial" w:cs="Arial"/>
          <w:b w:val="1"/>
          <w:bCs w:val="1"/>
          <w:i w:val="0"/>
          <w:iCs w:val="0"/>
          <w:caps w:val="0"/>
          <w:smallCaps w:val="0"/>
          <w:noProof w:val="0"/>
          <w:sz w:val="24"/>
          <w:szCs w:val="24"/>
          <w:lang w:val="en-US"/>
        </w:rPr>
        <w:t>did not delay too long</w:t>
      </w:r>
      <w:r w:rsidRPr="476AD25D" w:rsidR="182716A3">
        <w:rPr>
          <w:rFonts w:ascii="Arial" w:hAnsi="Arial" w:eastAsia="Arial" w:cs="Arial"/>
          <w:b w:val="0"/>
          <w:bCs w:val="0"/>
          <w:i w:val="0"/>
          <w:iCs w:val="0"/>
          <w:caps w:val="0"/>
          <w:smallCaps w:val="0"/>
          <w:noProof w:val="0"/>
          <w:sz w:val="24"/>
          <w:szCs w:val="24"/>
          <w:lang w:val="en-US"/>
        </w:rPr>
        <w:t xml:space="preserve"> or otherwise affirm the contract after the breach.</w:t>
      </w:r>
    </w:p>
    <w:p w:rsidR="182716A3" w:rsidP="476AD25D" w:rsidRDefault="182716A3" w14:paraId="4749701E" w14:textId="02AE019F">
      <w:pPr>
        <w:spacing w:before="120" w:beforeAutospacing="off" w:after="120" w:afterAutospacing="off"/>
        <w:rPr>
          <w:rFonts w:ascii="Arial" w:hAnsi="Arial" w:eastAsia="Arial" w:cs="Arial"/>
          <w:b w:val="0"/>
          <w:bCs w:val="0"/>
          <w:i w:val="0"/>
          <w:iCs w:val="0"/>
          <w:caps w:val="0"/>
          <w:smallCaps w:val="0"/>
          <w:noProof w:val="0"/>
          <w:sz w:val="24"/>
          <w:szCs w:val="24"/>
          <w:lang w:val="en-US"/>
        </w:rPr>
      </w:pPr>
      <w:r w:rsidRPr="476AD25D" w:rsidR="182716A3">
        <w:rPr>
          <w:rFonts w:ascii="Arial" w:hAnsi="Arial" w:eastAsia="Arial" w:cs="Arial"/>
          <w:b w:val="0"/>
          <w:bCs w:val="0"/>
          <w:i w:val="0"/>
          <w:iCs w:val="0"/>
          <w:caps w:val="0"/>
          <w:smallCaps w:val="0"/>
          <w:noProof w:val="0"/>
          <w:sz w:val="24"/>
          <w:szCs w:val="24"/>
          <w:lang w:val="en-US"/>
        </w:rPr>
        <w:t>In statutory unfair dismissal claims based on constructive dismissal, the common‑law test is overlaid on the statutory framework in the Employment Rights Act 1996, but the case law on what counts as a “repudiatory” breach is judge‑made</w:t>
      </w:r>
    </w:p>
    <w:p w:rsidR="476AD25D" w:rsidP="476AD25D" w:rsidRDefault="476AD25D" w14:paraId="117C5A8E" w14:textId="35575211">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312fd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A8A1F6"/>
    <w:rsid w:val="0F563D70"/>
    <w:rsid w:val="1593D848"/>
    <w:rsid w:val="182716A3"/>
    <w:rsid w:val="2FF42EB6"/>
    <w:rsid w:val="3438E712"/>
    <w:rsid w:val="3438E712"/>
    <w:rsid w:val="476AD25D"/>
    <w:rsid w:val="49A8A1F6"/>
    <w:rsid w:val="5D2B1677"/>
    <w:rsid w:val="5DBBF1AB"/>
    <w:rsid w:val="5E44C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8A1F6"/>
  <w15:chartTrackingRefBased/>
  <w15:docId w15:val="{51AAEB4F-9A8A-41C1-8FB6-29FCD6C213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76AD25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76AD25D"/>
    <w:rPr>
      <w:color w:val="467886"/>
      <w:u w:val="single"/>
    </w:rPr>
  </w:style>
  <w:style w:type="paragraph" w:styleId="Heading2">
    <w:uiPriority w:val="9"/>
    <w:name w:val="heading 2"/>
    <w:basedOn w:val="Normal"/>
    <w:next w:val="Normal"/>
    <w:unhideWhenUsed/>
    <w:qFormat/>
    <w:rsid w:val="476AD25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476AD25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1d0197be7a34b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2026-02-25T11:03:41.9751733Z</dcterms:created>
  <dcterms:modified xsi:type="dcterms:W3CDTF">2026-02-25T11:08:48.3319975Z</dcterms:modified>
  <dc:creator>Rebecca Francis-Davies</dc:creator>
  <lastModifiedBy>Rebecca Francis-Davies</lastModifiedBy>
</coreProperties>
</file>