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B6885FC">
      <w:pPr>
        <w:rPr>
          <w:rFonts w:hint="eastAsia"/>
        </w:rPr>
      </w:pPr>
    </w:p>
    <w:p w14:paraId="1464EB19">
      <w:pPr>
        <w:pStyle w:val="2"/>
        <w:spacing w:before="100" w:beforeAutospacing="1" w:after="100" w:afterAutospacing="1" w:line="360" w:lineRule="auto"/>
        <w:jc w:val="both"/>
      </w:pPr>
      <w:bookmarkStart w:id="0" w:name="_Toc652393416"/>
      <w:bookmarkStart w:id="1" w:name="_Toc1596918086"/>
      <w:bookmarkStart w:id="2" w:name="_Toc61724200"/>
    </w:p>
    <w:p w14:paraId="7E9BDA02">
      <w:pPr>
        <w:pStyle w:val="2"/>
        <w:spacing w:before="100" w:beforeAutospacing="1" w:after="100" w:afterAutospacing="1" w:line="360" w:lineRule="auto"/>
        <w:jc w:val="center"/>
        <w:rPr>
          <w:rFonts w:hint="default" w:ascii="Arial Regular" w:hAnsi="Arial Regular" w:cs="Arial Regular" w:eastAsiaTheme="majorEastAsia"/>
          <w:sz w:val="24"/>
          <w:szCs w:val="24"/>
          <w:lang w:val="en-US" w:eastAsia="zh-CN"/>
        </w:rPr>
      </w:pPr>
      <w:r>
        <w:rPr>
          <w:rFonts w:hint="default" w:ascii="Arial Regular" w:hAnsi="Arial Regular" w:cs="Arial Regular"/>
          <w:sz w:val="24"/>
          <w:szCs w:val="24"/>
          <w:lang w:val="en-US"/>
        </w:rPr>
        <w:t>I</w:t>
      </w:r>
      <w:r>
        <w:rPr>
          <w:rFonts w:hint="default" w:ascii="Arial Regular" w:hAnsi="Arial Regular" w:cs="Arial Regular"/>
          <w:sz w:val="24"/>
          <w:szCs w:val="24"/>
          <w:lang w:val="en-US" w:eastAsia="zh-CN"/>
        </w:rPr>
        <w:t>nternation b</w:t>
      </w:r>
      <w:r>
        <w:rPr>
          <w:rFonts w:hint="default" w:ascii="Arial Regular" w:hAnsi="Arial Regular" w:cs="Arial Regular"/>
          <w:b/>
          <w:bCs/>
          <w:sz w:val="24"/>
          <w:szCs w:val="24"/>
          <w:lang w:val="en-US" w:eastAsia="zh-CN"/>
        </w:rPr>
        <w:t>u</w:t>
      </w:r>
      <w:r>
        <w:rPr>
          <w:rFonts w:hint="default" w:ascii="Arial Regular" w:hAnsi="Arial Regular" w:cs="Arial Regular"/>
          <w:sz w:val="24"/>
          <w:szCs w:val="24"/>
          <w:lang w:val="en-US" w:eastAsia="zh-CN"/>
        </w:rPr>
        <w:t xml:space="preserve">siness </w:t>
      </w:r>
      <w:r>
        <w:rPr>
          <w:rFonts w:hint="default" w:ascii="Arial Regular" w:hAnsi="Arial Regular" w:cs="Arial Regular"/>
          <w:sz w:val="24"/>
          <w:szCs w:val="24"/>
        </w:rPr>
        <w:t>Communication</w:t>
      </w:r>
    </w:p>
    <w:p w14:paraId="3C077407">
      <w:pPr>
        <w:pStyle w:val="2"/>
        <w:spacing w:before="100" w:beforeAutospacing="1" w:after="100" w:afterAutospacing="1" w:line="360" w:lineRule="auto"/>
        <w:jc w:val="center"/>
        <w:rPr>
          <w:rFonts w:hint="default" w:ascii="Arial Regular" w:hAnsi="Arial Regular" w:cs="Arial Regular" w:eastAsiaTheme="majorEastAsia"/>
          <w:sz w:val="24"/>
          <w:szCs w:val="24"/>
          <w:lang w:val="en-US" w:eastAsia="zh-CN"/>
        </w:rPr>
      </w:pPr>
      <w:r>
        <w:rPr>
          <w:rFonts w:hint="default" w:ascii="Arial Regular" w:hAnsi="Arial Regular" w:cs="Arial Regular"/>
          <w:sz w:val="24"/>
          <w:szCs w:val="24"/>
        </w:rPr>
        <w:t>Module code: BMBM600</w:t>
      </w:r>
      <w:r>
        <w:rPr>
          <w:rFonts w:hint="default" w:ascii="Arial Regular" w:hAnsi="Arial Regular" w:cs="Arial Regular"/>
          <w:sz w:val="24"/>
          <w:szCs w:val="24"/>
          <w:lang w:val="en-US" w:eastAsia="zh-CN"/>
        </w:rPr>
        <w:t>3</w:t>
      </w:r>
    </w:p>
    <w:p w14:paraId="3332F4E1">
      <w:pPr>
        <w:spacing w:before="100" w:beforeAutospacing="1" w:after="100" w:afterAutospacing="1" w:line="360" w:lineRule="auto"/>
        <w:jc w:val="center"/>
        <w:rPr>
          <w:rFonts w:hint="default" w:ascii="Arial Regular" w:hAnsi="Arial Regular" w:cs="Arial Regular"/>
          <w:sz w:val="24"/>
          <w:szCs w:val="24"/>
        </w:rPr>
      </w:pPr>
      <w:r>
        <w:rPr>
          <w:rFonts w:hint="default" w:ascii="Arial Regular" w:hAnsi="Arial Regular" w:cs="Arial Regular"/>
          <w:sz w:val="24"/>
          <w:szCs w:val="24"/>
        </w:rPr>
        <w:t>Lecturer：ARPU KUMAR</w:t>
      </w:r>
    </w:p>
    <w:p w14:paraId="3AEA45B1">
      <w:pPr>
        <w:spacing w:before="100" w:beforeAutospacing="1" w:after="100" w:afterAutospacing="1" w:line="360" w:lineRule="auto"/>
        <w:jc w:val="center"/>
        <w:rPr>
          <w:rFonts w:hint="default" w:ascii="Arial Regular" w:hAnsi="Arial Regular" w:cs="Arial Regular" w:eastAsiaTheme="minorEastAsia"/>
          <w:sz w:val="24"/>
          <w:szCs w:val="24"/>
          <w:lang w:val="en-US" w:eastAsia="zh-CN"/>
        </w:rPr>
      </w:pPr>
      <w:r>
        <w:rPr>
          <w:rFonts w:hint="default" w:ascii="Arial Regular" w:hAnsi="Arial Regular" w:cs="Arial Regular"/>
          <w:sz w:val="24"/>
          <w:szCs w:val="24"/>
        </w:rPr>
        <w:t xml:space="preserve">Written by: </w:t>
      </w:r>
      <w:r>
        <w:rPr>
          <w:rFonts w:hint="default" w:ascii="Arial Regular" w:hAnsi="Arial Regular" w:cs="Arial Regular"/>
          <w:sz w:val="24"/>
          <w:szCs w:val="24"/>
          <w:lang w:val="en-US"/>
        </w:rPr>
        <w:t>S</w:t>
      </w:r>
      <w:r>
        <w:rPr>
          <w:rFonts w:hint="default" w:ascii="Arial Regular" w:hAnsi="Arial Regular" w:cs="Arial Regular"/>
          <w:sz w:val="24"/>
          <w:szCs w:val="24"/>
          <w:lang w:val="en-US" w:eastAsia="zh-CN"/>
        </w:rPr>
        <w:t>hangyu Wang</w:t>
      </w:r>
    </w:p>
    <w:p w14:paraId="488070EA">
      <w:pPr>
        <w:spacing w:before="100" w:beforeAutospacing="1" w:after="100" w:afterAutospacing="1" w:line="360" w:lineRule="auto"/>
        <w:jc w:val="center"/>
        <w:rPr>
          <w:rFonts w:hint="default" w:ascii="Arial Regular" w:hAnsi="Arial Regular" w:cs="Arial Regular" w:eastAsiaTheme="minorEastAsia"/>
          <w:sz w:val="24"/>
          <w:szCs w:val="24"/>
          <w:lang w:val="en-US" w:eastAsia="zh-CN"/>
        </w:rPr>
      </w:pPr>
      <w:r>
        <w:rPr>
          <w:rFonts w:hint="default" w:ascii="Arial Regular" w:hAnsi="Arial Regular" w:cs="Arial Regular"/>
          <w:sz w:val="24"/>
          <w:szCs w:val="24"/>
        </w:rPr>
        <w:t xml:space="preserve">Student ID: </w:t>
      </w:r>
      <w:r>
        <w:rPr>
          <w:rFonts w:hint="default" w:ascii="Arial Regular" w:hAnsi="Arial Regular" w:cs="Arial Regular"/>
          <w:sz w:val="24"/>
          <w:szCs w:val="24"/>
          <w:lang w:val="en-US" w:eastAsia="zh-CN"/>
        </w:rPr>
        <w:t>2406059</w:t>
      </w:r>
    </w:p>
    <w:p w14:paraId="10D2D5AC">
      <w:pPr>
        <w:rPr>
          <w:rFonts w:hint="default" w:ascii="Arial Bold" w:hAnsi="Arial Bold" w:cs="Arial Bold"/>
          <w:b/>
          <w:bCs w:val="0"/>
          <w:color w:val="auto"/>
          <w:sz w:val="24"/>
          <w:szCs w:val="24"/>
        </w:rPr>
      </w:pPr>
    </w:p>
    <w:p w14:paraId="42D31524">
      <w:pPr>
        <w:rPr>
          <w:rFonts w:hint="default" w:ascii="Arial Bold" w:hAnsi="Arial Bold" w:cs="Arial Bold"/>
          <w:b/>
          <w:bCs w:val="0"/>
          <w:color w:val="auto"/>
          <w:sz w:val="24"/>
          <w:szCs w:val="24"/>
        </w:rPr>
      </w:pPr>
    </w:p>
    <w:p w14:paraId="16DFD1CC">
      <w:pPr>
        <w:rPr>
          <w:rFonts w:hint="default" w:ascii="Arial Bold" w:hAnsi="Arial Bold" w:cs="Arial Bold"/>
          <w:b/>
          <w:bCs w:val="0"/>
          <w:color w:val="auto"/>
          <w:sz w:val="24"/>
          <w:szCs w:val="24"/>
        </w:rPr>
      </w:pPr>
    </w:p>
    <w:p w14:paraId="0504A45B">
      <w:pPr>
        <w:rPr>
          <w:rFonts w:hint="default" w:ascii="Arial Bold" w:hAnsi="Arial Bold" w:cs="Arial Bold"/>
          <w:b/>
          <w:bCs w:val="0"/>
          <w:color w:val="auto"/>
          <w:sz w:val="24"/>
          <w:szCs w:val="24"/>
        </w:rPr>
      </w:pPr>
    </w:p>
    <w:p w14:paraId="1E0031EC">
      <w:pPr>
        <w:rPr>
          <w:rFonts w:hint="default" w:ascii="Arial Bold" w:hAnsi="Arial Bold" w:cs="Arial Bold"/>
          <w:b/>
          <w:bCs w:val="0"/>
          <w:color w:val="auto"/>
          <w:sz w:val="24"/>
          <w:szCs w:val="24"/>
        </w:rPr>
      </w:pPr>
    </w:p>
    <w:p w14:paraId="4C8F8E75">
      <w:pPr>
        <w:rPr>
          <w:rFonts w:hint="default" w:ascii="Arial Bold" w:hAnsi="Arial Bold" w:cs="Arial Bold"/>
          <w:b/>
          <w:bCs w:val="0"/>
          <w:color w:val="auto"/>
          <w:sz w:val="24"/>
          <w:szCs w:val="24"/>
        </w:rPr>
      </w:pPr>
    </w:p>
    <w:p w14:paraId="184081DD">
      <w:pPr>
        <w:rPr>
          <w:rFonts w:hint="default" w:ascii="Arial Bold" w:hAnsi="Arial Bold" w:cs="Arial Bold"/>
          <w:b/>
          <w:bCs w:val="0"/>
          <w:color w:val="auto"/>
          <w:sz w:val="24"/>
          <w:szCs w:val="24"/>
        </w:rPr>
      </w:pPr>
    </w:p>
    <w:p w14:paraId="022613A7">
      <w:pPr>
        <w:rPr>
          <w:rFonts w:hint="default" w:ascii="Arial Bold" w:hAnsi="Arial Bold" w:cs="Arial Bold"/>
          <w:b/>
          <w:bCs w:val="0"/>
          <w:color w:val="auto"/>
          <w:sz w:val="24"/>
          <w:szCs w:val="24"/>
        </w:rPr>
      </w:pPr>
    </w:p>
    <w:p w14:paraId="562D93A7">
      <w:pPr>
        <w:rPr>
          <w:rFonts w:hint="default" w:ascii="Arial Bold" w:hAnsi="Arial Bold" w:cs="Arial Bold"/>
          <w:b/>
          <w:bCs w:val="0"/>
          <w:color w:val="auto"/>
          <w:sz w:val="24"/>
          <w:szCs w:val="24"/>
        </w:rPr>
      </w:pPr>
    </w:p>
    <w:p w14:paraId="2B479E0A">
      <w:pPr>
        <w:rPr>
          <w:rFonts w:hint="default" w:ascii="Arial Bold" w:hAnsi="Arial Bold" w:cs="Arial Bold"/>
          <w:b/>
          <w:bCs w:val="0"/>
          <w:color w:val="auto"/>
          <w:sz w:val="24"/>
          <w:szCs w:val="24"/>
        </w:rPr>
      </w:pPr>
    </w:p>
    <w:p w14:paraId="48E2B5A0">
      <w:pPr>
        <w:rPr>
          <w:rFonts w:hint="default" w:ascii="Arial Bold" w:hAnsi="Arial Bold" w:cs="Arial Bold"/>
          <w:b/>
          <w:bCs w:val="0"/>
          <w:color w:val="auto"/>
          <w:sz w:val="24"/>
          <w:szCs w:val="24"/>
        </w:rPr>
      </w:pPr>
    </w:p>
    <w:p w14:paraId="30E3FA35">
      <w:pPr>
        <w:rPr>
          <w:rFonts w:hint="default" w:ascii="Arial Bold" w:hAnsi="Arial Bold" w:cs="Arial Bold"/>
          <w:b/>
          <w:bCs w:val="0"/>
          <w:color w:val="auto"/>
          <w:sz w:val="24"/>
          <w:szCs w:val="24"/>
        </w:rPr>
      </w:pPr>
    </w:p>
    <w:p w14:paraId="49E82037">
      <w:pPr>
        <w:rPr>
          <w:rFonts w:hint="default" w:ascii="Arial Bold" w:hAnsi="Arial Bold" w:cs="Arial Bold"/>
          <w:b/>
          <w:bCs w:val="0"/>
          <w:color w:val="auto"/>
          <w:sz w:val="24"/>
          <w:szCs w:val="24"/>
        </w:rPr>
      </w:pPr>
    </w:p>
    <w:p w14:paraId="31195E67">
      <w:pPr>
        <w:rPr>
          <w:rFonts w:hint="default" w:ascii="Arial Bold" w:hAnsi="Arial Bold" w:cs="Arial Bold"/>
          <w:b/>
          <w:bCs w:val="0"/>
          <w:color w:val="auto"/>
          <w:sz w:val="24"/>
          <w:szCs w:val="24"/>
        </w:rPr>
      </w:pPr>
    </w:p>
    <w:p w14:paraId="1182E1B3">
      <w:pPr>
        <w:rPr>
          <w:rFonts w:hint="default" w:ascii="Arial Bold" w:hAnsi="Arial Bold" w:cs="Arial Bold"/>
          <w:b/>
          <w:bCs w:val="0"/>
          <w:color w:val="auto"/>
          <w:sz w:val="24"/>
          <w:szCs w:val="24"/>
        </w:rPr>
      </w:pPr>
    </w:p>
    <w:p w14:paraId="4141A84F">
      <w:pPr>
        <w:rPr>
          <w:rFonts w:hint="default" w:ascii="Arial Bold" w:hAnsi="Arial Bold" w:cs="Arial Bold"/>
          <w:b/>
          <w:bCs w:val="0"/>
          <w:color w:val="auto"/>
          <w:sz w:val="24"/>
          <w:szCs w:val="24"/>
        </w:rPr>
      </w:pPr>
    </w:p>
    <w:p w14:paraId="345315A3">
      <w:pPr>
        <w:rPr>
          <w:rFonts w:hint="default" w:ascii="Arial Bold" w:hAnsi="Arial Bold" w:cs="Arial Bold"/>
          <w:b/>
          <w:bCs w:val="0"/>
          <w:color w:val="auto"/>
          <w:sz w:val="24"/>
          <w:szCs w:val="24"/>
        </w:rPr>
      </w:pPr>
    </w:p>
    <w:p w14:paraId="75D93B4F">
      <w:pPr>
        <w:rPr>
          <w:rFonts w:hint="default" w:ascii="Arial Bold" w:hAnsi="Arial Bold" w:cs="Arial Bold"/>
          <w:b/>
          <w:bCs w:val="0"/>
          <w:color w:val="auto"/>
          <w:sz w:val="24"/>
          <w:szCs w:val="24"/>
        </w:rPr>
      </w:pPr>
    </w:p>
    <w:p w14:paraId="30522921">
      <w:pPr>
        <w:rPr>
          <w:rFonts w:hint="default" w:ascii="Arial Bold" w:hAnsi="Arial Bold" w:cs="Arial Bold"/>
          <w:b/>
          <w:bCs w:val="0"/>
          <w:color w:val="auto"/>
          <w:sz w:val="24"/>
          <w:szCs w:val="24"/>
        </w:rPr>
      </w:pPr>
    </w:p>
    <w:p w14:paraId="24753D1D">
      <w:pPr>
        <w:rPr>
          <w:rFonts w:hint="default" w:ascii="Arial Bold" w:hAnsi="Arial Bold" w:cs="Arial Bold"/>
          <w:b/>
          <w:bCs w:val="0"/>
          <w:color w:val="auto"/>
          <w:sz w:val="24"/>
          <w:szCs w:val="24"/>
        </w:rPr>
      </w:pPr>
    </w:p>
    <w:p w14:paraId="6FF94E85">
      <w:pPr>
        <w:rPr>
          <w:rFonts w:hint="default" w:ascii="Arial Bold" w:hAnsi="Arial Bold" w:cs="Arial Bold"/>
          <w:b/>
          <w:bCs w:val="0"/>
          <w:color w:val="auto"/>
          <w:sz w:val="24"/>
          <w:szCs w:val="24"/>
        </w:rPr>
      </w:pPr>
    </w:p>
    <w:p w14:paraId="0C6C98BC">
      <w:pPr>
        <w:rPr>
          <w:rFonts w:hint="default" w:ascii="Arial Bold" w:hAnsi="Arial Bold" w:cs="Arial Bold"/>
          <w:b/>
          <w:bCs w:val="0"/>
          <w:color w:val="auto"/>
          <w:sz w:val="24"/>
          <w:szCs w:val="24"/>
        </w:rPr>
      </w:pPr>
    </w:p>
    <w:p w14:paraId="0800DF3C">
      <w:pPr>
        <w:rPr>
          <w:rFonts w:hint="default" w:ascii="Arial Bold" w:hAnsi="Arial Bold" w:cs="Arial Bold"/>
          <w:b/>
          <w:bCs w:val="0"/>
          <w:color w:val="auto"/>
          <w:sz w:val="24"/>
          <w:szCs w:val="24"/>
        </w:rPr>
      </w:pPr>
    </w:p>
    <w:p w14:paraId="0D354293">
      <w:pPr>
        <w:rPr>
          <w:rFonts w:hint="default" w:ascii="Arial Bold" w:hAnsi="Arial Bold" w:cs="Arial Bold"/>
          <w:b/>
          <w:bCs w:val="0"/>
          <w:color w:val="auto"/>
          <w:sz w:val="24"/>
          <w:szCs w:val="24"/>
        </w:rPr>
      </w:pPr>
    </w:p>
    <w:p w14:paraId="6330E09D">
      <w:pPr>
        <w:rPr>
          <w:rFonts w:hint="default" w:ascii="Arial Bold" w:hAnsi="Arial Bold" w:cs="Arial Bold"/>
          <w:b/>
          <w:bCs w:val="0"/>
          <w:color w:val="auto"/>
          <w:sz w:val="24"/>
          <w:szCs w:val="24"/>
        </w:rPr>
      </w:pPr>
    </w:p>
    <w:p w14:paraId="303417E5">
      <w:pPr>
        <w:rPr>
          <w:rFonts w:hint="default" w:ascii="Arial Bold" w:hAnsi="Arial Bold" w:cs="Arial Bold"/>
          <w:b/>
          <w:bCs w:val="0"/>
          <w:color w:val="auto"/>
          <w:sz w:val="24"/>
          <w:szCs w:val="24"/>
        </w:rPr>
      </w:pPr>
    </w:p>
    <w:p w14:paraId="0FCE5AD2">
      <w:pPr>
        <w:rPr>
          <w:rFonts w:hint="default" w:ascii="Arial Bold" w:hAnsi="Arial Bold" w:cs="Arial Bold"/>
          <w:b/>
          <w:bCs w:val="0"/>
          <w:color w:val="auto"/>
          <w:sz w:val="24"/>
          <w:szCs w:val="24"/>
        </w:rPr>
      </w:pPr>
    </w:p>
    <w:p w14:paraId="2B070765">
      <w:pPr>
        <w:rPr>
          <w:rFonts w:hint="default" w:ascii="Arial Bold" w:hAnsi="Arial Bold" w:cs="Arial Bold"/>
          <w:b/>
          <w:bCs w:val="0"/>
          <w:color w:val="auto"/>
          <w:sz w:val="24"/>
          <w:szCs w:val="24"/>
        </w:rPr>
      </w:pPr>
    </w:p>
    <w:p w14:paraId="79AE7899">
      <w:pPr>
        <w:rPr>
          <w:rFonts w:hint="default" w:ascii="Arial Bold" w:hAnsi="Arial Bold" w:cs="Arial Bold"/>
          <w:b/>
          <w:bCs w:val="0"/>
          <w:color w:val="auto"/>
          <w:sz w:val="24"/>
          <w:szCs w:val="24"/>
        </w:rPr>
      </w:pPr>
    </w:p>
    <w:p w14:paraId="637D8C4C">
      <w:pPr>
        <w:rPr>
          <w:rFonts w:hint="default" w:ascii="Arial Bold" w:hAnsi="Arial Bold" w:cs="Arial Bold"/>
          <w:b/>
          <w:bCs w:val="0"/>
          <w:color w:val="auto"/>
          <w:sz w:val="24"/>
          <w:szCs w:val="24"/>
        </w:rPr>
      </w:pPr>
      <w:bookmarkStart w:id="22" w:name="_GoBack"/>
      <w:bookmarkEnd w:id="22"/>
      <w:r>
        <w:rPr>
          <w:rFonts w:hint="default" w:ascii="Arial Bold" w:hAnsi="Arial Bold" w:cs="Arial Bold"/>
          <w:b/>
          <w:bCs w:val="0"/>
          <w:color w:val="auto"/>
          <w:sz w:val="24"/>
          <w:szCs w:val="24"/>
        </w:rPr>
        <w:t>Executive Summary</w:t>
      </w:r>
      <w:bookmarkEnd w:id="0"/>
      <w:bookmarkEnd w:id="1"/>
      <w:bookmarkEnd w:id="2"/>
    </w:p>
    <w:p w14:paraId="31686FEE">
      <w:pPr>
        <w:rPr>
          <w:rFonts w:hint="default" w:ascii="Arial Bold" w:hAnsi="Arial Bold" w:cs="Arial Bold"/>
          <w:b/>
          <w:bCs w:val="0"/>
          <w:color w:val="auto"/>
          <w:sz w:val="24"/>
          <w:szCs w:val="24"/>
        </w:rPr>
      </w:pPr>
    </w:p>
    <w:p w14:paraId="388DA049">
      <w:pPr>
        <w:rPr>
          <w:rFonts w:hint="default" w:ascii="Arial Regular" w:hAnsi="Arial Regular" w:cs="Arial Regular"/>
          <w:sz w:val="24"/>
          <w:szCs w:val="24"/>
        </w:rPr>
      </w:pPr>
      <w:r>
        <w:rPr>
          <w:rFonts w:hint="default" w:ascii="Arial Regular" w:hAnsi="Arial Regular" w:cs="Arial Regular"/>
          <w:sz w:val="24"/>
          <w:szCs w:val="24"/>
        </w:rPr>
        <w:t>This article focuses on business communication between France and the United Kingdom. Through the analysis of different international business communication, it explores the reasons for communication interruption and solutions to avoid communication failure. The article refers to the cultural dimension theory of Hofstede and Trompenaar and Hall's high-context and low-context communication style theory, combined with the business structure, technical level, government restrictions and cultural business customs of the two countries, and explains effective communication in international business. The importance, and put forward strategies to overcome failure according to the specific communication situation, and finally give brief conclusions and suggestions.</w:t>
      </w:r>
    </w:p>
    <w:p w14:paraId="66BFE98F">
      <w:pPr>
        <w:rPr>
          <w:rFonts w:hint="default" w:ascii="Arial Regular" w:hAnsi="Arial Regular" w:cs="Arial Regular"/>
          <w:sz w:val="24"/>
          <w:szCs w:val="24"/>
        </w:rPr>
      </w:pPr>
    </w:p>
    <w:p w14:paraId="24EA7CCE">
      <w:pPr>
        <w:rPr>
          <w:rFonts w:hint="default" w:ascii="Arial Regular" w:hAnsi="Arial Regular" w:cs="Arial Regular"/>
          <w:sz w:val="24"/>
          <w:szCs w:val="24"/>
        </w:rPr>
      </w:pPr>
    </w:p>
    <w:p w14:paraId="18CA52CD">
      <w:pPr>
        <w:rPr>
          <w:rFonts w:hint="default" w:ascii="Arial Regular" w:hAnsi="Arial Regular" w:cs="Arial Regular"/>
          <w:sz w:val="24"/>
          <w:szCs w:val="24"/>
        </w:rPr>
      </w:pPr>
    </w:p>
    <w:p w14:paraId="69300E7A">
      <w:pPr>
        <w:rPr>
          <w:rFonts w:hint="default" w:ascii="Arial Regular" w:hAnsi="Arial Regular" w:cs="Arial Regular"/>
          <w:sz w:val="24"/>
          <w:szCs w:val="24"/>
        </w:rPr>
      </w:pPr>
    </w:p>
    <w:p w14:paraId="49CC5FA3">
      <w:pPr>
        <w:rPr>
          <w:rFonts w:hint="default" w:ascii="Arial Regular" w:hAnsi="Arial Regular" w:cs="Arial Regular"/>
          <w:sz w:val="24"/>
          <w:szCs w:val="24"/>
        </w:rPr>
      </w:pPr>
    </w:p>
    <w:p w14:paraId="5A95CE3F">
      <w:pPr>
        <w:rPr>
          <w:rFonts w:hint="default" w:ascii="Arial Regular" w:hAnsi="Arial Regular" w:cs="Arial Regular"/>
          <w:sz w:val="24"/>
          <w:szCs w:val="24"/>
        </w:rPr>
      </w:pPr>
    </w:p>
    <w:p w14:paraId="12811328">
      <w:pPr>
        <w:rPr>
          <w:rFonts w:hint="default" w:ascii="Arial Regular" w:hAnsi="Arial Regular" w:cs="Arial Regular"/>
          <w:sz w:val="24"/>
          <w:szCs w:val="24"/>
        </w:rPr>
      </w:pPr>
    </w:p>
    <w:p w14:paraId="58A38EA9">
      <w:pPr>
        <w:rPr>
          <w:rFonts w:hint="default" w:ascii="Arial Regular" w:hAnsi="Arial Regular" w:cs="Arial Regular"/>
          <w:sz w:val="24"/>
          <w:szCs w:val="24"/>
        </w:rPr>
      </w:pPr>
    </w:p>
    <w:p w14:paraId="3758C04F">
      <w:pPr>
        <w:rPr>
          <w:rFonts w:hint="default" w:ascii="Arial Regular" w:hAnsi="Arial Regular" w:cs="Arial Regular"/>
          <w:sz w:val="24"/>
          <w:szCs w:val="24"/>
        </w:rPr>
      </w:pPr>
    </w:p>
    <w:p w14:paraId="725E392F">
      <w:pPr>
        <w:rPr>
          <w:rFonts w:hint="default" w:ascii="Arial Regular" w:hAnsi="Arial Regular" w:cs="Arial Regular"/>
          <w:sz w:val="24"/>
          <w:szCs w:val="24"/>
        </w:rPr>
      </w:pPr>
    </w:p>
    <w:p w14:paraId="041A6793">
      <w:pPr>
        <w:rPr>
          <w:rFonts w:hint="default" w:ascii="Arial Regular" w:hAnsi="Arial Regular" w:cs="Arial Regular"/>
          <w:sz w:val="24"/>
          <w:szCs w:val="24"/>
        </w:rPr>
      </w:pPr>
    </w:p>
    <w:p w14:paraId="0A4F3DEC">
      <w:pPr>
        <w:rPr>
          <w:rFonts w:hint="default" w:ascii="Arial Regular" w:hAnsi="Arial Regular" w:cs="Arial Regular"/>
          <w:sz w:val="24"/>
          <w:szCs w:val="24"/>
        </w:rPr>
      </w:pPr>
    </w:p>
    <w:p w14:paraId="14AB57B5">
      <w:pPr>
        <w:rPr>
          <w:rFonts w:hint="default" w:ascii="Arial Regular" w:hAnsi="Arial Regular" w:cs="Arial Regular"/>
          <w:sz w:val="24"/>
          <w:szCs w:val="24"/>
        </w:rPr>
      </w:pPr>
    </w:p>
    <w:p w14:paraId="21AC9702">
      <w:pPr>
        <w:rPr>
          <w:rFonts w:hint="default" w:ascii="Arial Regular" w:hAnsi="Arial Regular" w:cs="Arial Regular"/>
          <w:sz w:val="24"/>
          <w:szCs w:val="24"/>
        </w:rPr>
      </w:pPr>
    </w:p>
    <w:p w14:paraId="5B17B12A">
      <w:pPr>
        <w:rPr>
          <w:rFonts w:hint="default" w:ascii="Arial Regular" w:hAnsi="Arial Regular" w:cs="Arial Regular"/>
          <w:sz w:val="24"/>
          <w:szCs w:val="24"/>
        </w:rPr>
      </w:pPr>
    </w:p>
    <w:p w14:paraId="7F87CE7F">
      <w:pPr>
        <w:rPr>
          <w:rFonts w:hint="default" w:ascii="Arial Regular" w:hAnsi="Arial Regular" w:cs="Arial Regular"/>
          <w:sz w:val="24"/>
          <w:szCs w:val="24"/>
        </w:rPr>
      </w:pPr>
    </w:p>
    <w:p w14:paraId="2DD62E6C">
      <w:pPr>
        <w:rPr>
          <w:rFonts w:hint="default" w:ascii="Arial Regular" w:hAnsi="Arial Regular" w:cs="Arial Regular"/>
          <w:sz w:val="24"/>
          <w:szCs w:val="24"/>
        </w:rPr>
      </w:pPr>
    </w:p>
    <w:p w14:paraId="6623806D">
      <w:pPr>
        <w:rPr>
          <w:rFonts w:hint="default" w:ascii="Arial Regular" w:hAnsi="Arial Regular" w:cs="Arial Regular"/>
          <w:sz w:val="24"/>
          <w:szCs w:val="24"/>
        </w:rPr>
      </w:pPr>
    </w:p>
    <w:p w14:paraId="206D0F66">
      <w:pPr>
        <w:rPr>
          <w:rFonts w:hint="default" w:ascii="Arial Regular" w:hAnsi="Arial Regular" w:cs="Arial Regular"/>
          <w:sz w:val="24"/>
          <w:szCs w:val="24"/>
        </w:rPr>
      </w:pPr>
    </w:p>
    <w:p w14:paraId="7E96B9CF">
      <w:pPr>
        <w:rPr>
          <w:rFonts w:hint="default" w:ascii="Arial Regular" w:hAnsi="Arial Regular" w:cs="Arial Regular"/>
          <w:sz w:val="24"/>
          <w:szCs w:val="24"/>
        </w:rPr>
      </w:pPr>
    </w:p>
    <w:p w14:paraId="7D819464">
      <w:pPr>
        <w:rPr>
          <w:rFonts w:hint="default" w:ascii="Arial Regular" w:hAnsi="Arial Regular" w:cs="Arial Regular"/>
          <w:sz w:val="24"/>
          <w:szCs w:val="24"/>
        </w:rPr>
      </w:pPr>
    </w:p>
    <w:p w14:paraId="6A63EFD2">
      <w:pPr>
        <w:rPr>
          <w:rFonts w:hint="default" w:ascii="Arial Regular" w:hAnsi="Arial Regular" w:cs="Arial Regular"/>
          <w:sz w:val="24"/>
          <w:szCs w:val="24"/>
        </w:rPr>
      </w:pPr>
    </w:p>
    <w:p w14:paraId="5435459F">
      <w:pPr>
        <w:rPr>
          <w:rFonts w:hint="default" w:ascii="Arial Regular" w:hAnsi="Arial Regular" w:cs="Arial Regular"/>
          <w:sz w:val="24"/>
          <w:szCs w:val="24"/>
        </w:rPr>
      </w:pPr>
    </w:p>
    <w:p w14:paraId="2DB16C7F">
      <w:pPr>
        <w:rPr>
          <w:rFonts w:hint="default" w:ascii="Arial Regular" w:hAnsi="Arial Regular" w:cs="Arial Regular"/>
          <w:sz w:val="24"/>
          <w:szCs w:val="24"/>
        </w:rPr>
      </w:pPr>
    </w:p>
    <w:p w14:paraId="096CC5C0">
      <w:pPr>
        <w:rPr>
          <w:rFonts w:hint="default" w:ascii="Arial Regular" w:hAnsi="Arial Regular" w:cs="Arial Regular"/>
          <w:sz w:val="24"/>
          <w:szCs w:val="24"/>
        </w:rPr>
      </w:pPr>
    </w:p>
    <w:p w14:paraId="16414DDB">
      <w:pPr>
        <w:rPr>
          <w:rFonts w:hint="default" w:ascii="Arial Regular" w:hAnsi="Arial Regular" w:cs="Arial Regular"/>
          <w:sz w:val="24"/>
          <w:szCs w:val="24"/>
        </w:rPr>
      </w:pPr>
    </w:p>
    <w:p w14:paraId="7F5023B7">
      <w:pPr>
        <w:rPr>
          <w:rFonts w:hint="default" w:ascii="Arial Regular" w:hAnsi="Arial Regular" w:cs="Arial Regular"/>
          <w:sz w:val="24"/>
          <w:szCs w:val="24"/>
        </w:rPr>
      </w:pPr>
    </w:p>
    <w:p w14:paraId="6314724A">
      <w:pPr>
        <w:rPr>
          <w:rFonts w:hint="default" w:ascii="Arial Regular" w:hAnsi="Arial Regular" w:cs="Arial Regular"/>
          <w:sz w:val="24"/>
          <w:szCs w:val="24"/>
        </w:rPr>
      </w:pPr>
    </w:p>
    <w:p w14:paraId="628713E4">
      <w:pPr>
        <w:rPr>
          <w:rFonts w:hint="default" w:ascii="Arial Regular" w:hAnsi="Arial Regular" w:cs="Arial Regular"/>
          <w:sz w:val="24"/>
          <w:szCs w:val="24"/>
        </w:rPr>
      </w:pPr>
    </w:p>
    <w:p w14:paraId="33A848BA">
      <w:pPr>
        <w:rPr>
          <w:rFonts w:hint="default" w:ascii="Arial Regular" w:hAnsi="Arial Regular" w:cs="Arial Regular"/>
          <w:sz w:val="24"/>
          <w:szCs w:val="24"/>
        </w:rPr>
      </w:pPr>
    </w:p>
    <w:p w14:paraId="5211A0DE">
      <w:pPr>
        <w:rPr>
          <w:rFonts w:hint="default" w:ascii="Arial Regular" w:hAnsi="Arial Regular" w:cs="Arial Regular"/>
          <w:sz w:val="24"/>
          <w:szCs w:val="24"/>
        </w:rPr>
      </w:pPr>
    </w:p>
    <w:p w14:paraId="04F9AA4B">
      <w:pPr>
        <w:rPr>
          <w:rFonts w:hint="default" w:ascii="Arial Regular" w:hAnsi="Arial Regular" w:cs="Arial Regular"/>
          <w:sz w:val="24"/>
          <w:szCs w:val="24"/>
        </w:rPr>
      </w:pPr>
    </w:p>
    <w:p w14:paraId="65996453">
      <w:pPr>
        <w:rPr>
          <w:rFonts w:hint="default" w:ascii="Arial Regular" w:hAnsi="Arial Regular" w:cs="Arial Regular"/>
          <w:sz w:val="24"/>
          <w:szCs w:val="24"/>
        </w:rPr>
      </w:pPr>
    </w:p>
    <w:p w14:paraId="07C33670">
      <w:pPr>
        <w:rPr>
          <w:rFonts w:hint="default" w:ascii="Arial Regular" w:hAnsi="Arial Regular" w:cs="Arial Regular"/>
          <w:sz w:val="24"/>
          <w:szCs w:val="24"/>
        </w:rPr>
      </w:pPr>
    </w:p>
    <w:p w14:paraId="50FB7DDC">
      <w:pPr>
        <w:rPr>
          <w:rFonts w:hint="default" w:ascii="Arial Regular" w:hAnsi="Arial Regular" w:cs="Arial Regular"/>
          <w:sz w:val="24"/>
          <w:szCs w:val="24"/>
        </w:rPr>
      </w:pPr>
    </w:p>
    <w:p w14:paraId="13E1C6F1">
      <w:pPr>
        <w:rPr>
          <w:rFonts w:hint="default" w:ascii="Arial Regular" w:hAnsi="Arial Regular" w:cs="Arial Regular"/>
          <w:sz w:val="24"/>
          <w:szCs w:val="24"/>
        </w:rPr>
      </w:pPr>
    </w:p>
    <w:sdt>
      <w:sdtPr>
        <w:rPr>
          <w:rFonts w:ascii="宋体" w:hAnsi="宋体" w:eastAsia="宋体" w:cstheme="minorBidi"/>
          <w:kern w:val="2"/>
          <w:sz w:val="21"/>
          <w:szCs w:val="24"/>
          <w:lang w:val="en-US" w:eastAsia="zh-CN" w:bidi="ar-SA"/>
        </w:rPr>
        <w:id w:val="166327390"/>
        <w15:color w:val="DBDBDB"/>
        <w:docPartObj>
          <w:docPartGallery w:val="Table of Contents"/>
          <w:docPartUnique/>
        </w:docPartObj>
      </w:sdtPr>
      <w:sdtEndPr>
        <w:rPr>
          <w:rFonts w:hint="default" w:ascii="Arial Regular" w:hAnsi="Arial Regular" w:cs="Arial Regular" w:eastAsiaTheme="minorEastAsia"/>
          <w:kern w:val="2"/>
          <w:sz w:val="21"/>
          <w:szCs w:val="24"/>
          <w:lang w:val="en-US" w:eastAsia="zh-CN" w:bidi="ar-SA"/>
        </w:rPr>
      </w:sdtEndPr>
      <w:sdtContent>
        <w:p w14:paraId="3569AA6A">
          <w:pPr>
            <w:spacing w:before="0" w:beforeLines="0" w:after="0" w:afterLines="0" w:line="240" w:lineRule="auto"/>
            <w:ind w:left="0" w:leftChars="0" w:right="0" w:rightChars="0" w:firstLine="0" w:firstLineChars="0"/>
            <w:jc w:val="center"/>
          </w:pPr>
          <w:r>
            <w:rPr>
              <w:rFonts w:hint="eastAsia" w:ascii="宋体" w:hAnsi="宋体" w:eastAsia="宋体"/>
              <w:sz w:val="21"/>
            </w:rPr>
            <w:t>Catalogue</w:t>
          </w:r>
        </w:p>
        <w:p w14:paraId="50636D48">
          <w:pPr>
            <w:pStyle w:val="5"/>
            <w:tabs>
              <w:tab w:val="right" w:leader="dot" w:pos="8306"/>
            </w:tabs>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TOC \o "1-3" \h \u </w:instrText>
          </w:r>
          <w:r>
            <w:rPr>
              <w:rFonts w:hint="default" w:ascii="Arial Regular" w:hAnsi="Arial Regular" w:cs="Arial Regular"/>
              <w:sz w:val="24"/>
              <w:szCs w:val="24"/>
            </w:rPr>
            <w:fldChar w:fldCharType="separate"/>
          </w: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_Toc231190586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 xml:space="preserve">1.0 </w:t>
          </w:r>
          <w:r>
            <w:rPr>
              <w:rFonts w:hint="default" w:ascii="Arial Regular" w:hAnsi="Arial Regular" w:cs="Arial Regular"/>
              <w:szCs w:val="24"/>
            </w:rPr>
            <w:t>Introduction</w:t>
          </w:r>
          <w:r>
            <w:tab/>
          </w:r>
          <w:r>
            <w:fldChar w:fldCharType="begin"/>
          </w:r>
          <w:r>
            <w:instrText xml:space="preserve"> PAGEREF _Toc231190586 \h </w:instrText>
          </w:r>
          <w:r>
            <w:fldChar w:fldCharType="separate"/>
          </w:r>
          <w:r>
            <w:t>3</w:t>
          </w:r>
          <w:r>
            <w:fldChar w:fldCharType="end"/>
          </w:r>
          <w:r>
            <w:rPr>
              <w:rFonts w:hint="default" w:ascii="Arial Regular" w:hAnsi="Arial Regular" w:cs="Arial Regular"/>
              <w:szCs w:val="24"/>
            </w:rPr>
            <w:fldChar w:fldCharType="end"/>
          </w:r>
        </w:p>
        <w:p w14:paraId="79DB4D6D">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_Toc822261479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2.0 Background of British and French business cooperation</w:t>
          </w:r>
          <w:r>
            <w:tab/>
          </w:r>
          <w:r>
            <w:fldChar w:fldCharType="begin"/>
          </w:r>
          <w:r>
            <w:instrText xml:space="preserve"> PAGEREF _Toc822261479 \h </w:instrText>
          </w:r>
          <w:r>
            <w:fldChar w:fldCharType="separate"/>
          </w:r>
          <w:r>
            <w:t>4</w:t>
          </w:r>
          <w:r>
            <w:fldChar w:fldCharType="end"/>
          </w:r>
          <w:r>
            <w:rPr>
              <w:rFonts w:hint="default" w:ascii="Arial Regular" w:hAnsi="Arial Regular" w:cs="Arial Regular"/>
              <w:szCs w:val="24"/>
            </w:rPr>
            <w:fldChar w:fldCharType="end"/>
          </w:r>
        </w:p>
        <w:p w14:paraId="32B4C7EB">
          <w:pPr>
            <w:pStyle w:val="6"/>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_Toc691409108 </w:instrText>
          </w:r>
          <w:r>
            <w:rPr>
              <w:rFonts w:hint="default" w:ascii="Arial Regular" w:hAnsi="Arial Regular" w:cs="Arial Regular"/>
              <w:szCs w:val="24"/>
            </w:rPr>
            <w:fldChar w:fldCharType="separate"/>
          </w:r>
          <w:r>
            <w:rPr>
              <w:rFonts w:hint="default" w:ascii="Arial Regular" w:hAnsi="Arial Regular" w:cs="Arial Regular"/>
              <w:szCs w:val="24"/>
            </w:rPr>
            <w:t>2.1 The field and scale of business cooperation</w:t>
          </w:r>
          <w:r>
            <w:tab/>
          </w:r>
          <w:r>
            <w:fldChar w:fldCharType="begin"/>
          </w:r>
          <w:r>
            <w:instrText xml:space="preserve"> PAGEREF _Toc691409108 \h </w:instrText>
          </w:r>
          <w:r>
            <w:fldChar w:fldCharType="separate"/>
          </w:r>
          <w:r>
            <w:t>4</w:t>
          </w:r>
          <w:r>
            <w:fldChar w:fldCharType="end"/>
          </w:r>
          <w:r>
            <w:rPr>
              <w:rFonts w:hint="default" w:ascii="Arial Regular" w:hAnsi="Arial Regular" w:cs="Arial Regular"/>
              <w:szCs w:val="24"/>
            </w:rPr>
            <w:fldChar w:fldCharType="end"/>
          </w:r>
        </w:p>
        <w:p w14:paraId="0542DFB1">
          <w:pPr>
            <w:pStyle w:val="6"/>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_Toc478864239 </w:instrText>
          </w:r>
          <w:r>
            <w:rPr>
              <w:rFonts w:hint="default" w:ascii="Arial Regular" w:hAnsi="Arial Regular" w:cs="Arial Regular"/>
              <w:szCs w:val="24"/>
            </w:rPr>
            <w:fldChar w:fldCharType="separate"/>
          </w:r>
          <w:r>
            <w:rPr>
              <w:rFonts w:hint="default" w:ascii="Arial Regular" w:hAnsi="Arial Regular" w:cs="Arial Regular"/>
              <w:szCs w:val="24"/>
            </w:rPr>
            <w:t>2.2 Overview of Culture and Business Environment</w:t>
          </w:r>
          <w:r>
            <w:tab/>
          </w:r>
          <w:r>
            <w:fldChar w:fldCharType="begin"/>
          </w:r>
          <w:r>
            <w:instrText xml:space="preserve"> PAGEREF _Toc478864239 \h </w:instrText>
          </w:r>
          <w:r>
            <w:fldChar w:fldCharType="separate"/>
          </w:r>
          <w:r>
            <w:t>4</w:t>
          </w:r>
          <w:r>
            <w:fldChar w:fldCharType="end"/>
          </w:r>
          <w:r>
            <w:rPr>
              <w:rFonts w:hint="default" w:ascii="Arial Regular" w:hAnsi="Arial Regular" w:cs="Arial Regular"/>
              <w:szCs w:val="24"/>
            </w:rPr>
            <w:fldChar w:fldCharType="end"/>
          </w:r>
        </w:p>
        <w:p w14:paraId="3545320F">
          <w:pPr>
            <w:pStyle w:val="7"/>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_Toc1650039564 </w:instrText>
          </w:r>
          <w:r>
            <w:rPr>
              <w:rFonts w:hint="default" w:ascii="Arial Regular" w:hAnsi="Arial Regular" w:cs="Arial Regular"/>
              <w:szCs w:val="24"/>
            </w:rPr>
            <w:fldChar w:fldCharType="separate"/>
          </w:r>
          <w:r>
            <w:rPr>
              <w:rFonts w:hint="default" w:ascii="Arial Regular" w:hAnsi="Arial Regular" w:cs="Arial Regular"/>
              <w:szCs w:val="24"/>
            </w:rPr>
            <w:t>2.2.1 Differences in business environment</w:t>
          </w:r>
          <w:r>
            <w:tab/>
          </w:r>
          <w:r>
            <w:fldChar w:fldCharType="begin"/>
          </w:r>
          <w:r>
            <w:instrText xml:space="preserve"> PAGEREF _Toc1650039564 \h </w:instrText>
          </w:r>
          <w:r>
            <w:fldChar w:fldCharType="separate"/>
          </w:r>
          <w:r>
            <w:t>4</w:t>
          </w:r>
          <w:r>
            <w:fldChar w:fldCharType="end"/>
          </w:r>
          <w:r>
            <w:rPr>
              <w:rFonts w:hint="default" w:ascii="Arial Regular" w:hAnsi="Arial Regular" w:cs="Arial Regular"/>
              <w:szCs w:val="24"/>
            </w:rPr>
            <w:fldChar w:fldCharType="end"/>
          </w:r>
        </w:p>
        <w:p w14:paraId="6FE4D6DD">
          <w:pPr>
            <w:pStyle w:val="6"/>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_Toc1758618437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2.2.2 Business Culture</w:t>
          </w:r>
          <w:r>
            <w:tab/>
          </w:r>
          <w:r>
            <w:fldChar w:fldCharType="begin"/>
          </w:r>
          <w:r>
            <w:instrText xml:space="preserve"> PAGEREF _Toc1758618437 \h </w:instrText>
          </w:r>
          <w:r>
            <w:fldChar w:fldCharType="separate"/>
          </w:r>
          <w:r>
            <w:t>5</w:t>
          </w:r>
          <w:r>
            <w:fldChar w:fldCharType="end"/>
          </w:r>
          <w:r>
            <w:rPr>
              <w:rFonts w:hint="default" w:ascii="Arial Regular" w:hAnsi="Arial Regular" w:cs="Arial Regular"/>
              <w:szCs w:val="24"/>
            </w:rPr>
            <w:fldChar w:fldCharType="end"/>
          </w:r>
        </w:p>
        <w:p w14:paraId="71DDD93E">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_Toc1282636998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2.3 Market access and trade convenience</w:t>
          </w:r>
          <w:r>
            <w:tab/>
          </w:r>
          <w:r>
            <w:fldChar w:fldCharType="begin"/>
          </w:r>
          <w:r>
            <w:instrText xml:space="preserve"> PAGEREF _Toc1282636998 \h </w:instrText>
          </w:r>
          <w:r>
            <w:fldChar w:fldCharType="separate"/>
          </w:r>
          <w:r>
            <w:t>5</w:t>
          </w:r>
          <w:r>
            <w:fldChar w:fldCharType="end"/>
          </w:r>
          <w:r>
            <w:rPr>
              <w:rFonts w:hint="default" w:ascii="Arial Regular" w:hAnsi="Arial Regular" w:cs="Arial Regular"/>
              <w:szCs w:val="24"/>
            </w:rPr>
            <w:fldChar w:fldCharType="end"/>
          </w:r>
        </w:p>
        <w:p w14:paraId="6FF408BE">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_Toc839176800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3.0 British and French Business Communication Theory</w:t>
          </w:r>
          <w:r>
            <w:tab/>
          </w:r>
          <w:r>
            <w:fldChar w:fldCharType="begin"/>
          </w:r>
          <w:r>
            <w:instrText xml:space="preserve"> PAGEREF _Toc839176800 \h </w:instrText>
          </w:r>
          <w:r>
            <w:fldChar w:fldCharType="separate"/>
          </w:r>
          <w:r>
            <w:t>6</w:t>
          </w:r>
          <w:r>
            <w:fldChar w:fldCharType="end"/>
          </w:r>
          <w:r>
            <w:rPr>
              <w:rFonts w:hint="default" w:ascii="Arial Regular" w:hAnsi="Arial Regular" w:cs="Arial Regular"/>
              <w:szCs w:val="24"/>
            </w:rPr>
            <w:fldChar w:fldCharType="end"/>
          </w:r>
        </w:p>
        <w:p w14:paraId="2C9BABBA">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_Toc1519367751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3.1 Hofstede Cultural Latitude Theory</w:t>
          </w:r>
          <w:r>
            <w:tab/>
          </w:r>
          <w:r>
            <w:fldChar w:fldCharType="begin"/>
          </w:r>
          <w:r>
            <w:instrText xml:space="preserve"> PAGEREF _Toc1519367751 \h </w:instrText>
          </w:r>
          <w:r>
            <w:fldChar w:fldCharType="separate"/>
          </w:r>
          <w:r>
            <w:t>6</w:t>
          </w:r>
          <w:r>
            <w:fldChar w:fldCharType="end"/>
          </w:r>
          <w:r>
            <w:rPr>
              <w:rFonts w:hint="default" w:ascii="Arial Regular" w:hAnsi="Arial Regular" w:cs="Arial Regular"/>
              <w:szCs w:val="24"/>
            </w:rPr>
            <w:fldChar w:fldCharType="end"/>
          </w:r>
        </w:p>
        <w:p w14:paraId="586D338C">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_Toc285744580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3.2 Trompenaar Cultural Dimension Theory</w:t>
          </w:r>
          <w:r>
            <w:tab/>
          </w:r>
          <w:r>
            <w:fldChar w:fldCharType="begin"/>
          </w:r>
          <w:r>
            <w:instrText xml:space="preserve"> PAGEREF _Toc285744580 \h </w:instrText>
          </w:r>
          <w:r>
            <w:fldChar w:fldCharType="separate"/>
          </w:r>
          <w:r>
            <w:t>7</w:t>
          </w:r>
          <w:r>
            <w:fldChar w:fldCharType="end"/>
          </w:r>
          <w:r>
            <w:rPr>
              <w:rFonts w:hint="default" w:ascii="Arial Regular" w:hAnsi="Arial Regular" w:cs="Arial Regular"/>
              <w:szCs w:val="24"/>
            </w:rPr>
            <w:fldChar w:fldCharType="end"/>
          </w:r>
        </w:p>
        <w:p w14:paraId="1E22EE08">
          <w:pPr>
            <w:pStyle w:val="6"/>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_Toc735721368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3.3 The relationship between British and French business communication and high and low contexts</w:t>
          </w:r>
          <w:r>
            <w:tab/>
          </w:r>
          <w:r>
            <w:fldChar w:fldCharType="begin"/>
          </w:r>
          <w:r>
            <w:instrText xml:space="preserve"> PAGEREF _Toc735721368 \h </w:instrText>
          </w:r>
          <w:r>
            <w:fldChar w:fldCharType="separate"/>
          </w:r>
          <w:r>
            <w:t>8</w:t>
          </w:r>
          <w:r>
            <w:fldChar w:fldCharType="end"/>
          </w:r>
          <w:r>
            <w:rPr>
              <w:rFonts w:hint="default" w:ascii="Arial Regular" w:hAnsi="Arial Regular" w:cs="Arial Regular"/>
              <w:szCs w:val="24"/>
            </w:rPr>
            <w:fldChar w:fldCharType="end"/>
          </w:r>
        </w:p>
        <w:p w14:paraId="645F8899">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_Toc58192550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4.0 Reasons and Effects of Communication Failure</w:t>
          </w:r>
          <w:r>
            <w:tab/>
          </w:r>
          <w:r>
            <w:fldChar w:fldCharType="begin"/>
          </w:r>
          <w:r>
            <w:instrText xml:space="preserve"> PAGEREF _Toc58192550 \h </w:instrText>
          </w:r>
          <w:r>
            <w:fldChar w:fldCharType="separate"/>
          </w:r>
          <w:r>
            <w:t>8</w:t>
          </w:r>
          <w:r>
            <w:fldChar w:fldCharType="end"/>
          </w:r>
          <w:r>
            <w:rPr>
              <w:rFonts w:hint="default" w:ascii="Arial Regular" w:hAnsi="Arial Regular" w:cs="Arial Regular"/>
              <w:szCs w:val="24"/>
            </w:rPr>
            <w:fldChar w:fldCharType="end"/>
          </w:r>
        </w:p>
        <w:p w14:paraId="1A779806">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_Toc1056777950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5.0 Strategies to overcome communication failures</w:t>
          </w:r>
          <w:r>
            <w:tab/>
          </w:r>
          <w:r>
            <w:fldChar w:fldCharType="begin"/>
          </w:r>
          <w:r>
            <w:instrText xml:space="preserve"> PAGEREF _Toc1056777950 \h </w:instrText>
          </w:r>
          <w:r>
            <w:fldChar w:fldCharType="separate"/>
          </w:r>
          <w:r>
            <w:t>9</w:t>
          </w:r>
          <w:r>
            <w:fldChar w:fldCharType="end"/>
          </w:r>
          <w:r>
            <w:rPr>
              <w:rFonts w:hint="default" w:ascii="Arial Regular" w:hAnsi="Arial Regular" w:cs="Arial Regular"/>
              <w:szCs w:val="24"/>
            </w:rPr>
            <w:fldChar w:fldCharType="end"/>
          </w:r>
        </w:p>
        <w:p w14:paraId="1310C6EB">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_Toc855464529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6.0 Conclusions and Suggestions</w:t>
          </w:r>
          <w:r>
            <w:tab/>
          </w:r>
          <w:r>
            <w:fldChar w:fldCharType="begin"/>
          </w:r>
          <w:r>
            <w:instrText xml:space="preserve"> PAGEREF _Toc855464529 \h </w:instrText>
          </w:r>
          <w:r>
            <w:fldChar w:fldCharType="separate"/>
          </w:r>
          <w:r>
            <w:t>11</w:t>
          </w:r>
          <w:r>
            <w:fldChar w:fldCharType="end"/>
          </w:r>
          <w:r>
            <w:rPr>
              <w:rFonts w:hint="default" w:ascii="Arial Regular" w:hAnsi="Arial Regular" w:cs="Arial Regular"/>
              <w:szCs w:val="24"/>
            </w:rPr>
            <w:fldChar w:fldCharType="end"/>
          </w:r>
        </w:p>
        <w:p w14:paraId="541F9402">
          <w:pPr>
            <w:pStyle w:val="5"/>
            <w:tabs>
              <w:tab w:val="right" w:leader="dot" w:pos="8306"/>
            </w:tabs>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_Toc389322238 </w:instrText>
          </w:r>
          <w:r>
            <w:rPr>
              <w:rFonts w:hint="default" w:ascii="Arial Regular" w:hAnsi="Arial Regular" w:cs="Arial Regular"/>
              <w:szCs w:val="24"/>
            </w:rPr>
            <w:fldChar w:fldCharType="separate"/>
          </w:r>
          <w:r>
            <w:rPr>
              <w:rFonts w:hint="default" w:ascii="Arial Regular" w:hAnsi="Arial Regular" w:cs="Arial Regular"/>
              <w:szCs w:val="24"/>
              <w:lang w:val="en-US" w:eastAsia="zh-CN"/>
            </w:rPr>
            <w:t>Reference</w:t>
          </w:r>
          <w:r>
            <w:tab/>
          </w:r>
          <w:r>
            <w:fldChar w:fldCharType="begin"/>
          </w:r>
          <w:r>
            <w:instrText xml:space="preserve"> PAGEREF _Toc389322238 \h </w:instrText>
          </w:r>
          <w:r>
            <w:fldChar w:fldCharType="separate"/>
          </w:r>
          <w:r>
            <w:t>12</w:t>
          </w:r>
          <w:r>
            <w:fldChar w:fldCharType="end"/>
          </w:r>
          <w:r>
            <w:rPr>
              <w:rFonts w:hint="default" w:ascii="Arial Regular" w:hAnsi="Arial Regular" w:cs="Arial Regular"/>
              <w:szCs w:val="24"/>
            </w:rPr>
            <w:fldChar w:fldCharType="end"/>
          </w:r>
        </w:p>
        <w:p w14:paraId="57A97DB9">
          <w:pPr>
            <w:rPr>
              <w:rFonts w:hint="default" w:ascii="Arial Regular" w:hAnsi="Arial Regular" w:cs="Arial Regular" w:eastAsiaTheme="minorEastAsia"/>
              <w:kern w:val="2"/>
              <w:sz w:val="21"/>
              <w:szCs w:val="24"/>
              <w:lang w:val="en-US" w:eastAsia="zh-CN" w:bidi="ar-SA"/>
            </w:rPr>
          </w:pPr>
          <w:r>
            <w:rPr>
              <w:rFonts w:hint="default" w:ascii="Arial Regular" w:hAnsi="Arial Regular" w:cs="Arial Regular"/>
              <w:szCs w:val="24"/>
            </w:rPr>
            <w:fldChar w:fldCharType="end"/>
          </w:r>
        </w:p>
      </w:sdtContent>
    </w:sdt>
    <w:p w14:paraId="1423764D">
      <w:pPr>
        <w:rPr>
          <w:rFonts w:hint="default" w:ascii="Arial Regular" w:hAnsi="Arial Regular" w:cs="Arial Regular" w:eastAsiaTheme="minorEastAsia"/>
          <w:kern w:val="2"/>
          <w:sz w:val="21"/>
          <w:szCs w:val="24"/>
          <w:lang w:val="en-US" w:eastAsia="zh-CN" w:bidi="ar-SA"/>
        </w:rPr>
      </w:pPr>
    </w:p>
    <w:p w14:paraId="7A871B61">
      <w:pPr>
        <w:outlineLvl w:val="9"/>
        <w:rPr>
          <w:rFonts w:hint="default" w:ascii="Arial Regular" w:hAnsi="Arial Regular" w:cs="Arial Regular"/>
          <w:sz w:val="24"/>
          <w:szCs w:val="24"/>
          <w:lang w:val="en-US" w:eastAsia="zh-CN"/>
        </w:rPr>
      </w:pPr>
    </w:p>
    <w:p w14:paraId="3BA7045F">
      <w:pPr>
        <w:outlineLvl w:val="9"/>
        <w:rPr>
          <w:rFonts w:hint="default" w:ascii="Arial Regular" w:hAnsi="Arial Regular" w:cs="Arial Regular"/>
          <w:sz w:val="24"/>
          <w:szCs w:val="24"/>
          <w:lang w:val="en-US" w:eastAsia="zh-CN"/>
        </w:rPr>
      </w:pPr>
    </w:p>
    <w:p w14:paraId="04C1C285">
      <w:pPr>
        <w:outlineLvl w:val="9"/>
        <w:rPr>
          <w:rFonts w:hint="default" w:ascii="Arial Regular" w:hAnsi="Arial Regular" w:cs="Arial Regular"/>
          <w:sz w:val="24"/>
          <w:szCs w:val="24"/>
          <w:lang w:val="en-US" w:eastAsia="zh-CN"/>
        </w:rPr>
      </w:pPr>
    </w:p>
    <w:p w14:paraId="577321F9">
      <w:pPr>
        <w:outlineLvl w:val="9"/>
        <w:rPr>
          <w:rFonts w:hint="default" w:ascii="Arial Regular" w:hAnsi="Arial Regular" w:cs="Arial Regular"/>
          <w:sz w:val="24"/>
          <w:szCs w:val="24"/>
          <w:lang w:val="en-US" w:eastAsia="zh-CN"/>
        </w:rPr>
      </w:pPr>
    </w:p>
    <w:p w14:paraId="61993C4F">
      <w:pPr>
        <w:outlineLvl w:val="9"/>
        <w:rPr>
          <w:rFonts w:hint="default" w:ascii="Arial Regular" w:hAnsi="Arial Regular" w:cs="Arial Regular"/>
          <w:sz w:val="24"/>
          <w:szCs w:val="24"/>
          <w:lang w:val="en-US" w:eastAsia="zh-CN"/>
        </w:rPr>
      </w:pPr>
    </w:p>
    <w:p w14:paraId="50C19B6B">
      <w:pPr>
        <w:outlineLvl w:val="9"/>
        <w:rPr>
          <w:rFonts w:hint="default" w:ascii="Arial Regular" w:hAnsi="Arial Regular" w:cs="Arial Regular"/>
          <w:sz w:val="24"/>
          <w:szCs w:val="24"/>
          <w:lang w:val="en-US" w:eastAsia="zh-CN"/>
        </w:rPr>
      </w:pPr>
    </w:p>
    <w:p w14:paraId="6A4E6BC9">
      <w:pPr>
        <w:outlineLvl w:val="9"/>
        <w:rPr>
          <w:rFonts w:hint="default" w:ascii="Arial Regular" w:hAnsi="Arial Regular" w:cs="Arial Regular"/>
          <w:sz w:val="24"/>
          <w:szCs w:val="24"/>
          <w:lang w:val="en-US" w:eastAsia="zh-CN"/>
        </w:rPr>
      </w:pPr>
    </w:p>
    <w:p w14:paraId="520603B5">
      <w:pPr>
        <w:outlineLvl w:val="9"/>
        <w:rPr>
          <w:rFonts w:hint="default" w:ascii="Arial Regular" w:hAnsi="Arial Regular" w:cs="Arial Regular"/>
          <w:sz w:val="24"/>
          <w:szCs w:val="24"/>
          <w:lang w:val="en-US" w:eastAsia="zh-CN"/>
        </w:rPr>
      </w:pPr>
    </w:p>
    <w:p w14:paraId="3A8D8363">
      <w:pPr>
        <w:outlineLvl w:val="9"/>
        <w:rPr>
          <w:rFonts w:hint="default" w:ascii="Arial Regular" w:hAnsi="Arial Regular" w:cs="Arial Regular"/>
          <w:sz w:val="24"/>
          <w:szCs w:val="24"/>
          <w:lang w:val="en-US" w:eastAsia="zh-CN"/>
        </w:rPr>
      </w:pPr>
    </w:p>
    <w:p w14:paraId="23037860">
      <w:pPr>
        <w:outlineLvl w:val="9"/>
        <w:rPr>
          <w:rFonts w:hint="default" w:ascii="Arial Regular" w:hAnsi="Arial Regular" w:cs="Arial Regular"/>
          <w:sz w:val="24"/>
          <w:szCs w:val="24"/>
          <w:lang w:val="en-US" w:eastAsia="zh-CN"/>
        </w:rPr>
      </w:pPr>
    </w:p>
    <w:p w14:paraId="6DC91DEF">
      <w:pPr>
        <w:outlineLvl w:val="9"/>
        <w:rPr>
          <w:rFonts w:hint="default" w:ascii="Arial Regular" w:hAnsi="Arial Regular" w:cs="Arial Regular"/>
          <w:sz w:val="24"/>
          <w:szCs w:val="24"/>
          <w:lang w:val="en-US" w:eastAsia="zh-CN"/>
        </w:rPr>
      </w:pPr>
    </w:p>
    <w:p w14:paraId="21A65BD6">
      <w:pPr>
        <w:outlineLvl w:val="9"/>
        <w:rPr>
          <w:rFonts w:hint="default" w:ascii="Arial Regular" w:hAnsi="Arial Regular" w:cs="Arial Regular"/>
          <w:sz w:val="24"/>
          <w:szCs w:val="24"/>
          <w:lang w:val="en-US" w:eastAsia="zh-CN"/>
        </w:rPr>
      </w:pPr>
    </w:p>
    <w:p w14:paraId="45D4159A">
      <w:pPr>
        <w:outlineLvl w:val="9"/>
        <w:rPr>
          <w:rFonts w:hint="default" w:ascii="Arial Regular" w:hAnsi="Arial Regular" w:cs="Arial Regular"/>
          <w:sz w:val="24"/>
          <w:szCs w:val="24"/>
          <w:lang w:val="en-US" w:eastAsia="zh-CN"/>
        </w:rPr>
      </w:pPr>
    </w:p>
    <w:p w14:paraId="0CA6AA41">
      <w:pPr>
        <w:outlineLvl w:val="9"/>
        <w:rPr>
          <w:rFonts w:hint="default" w:ascii="Arial Regular" w:hAnsi="Arial Regular" w:cs="Arial Regular"/>
          <w:sz w:val="24"/>
          <w:szCs w:val="24"/>
          <w:lang w:val="en-US" w:eastAsia="zh-CN"/>
        </w:rPr>
      </w:pPr>
    </w:p>
    <w:p w14:paraId="6CC3B503">
      <w:pPr>
        <w:outlineLvl w:val="9"/>
        <w:rPr>
          <w:rFonts w:hint="default" w:ascii="Arial Regular" w:hAnsi="Arial Regular" w:cs="Arial Regular"/>
          <w:sz w:val="24"/>
          <w:szCs w:val="24"/>
          <w:lang w:val="en-US" w:eastAsia="zh-CN"/>
        </w:rPr>
      </w:pPr>
    </w:p>
    <w:p w14:paraId="4A3F5C0F">
      <w:pPr>
        <w:outlineLvl w:val="9"/>
        <w:rPr>
          <w:rFonts w:hint="default" w:ascii="Arial Regular" w:hAnsi="Arial Regular" w:cs="Arial Regular"/>
          <w:sz w:val="24"/>
          <w:szCs w:val="24"/>
          <w:lang w:val="en-US" w:eastAsia="zh-CN"/>
        </w:rPr>
      </w:pPr>
    </w:p>
    <w:p w14:paraId="0F730925">
      <w:pPr>
        <w:outlineLvl w:val="9"/>
        <w:rPr>
          <w:rFonts w:hint="default" w:ascii="Arial Regular" w:hAnsi="Arial Regular" w:cs="Arial Regular"/>
          <w:sz w:val="24"/>
          <w:szCs w:val="24"/>
          <w:lang w:val="en-US" w:eastAsia="zh-CN"/>
        </w:rPr>
      </w:pPr>
    </w:p>
    <w:p w14:paraId="7F0FB827">
      <w:pPr>
        <w:outlineLvl w:val="9"/>
        <w:rPr>
          <w:rFonts w:hint="default" w:ascii="Arial Regular" w:hAnsi="Arial Regular" w:cs="Arial Regular"/>
          <w:sz w:val="24"/>
          <w:szCs w:val="24"/>
          <w:lang w:val="en-US" w:eastAsia="zh-CN"/>
        </w:rPr>
      </w:pPr>
    </w:p>
    <w:p w14:paraId="3616BF3B">
      <w:pPr>
        <w:outlineLvl w:val="9"/>
        <w:rPr>
          <w:rFonts w:hint="default" w:ascii="Arial Regular" w:hAnsi="Arial Regular" w:cs="Arial Regular"/>
          <w:sz w:val="24"/>
          <w:szCs w:val="24"/>
          <w:lang w:val="en-US" w:eastAsia="zh-CN"/>
        </w:rPr>
      </w:pPr>
    </w:p>
    <w:p w14:paraId="3405C116">
      <w:pPr>
        <w:outlineLvl w:val="9"/>
        <w:rPr>
          <w:rFonts w:hint="default" w:ascii="Arial Regular" w:hAnsi="Arial Regular" w:cs="Arial Regular"/>
          <w:sz w:val="24"/>
          <w:szCs w:val="24"/>
          <w:lang w:val="en-US" w:eastAsia="zh-CN"/>
        </w:rPr>
      </w:pPr>
    </w:p>
    <w:p w14:paraId="16CDCE63">
      <w:pPr>
        <w:outlineLvl w:val="9"/>
        <w:rPr>
          <w:rFonts w:hint="default" w:ascii="Arial Regular" w:hAnsi="Arial Regular" w:cs="Arial Regular"/>
          <w:sz w:val="24"/>
          <w:szCs w:val="24"/>
          <w:lang w:val="en-US" w:eastAsia="zh-CN"/>
        </w:rPr>
      </w:pPr>
    </w:p>
    <w:p w14:paraId="16AD5E66">
      <w:pPr>
        <w:outlineLvl w:val="9"/>
        <w:rPr>
          <w:rFonts w:hint="default" w:ascii="Arial Regular" w:hAnsi="Arial Regular" w:cs="Arial Regular"/>
          <w:sz w:val="24"/>
          <w:szCs w:val="24"/>
          <w:lang w:val="en-US" w:eastAsia="zh-CN"/>
        </w:rPr>
      </w:pPr>
    </w:p>
    <w:p w14:paraId="5BFAD324">
      <w:pPr>
        <w:outlineLvl w:val="9"/>
        <w:rPr>
          <w:rFonts w:hint="default" w:ascii="Arial Regular" w:hAnsi="Arial Regular" w:cs="Arial Regular"/>
          <w:sz w:val="24"/>
          <w:szCs w:val="24"/>
          <w:lang w:val="en-US" w:eastAsia="zh-CN"/>
        </w:rPr>
      </w:pPr>
    </w:p>
    <w:p w14:paraId="69FD04E3">
      <w:pPr>
        <w:outlineLvl w:val="0"/>
        <w:rPr>
          <w:rFonts w:hint="default" w:ascii="Arial Regular" w:hAnsi="Arial Regular" w:cs="Arial Regular"/>
          <w:sz w:val="24"/>
          <w:szCs w:val="24"/>
        </w:rPr>
      </w:pPr>
      <w:bookmarkStart w:id="3" w:name="_Toc231190586"/>
      <w:r>
        <w:rPr>
          <w:rFonts w:hint="default" w:ascii="Arial Regular" w:hAnsi="Arial Regular" w:cs="Arial Regular"/>
          <w:sz w:val="24"/>
          <w:szCs w:val="24"/>
          <w:lang w:val="en-US" w:eastAsia="zh-CN"/>
        </w:rPr>
        <w:t xml:space="preserve">1.0 </w:t>
      </w:r>
      <w:r>
        <w:rPr>
          <w:rFonts w:hint="default" w:ascii="Arial Regular" w:hAnsi="Arial Regular" w:cs="Arial Regular"/>
          <w:sz w:val="24"/>
          <w:szCs w:val="24"/>
        </w:rPr>
        <w:t>Introduction</w:t>
      </w:r>
      <w:bookmarkEnd w:id="3"/>
    </w:p>
    <w:p w14:paraId="7011B6D4">
      <w:pPr>
        <w:rPr>
          <w:rFonts w:hint="default" w:ascii="Arial Regular" w:hAnsi="Arial Regular" w:cs="Arial Regular"/>
          <w:sz w:val="24"/>
          <w:szCs w:val="24"/>
        </w:rPr>
      </w:pPr>
    </w:p>
    <w:p w14:paraId="30B0674B">
      <w:pPr>
        <w:rPr>
          <w:rFonts w:hint="default" w:ascii="Arial Regular" w:hAnsi="Arial Regular" w:cs="Arial Regular"/>
          <w:sz w:val="24"/>
          <w:szCs w:val="24"/>
        </w:rPr>
      </w:pPr>
      <w:r>
        <w:rPr>
          <w:rFonts w:hint="default" w:ascii="Arial Regular" w:hAnsi="Arial Regular" w:cs="Arial Regular"/>
          <w:sz w:val="24"/>
          <w:szCs w:val="24"/>
        </w:rPr>
        <w:t>As important economies in Europe, France and the United Kingdom have extensive cooperation and exchanges in the field of commerce. However, due to the differences between the two countries in culture, business customs, communication styles, etc., various problems often arise in international business communication, which affects the smooth progress of business cooperation. Therefore, it is of great practical significance to study business communication between France and Britain in depth, analyze the reasons for communication failure and put forward effective solutions.</w:t>
      </w:r>
    </w:p>
    <w:p w14:paraId="7FCB104F">
      <w:pPr>
        <w:rPr>
          <w:rFonts w:hint="default" w:ascii="Arial Regular" w:hAnsi="Arial Regular" w:cs="Arial Regular"/>
          <w:sz w:val="24"/>
          <w:szCs w:val="24"/>
        </w:rPr>
      </w:pPr>
    </w:p>
    <w:p w14:paraId="3715FDE4">
      <w:pPr>
        <w:rPr>
          <w:rFonts w:hint="default" w:ascii="Arial Regular" w:hAnsi="Arial Regular" w:cs="Arial Regular"/>
          <w:sz w:val="24"/>
          <w:szCs w:val="24"/>
        </w:rPr>
      </w:pPr>
    </w:p>
    <w:p w14:paraId="72C58BDB">
      <w:pPr>
        <w:rPr>
          <w:rFonts w:hint="default" w:ascii="Arial Regular" w:hAnsi="Arial Regular" w:cs="Arial Regular"/>
          <w:sz w:val="24"/>
          <w:szCs w:val="24"/>
        </w:rPr>
      </w:pPr>
    </w:p>
    <w:p w14:paraId="4BB91F31">
      <w:pPr>
        <w:rPr>
          <w:rFonts w:hint="default" w:ascii="Arial Regular" w:hAnsi="Arial Regular" w:cs="Arial Regular"/>
          <w:sz w:val="24"/>
          <w:szCs w:val="24"/>
        </w:rPr>
      </w:pPr>
    </w:p>
    <w:p w14:paraId="77961C15">
      <w:pPr>
        <w:rPr>
          <w:rFonts w:hint="default" w:ascii="Arial Regular" w:hAnsi="Arial Regular" w:cs="Arial Regular"/>
          <w:sz w:val="24"/>
          <w:szCs w:val="24"/>
        </w:rPr>
      </w:pPr>
    </w:p>
    <w:p w14:paraId="1D072790">
      <w:pPr>
        <w:rPr>
          <w:rFonts w:hint="default" w:ascii="Arial Regular" w:hAnsi="Arial Regular" w:cs="Arial Regular"/>
          <w:sz w:val="24"/>
          <w:szCs w:val="24"/>
        </w:rPr>
      </w:pPr>
    </w:p>
    <w:p w14:paraId="317BF55A">
      <w:pPr>
        <w:rPr>
          <w:rFonts w:hint="default" w:ascii="Arial Regular" w:hAnsi="Arial Regular" w:cs="Arial Regular"/>
          <w:sz w:val="24"/>
          <w:szCs w:val="24"/>
        </w:rPr>
      </w:pPr>
    </w:p>
    <w:p w14:paraId="24FE8FE3">
      <w:pPr>
        <w:rPr>
          <w:rFonts w:hint="default" w:ascii="Arial Regular" w:hAnsi="Arial Regular" w:cs="Arial Regular"/>
          <w:sz w:val="24"/>
          <w:szCs w:val="24"/>
        </w:rPr>
      </w:pPr>
    </w:p>
    <w:p w14:paraId="158B71A6">
      <w:pPr>
        <w:rPr>
          <w:rFonts w:hint="default" w:ascii="Arial Regular" w:hAnsi="Arial Regular" w:cs="Arial Regular"/>
          <w:sz w:val="24"/>
          <w:szCs w:val="24"/>
        </w:rPr>
      </w:pPr>
    </w:p>
    <w:p w14:paraId="5E13BDF4">
      <w:pPr>
        <w:rPr>
          <w:rFonts w:hint="default" w:ascii="Arial Regular" w:hAnsi="Arial Regular" w:cs="Arial Regular"/>
          <w:sz w:val="24"/>
          <w:szCs w:val="24"/>
        </w:rPr>
      </w:pPr>
    </w:p>
    <w:p w14:paraId="6741D9C3">
      <w:pPr>
        <w:rPr>
          <w:rFonts w:hint="default" w:ascii="Arial Regular" w:hAnsi="Arial Regular" w:cs="Arial Regular"/>
          <w:sz w:val="24"/>
          <w:szCs w:val="24"/>
        </w:rPr>
      </w:pPr>
    </w:p>
    <w:p w14:paraId="67DAF456">
      <w:pPr>
        <w:rPr>
          <w:rFonts w:hint="default" w:ascii="Arial Regular" w:hAnsi="Arial Regular" w:cs="Arial Regular"/>
          <w:sz w:val="24"/>
          <w:szCs w:val="24"/>
        </w:rPr>
      </w:pPr>
    </w:p>
    <w:p w14:paraId="3688C441">
      <w:pPr>
        <w:rPr>
          <w:rFonts w:hint="default" w:ascii="Arial Regular" w:hAnsi="Arial Regular" w:cs="Arial Regular"/>
          <w:sz w:val="24"/>
          <w:szCs w:val="24"/>
        </w:rPr>
      </w:pPr>
    </w:p>
    <w:p w14:paraId="088201A8">
      <w:pPr>
        <w:rPr>
          <w:rFonts w:hint="default" w:ascii="Arial Regular" w:hAnsi="Arial Regular" w:cs="Arial Regular"/>
          <w:sz w:val="24"/>
          <w:szCs w:val="24"/>
        </w:rPr>
      </w:pPr>
    </w:p>
    <w:p w14:paraId="78D38B64">
      <w:pPr>
        <w:rPr>
          <w:rFonts w:hint="default" w:ascii="Arial Regular" w:hAnsi="Arial Regular" w:cs="Arial Regular"/>
          <w:sz w:val="24"/>
          <w:szCs w:val="24"/>
        </w:rPr>
      </w:pPr>
    </w:p>
    <w:p w14:paraId="0A317284">
      <w:pPr>
        <w:rPr>
          <w:rFonts w:hint="default" w:ascii="Arial Regular" w:hAnsi="Arial Regular" w:cs="Arial Regular"/>
          <w:sz w:val="24"/>
          <w:szCs w:val="24"/>
        </w:rPr>
      </w:pPr>
    </w:p>
    <w:p w14:paraId="5E6CDF5E">
      <w:pPr>
        <w:rPr>
          <w:rFonts w:hint="default" w:ascii="Arial Regular" w:hAnsi="Arial Regular" w:cs="Arial Regular"/>
          <w:sz w:val="24"/>
          <w:szCs w:val="24"/>
        </w:rPr>
      </w:pPr>
    </w:p>
    <w:p w14:paraId="10A8745A">
      <w:pPr>
        <w:rPr>
          <w:rFonts w:hint="default" w:ascii="Arial Regular" w:hAnsi="Arial Regular" w:cs="Arial Regular"/>
          <w:sz w:val="24"/>
          <w:szCs w:val="24"/>
        </w:rPr>
      </w:pPr>
    </w:p>
    <w:p w14:paraId="2B02CC53">
      <w:pPr>
        <w:rPr>
          <w:rFonts w:hint="default" w:ascii="Arial Regular" w:hAnsi="Arial Regular" w:cs="Arial Regular"/>
          <w:sz w:val="24"/>
          <w:szCs w:val="24"/>
        </w:rPr>
      </w:pPr>
    </w:p>
    <w:p w14:paraId="42EB0FA6">
      <w:pPr>
        <w:rPr>
          <w:rFonts w:hint="default" w:ascii="Arial Regular" w:hAnsi="Arial Regular" w:cs="Arial Regular"/>
          <w:sz w:val="24"/>
          <w:szCs w:val="24"/>
        </w:rPr>
      </w:pPr>
    </w:p>
    <w:p w14:paraId="2C817CB6">
      <w:pPr>
        <w:rPr>
          <w:rFonts w:hint="default" w:ascii="Arial Regular" w:hAnsi="Arial Regular" w:cs="Arial Regular"/>
          <w:sz w:val="24"/>
          <w:szCs w:val="24"/>
        </w:rPr>
      </w:pPr>
    </w:p>
    <w:p w14:paraId="69726DB0">
      <w:pPr>
        <w:rPr>
          <w:rFonts w:hint="default" w:ascii="Arial Regular" w:hAnsi="Arial Regular" w:cs="Arial Regular"/>
          <w:sz w:val="24"/>
          <w:szCs w:val="24"/>
        </w:rPr>
      </w:pPr>
    </w:p>
    <w:p w14:paraId="52ADF196">
      <w:pPr>
        <w:rPr>
          <w:rFonts w:hint="default" w:ascii="Arial Regular" w:hAnsi="Arial Regular" w:cs="Arial Regular"/>
          <w:sz w:val="24"/>
          <w:szCs w:val="24"/>
        </w:rPr>
      </w:pPr>
    </w:p>
    <w:p w14:paraId="3FA4576C">
      <w:pPr>
        <w:rPr>
          <w:rFonts w:hint="default" w:ascii="Arial Regular" w:hAnsi="Arial Regular" w:cs="Arial Regular"/>
          <w:sz w:val="24"/>
          <w:szCs w:val="24"/>
        </w:rPr>
      </w:pPr>
    </w:p>
    <w:p w14:paraId="56F224E3">
      <w:pPr>
        <w:rPr>
          <w:rFonts w:hint="default" w:ascii="Arial Regular" w:hAnsi="Arial Regular" w:cs="Arial Regular"/>
          <w:sz w:val="24"/>
          <w:szCs w:val="24"/>
        </w:rPr>
      </w:pPr>
    </w:p>
    <w:p w14:paraId="26C286E0">
      <w:pPr>
        <w:rPr>
          <w:rFonts w:hint="default" w:ascii="Arial Regular" w:hAnsi="Arial Regular" w:cs="Arial Regular"/>
          <w:sz w:val="24"/>
          <w:szCs w:val="24"/>
        </w:rPr>
      </w:pPr>
    </w:p>
    <w:p w14:paraId="6FE2223E">
      <w:pPr>
        <w:rPr>
          <w:rFonts w:hint="default" w:ascii="Arial Regular" w:hAnsi="Arial Regular" w:cs="Arial Regular"/>
          <w:sz w:val="24"/>
          <w:szCs w:val="24"/>
        </w:rPr>
      </w:pPr>
    </w:p>
    <w:p w14:paraId="7123CE15">
      <w:pPr>
        <w:rPr>
          <w:rFonts w:hint="default" w:ascii="Arial Regular" w:hAnsi="Arial Regular" w:cs="Arial Regular"/>
          <w:sz w:val="24"/>
          <w:szCs w:val="24"/>
        </w:rPr>
      </w:pPr>
    </w:p>
    <w:p w14:paraId="1873A664">
      <w:pPr>
        <w:rPr>
          <w:rFonts w:hint="default" w:ascii="Arial Regular" w:hAnsi="Arial Regular" w:cs="Arial Regular"/>
          <w:sz w:val="24"/>
          <w:szCs w:val="24"/>
        </w:rPr>
      </w:pPr>
    </w:p>
    <w:p w14:paraId="2337BADC">
      <w:pPr>
        <w:rPr>
          <w:rFonts w:hint="default" w:ascii="Arial Regular" w:hAnsi="Arial Regular" w:cs="Arial Regular"/>
          <w:sz w:val="24"/>
          <w:szCs w:val="24"/>
        </w:rPr>
      </w:pPr>
    </w:p>
    <w:p w14:paraId="291962EE">
      <w:pPr>
        <w:rPr>
          <w:rFonts w:hint="default" w:ascii="Arial Regular" w:hAnsi="Arial Regular" w:cs="Arial Regular"/>
          <w:sz w:val="24"/>
          <w:szCs w:val="24"/>
        </w:rPr>
      </w:pPr>
    </w:p>
    <w:p w14:paraId="2FA8C251">
      <w:pPr>
        <w:rPr>
          <w:rFonts w:hint="default" w:ascii="Arial Regular" w:hAnsi="Arial Regular" w:cs="Arial Regular"/>
          <w:sz w:val="24"/>
          <w:szCs w:val="24"/>
        </w:rPr>
      </w:pPr>
    </w:p>
    <w:p w14:paraId="3BBF6F48">
      <w:pPr>
        <w:rPr>
          <w:rFonts w:hint="default" w:ascii="Arial Regular" w:hAnsi="Arial Regular" w:cs="Arial Regular"/>
          <w:sz w:val="24"/>
          <w:szCs w:val="24"/>
        </w:rPr>
      </w:pPr>
    </w:p>
    <w:p w14:paraId="207F3FD0">
      <w:pPr>
        <w:rPr>
          <w:rFonts w:hint="default" w:ascii="Arial Regular" w:hAnsi="Arial Regular" w:cs="Arial Regular"/>
          <w:sz w:val="24"/>
          <w:szCs w:val="24"/>
        </w:rPr>
      </w:pPr>
    </w:p>
    <w:p w14:paraId="77F6F741">
      <w:pPr>
        <w:rPr>
          <w:rFonts w:hint="default" w:ascii="Arial Regular" w:hAnsi="Arial Regular" w:cs="Arial Regular"/>
          <w:sz w:val="24"/>
          <w:szCs w:val="24"/>
        </w:rPr>
      </w:pPr>
    </w:p>
    <w:p w14:paraId="38A2E09F">
      <w:pPr>
        <w:outlineLvl w:val="0"/>
        <w:rPr>
          <w:rFonts w:hint="default" w:ascii="Arial Regular" w:hAnsi="Arial Regular" w:cs="Arial Regular"/>
          <w:sz w:val="24"/>
          <w:szCs w:val="24"/>
        </w:rPr>
      </w:pPr>
      <w:bookmarkStart w:id="4" w:name="_Toc822261479"/>
      <w:r>
        <w:rPr>
          <w:rFonts w:hint="default" w:ascii="Arial Regular" w:hAnsi="Arial Regular" w:cs="Arial Regular"/>
          <w:sz w:val="24"/>
          <w:szCs w:val="24"/>
          <w:lang w:val="en-US" w:eastAsia="zh-CN"/>
        </w:rPr>
        <w:t>2.0 Background of British and French business cooperation</w:t>
      </w:r>
      <w:bookmarkEnd w:id="4"/>
    </w:p>
    <w:p w14:paraId="5D4AB53E">
      <w:pPr>
        <w:rPr>
          <w:rFonts w:hint="default" w:ascii="Arial Regular" w:hAnsi="Arial Regular" w:cs="Arial Regular"/>
          <w:sz w:val="24"/>
          <w:szCs w:val="24"/>
        </w:rPr>
      </w:pPr>
    </w:p>
    <w:p w14:paraId="55F7BBF3">
      <w:pPr>
        <w:outlineLvl w:val="1"/>
        <w:rPr>
          <w:rFonts w:hint="default" w:ascii="Arial Regular" w:hAnsi="Arial Regular" w:cs="Arial Regular"/>
          <w:sz w:val="24"/>
          <w:szCs w:val="24"/>
        </w:rPr>
      </w:pPr>
      <w:bookmarkStart w:id="5" w:name="_Toc691409108"/>
      <w:r>
        <w:rPr>
          <w:rFonts w:hint="default" w:ascii="Arial Regular" w:hAnsi="Arial Regular" w:cs="Arial Regular"/>
          <w:sz w:val="24"/>
          <w:szCs w:val="24"/>
        </w:rPr>
        <w:t>2.1 The field and scale of business cooperation</w:t>
      </w:r>
      <w:bookmarkEnd w:id="5"/>
    </w:p>
    <w:p w14:paraId="73C918ED">
      <w:pPr>
        <w:rPr>
          <w:rFonts w:hint="default" w:ascii="Arial Regular" w:hAnsi="Arial Regular" w:cs="Arial Regular"/>
          <w:sz w:val="24"/>
          <w:szCs w:val="24"/>
        </w:rPr>
      </w:pPr>
    </w:p>
    <w:p w14:paraId="76BFDE5E">
      <w:pPr>
        <w:rPr>
          <w:rFonts w:hint="default" w:ascii="Arial Regular" w:hAnsi="Arial Regular" w:cs="Arial Regular"/>
          <w:sz w:val="24"/>
          <w:szCs w:val="24"/>
        </w:rPr>
      </w:pPr>
      <w:r>
        <w:rPr>
          <w:rFonts w:hint="default" w:ascii="Arial Regular" w:hAnsi="Arial Regular" w:cs="Arial Regular"/>
          <w:sz w:val="24"/>
          <w:szCs w:val="24"/>
        </w:rPr>
        <w:t>Britain and France have carried out extensive cooperation in aerospace, automobile manufacturing, financial services, luxury goods, energy and other fields. Many multinational enterprises have set up branches or carried out business cooperation in the two countries, and the trade volume and investment volume have shown a trend of increasing year by year, which highlights the necessity and urgency of good business communication. In 2022, France exported 35.1 billion US dollars to the United Kingdom. The main products exported from France to the United Kingdom are aircraft, helicopters and/or spacecraft ($2.07 billion), cars ($17.5 billion) and wine ($1.68 billion). In the past five years, France's exports to the United Kingdom have grown at an annualized rate of 0.025%, from $35 billion in 2017 to $35.5 billion in 2022.</w:t>
      </w:r>
    </w:p>
    <w:p w14:paraId="46CF078F">
      <w:pPr>
        <w:rPr>
          <w:rFonts w:hint="default" w:ascii="Arial Regular" w:hAnsi="Arial Regular" w:cs="Arial Regular"/>
          <w:sz w:val="24"/>
          <w:szCs w:val="24"/>
        </w:rPr>
      </w:pPr>
    </w:p>
    <w:p w14:paraId="75E2B080">
      <w:pPr>
        <w:outlineLvl w:val="1"/>
        <w:rPr>
          <w:rFonts w:hint="default" w:ascii="Arial Regular" w:hAnsi="Arial Regular" w:cs="Arial Regular"/>
          <w:sz w:val="24"/>
          <w:szCs w:val="24"/>
        </w:rPr>
      </w:pPr>
      <w:bookmarkStart w:id="6" w:name="_Toc478864239"/>
      <w:r>
        <w:rPr>
          <w:rFonts w:hint="default" w:ascii="Arial Regular" w:hAnsi="Arial Regular" w:cs="Arial Regular"/>
          <w:sz w:val="24"/>
          <w:szCs w:val="24"/>
        </w:rPr>
        <w:t>2.2 Overview of Culture and Business Environment</w:t>
      </w:r>
      <w:bookmarkEnd w:id="6"/>
    </w:p>
    <w:p w14:paraId="004F27F3">
      <w:pPr>
        <w:rPr>
          <w:rFonts w:hint="default" w:ascii="Arial Regular" w:hAnsi="Arial Regular" w:cs="Arial Regular"/>
          <w:sz w:val="24"/>
          <w:szCs w:val="24"/>
        </w:rPr>
      </w:pPr>
    </w:p>
    <w:p w14:paraId="36701AAA">
      <w:pPr>
        <w:outlineLvl w:val="2"/>
        <w:rPr>
          <w:rFonts w:hint="default" w:ascii="Arial Regular" w:hAnsi="Arial Regular" w:cs="Arial Regular"/>
          <w:sz w:val="24"/>
          <w:szCs w:val="24"/>
        </w:rPr>
      </w:pPr>
      <w:bookmarkStart w:id="7" w:name="_Toc1650039564"/>
      <w:r>
        <w:rPr>
          <w:rFonts w:hint="default" w:ascii="Arial Regular" w:hAnsi="Arial Regular" w:cs="Arial Regular"/>
          <w:sz w:val="24"/>
          <w:szCs w:val="24"/>
        </w:rPr>
        <w:t>2.2.1 Differences in business environment</w:t>
      </w:r>
      <w:bookmarkEnd w:id="7"/>
    </w:p>
    <w:p w14:paraId="2BB3C569">
      <w:pPr>
        <w:rPr>
          <w:rFonts w:hint="default" w:ascii="Arial Regular" w:hAnsi="Arial Regular" w:cs="Arial Regular"/>
          <w:sz w:val="24"/>
          <w:szCs w:val="24"/>
        </w:rPr>
      </w:pPr>
    </w:p>
    <w:p w14:paraId="786CF5E4">
      <w:pPr>
        <w:rPr>
          <w:rFonts w:hint="default" w:ascii="Arial Regular" w:hAnsi="Arial Regular" w:cs="Arial Regular"/>
          <w:sz w:val="24"/>
          <w:szCs w:val="24"/>
        </w:rPr>
      </w:pPr>
      <w:r>
        <w:rPr>
          <w:rFonts w:hint="default" w:ascii="Arial Regular" w:hAnsi="Arial Regular" w:cs="Arial Regular"/>
          <w:sz w:val="24"/>
          <w:szCs w:val="24"/>
        </w:rPr>
        <w:t>United Kingdom: Business culture pays more attention to individualism and competitive spirit, emphasizing personal ability and performance. The hierarchical relationship between employees is relatively less strict, and the decision-making process is relatively democratic and fragmented, encouraging employees to participate and innovate. The labor market is relatively flexible, the employment and dismissal procedures are relatively simple, and enterprises have greater autonomy in human resources management. But in recent years, the UK has also faced a shortage of labor, especially in some specific industries and skill areas. Bauer, M. W. (2022)</w:t>
      </w:r>
    </w:p>
    <w:p w14:paraId="328F68B1">
      <w:pPr>
        <w:rPr>
          <w:rFonts w:hint="default" w:ascii="Arial Regular" w:hAnsi="Arial Regular" w:cs="Arial Regular"/>
          <w:sz w:val="24"/>
          <w:szCs w:val="24"/>
        </w:rPr>
      </w:pPr>
    </w:p>
    <w:p w14:paraId="66B29436">
      <w:pPr>
        <w:rPr>
          <w:rFonts w:hint="default" w:ascii="Arial Regular" w:hAnsi="Arial Regular" w:cs="Arial Regular"/>
          <w:sz w:val="24"/>
          <w:szCs w:val="24"/>
        </w:rPr>
      </w:pPr>
      <w:r>
        <w:rPr>
          <w:rFonts w:hint="default" w:ascii="Arial Regular" w:hAnsi="Arial Regular" w:cs="Arial Regular"/>
          <w:sz w:val="24"/>
          <w:szCs w:val="24"/>
        </w:rPr>
        <w:t>France: Business culture has a certain collectivism, the internal hierarchy of the enterprise is more obvious, decision-making is usually made by senior managers, and it is more important for employees to obey and respect their superiors. French businessmen often pay attention to etiquette and form in business negotiations, and prefer to prepare and communicate fully before negotiations. The labor market is protected by relatively strict labor regulations, and enterprises need to comply with more regulations in terms of employment, dismissal and employee welfare, which increases the labor cost and management difficulty of enterprises to a certain extent. However, the French workforce is generally of high quality and has abundant talent resources in some high-tech and professional fields.</w:t>
      </w:r>
    </w:p>
    <w:p w14:paraId="71B03C45">
      <w:pPr>
        <w:rPr>
          <w:rFonts w:hint="default" w:ascii="Arial Regular" w:hAnsi="Arial Regular" w:cs="Arial Regular"/>
          <w:sz w:val="24"/>
          <w:szCs w:val="24"/>
          <w:lang w:val="en-US" w:eastAsia="zh-CN"/>
        </w:rPr>
      </w:pPr>
    </w:p>
    <w:p w14:paraId="37355B99">
      <w:pPr>
        <w:outlineLvl w:val="1"/>
        <w:rPr>
          <w:rFonts w:hint="default" w:ascii="Arial Regular" w:hAnsi="Arial Regular" w:cs="Arial Regular"/>
          <w:sz w:val="24"/>
          <w:szCs w:val="24"/>
          <w:lang w:val="en-US" w:eastAsia="zh-CN"/>
        </w:rPr>
      </w:pPr>
      <w:bookmarkStart w:id="8" w:name="_Toc1758618437"/>
      <w:r>
        <w:rPr>
          <w:rFonts w:hint="default" w:ascii="Arial Regular" w:hAnsi="Arial Regular" w:cs="Arial Regular"/>
          <w:sz w:val="24"/>
          <w:szCs w:val="24"/>
          <w:lang w:val="en-US" w:eastAsia="zh-CN"/>
        </w:rPr>
        <w:t>2.2.2 Business Culture</w:t>
      </w:r>
      <w:bookmarkEnd w:id="8"/>
    </w:p>
    <w:p w14:paraId="078F97D3">
      <w:pPr>
        <w:rPr>
          <w:rFonts w:hint="default" w:ascii="Arial Regular" w:hAnsi="Arial Regular" w:cs="Arial Regular"/>
          <w:sz w:val="24"/>
          <w:szCs w:val="24"/>
          <w:lang w:val="en-US" w:eastAsia="zh-CN"/>
        </w:rPr>
      </w:pPr>
    </w:p>
    <w:p w14:paraId="2269C0EB">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United Kingdom: Business culture pays more attention to individualism and competitive spirit, emphasizing personal ability and performance. The hierarchical relationship between employees is relatively less strict, and the decision-making process is relatively democratic and fragmented, encouraging employees to participate and innovate.</w:t>
      </w:r>
    </w:p>
    <w:p w14:paraId="61C1A0F0">
      <w:pPr>
        <w:rPr>
          <w:rFonts w:hint="default" w:ascii="Arial Regular" w:hAnsi="Arial Regular" w:cs="Arial Regular"/>
          <w:sz w:val="24"/>
          <w:szCs w:val="24"/>
          <w:lang w:val="en-US" w:eastAsia="zh-CN"/>
        </w:rPr>
      </w:pPr>
    </w:p>
    <w:p w14:paraId="5020BE1A">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France: Business culture has a certain collectivism, the internal hierarchy of the enterprise is more obvious, decision-making is usually made by senior managers, and it is more important for employees to obey and respect their superiors. French businessmen often pay attention to etiquette and form in business negotiations, and prefer to prepare and communicate fully before negotiations.</w:t>
      </w:r>
    </w:p>
    <w:p w14:paraId="5260C2AE">
      <w:pPr>
        <w:rPr>
          <w:rFonts w:hint="default" w:ascii="Arial Regular" w:hAnsi="Arial Regular" w:cs="Arial Regular"/>
          <w:sz w:val="24"/>
          <w:szCs w:val="24"/>
          <w:lang w:val="en-US" w:eastAsia="zh-CN"/>
        </w:rPr>
      </w:pPr>
    </w:p>
    <w:p w14:paraId="143126C4">
      <w:pPr>
        <w:outlineLvl w:val="0"/>
        <w:rPr>
          <w:rFonts w:hint="default" w:ascii="Arial Regular" w:hAnsi="Arial Regular" w:cs="Arial Regular"/>
          <w:sz w:val="24"/>
          <w:szCs w:val="24"/>
          <w:lang w:val="en-US" w:eastAsia="zh-CN"/>
        </w:rPr>
      </w:pPr>
      <w:bookmarkStart w:id="9" w:name="_Toc1282636998"/>
      <w:r>
        <w:rPr>
          <w:rFonts w:hint="default" w:ascii="Arial Regular" w:hAnsi="Arial Regular" w:cs="Arial Regular"/>
          <w:sz w:val="24"/>
          <w:szCs w:val="24"/>
          <w:lang w:val="en-US" w:eastAsia="zh-CN"/>
        </w:rPr>
        <w:t>2.3 Market access and trade convenience</w:t>
      </w:r>
      <w:bookmarkEnd w:id="9"/>
    </w:p>
    <w:p w14:paraId="3743F0E8">
      <w:pPr>
        <w:rPr>
          <w:rFonts w:hint="default" w:ascii="Arial Regular" w:hAnsi="Arial Regular" w:cs="Arial Regular"/>
          <w:sz w:val="24"/>
          <w:szCs w:val="24"/>
          <w:lang w:val="en-US" w:eastAsia="zh-CN"/>
        </w:rPr>
      </w:pPr>
    </w:p>
    <w:p w14:paraId="2EE57312">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Before Brexit, as a member of the European Union, Britain enjoyed the advantage of free trade and market access within the European Union. After Brexit, the trade relations between the United Kingdom and the European Union have changed, facing new trade barriers and customs procedures, increasing trade costs and uncertainty. However, Britain is also actively signing free trade agreements with other countries and regions to expand international markets. As a core member of the European Union, France enjoys full market access to the internal market of the European Union. The trade barriers between other EU countries are low, and the free flow of goods, services, personnel and capital is relatively convenient, which gives French enterprises a certain advantage in expanding the European market. At the same time, France also has a wide range of partners and a high trade status in international trade.</w:t>
      </w:r>
    </w:p>
    <w:p w14:paraId="3DE235D1">
      <w:pPr>
        <w:rPr>
          <w:rFonts w:hint="default" w:ascii="Arial Regular" w:hAnsi="Arial Regular" w:cs="Arial Regular"/>
          <w:sz w:val="24"/>
          <w:szCs w:val="24"/>
          <w:lang w:val="en-US" w:eastAsia="zh-CN"/>
        </w:rPr>
      </w:pPr>
    </w:p>
    <w:p w14:paraId="1567C94A">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The impact of these factors on French small and medium-sized enterprises is particularly serious in industries such as retail and support services. In these industries, tariffs, non-tariff barriers and customs complexity may further affect profit margins. After Britain left the European Union, new tariffs and customs procedures were introduced, which undoubtedly added complexity and cost to French exporters. Although the Trade and Cooperation Agreement (TCA) aims to promote trade between the United Kingdom and the European Union, the implementation of new regulatory requirements and customs procedures has created the initial obstacles for businesses to adapt to the post-Brexit environment.</w:t>
      </w:r>
    </w:p>
    <w:p w14:paraId="4F0D9C47">
      <w:pPr>
        <w:rPr>
          <w:rFonts w:hint="default" w:ascii="Arial Regular" w:hAnsi="Arial Regular" w:cs="Arial Regular"/>
          <w:sz w:val="24"/>
          <w:szCs w:val="24"/>
          <w:lang w:val="en-US" w:eastAsia="zh-CN"/>
        </w:rPr>
      </w:pPr>
    </w:p>
    <w:p w14:paraId="3D54E993">
      <w:pPr>
        <w:outlineLvl w:val="0"/>
        <w:rPr>
          <w:rFonts w:hint="default" w:ascii="Arial Regular" w:hAnsi="Arial Regular" w:cs="Arial Regular"/>
          <w:sz w:val="24"/>
          <w:szCs w:val="24"/>
          <w:lang w:val="en-US" w:eastAsia="zh-CN"/>
        </w:rPr>
      </w:pPr>
      <w:bookmarkStart w:id="10" w:name="_Toc839176800"/>
      <w:r>
        <w:rPr>
          <w:rFonts w:hint="default" w:ascii="Arial Regular" w:hAnsi="Arial Regular" w:cs="Arial Regular"/>
          <w:sz w:val="24"/>
          <w:szCs w:val="24"/>
          <w:lang w:val="en-US" w:eastAsia="zh-CN"/>
        </w:rPr>
        <w:t>3.0 British and French Business Communication Theory</w:t>
      </w:r>
      <w:bookmarkEnd w:id="10"/>
    </w:p>
    <w:p w14:paraId="41194913">
      <w:pPr>
        <w:rPr>
          <w:rFonts w:hint="default" w:ascii="Arial Regular" w:hAnsi="Arial Regular" w:cs="Arial Regular"/>
          <w:sz w:val="24"/>
          <w:szCs w:val="24"/>
          <w:lang w:val="en-US" w:eastAsia="zh-CN"/>
        </w:rPr>
      </w:pPr>
    </w:p>
    <w:p w14:paraId="756B7114">
      <w:pPr>
        <w:outlineLvl w:val="0"/>
        <w:rPr>
          <w:rFonts w:hint="default" w:ascii="Arial Regular" w:hAnsi="Arial Regular" w:cs="Arial Regular"/>
          <w:sz w:val="24"/>
          <w:szCs w:val="24"/>
          <w:lang w:val="en-US" w:eastAsia="zh-CN"/>
        </w:rPr>
      </w:pPr>
      <w:bookmarkStart w:id="11" w:name="_Toc1519367751"/>
      <w:r>
        <w:rPr>
          <w:rFonts w:hint="default" w:ascii="Arial Regular" w:hAnsi="Arial Regular" w:cs="Arial Regular"/>
          <w:sz w:val="24"/>
          <w:szCs w:val="24"/>
          <w:lang w:val="en-US" w:eastAsia="zh-CN"/>
        </w:rPr>
        <w:t>3.1 Hofstede Cultural Latitude Theory</w:t>
      </w:r>
      <w:bookmarkEnd w:id="11"/>
    </w:p>
    <w:p w14:paraId="7DB87417">
      <w:pPr>
        <w:rPr>
          <w:rFonts w:hint="default" w:ascii="Arial Regular" w:hAnsi="Arial Regular" w:cs="Arial Regular"/>
          <w:sz w:val="24"/>
          <w:szCs w:val="24"/>
          <w:lang w:val="en-US" w:eastAsia="zh-CN"/>
        </w:rPr>
      </w:pPr>
    </w:p>
    <w:p w14:paraId="40434FC5">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Hofstede's cultural dimension theory includes six dimensions: power distance, individualism and collectivism, masculinity and feminization, uncertainty avoidance, long-term orientation and short-term orientation, indulgence and restraint, which helps to analyze the cultural differences and influences of Britain and France in business communication.</w:t>
      </w:r>
    </w:p>
    <w:p w14:paraId="7DF0FC08">
      <w:pPr>
        <w:rPr>
          <w:rFonts w:hint="default" w:ascii="Arial Regular" w:hAnsi="Arial Regular" w:cs="Arial Regular"/>
          <w:sz w:val="24"/>
          <w:szCs w:val="24"/>
          <w:lang w:val="en-US" w:eastAsia="zh-CN"/>
        </w:rPr>
      </w:pPr>
    </w:p>
    <w:p w14:paraId="31F718EB">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There are significant differences between Britain and France in business communication. Judging from Hofstede's cultural dimension theory, in terms of power distance, the United Kingdom is smaller and the communication atmosphere is equal and open. France is larger, with a high hierarchy and strict etiquette; in terms of individualism, the United Kingdom pays more attention to individual achievements, while France is a team. It is as important as individuals; in terms of uncertainty avoidance, the United Kingdom has high acceptance and flexible decision-making, while France relies on rules and strict decision-making; in terms of masculine characteristics, the United Kingdom emphasizes competition and achievement, and France emphasizes both career and life; in the long-term orientation, the United Kingdom prefers short-term performance, while France emphasizes long-term development; in the dimension of indulgence and restraint, the British atmosphere Loose and casual, France is relatively rigorous and restrained. Understanding these differences will help enterprises in the two countries understand each other in business communication, adopt more appropriate strategies to promote cooperation and communication, improve the effectiveness and synergy of business activities, reduce misunderstandings and conflicts caused by cultural differences, and promote the good development of bilateral business relations.</w:t>
      </w:r>
    </w:p>
    <w:p w14:paraId="2E216EBA">
      <w:pPr>
        <w:rPr>
          <w:rFonts w:hint="default" w:ascii="Arial Regular" w:hAnsi="Arial Regular" w:cs="Arial Regular"/>
          <w:sz w:val="24"/>
          <w:szCs w:val="24"/>
          <w:lang w:val="en-US" w:eastAsia="zh-CN"/>
        </w:rPr>
      </w:pPr>
    </w:p>
    <w:p w14:paraId="31A1D162">
      <w:pPr>
        <w:outlineLvl w:val="0"/>
        <w:rPr>
          <w:rFonts w:hint="default" w:ascii="Arial Regular" w:hAnsi="Arial Regular" w:cs="Arial Regular"/>
          <w:sz w:val="24"/>
          <w:szCs w:val="24"/>
          <w:lang w:val="en-US" w:eastAsia="zh-CN"/>
        </w:rPr>
      </w:pPr>
      <w:bookmarkStart w:id="12" w:name="_Toc285744580"/>
      <w:r>
        <w:rPr>
          <w:rFonts w:hint="default" w:ascii="Arial Regular" w:hAnsi="Arial Regular" w:cs="Arial Regular"/>
          <w:sz w:val="24"/>
          <w:szCs w:val="24"/>
          <w:lang w:val="en-US" w:eastAsia="zh-CN"/>
        </w:rPr>
        <w:t>3.2 Trompenaar Cultural Dimension Theory</w:t>
      </w:r>
      <w:bookmarkEnd w:id="12"/>
    </w:p>
    <w:p w14:paraId="244BCA17">
      <w:pPr>
        <w:rPr>
          <w:rFonts w:hint="default" w:ascii="Arial Regular" w:hAnsi="Arial Regular" w:cs="Arial Regular"/>
          <w:sz w:val="24"/>
          <w:szCs w:val="24"/>
          <w:lang w:val="en-US" w:eastAsia="zh-CN"/>
        </w:rPr>
      </w:pPr>
    </w:p>
    <w:p w14:paraId="6C14736F">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Trompenaar's cultural dimension theory includes universalism and specialism, individualism and collectivism, neutrality and emotion, specificity and diffusion, achievement and belonging, time orientation and other dimensions, which can be used to interpret the differences in business communication between Britain and France (Trompenaar, 1993)</w:t>
      </w:r>
    </w:p>
    <w:p w14:paraId="45286201">
      <w:pPr>
        <w:rPr>
          <w:rFonts w:hint="default" w:ascii="Arial Regular" w:hAnsi="Arial Regular" w:cs="Arial Regular"/>
          <w:sz w:val="24"/>
          <w:szCs w:val="24"/>
          <w:lang w:val="en-US" w:eastAsia="zh-CN"/>
        </w:rPr>
      </w:pPr>
    </w:p>
    <w:p w14:paraId="77A66971">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Universalism and specialism: Britain is universalism, and business communication follows the established rules and laws; France has a tendency to be specialism, and relationships and situations will affect the implementation of the rules. In addition to the rules, human factors are also considered when making decisions. For example, the United Kingdom strictly follows the terms in the execution of the contract, and France may adjust flexibly according to the situation.</w:t>
      </w:r>
    </w:p>
    <w:p w14:paraId="741A3FAE">
      <w:pPr>
        <w:rPr>
          <w:rFonts w:hint="default" w:ascii="Arial Regular" w:hAnsi="Arial Regular" w:cs="Arial Regular"/>
          <w:sz w:val="24"/>
          <w:szCs w:val="24"/>
          <w:lang w:val="en-US" w:eastAsia="zh-CN"/>
        </w:rPr>
      </w:pPr>
    </w:p>
    <w:p w14:paraId="7D62E435">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Individualism and collectivism: Both countries have individualistic tendencies, but the United Kingdom is stronger. Business interaction focuses on the display of personal ability and interests. French collectivism has a certain influence. When teamwork, the French people show individuals and take collective honor at the same time, and communication and coordination are more complex and subtle.</w:t>
      </w:r>
    </w:p>
    <w:p w14:paraId="7DFF7744">
      <w:pPr>
        <w:rPr>
          <w:rFonts w:hint="default" w:ascii="Arial Regular" w:hAnsi="Arial Regular" w:cs="Arial Regular"/>
          <w:sz w:val="24"/>
          <w:szCs w:val="24"/>
          <w:lang w:val="en-US" w:eastAsia="zh-CN"/>
        </w:rPr>
      </w:pPr>
    </w:p>
    <w:p w14:paraId="79B588F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Neutrality and emotionality: Britain is neutral, introverted in business occasions, and communication is rational and pragmatic; France is emotional, enthusiastic about communication, and has rich expressions and gestures in negotiations, and emotional expression may affect the direction of decision-making.</w:t>
      </w:r>
    </w:p>
    <w:p w14:paraId="69B9E16A">
      <w:pPr>
        <w:rPr>
          <w:rFonts w:hint="default" w:ascii="Arial Regular" w:hAnsi="Arial Regular" w:cs="Arial Regular"/>
          <w:sz w:val="24"/>
          <w:szCs w:val="24"/>
          <w:lang w:val="en-US" w:eastAsia="zh-CN"/>
        </w:rPr>
      </w:pPr>
    </w:p>
    <w:p w14:paraId="471AD60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Specificity and diffusion: Britain tends to be specific, business communication focuses on tasks and affairs, and the boundaries between work and life are clear; France tends to spread, relationships are more extensive and deeper, and business is also involved in life interests and other topics, paying attention to long-term relationship cultivation, and decision-making is affected by multiple relationship factors.</w:t>
      </w:r>
    </w:p>
    <w:p w14:paraId="239F42AC">
      <w:pPr>
        <w:rPr>
          <w:rFonts w:hint="default" w:ascii="Arial Regular" w:hAnsi="Arial Regular" w:cs="Arial Regular"/>
          <w:sz w:val="24"/>
          <w:szCs w:val="24"/>
          <w:lang w:val="en-US" w:eastAsia="zh-CN"/>
        </w:rPr>
      </w:pPr>
    </w:p>
    <w:p w14:paraId="37099852">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Achievement and belonging: Britain values achievements, and in business, heroes are based on ability and performance; although France values achievements, it also has attribution factors, such as well-known institutions, family background, etc., which play a certain role in business communication and opportunity acquisition, and interpersonal networks affect the allocation of business resources.</w:t>
      </w:r>
    </w:p>
    <w:p w14:paraId="24A6B2A1">
      <w:pPr>
        <w:rPr>
          <w:rFonts w:hint="default" w:ascii="Arial Regular" w:hAnsi="Arial Regular" w:cs="Arial Regular"/>
          <w:sz w:val="24"/>
          <w:szCs w:val="24"/>
          <w:lang w:val="en-US" w:eastAsia="zh-CN"/>
        </w:rPr>
      </w:pPr>
    </w:p>
    <w:p w14:paraId="0D130C61">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Time orientation: Britain tends to be short-term and focuses on current benefits; France has both short-term action and long-term strategic vision. Business decision-making balances immediate benefits and future development. For example, investment decision-making will consider long-term market layout and brand building.</w:t>
      </w:r>
    </w:p>
    <w:p w14:paraId="4BD18E66">
      <w:pPr>
        <w:rPr>
          <w:rFonts w:hint="default" w:ascii="Arial Regular" w:hAnsi="Arial Regular" w:cs="Arial Regular"/>
          <w:sz w:val="24"/>
          <w:szCs w:val="24"/>
          <w:lang w:val="en-US" w:eastAsia="zh-CN"/>
        </w:rPr>
      </w:pPr>
    </w:p>
    <w:p w14:paraId="1842CF3C">
      <w:pPr>
        <w:outlineLvl w:val="1"/>
        <w:rPr>
          <w:rFonts w:hint="default" w:ascii="Arial Regular" w:hAnsi="Arial Regular" w:cs="Arial Regular"/>
          <w:sz w:val="24"/>
          <w:szCs w:val="24"/>
          <w:lang w:val="en-US" w:eastAsia="zh-CN"/>
        </w:rPr>
      </w:pPr>
      <w:bookmarkStart w:id="13" w:name="_Toc735721368"/>
      <w:r>
        <w:rPr>
          <w:rFonts w:hint="default" w:ascii="Arial Regular" w:hAnsi="Arial Regular" w:cs="Arial Regular"/>
          <w:sz w:val="24"/>
          <w:szCs w:val="24"/>
          <w:lang w:val="en-US" w:eastAsia="zh-CN"/>
        </w:rPr>
        <w:t>3.3 The relationship between British and French business communication and high and low contexts</w:t>
      </w:r>
      <w:bookmarkEnd w:id="13"/>
    </w:p>
    <w:p w14:paraId="46240CF3">
      <w:pPr>
        <w:rPr>
          <w:rFonts w:hint="default" w:ascii="Arial Regular" w:hAnsi="Arial Regular" w:cs="Arial Regular"/>
          <w:sz w:val="24"/>
          <w:szCs w:val="24"/>
          <w:lang w:val="en-US" w:eastAsia="zh-CN"/>
        </w:rPr>
      </w:pPr>
    </w:p>
    <w:p w14:paraId="7F4FEE8A">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When communicating with high-contulture culture, a lot of information is conveyed through context, non-verbal signals, etc. Like French culture, it has certain high context characteristics. In business situations, the French pay great attention to the potential context of interpersonal relationships and social etiquette. For example, in a business banquet, the atmosphere of the dialogue, the expressions and actions of both sides, etc. are conveying information. The communication is more euphemistic. It does not cut into the business theme too directly, but establishes a good interactive relationship first.</w:t>
      </w:r>
    </w:p>
    <w:p w14:paraId="1A2758D6">
      <w:pPr>
        <w:rPr>
          <w:rFonts w:hint="default" w:ascii="Arial Regular" w:hAnsi="Arial Regular" w:cs="Arial Regular"/>
          <w:sz w:val="24"/>
          <w:szCs w:val="24"/>
          <w:lang w:val="en-US" w:eastAsia="zh-CN"/>
        </w:rPr>
      </w:pPr>
    </w:p>
    <w:p w14:paraId="014C32F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British culture is relatively more inclined to low context. British businessmen tend to use clear and direct language to convey information when communicating. In business communication, more attention will be paid to facts, data and other contents. The terms of the contract will be clearly listed, and the communication is more straightforward. For example, in business meetings, they will soon begin to discuss business details.</w:t>
      </w:r>
    </w:p>
    <w:p w14:paraId="4752647B">
      <w:pPr>
        <w:rPr>
          <w:rFonts w:hint="default" w:ascii="Arial Regular" w:hAnsi="Arial Regular" w:cs="Arial Regular"/>
          <w:sz w:val="24"/>
          <w:szCs w:val="24"/>
          <w:lang w:val="en-US" w:eastAsia="zh-CN"/>
        </w:rPr>
      </w:pPr>
    </w:p>
    <w:p w14:paraId="476FAA88">
      <w:pPr>
        <w:rPr>
          <w:rFonts w:hint="default" w:ascii="Arial Regular" w:hAnsi="Arial Regular" w:cs="Arial Regular"/>
          <w:sz w:val="24"/>
          <w:szCs w:val="24"/>
        </w:rPr>
      </w:pPr>
      <w:r>
        <w:rPr>
          <w:rFonts w:hint="default" w:ascii="Arial Regular" w:hAnsi="Arial Regular" w:cs="Arial Regular"/>
          <w:sz w:val="24"/>
          <w:szCs w:val="24"/>
          <w:lang w:val="en-US" w:eastAsia="zh-CN"/>
        </w:rPr>
        <w:t>In English-French business communication, this difference may cause some misunderstandings. The subtlety of the French may be considered inefficient enough by the British, while the direct of the British may make the French feel a little abrupt. Therefore, the two sides should understand the different preferences of each other's cultures for the context when communicating in business. The French side can appropriately make the expression more straightforward, and the British side also needs to understand and be patient with the social warm-up links of the French. Hall, E. T. (1976)</w:t>
      </w:r>
    </w:p>
    <w:p w14:paraId="6B216DA6">
      <w:pPr>
        <w:rPr>
          <w:rFonts w:hint="default" w:ascii="Arial Regular" w:hAnsi="Arial Regular" w:cs="Arial Regular"/>
          <w:sz w:val="24"/>
          <w:szCs w:val="24"/>
          <w:lang w:val="en-US" w:eastAsia="zh-CN"/>
        </w:rPr>
      </w:pPr>
    </w:p>
    <w:p w14:paraId="53371CCD">
      <w:pPr>
        <w:outlineLvl w:val="0"/>
        <w:rPr>
          <w:rFonts w:hint="default" w:ascii="Arial Regular" w:hAnsi="Arial Regular" w:cs="Arial Regular"/>
          <w:sz w:val="24"/>
          <w:szCs w:val="24"/>
          <w:lang w:val="en-US" w:eastAsia="zh-CN"/>
        </w:rPr>
      </w:pPr>
      <w:bookmarkStart w:id="14" w:name="_Toc58192550"/>
      <w:r>
        <w:rPr>
          <w:rFonts w:hint="default" w:ascii="Arial Regular" w:hAnsi="Arial Regular" w:cs="Arial Regular"/>
          <w:sz w:val="24"/>
          <w:szCs w:val="24"/>
          <w:lang w:val="en-US" w:eastAsia="zh-CN"/>
        </w:rPr>
        <w:t>4.0 Reasons and Effects of Communication Failure</w:t>
      </w:r>
      <w:bookmarkEnd w:id="14"/>
    </w:p>
    <w:p w14:paraId="388A277E">
      <w:pPr>
        <w:rPr>
          <w:rFonts w:hint="default" w:ascii="Arial Regular" w:hAnsi="Arial Regular" w:cs="Arial Regular"/>
          <w:sz w:val="24"/>
          <w:szCs w:val="24"/>
          <w:lang w:val="en-US" w:eastAsia="zh-CN"/>
        </w:rPr>
      </w:pPr>
    </w:p>
    <w:p w14:paraId="556301DE">
      <w:pPr>
        <w:outlineLvl w:val="1"/>
        <w:rPr>
          <w:rFonts w:hint="default" w:ascii="Arial Regular" w:hAnsi="Arial Regular" w:cs="Arial Regular"/>
          <w:sz w:val="24"/>
          <w:szCs w:val="24"/>
          <w:lang w:val="en-US" w:eastAsia="zh-CN"/>
        </w:rPr>
      </w:pPr>
      <w:bookmarkStart w:id="15" w:name="_Toc937128465"/>
      <w:r>
        <w:rPr>
          <w:rFonts w:hint="default" w:ascii="Arial Regular" w:hAnsi="Arial Regular" w:cs="Arial Regular"/>
          <w:sz w:val="24"/>
          <w:szCs w:val="24"/>
          <w:lang w:val="en-US" w:eastAsia="zh-CN"/>
        </w:rPr>
        <w:t>(I) Cultural misunderstanding</w:t>
      </w:r>
      <w:bookmarkEnd w:id="15"/>
    </w:p>
    <w:p w14:paraId="532B4A88">
      <w:pPr>
        <w:rPr>
          <w:rFonts w:hint="default" w:ascii="Arial Regular" w:hAnsi="Arial Regular" w:cs="Arial Regular"/>
          <w:sz w:val="24"/>
          <w:szCs w:val="24"/>
          <w:lang w:val="en-US" w:eastAsia="zh-CN"/>
        </w:rPr>
      </w:pPr>
    </w:p>
    <w:p w14:paraId="14A5848B">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Differences in values, ways of thinking and behavioral habits between the French and the British can easily lead to cultural misunderstandings if they are not fully understood and respected. For example, the emphasis on social etiquette of the French and the direct efficiency of the British may be misunderstood as hypocritical or indifferent by the other party, thus undermining the foundation of trust in business relationships.</w:t>
      </w:r>
    </w:p>
    <w:p w14:paraId="0059DAC0">
      <w:pPr>
        <w:rPr>
          <w:rFonts w:hint="default" w:ascii="Arial Regular" w:hAnsi="Arial Regular" w:cs="Arial Regular"/>
          <w:sz w:val="24"/>
          <w:szCs w:val="24"/>
          <w:lang w:val="en-US" w:eastAsia="zh-CN"/>
        </w:rPr>
      </w:pPr>
    </w:p>
    <w:p w14:paraId="6306F7F4">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(II) Conflict of communication style</w:t>
      </w:r>
    </w:p>
    <w:p w14:paraId="4740C2CD">
      <w:pPr>
        <w:rPr>
          <w:rFonts w:hint="default" w:ascii="Arial Regular" w:hAnsi="Arial Regular" w:cs="Arial Regular"/>
          <w:sz w:val="24"/>
          <w:szCs w:val="24"/>
          <w:lang w:val="en-US" w:eastAsia="zh-CN"/>
        </w:rPr>
      </w:pPr>
    </w:p>
    <w:p w14:paraId="1397A2C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The difference between France's high-contontion communication style and the low-contontion communication style in the United Kingdom in terms of information transmission may cause information loss or misunderstanding in communication between the two sides. The French may think that the British are too rude, while the British may think that the French are vague, which will lead to inefficient communication and even breakdown of negotiations.</w:t>
      </w:r>
    </w:p>
    <w:p w14:paraId="31DC2996">
      <w:pPr>
        <w:rPr>
          <w:rFonts w:hint="default" w:ascii="Arial Regular" w:hAnsi="Arial Regular" w:cs="Arial Regular"/>
          <w:sz w:val="24"/>
          <w:szCs w:val="24"/>
          <w:lang w:val="en-US" w:eastAsia="zh-CN"/>
        </w:rPr>
      </w:pPr>
    </w:p>
    <w:p w14:paraId="7D2B09DD">
      <w:pPr>
        <w:outlineLvl w:val="1"/>
        <w:rPr>
          <w:rFonts w:hint="default" w:ascii="Arial Regular" w:hAnsi="Arial Regular" w:cs="Arial Regular"/>
          <w:sz w:val="24"/>
          <w:szCs w:val="24"/>
          <w:lang w:val="en-US" w:eastAsia="zh-CN"/>
        </w:rPr>
      </w:pPr>
      <w:bookmarkStart w:id="16" w:name="_Toc673044157"/>
      <w:r>
        <w:rPr>
          <w:rFonts w:hint="default" w:ascii="Arial Regular" w:hAnsi="Arial Regular" w:cs="Arial Regular"/>
          <w:sz w:val="24"/>
          <w:szCs w:val="24"/>
          <w:lang w:val="en-US" w:eastAsia="zh-CN"/>
        </w:rPr>
        <w:t>(3) Language barrier</w:t>
      </w:r>
      <w:bookmarkEnd w:id="16"/>
    </w:p>
    <w:p w14:paraId="526AF34A">
      <w:pPr>
        <w:rPr>
          <w:rFonts w:hint="default" w:ascii="Arial Regular" w:hAnsi="Arial Regular" w:cs="Arial Regular"/>
          <w:sz w:val="24"/>
          <w:szCs w:val="24"/>
          <w:lang w:val="en-US" w:eastAsia="zh-CN"/>
        </w:rPr>
      </w:pPr>
    </w:p>
    <w:p w14:paraId="231EFED8">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Although English is the common language of international business, the English accents of the French and the usage of some specific words may differ from those of the British, which to some extent affects the accuracy and fluency of communication, especially when it comes to technical terms and complex concepts.</w:t>
      </w:r>
    </w:p>
    <w:p w14:paraId="670BFD3D">
      <w:pPr>
        <w:rPr>
          <w:rFonts w:hint="default" w:ascii="Arial Regular" w:hAnsi="Arial Regular" w:cs="Arial Regular"/>
          <w:sz w:val="24"/>
          <w:szCs w:val="24"/>
          <w:lang w:val="en-US" w:eastAsia="zh-CN"/>
        </w:rPr>
      </w:pPr>
    </w:p>
    <w:p w14:paraId="7F27FF9F">
      <w:pPr>
        <w:outlineLvl w:val="0"/>
        <w:rPr>
          <w:rFonts w:hint="default" w:ascii="Arial Regular" w:hAnsi="Arial Regular" w:cs="Arial Regular"/>
          <w:sz w:val="24"/>
          <w:szCs w:val="24"/>
          <w:lang w:val="en-US" w:eastAsia="zh-CN"/>
        </w:rPr>
      </w:pPr>
      <w:bookmarkStart w:id="17" w:name="_Toc1056777950"/>
      <w:r>
        <w:rPr>
          <w:rFonts w:hint="default" w:ascii="Arial Regular" w:hAnsi="Arial Regular" w:cs="Arial Regular"/>
          <w:sz w:val="24"/>
          <w:szCs w:val="24"/>
          <w:lang w:val="en-US" w:eastAsia="zh-CN"/>
        </w:rPr>
        <w:t>5.0 Strategies to overcome communication failures</w:t>
      </w:r>
      <w:bookmarkEnd w:id="17"/>
    </w:p>
    <w:p w14:paraId="1AD48177">
      <w:pPr>
        <w:rPr>
          <w:rFonts w:hint="default" w:ascii="Arial Regular" w:hAnsi="Arial Regular" w:cs="Arial Regular"/>
          <w:sz w:val="24"/>
          <w:szCs w:val="24"/>
          <w:lang w:val="en-US" w:eastAsia="zh-CN"/>
        </w:rPr>
      </w:pPr>
    </w:p>
    <w:p w14:paraId="6576F2BE">
      <w:pPr>
        <w:outlineLvl w:val="2"/>
        <w:rPr>
          <w:rFonts w:hint="default" w:ascii="Arial Regular" w:hAnsi="Arial Regular" w:cs="Arial Regular"/>
          <w:sz w:val="24"/>
          <w:szCs w:val="24"/>
          <w:lang w:val="en-US" w:eastAsia="zh-CN"/>
        </w:rPr>
      </w:pPr>
      <w:bookmarkStart w:id="18" w:name="_Toc1577244960"/>
      <w:r>
        <w:rPr>
          <w:rFonts w:hint="default" w:ascii="Arial Regular" w:hAnsi="Arial Regular" w:cs="Arial Regular"/>
          <w:sz w:val="24"/>
          <w:szCs w:val="24"/>
          <w:lang w:val="en-US" w:eastAsia="zh-CN"/>
        </w:rPr>
        <w:t>(I) Cross-cultural training</w:t>
      </w:r>
      <w:bookmarkEnd w:id="18"/>
    </w:p>
    <w:p w14:paraId="65415B47">
      <w:pPr>
        <w:rPr>
          <w:rFonts w:hint="default" w:ascii="Arial Regular" w:hAnsi="Arial Regular" w:cs="Arial Regular"/>
          <w:sz w:val="24"/>
          <w:szCs w:val="24"/>
          <w:lang w:val="en-US" w:eastAsia="zh-CN"/>
        </w:rPr>
      </w:pPr>
    </w:p>
    <w:p w14:paraId="667B8614">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Provide cross-cultural training for those who participate in French and English business communication, deeply explain the differences in cultural customs, values, communication styles and other aspects of the two countries, and improve the cross-cultural awareness and communication skills of employees. Through case analysis, simulated negotiation, etc., let employees learn how to deal with cultural conflicts and communication barriers in practice.</w:t>
      </w:r>
    </w:p>
    <w:p w14:paraId="154D29BA">
      <w:pPr>
        <w:rPr>
          <w:rFonts w:hint="default" w:ascii="Arial Regular" w:hAnsi="Arial Regular" w:cs="Arial Regular"/>
          <w:sz w:val="24"/>
          <w:szCs w:val="24"/>
          <w:lang w:val="en-US" w:eastAsia="zh-CN"/>
        </w:rPr>
      </w:pPr>
    </w:p>
    <w:p w14:paraId="3ADBC51E">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(II) Establish a clear communication mechanism</w:t>
      </w:r>
    </w:p>
    <w:p w14:paraId="5DEDDF0F">
      <w:pPr>
        <w:rPr>
          <w:rFonts w:hint="default" w:ascii="Arial Regular" w:hAnsi="Arial Regular" w:cs="Arial Regular"/>
          <w:sz w:val="24"/>
          <w:szCs w:val="24"/>
          <w:lang w:val="en-US" w:eastAsia="zh-CN"/>
        </w:rPr>
      </w:pPr>
    </w:p>
    <w:p w14:paraId="118CB9CA">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In business cooperation, formulate clear communication rules and processes, including the organization of meetings, information transmission channels, feedback mechanisms, etc. For example, before business negotiations, the two sides can fully communicate on the agenda, schedule and key issues of the negotiation to ensure that the two parties are on the same channel.</w:t>
      </w:r>
    </w:p>
    <w:p w14:paraId="70784969">
      <w:pPr>
        <w:rPr>
          <w:rFonts w:hint="default" w:ascii="Arial Regular" w:hAnsi="Arial Regular" w:cs="Arial Regular"/>
          <w:sz w:val="24"/>
          <w:szCs w:val="24"/>
          <w:lang w:val="en-US" w:eastAsia="zh-CN"/>
        </w:rPr>
      </w:pPr>
    </w:p>
    <w:p w14:paraId="73FE6D62">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(III) Language improvement and translation support</w:t>
      </w:r>
    </w:p>
    <w:p w14:paraId="4196F34A">
      <w:pPr>
        <w:rPr>
          <w:rFonts w:hint="default" w:ascii="Arial Regular" w:hAnsi="Arial Regular" w:cs="Arial Regular"/>
          <w:sz w:val="24"/>
          <w:szCs w:val="24"/>
          <w:lang w:val="en-US" w:eastAsia="zh-CN"/>
        </w:rPr>
      </w:pPr>
    </w:p>
    <w:p w14:paraId="47C78BCE">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Encourage employees to improve their English, especially their ability to apply business English. At the same time, in important business meetings and document processing, professional translators can be equipped to ensure the accurate communication of information and avoid misunderstandings caused by language problems.</w:t>
      </w:r>
    </w:p>
    <w:p w14:paraId="605B3062">
      <w:pPr>
        <w:rPr>
          <w:rFonts w:hint="default" w:ascii="Arial Regular" w:hAnsi="Arial Regular" w:cs="Arial Regular"/>
          <w:sz w:val="24"/>
          <w:szCs w:val="24"/>
          <w:lang w:val="en-US" w:eastAsia="zh-CN"/>
        </w:rPr>
      </w:pPr>
    </w:p>
    <w:p w14:paraId="0E78832E">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(IV) Respect and tolerate cultural differences</w:t>
      </w:r>
    </w:p>
    <w:p w14:paraId="4EFB774A">
      <w:pPr>
        <w:rPr>
          <w:rFonts w:hint="default" w:ascii="Arial Regular" w:hAnsi="Arial Regular" w:cs="Arial Regular"/>
          <w:sz w:val="24"/>
          <w:szCs w:val="24"/>
          <w:lang w:val="en-US" w:eastAsia="zh-CN"/>
        </w:rPr>
      </w:pPr>
    </w:p>
    <w:p w14:paraId="0F272534">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In communication, both parties should uphold a respectful and tolerant attitude, understand each other's cultural background and communication methods, and avoid judging each other by their own cultural standards. For example, the British can appropriately increase some social communication to adapt to the communication habits of the French; the French can also pay more attention to the conciseness of information to meet the efficiency requirements of the British.</w:t>
      </w:r>
    </w:p>
    <w:p w14:paraId="0D8FECFD">
      <w:pPr>
        <w:rPr>
          <w:rFonts w:hint="default" w:ascii="Arial Regular" w:hAnsi="Arial Regular" w:cs="Arial Regular"/>
          <w:sz w:val="24"/>
          <w:szCs w:val="24"/>
          <w:lang w:val="en-US" w:eastAsia="zh-CN"/>
        </w:rPr>
      </w:pPr>
    </w:p>
    <w:p w14:paraId="00717BED">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(5) In-depth cultural study and exchange activities</w:t>
      </w:r>
    </w:p>
    <w:p w14:paraId="6E9106C2">
      <w:pPr>
        <w:rPr>
          <w:rFonts w:hint="default" w:ascii="Arial Regular" w:hAnsi="Arial Regular" w:cs="Arial Regular"/>
          <w:sz w:val="24"/>
          <w:szCs w:val="24"/>
          <w:lang w:val="en-US" w:eastAsia="zh-CN"/>
        </w:rPr>
      </w:pPr>
    </w:p>
    <w:p w14:paraId="3E843195">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Enterprises should encourage employees to study English and French culture in depth, not only to understand the cultural dimensions explained by theories such as Hofstede and Trompenaar, but also to explore their specific manifestations in daily life and business traditions, such as the potential impact of French artistic aesthetics and social etiquette on business communication. Sound, and the behavior of British gentleman culture in business negotiations, etc. Regularly organize cultural exchange activities between British and French employees, which can include online cultural sharing meetings, offline visits, etc., to enhance each other's understanding of cultural roots and lay the foundation for smooth communication.</w:t>
      </w:r>
    </w:p>
    <w:p w14:paraId="17A7C791">
      <w:pPr>
        <w:rPr>
          <w:rFonts w:hint="default" w:ascii="Arial Regular" w:hAnsi="Arial Regular" w:cs="Arial Regular"/>
          <w:sz w:val="24"/>
          <w:szCs w:val="24"/>
          <w:lang w:val="en-US" w:eastAsia="zh-CN"/>
        </w:rPr>
      </w:pPr>
    </w:p>
    <w:p w14:paraId="75AE4EF0">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(VI) Optimize communication processes and channels</w:t>
      </w:r>
    </w:p>
    <w:p w14:paraId="025FFB2B">
      <w:pPr>
        <w:rPr>
          <w:rFonts w:hint="default" w:ascii="Arial Regular" w:hAnsi="Arial Regular" w:cs="Arial Regular"/>
          <w:sz w:val="24"/>
          <w:szCs w:val="24"/>
          <w:lang w:val="en-US" w:eastAsia="zh-CN"/>
        </w:rPr>
      </w:pPr>
    </w:p>
    <w:p w14:paraId="10C0C66C">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Establish a standardized and flexible communication process, and clearly stipulate the communication methods, participants and information transmission paths in different business links, such as project negotiation, contract signing, execution supervision and other stages. At the same time, make full use of modern communication technology and integrate a variety of communication channels, such as establishing a special cross-cultural communication platform for real-time communication, with real-time translation, cultural prompts and other functions; for important documents and information, a combination of written reports and visual charts is adopted to adapt to the different information between Britain and France. Get used to improve the efficiency and accuracy of communication.</w:t>
      </w:r>
    </w:p>
    <w:p w14:paraId="32140951">
      <w:pPr>
        <w:rPr>
          <w:rFonts w:hint="default" w:ascii="Arial Regular" w:hAnsi="Arial Regular" w:cs="Arial Regular"/>
          <w:sz w:val="24"/>
          <w:szCs w:val="24"/>
          <w:lang w:val="en-US" w:eastAsia="zh-CN"/>
        </w:rPr>
      </w:pPr>
    </w:p>
    <w:p w14:paraId="3FE36B8C">
      <w:pPr>
        <w:outlineLvl w:val="1"/>
        <w:rPr>
          <w:rFonts w:hint="default" w:ascii="Arial Regular" w:hAnsi="Arial Regular" w:cs="Arial Regular"/>
          <w:sz w:val="24"/>
          <w:szCs w:val="24"/>
          <w:lang w:val="en-US" w:eastAsia="zh-CN"/>
        </w:rPr>
      </w:pPr>
      <w:bookmarkStart w:id="19" w:name="_Toc217904152"/>
      <w:r>
        <w:rPr>
          <w:rFonts w:hint="default" w:ascii="Arial Regular" w:hAnsi="Arial Regular" w:cs="Arial Regular"/>
          <w:sz w:val="24"/>
          <w:szCs w:val="24"/>
          <w:lang w:val="en-US" w:eastAsia="zh-CN"/>
        </w:rPr>
        <w:t>(7) Cultivate empathy and tolerance</w:t>
      </w:r>
      <w:bookmarkEnd w:id="19"/>
    </w:p>
    <w:p w14:paraId="716880B0">
      <w:pPr>
        <w:rPr>
          <w:rFonts w:hint="default" w:ascii="Arial Regular" w:hAnsi="Arial Regular" w:cs="Arial Regular"/>
          <w:sz w:val="24"/>
          <w:szCs w:val="24"/>
          <w:lang w:val="en-US" w:eastAsia="zh-CN"/>
        </w:rPr>
      </w:pPr>
    </w:p>
    <w:p w14:paraId="5A4892A3">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It is advocated to cultivate employees' empathy and inclusive mentality within the enterprise, so that employees can understand their communication methods and business behaviors from the perspective of each other's culture. Through case analysis, role-playing and other ways, guide employees to realize that cultural differences are not the difference between superiority and inferiority, but the embodiment of diversity. When there is a difficult communication or misunderstanding, encourage employees to listen, ask and explain in a tolerant manner, avoid conflicts caused by cultural prejudice, create a positive and friendly communication atmosphere, and promote business cooperation on the basis of mutual respect and understanding.</w:t>
      </w:r>
    </w:p>
    <w:p w14:paraId="28D8AC9D">
      <w:pPr>
        <w:rPr>
          <w:rFonts w:hint="default" w:ascii="Arial Regular" w:hAnsi="Arial Regular" w:cs="Arial Regular"/>
          <w:sz w:val="24"/>
          <w:szCs w:val="24"/>
          <w:lang w:val="en-US" w:eastAsia="zh-CN"/>
        </w:rPr>
      </w:pPr>
    </w:p>
    <w:p w14:paraId="705B7D40">
      <w:pPr>
        <w:outlineLvl w:val="0"/>
        <w:rPr>
          <w:rFonts w:hint="default" w:ascii="Arial Regular" w:hAnsi="Arial Regular" w:cs="Arial Regular"/>
          <w:sz w:val="24"/>
          <w:szCs w:val="24"/>
          <w:lang w:val="en-US" w:eastAsia="zh-CN"/>
        </w:rPr>
      </w:pPr>
      <w:bookmarkStart w:id="20" w:name="_Toc855464529"/>
      <w:r>
        <w:rPr>
          <w:rFonts w:hint="default" w:ascii="Arial Regular" w:hAnsi="Arial Regular" w:cs="Arial Regular"/>
          <w:sz w:val="24"/>
          <w:szCs w:val="24"/>
          <w:lang w:val="en-US" w:eastAsia="zh-CN"/>
        </w:rPr>
        <w:t>6.0 Conclusions and Suggestions</w:t>
      </w:r>
      <w:bookmarkEnd w:id="20"/>
    </w:p>
    <w:p w14:paraId="056F5DDE">
      <w:pPr>
        <w:rPr>
          <w:rFonts w:hint="default" w:ascii="Arial Regular" w:hAnsi="Arial Regular" w:cs="Arial Regular"/>
          <w:sz w:val="24"/>
          <w:szCs w:val="24"/>
          <w:lang w:val="en-US" w:eastAsia="zh-CN"/>
        </w:rPr>
      </w:pPr>
    </w:p>
    <w:p w14:paraId="6F8E0A12">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Business communication between France and Britain faces many challenges, but by deeply understanding each other's business environment, cultural differences and communication styles, and adopting effective strategies to overcome communication failures, enterprises in the two countries can achieve smoother and more successful business cooperation. It is recommended that when carrying out international business, enterprises should integrate cross-cultural communication into the strategic planning of enterprises, continue to invest resources in cross-cultural training and capacity improvement of employees, and establish a good communication mechanism and a culturally inclusive enterprise atmosphere to promote the sustainable development of international business cooperation.</w:t>
      </w:r>
    </w:p>
    <w:p w14:paraId="6CC170D5">
      <w:pPr>
        <w:rPr>
          <w:rFonts w:hint="default" w:ascii="Arial Regular" w:hAnsi="Arial Regular" w:cs="Arial Regular"/>
          <w:sz w:val="24"/>
          <w:szCs w:val="24"/>
          <w:lang w:val="en-US" w:eastAsia="zh-CN"/>
        </w:rPr>
      </w:pPr>
    </w:p>
    <w:p w14:paraId="2ACA01E3">
      <w:pPr>
        <w:bidi w:val="0"/>
        <w:rPr>
          <w:rFonts w:hint="default" w:ascii="Arial Regular" w:hAnsi="Arial Regular" w:cs="Arial Regular" w:eastAsiaTheme="minorEastAsia"/>
          <w:kern w:val="2"/>
          <w:sz w:val="24"/>
          <w:szCs w:val="24"/>
          <w:lang w:val="en-US" w:eastAsia="zh-CN" w:bidi="ar-SA"/>
        </w:rPr>
      </w:pPr>
    </w:p>
    <w:p w14:paraId="33997F5D">
      <w:pPr>
        <w:bidi w:val="0"/>
        <w:rPr>
          <w:rFonts w:hint="default" w:ascii="Arial Regular" w:hAnsi="Arial Regular" w:cs="Arial Regular"/>
          <w:sz w:val="24"/>
          <w:szCs w:val="24"/>
          <w:lang w:val="en-US" w:eastAsia="zh-CN"/>
        </w:rPr>
      </w:pPr>
    </w:p>
    <w:p w14:paraId="758525F4">
      <w:pPr>
        <w:bidi w:val="0"/>
        <w:rPr>
          <w:rFonts w:hint="default" w:ascii="Arial Regular" w:hAnsi="Arial Regular" w:cs="Arial Regular"/>
          <w:sz w:val="24"/>
          <w:szCs w:val="24"/>
          <w:lang w:val="en-US" w:eastAsia="zh-CN"/>
        </w:rPr>
      </w:pPr>
    </w:p>
    <w:p w14:paraId="730FE403">
      <w:pPr>
        <w:bidi w:val="0"/>
        <w:rPr>
          <w:rFonts w:hint="default" w:ascii="Arial Regular" w:hAnsi="Arial Regular" w:cs="Arial Regular"/>
          <w:sz w:val="24"/>
          <w:szCs w:val="24"/>
          <w:lang w:val="en-US" w:eastAsia="zh-CN"/>
        </w:rPr>
      </w:pPr>
    </w:p>
    <w:p w14:paraId="3512E21D">
      <w:pPr>
        <w:bidi w:val="0"/>
        <w:rPr>
          <w:rFonts w:hint="default" w:ascii="Arial Regular" w:hAnsi="Arial Regular" w:cs="Arial Regular"/>
          <w:sz w:val="24"/>
          <w:szCs w:val="24"/>
          <w:lang w:val="en-US" w:eastAsia="zh-CN"/>
        </w:rPr>
      </w:pPr>
    </w:p>
    <w:p w14:paraId="272E6121">
      <w:pPr>
        <w:bidi w:val="0"/>
        <w:rPr>
          <w:rFonts w:hint="default" w:ascii="Arial Regular" w:hAnsi="Arial Regular" w:cs="Arial Regular"/>
          <w:sz w:val="24"/>
          <w:szCs w:val="24"/>
          <w:lang w:val="en-US" w:eastAsia="zh-CN"/>
        </w:rPr>
      </w:pPr>
    </w:p>
    <w:p w14:paraId="05ADD860">
      <w:pPr>
        <w:bidi w:val="0"/>
        <w:rPr>
          <w:rFonts w:hint="default" w:ascii="Arial Regular" w:hAnsi="Arial Regular" w:cs="Arial Regular"/>
          <w:sz w:val="24"/>
          <w:szCs w:val="24"/>
          <w:lang w:val="en-US" w:eastAsia="zh-CN"/>
        </w:rPr>
      </w:pPr>
    </w:p>
    <w:p w14:paraId="056DE287">
      <w:pPr>
        <w:bidi w:val="0"/>
        <w:rPr>
          <w:rFonts w:hint="default" w:ascii="Arial Regular" w:hAnsi="Arial Regular" w:cs="Arial Regular"/>
          <w:sz w:val="24"/>
          <w:szCs w:val="24"/>
          <w:lang w:val="en-US" w:eastAsia="zh-CN"/>
        </w:rPr>
      </w:pPr>
    </w:p>
    <w:p w14:paraId="5AB10E3F">
      <w:pPr>
        <w:bidi w:val="0"/>
        <w:rPr>
          <w:rFonts w:hint="default" w:ascii="Arial Regular" w:hAnsi="Arial Regular" w:cs="Arial Regular"/>
          <w:sz w:val="24"/>
          <w:szCs w:val="24"/>
          <w:lang w:val="en-US" w:eastAsia="zh-CN"/>
        </w:rPr>
      </w:pPr>
    </w:p>
    <w:p w14:paraId="5D4E33B6">
      <w:pPr>
        <w:bidi w:val="0"/>
        <w:rPr>
          <w:rFonts w:hint="default" w:ascii="Arial Regular" w:hAnsi="Arial Regular" w:cs="Arial Regular"/>
          <w:sz w:val="24"/>
          <w:szCs w:val="24"/>
          <w:lang w:val="en-US" w:eastAsia="zh-CN"/>
        </w:rPr>
      </w:pPr>
    </w:p>
    <w:p w14:paraId="3C4595A4">
      <w:pPr>
        <w:bidi w:val="0"/>
        <w:rPr>
          <w:rFonts w:hint="default" w:ascii="Arial Regular" w:hAnsi="Arial Regular" w:cs="Arial Regular"/>
          <w:sz w:val="24"/>
          <w:szCs w:val="24"/>
          <w:lang w:val="en-US" w:eastAsia="zh-CN"/>
        </w:rPr>
      </w:pPr>
    </w:p>
    <w:p w14:paraId="0FA098A9">
      <w:pPr>
        <w:bidi w:val="0"/>
        <w:rPr>
          <w:rFonts w:hint="default" w:ascii="Arial Regular" w:hAnsi="Arial Regular" w:cs="Arial Regular"/>
          <w:sz w:val="24"/>
          <w:szCs w:val="24"/>
          <w:lang w:val="en-US" w:eastAsia="zh-CN"/>
        </w:rPr>
      </w:pPr>
    </w:p>
    <w:p w14:paraId="6F63A277">
      <w:pPr>
        <w:bidi w:val="0"/>
        <w:rPr>
          <w:rFonts w:hint="default" w:ascii="Arial Regular" w:hAnsi="Arial Regular" w:cs="Arial Regular"/>
          <w:sz w:val="24"/>
          <w:szCs w:val="24"/>
          <w:lang w:val="en-US" w:eastAsia="zh-CN"/>
        </w:rPr>
      </w:pPr>
    </w:p>
    <w:p w14:paraId="4E7FE9D0">
      <w:pPr>
        <w:bidi w:val="0"/>
        <w:rPr>
          <w:rFonts w:hint="default" w:ascii="Arial Regular" w:hAnsi="Arial Regular" w:cs="Arial Regular"/>
          <w:sz w:val="24"/>
          <w:szCs w:val="24"/>
          <w:lang w:val="en-US" w:eastAsia="zh-CN"/>
        </w:rPr>
      </w:pPr>
    </w:p>
    <w:p w14:paraId="64D2FBDF">
      <w:pPr>
        <w:bidi w:val="0"/>
        <w:rPr>
          <w:rFonts w:hint="default" w:ascii="Arial Regular" w:hAnsi="Arial Regular" w:cs="Arial Regular"/>
          <w:sz w:val="24"/>
          <w:szCs w:val="24"/>
          <w:lang w:val="en-US" w:eastAsia="zh-CN"/>
        </w:rPr>
      </w:pPr>
    </w:p>
    <w:p w14:paraId="52495A03">
      <w:pPr>
        <w:bidi w:val="0"/>
        <w:rPr>
          <w:rFonts w:hint="default" w:ascii="Arial Regular" w:hAnsi="Arial Regular" w:cs="Arial Regular"/>
          <w:sz w:val="24"/>
          <w:szCs w:val="24"/>
          <w:lang w:val="en-US" w:eastAsia="zh-CN"/>
        </w:rPr>
      </w:pPr>
    </w:p>
    <w:p w14:paraId="0FA2F3C7">
      <w:pPr>
        <w:bidi w:val="0"/>
        <w:rPr>
          <w:rFonts w:hint="default" w:ascii="Arial Regular" w:hAnsi="Arial Regular" w:cs="Arial Regular"/>
          <w:sz w:val="24"/>
          <w:szCs w:val="24"/>
          <w:lang w:val="en-US" w:eastAsia="zh-CN"/>
        </w:rPr>
      </w:pPr>
    </w:p>
    <w:p w14:paraId="444E36EA">
      <w:pPr>
        <w:bidi w:val="0"/>
        <w:rPr>
          <w:rFonts w:hint="default" w:ascii="Arial Regular" w:hAnsi="Arial Regular" w:cs="Arial Regular"/>
          <w:sz w:val="24"/>
          <w:szCs w:val="24"/>
          <w:lang w:val="en-US" w:eastAsia="zh-CN"/>
        </w:rPr>
      </w:pPr>
    </w:p>
    <w:p w14:paraId="077520B8">
      <w:pPr>
        <w:bidi w:val="0"/>
        <w:rPr>
          <w:rFonts w:hint="default" w:ascii="Arial Regular" w:hAnsi="Arial Regular" w:cs="Arial Regular"/>
          <w:sz w:val="24"/>
          <w:szCs w:val="24"/>
          <w:lang w:val="en-US" w:eastAsia="zh-CN"/>
        </w:rPr>
      </w:pPr>
    </w:p>
    <w:p w14:paraId="6A143C3A">
      <w:pPr>
        <w:bidi w:val="0"/>
        <w:rPr>
          <w:rFonts w:hint="default" w:ascii="Arial Regular" w:hAnsi="Arial Regular" w:cs="Arial Regular"/>
          <w:sz w:val="24"/>
          <w:szCs w:val="24"/>
          <w:lang w:val="en-US" w:eastAsia="zh-CN"/>
        </w:rPr>
      </w:pPr>
    </w:p>
    <w:p w14:paraId="7B2417F1">
      <w:pPr>
        <w:bidi w:val="0"/>
        <w:rPr>
          <w:rFonts w:hint="default" w:ascii="Arial Regular" w:hAnsi="Arial Regular" w:cs="Arial Regular"/>
          <w:sz w:val="24"/>
          <w:szCs w:val="24"/>
          <w:lang w:val="en-US" w:eastAsia="zh-CN"/>
        </w:rPr>
      </w:pPr>
    </w:p>
    <w:p w14:paraId="482A1922">
      <w:pPr>
        <w:bidi w:val="0"/>
        <w:rPr>
          <w:rFonts w:hint="default" w:ascii="Arial Regular" w:hAnsi="Arial Regular" w:cs="Arial Regular"/>
          <w:sz w:val="24"/>
          <w:szCs w:val="24"/>
          <w:lang w:val="en-US" w:eastAsia="zh-CN"/>
        </w:rPr>
      </w:pPr>
    </w:p>
    <w:p w14:paraId="33AB61EF">
      <w:pPr>
        <w:bidi w:val="0"/>
        <w:rPr>
          <w:rFonts w:hint="default" w:ascii="Arial Regular" w:hAnsi="Arial Regular" w:cs="Arial Regular"/>
          <w:sz w:val="24"/>
          <w:szCs w:val="24"/>
          <w:lang w:val="en-US" w:eastAsia="zh-CN"/>
        </w:rPr>
      </w:pPr>
    </w:p>
    <w:p w14:paraId="1D3C4A4D">
      <w:pPr>
        <w:bidi w:val="0"/>
        <w:rPr>
          <w:rFonts w:hint="default" w:ascii="Arial Regular" w:hAnsi="Arial Regular" w:cs="Arial Regular"/>
          <w:sz w:val="24"/>
          <w:szCs w:val="24"/>
          <w:lang w:val="en-US" w:eastAsia="zh-CN"/>
        </w:rPr>
      </w:pPr>
    </w:p>
    <w:p w14:paraId="3A96540D">
      <w:pPr>
        <w:bidi w:val="0"/>
        <w:rPr>
          <w:rFonts w:hint="default" w:ascii="Arial Regular" w:hAnsi="Arial Regular" w:cs="Arial Regular"/>
          <w:sz w:val="24"/>
          <w:szCs w:val="24"/>
          <w:lang w:val="en-US" w:eastAsia="zh-CN"/>
        </w:rPr>
      </w:pPr>
    </w:p>
    <w:p w14:paraId="1B8E8E1C">
      <w:pPr>
        <w:bidi w:val="0"/>
        <w:outlineLvl w:val="9"/>
        <w:rPr>
          <w:rFonts w:hint="default" w:ascii="Arial Regular" w:hAnsi="Arial Regular" w:cs="Arial Regular"/>
          <w:sz w:val="24"/>
          <w:szCs w:val="24"/>
          <w:lang w:val="en-US" w:eastAsia="zh-CN"/>
        </w:rPr>
      </w:pPr>
    </w:p>
    <w:p w14:paraId="19A174C1">
      <w:pPr>
        <w:bidi w:val="0"/>
        <w:outlineLvl w:val="9"/>
        <w:rPr>
          <w:rFonts w:hint="default" w:ascii="Arial Regular" w:hAnsi="Arial Regular" w:cs="Arial Regular"/>
          <w:sz w:val="24"/>
          <w:szCs w:val="24"/>
          <w:lang w:val="en-US" w:eastAsia="zh-CN"/>
        </w:rPr>
      </w:pPr>
    </w:p>
    <w:p w14:paraId="786D717B">
      <w:pPr>
        <w:bidi w:val="0"/>
        <w:outlineLvl w:val="9"/>
        <w:rPr>
          <w:rFonts w:hint="default" w:ascii="Arial Regular" w:hAnsi="Arial Regular" w:cs="Arial Regular"/>
          <w:sz w:val="24"/>
          <w:szCs w:val="24"/>
          <w:lang w:val="en-US" w:eastAsia="zh-CN"/>
        </w:rPr>
      </w:pPr>
    </w:p>
    <w:p w14:paraId="71987267">
      <w:pPr>
        <w:bidi w:val="0"/>
        <w:outlineLvl w:val="9"/>
        <w:rPr>
          <w:rFonts w:hint="default" w:ascii="Arial Regular" w:hAnsi="Arial Regular" w:cs="Arial Regular"/>
          <w:sz w:val="24"/>
          <w:szCs w:val="24"/>
          <w:lang w:val="en-US" w:eastAsia="zh-CN"/>
        </w:rPr>
      </w:pPr>
    </w:p>
    <w:p w14:paraId="4C505541">
      <w:pPr>
        <w:bidi w:val="0"/>
        <w:outlineLvl w:val="9"/>
        <w:rPr>
          <w:rFonts w:hint="default" w:ascii="Arial Regular" w:hAnsi="Arial Regular" w:cs="Arial Regular"/>
          <w:sz w:val="24"/>
          <w:szCs w:val="24"/>
          <w:lang w:val="en-US" w:eastAsia="zh-CN"/>
        </w:rPr>
      </w:pPr>
    </w:p>
    <w:p w14:paraId="0D079BCB">
      <w:pPr>
        <w:bidi w:val="0"/>
        <w:outlineLvl w:val="9"/>
        <w:rPr>
          <w:rFonts w:hint="default" w:ascii="Arial Regular" w:hAnsi="Arial Regular" w:cs="Arial Regular"/>
          <w:sz w:val="24"/>
          <w:szCs w:val="24"/>
          <w:lang w:val="en-US" w:eastAsia="zh-CN"/>
        </w:rPr>
      </w:pPr>
    </w:p>
    <w:p w14:paraId="287EE7CF">
      <w:pPr>
        <w:bidi w:val="0"/>
        <w:outlineLvl w:val="9"/>
        <w:rPr>
          <w:rFonts w:hint="default" w:ascii="Arial Regular" w:hAnsi="Arial Regular" w:cs="Arial Regular"/>
          <w:sz w:val="24"/>
          <w:szCs w:val="24"/>
          <w:lang w:val="en-US" w:eastAsia="zh-CN"/>
        </w:rPr>
      </w:pPr>
    </w:p>
    <w:p w14:paraId="5C8B4A9E">
      <w:pPr>
        <w:bidi w:val="0"/>
        <w:outlineLvl w:val="9"/>
        <w:rPr>
          <w:rFonts w:hint="default" w:ascii="Arial Regular" w:hAnsi="Arial Regular" w:cs="Arial Regular"/>
          <w:sz w:val="24"/>
          <w:szCs w:val="24"/>
          <w:lang w:val="en-US" w:eastAsia="zh-CN"/>
        </w:rPr>
      </w:pPr>
    </w:p>
    <w:p w14:paraId="66B732BB">
      <w:pPr>
        <w:bidi w:val="0"/>
        <w:outlineLvl w:val="9"/>
        <w:rPr>
          <w:rFonts w:hint="default" w:ascii="Arial Regular" w:hAnsi="Arial Regular" w:cs="Arial Regular"/>
          <w:sz w:val="24"/>
          <w:szCs w:val="24"/>
          <w:lang w:val="en-US" w:eastAsia="zh-CN"/>
        </w:rPr>
      </w:pPr>
    </w:p>
    <w:p w14:paraId="4A4BD671">
      <w:pPr>
        <w:bidi w:val="0"/>
        <w:outlineLvl w:val="9"/>
        <w:rPr>
          <w:rFonts w:hint="default" w:ascii="Arial Regular" w:hAnsi="Arial Regular" w:cs="Arial Regular"/>
          <w:sz w:val="24"/>
          <w:szCs w:val="24"/>
          <w:lang w:val="en-US" w:eastAsia="zh-CN"/>
        </w:rPr>
      </w:pPr>
    </w:p>
    <w:p w14:paraId="6B54668C">
      <w:pPr>
        <w:bidi w:val="0"/>
        <w:outlineLvl w:val="9"/>
        <w:rPr>
          <w:rFonts w:hint="default" w:ascii="Arial Regular" w:hAnsi="Arial Regular" w:cs="Arial Regular"/>
          <w:sz w:val="24"/>
          <w:szCs w:val="24"/>
          <w:lang w:val="en-US" w:eastAsia="zh-CN"/>
        </w:rPr>
      </w:pPr>
    </w:p>
    <w:p w14:paraId="4E0F81E3">
      <w:pPr>
        <w:bidi w:val="0"/>
        <w:outlineLvl w:val="9"/>
        <w:rPr>
          <w:rFonts w:hint="default" w:ascii="Arial Regular" w:hAnsi="Arial Regular" w:cs="Arial Regular"/>
          <w:sz w:val="24"/>
          <w:szCs w:val="24"/>
          <w:lang w:val="en-US" w:eastAsia="zh-CN"/>
        </w:rPr>
      </w:pPr>
    </w:p>
    <w:p w14:paraId="61C33563">
      <w:pPr>
        <w:bidi w:val="0"/>
        <w:outlineLvl w:val="9"/>
        <w:rPr>
          <w:rFonts w:hint="default" w:ascii="Arial Regular" w:hAnsi="Arial Regular" w:cs="Arial Regular"/>
          <w:sz w:val="24"/>
          <w:szCs w:val="24"/>
          <w:lang w:val="en-US" w:eastAsia="zh-CN"/>
        </w:rPr>
      </w:pPr>
    </w:p>
    <w:p w14:paraId="52AF9936">
      <w:pPr>
        <w:bidi w:val="0"/>
        <w:outlineLvl w:val="9"/>
        <w:rPr>
          <w:rFonts w:hint="default" w:ascii="Arial Regular" w:hAnsi="Arial Regular" w:cs="Arial Regular"/>
          <w:sz w:val="24"/>
          <w:szCs w:val="24"/>
          <w:lang w:val="en-US" w:eastAsia="zh-CN"/>
        </w:rPr>
      </w:pPr>
    </w:p>
    <w:p w14:paraId="2ADDB7B4">
      <w:pPr>
        <w:bidi w:val="0"/>
        <w:outlineLvl w:val="9"/>
        <w:rPr>
          <w:rFonts w:hint="default" w:ascii="Arial Regular" w:hAnsi="Arial Regular" w:cs="Arial Regular"/>
          <w:sz w:val="24"/>
          <w:szCs w:val="24"/>
          <w:lang w:val="en-US" w:eastAsia="zh-CN"/>
        </w:rPr>
      </w:pPr>
    </w:p>
    <w:p w14:paraId="4A2E837E">
      <w:pPr>
        <w:bidi w:val="0"/>
        <w:outlineLvl w:val="0"/>
        <w:rPr>
          <w:rFonts w:hint="default" w:ascii="Arial Regular" w:hAnsi="Arial Regular" w:cs="Arial Regular"/>
          <w:sz w:val="24"/>
          <w:szCs w:val="24"/>
          <w:lang w:val="en-US" w:eastAsia="zh-CN"/>
        </w:rPr>
      </w:pPr>
      <w:bookmarkStart w:id="21" w:name="_Toc389322238"/>
    </w:p>
    <w:p w14:paraId="7FBECBFC">
      <w:pPr>
        <w:bidi w:val="0"/>
        <w:outlineLvl w:val="0"/>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Reference</w:t>
      </w:r>
      <w:bookmarkEnd w:id="21"/>
    </w:p>
    <w:p w14:paraId="3A3DC233">
      <w:pPr>
        <w:bidi w:val="0"/>
        <w:rPr>
          <w:rFonts w:hint="default" w:ascii="Arial Regular" w:hAnsi="Arial Regular" w:cs="Arial Regular"/>
          <w:sz w:val="24"/>
          <w:szCs w:val="24"/>
          <w:lang w:val="en-US" w:eastAsia="zh-CN"/>
        </w:rPr>
      </w:pPr>
    </w:p>
    <w:p w14:paraId="1FDB76E6">
      <w:pPr>
        <w:tabs>
          <w:tab w:val="left" w:pos="1298"/>
        </w:tabs>
        <w:bidi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Sattorovich, J. U. (2020). Intercultural difference parameters: Hofstede and Trompenaars theories. </w:t>
      </w:r>
      <w:r>
        <w:rPr>
          <w:rFonts w:hint="default" w:ascii="Arial Regular" w:hAnsi="Arial Regular" w:eastAsia="宋体" w:cs="Arial Regular"/>
          <w:i/>
          <w:iCs/>
          <w:caps w:val="0"/>
          <w:color w:val="222222"/>
          <w:spacing w:val="0"/>
          <w:kern w:val="0"/>
          <w:sz w:val="24"/>
          <w:szCs w:val="24"/>
          <w:u w:val="none"/>
          <w:lang w:val="en-US" w:eastAsia="zh-CN" w:bidi="ar"/>
        </w:rPr>
        <w:t>European Journal of Research and Reflection in Educational Sciences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8</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(11), 115-124.</w:t>
      </w:r>
    </w:p>
    <w:p w14:paraId="0A3CD522">
      <w:pPr>
        <w:tabs>
          <w:tab w:val="left" w:pos="1298"/>
        </w:tabs>
        <w:bidi w:val="0"/>
        <w:jc w:val="left"/>
        <w:rPr>
          <w:rFonts w:hint="default" w:ascii="Arial Regular" w:hAnsi="Arial Regular" w:cs="Arial Regular"/>
          <w:sz w:val="24"/>
          <w:szCs w:val="24"/>
          <w:lang w:val="en-US" w:eastAsia="zh-CN"/>
        </w:rPr>
      </w:pPr>
    </w:p>
    <w:p w14:paraId="0E300B77">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Delamere, B. (1998). </w:t>
      </w:r>
      <w:r>
        <w:rPr>
          <w:rFonts w:hint="default" w:ascii="Arial Regular" w:hAnsi="Arial Regular" w:eastAsia="宋体" w:cs="Arial Regular"/>
          <w:i/>
          <w:iCs/>
          <w:caps w:val="0"/>
          <w:color w:val="222222"/>
          <w:spacing w:val="0"/>
          <w:kern w:val="0"/>
          <w:sz w:val="24"/>
          <w:szCs w:val="24"/>
          <w:u w:val="none"/>
          <w:lang w:val="en-US" w:eastAsia="zh-CN" w:bidi="ar"/>
        </w:rPr>
        <w:t>Communication strategies of English-speaking learners of French on a business studies course</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(Doctoral dissertation, Dublin City University).</w:t>
      </w:r>
    </w:p>
    <w:p w14:paraId="76B15CE1">
      <w:pPr>
        <w:tabs>
          <w:tab w:val="left" w:pos="1298"/>
        </w:tabs>
        <w:bidi w:val="0"/>
        <w:jc w:val="left"/>
        <w:rPr>
          <w:rFonts w:hint="default" w:ascii="Arial Regular" w:hAnsi="Arial Regular" w:cs="Arial Regular"/>
          <w:sz w:val="24"/>
          <w:szCs w:val="24"/>
          <w:lang w:val="en-US" w:eastAsia="zh-CN"/>
        </w:rPr>
      </w:pPr>
    </w:p>
    <w:p w14:paraId="2662306D">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Incelli, E. (2013). Managing discourse in intercultural business email interactions: A case study of a British and Italian business transaction. </w:t>
      </w:r>
      <w:r>
        <w:rPr>
          <w:rFonts w:hint="default" w:ascii="Arial Regular" w:hAnsi="Arial Regular" w:eastAsia="宋体" w:cs="Arial Regular"/>
          <w:i/>
          <w:iCs/>
          <w:caps w:val="0"/>
          <w:color w:val="222222"/>
          <w:spacing w:val="0"/>
          <w:kern w:val="0"/>
          <w:sz w:val="24"/>
          <w:szCs w:val="24"/>
          <w:u w:val="none"/>
          <w:lang w:val="en-US" w:eastAsia="zh-CN" w:bidi="ar"/>
        </w:rPr>
        <w:t>Journal of Multilingual and Multicultural Development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34</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(6), 515-532.</w:t>
      </w:r>
    </w:p>
    <w:p w14:paraId="38E44650">
      <w:pPr>
        <w:tabs>
          <w:tab w:val="left" w:pos="1298"/>
        </w:tabs>
        <w:bidi w:val="0"/>
        <w:jc w:val="left"/>
        <w:rPr>
          <w:rFonts w:hint="default" w:ascii="Arial Regular" w:hAnsi="Arial Regular" w:cs="Arial Regular"/>
          <w:sz w:val="24"/>
          <w:szCs w:val="24"/>
          <w:lang w:val="en-US" w:eastAsia="zh-CN"/>
        </w:rPr>
      </w:pPr>
    </w:p>
    <w:p w14:paraId="22107018">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C. Valvi, A., &amp; C. Fragkos, K. (2013). Crisis communication strategies: A case of British Petroleum. </w:t>
      </w:r>
      <w:r>
        <w:rPr>
          <w:rFonts w:hint="default" w:ascii="Arial Regular" w:hAnsi="Arial Regular" w:eastAsia="宋体" w:cs="Arial Regular"/>
          <w:i/>
          <w:iCs/>
          <w:caps w:val="0"/>
          <w:color w:val="222222"/>
          <w:spacing w:val="0"/>
          <w:kern w:val="0"/>
          <w:sz w:val="24"/>
          <w:szCs w:val="24"/>
          <w:u w:val="none"/>
          <w:lang w:val="en-US" w:eastAsia="zh-CN" w:bidi="ar"/>
        </w:rPr>
        <w:t>Industrial and Commercial Training</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45</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(7), 383-391.</w:t>
      </w:r>
    </w:p>
    <w:p w14:paraId="6AE6C706">
      <w:pPr>
        <w:tabs>
          <w:tab w:val="left" w:pos="1298"/>
        </w:tabs>
        <w:bidi w:val="0"/>
        <w:jc w:val="left"/>
        <w:rPr>
          <w:rFonts w:hint="default" w:ascii="Arial Regular" w:hAnsi="Arial Regular" w:cs="Arial Regular"/>
          <w:sz w:val="24"/>
          <w:szCs w:val="24"/>
          <w:lang w:val="en-US" w:eastAsia="zh-CN"/>
        </w:rPr>
      </w:pPr>
    </w:p>
    <w:p w14:paraId="10BBE970">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Nomozova, M., &amp; Jurayeva, M. (2023). THE EFFECT OF CULTURE ON INTERNATIONAL NEGOTIATIONS: Communication styles, international negotiations, negotiators, significant role, British negotiation techniques, culture. </w:t>
      </w:r>
      <w:r>
        <w:rPr>
          <w:rFonts w:hint="default" w:ascii="Arial Regular" w:hAnsi="Arial Regular" w:eastAsia="宋体" w:cs="Arial Regular"/>
          <w:i/>
          <w:iCs/>
          <w:caps w:val="0"/>
          <w:color w:val="222222"/>
          <w:spacing w:val="0"/>
          <w:kern w:val="0"/>
          <w:sz w:val="24"/>
          <w:szCs w:val="24"/>
          <w:u w:val="none"/>
          <w:lang w:val="en-US" w:eastAsia="zh-CN" w:bidi="ar"/>
        </w:rPr>
        <w:t>Журнал иностранных языков и лингвистики</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6</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w:t>
      </w:r>
    </w:p>
    <w:p w14:paraId="23467B0E">
      <w:pPr>
        <w:tabs>
          <w:tab w:val="left" w:pos="1298"/>
        </w:tabs>
        <w:bidi w:val="0"/>
        <w:jc w:val="left"/>
        <w:rPr>
          <w:rFonts w:hint="default" w:ascii="Arial Regular" w:hAnsi="Arial Regular" w:cs="Arial Regular"/>
          <w:sz w:val="24"/>
          <w:szCs w:val="24"/>
          <w:lang w:val="en-US" w:eastAsia="zh-CN"/>
        </w:rPr>
      </w:pPr>
    </w:p>
    <w:p w14:paraId="3F45963C">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Bauer, M. W. (2022). Communicative Dispositions of British Research Institutes. In </w:t>
      </w:r>
      <w:r>
        <w:rPr>
          <w:rFonts w:hint="default" w:ascii="Arial Regular" w:hAnsi="Arial Regular" w:eastAsia="宋体" w:cs="Arial Regular"/>
          <w:i/>
          <w:iCs/>
          <w:caps w:val="0"/>
          <w:color w:val="222222"/>
          <w:spacing w:val="0"/>
          <w:kern w:val="0"/>
          <w:sz w:val="24"/>
          <w:szCs w:val="24"/>
          <w:u w:val="none"/>
          <w:lang w:val="en-US" w:eastAsia="zh-CN" w:bidi="ar"/>
        </w:rPr>
        <w:t>Public Communication of Research Universities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 205-227). Routledge.</w:t>
      </w:r>
    </w:p>
    <w:p w14:paraId="6B5B9485">
      <w:pPr>
        <w:tabs>
          <w:tab w:val="left" w:pos="1298"/>
        </w:tabs>
        <w:bidi w:val="0"/>
        <w:jc w:val="left"/>
        <w:rPr>
          <w:rFonts w:hint="default" w:ascii="Arial Regular" w:hAnsi="Arial Regular" w:cs="Arial Regular"/>
          <w:sz w:val="24"/>
          <w:szCs w:val="24"/>
          <w:lang w:val="en-US" w:eastAsia="zh-CN"/>
        </w:rPr>
      </w:pPr>
    </w:p>
    <w:p w14:paraId="7A1345E3">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Orekhova, I. O., &amp; Nepomniashchikh, N. M. (2021). LINGUISTIC-CULTURAL IDENTITY OF “BRITISH DETECTIVE”: INTERCULTURAL APPROACH.</w:t>
      </w:r>
    </w:p>
    <w:p w14:paraId="01C8A64C">
      <w:pPr>
        <w:tabs>
          <w:tab w:val="left" w:pos="1298"/>
        </w:tabs>
        <w:bidi w:val="0"/>
        <w:jc w:val="left"/>
        <w:rPr>
          <w:rFonts w:hint="default" w:ascii="Arial Regular" w:hAnsi="Arial Regular" w:cs="Arial Regular"/>
          <w:sz w:val="24"/>
          <w:szCs w:val="24"/>
          <w:lang w:val="en-US" w:eastAsia="zh-CN"/>
        </w:rPr>
      </w:pPr>
    </w:p>
    <w:p w14:paraId="57A2EC21">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Dyson, K., &amp; Humphreys, P. (Eds.). (2023). </w:t>
      </w:r>
      <w:r>
        <w:rPr>
          <w:rFonts w:hint="default" w:ascii="Arial Regular" w:hAnsi="Arial Regular" w:eastAsia="宋体" w:cs="Arial Regular"/>
          <w:i/>
          <w:iCs/>
          <w:caps w:val="0"/>
          <w:color w:val="222222"/>
          <w:spacing w:val="0"/>
          <w:kern w:val="0"/>
          <w:sz w:val="24"/>
          <w:szCs w:val="24"/>
          <w:u w:val="none"/>
          <w:lang w:val="en-US" w:eastAsia="zh-CN" w:bidi="ar"/>
        </w:rPr>
        <w:t>The Political economy of communications: international and European dimensions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Taylor &amp; Francis.</w:t>
      </w:r>
    </w:p>
    <w:p w14:paraId="58F1F671">
      <w:pPr>
        <w:tabs>
          <w:tab w:val="left" w:pos="1298"/>
        </w:tabs>
        <w:bidi w:val="0"/>
        <w:jc w:val="left"/>
        <w:rPr>
          <w:rFonts w:hint="default" w:ascii="Arial Regular" w:hAnsi="Arial Regular" w:cs="Arial Regular"/>
          <w:sz w:val="24"/>
          <w:szCs w:val="24"/>
          <w:lang w:val="en-US" w:eastAsia="zh-CN"/>
        </w:rPr>
      </w:pPr>
    </w:p>
    <w:p w14:paraId="52E59F8F">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Ramachandran, K. K., Mary, S. S. C., Painoli, A. K., Satyala, H., Singh, B., &amp; Manoharan, G. (2022). Assessing the full impact of technological advances on business management techniques. </w:t>
      </w:r>
      <w:r>
        <w:rPr>
          <w:rFonts w:hint="default" w:ascii="Arial Regular" w:hAnsi="Arial Regular" w:eastAsia="宋体" w:cs="Arial Regular"/>
          <w:i/>
          <w:iCs/>
          <w:caps w:val="0"/>
          <w:color w:val="222222"/>
          <w:spacing w:val="0"/>
          <w:kern w:val="0"/>
          <w:sz w:val="24"/>
          <w:szCs w:val="24"/>
          <w:u w:val="none"/>
          <w:lang w:val="en-US" w:eastAsia="zh-CN" w:bidi="ar"/>
        </w:rPr>
        <w:t>Manager-The British Journal of Administrative Management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105-112.</w:t>
      </w:r>
    </w:p>
    <w:p w14:paraId="4F2F828E">
      <w:pPr>
        <w:tabs>
          <w:tab w:val="left" w:pos="1298"/>
        </w:tabs>
        <w:bidi w:val="0"/>
        <w:jc w:val="left"/>
        <w:rPr>
          <w:rFonts w:hint="default" w:ascii="Arial Regular" w:hAnsi="Arial Regular" w:cs="Arial Regular"/>
          <w:sz w:val="24"/>
          <w:szCs w:val="24"/>
          <w:lang w:val="en-US" w:eastAsia="zh-CN"/>
        </w:rPr>
      </w:pPr>
    </w:p>
    <w:p w14:paraId="40E00191">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Morgan, K., &amp; Webber, D. (2023). Divergent paths: political strategies for telecommunications in Britain, France and West Germany. In </w:t>
      </w:r>
      <w:r>
        <w:rPr>
          <w:rFonts w:hint="default" w:ascii="Arial Regular" w:hAnsi="Arial Regular" w:eastAsia="宋体" w:cs="Arial Regular"/>
          <w:i/>
          <w:iCs/>
          <w:caps w:val="0"/>
          <w:color w:val="222222"/>
          <w:spacing w:val="0"/>
          <w:kern w:val="0"/>
          <w:sz w:val="24"/>
          <w:szCs w:val="24"/>
          <w:u w:val="none"/>
          <w:lang w:val="en-US" w:eastAsia="zh-CN" w:bidi="ar"/>
        </w:rPr>
        <w:t>The Politics of the Communications Revolution in Western Europe</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 56-79). Routledge.</w:t>
      </w:r>
    </w:p>
    <w:p w14:paraId="27250385">
      <w:pPr>
        <w:tabs>
          <w:tab w:val="left" w:pos="1298"/>
        </w:tabs>
        <w:bidi w:val="0"/>
        <w:jc w:val="left"/>
        <w:rPr>
          <w:rFonts w:hint="default" w:ascii="Arial Regular" w:hAnsi="Arial Regular" w:cs="Arial Regular"/>
          <w:sz w:val="24"/>
          <w:szCs w:val="24"/>
          <w:lang w:val="en-US" w:eastAsia="zh-CN"/>
        </w:rPr>
      </w:pPr>
    </w:p>
    <w:p w14:paraId="1AEE98F0">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Verdier, D. (2021). Democracy and international trade: Britain, France, and the United States, 1860-1990.</w:t>
      </w:r>
    </w:p>
    <w:p w14:paraId="37F27AAF">
      <w:pPr>
        <w:tabs>
          <w:tab w:val="left" w:pos="1298"/>
        </w:tabs>
        <w:bidi w:val="0"/>
        <w:jc w:val="left"/>
        <w:rPr>
          <w:rFonts w:hint="default" w:ascii="Arial Regular" w:hAnsi="Arial Regular" w:cs="Arial Regular"/>
          <w:sz w:val="24"/>
          <w:szCs w:val="24"/>
          <w:lang w:val="en-US" w:eastAsia="zh-CN"/>
        </w:rPr>
      </w:pPr>
    </w:p>
    <w:p w14:paraId="29FBA896">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Lecky, W. E. H. (2023). History of England in the eighteenth century. In </w:t>
      </w:r>
      <w:r>
        <w:rPr>
          <w:rFonts w:hint="default" w:ascii="Arial Regular" w:hAnsi="Arial Regular" w:eastAsia="宋体" w:cs="Arial Regular"/>
          <w:i/>
          <w:iCs/>
          <w:caps w:val="0"/>
          <w:color w:val="222222"/>
          <w:spacing w:val="0"/>
          <w:kern w:val="0"/>
          <w:sz w:val="24"/>
          <w:szCs w:val="24"/>
          <w:u w:val="none"/>
          <w:lang w:val="en-US" w:eastAsia="zh-CN" w:bidi="ar"/>
        </w:rPr>
        <w:t>Politics and Trade in Britain, 1776-1914</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 50-59). Routledge.</w:t>
      </w:r>
    </w:p>
    <w:p w14:paraId="61A3C637">
      <w:pPr>
        <w:tabs>
          <w:tab w:val="left" w:pos="1298"/>
        </w:tabs>
        <w:bidi w:val="0"/>
        <w:jc w:val="left"/>
        <w:rPr>
          <w:rFonts w:hint="default" w:ascii="Arial Regular" w:hAnsi="Arial Regular" w:cs="Arial Regular"/>
          <w:sz w:val="24"/>
          <w:szCs w:val="24"/>
          <w:lang w:val="en-US" w:eastAsia="zh-CN"/>
        </w:rPr>
      </w:pPr>
    </w:p>
    <w:p w14:paraId="4D23C1B2">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Shenkar, O., Luo, Y., &amp; Chi, T. (2021). </w:t>
      </w:r>
      <w:r>
        <w:rPr>
          <w:rFonts w:hint="default" w:ascii="Arial Regular" w:hAnsi="Arial Regular" w:eastAsia="宋体" w:cs="Arial Regular"/>
          <w:i/>
          <w:iCs/>
          <w:caps w:val="0"/>
          <w:color w:val="222222"/>
          <w:spacing w:val="0"/>
          <w:kern w:val="0"/>
          <w:sz w:val="24"/>
          <w:szCs w:val="24"/>
          <w:u w:val="none"/>
          <w:lang w:val="en-US" w:eastAsia="zh-CN" w:bidi="ar"/>
        </w:rPr>
        <w:t>International business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Routledge.</w:t>
      </w:r>
    </w:p>
    <w:p w14:paraId="576E2650">
      <w:pPr>
        <w:tabs>
          <w:tab w:val="left" w:pos="1298"/>
        </w:tabs>
        <w:bidi w:val="0"/>
        <w:jc w:val="left"/>
        <w:rPr>
          <w:rFonts w:hint="default" w:ascii="Arial Regular" w:hAnsi="Arial Regular" w:cs="Arial Regular"/>
          <w:sz w:val="24"/>
          <w:szCs w:val="24"/>
          <w:lang w:val="en-US" w:eastAsia="zh-CN"/>
        </w:rPr>
      </w:pPr>
    </w:p>
    <w:p w14:paraId="445EBC26">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Reis, I. F., Gonçalves, I., Lopes, M. A., &amp; Antunes, C. H. (2021). Business models for energy communities: A review of key issues and trends. </w:t>
      </w:r>
      <w:r>
        <w:rPr>
          <w:rFonts w:hint="default" w:ascii="Arial Regular" w:hAnsi="Arial Regular" w:eastAsia="宋体" w:cs="Arial Regular"/>
          <w:i/>
          <w:iCs/>
          <w:caps w:val="0"/>
          <w:color w:val="222222"/>
          <w:spacing w:val="0"/>
          <w:kern w:val="0"/>
          <w:sz w:val="24"/>
          <w:szCs w:val="24"/>
          <w:u w:val="none"/>
          <w:lang w:val="en-US" w:eastAsia="zh-CN" w:bidi="ar"/>
        </w:rPr>
        <w:t>Renewable and Sustainable Energy Reviews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144</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111013.</w:t>
      </w:r>
    </w:p>
    <w:p w14:paraId="1493CAE9">
      <w:pPr>
        <w:tabs>
          <w:tab w:val="left" w:pos="1298"/>
        </w:tabs>
        <w:bidi w:val="0"/>
        <w:jc w:val="left"/>
        <w:rPr>
          <w:rFonts w:hint="default" w:ascii="Arial Regular" w:hAnsi="Arial Regular" w:cs="Arial Regular"/>
          <w:sz w:val="24"/>
          <w:szCs w:val="24"/>
          <w:lang w:val="en-US" w:eastAsia="zh-CN"/>
        </w:rPr>
      </w:pPr>
    </w:p>
    <w:p w14:paraId="4F30D3DA">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Alkaraan, F., Elmarzouky, M., Hussainey, K., &amp; Venkatesh, V. G. (2023). Sustainable strategic investment decision-making practices in UK companies: The influence of governance mechanisms on synergy between industry 4.0 and circular economy. </w:t>
      </w:r>
      <w:r>
        <w:rPr>
          <w:rFonts w:hint="default" w:ascii="Arial Regular" w:hAnsi="Arial Regular" w:eastAsia="宋体" w:cs="Arial Regular"/>
          <w:i/>
          <w:iCs/>
          <w:caps w:val="0"/>
          <w:color w:val="222222"/>
          <w:spacing w:val="0"/>
          <w:kern w:val="0"/>
          <w:sz w:val="24"/>
          <w:szCs w:val="24"/>
          <w:u w:val="none"/>
          <w:lang w:val="en-US" w:eastAsia="zh-CN" w:bidi="ar"/>
        </w:rPr>
        <w:t>Technological Forecasting and Social Change</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187</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122187.</w:t>
      </w:r>
    </w:p>
    <w:p w14:paraId="07B0915A">
      <w:pPr>
        <w:tabs>
          <w:tab w:val="left" w:pos="1298"/>
        </w:tabs>
        <w:bidi w:val="0"/>
        <w:jc w:val="left"/>
        <w:rPr>
          <w:rFonts w:hint="default" w:ascii="Arial Regular" w:hAnsi="Arial Regular" w:cs="Arial Regular"/>
          <w:sz w:val="24"/>
          <w:szCs w:val="24"/>
          <w:lang w:val="en-US" w:eastAsia="zh-CN"/>
        </w:rPr>
      </w:pPr>
    </w:p>
    <w:p w14:paraId="56474ABB">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Wallace, C. D. (2021). </w:t>
      </w:r>
      <w:r>
        <w:rPr>
          <w:rFonts w:hint="default" w:ascii="Arial Regular" w:hAnsi="Arial Regular" w:eastAsia="宋体" w:cs="Arial Regular"/>
          <w:i/>
          <w:iCs/>
          <w:caps w:val="0"/>
          <w:color w:val="222222"/>
          <w:spacing w:val="0"/>
          <w:kern w:val="0"/>
          <w:sz w:val="24"/>
          <w:szCs w:val="24"/>
          <w:u w:val="none"/>
          <w:lang w:val="en-US" w:eastAsia="zh-CN" w:bidi="ar"/>
        </w:rPr>
        <w:t>The multinational enterprise and legal control: host state sovereignty in an era of economic globalization</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BRILL.</w:t>
      </w:r>
    </w:p>
    <w:p w14:paraId="2989886B">
      <w:pPr>
        <w:tabs>
          <w:tab w:val="left" w:pos="1298"/>
        </w:tabs>
        <w:bidi w:val="0"/>
        <w:jc w:val="left"/>
        <w:rPr>
          <w:rFonts w:hint="default" w:ascii="Arial Regular" w:hAnsi="Arial Regular" w:cs="Arial Regular"/>
          <w:sz w:val="24"/>
          <w:szCs w:val="24"/>
          <w:lang w:val="en-US" w:eastAsia="zh-CN"/>
        </w:rPr>
      </w:pPr>
    </w:p>
    <w:p w14:paraId="47F2D14A">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Woolliams, P., &amp; Trompenaars, F. (2024). Cultural Differences. In </w:t>
      </w:r>
      <w:r>
        <w:rPr>
          <w:rFonts w:hint="default" w:ascii="Arial Regular" w:hAnsi="Arial Regular" w:eastAsia="宋体" w:cs="Arial Regular"/>
          <w:i/>
          <w:iCs/>
          <w:caps w:val="0"/>
          <w:color w:val="222222"/>
          <w:spacing w:val="0"/>
          <w:kern w:val="0"/>
          <w:sz w:val="24"/>
          <w:szCs w:val="24"/>
          <w:u w:val="none"/>
          <w:lang w:val="en-US" w:eastAsia="zh-CN" w:bidi="ar"/>
        </w:rPr>
        <w:t>New Approaches to Flexible Working</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 59-67). Emerald Publishing Limited.</w:t>
      </w:r>
    </w:p>
    <w:p w14:paraId="30C695A6">
      <w:pPr>
        <w:tabs>
          <w:tab w:val="left" w:pos="1298"/>
        </w:tabs>
        <w:bidi w:val="0"/>
        <w:jc w:val="left"/>
        <w:rPr>
          <w:rFonts w:hint="default" w:ascii="Arial Regular" w:hAnsi="Arial Regular" w:cs="Arial Regular"/>
          <w:sz w:val="24"/>
          <w:szCs w:val="24"/>
          <w:lang w:val="en-US" w:eastAsia="zh-CN"/>
        </w:rPr>
      </w:pPr>
    </w:p>
    <w:p w14:paraId="11FF83F1">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Sapuarachchi, D. B. (2021). Cultural distance and inter-organizational knowledge transfer: a case study of a multinational company. </w:t>
      </w:r>
      <w:r>
        <w:rPr>
          <w:rFonts w:hint="default" w:ascii="Arial Regular" w:hAnsi="Arial Regular" w:eastAsia="宋体" w:cs="Arial Regular"/>
          <w:i/>
          <w:iCs/>
          <w:caps w:val="0"/>
          <w:color w:val="222222"/>
          <w:spacing w:val="0"/>
          <w:kern w:val="0"/>
          <w:sz w:val="24"/>
          <w:szCs w:val="24"/>
          <w:u w:val="none"/>
          <w:lang w:val="en-US" w:eastAsia="zh-CN" w:bidi="ar"/>
        </w:rPr>
        <w:t>Journal of Knowledge Management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25</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(9), 2316-2333.</w:t>
      </w:r>
    </w:p>
    <w:p w14:paraId="72F9BA72">
      <w:pPr>
        <w:tabs>
          <w:tab w:val="left" w:pos="1298"/>
        </w:tabs>
        <w:bidi w:val="0"/>
        <w:jc w:val="left"/>
        <w:rPr>
          <w:rFonts w:hint="default" w:ascii="Arial Regular" w:hAnsi="Arial Regular" w:cs="Arial Regular"/>
          <w:sz w:val="24"/>
          <w:szCs w:val="24"/>
          <w:lang w:val="en-US" w:eastAsia="zh-CN"/>
        </w:rPr>
      </w:pPr>
    </w:p>
    <w:p w14:paraId="51043BC2">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Malik, A., &amp; Sanders, K. (2021). Managing human resources during a global crisis: A multilevel perspective. </w:t>
      </w:r>
      <w:r>
        <w:rPr>
          <w:rFonts w:hint="default" w:ascii="Arial Regular" w:hAnsi="Arial Regular" w:eastAsia="宋体" w:cs="Arial Regular"/>
          <w:i/>
          <w:iCs/>
          <w:caps w:val="0"/>
          <w:color w:val="222222"/>
          <w:spacing w:val="0"/>
          <w:kern w:val="0"/>
          <w:sz w:val="24"/>
          <w:szCs w:val="24"/>
          <w:u w:val="none"/>
          <w:lang w:val="en-US" w:eastAsia="zh-CN" w:bidi="ar"/>
        </w:rPr>
        <w:t>British Journal of Management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32</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(4), e1-e19.</w:t>
      </w:r>
    </w:p>
    <w:p w14:paraId="38BF4983">
      <w:pPr>
        <w:tabs>
          <w:tab w:val="left" w:pos="1298"/>
        </w:tabs>
        <w:bidi w:val="0"/>
        <w:jc w:val="left"/>
        <w:rPr>
          <w:rFonts w:hint="default" w:ascii="Arial Regular" w:hAnsi="Arial Regular" w:cs="Arial Regular"/>
          <w:sz w:val="24"/>
          <w:szCs w:val="24"/>
          <w:lang w:val="en-US" w:eastAsia="zh-CN"/>
        </w:rPr>
      </w:pPr>
    </w:p>
    <w:p w14:paraId="5D9E4112">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Garland, R., &amp; Lilleker, D. (2021). From Consensus to Dissensus: The UK's Management of a Pandemic in a Divided Nation. In </w:t>
      </w:r>
      <w:r>
        <w:rPr>
          <w:rFonts w:hint="default" w:ascii="Arial Regular" w:hAnsi="Arial Regular" w:eastAsia="宋体" w:cs="Arial Regular"/>
          <w:i/>
          <w:iCs/>
          <w:caps w:val="0"/>
          <w:color w:val="222222"/>
          <w:spacing w:val="0"/>
          <w:kern w:val="0"/>
          <w:sz w:val="24"/>
          <w:szCs w:val="24"/>
          <w:u w:val="none"/>
          <w:lang w:val="en-US" w:eastAsia="zh-CN" w:bidi="ar"/>
        </w:rPr>
        <w:t>Political communication in the time of coronavirus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(pp. 17-32). Routledge.</w:t>
      </w:r>
    </w:p>
    <w:p w14:paraId="5B17AD0F">
      <w:pPr>
        <w:tabs>
          <w:tab w:val="left" w:pos="1298"/>
        </w:tabs>
        <w:bidi w:val="0"/>
        <w:jc w:val="left"/>
        <w:rPr>
          <w:rFonts w:hint="default" w:ascii="Arial Regular" w:hAnsi="Arial Regular" w:cs="Arial Regular"/>
          <w:sz w:val="24"/>
          <w:szCs w:val="24"/>
          <w:lang w:val="en-US" w:eastAsia="zh-CN"/>
        </w:rPr>
      </w:pPr>
    </w:p>
    <w:p w14:paraId="189671B6">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Burns, P. (2022). </w:t>
      </w:r>
      <w:r>
        <w:rPr>
          <w:rFonts w:hint="default" w:ascii="Arial Regular" w:hAnsi="Arial Regular" w:eastAsia="宋体" w:cs="Arial Regular"/>
          <w:i/>
          <w:iCs/>
          <w:caps w:val="0"/>
          <w:color w:val="222222"/>
          <w:spacing w:val="0"/>
          <w:kern w:val="0"/>
          <w:sz w:val="24"/>
          <w:szCs w:val="24"/>
          <w:u w:val="none"/>
          <w:lang w:val="en-US" w:eastAsia="zh-CN" w:bidi="ar"/>
        </w:rPr>
        <w:t>Entrepreneurship and small business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Bloomsbury Publishing.</w:t>
      </w:r>
    </w:p>
    <w:p w14:paraId="035ED69C">
      <w:pPr>
        <w:tabs>
          <w:tab w:val="left" w:pos="1298"/>
        </w:tabs>
        <w:bidi w:val="0"/>
        <w:jc w:val="left"/>
        <w:rPr>
          <w:rFonts w:hint="default" w:ascii="Arial Regular" w:hAnsi="Arial Regular" w:cs="Arial Regular"/>
          <w:sz w:val="24"/>
          <w:szCs w:val="24"/>
          <w:lang w:val="en-US" w:eastAsia="zh-CN"/>
        </w:rPr>
      </w:pPr>
    </w:p>
    <w:p w14:paraId="4EB06ED2">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Moon, J. (2021). Effect of Emotional Intelligence and Leadership Styles on Risk Intelligent Decision Making and Risk Management. </w:t>
      </w:r>
      <w:r>
        <w:rPr>
          <w:rFonts w:hint="default" w:ascii="Arial Regular" w:hAnsi="Arial Regular" w:eastAsia="宋体" w:cs="Arial Regular"/>
          <w:i/>
          <w:iCs/>
          <w:caps w:val="0"/>
          <w:color w:val="222222"/>
          <w:spacing w:val="0"/>
          <w:kern w:val="0"/>
          <w:sz w:val="24"/>
          <w:szCs w:val="24"/>
          <w:u w:val="none"/>
          <w:lang w:val="en-US" w:eastAsia="zh-CN" w:bidi="ar"/>
        </w:rPr>
        <w:t>Journal of Engineering, Project &amp; Production Management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11</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w:t>
      </w:r>
    </w:p>
    <w:p w14:paraId="595EE451">
      <w:pPr>
        <w:tabs>
          <w:tab w:val="left" w:pos="1298"/>
        </w:tabs>
        <w:bidi w:val="0"/>
        <w:jc w:val="left"/>
        <w:rPr>
          <w:rFonts w:hint="default" w:ascii="Arial Regular" w:hAnsi="Arial Regular" w:cs="Arial Regular"/>
          <w:sz w:val="24"/>
          <w:szCs w:val="24"/>
          <w:lang w:val="en-US" w:eastAsia="zh-CN"/>
        </w:rPr>
      </w:pPr>
    </w:p>
    <w:p w14:paraId="4A047616">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Viglialoro, D., Botelho, T., Ughetto, E., Laspia, A., &amp; Landoni, P. (2024). Social Impact Business Angels as New Impact Investors. </w:t>
      </w:r>
      <w:r>
        <w:rPr>
          <w:rFonts w:hint="default" w:ascii="Arial Regular" w:hAnsi="Arial Regular" w:eastAsia="宋体" w:cs="Arial Regular"/>
          <w:i/>
          <w:iCs/>
          <w:caps w:val="0"/>
          <w:color w:val="222222"/>
          <w:spacing w:val="0"/>
          <w:kern w:val="0"/>
          <w:sz w:val="24"/>
          <w:szCs w:val="24"/>
          <w:u w:val="none"/>
          <w:lang w:val="en-US" w:eastAsia="zh-CN" w:bidi="ar"/>
        </w:rPr>
        <w:t>British Journal of Management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w:t>
      </w:r>
    </w:p>
    <w:p w14:paraId="56A58A9C">
      <w:pPr>
        <w:tabs>
          <w:tab w:val="left" w:pos="1298"/>
        </w:tabs>
        <w:bidi w:val="0"/>
        <w:jc w:val="left"/>
        <w:rPr>
          <w:rFonts w:hint="default" w:ascii="Arial Regular" w:hAnsi="Arial Regular" w:cs="Arial Regular"/>
          <w:sz w:val="24"/>
          <w:szCs w:val="24"/>
          <w:lang w:val="en-US" w:eastAsia="zh-CN"/>
        </w:rPr>
      </w:pPr>
    </w:p>
    <w:p w14:paraId="18A15016">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Hall, E. T. (1976). Beyond culture. Anchor Press.</w:t>
      </w:r>
    </w:p>
    <w:p w14:paraId="7AC71FAE">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p>
    <w:p w14:paraId="457E8086">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Piccolo, R. and Boero, M., 2024. Between Digital Experiential Marketing and Semiotics: The New Spaces of Consumption in Asia. In </w:t>
      </w:r>
      <w:r>
        <w:rPr>
          <w:rFonts w:hint="default" w:ascii="Arial Regular" w:hAnsi="Arial Regular" w:eastAsia="宋体" w:cs="Arial Regular"/>
          <w:i/>
          <w:iCs/>
          <w:caps w:val="0"/>
          <w:color w:val="222222"/>
          <w:spacing w:val="0"/>
          <w:kern w:val="0"/>
          <w:sz w:val="24"/>
          <w:szCs w:val="24"/>
          <w:u w:val="none"/>
          <w:lang w:val="en-US" w:eastAsia="zh-CN" w:bidi="ar"/>
        </w:rPr>
        <w:t>Strengthening Sustainable Digitalization of Asian Economy and Society</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 196-213). IGI Global.</w:t>
      </w:r>
    </w:p>
    <w:p w14:paraId="4A945744">
      <w:pPr>
        <w:keepNext w:val="0"/>
        <w:keepLines w:val="0"/>
        <w:widowControl/>
        <w:suppressLineNumbers w:val="0"/>
        <w:jc w:val="left"/>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p>
    <w:p w14:paraId="4EC13F97">
      <w:pPr>
        <w:tabs>
          <w:tab w:val="left" w:pos="1298"/>
        </w:tabs>
        <w:bidi w:val="0"/>
        <w:jc w:val="left"/>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Arial">
    <w:panose1 w:val="020B0604020202090204"/>
    <w:charset w:val="00"/>
    <w:family w:val="auto"/>
    <w:pitch w:val="default"/>
    <w:sig w:usb0="E0000AFF" w:usb1="00007843" w:usb2="00000001" w:usb3="00000000" w:csb0="400001BF" w:csb1="DFF70000"/>
  </w:font>
  <w:font w:name="Arial Regular">
    <w:panose1 w:val="020B0604020202090204"/>
    <w:charset w:val="00"/>
    <w:family w:val="auto"/>
    <w:pitch w:val="default"/>
    <w:sig w:usb0="E0000AFF" w:usb1="00007843" w:usb2="00000001" w:usb3="00000000" w:csb0="400001BF" w:csb1="DFF70000"/>
  </w:font>
  <w:font w:name="宋体-简">
    <w:panose1 w:val="02010800040101010101"/>
    <w:charset w:val="86"/>
    <w:family w:val="auto"/>
    <w:pitch w:val="default"/>
    <w:sig w:usb0="00000001" w:usb1="080F0000" w:usb2="00000000" w:usb3="00000000" w:csb0="00040000" w:csb1="00000000"/>
  </w:font>
  <w:font w:name="Times New Roman Regular">
    <w:panose1 w:val="020205030504050903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Arial Bold">
    <w:panose1 w:val="020B0604020202090204"/>
    <w:charset w:val="00"/>
    <w:family w:val="auto"/>
    <w:pitch w:val="default"/>
    <w:sig w:usb0="E0000AFF" w:usb1="00007843" w:usb2="00000001" w:usb3="00000000" w:csb0="400001BF" w:csb1="DFF70000"/>
  </w:font>
  <w:font w:name="Calibri Light">
    <w:altName w:val="Helvetica Neue"/>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9"/>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YwYTFjZDBiZGJmMzE2N2U1NTg2MjdmYjBjMzAyYTAifQ=="/>
  </w:docVars>
  <w:rsids>
    <w:rsidRoot w:val="7EDFCDA2"/>
    <w:rsid w:val="7EDFCDA2"/>
    <w:rsid w:val="9F7B1E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Title"/>
    <w:basedOn w:val="1"/>
    <w:next w:val="1"/>
    <w:qFormat/>
    <w:uiPriority w:val="10"/>
    <w:pPr>
      <w:pBdr>
        <w:bottom w:val="single" w:color="4874CB" w:themeColor="accent1" w:sz="8" w:space="4"/>
      </w:pBdr>
      <w:spacing w:after="300" w:line="240" w:lineRule="auto"/>
      <w:contextualSpacing/>
    </w:pPr>
    <w:rPr>
      <w:rFonts w:asciiTheme="majorHAnsi" w:hAnsiTheme="majorHAnsi" w:eastAsiaTheme="majorEastAsia" w:cstheme="majorBidi"/>
      <w:color w:val="333F50" w:themeColor="text2" w:themeShade="BF"/>
      <w:spacing w:val="5"/>
      <w:sz w:val="52"/>
      <w:szCs w:val="52"/>
    </w:rPr>
  </w:style>
  <w:style w:type="paragraph" w:customStyle="1" w:styleId="5">
    <w:name w:val="WPSOffice手动目录 1"/>
    <w:uiPriority w:val="0"/>
    <w:pPr>
      <w:ind w:leftChars="0"/>
    </w:pPr>
    <w:rPr>
      <w:sz w:val="20"/>
      <w:szCs w:val="20"/>
    </w:rPr>
  </w:style>
  <w:style w:type="paragraph" w:customStyle="1" w:styleId="6">
    <w:name w:val="WPSOffice手动目录 2"/>
    <w:uiPriority w:val="0"/>
    <w:pPr>
      <w:ind w:leftChars="200"/>
    </w:pPr>
    <w:rPr>
      <w:sz w:val="20"/>
      <w:szCs w:val="20"/>
    </w:rPr>
  </w:style>
  <w:style w:type="paragraph" w:customStyle="1" w:styleId="7">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0</Words>
  <Characters>0</Characters>
  <Lines>0</Lines>
  <Paragraphs>0</Paragraphs>
  <TotalTime>0</TotalTime>
  <ScaleCrop>false</ScaleCrop>
  <LinksUpToDate>false</LinksUpToDate>
  <CharactersWithSpaces>0</CharactersWithSpaces>
  <Application>WPS Office_6.12.0.8899_F1E327BC-269C-435d-A152-05C5408002CA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2025-01-08T09:56:00Z</dcterms:created>
  <dc:creator>。</dc:creator>
  <cp:lastModifiedBy>。</cp:lastModifiedBy>
  <dcterms:modified xsi:type="dcterms:W3CDTF">2025-01-10T15:57:36Z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2052-6.12.0.8899</vt:lpwstr>
  </property>
  <property fmtid="{D5CDD505-2E9C-101B-9397-08002B2CF9AE}" pid="3" name="ICV">
    <vt:lpwstr>1EDB0B0286047015B26A7D67428C46E9_41</vt:lpwstr>
  </property>
</Properties>
</file>