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A14373" w14:textId="1D5BEC05" w:rsidR="00743570" w:rsidRDefault="00743570" w:rsidP="00B01D72">
      <w:pPr>
        <w:jc w:val="center"/>
        <w:rPr>
          <w:rFonts w:ascii="Arial" w:hAnsi="Arial" w:cs="Arial"/>
          <w:sz w:val="24"/>
          <w:szCs w:val="24"/>
        </w:rPr>
      </w:pPr>
    </w:p>
    <w:p w14:paraId="23717341" w14:textId="77A568CB" w:rsidR="00B01D72" w:rsidRDefault="00B01D72" w:rsidP="00B01D72">
      <w:pPr>
        <w:jc w:val="center"/>
        <w:rPr>
          <w:rFonts w:ascii="Arial" w:hAnsi="Arial" w:cs="Arial"/>
          <w:sz w:val="24"/>
          <w:szCs w:val="24"/>
        </w:rPr>
      </w:pPr>
      <w:r>
        <w:rPr>
          <w:rFonts w:ascii="Arial" w:hAnsi="Arial" w:cs="Arial"/>
          <w:sz w:val="24"/>
          <w:szCs w:val="24"/>
        </w:rPr>
        <w:t xml:space="preserve">Name: Sunela Dad </w:t>
      </w:r>
    </w:p>
    <w:p w14:paraId="525F4A5F" w14:textId="77777777" w:rsidR="00B01D72" w:rsidRDefault="00B01D72" w:rsidP="00B01D72">
      <w:pPr>
        <w:jc w:val="center"/>
        <w:rPr>
          <w:rFonts w:ascii="Arial" w:hAnsi="Arial" w:cs="Arial"/>
          <w:sz w:val="24"/>
          <w:szCs w:val="24"/>
        </w:rPr>
      </w:pPr>
      <w:r>
        <w:rPr>
          <w:rFonts w:ascii="Arial" w:hAnsi="Arial" w:cs="Arial"/>
          <w:sz w:val="24"/>
          <w:szCs w:val="24"/>
        </w:rPr>
        <w:t>Student number – 2309145</w:t>
      </w:r>
    </w:p>
    <w:p w14:paraId="2CB4FC79" w14:textId="77777777" w:rsidR="00B01D72" w:rsidRDefault="00B01D72" w:rsidP="00B01D72">
      <w:pPr>
        <w:jc w:val="center"/>
        <w:rPr>
          <w:rFonts w:ascii="Arial" w:hAnsi="Arial" w:cs="Arial"/>
          <w:sz w:val="24"/>
          <w:szCs w:val="24"/>
        </w:rPr>
      </w:pPr>
      <w:r>
        <w:rPr>
          <w:rFonts w:ascii="Arial" w:hAnsi="Arial" w:cs="Arial"/>
          <w:sz w:val="24"/>
          <w:szCs w:val="24"/>
        </w:rPr>
        <w:t xml:space="preserve">Module name – Principles of Health and Social Care Practice </w:t>
      </w:r>
    </w:p>
    <w:p w14:paraId="36467F41" w14:textId="77777777" w:rsidR="00B01D72" w:rsidRPr="001A4C71" w:rsidRDefault="00B01D72" w:rsidP="00B01D72">
      <w:pPr>
        <w:jc w:val="center"/>
        <w:rPr>
          <w:rFonts w:ascii="Arial" w:hAnsi="Arial" w:cs="Arial"/>
          <w:sz w:val="24"/>
          <w:szCs w:val="24"/>
          <w:lang w:val="fr-FR"/>
        </w:rPr>
      </w:pPr>
      <w:r w:rsidRPr="001A4C71">
        <w:rPr>
          <w:rFonts w:ascii="Arial" w:hAnsi="Arial" w:cs="Arial"/>
          <w:sz w:val="24"/>
          <w:szCs w:val="24"/>
          <w:lang w:val="fr-FR"/>
        </w:rPr>
        <w:t>Module code – BMPH 5016</w:t>
      </w:r>
    </w:p>
    <w:p w14:paraId="498CBD86" w14:textId="77777777" w:rsidR="00B01D72" w:rsidRPr="00356D5E" w:rsidRDefault="00B01D72" w:rsidP="00B01D72">
      <w:pPr>
        <w:jc w:val="center"/>
        <w:rPr>
          <w:rFonts w:ascii="Arial" w:hAnsi="Arial" w:cs="Arial"/>
          <w:sz w:val="24"/>
          <w:szCs w:val="24"/>
          <w:lang w:val="fr-FR"/>
        </w:rPr>
      </w:pPr>
      <w:r w:rsidRPr="00356D5E">
        <w:rPr>
          <w:rFonts w:ascii="Arial" w:hAnsi="Arial" w:cs="Arial"/>
          <w:sz w:val="24"/>
          <w:szCs w:val="24"/>
          <w:lang w:val="fr-FR"/>
        </w:rPr>
        <w:t xml:space="preserve">Lecturer name-  Azida Zainol </w:t>
      </w:r>
    </w:p>
    <w:p w14:paraId="36A643E8" w14:textId="77777777" w:rsidR="00B01D72" w:rsidRPr="00356D5E" w:rsidRDefault="00B01D72" w:rsidP="00B01D72">
      <w:pPr>
        <w:jc w:val="center"/>
        <w:rPr>
          <w:rFonts w:ascii="Arial" w:hAnsi="Arial" w:cs="Arial"/>
          <w:sz w:val="24"/>
          <w:szCs w:val="24"/>
          <w:lang w:val="fr-FR"/>
        </w:rPr>
      </w:pPr>
    </w:p>
    <w:p w14:paraId="3212B517" w14:textId="77777777" w:rsidR="00B01D72" w:rsidRPr="00356D5E" w:rsidRDefault="00B01D72" w:rsidP="00B01D72">
      <w:pPr>
        <w:jc w:val="center"/>
        <w:rPr>
          <w:rFonts w:ascii="Arial" w:hAnsi="Arial" w:cs="Arial"/>
          <w:sz w:val="24"/>
          <w:szCs w:val="24"/>
          <w:lang w:val="fr-FR"/>
        </w:rPr>
      </w:pPr>
    </w:p>
    <w:p w14:paraId="047121AC" w14:textId="77777777" w:rsidR="00B01D72" w:rsidRPr="00356D5E" w:rsidRDefault="00B01D72" w:rsidP="00B01D72">
      <w:pPr>
        <w:jc w:val="center"/>
        <w:rPr>
          <w:rFonts w:ascii="Arial" w:hAnsi="Arial" w:cs="Arial"/>
          <w:sz w:val="24"/>
          <w:szCs w:val="24"/>
          <w:lang w:val="fr-FR"/>
        </w:rPr>
      </w:pPr>
    </w:p>
    <w:p w14:paraId="4D1866A5" w14:textId="77777777" w:rsidR="00B01D72" w:rsidRPr="00356D5E" w:rsidRDefault="00B01D72" w:rsidP="00B01D72">
      <w:pPr>
        <w:jc w:val="center"/>
        <w:rPr>
          <w:rFonts w:ascii="Arial" w:hAnsi="Arial" w:cs="Arial"/>
          <w:sz w:val="24"/>
          <w:szCs w:val="24"/>
          <w:lang w:val="fr-FR"/>
        </w:rPr>
      </w:pPr>
    </w:p>
    <w:p w14:paraId="3294CD43" w14:textId="77777777" w:rsidR="00B01D72" w:rsidRPr="00356D5E" w:rsidRDefault="00B01D72" w:rsidP="00B01D72">
      <w:pPr>
        <w:jc w:val="center"/>
        <w:rPr>
          <w:rFonts w:ascii="Arial" w:hAnsi="Arial" w:cs="Arial"/>
          <w:sz w:val="24"/>
          <w:szCs w:val="24"/>
          <w:lang w:val="fr-FR"/>
        </w:rPr>
      </w:pPr>
    </w:p>
    <w:p w14:paraId="5AF4FBB4" w14:textId="77777777" w:rsidR="00B01D72" w:rsidRPr="00356D5E" w:rsidRDefault="00B01D72" w:rsidP="00B01D72">
      <w:pPr>
        <w:jc w:val="center"/>
        <w:rPr>
          <w:rFonts w:ascii="Arial" w:hAnsi="Arial" w:cs="Arial"/>
          <w:sz w:val="24"/>
          <w:szCs w:val="24"/>
          <w:lang w:val="fr-FR"/>
        </w:rPr>
      </w:pPr>
    </w:p>
    <w:p w14:paraId="717B6117" w14:textId="77777777" w:rsidR="00B01D72" w:rsidRPr="00356D5E" w:rsidRDefault="00B01D72" w:rsidP="00B01D72">
      <w:pPr>
        <w:jc w:val="center"/>
        <w:rPr>
          <w:rFonts w:ascii="Arial" w:hAnsi="Arial" w:cs="Arial"/>
          <w:sz w:val="24"/>
          <w:szCs w:val="24"/>
          <w:lang w:val="fr-FR"/>
        </w:rPr>
      </w:pPr>
    </w:p>
    <w:p w14:paraId="6EFFC414" w14:textId="77777777" w:rsidR="00B01D72" w:rsidRPr="00356D5E" w:rsidRDefault="00B01D72" w:rsidP="00B01D72">
      <w:pPr>
        <w:jc w:val="center"/>
        <w:rPr>
          <w:rFonts w:ascii="Arial" w:hAnsi="Arial" w:cs="Arial"/>
          <w:sz w:val="24"/>
          <w:szCs w:val="24"/>
          <w:lang w:val="fr-FR"/>
        </w:rPr>
      </w:pPr>
    </w:p>
    <w:p w14:paraId="035F162C" w14:textId="77777777" w:rsidR="00B01D72" w:rsidRPr="00356D5E" w:rsidRDefault="00B01D72" w:rsidP="00B01D72">
      <w:pPr>
        <w:jc w:val="center"/>
        <w:rPr>
          <w:rFonts w:ascii="Arial" w:hAnsi="Arial" w:cs="Arial"/>
          <w:sz w:val="24"/>
          <w:szCs w:val="24"/>
          <w:lang w:val="fr-FR"/>
        </w:rPr>
      </w:pPr>
    </w:p>
    <w:p w14:paraId="13650BCE" w14:textId="77777777" w:rsidR="00B01D72" w:rsidRPr="00356D5E" w:rsidRDefault="00B01D72" w:rsidP="00B01D72">
      <w:pPr>
        <w:jc w:val="center"/>
        <w:rPr>
          <w:rFonts w:ascii="Arial" w:hAnsi="Arial" w:cs="Arial"/>
          <w:sz w:val="24"/>
          <w:szCs w:val="24"/>
          <w:lang w:val="fr-FR"/>
        </w:rPr>
      </w:pPr>
    </w:p>
    <w:p w14:paraId="7D94131F" w14:textId="77777777" w:rsidR="00B01D72" w:rsidRPr="00356D5E" w:rsidRDefault="00B01D72" w:rsidP="00B01D72">
      <w:pPr>
        <w:jc w:val="center"/>
        <w:rPr>
          <w:rFonts w:ascii="Arial" w:hAnsi="Arial" w:cs="Arial"/>
          <w:sz w:val="24"/>
          <w:szCs w:val="24"/>
          <w:lang w:val="fr-FR"/>
        </w:rPr>
      </w:pPr>
    </w:p>
    <w:p w14:paraId="28CAF1E8" w14:textId="77777777" w:rsidR="00B01D72" w:rsidRPr="00356D5E" w:rsidRDefault="00B01D72" w:rsidP="00B01D72">
      <w:pPr>
        <w:jc w:val="center"/>
        <w:rPr>
          <w:rFonts w:ascii="Arial" w:hAnsi="Arial" w:cs="Arial"/>
          <w:sz w:val="24"/>
          <w:szCs w:val="24"/>
          <w:lang w:val="fr-FR"/>
        </w:rPr>
      </w:pPr>
    </w:p>
    <w:p w14:paraId="3707B695" w14:textId="77777777" w:rsidR="00B01D72" w:rsidRPr="00356D5E" w:rsidRDefault="00B01D72" w:rsidP="00B01D72">
      <w:pPr>
        <w:jc w:val="center"/>
        <w:rPr>
          <w:rFonts w:ascii="Arial" w:hAnsi="Arial" w:cs="Arial"/>
          <w:sz w:val="24"/>
          <w:szCs w:val="24"/>
          <w:lang w:val="fr-FR"/>
        </w:rPr>
      </w:pPr>
    </w:p>
    <w:p w14:paraId="5D58BA31" w14:textId="77777777" w:rsidR="00B01D72" w:rsidRPr="00356D5E" w:rsidRDefault="00B01D72" w:rsidP="00B01D72">
      <w:pPr>
        <w:jc w:val="center"/>
        <w:rPr>
          <w:rFonts w:ascii="Arial" w:hAnsi="Arial" w:cs="Arial"/>
          <w:sz w:val="24"/>
          <w:szCs w:val="24"/>
          <w:lang w:val="fr-FR"/>
        </w:rPr>
      </w:pPr>
    </w:p>
    <w:p w14:paraId="0344562D" w14:textId="77777777" w:rsidR="00B01D72" w:rsidRPr="00356D5E" w:rsidRDefault="00B01D72" w:rsidP="00B01D72">
      <w:pPr>
        <w:jc w:val="center"/>
        <w:rPr>
          <w:rFonts w:ascii="Arial" w:hAnsi="Arial" w:cs="Arial"/>
          <w:sz w:val="24"/>
          <w:szCs w:val="24"/>
          <w:lang w:val="fr-FR"/>
        </w:rPr>
      </w:pPr>
    </w:p>
    <w:p w14:paraId="01CEE757" w14:textId="77777777" w:rsidR="00B01D72" w:rsidRPr="00356D5E" w:rsidRDefault="00B01D72" w:rsidP="00B01D72">
      <w:pPr>
        <w:jc w:val="center"/>
        <w:rPr>
          <w:rFonts w:ascii="Arial" w:hAnsi="Arial" w:cs="Arial"/>
          <w:sz w:val="24"/>
          <w:szCs w:val="24"/>
          <w:lang w:val="fr-FR"/>
        </w:rPr>
      </w:pPr>
    </w:p>
    <w:p w14:paraId="49FD44BC" w14:textId="77777777" w:rsidR="00B01D72" w:rsidRPr="00356D5E" w:rsidRDefault="00B01D72" w:rsidP="00B01D72">
      <w:pPr>
        <w:jc w:val="center"/>
        <w:rPr>
          <w:rFonts w:ascii="Arial" w:hAnsi="Arial" w:cs="Arial"/>
          <w:sz w:val="24"/>
          <w:szCs w:val="24"/>
          <w:lang w:val="fr-FR"/>
        </w:rPr>
      </w:pPr>
    </w:p>
    <w:p w14:paraId="5F811BA9" w14:textId="77777777" w:rsidR="00B01D72" w:rsidRPr="00356D5E" w:rsidRDefault="00B01D72" w:rsidP="00B01D72">
      <w:pPr>
        <w:jc w:val="center"/>
        <w:rPr>
          <w:rFonts w:ascii="Arial" w:hAnsi="Arial" w:cs="Arial"/>
          <w:sz w:val="24"/>
          <w:szCs w:val="24"/>
          <w:lang w:val="fr-FR"/>
        </w:rPr>
      </w:pPr>
    </w:p>
    <w:p w14:paraId="173F80D5" w14:textId="77777777" w:rsidR="00B01D72" w:rsidRPr="00356D5E" w:rsidRDefault="00B01D72" w:rsidP="00B01D72">
      <w:pPr>
        <w:jc w:val="center"/>
        <w:rPr>
          <w:rFonts w:ascii="Arial" w:hAnsi="Arial" w:cs="Arial"/>
          <w:sz w:val="24"/>
          <w:szCs w:val="24"/>
          <w:lang w:val="fr-FR"/>
        </w:rPr>
      </w:pPr>
    </w:p>
    <w:p w14:paraId="3B63928B" w14:textId="77777777" w:rsidR="00B01D72" w:rsidRPr="00356D5E" w:rsidRDefault="00B01D72" w:rsidP="00B01D72">
      <w:pPr>
        <w:jc w:val="center"/>
        <w:rPr>
          <w:rFonts w:ascii="Arial" w:hAnsi="Arial" w:cs="Arial"/>
          <w:sz w:val="24"/>
          <w:szCs w:val="24"/>
          <w:lang w:val="fr-FR"/>
        </w:rPr>
      </w:pPr>
    </w:p>
    <w:p w14:paraId="068F1F06" w14:textId="77777777" w:rsidR="00B01D72" w:rsidRPr="00356D5E" w:rsidRDefault="00B01D72" w:rsidP="00B01D72">
      <w:pPr>
        <w:jc w:val="center"/>
        <w:rPr>
          <w:rFonts w:ascii="Arial" w:hAnsi="Arial" w:cs="Arial"/>
          <w:sz w:val="24"/>
          <w:szCs w:val="24"/>
          <w:lang w:val="fr-FR"/>
        </w:rPr>
      </w:pPr>
    </w:p>
    <w:p w14:paraId="653CE8A2" w14:textId="77777777" w:rsidR="00B01D72" w:rsidRPr="00356D5E" w:rsidRDefault="00B01D72" w:rsidP="00B01D72">
      <w:pPr>
        <w:jc w:val="center"/>
        <w:rPr>
          <w:rFonts w:ascii="Arial" w:hAnsi="Arial" w:cs="Arial"/>
          <w:sz w:val="24"/>
          <w:szCs w:val="24"/>
          <w:lang w:val="fr-FR"/>
        </w:rPr>
      </w:pPr>
    </w:p>
    <w:p w14:paraId="080ACE21" w14:textId="77777777" w:rsidR="00B01D72" w:rsidRPr="00356D5E" w:rsidRDefault="00B01D72" w:rsidP="00B01D72">
      <w:pPr>
        <w:jc w:val="center"/>
        <w:rPr>
          <w:rFonts w:ascii="Arial" w:hAnsi="Arial" w:cs="Arial"/>
          <w:sz w:val="24"/>
          <w:szCs w:val="24"/>
          <w:lang w:val="fr-FR"/>
        </w:rPr>
      </w:pPr>
    </w:p>
    <w:p w14:paraId="0C88CB0B" w14:textId="77777777" w:rsidR="00B01D72" w:rsidRPr="00356D5E" w:rsidRDefault="00B01D72" w:rsidP="00B01D72">
      <w:pPr>
        <w:jc w:val="center"/>
        <w:rPr>
          <w:rFonts w:ascii="Arial" w:hAnsi="Arial" w:cs="Arial"/>
          <w:sz w:val="24"/>
          <w:szCs w:val="24"/>
          <w:lang w:val="fr-FR"/>
        </w:rPr>
      </w:pPr>
    </w:p>
    <w:p w14:paraId="5A9DEDF5" w14:textId="77777777" w:rsidR="00B01D72" w:rsidRPr="00356D5E" w:rsidRDefault="00B01D72" w:rsidP="00B01D72">
      <w:pPr>
        <w:jc w:val="center"/>
        <w:rPr>
          <w:rFonts w:ascii="Arial" w:hAnsi="Arial" w:cs="Arial"/>
          <w:sz w:val="24"/>
          <w:szCs w:val="24"/>
          <w:lang w:val="fr-FR"/>
        </w:rPr>
      </w:pPr>
    </w:p>
    <w:p w14:paraId="68139A50" w14:textId="77777777" w:rsidR="00B01D72" w:rsidRPr="00356D5E" w:rsidRDefault="00B01D72" w:rsidP="00B01D72">
      <w:pPr>
        <w:jc w:val="center"/>
        <w:rPr>
          <w:rFonts w:ascii="Arial" w:hAnsi="Arial" w:cs="Arial"/>
          <w:sz w:val="24"/>
          <w:szCs w:val="24"/>
          <w:lang w:val="fr-FR"/>
        </w:rPr>
      </w:pPr>
    </w:p>
    <w:p w14:paraId="3AB88473" w14:textId="77777777" w:rsidR="00B01D72" w:rsidRPr="00356D5E" w:rsidRDefault="00B01D72" w:rsidP="00E11E35">
      <w:pPr>
        <w:jc w:val="center"/>
        <w:rPr>
          <w:rFonts w:ascii="Arial" w:hAnsi="Arial" w:cs="Arial"/>
          <w:sz w:val="24"/>
          <w:szCs w:val="24"/>
          <w:lang w:val="fr-FR"/>
        </w:rPr>
      </w:pPr>
    </w:p>
    <w:p w14:paraId="3D07FE1F" w14:textId="37D1D8E7" w:rsidR="00B01D72" w:rsidRPr="00CA4A4A" w:rsidRDefault="00B01D72" w:rsidP="00CA4A4A">
      <w:pPr>
        <w:spacing w:line="360" w:lineRule="auto"/>
        <w:jc w:val="both"/>
        <w:rPr>
          <w:rFonts w:ascii="Arial" w:hAnsi="Arial" w:cs="Arial"/>
        </w:rPr>
      </w:pPr>
      <w:r w:rsidRPr="00CA4A4A">
        <w:rPr>
          <w:rFonts w:ascii="Arial" w:hAnsi="Arial" w:cs="Arial"/>
        </w:rPr>
        <w:t>Component 2 – Written Assignment (Report)</w:t>
      </w:r>
    </w:p>
    <w:p w14:paraId="109678E0" w14:textId="3878311C" w:rsidR="00B01D72" w:rsidRPr="00CA4A4A" w:rsidRDefault="00B01D72" w:rsidP="00CA4A4A">
      <w:pPr>
        <w:spacing w:line="360" w:lineRule="auto"/>
        <w:jc w:val="both"/>
        <w:rPr>
          <w:rFonts w:ascii="Arial" w:hAnsi="Arial" w:cs="Arial"/>
          <w:b/>
          <w:bCs/>
        </w:rPr>
      </w:pPr>
      <w:r w:rsidRPr="00CA4A4A">
        <w:rPr>
          <w:rFonts w:ascii="Arial" w:hAnsi="Arial" w:cs="Arial"/>
          <w:b/>
          <w:bCs/>
        </w:rPr>
        <w:t>Evaluation of Person- Centred Care and Partnership Working</w:t>
      </w:r>
      <w:r w:rsidR="00943DDC" w:rsidRPr="00CA4A4A">
        <w:rPr>
          <w:rFonts w:ascii="Arial" w:hAnsi="Arial" w:cs="Arial"/>
          <w:b/>
          <w:bCs/>
        </w:rPr>
        <w:t xml:space="preserve"> </w:t>
      </w:r>
      <w:r w:rsidR="00EE3C27" w:rsidRPr="00CA4A4A">
        <w:rPr>
          <w:rFonts w:ascii="Arial" w:hAnsi="Arial" w:cs="Arial"/>
          <w:b/>
          <w:bCs/>
        </w:rPr>
        <w:t xml:space="preserve">in Health </w:t>
      </w:r>
      <w:r w:rsidR="008331B6" w:rsidRPr="00CA4A4A">
        <w:rPr>
          <w:rFonts w:ascii="Arial" w:hAnsi="Arial" w:cs="Arial"/>
          <w:b/>
          <w:bCs/>
        </w:rPr>
        <w:t>and Social Care Practice</w:t>
      </w:r>
    </w:p>
    <w:p w14:paraId="75148E62" w14:textId="695DDE56" w:rsidR="00356D5E" w:rsidRPr="00CA4A4A" w:rsidRDefault="00356D5E" w:rsidP="00CA4A4A">
      <w:pPr>
        <w:spacing w:line="360" w:lineRule="auto"/>
        <w:jc w:val="both"/>
        <w:rPr>
          <w:rFonts w:ascii="Arial" w:hAnsi="Arial" w:cs="Arial"/>
          <w:b/>
          <w:bCs/>
        </w:rPr>
      </w:pPr>
      <w:r w:rsidRPr="00CA4A4A">
        <w:rPr>
          <w:rFonts w:ascii="Arial" w:hAnsi="Arial" w:cs="Arial"/>
          <w:b/>
          <w:bCs/>
        </w:rPr>
        <w:t xml:space="preserve">Abstract </w:t>
      </w:r>
    </w:p>
    <w:p w14:paraId="7055BFAF" w14:textId="1F271C41" w:rsidR="00356D5E" w:rsidRPr="00CA4A4A" w:rsidRDefault="006A5237" w:rsidP="00CA4A4A">
      <w:pPr>
        <w:spacing w:line="360" w:lineRule="auto"/>
        <w:jc w:val="both"/>
        <w:rPr>
          <w:rFonts w:ascii="Arial" w:hAnsi="Arial" w:cs="Arial"/>
        </w:rPr>
      </w:pPr>
      <w:r w:rsidRPr="00CA4A4A">
        <w:rPr>
          <w:rFonts w:ascii="Arial" w:hAnsi="Arial" w:cs="Arial"/>
        </w:rPr>
        <w:t xml:space="preserve">This report will explore the importance of person- centred care (PCC) and partnership working (PW) are two strategies used to assist people with dementia in a care home environment. It looks at how person- centred care acknowledges each resident’s particular requirements, </w:t>
      </w:r>
      <w:r w:rsidR="00F17215" w:rsidRPr="00CA4A4A">
        <w:rPr>
          <w:rFonts w:ascii="Arial" w:hAnsi="Arial" w:cs="Arial"/>
        </w:rPr>
        <w:t>preferences, values, and life experiences in order to promote dignity, respect, independence, choice, and tailored care. The report also emphasises the importance of good collaboration working amongst healthcare</w:t>
      </w:r>
      <w:r w:rsidR="00C40406" w:rsidRPr="00CA4A4A">
        <w:rPr>
          <w:rFonts w:ascii="Arial" w:hAnsi="Arial" w:cs="Arial"/>
        </w:rPr>
        <w:t xml:space="preserve"> </w:t>
      </w:r>
      <w:r w:rsidR="00F17215" w:rsidRPr="00CA4A4A">
        <w:rPr>
          <w:rFonts w:ascii="Arial" w:hAnsi="Arial" w:cs="Arial"/>
        </w:rPr>
        <w:t>experts, care personnel, residents,</w:t>
      </w:r>
      <w:r w:rsidR="00C40406" w:rsidRPr="00CA4A4A">
        <w:rPr>
          <w:rFonts w:ascii="Arial" w:hAnsi="Arial" w:cs="Arial"/>
        </w:rPr>
        <w:t xml:space="preserve"> relatives, and external agencies to ensure coordinated, safe, and high- quality care.</w:t>
      </w:r>
      <w:r w:rsidR="00960AAD" w:rsidRPr="00CA4A4A">
        <w:rPr>
          <w:rFonts w:ascii="Arial" w:hAnsi="Arial" w:cs="Arial"/>
        </w:rPr>
        <w:t xml:space="preserve"> Key findings show that successful implementation of PCC and PW improves resident’s quality of life, increases communication, facilitates informed decision-making, and adds to enhanced physical and emotional well-being. The report also outlines problems such as communication breakdowns, staffing shortages, and inadequate resources that may impede the </w:t>
      </w:r>
      <w:r w:rsidR="007E7D0C" w:rsidRPr="00CA4A4A">
        <w:rPr>
          <w:rFonts w:ascii="Arial" w:hAnsi="Arial" w:cs="Arial"/>
        </w:rPr>
        <w:t>delivery of high-quality dementia care. It ad</w:t>
      </w:r>
      <w:r w:rsidR="0099696B" w:rsidRPr="00CA4A4A">
        <w:rPr>
          <w:rFonts w:ascii="Arial" w:hAnsi="Arial" w:cs="Arial"/>
        </w:rPr>
        <w:t xml:space="preserve">vocates </w:t>
      </w:r>
      <w:r w:rsidR="00221EEE" w:rsidRPr="00CA4A4A">
        <w:rPr>
          <w:rFonts w:ascii="Arial" w:hAnsi="Arial" w:cs="Arial"/>
        </w:rPr>
        <w:t xml:space="preserve">continual staff training, effective interdisciplinary teamwork, family involvement in care planning, and regular monitoring of care practices to promote person-centred methods and improve results for dementia </w:t>
      </w:r>
      <w:r w:rsidR="004913B2" w:rsidRPr="00CA4A4A">
        <w:rPr>
          <w:rFonts w:ascii="Arial" w:hAnsi="Arial" w:cs="Arial"/>
        </w:rPr>
        <w:t>pa</w:t>
      </w:r>
      <w:r w:rsidR="006C360A" w:rsidRPr="00CA4A4A">
        <w:rPr>
          <w:rFonts w:ascii="Arial" w:hAnsi="Arial" w:cs="Arial"/>
        </w:rPr>
        <w:t xml:space="preserve">tients in residential care homes. </w:t>
      </w:r>
    </w:p>
    <w:p w14:paraId="1A5E3095" w14:textId="364074CE" w:rsidR="008331B6" w:rsidRDefault="00856DAE" w:rsidP="00CA4A4A">
      <w:pPr>
        <w:spacing w:line="360" w:lineRule="auto"/>
        <w:jc w:val="both"/>
        <w:rPr>
          <w:rFonts w:ascii="Arial" w:hAnsi="Arial" w:cs="Arial"/>
          <w:b/>
          <w:bCs/>
        </w:rPr>
      </w:pPr>
      <w:r w:rsidRPr="00CA4A4A">
        <w:rPr>
          <w:rFonts w:ascii="Arial" w:hAnsi="Arial" w:cs="Arial"/>
          <w:b/>
          <w:bCs/>
        </w:rPr>
        <w:t>In</w:t>
      </w:r>
      <w:r w:rsidR="004D1C99" w:rsidRPr="00CA4A4A">
        <w:rPr>
          <w:rFonts w:ascii="Arial" w:hAnsi="Arial" w:cs="Arial"/>
          <w:b/>
          <w:bCs/>
        </w:rPr>
        <w:t>troduction</w:t>
      </w:r>
    </w:p>
    <w:p w14:paraId="1B8AAD7C" w14:textId="77777777" w:rsidR="00B37BF6" w:rsidRPr="00B37BF6" w:rsidRDefault="00B37BF6" w:rsidP="00B37BF6">
      <w:pPr>
        <w:spacing w:line="360" w:lineRule="auto"/>
        <w:jc w:val="both"/>
        <w:rPr>
          <w:rFonts w:ascii="Arial" w:hAnsi="Arial" w:cs="Arial"/>
        </w:rPr>
      </w:pPr>
      <w:r w:rsidRPr="00B37BF6">
        <w:rPr>
          <w:rFonts w:ascii="Arial" w:hAnsi="Arial" w:cs="Arial"/>
        </w:rPr>
        <w:t>The purpose of this report is to look at dementia and how it affects people who live in a care home. It will explain what dementia is, how it changes a person's daily life, and why it is important for health and social care workers to provide the right support. The report will also show how good quality care can help people with dementia live as comfortably and independently as possible.</w:t>
      </w:r>
    </w:p>
    <w:p w14:paraId="322E2AAB" w14:textId="77777777" w:rsidR="00B37BF6" w:rsidRPr="00B37BF6" w:rsidRDefault="00B37BF6" w:rsidP="00B37BF6">
      <w:pPr>
        <w:spacing w:line="360" w:lineRule="auto"/>
        <w:jc w:val="both"/>
        <w:rPr>
          <w:rFonts w:ascii="Arial" w:hAnsi="Arial" w:cs="Arial"/>
        </w:rPr>
      </w:pPr>
      <w:r w:rsidRPr="00B37BF6">
        <w:rPr>
          <w:rFonts w:ascii="Arial" w:hAnsi="Arial" w:cs="Arial"/>
        </w:rPr>
        <w:t>This report will begin by explaining dementia, including the different types, common symptoms, and how the condition progresses over time. It will then look at the impact dementia has on individuals and their families, followed by the different ways care staff can support people using person-centred care. The report will also discuss the role of health and social care professionals, relevant legislation, and the importance of communication when caring for someone with dementia. Finally, the report will summarise the main points and explain why effective dementia care is so important.</w:t>
      </w:r>
    </w:p>
    <w:p w14:paraId="3027AA94" w14:textId="77777777" w:rsidR="00B37BF6" w:rsidRPr="00B37BF6" w:rsidRDefault="00B37BF6" w:rsidP="00B37BF6">
      <w:pPr>
        <w:spacing w:line="360" w:lineRule="auto"/>
        <w:jc w:val="both"/>
        <w:rPr>
          <w:rFonts w:ascii="Arial" w:hAnsi="Arial" w:cs="Arial"/>
        </w:rPr>
      </w:pPr>
      <w:r w:rsidRPr="00B37BF6">
        <w:rPr>
          <w:rFonts w:ascii="Arial" w:hAnsi="Arial" w:cs="Arial"/>
        </w:rPr>
        <w:t xml:space="preserve">The health and social care setting used throughout this report is a care home that supports older adults living with dementia. This setting provides around-the-clock care and support with </w:t>
      </w:r>
      <w:r w:rsidRPr="00B37BF6">
        <w:rPr>
          <w:rFonts w:ascii="Arial" w:hAnsi="Arial" w:cs="Arial"/>
        </w:rPr>
        <w:lastRenderedPageBreak/>
        <w:t>everyday tasks such as personal care, eating, taking medication, and social activities. Examples used in this report will relate to this care home setting to show how dementia care is provided in practice.</w:t>
      </w:r>
    </w:p>
    <w:p w14:paraId="4067B7E6" w14:textId="77777777" w:rsidR="00D10836" w:rsidRDefault="002B2574" w:rsidP="00207EB4">
      <w:pPr>
        <w:spacing w:line="360" w:lineRule="auto"/>
        <w:jc w:val="both"/>
        <w:rPr>
          <w:rFonts w:ascii="Arial" w:hAnsi="Arial" w:cs="Arial"/>
          <w:b/>
          <w:bCs/>
        </w:rPr>
      </w:pPr>
      <w:r w:rsidRPr="00CA4A4A">
        <w:rPr>
          <w:rFonts w:ascii="Arial" w:hAnsi="Arial" w:cs="Arial"/>
          <w:b/>
          <w:bCs/>
        </w:rPr>
        <w:t>Definition,</w:t>
      </w:r>
      <w:r w:rsidR="00064411" w:rsidRPr="00CA4A4A">
        <w:rPr>
          <w:rFonts w:ascii="Arial" w:hAnsi="Arial" w:cs="Arial"/>
          <w:b/>
          <w:bCs/>
        </w:rPr>
        <w:t xml:space="preserve"> Person-Cen</w:t>
      </w:r>
      <w:r w:rsidR="00D65A0A" w:rsidRPr="00CA4A4A">
        <w:rPr>
          <w:rFonts w:ascii="Arial" w:hAnsi="Arial" w:cs="Arial"/>
          <w:b/>
          <w:bCs/>
        </w:rPr>
        <w:t>tred Care</w:t>
      </w:r>
    </w:p>
    <w:p w14:paraId="3F58C551" w14:textId="1C609603" w:rsidR="00207EB4" w:rsidRPr="00D10836" w:rsidRDefault="00207EB4" w:rsidP="00207EB4">
      <w:pPr>
        <w:spacing w:line="360" w:lineRule="auto"/>
        <w:jc w:val="both"/>
        <w:rPr>
          <w:rFonts w:ascii="Arial" w:hAnsi="Arial" w:cs="Arial"/>
          <w:b/>
          <w:bCs/>
        </w:rPr>
      </w:pPr>
      <w:r w:rsidRPr="00207EB4">
        <w:rPr>
          <w:rFonts w:ascii="Arial" w:hAnsi="Arial" w:cs="Arial"/>
        </w:rPr>
        <w:t>Person-centred care (PCC) is an approach to healthcare that focuses on the individual rather than simply treating their illness or condition. It involves working in partnership with the person, respecting their values, preferences and life experiences, and involving them in decisions about their care whenever possible (McCormack and McCance, 2021). In dementia care, Kitwood (1997) explains that even when memory and cognitive abilities decline, people should still be treated with dignity, respect and compassion, with care that supports their identity and individuality.</w:t>
      </w:r>
    </w:p>
    <w:p w14:paraId="4B969C20" w14:textId="77777777" w:rsidR="00207EB4" w:rsidRPr="00207EB4" w:rsidRDefault="00207EB4" w:rsidP="00207EB4">
      <w:pPr>
        <w:spacing w:line="360" w:lineRule="auto"/>
        <w:jc w:val="both"/>
        <w:rPr>
          <w:rFonts w:ascii="Arial" w:hAnsi="Arial" w:cs="Arial"/>
        </w:rPr>
      </w:pPr>
      <w:r w:rsidRPr="00207EB4">
        <w:rPr>
          <w:rFonts w:ascii="Arial" w:hAnsi="Arial" w:cs="Arial"/>
        </w:rPr>
        <w:t>Person-centred care has many benefits, particularly for people living with dementia in care homes. When staff take the time to understand a resident's personal history, routines, interests and preferences, they can provide care that is more meaningful and tailored to the individual. This often helps residents feel more comfortable, valued and secure in their surroundings. Research has found that person-centred care can improve patient satisfaction, increase emotional wellbeing and contribute to better health outcomes by reducing distress and encouraging greater involvement in daily activities (Edvardsson, Winblad and Sandman, 2008). It can also strengthen relationships between residents, their families and care staff, creating a more positive care environment (Brooker, 2007).</w:t>
      </w:r>
    </w:p>
    <w:p w14:paraId="6BF06073" w14:textId="77777777" w:rsidR="00207EB4" w:rsidRPr="00207EB4" w:rsidRDefault="00207EB4" w:rsidP="00207EB4">
      <w:pPr>
        <w:spacing w:line="360" w:lineRule="auto"/>
        <w:jc w:val="both"/>
        <w:rPr>
          <w:rFonts w:ascii="Arial" w:hAnsi="Arial" w:cs="Arial"/>
        </w:rPr>
      </w:pPr>
      <w:r w:rsidRPr="00207EB4">
        <w:rPr>
          <w:rFonts w:ascii="Arial" w:hAnsi="Arial" w:cs="Arial"/>
        </w:rPr>
        <w:t>Although person-centred care has many advantages, there are also challenges when putting it into practice. One of the biggest barriers is a lack of resources. Many care homes experience staff shortages, heavy workloads and limited funding, making it difficult for staff to spend enough time getting to know each resident as an individual (McCormack and McCance, 2021). Another challenge is resistance to change. Some staff may be more familiar with routine, task-focused care and may need additional training and support before they feel confident using a person-centred approach (Brooker, 2007). High staff turnover can also make it difficult to build trusting relationships with residents, which is an important part of providing consistent, person-centred care.</w:t>
      </w:r>
    </w:p>
    <w:p w14:paraId="5A8A764C" w14:textId="26114BEF" w:rsidR="002A411A" w:rsidRDefault="00207EB4" w:rsidP="00CA4A4A">
      <w:pPr>
        <w:spacing w:line="360" w:lineRule="auto"/>
        <w:jc w:val="both"/>
        <w:rPr>
          <w:rFonts w:ascii="Arial" w:hAnsi="Arial" w:cs="Arial"/>
        </w:rPr>
      </w:pPr>
      <w:r w:rsidRPr="00207EB4">
        <w:rPr>
          <w:rFonts w:ascii="Arial" w:hAnsi="Arial" w:cs="Arial"/>
        </w:rPr>
        <w:t xml:space="preserve">Person-centred care is especially important in a dementia care home because every resident </w:t>
      </w:r>
      <w:r w:rsidR="00BE4B17" w:rsidRPr="00207EB4">
        <w:rPr>
          <w:rFonts w:ascii="Arial" w:hAnsi="Arial" w:cs="Arial"/>
        </w:rPr>
        <w:t>experience</w:t>
      </w:r>
      <w:r w:rsidRPr="00207EB4">
        <w:rPr>
          <w:rFonts w:ascii="Arial" w:hAnsi="Arial" w:cs="Arial"/>
        </w:rPr>
        <w:t xml:space="preserve"> dementia differently. Understanding a person's life story, cultural background, preferences and daily routines allows staff to provide care that reflects the individual's needs rather than using the same approach for everyone. For example, knowing a resident's favourite music, preferred bedtime routine or previous occupation can help reduce anxiety and make everyday activities more familiar and enjoyable. The National Institute for Health and </w:t>
      </w:r>
      <w:r w:rsidRPr="00207EB4">
        <w:rPr>
          <w:rFonts w:ascii="Arial" w:hAnsi="Arial" w:cs="Arial"/>
        </w:rPr>
        <w:lastRenderedPageBreak/>
        <w:t>Care Excellence (NICE, 2018) recommends that people living with dementia should receive care that is personalised and promotes independence, choice and dignity. Although there can be challenges in delivering person-centred care, it remains a key part of improving the quality of life and wellbeing of people living with dementia in care homes.</w:t>
      </w:r>
    </w:p>
    <w:p w14:paraId="259AE90A" w14:textId="16D07706" w:rsidR="00E0279E" w:rsidRDefault="00E0279E" w:rsidP="00CA4A4A">
      <w:pPr>
        <w:spacing w:line="360" w:lineRule="auto"/>
        <w:jc w:val="both"/>
        <w:rPr>
          <w:rFonts w:ascii="Arial" w:hAnsi="Arial" w:cs="Arial"/>
          <w:b/>
          <w:bCs/>
        </w:rPr>
      </w:pPr>
      <w:r w:rsidRPr="00CA4A4A">
        <w:rPr>
          <w:rFonts w:ascii="Arial" w:hAnsi="Arial" w:cs="Arial"/>
          <w:b/>
          <w:bCs/>
        </w:rPr>
        <w:t xml:space="preserve">Theory Underpinning Person-Centred Care </w:t>
      </w:r>
      <w:r w:rsidR="004D20F5" w:rsidRPr="004D20F5">
        <w:rPr>
          <w:rFonts w:ascii="Arial" w:hAnsi="Arial" w:cs="Arial"/>
          <w:b/>
          <w:bCs/>
        </w:rPr>
        <w:t>in Dementia Care Homes</w:t>
      </w:r>
    </w:p>
    <w:p w14:paraId="1A0D0F86" w14:textId="77777777" w:rsidR="007B0981" w:rsidRPr="007B0981" w:rsidRDefault="007B0981" w:rsidP="007B0981">
      <w:pPr>
        <w:spacing w:line="360" w:lineRule="auto"/>
        <w:jc w:val="both"/>
        <w:rPr>
          <w:rFonts w:ascii="Arial" w:hAnsi="Arial" w:cs="Arial"/>
        </w:rPr>
      </w:pPr>
      <w:r w:rsidRPr="007B0981">
        <w:rPr>
          <w:rFonts w:ascii="Arial" w:hAnsi="Arial" w:cs="Arial"/>
        </w:rPr>
        <w:t>This assignment will explore the key theories that underpin Person-Centred Care (PCC) and examine their relevance within a dementia care home setting. It will begin by identifying and explaining the major theoretical approaches that have shaped PCC, highlighting how they contribute to improving the quality of care for individuals living with dementia.</w:t>
      </w:r>
    </w:p>
    <w:p w14:paraId="02193863" w14:textId="77777777" w:rsidR="007B0981" w:rsidRPr="007B0981" w:rsidRDefault="007B0981" w:rsidP="007B0981">
      <w:pPr>
        <w:spacing w:line="360" w:lineRule="auto"/>
        <w:jc w:val="both"/>
        <w:rPr>
          <w:rFonts w:ascii="Arial" w:hAnsi="Arial" w:cs="Arial"/>
        </w:rPr>
      </w:pPr>
      <w:r w:rsidRPr="007B0981">
        <w:rPr>
          <w:rFonts w:ascii="Arial" w:hAnsi="Arial" w:cs="Arial"/>
        </w:rPr>
        <w:t>The discussion will then analyse how these theories support the core principles of Person-Centred Care, including respect for individuality, dignity, autonomy, choice, and meaningful relationships. Rather than simply describing each theory, the assignment will critically evaluate their strengths and limitations and consider how they influence person-centred practice in real-world care environments.</w:t>
      </w:r>
    </w:p>
    <w:p w14:paraId="1C94E3FE" w14:textId="77777777" w:rsidR="007B0981" w:rsidRDefault="007B0981" w:rsidP="007B0981">
      <w:pPr>
        <w:spacing w:line="360" w:lineRule="auto"/>
        <w:jc w:val="both"/>
        <w:rPr>
          <w:rFonts w:ascii="Arial" w:hAnsi="Arial" w:cs="Arial"/>
        </w:rPr>
      </w:pPr>
      <w:r w:rsidRPr="007B0981">
        <w:rPr>
          <w:rFonts w:ascii="Arial" w:hAnsi="Arial" w:cs="Arial"/>
        </w:rPr>
        <w:t>Finally, the assignment will discuss the practical application of these theories within a dementia care home. Examples from practice and current research literature will be used to demonstrate how theoretical concepts can be translated into everyday care, supporting the physical, emotional, and psychological wellbeing of residents. Throughout the discussion, evidence from relevant academic literature will be synthesised to provide a balanced and critical analysis of how Person-Centred Care can be effectively implemented in dementia care settings.</w:t>
      </w:r>
    </w:p>
    <w:p w14:paraId="1B531652" w14:textId="77777777" w:rsidR="007B0981" w:rsidRPr="007B0981" w:rsidRDefault="007B0981" w:rsidP="007B0981">
      <w:pPr>
        <w:spacing w:line="360" w:lineRule="auto"/>
        <w:jc w:val="both"/>
        <w:rPr>
          <w:rFonts w:ascii="Arial" w:hAnsi="Arial" w:cs="Arial"/>
        </w:rPr>
      </w:pPr>
      <w:r w:rsidRPr="007B0981">
        <w:rPr>
          <w:rFonts w:ascii="Arial" w:hAnsi="Arial" w:cs="Arial"/>
          <w:b/>
          <w:bCs/>
        </w:rPr>
        <w:t>Social Model of Health</w:t>
      </w:r>
    </w:p>
    <w:p w14:paraId="5D8C0275" w14:textId="77777777" w:rsidR="007B0981" w:rsidRPr="007B0981" w:rsidRDefault="007B0981" w:rsidP="007B0981">
      <w:pPr>
        <w:spacing w:line="360" w:lineRule="auto"/>
        <w:jc w:val="both"/>
        <w:rPr>
          <w:rFonts w:ascii="Arial" w:hAnsi="Arial" w:cs="Arial"/>
        </w:rPr>
      </w:pPr>
      <w:r w:rsidRPr="007B0981">
        <w:rPr>
          <w:rFonts w:ascii="Arial" w:hAnsi="Arial" w:cs="Arial"/>
        </w:rPr>
        <w:t>The Social Model of Health focuses on how social, environmental, and psychological factors influence a person's health and wellbeing. This model closely aligns with person-centred care because it encourages care homes to remove barriers that prevent residents from living meaningful lives. In dementia care, this may include creating dementia-friendly environments, encouraging social interaction, supporting independence, involving families in care, and respecting each resident's life history, culture, beliefs, and personal choices. Rather than focusing solely on the dementia diagnosis, the Social Model emphasises supporting the whole person.</w:t>
      </w:r>
    </w:p>
    <w:p w14:paraId="79DB3019" w14:textId="77777777" w:rsidR="007B0981" w:rsidRPr="007B0981" w:rsidRDefault="007B0981" w:rsidP="007B0981">
      <w:pPr>
        <w:spacing w:line="360" w:lineRule="auto"/>
        <w:jc w:val="both"/>
        <w:rPr>
          <w:rFonts w:ascii="Arial" w:hAnsi="Arial" w:cs="Arial"/>
        </w:rPr>
      </w:pPr>
      <w:r w:rsidRPr="007B0981">
        <w:rPr>
          <w:rFonts w:ascii="Arial" w:hAnsi="Arial" w:cs="Arial"/>
          <w:b/>
          <w:bCs/>
        </w:rPr>
        <w:t>Medical Model of Health</w:t>
      </w:r>
    </w:p>
    <w:p w14:paraId="68D135BA" w14:textId="77777777" w:rsidR="007B0981" w:rsidRPr="007B0981" w:rsidRDefault="007B0981" w:rsidP="007B0981">
      <w:pPr>
        <w:spacing w:line="360" w:lineRule="auto"/>
        <w:jc w:val="both"/>
        <w:rPr>
          <w:rFonts w:ascii="Arial" w:hAnsi="Arial" w:cs="Arial"/>
        </w:rPr>
      </w:pPr>
      <w:r w:rsidRPr="007B0981">
        <w:rPr>
          <w:rFonts w:ascii="Arial" w:hAnsi="Arial" w:cs="Arial"/>
        </w:rPr>
        <w:t xml:space="preserve">The Medical Model focuses on diagnosing, treating, and managing disease. In dementia care homes, this model remains important because residents often require medication, monitoring </w:t>
      </w:r>
      <w:r w:rsidRPr="007B0981">
        <w:rPr>
          <w:rFonts w:ascii="Arial" w:hAnsi="Arial" w:cs="Arial"/>
        </w:rPr>
        <w:lastRenderedPageBreak/>
        <w:t>of symptoms, and treatment for other health conditions. However, person-centred care recognises that dementia affects more than physical health. While the Medical Model helps manage the condition, it should not be the only approach used, as it may overlook emotional, psychological, and social needs.</w:t>
      </w:r>
    </w:p>
    <w:p w14:paraId="3F98E89B" w14:textId="39C44EC6" w:rsidR="0087300C" w:rsidRPr="0087300C" w:rsidRDefault="0087300C" w:rsidP="0087300C">
      <w:pPr>
        <w:spacing w:line="360" w:lineRule="auto"/>
        <w:jc w:val="both"/>
        <w:rPr>
          <w:rFonts w:ascii="Arial" w:hAnsi="Arial" w:cs="Arial"/>
          <w:b/>
          <w:bCs/>
        </w:rPr>
      </w:pPr>
      <w:r w:rsidRPr="0087300C">
        <w:rPr>
          <w:rFonts w:ascii="Arial" w:hAnsi="Arial" w:cs="Arial"/>
          <w:b/>
          <w:bCs/>
        </w:rPr>
        <w:t>Overall</w:t>
      </w:r>
    </w:p>
    <w:p w14:paraId="2CC80F01" w14:textId="2443296C" w:rsidR="0087300C" w:rsidRPr="0087300C" w:rsidRDefault="0087300C" w:rsidP="0087300C">
      <w:pPr>
        <w:spacing w:line="360" w:lineRule="auto"/>
        <w:jc w:val="both"/>
        <w:rPr>
          <w:rFonts w:ascii="Arial" w:hAnsi="Arial" w:cs="Arial"/>
        </w:rPr>
      </w:pPr>
      <w:r w:rsidRPr="0087300C">
        <w:rPr>
          <w:rFonts w:ascii="Arial" w:hAnsi="Arial" w:cs="Arial"/>
        </w:rPr>
        <w:t>the Social Model of Health provides the strongest foundation for person-centred care in dementia care homes because it looks beyond the diagnosis and focuses on the individual as a whole. It recognises that a person's wellbeing is influenced by their relationships, environment, personal experiences, and opportunities to remain involved in daily life. By promoting independence, dignity, meaningful social connections, and personalised care, the Social Model helps residents maintain the best possible quality of life.</w:t>
      </w:r>
    </w:p>
    <w:p w14:paraId="11F471A2" w14:textId="77777777" w:rsidR="0087300C" w:rsidRPr="0087300C" w:rsidRDefault="0087300C" w:rsidP="0087300C">
      <w:pPr>
        <w:spacing w:line="360" w:lineRule="auto"/>
        <w:jc w:val="both"/>
        <w:rPr>
          <w:rFonts w:ascii="Arial" w:hAnsi="Arial" w:cs="Arial"/>
        </w:rPr>
      </w:pPr>
      <w:r w:rsidRPr="0087300C">
        <w:rPr>
          <w:rFonts w:ascii="Arial" w:hAnsi="Arial" w:cs="Arial"/>
        </w:rPr>
        <w:t>Although the Medical Model remains essential for diagnosing dementia, managing symptoms, and providing appropriate treatment, it does not fully address the emotional, social, and psychological needs of people living with dementia. For this reason, high-quality dementia care combines the benefits of medical treatment with the principles of the Social Model, ensuring that each resident receives compassionate, holistic, and person-centred care that respects their individuality, preferences, and life history.</w:t>
      </w:r>
    </w:p>
    <w:p w14:paraId="1D19D50B" w14:textId="73AE483B" w:rsidR="004435E1" w:rsidRDefault="004435E1" w:rsidP="00CA4A4A">
      <w:pPr>
        <w:spacing w:line="360" w:lineRule="auto"/>
        <w:jc w:val="both"/>
        <w:rPr>
          <w:rFonts w:ascii="Arial" w:hAnsi="Arial" w:cs="Arial"/>
          <w:b/>
          <w:bCs/>
        </w:rPr>
      </w:pPr>
      <w:r w:rsidRPr="00CA4A4A">
        <w:rPr>
          <w:rFonts w:ascii="Arial" w:hAnsi="Arial" w:cs="Arial"/>
          <w:b/>
          <w:bCs/>
        </w:rPr>
        <w:t xml:space="preserve">Ethical Fundamentals of Health and Social Care </w:t>
      </w:r>
    </w:p>
    <w:p w14:paraId="7E1BCC2C" w14:textId="77777777" w:rsidR="00FF2767" w:rsidRPr="00FF2767" w:rsidRDefault="00FF2767" w:rsidP="00FF2767">
      <w:pPr>
        <w:spacing w:line="360" w:lineRule="auto"/>
        <w:jc w:val="both"/>
        <w:rPr>
          <w:rFonts w:ascii="Arial" w:hAnsi="Arial" w:cs="Arial"/>
        </w:rPr>
      </w:pPr>
      <w:r w:rsidRPr="00FF2767">
        <w:rPr>
          <w:rFonts w:ascii="Arial" w:hAnsi="Arial" w:cs="Arial"/>
        </w:rPr>
        <w:t>Ethics play an important role in health and social care practice because they help professionals make decisions that respect the rights, needs, and well-being of the people they support. Beauchamp and Childress (2019) explain that ethical decision-making is based on four main principles: autonomy, beneficence, non-maleficence, and justice. These principles are especially important when caring for people with dementia in a care home, as they help ensure that care is safe, respectful, and focused on the individual.</w:t>
      </w:r>
    </w:p>
    <w:p w14:paraId="0B74B863" w14:textId="77777777" w:rsidR="00FF2767" w:rsidRPr="00FF2767" w:rsidRDefault="00FF2767" w:rsidP="00FF2767">
      <w:pPr>
        <w:spacing w:line="360" w:lineRule="auto"/>
        <w:jc w:val="both"/>
        <w:rPr>
          <w:rFonts w:ascii="Arial" w:hAnsi="Arial" w:cs="Arial"/>
        </w:rPr>
      </w:pPr>
      <w:r w:rsidRPr="00FF2767">
        <w:rPr>
          <w:rFonts w:ascii="Arial" w:hAnsi="Arial" w:cs="Arial"/>
        </w:rPr>
        <w:t>Autonomy means respecting a person’s right to make choices about their own care and everyday life. Although dementia may affect a person’s memory, communication, or ability to make some decisions, care staff should still encourage independence and involve them in decisions as much as possible. For example, a person living with dementia should be supported to choose what they want to wear, what activities they would like to take part in, and what foods they prefer. Care workers should communicate clearly, provide information in a way the person can understand, and involve family members or advocates when needed while still respecting the person’s own wishes and preferences.</w:t>
      </w:r>
    </w:p>
    <w:p w14:paraId="17D25FF2" w14:textId="77777777" w:rsidR="00FF2767" w:rsidRPr="00FF2767" w:rsidRDefault="00FF2767" w:rsidP="00FF2767">
      <w:pPr>
        <w:spacing w:line="360" w:lineRule="auto"/>
        <w:jc w:val="both"/>
        <w:rPr>
          <w:rFonts w:ascii="Arial" w:hAnsi="Arial" w:cs="Arial"/>
        </w:rPr>
      </w:pPr>
      <w:r w:rsidRPr="00FF2767">
        <w:rPr>
          <w:rFonts w:ascii="Arial" w:hAnsi="Arial" w:cs="Arial"/>
        </w:rPr>
        <w:t xml:space="preserve">Beneficence means that professionals should always act in the best interests of the people they care for and focus on improving their quality of life. In a care home, this involves </w:t>
      </w:r>
      <w:r w:rsidRPr="00FF2767">
        <w:rPr>
          <w:rFonts w:ascii="Arial" w:hAnsi="Arial" w:cs="Arial"/>
        </w:rPr>
        <w:lastRenderedPageBreak/>
        <w:t>supporting residents with dementia by meeting their physical, emotional, and social needs. This could include encouraging participation in activities, supporting relationships with others, maintaining dignity, managing health conditions, and creating an environment where the person feels safe and valued. Understanding a person’s background, interests, routines, and personal preferences allows staff to provide care that is meaningful and individualised.</w:t>
      </w:r>
    </w:p>
    <w:p w14:paraId="7CB7804E" w14:textId="77777777" w:rsidR="00FF2767" w:rsidRPr="00FF2767" w:rsidRDefault="00FF2767" w:rsidP="00FF2767">
      <w:pPr>
        <w:spacing w:line="360" w:lineRule="auto"/>
        <w:jc w:val="both"/>
        <w:rPr>
          <w:rFonts w:ascii="Arial" w:hAnsi="Arial" w:cs="Arial"/>
        </w:rPr>
      </w:pPr>
      <w:r w:rsidRPr="00FF2767">
        <w:rPr>
          <w:rFonts w:ascii="Arial" w:hAnsi="Arial" w:cs="Arial"/>
        </w:rPr>
        <w:t>Non-maleficence means avoiding harm and reducing unnecessary risks. Care home staff have a responsibility to identify and manage risks that may affect people with dementia, such as falls, medication errors, poor nutrition, or emotional distress. However, it is important that safety measures do not remove a person’s independence. For example, supporting a resident to take part in activities while providing the right level of assistance allows them to remain active and confident while reducing potential risks.</w:t>
      </w:r>
    </w:p>
    <w:p w14:paraId="26C235C9" w14:textId="77777777" w:rsidR="00FF2767" w:rsidRPr="00FF2767" w:rsidRDefault="00FF2767" w:rsidP="00FF2767">
      <w:pPr>
        <w:spacing w:line="360" w:lineRule="auto"/>
        <w:jc w:val="both"/>
        <w:rPr>
          <w:rFonts w:ascii="Arial" w:hAnsi="Arial" w:cs="Arial"/>
        </w:rPr>
      </w:pPr>
      <w:r w:rsidRPr="00FF2767">
        <w:rPr>
          <w:rFonts w:ascii="Arial" w:hAnsi="Arial" w:cs="Arial"/>
        </w:rPr>
        <w:t>Justice is based on the principles of fairness, equality, and treating everyone with respect. People living with dementia should receive the same opportunities, support, and access to services as others, regardless of their age, disability, ethnicity, gender, or financial background. The Equality Act 2010 helps protect individuals from discrimination and ensures that care providers treat all residents fairly.</w:t>
      </w:r>
    </w:p>
    <w:p w14:paraId="039626D5" w14:textId="77777777" w:rsidR="00FF2767" w:rsidRPr="00FF2767" w:rsidRDefault="00FF2767" w:rsidP="00FF2767">
      <w:pPr>
        <w:spacing w:line="360" w:lineRule="auto"/>
        <w:jc w:val="both"/>
        <w:rPr>
          <w:rFonts w:ascii="Arial" w:hAnsi="Arial" w:cs="Arial"/>
        </w:rPr>
      </w:pPr>
      <w:r w:rsidRPr="00FF2767">
        <w:rPr>
          <w:rFonts w:ascii="Arial" w:hAnsi="Arial" w:cs="Arial"/>
        </w:rPr>
        <w:t>Overall, ethical principles are essential for providing person-centred care and effective partnership working in dementia care settings. They ensure that decisions are made around the individual’s needs, rights, and preferences rather than focusing only on their condition. Partnership working involves care staff, healthcare professionals, family members, advocates, and the person with dementia working together to provide the best possible support. Through good communication, respect, and shared decision-making, professionals can help maintain the person’s dignity, independence, and quality of life.</w:t>
      </w:r>
    </w:p>
    <w:p w14:paraId="7F65A722" w14:textId="77777777" w:rsidR="00C77402" w:rsidRDefault="009A78AE" w:rsidP="00C77402">
      <w:pPr>
        <w:spacing w:line="360" w:lineRule="auto"/>
        <w:jc w:val="both"/>
        <w:rPr>
          <w:rFonts w:ascii="Arial" w:hAnsi="Arial" w:cs="Arial"/>
          <w:b/>
          <w:bCs/>
        </w:rPr>
      </w:pPr>
      <w:r w:rsidRPr="00CA4A4A">
        <w:rPr>
          <w:rFonts w:ascii="Arial" w:hAnsi="Arial" w:cs="Arial"/>
          <w:b/>
          <w:bCs/>
        </w:rPr>
        <w:t>Evaluation of Partnership Working in Health and Social Care</w:t>
      </w:r>
      <w:r w:rsidR="00C77402">
        <w:rPr>
          <w:rFonts w:ascii="Arial" w:hAnsi="Arial" w:cs="Arial"/>
          <w:b/>
          <w:bCs/>
        </w:rPr>
        <w:t>:</w:t>
      </w:r>
      <w:r w:rsidR="00C77402" w:rsidRPr="00C77402">
        <w:t xml:space="preserve"> </w:t>
      </w:r>
      <w:r w:rsidR="00C77402" w:rsidRPr="00C77402">
        <w:rPr>
          <w:rFonts w:ascii="Arial" w:hAnsi="Arial" w:cs="Arial"/>
          <w:b/>
          <w:bCs/>
        </w:rPr>
        <w:t>The Impact on Dementia Care in a Care Home Setting</w:t>
      </w:r>
      <w:r w:rsidR="00C77402">
        <w:rPr>
          <w:rFonts w:ascii="Arial" w:hAnsi="Arial" w:cs="Arial"/>
          <w:b/>
          <w:bCs/>
        </w:rPr>
        <w:t xml:space="preserve"> </w:t>
      </w:r>
    </w:p>
    <w:p w14:paraId="2AD97329" w14:textId="06BC4311" w:rsidR="00C77402" w:rsidRPr="00C77402" w:rsidRDefault="00C77402" w:rsidP="00C77402">
      <w:pPr>
        <w:spacing w:line="360" w:lineRule="auto"/>
        <w:jc w:val="both"/>
        <w:rPr>
          <w:rFonts w:ascii="Arial" w:hAnsi="Arial" w:cs="Arial"/>
          <w:b/>
          <w:bCs/>
        </w:rPr>
      </w:pPr>
      <w:r w:rsidRPr="00C77402">
        <w:rPr>
          <w:rFonts w:ascii="Arial" w:hAnsi="Arial" w:cs="Arial"/>
        </w:rPr>
        <w:t>Partnership working (PW) is an important approach within health and social care that involves different professionals, organisations, individuals, families, and community services working together to provide effective and person-centred support. Rather than services working separately, partnership working encourages the sharing of knowledge, skills, resources, and information to ensure that individuals receive care that meets their specific needs.</w:t>
      </w:r>
    </w:p>
    <w:p w14:paraId="7323BBEA" w14:textId="77777777" w:rsidR="00C77402" w:rsidRPr="00C77402" w:rsidRDefault="00C77402" w:rsidP="00C77402">
      <w:pPr>
        <w:spacing w:line="360" w:lineRule="auto"/>
        <w:jc w:val="both"/>
        <w:rPr>
          <w:rFonts w:ascii="Arial" w:hAnsi="Arial" w:cs="Arial"/>
        </w:rPr>
      </w:pPr>
      <w:r w:rsidRPr="00C77402">
        <w:rPr>
          <w:rFonts w:ascii="Arial" w:hAnsi="Arial" w:cs="Arial"/>
        </w:rPr>
        <w:t xml:space="preserve">The importance of partnership working has increased due to the growing complexity of care needs, particularly among older adults living with conditions such as dementia. People with dementia often require support from a range of services, including healthcare professionals, social care workers, family members, and specialist teams. Therefore, effective collaboration </w:t>
      </w:r>
      <w:r w:rsidRPr="00C77402">
        <w:rPr>
          <w:rFonts w:ascii="Arial" w:hAnsi="Arial" w:cs="Arial"/>
        </w:rPr>
        <w:lastRenderedPageBreak/>
        <w:t>is essential to ensure that care is coordinated, safe, and focused on improving the individual’s quality of life.</w:t>
      </w:r>
    </w:p>
    <w:p w14:paraId="3CECFFE9" w14:textId="77777777" w:rsidR="00C77402" w:rsidRPr="00C77402" w:rsidRDefault="00C77402" w:rsidP="00C77402">
      <w:pPr>
        <w:spacing w:line="360" w:lineRule="auto"/>
        <w:jc w:val="both"/>
        <w:rPr>
          <w:rFonts w:ascii="Arial" w:hAnsi="Arial" w:cs="Arial"/>
        </w:rPr>
      </w:pPr>
      <w:r w:rsidRPr="00C77402">
        <w:rPr>
          <w:rFonts w:ascii="Arial" w:hAnsi="Arial" w:cs="Arial"/>
        </w:rPr>
        <w:t>One example of the increasing focus on partnership working is the introduction of Integrated Care Systems (ICSs) in England. ICSs bring together NHS organisations, local authorities, and other health and social care providers to work collaboratively in planning and delivering services. Their purpose is to reduce the separation between health and social care services and create a more joined-up approach. This is particularly valuable for people living with dementia because their needs often involve medical care, emotional support, safeguarding, mental health services, and assistance with everyday activities.</w:t>
      </w:r>
    </w:p>
    <w:p w14:paraId="6B2269E1" w14:textId="77777777" w:rsidR="00C77402" w:rsidRPr="00C77402" w:rsidRDefault="00C77402" w:rsidP="00C77402">
      <w:pPr>
        <w:spacing w:line="360" w:lineRule="auto"/>
        <w:jc w:val="both"/>
        <w:rPr>
          <w:rFonts w:ascii="Arial" w:hAnsi="Arial" w:cs="Arial"/>
        </w:rPr>
      </w:pPr>
      <w:r w:rsidRPr="00C77402">
        <w:rPr>
          <w:rFonts w:ascii="Arial" w:hAnsi="Arial" w:cs="Arial"/>
        </w:rPr>
        <w:t>Within a care home environment, partnership working plays a vital role because residents with dementia often require support from a variety of professionals, including care workers, nurses, GPs, pharmacists, occupational therapists, social workers, and their families. When these individuals work together effectively, they can provide care that is personalised, responsive, and better suited to the changing needs of residents.</w:t>
      </w:r>
    </w:p>
    <w:p w14:paraId="2244CD95" w14:textId="77777777" w:rsidR="00C77402" w:rsidRPr="00C77402" w:rsidRDefault="00C77402" w:rsidP="00C77402">
      <w:pPr>
        <w:spacing w:line="360" w:lineRule="auto"/>
        <w:jc w:val="both"/>
        <w:rPr>
          <w:rFonts w:ascii="Arial" w:hAnsi="Arial" w:cs="Arial"/>
          <w:b/>
          <w:bCs/>
        </w:rPr>
      </w:pPr>
      <w:r w:rsidRPr="00C77402">
        <w:rPr>
          <w:rFonts w:ascii="Arial" w:hAnsi="Arial" w:cs="Arial"/>
          <w:b/>
          <w:bCs/>
        </w:rPr>
        <w:t>Benefits of Partnership Working</w:t>
      </w:r>
    </w:p>
    <w:p w14:paraId="448F95E2" w14:textId="77777777" w:rsidR="00C77402" w:rsidRPr="00C77402" w:rsidRDefault="00C77402" w:rsidP="00C77402">
      <w:pPr>
        <w:spacing w:line="360" w:lineRule="auto"/>
        <w:jc w:val="both"/>
        <w:rPr>
          <w:rFonts w:ascii="Arial" w:hAnsi="Arial" w:cs="Arial"/>
        </w:rPr>
      </w:pPr>
      <w:r w:rsidRPr="00C77402">
        <w:rPr>
          <w:rFonts w:ascii="Arial" w:hAnsi="Arial" w:cs="Arial"/>
        </w:rPr>
        <w:t>One of the main benefits of partnership working is improved service delivery. By combining the knowledge and expertise of different professionals, care providers can develop a more complete understanding of an individual’s needs. For example, in a dementia care home, care workers are often the first people to notice changes in a resident’s behaviour, such as increased confusion, anxiety, aggression, or withdrawal. By sharing these observations with healthcare professionals, such as a GP or dementia specialist, possible causes can be identified and appropriate support or treatment can be provided.</w:t>
      </w:r>
    </w:p>
    <w:p w14:paraId="5375E740" w14:textId="3EB6FF11" w:rsidR="00C77402" w:rsidRPr="00C77402" w:rsidRDefault="00C77402" w:rsidP="00C77402">
      <w:pPr>
        <w:spacing w:line="360" w:lineRule="auto"/>
        <w:jc w:val="both"/>
        <w:rPr>
          <w:rFonts w:ascii="Arial" w:hAnsi="Arial" w:cs="Arial"/>
        </w:rPr>
      </w:pPr>
      <w:r w:rsidRPr="00C77402">
        <w:rPr>
          <w:rFonts w:ascii="Arial" w:hAnsi="Arial" w:cs="Arial"/>
        </w:rPr>
        <w:t xml:space="preserve">Partnership working also supports the delivery of person-centred care. The work of Tom Kitwood highlighted the importance of seeing individuals with dementia as people with unique identities, experiences, relationships, and preferences rather than focusing only on their diagnosis. By </w:t>
      </w:r>
      <w:r w:rsidR="005C3746" w:rsidRPr="00C77402">
        <w:rPr>
          <w:rFonts w:ascii="Arial" w:hAnsi="Arial" w:cs="Arial"/>
        </w:rPr>
        <w:t>collaborating</w:t>
      </w:r>
      <w:r w:rsidRPr="00C77402">
        <w:rPr>
          <w:rFonts w:ascii="Arial" w:hAnsi="Arial" w:cs="Arial"/>
        </w:rPr>
        <w:t xml:space="preserve"> closely with residents, families, and professionals, care staff can develop a better understanding of the person and create care plans that respect their choices, routines, and personal history.</w:t>
      </w:r>
    </w:p>
    <w:p w14:paraId="6D356E85" w14:textId="77777777" w:rsidR="00C77402" w:rsidRPr="00C77402" w:rsidRDefault="00C77402" w:rsidP="00C77402">
      <w:pPr>
        <w:spacing w:line="360" w:lineRule="auto"/>
        <w:jc w:val="both"/>
        <w:rPr>
          <w:rFonts w:ascii="Arial" w:hAnsi="Arial" w:cs="Arial"/>
        </w:rPr>
      </w:pPr>
      <w:r w:rsidRPr="00C77402">
        <w:rPr>
          <w:rFonts w:ascii="Arial" w:hAnsi="Arial" w:cs="Arial"/>
        </w:rPr>
        <w:t xml:space="preserve">Another important benefit is improved outcomes for individuals receiving care. Effective collaboration can help reduce unnecessary hospital admissions, improve medication management, and promote independence and wellbeing. For example, pharmacists can work alongside care home staff to review medication and identify whether certain medicines may be contributing to issues such as confusion, falls, or changes in behaviour. Occupational </w:t>
      </w:r>
      <w:r w:rsidRPr="00C77402">
        <w:rPr>
          <w:rFonts w:ascii="Arial" w:hAnsi="Arial" w:cs="Arial"/>
        </w:rPr>
        <w:lastRenderedPageBreak/>
        <w:t>therapists can also provide advice on adapting the care environment to improve safety and support residents in maintaining independence.</w:t>
      </w:r>
    </w:p>
    <w:p w14:paraId="35DDD037" w14:textId="77777777" w:rsidR="00C77402" w:rsidRPr="00C77402" w:rsidRDefault="00C77402" w:rsidP="00C77402">
      <w:pPr>
        <w:spacing w:line="360" w:lineRule="auto"/>
        <w:jc w:val="both"/>
        <w:rPr>
          <w:rFonts w:ascii="Arial" w:hAnsi="Arial" w:cs="Arial"/>
        </w:rPr>
      </w:pPr>
      <w:r w:rsidRPr="00C77402">
        <w:rPr>
          <w:rFonts w:ascii="Arial" w:hAnsi="Arial" w:cs="Arial"/>
        </w:rPr>
        <w:t>Partnership working can also improve continuity of care. Dementia is a progressive condition, meaning that an individual’s needs can change over time. Good communication between different services ensures that important information about a person’s health, behaviour, preferences, and care requirements is shared appropriately. This helps prevent gaps in care and ensures that support remains consistent as the individual’s condition develops.</w:t>
      </w:r>
    </w:p>
    <w:p w14:paraId="1989970A" w14:textId="77777777" w:rsidR="00C77402" w:rsidRPr="00C77402" w:rsidRDefault="00C77402" w:rsidP="00C77402">
      <w:pPr>
        <w:spacing w:line="360" w:lineRule="auto"/>
        <w:jc w:val="both"/>
        <w:rPr>
          <w:rFonts w:ascii="Arial" w:hAnsi="Arial" w:cs="Arial"/>
          <w:b/>
          <w:bCs/>
        </w:rPr>
      </w:pPr>
      <w:r w:rsidRPr="00C77402">
        <w:rPr>
          <w:rFonts w:ascii="Arial" w:hAnsi="Arial" w:cs="Arial"/>
          <w:b/>
          <w:bCs/>
        </w:rPr>
        <w:t>Challenges of Partnership Working</w:t>
      </w:r>
    </w:p>
    <w:p w14:paraId="4E7411EE" w14:textId="77777777" w:rsidR="00C77402" w:rsidRPr="00C77402" w:rsidRDefault="00C77402" w:rsidP="00C77402">
      <w:pPr>
        <w:spacing w:line="360" w:lineRule="auto"/>
        <w:jc w:val="both"/>
        <w:rPr>
          <w:rFonts w:ascii="Arial" w:hAnsi="Arial" w:cs="Arial"/>
        </w:rPr>
      </w:pPr>
      <w:r w:rsidRPr="00C77402">
        <w:rPr>
          <w:rFonts w:ascii="Arial" w:hAnsi="Arial" w:cs="Arial"/>
        </w:rPr>
        <w:t>Although partnership working provides many benefits, there are also several challenges that can affect how effectively services work together. One major challenge is the difficulty of coordinating between different organisations. Health and social care services often have different priorities, structures, and systems. For example, NHS services may focus more on medical treatment and clinical outcomes, while social care services may place greater emphasis on supporting independence, daily living, and quality of life. These differences can sometimes make joint decision-making more challenging.</w:t>
      </w:r>
    </w:p>
    <w:p w14:paraId="55E0B33F" w14:textId="77777777" w:rsidR="00C77402" w:rsidRPr="00C77402" w:rsidRDefault="00C77402" w:rsidP="00C77402">
      <w:pPr>
        <w:spacing w:line="360" w:lineRule="auto"/>
        <w:jc w:val="both"/>
        <w:rPr>
          <w:rFonts w:ascii="Arial" w:hAnsi="Arial" w:cs="Arial"/>
        </w:rPr>
      </w:pPr>
      <w:r w:rsidRPr="00C77402">
        <w:rPr>
          <w:rFonts w:ascii="Arial" w:hAnsi="Arial" w:cs="Arial"/>
        </w:rPr>
        <w:t>Communication difficulties are another significant barrier. Effective partnership working depends on professionals sharing accurate and timely information. Poor communication can lead to misunderstandings, delays in treatment, or important information being missed. In a dementia care home, if changes in a resident’s health or behaviour are not communicated effectively with healthcare professionals, it may delay assessment or treatment. Similarly, when a resident returns from hospital, incomplete communication between hospital staff and care home staff may affect the quality and continuity of their care.</w:t>
      </w:r>
    </w:p>
    <w:p w14:paraId="28496549" w14:textId="77777777" w:rsidR="00C77402" w:rsidRPr="00C77402" w:rsidRDefault="00C77402" w:rsidP="00C77402">
      <w:pPr>
        <w:spacing w:line="360" w:lineRule="auto"/>
        <w:jc w:val="both"/>
        <w:rPr>
          <w:rFonts w:ascii="Arial" w:hAnsi="Arial" w:cs="Arial"/>
        </w:rPr>
      </w:pPr>
      <w:r w:rsidRPr="00C77402">
        <w:rPr>
          <w:rFonts w:ascii="Arial" w:hAnsi="Arial" w:cs="Arial"/>
        </w:rPr>
        <w:t>Information sharing can also create challenges. While sharing information is essential for providing coordinated care, professionals must ensure that confidentiality and data protection requirements are followed. Some staff may feel uncertain about what information they are allowed to share, which can sometimes limit communication between services.</w:t>
      </w:r>
    </w:p>
    <w:p w14:paraId="22BF5C7D" w14:textId="77777777" w:rsidR="00C77402" w:rsidRPr="00C77402" w:rsidRDefault="00C77402" w:rsidP="00C77402">
      <w:pPr>
        <w:spacing w:line="360" w:lineRule="auto"/>
        <w:jc w:val="both"/>
        <w:rPr>
          <w:rFonts w:ascii="Arial" w:hAnsi="Arial" w:cs="Arial"/>
        </w:rPr>
      </w:pPr>
      <w:r w:rsidRPr="00C77402">
        <w:rPr>
          <w:rFonts w:ascii="Arial" w:hAnsi="Arial" w:cs="Arial"/>
        </w:rPr>
        <w:t>Staff shortages and workload pressures can further affect partnership working. Care home staff often have demanding responsibilities, and external professionals may also have limited time available. As a result, opportunities for regular meetings, care reviews, and communication between teams may be reduced. This can make it more difficult to maintain strong working relationships.</w:t>
      </w:r>
    </w:p>
    <w:p w14:paraId="79BA4139" w14:textId="77777777" w:rsidR="00BE4B17" w:rsidRDefault="00BE4B17" w:rsidP="00C77402">
      <w:pPr>
        <w:spacing w:line="360" w:lineRule="auto"/>
        <w:jc w:val="both"/>
        <w:rPr>
          <w:rFonts w:ascii="Arial" w:hAnsi="Arial" w:cs="Arial"/>
          <w:b/>
          <w:bCs/>
        </w:rPr>
      </w:pPr>
    </w:p>
    <w:p w14:paraId="39C9FB2E" w14:textId="77777777" w:rsidR="00BE4B17" w:rsidRDefault="00BE4B17" w:rsidP="00C77402">
      <w:pPr>
        <w:spacing w:line="360" w:lineRule="auto"/>
        <w:jc w:val="both"/>
        <w:rPr>
          <w:rFonts w:ascii="Arial" w:hAnsi="Arial" w:cs="Arial"/>
          <w:b/>
          <w:bCs/>
        </w:rPr>
      </w:pPr>
    </w:p>
    <w:p w14:paraId="224BFF61" w14:textId="79652F06" w:rsidR="00C77402" w:rsidRPr="00C77402" w:rsidRDefault="00C77402" w:rsidP="00C77402">
      <w:pPr>
        <w:spacing w:line="360" w:lineRule="auto"/>
        <w:jc w:val="both"/>
        <w:rPr>
          <w:rFonts w:ascii="Arial" w:hAnsi="Arial" w:cs="Arial"/>
          <w:b/>
          <w:bCs/>
        </w:rPr>
      </w:pPr>
      <w:r w:rsidRPr="00C77402">
        <w:rPr>
          <w:rFonts w:ascii="Arial" w:hAnsi="Arial" w:cs="Arial"/>
          <w:b/>
          <w:bCs/>
        </w:rPr>
        <w:lastRenderedPageBreak/>
        <w:t>Impact of Partnership Working on Health and Social Care Services</w:t>
      </w:r>
    </w:p>
    <w:p w14:paraId="5890E927" w14:textId="77777777" w:rsidR="00C77402" w:rsidRPr="00C77402" w:rsidRDefault="00C77402" w:rsidP="00C77402">
      <w:pPr>
        <w:spacing w:line="360" w:lineRule="auto"/>
        <w:jc w:val="both"/>
        <w:rPr>
          <w:rFonts w:ascii="Arial" w:hAnsi="Arial" w:cs="Arial"/>
        </w:rPr>
      </w:pPr>
      <w:r w:rsidRPr="00C77402">
        <w:rPr>
          <w:rFonts w:ascii="Arial" w:hAnsi="Arial" w:cs="Arial"/>
        </w:rPr>
        <w:t>Partnership working has had a significant impact on the way health and social care services are delivered. It encourages organisations to move away from working independently and instead focus on a more integrated approach where the needs of the individual are prioritised. This can improve efficiency, prevent duplication of services, and create a better experience for people receiving care.</w:t>
      </w:r>
    </w:p>
    <w:p w14:paraId="4A4D70DB" w14:textId="77777777" w:rsidR="00C77402" w:rsidRPr="00C77402" w:rsidRDefault="00C77402" w:rsidP="00C77402">
      <w:pPr>
        <w:spacing w:line="360" w:lineRule="auto"/>
        <w:jc w:val="both"/>
        <w:rPr>
          <w:rFonts w:ascii="Arial" w:hAnsi="Arial" w:cs="Arial"/>
        </w:rPr>
      </w:pPr>
      <w:r w:rsidRPr="00C77402">
        <w:rPr>
          <w:rFonts w:ascii="Arial" w:hAnsi="Arial" w:cs="Arial"/>
        </w:rPr>
        <w:t>For individuals living with dementia, partnership working can have a positive impact on their overall quality of life. Dementia affects individuals physically, emotionally, socially, and psychologically, meaning care must address more than just medical needs. A multidisciplinary approach involving care staff, healthcare professionals, social workers, and families can support better management of symptoms and help develop strategies that improve comfort and wellbeing.</w:t>
      </w:r>
    </w:p>
    <w:p w14:paraId="17EF6CC9" w14:textId="77777777" w:rsidR="00C77402" w:rsidRPr="00C77402" w:rsidRDefault="00C77402" w:rsidP="00C77402">
      <w:pPr>
        <w:spacing w:line="360" w:lineRule="auto"/>
        <w:jc w:val="both"/>
        <w:rPr>
          <w:rFonts w:ascii="Arial" w:hAnsi="Arial" w:cs="Arial"/>
        </w:rPr>
      </w:pPr>
      <w:r w:rsidRPr="00C77402">
        <w:rPr>
          <w:rFonts w:ascii="Arial" w:hAnsi="Arial" w:cs="Arial"/>
        </w:rPr>
        <w:t>For example, if a resident with dementia begins experiencing frequent falls, partnership working allows different professionals to contribute their expertise. Care staff may identify patterns or risks, physiotherapists can provide mobility support, occupational therapists can recommend environmental changes, and medical professionals can investigate possible health-related causes. Working together can reduce risks and improve the resident’s safety.</w:t>
      </w:r>
    </w:p>
    <w:p w14:paraId="572D0BB9" w14:textId="77777777" w:rsidR="00C77402" w:rsidRPr="00C77402" w:rsidRDefault="00C77402" w:rsidP="00C77402">
      <w:pPr>
        <w:spacing w:line="360" w:lineRule="auto"/>
        <w:jc w:val="both"/>
        <w:rPr>
          <w:rFonts w:ascii="Arial" w:hAnsi="Arial" w:cs="Arial"/>
        </w:rPr>
      </w:pPr>
      <w:r w:rsidRPr="00C77402">
        <w:rPr>
          <w:rFonts w:ascii="Arial" w:hAnsi="Arial" w:cs="Arial"/>
        </w:rPr>
        <w:t>However, the success of partnership working depends on effective leadership, clear communication, shared goals, and a commitment from all organisations involved. Although Integrated Care Systems aim to strengthen collaboration between services, successful partnership working requires continuous cooperation and communication between professionals.</w:t>
      </w:r>
    </w:p>
    <w:p w14:paraId="76279497" w14:textId="77777777" w:rsidR="00C77402" w:rsidRPr="00C77402" w:rsidRDefault="00C77402" w:rsidP="00C77402">
      <w:pPr>
        <w:spacing w:line="360" w:lineRule="auto"/>
        <w:jc w:val="both"/>
        <w:rPr>
          <w:rFonts w:ascii="Arial" w:hAnsi="Arial" w:cs="Arial"/>
        </w:rPr>
      </w:pPr>
      <w:r w:rsidRPr="00C77402">
        <w:rPr>
          <w:rFonts w:ascii="Arial" w:hAnsi="Arial" w:cs="Arial"/>
        </w:rPr>
        <w:t>In a care home setting, partnership working can be demonstrated through regular multidisciplinary meetings, shared care plans, family involvement in decision-making, and effective communication with external healthcare providers. These approaches ensure that residents receive care that is holistic, personalised, and responsive to their changing needs.</w:t>
      </w:r>
    </w:p>
    <w:p w14:paraId="677C63A2" w14:textId="77777777" w:rsidR="00C77402" w:rsidRPr="00C77402" w:rsidRDefault="00C77402" w:rsidP="00C77402">
      <w:pPr>
        <w:spacing w:line="360" w:lineRule="auto"/>
        <w:jc w:val="both"/>
        <w:rPr>
          <w:rFonts w:ascii="Arial" w:hAnsi="Arial" w:cs="Arial"/>
          <w:b/>
          <w:bCs/>
        </w:rPr>
      </w:pPr>
      <w:r w:rsidRPr="00C77402">
        <w:rPr>
          <w:rFonts w:ascii="Arial" w:hAnsi="Arial" w:cs="Arial"/>
          <w:b/>
          <w:bCs/>
        </w:rPr>
        <w:t>Conclusion</w:t>
      </w:r>
    </w:p>
    <w:p w14:paraId="2A072494" w14:textId="77777777" w:rsidR="00C77402" w:rsidRPr="00C77402" w:rsidRDefault="00C77402" w:rsidP="00C77402">
      <w:pPr>
        <w:spacing w:line="360" w:lineRule="auto"/>
        <w:jc w:val="both"/>
        <w:rPr>
          <w:rFonts w:ascii="Arial" w:hAnsi="Arial" w:cs="Arial"/>
        </w:rPr>
      </w:pPr>
      <w:r w:rsidRPr="00C77402">
        <w:rPr>
          <w:rFonts w:ascii="Arial" w:hAnsi="Arial" w:cs="Arial"/>
        </w:rPr>
        <w:t>Partnership working is a key element of effective health and social care because it allows professionals, organisations, and families to work together to provide coordinated and person-centred support. The development of Integrated Care Systems demonstrates the growing importance of collaboration between health and social care services.</w:t>
      </w:r>
    </w:p>
    <w:p w14:paraId="6F131CBA" w14:textId="77777777" w:rsidR="00C77402" w:rsidRPr="00C77402" w:rsidRDefault="00C77402" w:rsidP="00C77402">
      <w:pPr>
        <w:spacing w:line="360" w:lineRule="auto"/>
        <w:jc w:val="both"/>
        <w:rPr>
          <w:rFonts w:ascii="Arial" w:hAnsi="Arial" w:cs="Arial"/>
        </w:rPr>
      </w:pPr>
      <w:r w:rsidRPr="00C77402">
        <w:rPr>
          <w:rFonts w:ascii="Arial" w:hAnsi="Arial" w:cs="Arial"/>
        </w:rPr>
        <w:t xml:space="preserve">Within dementia care homes, partnership working can improve service delivery, enhance outcomes, and promote dignity, independence, and quality of life for residents. Although </w:t>
      </w:r>
      <w:r w:rsidRPr="00C77402">
        <w:rPr>
          <w:rFonts w:ascii="Arial" w:hAnsi="Arial" w:cs="Arial"/>
        </w:rPr>
        <w:lastRenderedPageBreak/>
        <w:t>challenges such as communication barriers, coordination difficulties, and workforce pressures can affect its effectiveness, strong partnership working remains essential. When professionals share knowledge, communicate effectively, and work towards common goals, dementia care services can become more responsive and better equipped to meet the complex needs of individuals living with dementia.</w:t>
      </w:r>
    </w:p>
    <w:p w14:paraId="058B675E" w14:textId="1A2B936E" w:rsidR="001D44B4" w:rsidRDefault="001D44B4" w:rsidP="00CA4A4A">
      <w:pPr>
        <w:spacing w:line="360" w:lineRule="auto"/>
        <w:jc w:val="both"/>
        <w:rPr>
          <w:rFonts w:ascii="Arial" w:hAnsi="Arial" w:cs="Arial"/>
          <w:b/>
          <w:bCs/>
        </w:rPr>
      </w:pPr>
      <w:r w:rsidRPr="00CA4A4A">
        <w:rPr>
          <w:rFonts w:ascii="Arial" w:hAnsi="Arial" w:cs="Arial"/>
          <w:b/>
          <w:bCs/>
        </w:rPr>
        <w:t>Relevant Policies and Legislation</w:t>
      </w:r>
      <w:r w:rsidR="001F35E7">
        <w:rPr>
          <w:rFonts w:ascii="Arial" w:hAnsi="Arial" w:cs="Arial"/>
          <w:b/>
          <w:bCs/>
        </w:rPr>
        <w:t xml:space="preserve">: </w:t>
      </w:r>
      <w:r w:rsidR="001F35E7" w:rsidRPr="001F35E7">
        <w:rPr>
          <w:rFonts w:ascii="Arial" w:hAnsi="Arial" w:cs="Arial"/>
          <w:b/>
          <w:bCs/>
        </w:rPr>
        <w:t>in Dementia Care Homes</w:t>
      </w:r>
      <w:r w:rsidRPr="00CA4A4A">
        <w:rPr>
          <w:rFonts w:ascii="Arial" w:hAnsi="Arial" w:cs="Arial"/>
          <w:b/>
          <w:bCs/>
        </w:rPr>
        <w:t xml:space="preserve"> </w:t>
      </w:r>
    </w:p>
    <w:p w14:paraId="16022C02" w14:textId="77777777" w:rsidR="001F35E7" w:rsidRPr="001F35E7" w:rsidRDefault="001F35E7" w:rsidP="001F35E7">
      <w:pPr>
        <w:spacing w:line="360" w:lineRule="auto"/>
        <w:jc w:val="both"/>
        <w:rPr>
          <w:rFonts w:ascii="Arial" w:hAnsi="Arial" w:cs="Arial"/>
        </w:rPr>
      </w:pPr>
      <w:r w:rsidRPr="001F35E7">
        <w:rPr>
          <w:rFonts w:ascii="Arial" w:hAnsi="Arial" w:cs="Arial"/>
        </w:rPr>
        <w:t>Policies and legislation play an important role in ensuring that people living with dementia receive safe, respectful, and person-centred care. In a care home setting, these laws guide staff on how to protect residents’ rights, promote their independence, and provide care that meets their individual needs.</w:t>
      </w:r>
    </w:p>
    <w:p w14:paraId="6C5F0976" w14:textId="77777777" w:rsidR="001F35E7" w:rsidRPr="001F35E7" w:rsidRDefault="001F35E7" w:rsidP="001F35E7">
      <w:pPr>
        <w:spacing w:line="360" w:lineRule="auto"/>
        <w:jc w:val="both"/>
        <w:rPr>
          <w:rFonts w:ascii="Arial" w:hAnsi="Arial" w:cs="Arial"/>
        </w:rPr>
      </w:pPr>
      <w:r w:rsidRPr="001F35E7">
        <w:rPr>
          <w:rFonts w:ascii="Arial" w:hAnsi="Arial" w:cs="Arial"/>
        </w:rPr>
        <w:t>The Care Act 2014 is one of the key pieces of legislation that affects dementia care. It places a responsibility on care providers to promote the wellbeing, dignity, and independence of residents. In a care home, this means staff must focus on the person rather than only their dementia diagnosis. For example, when supporting a resident with personal care, staff should consider their preferences, routines, cultural background, and abilities instead of completing tasks in a rushed or standardised way. The Care Act supports person-centred care (PCC) because it encourages involvement in decisions and promotes choice and control. However, challenges can occur when care homes have limited staff or resources, making it harder to provide fully personalised care.</w:t>
      </w:r>
    </w:p>
    <w:p w14:paraId="14FAF1AD" w14:textId="77777777" w:rsidR="001F35E7" w:rsidRPr="001F35E7" w:rsidRDefault="001F35E7" w:rsidP="001F35E7">
      <w:pPr>
        <w:spacing w:line="360" w:lineRule="auto"/>
        <w:jc w:val="both"/>
        <w:rPr>
          <w:rFonts w:ascii="Arial" w:hAnsi="Arial" w:cs="Arial"/>
        </w:rPr>
      </w:pPr>
      <w:r w:rsidRPr="001F35E7">
        <w:rPr>
          <w:rFonts w:ascii="Arial" w:hAnsi="Arial" w:cs="Arial"/>
        </w:rPr>
        <w:t>The Health and Social Care Act 2012 introduced changes to the way health and social care services are organised and emphasised the importance of improving quality and safety. For dementia care homes, this means providers must maintain good standards of care, support staff training, and work effectively with health professionals such as GPs, nurses, and dementia specialists. This supports positive wellbeing (PW) by helping residents receive appropriate care and treatment. However, pressure on health and social care services can sometimes lead to delays in accessing specialist support, which may affect residents’ quality of life.</w:t>
      </w:r>
    </w:p>
    <w:p w14:paraId="7A162C6C" w14:textId="12148147" w:rsidR="001F35E7" w:rsidRPr="001F35E7" w:rsidRDefault="001F35E7" w:rsidP="001F35E7">
      <w:pPr>
        <w:spacing w:line="360" w:lineRule="auto"/>
        <w:jc w:val="both"/>
        <w:rPr>
          <w:rFonts w:ascii="Arial" w:hAnsi="Arial" w:cs="Arial"/>
        </w:rPr>
      </w:pPr>
      <w:r w:rsidRPr="001F35E7">
        <w:rPr>
          <w:rFonts w:ascii="Arial" w:hAnsi="Arial" w:cs="Arial"/>
        </w:rPr>
        <w:t xml:space="preserve">The Health and Care Act 2022 </w:t>
      </w:r>
      <w:r w:rsidR="00BE4B17" w:rsidRPr="001F35E7">
        <w:rPr>
          <w:rFonts w:ascii="Arial" w:hAnsi="Arial" w:cs="Arial"/>
        </w:rPr>
        <w:t>focus</w:t>
      </w:r>
      <w:r w:rsidRPr="001F35E7">
        <w:rPr>
          <w:rFonts w:ascii="Arial" w:hAnsi="Arial" w:cs="Arial"/>
        </w:rPr>
        <w:t xml:space="preserve"> on improving integration between health and social care services. In a dementia care home, this encourages better communication between care staff, families, and healthcare professionals. For example, if a resident’s behaviour changes suddenly, care workers can </w:t>
      </w:r>
      <w:r w:rsidR="005C3746" w:rsidRPr="001F35E7">
        <w:rPr>
          <w:rFonts w:ascii="Arial" w:hAnsi="Arial" w:cs="Arial"/>
        </w:rPr>
        <w:t>collaborate</w:t>
      </w:r>
      <w:r w:rsidRPr="001F35E7">
        <w:rPr>
          <w:rFonts w:ascii="Arial" w:hAnsi="Arial" w:cs="Arial"/>
        </w:rPr>
        <w:t xml:space="preserve"> with medical professionals to identify whether this is caused by pain, illness, medication, or progression of dementia. This joined-up approach supports better outcomes and reduces unnecessary hospital admissions. However, successful implementation depends on effective communication and cooperation between different services.</w:t>
      </w:r>
    </w:p>
    <w:p w14:paraId="3FB31C60" w14:textId="77777777" w:rsidR="001F35E7" w:rsidRPr="001F35E7" w:rsidRDefault="001F35E7" w:rsidP="001F35E7">
      <w:pPr>
        <w:spacing w:line="360" w:lineRule="auto"/>
        <w:jc w:val="both"/>
        <w:rPr>
          <w:rFonts w:ascii="Arial" w:hAnsi="Arial" w:cs="Arial"/>
        </w:rPr>
      </w:pPr>
      <w:r w:rsidRPr="001F35E7">
        <w:rPr>
          <w:rFonts w:ascii="Arial" w:hAnsi="Arial" w:cs="Arial"/>
        </w:rPr>
        <w:lastRenderedPageBreak/>
        <w:t>The Human Rights Act 1998 protects the basic rights and freedoms of individuals, including people living with dementia. In a care home, this means residents must be treated with dignity, privacy, and respect. For example, staff should ask for consent before providing personal care and ensure residents’ private information is protected. The Act supports PCC by recognising that people with dementia still have the right to make choices about their own lives. A challenge may occur when staff need to balance a resident’s choices with their duty to keep them safe, such as when a person wants to walk outside alone but is at risk of becoming lost.</w:t>
      </w:r>
    </w:p>
    <w:p w14:paraId="55547381" w14:textId="77777777" w:rsidR="001F35E7" w:rsidRPr="001F35E7" w:rsidRDefault="001F35E7" w:rsidP="001F35E7">
      <w:pPr>
        <w:spacing w:line="360" w:lineRule="auto"/>
        <w:jc w:val="both"/>
        <w:rPr>
          <w:rFonts w:ascii="Arial" w:hAnsi="Arial" w:cs="Arial"/>
        </w:rPr>
      </w:pPr>
      <w:r w:rsidRPr="001F35E7">
        <w:rPr>
          <w:rFonts w:ascii="Arial" w:hAnsi="Arial" w:cs="Arial"/>
        </w:rPr>
        <w:t>The Equality Act 2010 protects people from discrimination and requires care providers to make reasonable adjustments for individuals with disabilities, including dementia. In a care home, this may involve adapting communication methods, providing additional support during activities, or making the environment easier to navigate. For example, using clear signs, memory aids, and familiar objects can help residents feel more comfortable and independent. This legislation supports inclusion and ensures that residents with dementia are not excluded from activities or decisions because of their condition.</w:t>
      </w:r>
    </w:p>
    <w:p w14:paraId="23DFF388" w14:textId="77777777" w:rsidR="001F35E7" w:rsidRPr="001F35E7" w:rsidRDefault="001F35E7" w:rsidP="001F35E7">
      <w:pPr>
        <w:spacing w:line="360" w:lineRule="auto"/>
        <w:jc w:val="both"/>
        <w:rPr>
          <w:rFonts w:ascii="Arial" w:hAnsi="Arial" w:cs="Arial"/>
          <w:b/>
          <w:bCs/>
        </w:rPr>
      </w:pPr>
      <w:r w:rsidRPr="001F35E7">
        <w:rPr>
          <w:rFonts w:ascii="Arial" w:hAnsi="Arial" w:cs="Arial"/>
        </w:rPr>
        <w:t>Overall, these policies and laws have a significant impact on dementia care practice. They encourage care homes to provide person-centred care by focusing on each resident’s identity, preferences, rights, and wellbeing. However, factors such as staffing shortages, limited funding, and increasing demand for dementia services can make it difficult for care providers to meet all requirements. In practice, care staff must balance legal responsibilities with compassionate support to ensure residents experience dignity, respect, safety, and the best possible quality of life.</w:t>
      </w:r>
    </w:p>
    <w:p w14:paraId="1AD594CF" w14:textId="1B345EDF" w:rsidR="001C1DE4" w:rsidRDefault="0086589D" w:rsidP="00CA4A4A">
      <w:pPr>
        <w:spacing w:line="360" w:lineRule="auto"/>
        <w:jc w:val="both"/>
        <w:rPr>
          <w:rFonts w:ascii="Arial" w:hAnsi="Arial" w:cs="Arial"/>
          <w:b/>
          <w:bCs/>
        </w:rPr>
      </w:pPr>
      <w:r w:rsidRPr="00CA4A4A">
        <w:rPr>
          <w:rFonts w:ascii="Arial" w:hAnsi="Arial" w:cs="Arial"/>
          <w:b/>
          <w:bCs/>
        </w:rPr>
        <w:t>Recommendations for Future Development</w:t>
      </w:r>
    </w:p>
    <w:p w14:paraId="43DA36EC" w14:textId="77777777" w:rsidR="00C65BE3" w:rsidRPr="00C65BE3" w:rsidRDefault="00C65BE3" w:rsidP="00C65BE3">
      <w:pPr>
        <w:spacing w:line="360" w:lineRule="auto"/>
        <w:jc w:val="both"/>
        <w:rPr>
          <w:rFonts w:ascii="Arial" w:hAnsi="Arial" w:cs="Arial"/>
        </w:rPr>
      </w:pPr>
      <w:r w:rsidRPr="00C65BE3">
        <w:rPr>
          <w:rFonts w:ascii="Arial" w:hAnsi="Arial" w:cs="Arial"/>
        </w:rPr>
        <w:t>Although person-centred care (PCC) and person-centred working (PW) are widely recognised as the foundation of high-quality dementia care within UK care homes, there are still important gaps between policy and everyday practice. While national guidance promotes personalised, relationship-based care, implementation is often inconsistent because of workforce pressures, limited resources, and variations in staff knowledge and confidence. Addressing these challenges requires a combination of technological innovation, improved workforce development, stronger collaborative partnerships, ongoing research, and continued policy refinement.</w:t>
      </w:r>
    </w:p>
    <w:p w14:paraId="2579D6D9" w14:textId="77777777" w:rsidR="00C65BE3" w:rsidRPr="00C65BE3" w:rsidRDefault="00C65BE3" w:rsidP="00C65BE3">
      <w:pPr>
        <w:spacing w:line="360" w:lineRule="auto"/>
        <w:jc w:val="both"/>
        <w:rPr>
          <w:rFonts w:ascii="Arial" w:hAnsi="Arial" w:cs="Arial"/>
        </w:rPr>
      </w:pPr>
      <w:r w:rsidRPr="00C65BE3">
        <w:rPr>
          <w:rFonts w:ascii="Arial" w:hAnsi="Arial" w:cs="Arial"/>
        </w:rPr>
        <w:t xml:space="preserve">One key area for future development is the increased use of technology to support person-centred dementia care. Digital care planning systems, electronic life story tools, wearable monitoring devices, and assistive technologies can enable care staff to better understand residents' individual preferences, monitor changes in health, and respond more quickly to their needs. For example, electronic life story resources can help staff provide meaningful, </w:t>
      </w:r>
      <w:r w:rsidRPr="00C65BE3">
        <w:rPr>
          <w:rFonts w:ascii="Arial" w:hAnsi="Arial" w:cs="Arial"/>
        </w:rPr>
        <w:lastRenderedPageBreak/>
        <w:t>personalised interactions that maintain a resident's identity despite cognitive decline. Evidence suggests that technology can improve communication between multidisciplinary professionals, enhance continuity of care, and support better clinical decision-making (NICE, 2018). However, successful implementation depends on sufficient funding, reliable digital infrastructure, and comprehensive staff training. Older care homes may lack the financial resources to invest in new technologies, while some staff may experience anxiety or resistance towards digital systems due to limited digital literacy. These challenges highlight the importance of ongoing technical support and investment alongside technological innovation.</w:t>
      </w:r>
    </w:p>
    <w:p w14:paraId="4E3417E0" w14:textId="77777777" w:rsidR="00C65BE3" w:rsidRPr="00C65BE3" w:rsidRDefault="00C65BE3" w:rsidP="00C65BE3">
      <w:pPr>
        <w:spacing w:line="360" w:lineRule="auto"/>
        <w:jc w:val="both"/>
        <w:rPr>
          <w:rFonts w:ascii="Arial" w:hAnsi="Arial" w:cs="Arial"/>
        </w:rPr>
      </w:pPr>
      <w:r w:rsidRPr="00C65BE3">
        <w:rPr>
          <w:rFonts w:ascii="Arial" w:hAnsi="Arial" w:cs="Arial"/>
        </w:rPr>
        <w:t>Another significant area requiring improvement is enhanced education and training for the dementia care workforce. Although mandatory training is common across care homes, its quality and depth often vary considerably. Short, generic training sessions may not equip staff with the practical skills needed to manage complex dementia-related behaviours while maintaining person-centred values. Future training should place greater emphasis on communication techniques, recognising unmet needs behind behaviours that challenge, cultural competence, trauma-informed care, and reflective practice. Continuous professional development rather than one-off training events is more likely to promote lasting changes in practice. Kitwood's theory of personhood continues to provide an important theoretical foundation by emphasising that preserving identity, dignity, and meaningful relationships should remain central throughout dementia care. Research by Surr et al. (2020) demonstrates that high-quality dementia education improves staff confidence, competence, and the overall quality of care delivered to residents. Nevertheless, releasing staff for training can be difficult because of staffing shortages, financial pressures, and high turnover rates, which remain ongoing challenges within the UK social care sector.</w:t>
      </w:r>
    </w:p>
    <w:p w14:paraId="3F84CC6F" w14:textId="77777777" w:rsidR="00C65BE3" w:rsidRPr="00C65BE3" w:rsidRDefault="00C65BE3" w:rsidP="00C65BE3">
      <w:pPr>
        <w:spacing w:line="360" w:lineRule="auto"/>
        <w:jc w:val="both"/>
        <w:rPr>
          <w:rFonts w:ascii="Arial" w:hAnsi="Arial" w:cs="Arial"/>
        </w:rPr>
      </w:pPr>
      <w:r w:rsidRPr="00C65BE3">
        <w:rPr>
          <w:rFonts w:ascii="Arial" w:hAnsi="Arial" w:cs="Arial"/>
        </w:rPr>
        <w:t xml:space="preserve">Developing stronger collaborative partnerships also represents an important opportunity to improve person-centred dementia care. Effective collaboration between care home staff, GPs, specialist dementia nurses, occupational therapists, families, community organisations, and voluntary services enables a more holistic understanding of each resident's physical, emotional, psychological, and social needs. Families possess valuable knowledge about residents' life histories, routines, preferences, and values, making their involvement essential in developing truly personalised care plans. The Care Act 2014 emphasises partnership working as a fundamental principle of integrated care. Furthermore, multidisciplinary collaboration has been associated with improved care planning, reduced avoidable hospital admissions, and enhanced quality of life for people living with dementia. Despite these benefits, practical barriers such as poor communication between organisations, incompatible record systems, limited availability of specialist services, and differences in organisational </w:t>
      </w:r>
      <w:r w:rsidRPr="00C65BE3">
        <w:rPr>
          <w:rFonts w:ascii="Arial" w:hAnsi="Arial" w:cs="Arial"/>
        </w:rPr>
        <w:lastRenderedPageBreak/>
        <w:t>priorities can restrict effective collaboration. Strengthening integrated care pathways and improving information sharing across services will therefore be essential for future service development.</w:t>
      </w:r>
    </w:p>
    <w:p w14:paraId="64A392EB" w14:textId="77777777" w:rsidR="00C65BE3" w:rsidRPr="00C65BE3" w:rsidRDefault="00C65BE3" w:rsidP="00C65BE3">
      <w:pPr>
        <w:spacing w:line="360" w:lineRule="auto"/>
        <w:jc w:val="both"/>
        <w:rPr>
          <w:rFonts w:ascii="Arial" w:hAnsi="Arial" w:cs="Arial"/>
        </w:rPr>
      </w:pPr>
      <w:r w:rsidRPr="00C65BE3">
        <w:rPr>
          <w:rFonts w:ascii="Arial" w:hAnsi="Arial" w:cs="Arial"/>
        </w:rPr>
        <w:t>Continued research is also necessary to strengthen the evidence base underpinning person-centred care within residential dementia settings. Although PCC is widely endorsed, further high-quality UK-based research is needed to identify which interventions are most effective across different stages of dementia and diverse care home populations. Greater investment in implementation research would also help identify strategies that enable successful translation of evidence into routine practice. Involving people living with dementia, family carers, and frontline care staff within research design would ensure that future evidence remains relevant to real-world care environments. However, conducting dementia research presents ethical and practical challenges, including issues surrounding informed consent, participant recruitment, fluctuating cognitive capacity, and limited research funding.</w:t>
      </w:r>
    </w:p>
    <w:p w14:paraId="72481DFB" w14:textId="77777777" w:rsidR="00C65BE3" w:rsidRPr="00C65BE3" w:rsidRDefault="00C65BE3" w:rsidP="00C65BE3">
      <w:pPr>
        <w:spacing w:line="360" w:lineRule="auto"/>
        <w:jc w:val="both"/>
        <w:rPr>
          <w:rFonts w:ascii="Arial" w:hAnsi="Arial" w:cs="Arial"/>
        </w:rPr>
      </w:pPr>
      <w:r w:rsidRPr="00C65BE3">
        <w:rPr>
          <w:rFonts w:ascii="Arial" w:hAnsi="Arial" w:cs="Arial"/>
        </w:rPr>
        <w:t>Finally, policy development should continue to strengthen expectations around person-centred dementia care while recognising the realities faced by care providers. Current frameworks, including the Health and Social Care Act 2008 (Regulated Activities) Regulations 2014 and the Care Quality Commission's regulatory standards, already promote personalised care. However, future policies should place greater emphasis on minimum staffing levels, workforce retention, protected learning time, and sustainable funding to enable high-quality person-centred practice. Without adequate resources, care homes may struggle to consistently deliver the standards expected by national policy despite staff commitment to person-centred principles. Increasing financial investment alongside stronger workforce strategies would help bridge the gap between policy aspirations and everyday care delivery.</w:t>
      </w:r>
    </w:p>
    <w:p w14:paraId="496296FD" w14:textId="77777777" w:rsidR="00AA0862" w:rsidRDefault="00C65BE3" w:rsidP="00CA4A4A">
      <w:pPr>
        <w:spacing w:line="360" w:lineRule="auto"/>
        <w:jc w:val="both"/>
        <w:rPr>
          <w:rFonts w:ascii="Arial" w:hAnsi="Arial" w:cs="Arial"/>
        </w:rPr>
      </w:pPr>
      <w:r w:rsidRPr="00C65BE3">
        <w:rPr>
          <w:rFonts w:ascii="Arial" w:hAnsi="Arial" w:cs="Arial"/>
        </w:rPr>
        <w:t>Overall, the future development of person-centred care and person-centred working within UK care homes depends on adopting innovative technologies, investing in continuous workforce education, strengthening multidisciplinary partnerships, expanding dementia-focused research, and developing policies that are supported by sufficient funding and workforce capacity. While each recommendation offers the potential to improve the quality of life, dignity, and wellbeing of people living with dementia, successful implementation requires recognition of the financial, organisational, and workforce challenges currently affecting the UK care home sector. Addressing these barriers alongside service improvements will be essential if person-centred care is to move beyond policy into consistently high-quality everyday practice.</w:t>
      </w:r>
    </w:p>
    <w:p w14:paraId="06FF6D22" w14:textId="77777777" w:rsidR="00120379" w:rsidRDefault="00120379" w:rsidP="00CA4A4A">
      <w:pPr>
        <w:spacing w:line="360" w:lineRule="auto"/>
        <w:jc w:val="both"/>
        <w:rPr>
          <w:rFonts w:ascii="Arial" w:hAnsi="Arial" w:cs="Arial"/>
          <w:b/>
          <w:bCs/>
        </w:rPr>
      </w:pPr>
    </w:p>
    <w:p w14:paraId="7BEA323E" w14:textId="77777777" w:rsidR="00120379" w:rsidRDefault="00120379" w:rsidP="00CA4A4A">
      <w:pPr>
        <w:spacing w:line="360" w:lineRule="auto"/>
        <w:jc w:val="both"/>
        <w:rPr>
          <w:rFonts w:ascii="Arial" w:hAnsi="Arial" w:cs="Arial"/>
          <w:b/>
          <w:bCs/>
        </w:rPr>
      </w:pPr>
    </w:p>
    <w:p w14:paraId="51250BFE" w14:textId="100A72FE" w:rsidR="009A6833" w:rsidRDefault="009A6833" w:rsidP="00CA4A4A">
      <w:pPr>
        <w:spacing w:line="360" w:lineRule="auto"/>
        <w:jc w:val="both"/>
        <w:rPr>
          <w:rFonts w:ascii="Arial" w:hAnsi="Arial" w:cs="Arial"/>
          <w:b/>
          <w:bCs/>
        </w:rPr>
      </w:pPr>
      <w:r w:rsidRPr="00CA4A4A">
        <w:rPr>
          <w:rFonts w:ascii="Arial" w:hAnsi="Arial" w:cs="Arial"/>
          <w:b/>
          <w:bCs/>
        </w:rPr>
        <w:lastRenderedPageBreak/>
        <w:t>Conclusion</w:t>
      </w:r>
    </w:p>
    <w:p w14:paraId="73F63765" w14:textId="77777777" w:rsidR="00CC1FAE" w:rsidRPr="00CC1FAE" w:rsidRDefault="00CC1FAE" w:rsidP="00CC1FAE">
      <w:pPr>
        <w:spacing w:line="360" w:lineRule="auto"/>
        <w:jc w:val="both"/>
        <w:rPr>
          <w:rFonts w:ascii="Arial" w:hAnsi="Arial" w:cs="Arial"/>
        </w:rPr>
      </w:pPr>
      <w:r w:rsidRPr="00CC1FAE">
        <w:rPr>
          <w:rFonts w:ascii="Arial" w:hAnsi="Arial" w:cs="Arial"/>
        </w:rPr>
        <w:t>In conclusion, this report has explored the importance of person-centred care (PCC) and person-centred working (PW) in supporting people living with dementia in a care home setting. As discussed throughout the report, dementia affects each individual differently, making it essential for care to be tailored to each person's needs, preferences, life history, and abilities. Person-centred approaches help to maintain dignity, independence, choice, and emotional wellbeing while building trusting relationships between residents, families, and care staff.</w:t>
      </w:r>
    </w:p>
    <w:p w14:paraId="47B82323" w14:textId="77777777" w:rsidR="00CC1FAE" w:rsidRPr="00CC1FAE" w:rsidRDefault="00CC1FAE" w:rsidP="00CC1FAE">
      <w:pPr>
        <w:spacing w:line="360" w:lineRule="auto"/>
        <w:jc w:val="both"/>
        <w:rPr>
          <w:rFonts w:ascii="Arial" w:hAnsi="Arial" w:cs="Arial"/>
        </w:rPr>
      </w:pPr>
      <w:r w:rsidRPr="00CC1FAE">
        <w:rPr>
          <w:rFonts w:ascii="Arial" w:hAnsi="Arial" w:cs="Arial"/>
        </w:rPr>
        <w:t>The report has highlighted that effective communication, partnership working, and involving residents and their families in care planning are key factors in delivering high-quality dementia care. It also identified challenges such as staffing pressures, limited resources, and communication difficulties, which can impact the consistent delivery of person-centred care. However, these challenges can be addressed through regular staff training, effective teamwork, ongoing professional development, and creating a supportive care home environment that values each individual.</w:t>
      </w:r>
    </w:p>
    <w:p w14:paraId="0A80ABB0" w14:textId="35022A5A" w:rsidR="007002F4" w:rsidRDefault="00CC1FAE" w:rsidP="00CA4A4A">
      <w:pPr>
        <w:spacing w:line="360" w:lineRule="auto"/>
        <w:jc w:val="both"/>
        <w:rPr>
          <w:rFonts w:ascii="Arial" w:hAnsi="Arial" w:cs="Arial"/>
        </w:rPr>
      </w:pPr>
      <w:r w:rsidRPr="00CC1FAE">
        <w:rPr>
          <w:rFonts w:ascii="Arial" w:hAnsi="Arial" w:cs="Arial"/>
        </w:rPr>
        <w:t>Overall, the findings demonstrate that person-centred care and person-centred working are fundamental to achieving positive outcomes for people living with dementia. By embedding these principles into everyday practice, care homes can improve residents' quality of life, promote dignity and respect, and ensure care remains compassionate, safe, and responsive to individual needs. This conclusion reflects the introduction by reaffirming that person-centred care is at the heart of effective dementia care and remains essential for delivering high-quality health and social care services.</w:t>
      </w:r>
    </w:p>
    <w:p w14:paraId="560F869F" w14:textId="5D980423" w:rsidR="005C3746" w:rsidRPr="005C3746" w:rsidRDefault="005C3746" w:rsidP="005C3746">
      <w:pPr>
        <w:spacing w:line="360" w:lineRule="auto"/>
        <w:jc w:val="both"/>
        <w:rPr>
          <w:rFonts w:ascii="Arial" w:hAnsi="Arial" w:cs="Arial"/>
          <w:b/>
          <w:bCs/>
        </w:rPr>
      </w:pPr>
      <w:r w:rsidRPr="005C3746">
        <w:rPr>
          <w:rFonts w:ascii="Arial" w:hAnsi="Arial" w:cs="Arial"/>
          <w:b/>
          <w:bCs/>
        </w:rPr>
        <w:t xml:space="preserve">Reference List </w:t>
      </w:r>
    </w:p>
    <w:p w14:paraId="2CAC5F33" w14:textId="77777777" w:rsidR="005C3746" w:rsidRPr="005C3746" w:rsidRDefault="005C3746" w:rsidP="005C3746">
      <w:pPr>
        <w:spacing w:line="360" w:lineRule="auto"/>
        <w:jc w:val="both"/>
        <w:rPr>
          <w:rFonts w:ascii="Arial" w:hAnsi="Arial" w:cs="Arial"/>
        </w:rPr>
      </w:pPr>
      <w:r w:rsidRPr="005C3746">
        <w:rPr>
          <w:rFonts w:ascii="Arial" w:hAnsi="Arial" w:cs="Arial"/>
        </w:rPr>
        <w:t xml:space="preserve">Beauchamp, T.L. and Childress, J.F. (2019) </w:t>
      </w:r>
      <w:r w:rsidRPr="005C3746">
        <w:rPr>
          <w:rFonts w:ascii="Arial" w:hAnsi="Arial" w:cs="Arial"/>
          <w:i/>
          <w:iCs/>
        </w:rPr>
        <w:t>Principles of Biomedical Ethics</w:t>
      </w:r>
      <w:r w:rsidRPr="005C3746">
        <w:rPr>
          <w:rFonts w:ascii="Arial" w:hAnsi="Arial" w:cs="Arial"/>
        </w:rPr>
        <w:t xml:space="preserve">. 8th </w:t>
      </w:r>
      <w:proofErr w:type="spellStart"/>
      <w:r w:rsidRPr="005C3746">
        <w:rPr>
          <w:rFonts w:ascii="Arial" w:hAnsi="Arial" w:cs="Arial"/>
        </w:rPr>
        <w:t>edn</w:t>
      </w:r>
      <w:proofErr w:type="spellEnd"/>
      <w:r w:rsidRPr="005C3746">
        <w:rPr>
          <w:rFonts w:ascii="Arial" w:hAnsi="Arial" w:cs="Arial"/>
        </w:rPr>
        <w:t>. New York: Oxford University Press.</w:t>
      </w:r>
    </w:p>
    <w:p w14:paraId="6BCCEE68" w14:textId="77777777" w:rsidR="005C3746" w:rsidRPr="005C3746" w:rsidRDefault="005C3746" w:rsidP="005C3746">
      <w:pPr>
        <w:spacing w:line="360" w:lineRule="auto"/>
        <w:jc w:val="both"/>
        <w:rPr>
          <w:rFonts w:ascii="Arial" w:hAnsi="Arial" w:cs="Arial"/>
        </w:rPr>
      </w:pPr>
      <w:r w:rsidRPr="005C3746">
        <w:rPr>
          <w:rFonts w:ascii="Arial" w:hAnsi="Arial" w:cs="Arial"/>
        </w:rPr>
        <w:t xml:space="preserve">Brooker, D. (2007) </w:t>
      </w:r>
      <w:r w:rsidRPr="005C3746">
        <w:rPr>
          <w:rFonts w:ascii="Arial" w:hAnsi="Arial" w:cs="Arial"/>
          <w:i/>
          <w:iCs/>
        </w:rPr>
        <w:t>Person-Centred Dementia Care: Making Services Better</w:t>
      </w:r>
      <w:r w:rsidRPr="005C3746">
        <w:rPr>
          <w:rFonts w:ascii="Arial" w:hAnsi="Arial" w:cs="Arial"/>
        </w:rPr>
        <w:t>. London: Jessica Kingsley Publishers.</w:t>
      </w:r>
    </w:p>
    <w:p w14:paraId="2FE3058B" w14:textId="77777777" w:rsidR="005C3746" w:rsidRPr="005C3746" w:rsidRDefault="005C3746" w:rsidP="005C3746">
      <w:pPr>
        <w:spacing w:line="360" w:lineRule="auto"/>
        <w:jc w:val="both"/>
        <w:rPr>
          <w:rFonts w:ascii="Arial" w:hAnsi="Arial" w:cs="Arial"/>
        </w:rPr>
      </w:pPr>
      <w:r w:rsidRPr="005C3746">
        <w:rPr>
          <w:rFonts w:ascii="Arial" w:hAnsi="Arial" w:cs="Arial"/>
        </w:rPr>
        <w:t>Care Act 2014. (c.23). London: The Stationery Office.</w:t>
      </w:r>
    </w:p>
    <w:p w14:paraId="33585F6B" w14:textId="77777777" w:rsidR="005C3746" w:rsidRPr="005C3746" w:rsidRDefault="005C3746" w:rsidP="005C3746">
      <w:pPr>
        <w:spacing w:line="360" w:lineRule="auto"/>
        <w:jc w:val="both"/>
        <w:rPr>
          <w:rFonts w:ascii="Arial" w:hAnsi="Arial" w:cs="Arial"/>
        </w:rPr>
      </w:pPr>
      <w:r w:rsidRPr="005C3746">
        <w:rPr>
          <w:rFonts w:ascii="Arial" w:hAnsi="Arial" w:cs="Arial"/>
        </w:rPr>
        <w:t xml:space="preserve">Edvardsson, D., Winblad, B. and Sandman, P.-O. (2008) 'Person-centred care of people with severe Alzheimer's disease: Current status and ways forward', </w:t>
      </w:r>
      <w:r w:rsidRPr="005C3746">
        <w:rPr>
          <w:rFonts w:ascii="Arial" w:hAnsi="Arial" w:cs="Arial"/>
          <w:i/>
          <w:iCs/>
        </w:rPr>
        <w:t>The Lancet Neurology</w:t>
      </w:r>
      <w:r w:rsidRPr="005C3746">
        <w:rPr>
          <w:rFonts w:ascii="Arial" w:hAnsi="Arial" w:cs="Arial"/>
        </w:rPr>
        <w:t>, 7(4), pp. 362–367.</w:t>
      </w:r>
    </w:p>
    <w:p w14:paraId="60514F01" w14:textId="77777777" w:rsidR="005C3746" w:rsidRPr="005C3746" w:rsidRDefault="005C3746" w:rsidP="005C3746">
      <w:pPr>
        <w:spacing w:line="360" w:lineRule="auto"/>
        <w:jc w:val="both"/>
        <w:rPr>
          <w:rFonts w:ascii="Arial" w:hAnsi="Arial" w:cs="Arial"/>
        </w:rPr>
      </w:pPr>
      <w:r w:rsidRPr="005C3746">
        <w:rPr>
          <w:rFonts w:ascii="Arial" w:hAnsi="Arial" w:cs="Arial"/>
        </w:rPr>
        <w:t>Equality Act 2010. (c.15). London: The Stationery Office.</w:t>
      </w:r>
    </w:p>
    <w:p w14:paraId="2A50CFFA" w14:textId="77777777" w:rsidR="005C3746" w:rsidRPr="005C3746" w:rsidRDefault="005C3746" w:rsidP="005C3746">
      <w:pPr>
        <w:spacing w:line="360" w:lineRule="auto"/>
        <w:jc w:val="both"/>
        <w:rPr>
          <w:rFonts w:ascii="Arial" w:hAnsi="Arial" w:cs="Arial"/>
        </w:rPr>
      </w:pPr>
      <w:r w:rsidRPr="005C3746">
        <w:rPr>
          <w:rFonts w:ascii="Arial" w:hAnsi="Arial" w:cs="Arial"/>
        </w:rPr>
        <w:t>Health and Care Act 2022. (c.31). London: The Stationery Office.</w:t>
      </w:r>
    </w:p>
    <w:p w14:paraId="794771E6" w14:textId="77777777" w:rsidR="005C3746" w:rsidRPr="005C3746" w:rsidRDefault="005C3746" w:rsidP="005C3746">
      <w:pPr>
        <w:spacing w:line="360" w:lineRule="auto"/>
        <w:jc w:val="both"/>
        <w:rPr>
          <w:rFonts w:ascii="Arial" w:hAnsi="Arial" w:cs="Arial"/>
        </w:rPr>
      </w:pPr>
      <w:r w:rsidRPr="005C3746">
        <w:rPr>
          <w:rFonts w:ascii="Arial" w:hAnsi="Arial" w:cs="Arial"/>
        </w:rPr>
        <w:lastRenderedPageBreak/>
        <w:t>Health and Social Care Act 2012. (c.7). London: The Stationery Office.</w:t>
      </w:r>
    </w:p>
    <w:p w14:paraId="44E97AB7" w14:textId="77777777" w:rsidR="005C3746" w:rsidRPr="005C3746" w:rsidRDefault="005C3746" w:rsidP="005C3746">
      <w:pPr>
        <w:spacing w:line="360" w:lineRule="auto"/>
        <w:jc w:val="both"/>
        <w:rPr>
          <w:rFonts w:ascii="Arial" w:hAnsi="Arial" w:cs="Arial"/>
        </w:rPr>
      </w:pPr>
      <w:r w:rsidRPr="005C3746">
        <w:rPr>
          <w:rFonts w:ascii="Arial" w:hAnsi="Arial" w:cs="Arial"/>
        </w:rPr>
        <w:t>Health and Social Care Act 2008 (Regulated Activities) Regulations 2014. SI 2014/2936. London: The Stationery Office.</w:t>
      </w:r>
    </w:p>
    <w:p w14:paraId="4C15A98D" w14:textId="77777777" w:rsidR="005C3746" w:rsidRPr="005C3746" w:rsidRDefault="005C3746" w:rsidP="005C3746">
      <w:pPr>
        <w:spacing w:line="360" w:lineRule="auto"/>
        <w:jc w:val="both"/>
        <w:rPr>
          <w:rFonts w:ascii="Arial" w:hAnsi="Arial" w:cs="Arial"/>
        </w:rPr>
      </w:pPr>
      <w:r w:rsidRPr="005C3746">
        <w:rPr>
          <w:rFonts w:ascii="Arial" w:hAnsi="Arial" w:cs="Arial"/>
        </w:rPr>
        <w:t>Human Rights Act 1998. (c.42). London: The Stationery Office.</w:t>
      </w:r>
    </w:p>
    <w:p w14:paraId="761675B7" w14:textId="77777777" w:rsidR="005C3746" w:rsidRPr="005C3746" w:rsidRDefault="005C3746" w:rsidP="005C3746">
      <w:pPr>
        <w:spacing w:line="360" w:lineRule="auto"/>
        <w:jc w:val="both"/>
        <w:rPr>
          <w:rFonts w:ascii="Arial" w:hAnsi="Arial" w:cs="Arial"/>
        </w:rPr>
      </w:pPr>
      <w:r w:rsidRPr="005C3746">
        <w:rPr>
          <w:rFonts w:ascii="Arial" w:hAnsi="Arial" w:cs="Arial"/>
        </w:rPr>
        <w:t xml:space="preserve">Kitwood, T. (1997) </w:t>
      </w:r>
      <w:r w:rsidRPr="005C3746">
        <w:rPr>
          <w:rFonts w:ascii="Arial" w:hAnsi="Arial" w:cs="Arial"/>
          <w:i/>
          <w:iCs/>
        </w:rPr>
        <w:t>Dementia Reconsidered: The Person Comes First</w:t>
      </w:r>
      <w:r w:rsidRPr="005C3746">
        <w:rPr>
          <w:rFonts w:ascii="Arial" w:hAnsi="Arial" w:cs="Arial"/>
        </w:rPr>
        <w:t>. Buckingham: Open University Press.</w:t>
      </w:r>
    </w:p>
    <w:p w14:paraId="56AED21C" w14:textId="77777777" w:rsidR="005C3746" w:rsidRPr="005C3746" w:rsidRDefault="005C3746" w:rsidP="005C3746">
      <w:pPr>
        <w:spacing w:line="360" w:lineRule="auto"/>
        <w:jc w:val="both"/>
        <w:rPr>
          <w:rFonts w:ascii="Arial" w:hAnsi="Arial" w:cs="Arial"/>
        </w:rPr>
      </w:pPr>
      <w:r w:rsidRPr="005C3746">
        <w:rPr>
          <w:rFonts w:ascii="Arial" w:hAnsi="Arial" w:cs="Arial"/>
        </w:rPr>
        <w:t xml:space="preserve">McCormack, B. and McCance, T. (2021) </w:t>
      </w:r>
      <w:r w:rsidRPr="005C3746">
        <w:rPr>
          <w:rFonts w:ascii="Arial" w:hAnsi="Arial" w:cs="Arial"/>
          <w:i/>
          <w:iCs/>
        </w:rPr>
        <w:t>Person-Centred Practice in Nursing and Health Care: Theory and Practice</w:t>
      </w:r>
      <w:r w:rsidRPr="005C3746">
        <w:rPr>
          <w:rFonts w:ascii="Arial" w:hAnsi="Arial" w:cs="Arial"/>
        </w:rPr>
        <w:t xml:space="preserve">. 3rd </w:t>
      </w:r>
      <w:proofErr w:type="spellStart"/>
      <w:r w:rsidRPr="005C3746">
        <w:rPr>
          <w:rFonts w:ascii="Arial" w:hAnsi="Arial" w:cs="Arial"/>
        </w:rPr>
        <w:t>edn</w:t>
      </w:r>
      <w:proofErr w:type="spellEnd"/>
      <w:r w:rsidRPr="005C3746">
        <w:rPr>
          <w:rFonts w:ascii="Arial" w:hAnsi="Arial" w:cs="Arial"/>
        </w:rPr>
        <w:t>. Oxford: Wiley-Blackwell.</w:t>
      </w:r>
    </w:p>
    <w:p w14:paraId="0BBF53EB" w14:textId="77777777" w:rsidR="005C3746" w:rsidRPr="005C3746" w:rsidRDefault="005C3746" w:rsidP="005C3746">
      <w:pPr>
        <w:spacing w:line="360" w:lineRule="auto"/>
        <w:jc w:val="both"/>
        <w:rPr>
          <w:rFonts w:ascii="Arial" w:hAnsi="Arial" w:cs="Arial"/>
        </w:rPr>
      </w:pPr>
      <w:r w:rsidRPr="005C3746">
        <w:rPr>
          <w:rFonts w:ascii="Arial" w:hAnsi="Arial" w:cs="Arial"/>
        </w:rPr>
        <w:t xml:space="preserve">National Institute for Health and Care Excellence (NICE) (2018) </w:t>
      </w:r>
      <w:r w:rsidRPr="005C3746">
        <w:rPr>
          <w:rFonts w:ascii="Arial" w:hAnsi="Arial" w:cs="Arial"/>
          <w:i/>
          <w:iCs/>
        </w:rPr>
        <w:t>Dementia: Assessment, Management and Support for People Living with Dementia and their Carers (NG97).</w:t>
      </w:r>
      <w:r w:rsidRPr="005C3746">
        <w:rPr>
          <w:rFonts w:ascii="Arial" w:hAnsi="Arial" w:cs="Arial"/>
        </w:rPr>
        <w:t xml:space="preserve"> London: NICE.</w:t>
      </w:r>
    </w:p>
    <w:p w14:paraId="46030662" w14:textId="77777777" w:rsidR="005C3746" w:rsidRPr="005C3746" w:rsidRDefault="005C3746" w:rsidP="005C3746">
      <w:pPr>
        <w:spacing w:line="360" w:lineRule="auto"/>
        <w:jc w:val="both"/>
        <w:rPr>
          <w:rFonts w:ascii="Arial" w:hAnsi="Arial" w:cs="Arial"/>
        </w:rPr>
      </w:pPr>
      <w:r w:rsidRPr="005C3746">
        <w:rPr>
          <w:rFonts w:ascii="Arial" w:hAnsi="Arial" w:cs="Arial"/>
        </w:rPr>
        <w:t xml:space="preserve">Nursing and Midwifery Council (NMC) (2018) </w:t>
      </w:r>
      <w:r w:rsidRPr="005C3746">
        <w:rPr>
          <w:rFonts w:ascii="Arial" w:hAnsi="Arial" w:cs="Arial"/>
          <w:i/>
          <w:iCs/>
        </w:rPr>
        <w:t>The Code: Professional Standards of Practice and Behaviour for Nurses, Midwives and Nursing Associates</w:t>
      </w:r>
      <w:r w:rsidRPr="005C3746">
        <w:rPr>
          <w:rFonts w:ascii="Arial" w:hAnsi="Arial" w:cs="Arial"/>
        </w:rPr>
        <w:t>. London: NMC.</w:t>
      </w:r>
    </w:p>
    <w:p w14:paraId="7D18B74A" w14:textId="77777777" w:rsidR="005C3746" w:rsidRPr="005C3746" w:rsidRDefault="005C3746" w:rsidP="005C3746">
      <w:pPr>
        <w:spacing w:line="360" w:lineRule="auto"/>
        <w:jc w:val="both"/>
        <w:rPr>
          <w:rFonts w:ascii="Arial" w:hAnsi="Arial" w:cs="Arial"/>
        </w:rPr>
      </w:pPr>
      <w:r w:rsidRPr="005C3746">
        <w:rPr>
          <w:rFonts w:ascii="Arial" w:hAnsi="Arial" w:cs="Arial"/>
        </w:rPr>
        <w:t xml:space="preserve">Surr, C.A., Gates, C., Irving, D., </w:t>
      </w:r>
      <w:proofErr w:type="spellStart"/>
      <w:r w:rsidRPr="005C3746">
        <w:rPr>
          <w:rFonts w:ascii="Arial" w:hAnsi="Arial" w:cs="Arial"/>
        </w:rPr>
        <w:t>Oyebode</w:t>
      </w:r>
      <w:proofErr w:type="spellEnd"/>
      <w:r w:rsidRPr="005C3746">
        <w:rPr>
          <w:rFonts w:ascii="Arial" w:hAnsi="Arial" w:cs="Arial"/>
        </w:rPr>
        <w:t xml:space="preserve">, J., Smith, S.J., Parveen, S., Drury, M. and Dennison, A. (2020) 'Effective dementia education and training for the health and social care workforce: A systematic review of the literature', </w:t>
      </w:r>
      <w:r w:rsidRPr="005C3746">
        <w:rPr>
          <w:rFonts w:ascii="Arial" w:hAnsi="Arial" w:cs="Arial"/>
          <w:i/>
          <w:iCs/>
        </w:rPr>
        <w:t>Review of Educational Research</w:t>
      </w:r>
      <w:r w:rsidRPr="005C3746">
        <w:rPr>
          <w:rFonts w:ascii="Arial" w:hAnsi="Arial" w:cs="Arial"/>
        </w:rPr>
        <w:t>, 90(3), pp. 392–443.</w:t>
      </w:r>
    </w:p>
    <w:p w14:paraId="75BAB26A" w14:textId="77777777" w:rsidR="005C3746" w:rsidRPr="005F21E9" w:rsidRDefault="005C3746" w:rsidP="00CA4A4A">
      <w:pPr>
        <w:spacing w:line="360" w:lineRule="auto"/>
        <w:jc w:val="both"/>
        <w:rPr>
          <w:rFonts w:ascii="Arial" w:hAnsi="Arial" w:cs="Arial"/>
        </w:rPr>
      </w:pPr>
    </w:p>
    <w:p w14:paraId="6EA0CE2B" w14:textId="77777777" w:rsidR="00AA0862" w:rsidRPr="00AA0862" w:rsidRDefault="00AA0862" w:rsidP="00CA4A4A">
      <w:pPr>
        <w:spacing w:line="360" w:lineRule="auto"/>
        <w:jc w:val="both"/>
        <w:rPr>
          <w:rFonts w:ascii="Arial" w:hAnsi="Arial" w:cs="Arial"/>
        </w:rPr>
      </w:pPr>
    </w:p>
    <w:p w14:paraId="0A5A1C9E" w14:textId="77777777" w:rsidR="007002F4" w:rsidRPr="00CA4A4A" w:rsidRDefault="007002F4" w:rsidP="00CA4A4A">
      <w:pPr>
        <w:spacing w:line="360" w:lineRule="auto"/>
        <w:jc w:val="both"/>
        <w:rPr>
          <w:rFonts w:ascii="Arial" w:hAnsi="Arial" w:cs="Arial"/>
        </w:rPr>
      </w:pPr>
    </w:p>
    <w:p w14:paraId="3B6E75DF" w14:textId="77777777" w:rsidR="00F34A16" w:rsidRPr="009A6833" w:rsidRDefault="00F34A16" w:rsidP="00B213F8">
      <w:pPr>
        <w:jc w:val="center"/>
        <w:rPr>
          <w:rFonts w:ascii="Arial" w:hAnsi="Arial" w:cs="Arial"/>
        </w:rPr>
      </w:pPr>
    </w:p>
    <w:p w14:paraId="06E82140" w14:textId="0236CF06" w:rsidR="003B47B7" w:rsidRPr="0086589D" w:rsidRDefault="003B47B7" w:rsidP="00B213F8">
      <w:pPr>
        <w:jc w:val="center"/>
        <w:rPr>
          <w:rFonts w:ascii="Arial" w:hAnsi="Arial" w:cs="Arial"/>
        </w:rPr>
      </w:pPr>
      <w:r>
        <w:rPr>
          <w:rFonts w:ascii="Arial" w:hAnsi="Arial" w:cs="Arial"/>
        </w:rPr>
        <w:t xml:space="preserve"> </w:t>
      </w:r>
    </w:p>
    <w:p w14:paraId="4E022A85" w14:textId="77777777" w:rsidR="00884047" w:rsidRDefault="00884047" w:rsidP="002450C8">
      <w:pPr>
        <w:jc w:val="center"/>
        <w:rPr>
          <w:rFonts w:ascii="Arial" w:hAnsi="Arial" w:cs="Arial"/>
        </w:rPr>
      </w:pPr>
    </w:p>
    <w:p w14:paraId="52DBD065" w14:textId="77777777" w:rsidR="004C4342" w:rsidRPr="001D44B4" w:rsidRDefault="004C4342" w:rsidP="002450C8">
      <w:pPr>
        <w:jc w:val="center"/>
        <w:rPr>
          <w:rFonts w:ascii="Arial" w:hAnsi="Arial" w:cs="Arial"/>
        </w:rPr>
      </w:pPr>
    </w:p>
    <w:p w14:paraId="0A4375A8" w14:textId="77777777" w:rsidR="007F0C80" w:rsidRDefault="007F0C80" w:rsidP="002450C8">
      <w:pPr>
        <w:jc w:val="center"/>
        <w:rPr>
          <w:rFonts w:ascii="Arial" w:hAnsi="Arial" w:cs="Arial"/>
        </w:rPr>
      </w:pPr>
    </w:p>
    <w:p w14:paraId="76049D07" w14:textId="77777777" w:rsidR="009C0951" w:rsidRPr="009C0951" w:rsidRDefault="009C0951" w:rsidP="002450C8">
      <w:pPr>
        <w:jc w:val="center"/>
        <w:rPr>
          <w:rFonts w:ascii="Arial" w:hAnsi="Arial" w:cs="Arial"/>
        </w:rPr>
      </w:pPr>
    </w:p>
    <w:p w14:paraId="41E5816E" w14:textId="77777777" w:rsidR="001A4C71" w:rsidRDefault="001A4C71" w:rsidP="002450C8">
      <w:pPr>
        <w:jc w:val="center"/>
        <w:rPr>
          <w:rFonts w:ascii="Arial" w:hAnsi="Arial" w:cs="Arial"/>
        </w:rPr>
      </w:pPr>
    </w:p>
    <w:p w14:paraId="0B763486" w14:textId="77777777" w:rsidR="001C3194" w:rsidRDefault="001C3194" w:rsidP="002450C8">
      <w:pPr>
        <w:jc w:val="center"/>
        <w:rPr>
          <w:rFonts w:ascii="Arial" w:hAnsi="Arial" w:cs="Arial"/>
        </w:rPr>
      </w:pPr>
    </w:p>
    <w:p w14:paraId="7A8E3D75" w14:textId="29A2AC73" w:rsidR="002450C8" w:rsidRDefault="002450C8" w:rsidP="002450C8">
      <w:pPr>
        <w:jc w:val="center"/>
        <w:rPr>
          <w:rFonts w:ascii="Arial" w:hAnsi="Arial" w:cs="Arial"/>
        </w:rPr>
      </w:pPr>
      <w:r>
        <w:rPr>
          <w:rFonts w:ascii="Arial" w:hAnsi="Arial" w:cs="Arial"/>
        </w:rPr>
        <w:t xml:space="preserve"> </w:t>
      </w:r>
    </w:p>
    <w:p w14:paraId="5891A34F" w14:textId="77777777" w:rsidR="00981623" w:rsidRPr="009A78AE" w:rsidRDefault="00981623" w:rsidP="00071B56">
      <w:pPr>
        <w:jc w:val="center"/>
        <w:rPr>
          <w:rFonts w:ascii="Arial" w:hAnsi="Arial" w:cs="Arial"/>
        </w:rPr>
      </w:pPr>
    </w:p>
    <w:p w14:paraId="3B85396C" w14:textId="77777777" w:rsidR="009A78AE" w:rsidRDefault="009A78AE" w:rsidP="00071B56">
      <w:pPr>
        <w:jc w:val="center"/>
        <w:rPr>
          <w:rFonts w:ascii="Arial" w:hAnsi="Arial" w:cs="Arial"/>
        </w:rPr>
      </w:pPr>
    </w:p>
    <w:p w14:paraId="72CD0381" w14:textId="77777777" w:rsidR="00C564B4" w:rsidRPr="00071B56" w:rsidRDefault="00C564B4" w:rsidP="00071B56">
      <w:pPr>
        <w:jc w:val="center"/>
        <w:rPr>
          <w:rFonts w:ascii="Arial" w:hAnsi="Arial" w:cs="Arial"/>
        </w:rPr>
      </w:pPr>
    </w:p>
    <w:sectPr w:rsidR="00C564B4" w:rsidRPr="00071B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D72"/>
    <w:rsid w:val="0002127F"/>
    <w:rsid w:val="0002523F"/>
    <w:rsid w:val="0006377B"/>
    <w:rsid w:val="00064411"/>
    <w:rsid w:val="00071B56"/>
    <w:rsid w:val="00073279"/>
    <w:rsid w:val="000751B4"/>
    <w:rsid w:val="00077254"/>
    <w:rsid w:val="000D39ED"/>
    <w:rsid w:val="000D5929"/>
    <w:rsid w:val="000F6147"/>
    <w:rsid w:val="00120379"/>
    <w:rsid w:val="00131155"/>
    <w:rsid w:val="001347C1"/>
    <w:rsid w:val="00137303"/>
    <w:rsid w:val="00140DB1"/>
    <w:rsid w:val="0016517D"/>
    <w:rsid w:val="00180F80"/>
    <w:rsid w:val="00185552"/>
    <w:rsid w:val="001A4C71"/>
    <w:rsid w:val="001C1DE4"/>
    <w:rsid w:val="001C3194"/>
    <w:rsid w:val="001D44B4"/>
    <w:rsid w:val="001D5160"/>
    <w:rsid w:val="001E13C2"/>
    <w:rsid w:val="001E1C48"/>
    <w:rsid w:val="001F35E7"/>
    <w:rsid w:val="00207EB4"/>
    <w:rsid w:val="00210943"/>
    <w:rsid w:val="00221EEE"/>
    <w:rsid w:val="002256D6"/>
    <w:rsid w:val="002450C8"/>
    <w:rsid w:val="0025149A"/>
    <w:rsid w:val="00252A16"/>
    <w:rsid w:val="002563FA"/>
    <w:rsid w:val="00284DF8"/>
    <w:rsid w:val="00285C9A"/>
    <w:rsid w:val="002902E4"/>
    <w:rsid w:val="002A3833"/>
    <w:rsid w:val="002A411A"/>
    <w:rsid w:val="002B0EEA"/>
    <w:rsid w:val="002B2574"/>
    <w:rsid w:val="002C5586"/>
    <w:rsid w:val="002F667F"/>
    <w:rsid w:val="00301685"/>
    <w:rsid w:val="0033326C"/>
    <w:rsid w:val="00356D5E"/>
    <w:rsid w:val="00360127"/>
    <w:rsid w:val="003739D0"/>
    <w:rsid w:val="00376F81"/>
    <w:rsid w:val="003A3FFB"/>
    <w:rsid w:val="003B3F01"/>
    <w:rsid w:val="003B431E"/>
    <w:rsid w:val="003B47B7"/>
    <w:rsid w:val="003E6499"/>
    <w:rsid w:val="003E676E"/>
    <w:rsid w:val="003E7D4C"/>
    <w:rsid w:val="003F6C3B"/>
    <w:rsid w:val="004179DF"/>
    <w:rsid w:val="00440645"/>
    <w:rsid w:val="00442A2D"/>
    <w:rsid w:val="004435E1"/>
    <w:rsid w:val="004913B2"/>
    <w:rsid w:val="004A2541"/>
    <w:rsid w:val="004B3C2E"/>
    <w:rsid w:val="004B6C19"/>
    <w:rsid w:val="004C4342"/>
    <w:rsid w:val="004D1C99"/>
    <w:rsid w:val="004D20F5"/>
    <w:rsid w:val="004D3F31"/>
    <w:rsid w:val="004F236F"/>
    <w:rsid w:val="005341FE"/>
    <w:rsid w:val="005B5A12"/>
    <w:rsid w:val="005C3746"/>
    <w:rsid w:val="005F012D"/>
    <w:rsid w:val="005F21E9"/>
    <w:rsid w:val="00604FBF"/>
    <w:rsid w:val="00606A33"/>
    <w:rsid w:val="0062225A"/>
    <w:rsid w:val="00637F81"/>
    <w:rsid w:val="0064634B"/>
    <w:rsid w:val="006543B0"/>
    <w:rsid w:val="00673B55"/>
    <w:rsid w:val="006A5237"/>
    <w:rsid w:val="006C360A"/>
    <w:rsid w:val="006E3E17"/>
    <w:rsid w:val="006F5A37"/>
    <w:rsid w:val="006F5DC7"/>
    <w:rsid w:val="007002F4"/>
    <w:rsid w:val="0071244A"/>
    <w:rsid w:val="00743570"/>
    <w:rsid w:val="0077692A"/>
    <w:rsid w:val="007937B2"/>
    <w:rsid w:val="007A372A"/>
    <w:rsid w:val="007B0981"/>
    <w:rsid w:val="007C390E"/>
    <w:rsid w:val="007D20D0"/>
    <w:rsid w:val="007E7D0C"/>
    <w:rsid w:val="007F0C80"/>
    <w:rsid w:val="00802192"/>
    <w:rsid w:val="0082237E"/>
    <w:rsid w:val="008331B6"/>
    <w:rsid w:val="008343DF"/>
    <w:rsid w:val="008445D6"/>
    <w:rsid w:val="00845778"/>
    <w:rsid w:val="00850CBB"/>
    <w:rsid w:val="00856DAE"/>
    <w:rsid w:val="0086589D"/>
    <w:rsid w:val="00866036"/>
    <w:rsid w:val="0087300C"/>
    <w:rsid w:val="00883615"/>
    <w:rsid w:val="00884047"/>
    <w:rsid w:val="008A66E6"/>
    <w:rsid w:val="008B2C94"/>
    <w:rsid w:val="008E050D"/>
    <w:rsid w:val="008E3F5B"/>
    <w:rsid w:val="00942CE4"/>
    <w:rsid w:val="00943DDC"/>
    <w:rsid w:val="009477A4"/>
    <w:rsid w:val="0095496E"/>
    <w:rsid w:val="009605C4"/>
    <w:rsid w:val="00960AAD"/>
    <w:rsid w:val="0096640B"/>
    <w:rsid w:val="00981623"/>
    <w:rsid w:val="0099696B"/>
    <w:rsid w:val="009A186B"/>
    <w:rsid w:val="009A6833"/>
    <w:rsid w:val="009A78AE"/>
    <w:rsid w:val="009C0951"/>
    <w:rsid w:val="009E345D"/>
    <w:rsid w:val="00A1623D"/>
    <w:rsid w:val="00A24CFA"/>
    <w:rsid w:val="00A3212D"/>
    <w:rsid w:val="00A618D0"/>
    <w:rsid w:val="00A61C21"/>
    <w:rsid w:val="00A73F05"/>
    <w:rsid w:val="00AA0862"/>
    <w:rsid w:val="00AA29E1"/>
    <w:rsid w:val="00AC0416"/>
    <w:rsid w:val="00AD69FD"/>
    <w:rsid w:val="00B010E0"/>
    <w:rsid w:val="00B01D72"/>
    <w:rsid w:val="00B16480"/>
    <w:rsid w:val="00B213F8"/>
    <w:rsid w:val="00B37BF6"/>
    <w:rsid w:val="00B6219A"/>
    <w:rsid w:val="00B66CD7"/>
    <w:rsid w:val="00B72DA5"/>
    <w:rsid w:val="00B828AB"/>
    <w:rsid w:val="00B967C1"/>
    <w:rsid w:val="00BC3612"/>
    <w:rsid w:val="00BE4B17"/>
    <w:rsid w:val="00BF1905"/>
    <w:rsid w:val="00C05BB9"/>
    <w:rsid w:val="00C10FBE"/>
    <w:rsid w:val="00C339F9"/>
    <w:rsid w:val="00C40406"/>
    <w:rsid w:val="00C46C9E"/>
    <w:rsid w:val="00C564B4"/>
    <w:rsid w:val="00C65BE3"/>
    <w:rsid w:val="00C77402"/>
    <w:rsid w:val="00C86334"/>
    <w:rsid w:val="00C90785"/>
    <w:rsid w:val="00CA4A4A"/>
    <w:rsid w:val="00CB57F4"/>
    <w:rsid w:val="00CC1FAE"/>
    <w:rsid w:val="00CC6D31"/>
    <w:rsid w:val="00CD19E9"/>
    <w:rsid w:val="00CD72F6"/>
    <w:rsid w:val="00CE606F"/>
    <w:rsid w:val="00CF09C3"/>
    <w:rsid w:val="00D10836"/>
    <w:rsid w:val="00D15F66"/>
    <w:rsid w:val="00D3736D"/>
    <w:rsid w:val="00D65A0A"/>
    <w:rsid w:val="00DA34A7"/>
    <w:rsid w:val="00DC00D7"/>
    <w:rsid w:val="00DD1C8F"/>
    <w:rsid w:val="00DF27C7"/>
    <w:rsid w:val="00E0279E"/>
    <w:rsid w:val="00E11E35"/>
    <w:rsid w:val="00E16F3E"/>
    <w:rsid w:val="00E311E7"/>
    <w:rsid w:val="00E84E7E"/>
    <w:rsid w:val="00EB6EF2"/>
    <w:rsid w:val="00EC1BA1"/>
    <w:rsid w:val="00EE3C27"/>
    <w:rsid w:val="00F17215"/>
    <w:rsid w:val="00F34A16"/>
    <w:rsid w:val="00F418C2"/>
    <w:rsid w:val="00F60D86"/>
    <w:rsid w:val="00F77ED9"/>
    <w:rsid w:val="00F92BB2"/>
    <w:rsid w:val="00F95ABE"/>
    <w:rsid w:val="00FC082D"/>
    <w:rsid w:val="00FF2767"/>
    <w:rsid w:val="00FF56BE"/>
    <w:rsid w:val="00FF5911"/>
    <w:rsid w:val="00FF6D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67978"/>
  <w15:chartTrackingRefBased/>
  <w15:docId w15:val="{26C963F3-1CCD-407C-B4F6-F6532AC53D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1D72"/>
    <w:pPr>
      <w:suppressAutoHyphens/>
      <w:autoSpaceDN w:val="0"/>
      <w:spacing w:line="240" w:lineRule="auto"/>
    </w:pPr>
    <w:rPr>
      <w:rFonts w:ascii="Aptos" w:eastAsia="Aptos" w:hAnsi="Aptos" w:cs="Times New Roman"/>
      <w:kern w:val="3"/>
      <w:sz w:val="22"/>
      <w:szCs w:val="22"/>
      <w14:ligatures w14:val="none"/>
    </w:rPr>
  </w:style>
  <w:style w:type="paragraph" w:styleId="Heading1">
    <w:name w:val="heading 1"/>
    <w:basedOn w:val="Normal"/>
    <w:next w:val="Normal"/>
    <w:link w:val="Heading1Char"/>
    <w:uiPriority w:val="9"/>
    <w:qFormat/>
    <w:rsid w:val="00B01D72"/>
    <w:pPr>
      <w:keepNext/>
      <w:keepLines/>
      <w:suppressAutoHyphens w:val="0"/>
      <w:autoSpaceDN/>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B01D72"/>
    <w:pPr>
      <w:keepNext/>
      <w:keepLines/>
      <w:suppressAutoHyphens w:val="0"/>
      <w:autoSpaceDN/>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B01D72"/>
    <w:pPr>
      <w:keepNext/>
      <w:keepLines/>
      <w:suppressAutoHyphens w:val="0"/>
      <w:autoSpaceDN/>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B01D72"/>
    <w:pPr>
      <w:keepNext/>
      <w:keepLines/>
      <w:suppressAutoHyphens w:val="0"/>
      <w:autoSpaceDN/>
      <w:spacing w:before="80" w:after="40" w:line="278" w:lineRule="auto"/>
      <w:outlineLvl w:val="3"/>
    </w:pPr>
    <w:rPr>
      <w:rFonts w:asciiTheme="minorHAnsi" w:eastAsiaTheme="majorEastAsia" w:hAnsiTheme="minorHAnsi" w:cstheme="majorBidi"/>
      <w:i/>
      <w:iCs/>
      <w:color w:val="0F4761" w:themeColor="accent1" w:themeShade="BF"/>
      <w:kern w:val="2"/>
      <w:sz w:val="24"/>
      <w:szCs w:val="24"/>
      <w14:ligatures w14:val="standardContextual"/>
    </w:rPr>
  </w:style>
  <w:style w:type="paragraph" w:styleId="Heading5">
    <w:name w:val="heading 5"/>
    <w:basedOn w:val="Normal"/>
    <w:next w:val="Normal"/>
    <w:link w:val="Heading5Char"/>
    <w:uiPriority w:val="9"/>
    <w:semiHidden/>
    <w:unhideWhenUsed/>
    <w:qFormat/>
    <w:rsid w:val="00B01D72"/>
    <w:pPr>
      <w:keepNext/>
      <w:keepLines/>
      <w:suppressAutoHyphens w:val="0"/>
      <w:autoSpaceDN/>
      <w:spacing w:before="80" w:after="40" w:line="278" w:lineRule="auto"/>
      <w:outlineLvl w:val="4"/>
    </w:pPr>
    <w:rPr>
      <w:rFonts w:asciiTheme="minorHAnsi" w:eastAsiaTheme="majorEastAsia" w:hAnsiTheme="minorHAnsi" w:cstheme="majorBidi"/>
      <w:color w:val="0F4761" w:themeColor="accent1" w:themeShade="BF"/>
      <w:kern w:val="2"/>
      <w:sz w:val="24"/>
      <w:szCs w:val="24"/>
      <w14:ligatures w14:val="standardContextual"/>
    </w:rPr>
  </w:style>
  <w:style w:type="paragraph" w:styleId="Heading6">
    <w:name w:val="heading 6"/>
    <w:basedOn w:val="Normal"/>
    <w:next w:val="Normal"/>
    <w:link w:val="Heading6Char"/>
    <w:uiPriority w:val="9"/>
    <w:semiHidden/>
    <w:unhideWhenUsed/>
    <w:qFormat/>
    <w:rsid w:val="00B01D72"/>
    <w:pPr>
      <w:keepNext/>
      <w:keepLines/>
      <w:suppressAutoHyphens w:val="0"/>
      <w:autoSpaceDN/>
      <w:spacing w:before="40" w:after="0" w:line="278" w:lineRule="auto"/>
      <w:outlineLvl w:val="5"/>
    </w:pPr>
    <w:rPr>
      <w:rFonts w:asciiTheme="minorHAnsi" w:eastAsiaTheme="majorEastAsia" w:hAnsiTheme="minorHAnsi" w:cstheme="majorBidi"/>
      <w:i/>
      <w:iCs/>
      <w:color w:val="595959" w:themeColor="text1" w:themeTint="A6"/>
      <w:kern w:val="2"/>
      <w:sz w:val="24"/>
      <w:szCs w:val="24"/>
      <w14:ligatures w14:val="standardContextual"/>
    </w:rPr>
  </w:style>
  <w:style w:type="paragraph" w:styleId="Heading7">
    <w:name w:val="heading 7"/>
    <w:basedOn w:val="Normal"/>
    <w:next w:val="Normal"/>
    <w:link w:val="Heading7Char"/>
    <w:uiPriority w:val="9"/>
    <w:semiHidden/>
    <w:unhideWhenUsed/>
    <w:qFormat/>
    <w:rsid w:val="00B01D72"/>
    <w:pPr>
      <w:keepNext/>
      <w:keepLines/>
      <w:suppressAutoHyphens w:val="0"/>
      <w:autoSpaceDN/>
      <w:spacing w:before="40" w:after="0" w:line="278" w:lineRule="auto"/>
      <w:outlineLvl w:val="6"/>
    </w:pPr>
    <w:rPr>
      <w:rFonts w:asciiTheme="minorHAnsi" w:eastAsiaTheme="majorEastAsia" w:hAnsiTheme="minorHAnsi" w:cstheme="majorBidi"/>
      <w:color w:val="595959" w:themeColor="text1" w:themeTint="A6"/>
      <w:kern w:val="2"/>
      <w:sz w:val="24"/>
      <w:szCs w:val="24"/>
      <w14:ligatures w14:val="standardContextual"/>
    </w:rPr>
  </w:style>
  <w:style w:type="paragraph" w:styleId="Heading8">
    <w:name w:val="heading 8"/>
    <w:basedOn w:val="Normal"/>
    <w:next w:val="Normal"/>
    <w:link w:val="Heading8Char"/>
    <w:uiPriority w:val="9"/>
    <w:semiHidden/>
    <w:unhideWhenUsed/>
    <w:qFormat/>
    <w:rsid w:val="00B01D72"/>
    <w:pPr>
      <w:keepNext/>
      <w:keepLines/>
      <w:suppressAutoHyphens w:val="0"/>
      <w:autoSpaceDN/>
      <w:spacing w:after="0" w:line="278" w:lineRule="auto"/>
      <w:outlineLvl w:val="7"/>
    </w:pPr>
    <w:rPr>
      <w:rFonts w:asciiTheme="minorHAnsi" w:eastAsiaTheme="majorEastAsia" w:hAnsiTheme="minorHAnsi" w:cstheme="majorBidi"/>
      <w:i/>
      <w:iCs/>
      <w:color w:val="272727" w:themeColor="text1" w:themeTint="D8"/>
      <w:kern w:val="2"/>
      <w:sz w:val="24"/>
      <w:szCs w:val="24"/>
      <w14:ligatures w14:val="standardContextual"/>
    </w:rPr>
  </w:style>
  <w:style w:type="paragraph" w:styleId="Heading9">
    <w:name w:val="heading 9"/>
    <w:basedOn w:val="Normal"/>
    <w:next w:val="Normal"/>
    <w:link w:val="Heading9Char"/>
    <w:uiPriority w:val="9"/>
    <w:semiHidden/>
    <w:unhideWhenUsed/>
    <w:qFormat/>
    <w:rsid w:val="00B01D72"/>
    <w:pPr>
      <w:keepNext/>
      <w:keepLines/>
      <w:suppressAutoHyphens w:val="0"/>
      <w:autoSpaceDN/>
      <w:spacing w:after="0" w:line="278" w:lineRule="auto"/>
      <w:outlineLvl w:val="8"/>
    </w:pPr>
    <w:rPr>
      <w:rFonts w:asciiTheme="minorHAnsi" w:eastAsiaTheme="majorEastAsia" w:hAnsiTheme="minorHAnsi" w:cstheme="majorBidi"/>
      <w:color w:val="272727" w:themeColor="text1" w:themeTint="D8"/>
      <w:kern w:val="2"/>
      <w:sz w:val="24"/>
      <w:szCs w:val="24"/>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1D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1D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1D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1D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1D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1D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1D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1D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1D72"/>
    <w:rPr>
      <w:rFonts w:eastAsiaTheme="majorEastAsia" w:cstheme="majorBidi"/>
      <w:color w:val="272727" w:themeColor="text1" w:themeTint="D8"/>
    </w:rPr>
  </w:style>
  <w:style w:type="paragraph" w:styleId="Title">
    <w:name w:val="Title"/>
    <w:basedOn w:val="Normal"/>
    <w:next w:val="Normal"/>
    <w:link w:val="TitleChar"/>
    <w:uiPriority w:val="10"/>
    <w:qFormat/>
    <w:rsid w:val="00B01D72"/>
    <w:pPr>
      <w:suppressAutoHyphens w:val="0"/>
      <w:autoSpaceDN/>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B01D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1D72"/>
    <w:pPr>
      <w:numPr>
        <w:ilvl w:val="1"/>
      </w:numPr>
      <w:suppressAutoHyphens w:val="0"/>
      <w:autoSpaceDN/>
      <w:spacing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B01D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1D72"/>
    <w:pPr>
      <w:suppressAutoHyphens w:val="0"/>
      <w:autoSpaceDN/>
      <w:spacing w:before="160" w:line="278" w:lineRule="auto"/>
      <w:jc w:val="center"/>
    </w:pPr>
    <w:rPr>
      <w:rFonts w:asciiTheme="minorHAnsi" w:eastAsiaTheme="minorHAnsi" w:hAnsiTheme="minorHAnsi" w:cstheme="minorBidi"/>
      <w:i/>
      <w:iCs/>
      <w:color w:val="404040" w:themeColor="text1" w:themeTint="BF"/>
      <w:kern w:val="2"/>
      <w:sz w:val="24"/>
      <w:szCs w:val="24"/>
      <w14:ligatures w14:val="standardContextual"/>
    </w:rPr>
  </w:style>
  <w:style w:type="character" w:customStyle="1" w:styleId="QuoteChar">
    <w:name w:val="Quote Char"/>
    <w:basedOn w:val="DefaultParagraphFont"/>
    <w:link w:val="Quote"/>
    <w:uiPriority w:val="29"/>
    <w:rsid w:val="00B01D72"/>
    <w:rPr>
      <w:i/>
      <w:iCs/>
      <w:color w:val="404040" w:themeColor="text1" w:themeTint="BF"/>
    </w:rPr>
  </w:style>
  <w:style w:type="paragraph" w:styleId="ListParagraph">
    <w:name w:val="List Paragraph"/>
    <w:basedOn w:val="Normal"/>
    <w:uiPriority w:val="34"/>
    <w:qFormat/>
    <w:rsid w:val="00B01D72"/>
    <w:pPr>
      <w:suppressAutoHyphens w:val="0"/>
      <w:autoSpaceDN/>
      <w:spacing w:line="278" w:lineRule="auto"/>
      <w:ind w:left="720"/>
      <w:contextualSpacing/>
    </w:pPr>
    <w:rPr>
      <w:rFonts w:asciiTheme="minorHAnsi" w:eastAsiaTheme="minorHAnsi" w:hAnsiTheme="minorHAnsi" w:cstheme="minorBidi"/>
      <w:kern w:val="2"/>
      <w:sz w:val="24"/>
      <w:szCs w:val="24"/>
      <w14:ligatures w14:val="standardContextual"/>
    </w:rPr>
  </w:style>
  <w:style w:type="character" w:styleId="IntenseEmphasis">
    <w:name w:val="Intense Emphasis"/>
    <w:basedOn w:val="DefaultParagraphFont"/>
    <w:uiPriority w:val="21"/>
    <w:qFormat/>
    <w:rsid w:val="00B01D72"/>
    <w:rPr>
      <w:i/>
      <w:iCs/>
      <w:color w:val="0F4761" w:themeColor="accent1" w:themeShade="BF"/>
    </w:rPr>
  </w:style>
  <w:style w:type="paragraph" w:styleId="IntenseQuote">
    <w:name w:val="Intense Quote"/>
    <w:basedOn w:val="Normal"/>
    <w:next w:val="Normal"/>
    <w:link w:val="IntenseQuoteChar"/>
    <w:uiPriority w:val="30"/>
    <w:qFormat/>
    <w:rsid w:val="00B01D72"/>
    <w:pPr>
      <w:pBdr>
        <w:top w:val="single" w:sz="4" w:space="10" w:color="0F4761" w:themeColor="accent1" w:themeShade="BF"/>
        <w:bottom w:val="single" w:sz="4" w:space="10" w:color="0F4761" w:themeColor="accent1" w:themeShade="BF"/>
      </w:pBdr>
      <w:suppressAutoHyphens w:val="0"/>
      <w:autoSpaceDN/>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14:ligatures w14:val="standardContextual"/>
    </w:rPr>
  </w:style>
  <w:style w:type="character" w:customStyle="1" w:styleId="IntenseQuoteChar">
    <w:name w:val="Intense Quote Char"/>
    <w:basedOn w:val="DefaultParagraphFont"/>
    <w:link w:val="IntenseQuote"/>
    <w:uiPriority w:val="30"/>
    <w:rsid w:val="00B01D72"/>
    <w:rPr>
      <w:i/>
      <w:iCs/>
      <w:color w:val="0F4761" w:themeColor="accent1" w:themeShade="BF"/>
    </w:rPr>
  </w:style>
  <w:style w:type="character" w:styleId="IntenseReference">
    <w:name w:val="Intense Reference"/>
    <w:basedOn w:val="DefaultParagraphFont"/>
    <w:uiPriority w:val="32"/>
    <w:qFormat/>
    <w:rsid w:val="00B01D72"/>
    <w:rPr>
      <w:b/>
      <w:bCs/>
      <w:smallCaps/>
      <w:color w:val="0F4761" w:themeColor="accent1" w:themeShade="BF"/>
      <w:spacing w:val="5"/>
    </w:rPr>
  </w:style>
  <w:style w:type="character" w:styleId="Hyperlink">
    <w:name w:val="Hyperlink"/>
    <w:basedOn w:val="DefaultParagraphFont"/>
    <w:uiPriority w:val="99"/>
    <w:unhideWhenUsed/>
    <w:rsid w:val="007002F4"/>
    <w:rPr>
      <w:color w:val="467886" w:themeColor="hyperlink"/>
      <w:u w:val="single"/>
    </w:rPr>
  </w:style>
  <w:style w:type="character" w:styleId="UnresolvedMention">
    <w:name w:val="Unresolved Mention"/>
    <w:basedOn w:val="DefaultParagraphFont"/>
    <w:uiPriority w:val="99"/>
    <w:semiHidden/>
    <w:unhideWhenUsed/>
    <w:rsid w:val="007002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E948E4-8B99-4FDF-90F3-C1C29812BB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1242</TotalTime>
  <Pages>16</Pages>
  <Words>5081</Words>
  <Characters>31963</Characters>
  <Application>Microsoft Office Word</Application>
  <DocSecurity>0</DocSecurity>
  <Lines>499</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Sunela Dad</dc:creator>
  <cp:keywords/>
  <dc:description/>
  <cp:lastModifiedBy>Sunela Dad</cp:lastModifiedBy>
  <cp:revision>156</cp:revision>
  <dcterms:created xsi:type="dcterms:W3CDTF">2026-06-20T20:34:00Z</dcterms:created>
  <dcterms:modified xsi:type="dcterms:W3CDTF">2026-07-31T15:19:00Z</dcterms:modified>
</cp:coreProperties>
</file>