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B72" w:rsidRPr="00BA7042" w:rsidRDefault="006C6BC1" w:rsidP="00BA7042">
      <w:pPr>
        <w:spacing w:line="360" w:lineRule="auto"/>
        <w:jc w:val="both"/>
        <w:rPr>
          <w:rFonts w:ascii="Times New Roman" w:hAnsi="Times New Roman" w:cs="Times New Roman"/>
          <w:sz w:val="24"/>
          <w:szCs w:val="24"/>
          <w:u w:val="single"/>
        </w:rPr>
      </w:pPr>
      <w:r w:rsidRPr="00BA7042">
        <w:rPr>
          <w:rFonts w:ascii="Times New Roman" w:hAnsi="Times New Roman" w:cs="Times New Roman"/>
          <w:sz w:val="24"/>
          <w:szCs w:val="24"/>
          <w:u w:val="single"/>
        </w:rPr>
        <w:t>Choose a specific key stage and critically evaluate how current initiatives support the development of numeracy across the curriculum within your setting.  Compare practice to the academic literature and policy.</w:t>
      </w:r>
    </w:p>
    <w:p w:rsidR="00E26B72" w:rsidRPr="00BA7042" w:rsidRDefault="006C6BC1" w:rsidP="00BA7042">
      <w:pPr>
        <w:pStyle w:val="NormalWeb"/>
        <w:spacing w:before="0" w:beforeAutospacing="0" w:after="240" w:afterAutospacing="0" w:line="360" w:lineRule="auto"/>
        <w:jc w:val="both"/>
        <w:textAlignment w:val="baseline"/>
      </w:pPr>
      <w:r w:rsidRPr="00BA7042">
        <w:t>Andreas Schleicher (2018, p.1) suggests that “Good numeracy is the best protection against unemployment, low wages and poor health”.  Maths is used in all areas of our everyday lives. It may be used when planning a holiday, taking out a mortgage or even just going shopping. Bulman (2018) a social affairs correspondent for the Independent, reports that England and Northern Ireland are facing a ‘crisis’. Academics have warned, research has shown that one in three people in these two countries are unable to count the correct change whilst on a shopping trip.  These two nations are alongside the lowest global under achievers for conducting financial numeracy tasks in their everyday lives.  An interim report by Sir Peter Williams, a chancellor of Leicester University, states that the UK is one of the minority of developed nations where it is acceptable to say “you are useless at maths” (BBC News, 2008). When Professor Jerrim was asked why England are amongst this crisis, his reply follows:</w:t>
      </w:r>
    </w:p>
    <w:p w:rsidR="00E26B72" w:rsidRPr="00BA7042" w:rsidRDefault="006C6BC1" w:rsidP="00BA7042">
      <w:pPr>
        <w:pStyle w:val="NormalWeb"/>
        <w:spacing w:before="240" w:beforeAutospacing="0" w:after="240" w:afterAutospacing="0" w:line="360" w:lineRule="auto"/>
        <w:ind w:left="567" w:right="567"/>
        <w:jc w:val="both"/>
        <w:textAlignment w:val="baseline"/>
        <w:rPr>
          <w:color w:val="281E1E"/>
        </w:rPr>
      </w:pPr>
      <w:r w:rsidRPr="00BA7042">
        <w:t xml:space="preserve"> </w:t>
      </w:r>
      <w:r w:rsidRPr="00BA7042">
        <w:rPr>
          <w:color w:val="281E1E"/>
        </w:rPr>
        <w:t>It’s likely to be because there’s not enough financial education in schools, as well as lower maths ability in England and Northern Ireland general, which has been the case for decades. There’s a cultural view and attitude in England of saying: ‘I’m not good at numbers’. “Another factor is that adults aren’t using those skills so much because of technological developments (Bulman, 2018).</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color w:val="281E1E"/>
          <w:sz w:val="24"/>
          <w:szCs w:val="24"/>
        </w:rPr>
        <w:t>It is a major concern, that half of the countries working age adult’s numeracy levels that are regarded of those in primary schools.</w:t>
      </w:r>
      <w:r w:rsidRPr="00BA7042">
        <w:rPr>
          <w:rFonts w:ascii="Times New Roman" w:hAnsi="Times New Roman" w:cs="Times New Roman"/>
          <w:sz w:val="24"/>
          <w:szCs w:val="24"/>
        </w:rPr>
        <w:t xml:space="preserve"> Evidence from The National Child Development Study, on the impact of poor numeracy in adult life suggests that it is clear that there needs to be an improvement in the skills of numeracy between teachers and parents, in the monitoring of   pupil’s/child’s educational progress. When there is a partnership between teachers and parents, the children learn most effectively, when there is a feeling of community with home and school environments (Dockett,1995) also knowing that these children live in a safe and secure environment and having their personal and psychological needs met (Bredekamp &amp; Copple, 1997). Maslow’s theory ‘Hierarchy of needs’ (1943-1954) shows at the bottom of the pyramid, is the basic needs that a child needs to survive, for example, food, water, warmth, and rest. Once the lower level of needs is met, then the psychological needs of feeling safe, secure, sense of belonging is achieved, motivation increases enabling the child’s self- esteem and confidence to fulfil their needs in life. </w:t>
      </w:r>
    </w:p>
    <w:p w:rsidR="00CB7F2F"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lastRenderedPageBreak/>
        <w:t>For parents, it is crucial for them to have good numeracy, so that they can help in their child’s learning (national numeracy 2018).</w:t>
      </w:r>
      <w:r w:rsidR="00BB3E02" w:rsidRPr="00BA7042">
        <w:rPr>
          <w:rFonts w:ascii="Times New Roman" w:hAnsi="Times New Roman" w:cs="Times New Roman"/>
          <w:sz w:val="24"/>
          <w:szCs w:val="24"/>
        </w:rPr>
        <w:t xml:space="preserve"> Vygotsky (1978) believed that social interactions results in cognitive development (Eggen &amp; Kauchak, 2010, p. 45) The child proceeds towards more independent learning</w:t>
      </w:r>
      <w:r w:rsidR="00FE0E0A" w:rsidRPr="00BA7042">
        <w:rPr>
          <w:rFonts w:ascii="Times New Roman" w:hAnsi="Times New Roman" w:cs="Times New Roman"/>
          <w:sz w:val="24"/>
          <w:szCs w:val="24"/>
        </w:rPr>
        <w:t xml:space="preserve"> by being involved in social interactions. Vygotsky’s concepts of cognitive development are, More Knowledgeable Other (MKO) and The Zone of Proximal Development (ZPD). Vygotsky also believed that learning takes place through social interaction with a perso</w:t>
      </w:r>
      <w:r w:rsidR="003E3C00" w:rsidRPr="00BA7042">
        <w:rPr>
          <w:rFonts w:ascii="Times New Roman" w:hAnsi="Times New Roman" w:cs="Times New Roman"/>
          <w:sz w:val="24"/>
          <w:szCs w:val="24"/>
        </w:rPr>
        <w:t>n, whose</w:t>
      </w:r>
      <w:r w:rsidR="00FE0E0A" w:rsidRPr="00BA7042">
        <w:rPr>
          <w:rFonts w:ascii="Times New Roman" w:hAnsi="Times New Roman" w:cs="Times New Roman"/>
          <w:sz w:val="24"/>
          <w:szCs w:val="24"/>
        </w:rPr>
        <w:t xml:space="preserve"> level of understanding is influential to the learner, with regards to a specific task, </w:t>
      </w:r>
      <w:r w:rsidR="006400D6" w:rsidRPr="00BA7042">
        <w:rPr>
          <w:rFonts w:ascii="Times New Roman" w:hAnsi="Times New Roman" w:cs="Times New Roman"/>
          <w:sz w:val="24"/>
          <w:szCs w:val="24"/>
        </w:rPr>
        <w:t xml:space="preserve">process or concept (McLeod, 2007). The second important concept was ZPD. This is associated to what a child is able to achieve by themselves and what they can achieve with the support and encouragement from another person. </w:t>
      </w:r>
      <w:r w:rsidR="00A865E7" w:rsidRPr="00BA7042">
        <w:rPr>
          <w:rFonts w:ascii="Times New Roman" w:hAnsi="Times New Roman" w:cs="Times New Roman"/>
          <w:sz w:val="24"/>
          <w:szCs w:val="24"/>
        </w:rPr>
        <w:t>Reciprocal teaching and scaffolding are two coexisting educational applications of Vygotsky’s theories (Cooper &amp; Grieve, n.d.).</w:t>
      </w:r>
    </w:p>
    <w:p w:rsidR="003E3C00" w:rsidRPr="00BA7042" w:rsidRDefault="00A865E7" w:rsidP="00BA7042">
      <w:pPr>
        <w:pStyle w:val="Standard"/>
        <w:spacing w:line="360" w:lineRule="auto"/>
        <w:jc w:val="both"/>
        <w:rPr>
          <w:rFonts w:ascii="Times New Roman" w:hAnsi="Times New Roman" w:cs="Times New Roman"/>
          <w:color w:val="5A5A5A"/>
          <w:sz w:val="24"/>
          <w:szCs w:val="24"/>
        </w:rPr>
      </w:pPr>
      <w:r w:rsidRPr="00BA7042">
        <w:rPr>
          <w:rFonts w:ascii="Times New Roman" w:hAnsi="Times New Roman" w:cs="Times New Roman"/>
          <w:sz w:val="24"/>
          <w:szCs w:val="24"/>
        </w:rPr>
        <w:t> </w:t>
      </w:r>
      <w:r w:rsidR="00B26FC2" w:rsidRPr="00BA7042">
        <w:rPr>
          <w:rFonts w:ascii="Times New Roman" w:hAnsi="Times New Roman" w:cs="Times New Roman"/>
          <w:sz w:val="24"/>
          <w:szCs w:val="24"/>
        </w:rPr>
        <w:t>One improves the comprehension of students by using reciprocal teaching methods which involves slowly reducing the teacher’s role over a period of time. F</w:t>
      </w:r>
      <w:r w:rsidRPr="00BA7042">
        <w:rPr>
          <w:rFonts w:ascii="Times New Roman" w:hAnsi="Times New Roman" w:cs="Times New Roman"/>
          <w:sz w:val="24"/>
          <w:szCs w:val="24"/>
        </w:rPr>
        <w:t>our strategies of reciprocal teaching are used</w:t>
      </w:r>
      <w:r w:rsidR="00B26FC2" w:rsidRPr="00BA7042">
        <w:rPr>
          <w:rFonts w:ascii="Times New Roman" w:hAnsi="Times New Roman" w:cs="Times New Roman"/>
          <w:sz w:val="24"/>
          <w:szCs w:val="24"/>
        </w:rPr>
        <w:t xml:space="preserve"> in literacy. </w:t>
      </w:r>
      <w:r w:rsidRPr="00BA7042">
        <w:rPr>
          <w:rFonts w:ascii="Times New Roman" w:hAnsi="Times New Roman" w:cs="Times New Roman"/>
          <w:sz w:val="24"/>
          <w:szCs w:val="24"/>
        </w:rPr>
        <w:t>These four strategies are questioning, clarifying, summarising and predicting (Cooper &amp; Grieve. n.d.).  With regard to numeracy, the same four strategies are used in problem solving in mathematics but the extra strategies of visualizing</w:t>
      </w:r>
      <w:r w:rsidR="00B26FC2" w:rsidRPr="00BA7042">
        <w:rPr>
          <w:rFonts w:ascii="Times New Roman" w:hAnsi="Times New Roman" w:cs="Times New Roman"/>
          <w:sz w:val="24"/>
          <w:szCs w:val="24"/>
        </w:rPr>
        <w:t xml:space="preserve">, connecting and calculating are required (Meyer, 2014). </w:t>
      </w:r>
      <w:r w:rsidRPr="00BA7042">
        <w:rPr>
          <w:rFonts w:ascii="Times New Roman" w:hAnsi="Times New Roman" w:cs="Times New Roman"/>
          <w:sz w:val="24"/>
          <w:szCs w:val="24"/>
        </w:rPr>
        <w:t>While Vygotsky used an active approach that focused on social interaction to develop student learning, Piaget took a more constructivist theory that focused on the individual.</w:t>
      </w:r>
      <w:r w:rsidR="00CB7F2F" w:rsidRPr="00BA7042">
        <w:rPr>
          <w:rFonts w:ascii="Times New Roman" w:hAnsi="Times New Roman" w:cs="Times New Roman"/>
          <w:sz w:val="24"/>
          <w:szCs w:val="24"/>
        </w:rPr>
        <w:t xml:space="preserve"> Piaget’s </w:t>
      </w:r>
      <w:r w:rsidR="005F7710" w:rsidRPr="00BA7042">
        <w:rPr>
          <w:rFonts w:ascii="Times New Roman" w:hAnsi="Times New Roman" w:cs="Times New Roman"/>
          <w:sz w:val="24"/>
          <w:szCs w:val="24"/>
        </w:rPr>
        <w:t xml:space="preserve">theory of cognitive development, was anxious with children, concentrated on the development and the suggested stages of development. </w:t>
      </w:r>
      <w:r w:rsidR="00CB7F2F" w:rsidRPr="00BA7042">
        <w:rPr>
          <w:rFonts w:ascii="Times New Roman" w:hAnsi="Times New Roman" w:cs="Times New Roman"/>
          <w:sz w:val="24"/>
          <w:szCs w:val="24"/>
        </w:rPr>
        <w:t xml:space="preserve">He </w:t>
      </w:r>
      <w:r w:rsidR="005F7710" w:rsidRPr="00BA7042">
        <w:rPr>
          <w:rFonts w:ascii="Times New Roman" w:hAnsi="Times New Roman" w:cs="Times New Roman"/>
          <w:sz w:val="24"/>
          <w:szCs w:val="24"/>
        </w:rPr>
        <w:t>observed children as gaining their knowledge and discovering, through their own sole activity.</w:t>
      </w:r>
      <w:r w:rsidR="005F7710" w:rsidRPr="00BA7042">
        <w:rPr>
          <w:rFonts w:ascii="Times New Roman" w:hAnsi="Times New Roman" w:cs="Times New Roman"/>
          <w:color w:val="5A5A5A"/>
          <w:sz w:val="24"/>
          <w:szCs w:val="24"/>
        </w:rPr>
        <w:t xml:space="preserve"> </w:t>
      </w:r>
      <w:r w:rsidR="005F7710" w:rsidRPr="00BA7042">
        <w:rPr>
          <w:rFonts w:ascii="Times New Roman" w:hAnsi="Times New Roman" w:cs="Times New Roman"/>
          <w:sz w:val="24"/>
          <w:szCs w:val="24"/>
        </w:rPr>
        <w:t xml:space="preserve">The learning that is used today by the ways of discovering, is by Piaget’s cognitive development theory. Piaget believed that assimilation and accommodation require an active learner, not a passive one, because problem-solving skills cannot be taught, they must be discovered (McLeod, 2009).  During discovery learning, teachers </w:t>
      </w:r>
      <w:r w:rsidR="008B77A6" w:rsidRPr="00BA7042">
        <w:rPr>
          <w:rFonts w:ascii="Times New Roman" w:hAnsi="Times New Roman" w:cs="Times New Roman"/>
          <w:sz w:val="24"/>
          <w:szCs w:val="24"/>
        </w:rPr>
        <w:t xml:space="preserve">supply </w:t>
      </w:r>
      <w:r w:rsidR="005F7710" w:rsidRPr="00BA7042">
        <w:rPr>
          <w:rFonts w:ascii="Times New Roman" w:hAnsi="Times New Roman" w:cs="Times New Roman"/>
          <w:sz w:val="24"/>
          <w:szCs w:val="24"/>
        </w:rPr>
        <w:t>activities that promote exploration and discovery. Tea</w:t>
      </w:r>
      <w:r w:rsidR="008B77A6" w:rsidRPr="00BA7042">
        <w:rPr>
          <w:rFonts w:ascii="Times New Roman" w:hAnsi="Times New Roman" w:cs="Times New Roman"/>
          <w:sz w:val="24"/>
          <w:szCs w:val="24"/>
        </w:rPr>
        <w:t xml:space="preserve">chers introduce experiences, so that </w:t>
      </w:r>
      <w:r w:rsidR="003E3C00" w:rsidRPr="00BA7042">
        <w:rPr>
          <w:rFonts w:ascii="Times New Roman" w:hAnsi="Times New Roman" w:cs="Times New Roman"/>
          <w:sz w:val="24"/>
          <w:szCs w:val="24"/>
        </w:rPr>
        <w:t>it challenges</w:t>
      </w:r>
      <w:r w:rsidR="008B77A6" w:rsidRPr="00BA7042">
        <w:rPr>
          <w:rFonts w:ascii="Times New Roman" w:hAnsi="Times New Roman" w:cs="Times New Roman"/>
          <w:sz w:val="24"/>
          <w:szCs w:val="24"/>
        </w:rPr>
        <w:t xml:space="preserve"> a </w:t>
      </w:r>
      <w:r w:rsidR="005F7710" w:rsidRPr="00BA7042">
        <w:rPr>
          <w:rFonts w:ascii="Times New Roman" w:hAnsi="Times New Roman" w:cs="Times New Roman"/>
          <w:sz w:val="24"/>
          <w:szCs w:val="24"/>
        </w:rPr>
        <w:t>student’s way of viewing the world</w:t>
      </w:r>
      <w:r w:rsidR="008B77A6" w:rsidRPr="00BA7042">
        <w:rPr>
          <w:rFonts w:ascii="Times New Roman" w:hAnsi="Times New Roman" w:cs="Times New Roman"/>
          <w:sz w:val="24"/>
          <w:szCs w:val="24"/>
        </w:rPr>
        <w:t>,</w:t>
      </w:r>
      <w:r w:rsidR="005F7710" w:rsidRPr="00BA7042">
        <w:rPr>
          <w:rFonts w:ascii="Times New Roman" w:hAnsi="Times New Roman" w:cs="Times New Roman"/>
          <w:sz w:val="24"/>
          <w:szCs w:val="24"/>
        </w:rPr>
        <w:t xml:space="preserve"> </w:t>
      </w:r>
      <w:r w:rsidR="008B77A6" w:rsidRPr="00BA7042">
        <w:rPr>
          <w:rFonts w:ascii="Times New Roman" w:hAnsi="Times New Roman" w:cs="Times New Roman"/>
          <w:sz w:val="24"/>
          <w:szCs w:val="24"/>
        </w:rPr>
        <w:t>which then enables the learner to perceive new schemas</w:t>
      </w:r>
      <w:r w:rsidR="003E3C00" w:rsidRPr="00BA7042">
        <w:rPr>
          <w:rFonts w:ascii="Times New Roman" w:hAnsi="Times New Roman" w:cs="Times New Roman"/>
          <w:sz w:val="24"/>
          <w:szCs w:val="24"/>
        </w:rPr>
        <w:t>.</w:t>
      </w:r>
      <w:r w:rsidR="003E3C00" w:rsidRPr="00BA7042">
        <w:rPr>
          <w:rFonts w:ascii="Times New Roman" w:hAnsi="Times New Roman" w:cs="Times New Roman"/>
          <w:color w:val="5A5A5A"/>
          <w:sz w:val="24"/>
          <w:szCs w:val="24"/>
        </w:rPr>
        <w:t>..</w:t>
      </w:r>
    </w:p>
    <w:p w:rsidR="00313F3A" w:rsidRPr="00BA7042" w:rsidRDefault="00CB7F2F"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The Schools Council (1992) and The New South Wales Department of School Education (1995), amongst others, have advanced the opinion that co-operation with parents, is vital for effective early childhood education. There is reliable evidence that parents and the home environment has a positive effect on children’s education to the same effect as teachers and schools, for example, the Schools Council (1992, p.21) has acclaimed that ‘The Colman Report in the United States, and the Plowden Report in the United Kingdom showed that attitude and </w:t>
      </w:r>
      <w:r w:rsidRPr="00BA7042">
        <w:rPr>
          <w:rFonts w:ascii="Times New Roman" w:hAnsi="Times New Roman" w:cs="Times New Roman"/>
          <w:sz w:val="24"/>
          <w:szCs w:val="24"/>
        </w:rPr>
        <w:lastRenderedPageBreak/>
        <w:t>family background actually had more to do with a child’s school success than input from school. Studies have shown that children who have a positive relationship with their parents in the involvement in their schooling achievements which include numeracy (Brown, 1989; Civil, 1998; Greenberg, 1989; Reynolds, 1992; Young-Loveridge, 1993a;</w:t>
      </w:r>
    </w:p>
    <w:p w:rsidR="004D68A1" w:rsidRPr="00BA7042" w:rsidRDefault="003D3F75" w:rsidP="00BA7042">
      <w:pPr>
        <w:pStyle w:val="NormalWeb"/>
        <w:spacing w:before="0" w:beforeAutospacing="0" w:after="150" w:afterAutospacing="0" w:line="360" w:lineRule="auto"/>
        <w:jc w:val="both"/>
      </w:pPr>
      <w:r w:rsidRPr="00BA7042">
        <w:t xml:space="preserve"> </w:t>
      </w:r>
      <w:r w:rsidR="00702E20" w:rsidRPr="00BA7042">
        <w:t xml:space="preserve">Freire (1970) developed an approach to education that connects the discovery of issues to positive measures for change and development. </w:t>
      </w:r>
      <w:r w:rsidR="00702E20" w:rsidRPr="00BA7042">
        <w:rPr>
          <w:color w:val="444444"/>
        </w:rPr>
        <w:t>Paulo Freire’s work has influenced</w:t>
      </w:r>
      <w:r w:rsidR="00702E20" w:rsidRPr="00BA7042">
        <w:rPr>
          <w:color w:val="444444"/>
        </w:rPr>
        <w:t xml:space="preserve"> many</w:t>
      </w:r>
      <w:r w:rsidR="00702E20" w:rsidRPr="00BA7042">
        <w:rPr>
          <w:color w:val="444444"/>
        </w:rPr>
        <w:t xml:space="preserve"> people working in education, </w:t>
      </w:r>
      <w:r w:rsidR="00702E20" w:rsidRPr="00BA7042">
        <w:rPr>
          <w:color w:val="333333"/>
        </w:rPr>
        <w:t xml:space="preserve">For Freire, the educational process is never neutral. People can be passive recipients of knowledge — whatever the content — or they can engage in a ‘problem-posing’ approach in which they become active participants. </w:t>
      </w:r>
      <w:r w:rsidR="00702E20" w:rsidRPr="00BA7042">
        <w:t>As part of this approach, it is essential that people link knowledge to action so that they actively work to change their societies at a local level and beyond.</w:t>
      </w:r>
      <w:r w:rsidR="00702E20" w:rsidRPr="00BA7042">
        <w:t xml:space="preserve"> The feature of Freire’s theory, is that people bring their own knowledge and understanding into the learning process. </w:t>
      </w:r>
      <w:r w:rsidR="00BA7042" w:rsidRPr="00BA7042">
        <w:t>The</w:t>
      </w:r>
      <w:r w:rsidR="00702E20" w:rsidRPr="00BA7042">
        <w:t xml:space="preserve"> </w:t>
      </w:r>
      <w:r w:rsidR="00BA7042" w:rsidRPr="00BA7042">
        <w:t xml:space="preserve">four </w:t>
      </w:r>
      <w:r w:rsidR="00702E20" w:rsidRPr="00BA7042">
        <w:t xml:space="preserve">dimensions of critical </w:t>
      </w:r>
      <w:r w:rsidR="00BA7042" w:rsidRPr="00BA7042">
        <w:t>pedagogy in numeracy are: knowledge and understanding, investigating patterns, communications in mathematics and reflection in mathematic (Williams, 2008).</w:t>
      </w:r>
    </w:p>
    <w:p w:rsidR="00FE0E0A" w:rsidRPr="00BA7042" w:rsidRDefault="00CB7F2F"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The Schools Council (1992) and The New South Wales Department of School Education (1995), amongst others, have advanced the opinion that co-operation with parents, is vital for effective early childhood education. There is reliable evidence that parents and the home environment has a positive effect on children’s education to the same effect as teachers and schools, for example, the Schools Council (1992, p.21) has acclaimed that ‘The Colman Report in the United States, and the Plowden Report in the United Kingdom showed that attitude and family background actually had more to do with a child’s school success than input from school. Studies have shown that children who have a positive relationship with their parents in the involvement in their schooling achievements which include numeracy (Brown, 1989; Civil, 1998; Greenberg, 1989; Reynolds, 1992; Young-Loveridge, 1993a; Young Loveridge , Peters</w:t>
      </w:r>
      <w:r w:rsidR="003E3C00" w:rsidRPr="00BA7042">
        <w:rPr>
          <w:rFonts w:ascii="Times New Roman" w:hAnsi="Times New Roman" w:cs="Times New Roman"/>
          <w:sz w:val="24"/>
          <w:szCs w:val="24"/>
        </w:rPr>
        <w:t xml:space="preserve"> &amp; Carr, 1998).</w:t>
      </w:r>
    </w:p>
    <w:p w:rsidR="00E26B72" w:rsidRPr="00BA7042" w:rsidRDefault="00BB3E02" w:rsidP="00BA7042">
      <w:pPr>
        <w:pStyle w:val="NormalWeb"/>
        <w:spacing w:before="240" w:beforeAutospacing="0" w:after="240" w:afterAutospacing="0" w:line="360" w:lineRule="auto"/>
        <w:jc w:val="both"/>
        <w:textAlignment w:val="baseline"/>
      </w:pPr>
      <w:r w:rsidRPr="00BA7042">
        <w:rPr>
          <w:color w:val="5A5A5A"/>
        </w:rPr>
        <w:t xml:space="preserve"> </w:t>
      </w:r>
      <w:r w:rsidR="006C6BC1" w:rsidRPr="00BA7042">
        <w:t xml:space="preserve"> O’Flaherty (2018) acknowledges that although parents are aware of the importance of early childhood learning and the impact it has on a child’s health, wellbeing, and future development, they however, do not recognize the value of advantages that early mathematics can bring to their child. Research has also publicised that children learning numeracy skills in early childhood, increases their performance in oral language, including vocabulary, inference, independence and grammatical complexity (Our Child 2018). </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lastRenderedPageBreak/>
        <w:t>Research carried out by Pro Bono Economics (2018) predicts a £20.2 billion deficit every year, due to poor numeracy skills. In order to boost a strong economy and compete globally, the UK needs a numerate population. There is considerable evidence that low skills in numeracy are associated with poor outcomes: Poor numeracy can also affect people’s confidence and self-esteem. (National Numeracy 2018). According to O’Flaherty (2018) parents seem to be less troubled with the endorsement of numeracy skills for their children, and seem to be more focused on the literacy development. Many parents are under the influence, that their children are not ready to grasp the foundational concepts of mathematics, and so, numeracy would be better if it was introduced in school.  Research has also publicised that children who learn numeracy skills in early childhood, also increases their performance in oral language, including vocabulary, inference, independence and grammatical complexity. (National Numeracy 2018).</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  This essay will be critically evaluating; how current initiatives support the development of numeracy across the curriculum in this setting. The learning resource centre within the secondary school has provision for pupils, aged eleven to fourteen, who have been diagnosed with Autistic Spectrum Disorder.  These pupils also have the right to Inclusive Education, where they are supported by a Learning support assistant whilst attending mainstream lessons (School X). If these pupils are unable to attend mainstream in numeracy and literacy, they can access both subjects through Agored Cymru, which are delivered by a trained level two teaching assistant in the LRC (school X, 2018). These lessons are accessed and closely monitored alongside the National Literacy and Numeracy Framework, to ensure they are adhering to the correct level and elements of the curriculum. (Welsh Government 2012). Agored Cymru is a Welsh awarding body for education and training providers in Wales. The pupils in the LRC all have the opportunity to maximise their potential through learning and gain qualifications in numeracy, literacy and other subjects, to be recognised, respected and valued by employers (Agored Cymru 2018). </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In 1978 Jim Callaghan’ Labour government agreed ‘that issues of the kind listed in the Committee’s report need thorough examination’ (Cockcroft Report 1982). A decision was then made to undertake inquiries to examine the teaching of mathematics in primary and secondary schools in England and wales, concentrating on the effectiveness of mathematical skills that were being taught, would benefit adults later in life when seeking employment (Cockcroft Report 1982).  The key points recommended in the report by twenty-one members were to, make mathematics more enjoyable to pupils at a younger age, for them to understand and appreciate the importance of how powerful maths is, and also in communication. In everyday </w:t>
      </w:r>
      <w:r w:rsidRPr="00BA7042">
        <w:rPr>
          <w:rFonts w:ascii="Times New Roman" w:hAnsi="Times New Roman" w:cs="Times New Roman"/>
          <w:sz w:val="24"/>
          <w:szCs w:val="24"/>
        </w:rPr>
        <w:lastRenderedPageBreak/>
        <w:t>life numeracy skills are very much needed; paying for bus or train fares, checking change, telling the time or understanding timetables. The maths curriculum in primary schools should enrich children’s aesthetic and linguistic experience to provide them with the ability to think logically and explore their environment around them (Cockcroft Report 1982).</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Nevertheless, research carried out by the Welsh Government, made findings after the Cockcroft Report, that there were still outlining issues around literacy and numeracy, in that the overall performance of children in England and Wales, is not that noticeably different to other children in other countries. (Murray, 2012) states that in England and Wales, the current concern regarding low attainers is presently high on the national mathematical agenda. This is part of the agenda of raising standards in schools. A small scale research study carried out, showed that some of the patterns found in low attaining children’s numeracy, have also been identified in other studies, for example, Denvir 1984; Houssat 2001). One of the issues that was raised, that teachers who struggle to support low attaining children, to incorporate the use of multi-sensory teaching approaches which connect other mathematical concepts (Murray, 2012). </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In 2013 The Welsh Government implemented the National Literacy and Numeracy Framework which was made statutory in all schools across Wales in order to enhance children’s learning and raise the grades and achievements in their education. The development of the LNF is so it acts as a curriculum planning tool for all schools, to support teachers in acknowledging the importance in their involvement of developing and providing continuing development to all learners. All schools will need to adapt their curriculum planning effectively, to incorporate cross-curricular planning using the LNF. The key aims of the LNF include; teachers of all subjects to deliver literacy and numeracy and for learners to apply their skills fully. A detailed description of expectations for learners aged five to fourteen in literacy and numeracy. Teachers are able to keep a track of learner’s progress in literacy and numeracy, giving feedback with annual reports to parents/carers which are based on teacher assessments and identify learners who may need interventions with additional learning needs (Welsh Assembly Government, 2014). The LNF is first and foremost a curriculum planning tool that supports all teachers to embed literacy and numeracy in their teaching of the curriculum. Our aim is to support all teachers to see themselves as having an important role in developing the literacy and numeracy skills of their learners. All schools currently have curriculum planning arrangements and these will need to be adapted to support cross-curricular planning using the LNF. Although, it has been acknowledged that skills development for younger learners, in particular, may be more </w:t>
      </w:r>
      <w:r w:rsidRPr="00BA7042">
        <w:rPr>
          <w:rFonts w:ascii="Times New Roman" w:hAnsi="Times New Roman" w:cs="Times New Roman"/>
          <w:sz w:val="24"/>
          <w:szCs w:val="24"/>
        </w:rPr>
        <w:lastRenderedPageBreak/>
        <w:t>erratic, effective cross-curriculum planning for skills and a framework for continued development is important for all learners.</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The structure for the LNF is split into two components, literacy and numeracy. The numeracy framework is split into four strands, with distinct elements within those strands. These being: developing numerical reasoning, using number skills, using measuring skills and using data skills. These strands are then split again into elements, with expectations to support teachers in getting precise progress expected in the skills stated age appropriate and year group. For learners with ALN, they may not be at the level for their age group, it would be the teacher’s to differentiate this when planning lessons, to enable them to achieve their lesson objectives.  There are also extension elements available for more abled and talented learners, who working beyond their expectations for their age (Welsh Government, 2014). </w:t>
      </w:r>
    </w:p>
    <w:p w:rsidR="00E26B72" w:rsidRPr="00BA7042" w:rsidRDefault="006C6BC1" w:rsidP="00BA7042">
      <w:pPr>
        <w:pStyle w:val="Standard"/>
        <w:spacing w:line="360" w:lineRule="auto"/>
        <w:rPr>
          <w:rFonts w:ascii="Times New Roman" w:hAnsi="Times New Roman" w:cs="Times New Roman"/>
          <w:sz w:val="24"/>
          <w:szCs w:val="24"/>
        </w:rPr>
      </w:pPr>
      <w:r w:rsidRPr="00BA7042">
        <w:rPr>
          <w:rFonts w:ascii="Times New Roman" w:hAnsi="Times New Roman" w:cs="Times New Roman"/>
          <w:sz w:val="24"/>
          <w:szCs w:val="24"/>
        </w:rPr>
        <w:t>The framework also introduced national tests for each year group to perform annually, which enables the government to access the literacy and numeracy levels across Wales to examine whether schools are achieving or under achieving. Recommendations made by Estyn, were to extend the opportunities to all learners of all abilities to have access to use numeracy in all subjects across the wider curriculum. It was also noted that if teachers were to deliver well planned lessons which offered imaginative opportunities, this would allow learners to apply skills and knowledge across the wider curriculum (Estyn, 2013). Support staff need to widen their knowledge and understanding of strategies, to enable them to use numeracy in all aspects of the National Curriculum (Estyn, 2014).</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 The Oxford primary (2016) have correlated activities from Numicon Firm Foundations to the Foundation Phase Mathematical Development Area of Learning in the Welsh curriculum, to support teachers in their planning. This initiative was made by the Welsh Government, to introduce more support programmes in schools to enhance children’s numeracy skills. Numicon highlights three key aspects of mathematics: Communicating mathematically, exploring relationships and generalizing. These aspects are a pointer to the success of using Numicon for intervention or acceleration of learners. The multi-sensory purpose of this particular resource, build’s children’s mental image of abstract concepts and aides them to develop their understanding of the connections to the different areas of mathematics on a proven pedagogy. Numicon also enables learners to have fun whilst they learn and a hands-on approach. John Dewey (1938) believed that human beings learn through a hands-on approach. This places Dewey in the educational philosophy of pragmatism. Pragmatists believe that </w:t>
      </w:r>
      <w:r w:rsidRPr="00BA7042">
        <w:rPr>
          <w:rFonts w:ascii="Times New Roman" w:hAnsi="Times New Roman" w:cs="Times New Roman"/>
          <w:sz w:val="24"/>
          <w:szCs w:val="24"/>
        </w:rPr>
        <w:lastRenderedPageBreak/>
        <w:t>reality must be experienced. From Dewey’s educational point of view, this means learners must interact with their environment in order to adapt and learn. Dewey felt the same idea was true for teachers and students, that they must learn together. His view of the classroom, was deeply rooted in democratic ideals, which promoted equal voice among all participan</w:t>
      </w:r>
      <w:r w:rsidR="00350562" w:rsidRPr="00BA7042">
        <w:rPr>
          <w:rFonts w:ascii="Times New Roman" w:hAnsi="Times New Roman" w:cs="Times New Roman"/>
          <w:sz w:val="24"/>
          <w:szCs w:val="24"/>
        </w:rPr>
        <w:t>ts in the learning experience (</w:t>
      </w:r>
      <w:r w:rsidRPr="00BA7042">
        <w:rPr>
          <w:rFonts w:ascii="Times New Roman" w:hAnsi="Times New Roman" w:cs="Times New Roman"/>
          <w:sz w:val="24"/>
          <w:szCs w:val="24"/>
        </w:rPr>
        <w:t>Dewey, 1938).</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  It is also designed to raise achievements in children, at all levels of ability. In Gaining the knowledge and understanding of mathematical ideas and relationships that is essential for successful reasoning and problem-solving.  </w:t>
      </w:r>
      <w:r w:rsidRPr="00BA7042">
        <w:rPr>
          <w:rFonts w:ascii="Times New Roman" w:eastAsiaTheme="minorHAnsi" w:hAnsi="Times New Roman" w:cs="Times New Roman"/>
          <w:kern w:val="0"/>
          <w:sz w:val="24"/>
          <w:szCs w:val="24"/>
        </w:rPr>
        <w:t>The resources cover the suggested mathematical ideas for number and shape, space and measures that are essential (Oxford, 2016).</w:t>
      </w:r>
      <w:r w:rsidR="00350562" w:rsidRPr="00BA7042">
        <w:rPr>
          <w:rFonts w:ascii="Times New Roman" w:eastAsiaTheme="minorHAnsi" w:hAnsi="Times New Roman" w:cs="Times New Roman"/>
          <w:kern w:val="0"/>
          <w:sz w:val="24"/>
          <w:szCs w:val="24"/>
        </w:rPr>
        <w:t xml:space="preserve"> In the LRC, the Numicon resource has improved many learner’s numeracy skills. Not solely just in numeracy, but in all subjects taught in the curriculum. The results are accessed using the LNF, and are showing promising signs of improvement. </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Numicon is one of the many successful resources that is widely used in the LRC. At the start of each month, a Numicon workshop is held to enable parents and their children to work alongside each other. Having parent involvement for a child is important, as some parents may not achieved that well when they were in school in mathematics, which will then enable them to gain a deeper understanding and importance of the subject.  Schools should be involving all parents by explaining the methods and ways that mathematics are taught today. </w:t>
      </w:r>
      <w:r w:rsidR="00350562" w:rsidRPr="00BA7042">
        <w:rPr>
          <w:rFonts w:ascii="Times New Roman" w:eastAsiaTheme="minorHAnsi" w:hAnsi="Times New Roman" w:cs="Times New Roman"/>
          <w:kern w:val="0"/>
          <w:sz w:val="24"/>
          <w:szCs w:val="24"/>
        </w:rPr>
        <w:t xml:space="preserve">In the LRC, the Numicon resource has improved many learner’s numeracy skills. Not solely just in numeracy, but in all subjects taught in the curriculum. The results are accessed using the LNF, and are showing promising signs of improvement. </w:t>
      </w:r>
    </w:p>
    <w:p w:rsidR="00E26B72" w:rsidRPr="00BA7042" w:rsidRDefault="003E3C00"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According to Capatano, (2018) the</w:t>
      </w:r>
      <w:r w:rsidR="006C6BC1" w:rsidRPr="00BA7042">
        <w:rPr>
          <w:rFonts w:ascii="Times New Roman" w:hAnsi="Times New Roman" w:cs="Times New Roman"/>
          <w:sz w:val="24"/>
          <w:szCs w:val="24"/>
        </w:rPr>
        <w:t xml:space="preserve"> advantage of cross curricular approach, is students begin to see knowledge as interdependent and connected, rather than as subjects that are isolated and individual. This enables to learners to achieve a higher level of critical thinking and collaborative skills. Evidence shown from The Cambridge Primary review, who supports the cross curricular approach, found it was “far from being a threat to achieved standards in the basics’ but a broad, rich, balanced and well- managed curriculum is actually the prerequisite for those standards” (Cambridge Primary Review).</w:t>
      </w:r>
    </w:p>
    <w:p w:rsidR="00F57DF8" w:rsidRPr="00BA7042" w:rsidRDefault="008B77A6"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Finally, this essay has</w:t>
      </w:r>
      <w:r w:rsidR="00D37C61" w:rsidRPr="00BA7042">
        <w:rPr>
          <w:rFonts w:ascii="Times New Roman" w:hAnsi="Times New Roman" w:cs="Times New Roman"/>
          <w:sz w:val="24"/>
          <w:szCs w:val="24"/>
        </w:rPr>
        <w:t xml:space="preserve"> explained the importance of numeracy in adults and children, and the impact it has on their lives in society. Furthermore, this essay has</w:t>
      </w:r>
      <w:r w:rsidRPr="00BA7042">
        <w:rPr>
          <w:rFonts w:ascii="Times New Roman" w:hAnsi="Times New Roman" w:cs="Times New Roman"/>
          <w:sz w:val="24"/>
          <w:szCs w:val="24"/>
        </w:rPr>
        <w:t xml:space="preserve"> evaluated how the current initiatives can support this specific age group</w:t>
      </w:r>
      <w:r w:rsidR="00776348" w:rsidRPr="00BA7042">
        <w:rPr>
          <w:rFonts w:ascii="Times New Roman" w:hAnsi="Times New Roman" w:cs="Times New Roman"/>
          <w:sz w:val="24"/>
          <w:szCs w:val="24"/>
        </w:rPr>
        <w:t xml:space="preserve"> with additional learning needs in a Learning resource centre, within a secondary school, </w:t>
      </w:r>
      <w:r w:rsidRPr="00BA7042">
        <w:rPr>
          <w:rFonts w:ascii="Times New Roman" w:hAnsi="Times New Roman" w:cs="Times New Roman"/>
          <w:sz w:val="24"/>
          <w:szCs w:val="24"/>
        </w:rPr>
        <w:t xml:space="preserve">in the development of numeracy. A brief description </w:t>
      </w:r>
      <w:r w:rsidRPr="00BA7042">
        <w:rPr>
          <w:rFonts w:ascii="Times New Roman" w:hAnsi="Times New Roman" w:cs="Times New Roman"/>
          <w:sz w:val="24"/>
          <w:szCs w:val="24"/>
        </w:rPr>
        <w:lastRenderedPageBreak/>
        <w:t xml:space="preserve">of the setting, and the ALN of the learners have also been discussed. </w:t>
      </w:r>
      <w:r w:rsidR="00776348" w:rsidRPr="00BA7042">
        <w:rPr>
          <w:rFonts w:ascii="Times New Roman" w:hAnsi="Times New Roman" w:cs="Times New Roman"/>
          <w:sz w:val="24"/>
          <w:szCs w:val="24"/>
        </w:rPr>
        <w:t xml:space="preserve">Also shown is how the LNF is implemented within the National Curriculum, and how it has been demonstrated to be successful in using the Numicon- Firm Foundations suggested by one of the current </w:t>
      </w:r>
      <w:r w:rsidR="003E3C00" w:rsidRPr="00BA7042">
        <w:rPr>
          <w:rFonts w:ascii="Times New Roman" w:hAnsi="Times New Roman" w:cs="Times New Roman"/>
          <w:sz w:val="24"/>
          <w:szCs w:val="24"/>
        </w:rPr>
        <w:t>initiatives</w:t>
      </w:r>
      <w:r w:rsidR="00776348" w:rsidRPr="00BA7042">
        <w:rPr>
          <w:rFonts w:ascii="Times New Roman" w:hAnsi="Times New Roman" w:cs="Times New Roman"/>
          <w:sz w:val="24"/>
          <w:szCs w:val="24"/>
        </w:rPr>
        <w:t>.</w:t>
      </w:r>
      <w:r w:rsidR="00262905" w:rsidRPr="00BA7042">
        <w:rPr>
          <w:rFonts w:ascii="Times New Roman" w:hAnsi="Times New Roman" w:cs="Times New Roman"/>
          <w:sz w:val="24"/>
          <w:szCs w:val="24"/>
        </w:rPr>
        <w:t xml:space="preserve"> Although, there has been </w:t>
      </w:r>
      <w:r w:rsidR="00FE058F" w:rsidRPr="00BA7042">
        <w:rPr>
          <w:rFonts w:ascii="Times New Roman" w:hAnsi="Times New Roman" w:cs="Times New Roman"/>
          <w:sz w:val="24"/>
          <w:szCs w:val="24"/>
        </w:rPr>
        <w:t>effective outcomes with some ini</w:t>
      </w:r>
      <w:r w:rsidR="00E26B72" w:rsidRPr="00BA7042">
        <w:rPr>
          <w:rFonts w:ascii="Times New Roman" w:hAnsi="Times New Roman" w:cs="Times New Roman"/>
          <w:sz w:val="24"/>
          <w:szCs w:val="24"/>
        </w:rPr>
        <w:t xml:space="preserve">tiatives in some settings. </w:t>
      </w:r>
      <w:r w:rsidR="00FE058F" w:rsidRPr="00BA7042">
        <w:rPr>
          <w:rFonts w:ascii="Times New Roman" w:hAnsi="Times New Roman" w:cs="Times New Roman"/>
          <w:sz w:val="24"/>
          <w:szCs w:val="24"/>
        </w:rPr>
        <w:t>the resul</w:t>
      </w:r>
      <w:r w:rsidR="00E26B72" w:rsidRPr="00BA7042">
        <w:rPr>
          <w:rFonts w:ascii="Times New Roman" w:hAnsi="Times New Roman" w:cs="Times New Roman"/>
          <w:sz w:val="24"/>
          <w:szCs w:val="24"/>
        </w:rPr>
        <w:t>ts overall, are still in</w:t>
      </w:r>
      <w:r w:rsidR="00F57DF8" w:rsidRPr="00BA7042">
        <w:rPr>
          <w:rFonts w:ascii="Times New Roman" w:hAnsi="Times New Roman" w:cs="Times New Roman"/>
          <w:sz w:val="24"/>
          <w:szCs w:val="24"/>
        </w:rPr>
        <w:t>sufficient to what was expected.</w:t>
      </w:r>
    </w:p>
    <w:p w:rsidR="00E26B72" w:rsidRPr="00BA7042" w:rsidRDefault="00B837A4"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 In 2015 Professor Graham Donaldson, was approached by Welsh Government to </w:t>
      </w:r>
      <w:r w:rsidR="00004443" w:rsidRPr="00BA7042">
        <w:rPr>
          <w:rFonts w:ascii="Times New Roman" w:hAnsi="Times New Roman" w:cs="Times New Roman"/>
          <w:sz w:val="24"/>
          <w:szCs w:val="24"/>
        </w:rPr>
        <w:t xml:space="preserve">conduct an </w:t>
      </w:r>
      <w:r w:rsidRPr="00BA7042">
        <w:rPr>
          <w:rFonts w:ascii="Times New Roman" w:hAnsi="Times New Roman" w:cs="Times New Roman"/>
          <w:sz w:val="24"/>
          <w:szCs w:val="24"/>
        </w:rPr>
        <w:t>Independent Review</w:t>
      </w:r>
      <w:r w:rsidR="00004443" w:rsidRPr="00BA7042">
        <w:rPr>
          <w:rFonts w:ascii="Times New Roman" w:hAnsi="Times New Roman" w:cs="Times New Roman"/>
          <w:sz w:val="24"/>
          <w:szCs w:val="24"/>
        </w:rPr>
        <w:t xml:space="preserve"> from Foundation Phase to key stage 4,</w:t>
      </w:r>
      <w:r w:rsidRPr="00BA7042">
        <w:rPr>
          <w:rFonts w:ascii="Times New Roman" w:hAnsi="Times New Roman" w:cs="Times New Roman"/>
          <w:sz w:val="24"/>
          <w:szCs w:val="24"/>
        </w:rPr>
        <w:t xml:space="preserve"> of</w:t>
      </w:r>
      <w:r w:rsidR="00004443" w:rsidRPr="00BA7042">
        <w:rPr>
          <w:rFonts w:ascii="Times New Roman" w:hAnsi="Times New Roman" w:cs="Times New Roman"/>
          <w:sz w:val="24"/>
          <w:szCs w:val="24"/>
        </w:rPr>
        <w:t xml:space="preserve"> the Curriculum </w:t>
      </w:r>
      <w:r w:rsidRPr="00BA7042">
        <w:rPr>
          <w:rFonts w:ascii="Times New Roman" w:hAnsi="Times New Roman" w:cs="Times New Roman"/>
          <w:sz w:val="24"/>
          <w:szCs w:val="24"/>
        </w:rPr>
        <w:t>and Assessment Arrangements in Wales</w:t>
      </w:r>
      <w:r w:rsidR="00E77619" w:rsidRPr="00BA7042">
        <w:rPr>
          <w:rFonts w:ascii="Times New Roman" w:hAnsi="Times New Roman" w:cs="Times New Roman"/>
          <w:sz w:val="24"/>
          <w:szCs w:val="24"/>
        </w:rPr>
        <w:t>, due to his track record of changing a curriculum in Scotland in 2010, which had proved to be of excellence. Donaldson</w:t>
      </w:r>
      <w:r w:rsidR="0090263D" w:rsidRPr="00BA7042">
        <w:rPr>
          <w:rFonts w:ascii="Times New Roman" w:hAnsi="Times New Roman" w:cs="Times New Roman"/>
          <w:sz w:val="24"/>
          <w:szCs w:val="24"/>
        </w:rPr>
        <w:t>’</w:t>
      </w:r>
      <w:r w:rsidR="00E77619" w:rsidRPr="00BA7042">
        <w:rPr>
          <w:rFonts w:ascii="Times New Roman" w:hAnsi="Times New Roman" w:cs="Times New Roman"/>
          <w:sz w:val="24"/>
          <w:szCs w:val="24"/>
        </w:rPr>
        <w:t xml:space="preserve">s aims </w:t>
      </w:r>
      <w:r w:rsidR="0090263D" w:rsidRPr="00BA7042">
        <w:rPr>
          <w:rFonts w:ascii="Times New Roman" w:hAnsi="Times New Roman" w:cs="Times New Roman"/>
          <w:sz w:val="24"/>
          <w:szCs w:val="24"/>
        </w:rPr>
        <w:t xml:space="preserve">were to also to create a revised curriculum for the twenty first century. </w:t>
      </w:r>
      <w:r w:rsidR="00004443" w:rsidRPr="00BA7042">
        <w:rPr>
          <w:rFonts w:ascii="Times New Roman" w:hAnsi="Times New Roman" w:cs="Times New Roman"/>
          <w:sz w:val="24"/>
          <w:szCs w:val="24"/>
        </w:rPr>
        <w:t xml:space="preserve">The title of the report, ‘Successful Futures’, flags how important it is that all children </w:t>
      </w:r>
      <w:r w:rsidR="00E77619" w:rsidRPr="00BA7042">
        <w:rPr>
          <w:rFonts w:ascii="Times New Roman" w:hAnsi="Times New Roman" w:cs="Times New Roman"/>
          <w:sz w:val="24"/>
          <w:szCs w:val="24"/>
        </w:rPr>
        <w:t xml:space="preserve">and young people are: healthy, creative contributors, ready to learn and lead fulfilling lives as valued members of society. </w:t>
      </w:r>
      <w:r w:rsidR="0090263D" w:rsidRPr="00BA7042">
        <w:rPr>
          <w:rFonts w:ascii="Times New Roman" w:hAnsi="Times New Roman" w:cs="Times New Roman"/>
          <w:sz w:val="24"/>
          <w:szCs w:val="24"/>
        </w:rPr>
        <w:t>The curriculum also needed to be updated to the modern times, which included the learning of modern technology</w:t>
      </w:r>
      <w:r w:rsidR="00E77619" w:rsidRPr="00BA7042">
        <w:rPr>
          <w:rFonts w:ascii="Times New Roman" w:hAnsi="Times New Roman" w:cs="Times New Roman"/>
          <w:sz w:val="24"/>
          <w:szCs w:val="24"/>
        </w:rPr>
        <w:t xml:space="preserve"> </w:t>
      </w:r>
      <w:r w:rsidR="001A1787" w:rsidRPr="00BA7042">
        <w:rPr>
          <w:rFonts w:ascii="Times New Roman" w:hAnsi="Times New Roman" w:cs="Times New Roman"/>
          <w:sz w:val="24"/>
          <w:szCs w:val="24"/>
        </w:rPr>
        <w:t>(</w:t>
      </w:r>
      <w:r w:rsidR="0090263D" w:rsidRPr="00BA7042">
        <w:rPr>
          <w:rFonts w:ascii="Times New Roman" w:hAnsi="Times New Roman" w:cs="Times New Roman"/>
          <w:sz w:val="24"/>
          <w:szCs w:val="24"/>
        </w:rPr>
        <w:t>Donaldson’s report, 2015).</w:t>
      </w:r>
      <w:r w:rsidR="004774DA" w:rsidRPr="00BA7042">
        <w:rPr>
          <w:rFonts w:ascii="Times New Roman" w:hAnsi="Times New Roman" w:cs="Times New Roman"/>
          <w:sz w:val="24"/>
          <w:szCs w:val="24"/>
        </w:rPr>
        <w:t xml:space="preserve"> The proposed changes to the curriculum, has improved the results, and progress is taking place, enabling children and young people to succeed and thrive in a very demanding society, in undertaking new roles in employment in the future.</w:t>
      </w:r>
    </w:p>
    <w:p w:rsidR="00F57DF8" w:rsidRPr="00BA7042" w:rsidRDefault="00F57DF8" w:rsidP="00BA7042">
      <w:pPr>
        <w:pStyle w:val="Standard"/>
        <w:spacing w:line="360" w:lineRule="auto"/>
        <w:jc w:val="both"/>
        <w:rPr>
          <w:rFonts w:ascii="Times New Roman" w:hAnsi="Times New Roman" w:cs="Times New Roman"/>
          <w:bCs/>
          <w:sz w:val="24"/>
          <w:szCs w:val="24"/>
        </w:rPr>
      </w:pPr>
      <w:r w:rsidRPr="00BA7042">
        <w:rPr>
          <w:rFonts w:ascii="Times New Roman" w:hAnsi="Times New Roman" w:cs="Times New Roman"/>
          <w:sz w:val="24"/>
          <w:szCs w:val="24"/>
        </w:rPr>
        <w:t>In February</w:t>
      </w:r>
      <w:r w:rsidR="001A1787" w:rsidRPr="00BA7042">
        <w:rPr>
          <w:rFonts w:ascii="Times New Roman" w:hAnsi="Times New Roman" w:cs="Times New Roman"/>
          <w:sz w:val="24"/>
          <w:szCs w:val="24"/>
        </w:rPr>
        <w:t xml:space="preserve"> 2017, a report from BBC Wales News titled, </w:t>
      </w:r>
      <w:r w:rsidR="001A1787" w:rsidRPr="00BA7042">
        <w:rPr>
          <w:rFonts w:ascii="Times New Roman" w:hAnsi="Times New Roman" w:cs="Times New Roman"/>
          <w:bCs/>
          <w:color w:val="1E1E1E"/>
          <w:sz w:val="24"/>
          <w:szCs w:val="24"/>
        </w:rPr>
        <w:t>New Wales Donaldson curriculum facing 'challenges', states a committee of AMs has said that, “An overhaul of the School Curriculum in Wales is facing difficulties in how it is being put into practice”. The education committee have indicated that some parts of the new curriculum prop</w:t>
      </w:r>
      <w:r w:rsidR="004E13F6" w:rsidRPr="00BA7042">
        <w:rPr>
          <w:rFonts w:ascii="Times New Roman" w:hAnsi="Times New Roman" w:cs="Times New Roman"/>
          <w:bCs/>
          <w:color w:val="1E1E1E"/>
          <w:sz w:val="24"/>
          <w:szCs w:val="24"/>
        </w:rPr>
        <w:t>o</w:t>
      </w:r>
      <w:r w:rsidR="001A1787" w:rsidRPr="00BA7042">
        <w:rPr>
          <w:rFonts w:ascii="Times New Roman" w:hAnsi="Times New Roman" w:cs="Times New Roman"/>
          <w:bCs/>
          <w:color w:val="1E1E1E"/>
          <w:sz w:val="24"/>
          <w:szCs w:val="24"/>
        </w:rPr>
        <w:t>sed by Professor Graham Do</w:t>
      </w:r>
      <w:r w:rsidR="004E13F6" w:rsidRPr="00BA7042">
        <w:rPr>
          <w:rFonts w:ascii="Times New Roman" w:hAnsi="Times New Roman" w:cs="Times New Roman"/>
          <w:bCs/>
          <w:color w:val="1E1E1E"/>
          <w:sz w:val="24"/>
          <w:szCs w:val="24"/>
        </w:rPr>
        <w:t>n</w:t>
      </w:r>
      <w:r w:rsidR="001A1787" w:rsidRPr="00BA7042">
        <w:rPr>
          <w:rFonts w:ascii="Times New Roman" w:hAnsi="Times New Roman" w:cs="Times New Roman"/>
          <w:bCs/>
          <w:color w:val="1E1E1E"/>
          <w:sz w:val="24"/>
          <w:szCs w:val="24"/>
        </w:rPr>
        <w:t xml:space="preserve">aldson were not </w:t>
      </w:r>
      <w:r w:rsidR="004E13F6" w:rsidRPr="00BA7042">
        <w:rPr>
          <w:rFonts w:ascii="Times New Roman" w:hAnsi="Times New Roman" w:cs="Times New Roman"/>
          <w:bCs/>
          <w:color w:val="1E1E1E"/>
          <w:sz w:val="24"/>
          <w:szCs w:val="24"/>
        </w:rPr>
        <w:t>“</w:t>
      </w:r>
      <w:r w:rsidR="001A1787" w:rsidRPr="00BA7042">
        <w:rPr>
          <w:rFonts w:ascii="Times New Roman" w:hAnsi="Times New Roman" w:cs="Times New Roman"/>
          <w:bCs/>
          <w:color w:val="1E1E1E"/>
          <w:sz w:val="24"/>
          <w:szCs w:val="24"/>
        </w:rPr>
        <w:t xml:space="preserve">progressing as well as we would expect”. It is </w:t>
      </w:r>
      <w:r w:rsidR="004E13F6" w:rsidRPr="00BA7042">
        <w:rPr>
          <w:rFonts w:ascii="Times New Roman" w:hAnsi="Times New Roman" w:cs="Times New Roman"/>
          <w:bCs/>
          <w:color w:val="1E1E1E"/>
          <w:sz w:val="24"/>
          <w:szCs w:val="24"/>
        </w:rPr>
        <w:t>their</w:t>
      </w:r>
      <w:r w:rsidR="001A1787" w:rsidRPr="00BA7042">
        <w:rPr>
          <w:rFonts w:ascii="Times New Roman" w:hAnsi="Times New Roman" w:cs="Times New Roman"/>
          <w:bCs/>
          <w:color w:val="1E1E1E"/>
          <w:sz w:val="24"/>
          <w:szCs w:val="24"/>
        </w:rPr>
        <w:t xml:space="preserve"> intentions for the new curriculum to be </w:t>
      </w:r>
      <w:r w:rsidR="004E13F6" w:rsidRPr="00BA7042">
        <w:rPr>
          <w:rFonts w:ascii="Times New Roman" w:hAnsi="Times New Roman" w:cs="Times New Roman"/>
          <w:bCs/>
          <w:color w:val="1E1E1E"/>
          <w:sz w:val="24"/>
          <w:szCs w:val="24"/>
        </w:rPr>
        <w:t xml:space="preserve">fully up and running in 2021. </w:t>
      </w:r>
      <w:r w:rsidRPr="00BA7042">
        <w:rPr>
          <w:rFonts w:ascii="Times New Roman" w:hAnsi="Times New Roman" w:cs="Times New Roman"/>
          <w:bCs/>
          <w:sz w:val="24"/>
          <w:szCs w:val="24"/>
        </w:rPr>
        <w:t xml:space="preserve">The Welsh Government say that they are confident that the new curriculum was the correct approach and as the work progresses </w:t>
      </w:r>
      <w:r w:rsidRPr="00BA7042">
        <w:rPr>
          <w:rFonts w:ascii="Times New Roman" w:hAnsi="Times New Roman" w:cs="Times New Roman"/>
          <w:sz w:val="24"/>
          <w:szCs w:val="24"/>
        </w:rPr>
        <w:t xml:space="preserve">we are continuously and collectively appraising progress in order to strengthen implementation," said a spokesperson (BBC Wales News, 2017). </w:t>
      </w:r>
    </w:p>
    <w:p w:rsidR="00F57DF8" w:rsidRPr="00BA7042" w:rsidRDefault="00F57DF8"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u w:val="single"/>
        </w:rPr>
      </w:pPr>
    </w:p>
    <w:p w:rsidR="004774DA" w:rsidRPr="00BA7042" w:rsidRDefault="004774DA" w:rsidP="00BA7042">
      <w:pPr>
        <w:pStyle w:val="Standard"/>
        <w:spacing w:line="360" w:lineRule="auto"/>
        <w:jc w:val="both"/>
        <w:rPr>
          <w:rFonts w:ascii="Times New Roman" w:hAnsi="Times New Roman" w:cs="Times New Roman"/>
          <w:sz w:val="24"/>
          <w:szCs w:val="24"/>
          <w:u w:val="single"/>
        </w:rPr>
      </w:pPr>
    </w:p>
    <w:p w:rsidR="00E26B72" w:rsidRPr="00BA7042" w:rsidRDefault="006C6BC1" w:rsidP="00BA7042">
      <w:pPr>
        <w:pStyle w:val="Standard"/>
        <w:spacing w:line="360" w:lineRule="auto"/>
        <w:jc w:val="both"/>
        <w:rPr>
          <w:rFonts w:ascii="Times New Roman" w:hAnsi="Times New Roman" w:cs="Times New Roman"/>
          <w:sz w:val="24"/>
          <w:szCs w:val="24"/>
          <w:u w:val="single"/>
        </w:rPr>
      </w:pPr>
      <w:r w:rsidRPr="00BA7042">
        <w:rPr>
          <w:rFonts w:ascii="Times New Roman" w:hAnsi="Times New Roman" w:cs="Times New Roman"/>
          <w:sz w:val="24"/>
          <w:szCs w:val="24"/>
          <w:u w:val="single"/>
        </w:rPr>
        <w:t>References</w:t>
      </w:r>
    </w:p>
    <w:p w:rsidR="00F30DA7" w:rsidRPr="00BA7042" w:rsidRDefault="00F30DA7"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Ackland, A. (2014). </w:t>
      </w:r>
      <w:r w:rsidRPr="00BA7042">
        <w:rPr>
          <w:rFonts w:ascii="Times New Roman" w:hAnsi="Times New Roman" w:cs="Times New Roman"/>
          <w:i/>
          <w:sz w:val="24"/>
          <w:szCs w:val="24"/>
        </w:rPr>
        <w:t>More… or less?</w:t>
      </w:r>
      <w:r w:rsidRPr="00BA7042">
        <w:rPr>
          <w:rFonts w:ascii="Times New Roman" w:hAnsi="Times New Roman" w:cs="Times New Roman"/>
          <w:sz w:val="24"/>
          <w:szCs w:val="24"/>
        </w:rPr>
        <w:t xml:space="preserve"> </w:t>
      </w:r>
      <w:r w:rsidRPr="00BA7042">
        <w:rPr>
          <w:rFonts w:ascii="Times New Roman" w:hAnsi="Times New Roman" w:cs="Times New Roman"/>
          <w:i/>
          <w:sz w:val="24"/>
          <w:szCs w:val="24"/>
        </w:rPr>
        <w:t>Towards a critical pedagogy of adult numeracy.</w:t>
      </w:r>
      <w:r w:rsidRPr="00BA7042">
        <w:rPr>
          <w:rFonts w:ascii="Times New Roman" w:hAnsi="Times New Roman" w:cs="Times New Roman"/>
          <w:sz w:val="24"/>
          <w:szCs w:val="24"/>
        </w:rPr>
        <w:t xml:space="preserve"> Adults Learning Mathematics: An International Journal, 9(2), 7-21. </w:t>
      </w:r>
      <w:r w:rsidR="003E3C00" w:rsidRPr="00BA7042">
        <w:rPr>
          <w:rFonts w:ascii="Times New Roman" w:hAnsi="Times New Roman" w:cs="Times New Roman"/>
          <w:sz w:val="24"/>
          <w:szCs w:val="24"/>
        </w:rPr>
        <w:t>[Online</w:t>
      </w:r>
      <w:r w:rsidRPr="00BA7042">
        <w:rPr>
          <w:rFonts w:ascii="Times New Roman" w:hAnsi="Times New Roman" w:cs="Times New Roman"/>
          <w:sz w:val="24"/>
          <w:szCs w:val="24"/>
        </w:rPr>
        <w:t>] Available at:</w:t>
      </w:r>
      <w:r w:rsidRPr="00BA7042">
        <w:rPr>
          <w:rFonts w:ascii="Times New Roman" w:hAnsi="Times New Roman" w:cs="Times New Roman"/>
          <w:sz w:val="24"/>
          <w:szCs w:val="24"/>
          <w:u w:val="single"/>
        </w:rPr>
        <w:t xml:space="preserve"> https://files.eric.ed.gov/fulltext/EJ1057429.pdf</w:t>
      </w:r>
      <w:r w:rsidRPr="00BA7042">
        <w:rPr>
          <w:rFonts w:ascii="Times New Roman" w:hAnsi="Times New Roman" w:cs="Times New Roman"/>
          <w:sz w:val="24"/>
          <w:szCs w:val="24"/>
          <w:u w:val="single"/>
        </w:rPr>
        <w:cr/>
      </w:r>
      <w:r w:rsidRPr="00BA7042">
        <w:rPr>
          <w:rFonts w:ascii="Times New Roman" w:hAnsi="Times New Roman" w:cs="Times New Roman"/>
          <w:sz w:val="24"/>
          <w:szCs w:val="24"/>
        </w:rPr>
        <w:t>(Accessed) 7 January 2019)</w:t>
      </w:r>
    </w:p>
    <w:p w:rsidR="00F57DF8" w:rsidRPr="00BA7042" w:rsidRDefault="00F57DF8" w:rsidP="00BA7042">
      <w:pPr>
        <w:pStyle w:val="Standard"/>
        <w:spacing w:line="360" w:lineRule="auto"/>
        <w:jc w:val="both"/>
        <w:rPr>
          <w:rFonts w:ascii="Times New Roman" w:hAnsi="Times New Roman" w:cs="Times New Roman"/>
          <w:i/>
          <w:sz w:val="24"/>
          <w:szCs w:val="24"/>
        </w:rPr>
      </w:pPr>
      <w:r w:rsidRPr="00BA7042">
        <w:rPr>
          <w:rFonts w:ascii="Times New Roman" w:hAnsi="Times New Roman" w:cs="Times New Roman"/>
          <w:sz w:val="24"/>
          <w:szCs w:val="24"/>
        </w:rPr>
        <w:t xml:space="preserve">BBC News (2017) </w:t>
      </w:r>
      <w:r w:rsidRPr="00BA7042">
        <w:rPr>
          <w:rFonts w:ascii="Times New Roman" w:hAnsi="Times New Roman" w:cs="Times New Roman"/>
          <w:bCs/>
          <w:i/>
          <w:color w:val="1E1E1E"/>
          <w:sz w:val="24"/>
          <w:szCs w:val="24"/>
        </w:rPr>
        <w:t>New Wales Donaldson curriculum facing 'challenges'</w:t>
      </w:r>
      <w:r w:rsidR="004774DA" w:rsidRPr="00BA7042">
        <w:rPr>
          <w:rFonts w:ascii="Times New Roman" w:hAnsi="Times New Roman" w:cs="Times New Roman"/>
          <w:bCs/>
          <w:i/>
          <w:color w:val="1E1E1E"/>
          <w:sz w:val="24"/>
          <w:szCs w:val="24"/>
        </w:rPr>
        <w:t xml:space="preserve"> </w:t>
      </w:r>
      <w:r w:rsidR="004774DA" w:rsidRPr="00BA7042">
        <w:rPr>
          <w:rFonts w:ascii="Times New Roman" w:hAnsi="Times New Roman" w:cs="Times New Roman"/>
          <w:bCs/>
          <w:color w:val="1E1E1E"/>
          <w:sz w:val="24"/>
          <w:szCs w:val="24"/>
        </w:rPr>
        <w:t xml:space="preserve">[Online]. Available at: </w:t>
      </w:r>
      <w:r w:rsidR="004774DA" w:rsidRPr="00BA7042">
        <w:rPr>
          <w:rFonts w:ascii="Times New Roman" w:hAnsi="Times New Roman" w:cs="Times New Roman"/>
          <w:bCs/>
          <w:color w:val="1E1E1E"/>
          <w:sz w:val="24"/>
          <w:szCs w:val="24"/>
          <w:u w:val="single"/>
        </w:rPr>
        <w:t>https://www.bbc.co.uk/news/uk-wales-38855531</w:t>
      </w:r>
      <w:r w:rsidR="004774DA" w:rsidRPr="00BA7042">
        <w:rPr>
          <w:rFonts w:ascii="Times New Roman" w:hAnsi="Times New Roman" w:cs="Times New Roman"/>
          <w:bCs/>
          <w:color w:val="1E1E1E"/>
          <w:sz w:val="24"/>
          <w:szCs w:val="24"/>
          <w:u w:val="single"/>
        </w:rPr>
        <w:cr/>
        <w:t>(Accessed 5 January 2019).</w:t>
      </w:r>
    </w:p>
    <w:p w:rsidR="00F30DA7" w:rsidRPr="00BA7042" w:rsidRDefault="00F30DA7" w:rsidP="00BA7042">
      <w:pPr>
        <w:pStyle w:val="Standard"/>
        <w:spacing w:line="360" w:lineRule="auto"/>
        <w:jc w:val="both"/>
        <w:rPr>
          <w:rFonts w:ascii="Times New Roman" w:hAnsi="Times New Roman" w:cs="Times New Roman"/>
          <w:sz w:val="24"/>
          <w:szCs w:val="24"/>
          <w:u w:val="single"/>
        </w:rPr>
      </w:pPr>
    </w:p>
    <w:p w:rsidR="00E26B72" w:rsidRPr="00BA7042" w:rsidRDefault="006C6BC1" w:rsidP="00BA7042">
      <w:pPr>
        <w:widowControl/>
        <w:suppressAutoHyphens w:val="0"/>
        <w:autoSpaceDN/>
        <w:spacing w:after="0" w:line="360" w:lineRule="auto"/>
        <w:jc w:val="both"/>
        <w:textAlignment w:val="auto"/>
        <w:rPr>
          <w:rFonts w:ascii="Times New Roman" w:eastAsia="Calibri" w:hAnsi="Times New Roman" w:cs="Times New Roman"/>
          <w:kern w:val="0"/>
          <w:sz w:val="24"/>
          <w:szCs w:val="24"/>
          <w:lang w:val="en-US"/>
        </w:rPr>
      </w:pPr>
      <w:r w:rsidRPr="00BA7042">
        <w:rPr>
          <w:rFonts w:ascii="Times New Roman" w:eastAsia="Calibri" w:hAnsi="Times New Roman" w:cs="Times New Roman"/>
          <w:kern w:val="0"/>
          <w:sz w:val="24"/>
          <w:szCs w:val="24"/>
          <w:lang w:val="en-US"/>
        </w:rPr>
        <w:t xml:space="preserve">Compton, A., Fielding, H. (2007) </w:t>
      </w:r>
      <w:r w:rsidRPr="00BA7042">
        <w:rPr>
          <w:rFonts w:ascii="Times New Roman" w:eastAsia="Calibri" w:hAnsi="Times New Roman" w:cs="Times New Roman"/>
          <w:i/>
          <w:iCs/>
          <w:kern w:val="0"/>
          <w:sz w:val="24"/>
          <w:szCs w:val="24"/>
          <w:lang w:val="en-US"/>
        </w:rPr>
        <w:t xml:space="preserve">Supporting Numeracy: A Guide for School Support Staff. </w:t>
      </w:r>
      <w:r w:rsidRPr="00BA7042">
        <w:rPr>
          <w:rFonts w:ascii="Times New Roman" w:eastAsia="Calibri" w:hAnsi="Times New Roman" w:cs="Times New Roman"/>
          <w:kern w:val="0"/>
          <w:sz w:val="24"/>
          <w:szCs w:val="24"/>
          <w:lang w:val="en-US"/>
        </w:rPr>
        <w:t xml:space="preserve"> London: Sage.</w:t>
      </w:r>
    </w:p>
    <w:p w:rsidR="00E26B72" w:rsidRPr="00BA7042" w:rsidRDefault="00E26B72" w:rsidP="00BA7042">
      <w:pPr>
        <w:widowControl/>
        <w:suppressAutoHyphens w:val="0"/>
        <w:autoSpaceDN/>
        <w:spacing w:after="0" w:line="360" w:lineRule="auto"/>
        <w:jc w:val="both"/>
        <w:textAlignment w:val="auto"/>
        <w:rPr>
          <w:rFonts w:ascii="Times New Roman" w:eastAsia="Calibri" w:hAnsi="Times New Roman" w:cs="Times New Roman"/>
          <w:kern w:val="0"/>
          <w:sz w:val="24"/>
          <w:szCs w:val="24"/>
          <w:lang w:val="en-US"/>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Cooke, H. (2007) </w:t>
      </w:r>
      <w:r w:rsidRPr="00BA7042">
        <w:rPr>
          <w:rFonts w:ascii="Times New Roman" w:hAnsi="Times New Roman" w:cs="Times New Roman"/>
          <w:i/>
          <w:iCs/>
          <w:sz w:val="24"/>
          <w:szCs w:val="24"/>
        </w:rPr>
        <w:t xml:space="preserve">Mathematics for Primary and Early Years. </w:t>
      </w:r>
      <w:r w:rsidRPr="00BA7042">
        <w:rPr>
          <w:rFonts w:ascii="Times New Roman" w:hAnsi="Times New Roman" w:cs="Times New Roman"/>
          <w:sz w:val="24"/>
          <w:szCs w:val="24"/>
        </w:rPr>
        <w:t>2</w:t>
      </w:r>
      <w:r w:rsidRPr="00BA7042">
        <w:rPr>
          <w:rFonts w:ascii="Times New Roman" w:hAnsi="Times New Roman" w:cs="Times New Roman"/>
          <w:sz w:val="24"/>
          <w:szCs w:val="24"/>
          <w:vertAlign w:val="superscript"/>
        </w:rPr>
        <w:t>nd</w:t>
      </w:r>
      <w:r w:rsidRPr="00BA7042">
        <w:rPr>
          <w:rFonts w:ascii="Times New Roman" w:hAnsi="Times New Roman" w:cs="Times New Roman"/>
          <w:sz w:val="24"/>
          <w:szCs w:val="24"/>
        </w:rPr>
        <w:t>edn. London: Sage Publications.</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Donaldson, G. (2015) </w:t>
      </w:r>
      <w:r w:rsidRPr="00BA7042">
        <w:rPr>
          <w:rFonts w:ascii="Times New Roman" w:hAnsi="Times New Roman" w:cs="Times New Roman"/>
          <w:i/>
          <w:sz w:val="24"/>
          <w:szCs w:val="24"/>
        </w:rPr>
        <w:t>Successful Futures.</w:t>
      </w:r>
      <w:r w:rsidRPr="00BA7042">
        <w:rPr>
          <w:rFonts w:ascii="Times New Roman" w:hAnsi="Times New Roman" w:cs="Times New Roman"/>
          <w:sz w:val="24"/>
          <w:szCs w:val="24"/>
        </w:rPr>
        <w:t xml:space="preserve"> </w:t>
      </w:r>
      <w:r w:rsidR="003E3C00" w:rsidRPr="00BA7042">
        <w:rPr>
          <w:rFonts w:ascii="Times New Roman" w:hAnsi="Times New Roman" w:cs="Times New Roman"/>
          <w:sz w:val="24"/>
          <w:szCs w:val="24"/>
        </w:rPr>
        <w:t>[Online</w:t>
      </w:r>
      <w:r w:rsidRPr="00BA7042">
        <w:rPr>
          <w:rFonts w:ascii="Times New Roman" w:hAnsi="Times New Roman" w:cs="Times New Roman"/>
          <w:sz w:val="24"/>
          <w:szCs w:val="24"/>
        </w:rPr>
        <w:t>].</w:t>
      </w:r>
      <w:r w:rsidRPr="00BA7042">
        <w:rPr>
          <w:rFonts w:ascii="Times New Roman" w:hAnsi="Times New Roman" w:cs="Times New Roman"/>
          <w:i/>
          <w:sz w:val="24"/>
          <w:szCs w:val="24"/>
        </w:rPr>
        <w:t xml:space="preserve"> </w:t>
      </w:r>
      <w:r w:rsidRPr="00BA7042">
        <w:rPr>
          <w:rFonts w:ascii="Times New Roman" w:hAnsi="Times New Roman" w:cs="Times New Roman"/>
          <w:sz w:val="24"/>
          <w:szCs w:val="24"/>
        </w:rPr>
        <w:t xml:space="preserve">Available at: </w:t>
      </w:r>
      <w:hyperlink r:id="rId8" w:history="1">
        <w:r w:rsidRPr="00BA7042">
          <w:rPr>
            <w:rStyle w:val="Hyperlink"/>
            <w:rFonts w:ascii="Times New Roman" w:hAnsi="Times New Roman" w:cs="Times New Roman"/>
            <w:sz w:val="24"/>
            <w:szCs w:val="24"/>
          </w:rPr>
          <w:t>http://gov.wales/docs/dcells/publications/150317-successful-futures-en.pdf</w:t>
        </w:r>
      </w:hyperlink>
      <w:r w:rsidRPr="00BA7042">
        <w:rPr>
          <w:rFonts w:ascii="Times New Roman" w:hAnsi="Times New Roman" w:cs="Times New Roman"/>
          <w:sz w:val="24"/>
          <w:szCs w:val="24"/>
        </w:rPr>
        <w:t xml:space="preserve"> </w:t>
      </w:r>
      <w:r w:rsidR="003E3C00" w:rsidRPr="00BA7042">
        <w:rPr>
          <w:rFonts w:ascii="Times New Roman" w:hAnsi="Times New Roman" w:cs="Times New Roman"/>
          <w:sz w:val="24"/>
          <w:szCs w:val="24"/>
        </w:rPr>
        <w:t>(Accessed</w:t>
      </w:r>
      <w:r w:rsidRPr="00BA7042">
        <w:rPr>
          <w:rFonts w:ascii="Times New Roman" w:hAnsi="Times New Roman" w:cs="Times New Roman"/>
          <w:sz w:val="24"/>
          <w:szCs w:val="24"/>
        </w:rPr>
        <w:t xml:space="preserve"> 11 December 2018).</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6C6BC1" w:rsidP="00BA7042">
      <w:pPr>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Early Childhood Numeracy (2000) </w:t>
      </w:r>
      <w:r w:rsidR="003E3C00" w:rsidRPr="00BA7042">
        <w:rPr>
          <w:rFonts w:ascii="Times New Roman" w:hAnsi="Times New Roman" w:cs="Times New Roman"/>
          <w:sz w:val="24"/>
          <w:szCs w:val="24"/>
        </w:rPr>
        <w:t>[Online</w:t>
      </w:r>
      <w:r w:rsidRPr="00BA7042">
        <w:rPr>
          <w:rFonts w:ascii="Times New Roman" w:hAnsi="Times New Roman" w:cs="Times New Roman"/>
          <w:sz w:val="24"/>
          <w:szCs w:val="24"/>
        </w:rPr>
        <w:t xml:space="preserve">]. Available at: </w:t>
      </w:r>
      <w:r w:rsidRPr="00BA7042">
        <w:rPr>
          <w:rFonts w:ascii="Times New Roman" w:hAnsi="Times New Roman" w:cs="Times New Roman"/>
          <w:sz w:val="24"/>
          <w:szCs w:val="24"/>
          <w:u w:val="single"/>
        </w:rPr>
        <w:t>file:///E:/numeracy.%20australia.pdf</w:t>
      </w:r>
      <w:r w:rsidRPr="00BA7042">
        <w:rPr>
          <w:rFonts w:ascii="Times New Roman" w:hAnsi="Times New Roman" w:cs="Times New Roman"/>
          <w:sz w:val="24"/>
          <w:szCs w:val="24"/>
          <w:u w:val="single"/>
        </w:rPr>
        <w:cr/>
      </w:r>
      <w:r w:rsidRPr="00BA7042">
        <w:rPr>
          <w:rFonts w:ascii="Times New Roman" w:hAnsi="Times New Roman" w:cs="Times New Roman"/>
          <w:sz w:val="24"/>
          <w:szCs w:val="24"/>
        </w:rPr>
        <w:t>(Accessed 8 January 2019).</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684CCC" w:rsidP="00BA7042">
      <w:pPr>
        <w:spacing w:line="360" w:lineRule="auto"/>
        <w:jc w:val="both"/>
        <w:rPr>
          <w:rFonts w:ascii="Times New Roman" w:hAnsi="Times New Roman" w:cs="Times New Roman"/>
          <w:color w:val="000000"/>
          <w:sz w:val="24"/>
          <w:szCs w:val="24"/>
        </w:rPr>
      </w:pPr>
      <w:hyperlink r:id="rId9" w:history="1">
        <w:r w:rsidR="008B77A6" w:rsidRPr="00BA7042">
          <w:rPr>
            <w:rStyle w:val="Hyperlink"/>
            <w:rFonts w:ascii="Times New Roman" w:hAnsi="Times New Roman" w:cs="Times New Roman"/>
            <w:sz w:val="24"/>
            <w:szCs w:val="24"/>
            <w:u w:val="none"/>
            <w:bdr w:val="none" w:sz="0" w:space="0" w:color="auto" w:frame="1"/>
          </w:rPr>
          <w:t>Estyn:</w:t>
        </w:r>
        <w:r w:rsidR="008B77A6" w:rsidRPr="00BA7042">
          <w:rPr>
            <w:rStyle w:val="Hyperlink"/>
            <w:rFonts w:ascii="Times New Roman" w:hAnsi="Times New Roman" w:cs="Times New Roman"/>
            <w:iCs/>
            <w:sz w:val="24"/>
            <w:szCs w:val="24"/>
            <w:u w:val="none"/>
            <w:bdr w:val="none" w:sz="0" w:space="0" w:color="auto" w:frame="1"/>
          </w:rPr>
          <w:t xml:space="preserve"> Numeracy in key stages 2 and 3: a baseline study</w:t>
        </w:r>
        <w:r w:rsidR="008B77A6" w:rsidRPr="00BA7042">
          <w:rPr>
            <w:rStyle w:val="Hyperlink"/>
            <w:rFonts w:ascii="Times New Roman" w:hAnsi="Times New Roman" w:cs="Times New Roman"/>
            <w:i/>
            <w:sz w:val="24"/>
            <w:szCs w:val="24"/>
            <w:u w:val="none"/>
            <w:bdr w:val="none" w:sz="0" w:space="0" w:color="auto" w:frame="1"/>
          </w:rPr>
          <w:t>.</w:t>
        </w:r>
        <w:r w:rsidR="008B77A6" w:rsidRPr="00BA7042">
          <w:rPr>
            <w:rStyle w:val="Hyperlink"/>
            <w:rFonts w:ascii="Times New Roman" w:hAnsi="Times New Roman" w:cs="Times New Roman"/>
            <w:sz w:val="24"/>
            <w:szCs w:val="24"/>
            <w:u w:val="none"/>
            <w:bdr w:val="none" w:sz="0" w:space="0" w:color="auto" w:frame="1"/>
          </w:rPr>
          <w:t xml:space="preserve">(2013). [ Online]. </w:t>
        </w:r>
        <w:r w:rsidR="008B77A6" w:rsidRPr="00BA7042">
          <w:rPr>
            <w:rStyle w:val="Hyperlink"/>
            <w:rFonts w:ascii="Times New Roman" w:hAnsi="Times New Roman" w:cs="Times New Roman"/>
            <w:i/>
            <w:sz w:val="24"/>
            <w:szCs w:val="24"/>
            <w:u w:val="none"/>
            <w:bdr w:val="none" w:sz="0" w:space="0" w:color="auto" w:frame="1"/>
          </w:rPr>
          <w:t>.</w:t>
        </w:r>
        <w:r w:rsidR="008B77A6" w:rsidRPr="00BA7042">
          <w:rPr>
            <w:rStyle w:val="Hyperlink"/>
            <w:rFonts w:ascii="Times New Roman" w:hAnsi="Times New Roman" w:cs="Times New Roman"/>
            <w:sz w:val="24"/>
            <w:szCs w:val="24"/>
            <w:u w:val="none"/>
            <w:bdr w:val="none" w:sz="0" w:space="0" w:color="auto" w:frame="1"/>
          </w:rPr>
          <w:t>Available at:</w:t>
        </w:r>
        <w:r w:rsidR="008B77A6" w:rsidRPr="00BA7042">
          <w:rPr>
            <w:rStyle w:val="Hyperlink"/>
            <w:rFonts w:ascii="Times New Roman" w:hAnsi="Times New Roman" w:cs="Times New Roman"/>
            <w:sz w:val="24"/>
            <w:szCs w:val="24"/>
            <w:u w:val="none"/>
          </w:rPr>
          <w:t xml:space="preserve"> </w:t>
        </w:r>
        <w:r w:rsidR="008B77A6" w:rsidRPr="00BA7042">
          <w:rPr>
            <w:rStyle w:val="Hyperlink"/>
            <w:rFonts w:ascii="Times New Roman" w:hAnsi="Times New Roman" w:cs="Times New Roman"/>
            <w:sz w:val="24"/>
            <w:szCs w:val="24"/>
            <w:bdr w:val="none" w:sz="0" w:space="0" w:color="auto" w:frame="1"/>
          </w:rPr>
          <w:t>http://learning.gov.wales</w:t>
        </w:r>
      </w:hyperlink>
      <w:r w:rsidR="006C6BC1" w:rsidRPr="00BA7042">
        <w:rPr>
          <w:rFonts w:ascii="Times New Roman" w:hAnsi="Times New Roman" w:cs="Times New Roman"/>
          <w:i/>
          <w:color w:val="000000"/>
          <w:sz w:val="24"/>
          <w:szCs w:val="24"/>
        </w:rPr>
        <w:t xml:space="preserve"> </w:t>
      </w:r>
      <w:r w:rsidR="006C6BC1" w:rsidRPr="00BA7042">
        <w:rPr>
          <w:rFonts w:ascii="Times New Roman" w:hAnsi="Times New Roman" w:cs="Times New Roman"/>
          <w:color w:val="000000"/>
          <w:sz w:val="24"/>
          <w:szCs w:val="24"/>
        </w:rPr>
        <w:t>(Accessed: 2 January 2019).</w:t>
      </w:r>
    </w:p>
    <w:p w:rsidR="00E26B72" w:rsidRPr="00BA7042" w:rsidRDefault="00E26B72" w:rsidP="00BA7042">
      <w:pPr>
        <w:spacing w:after="0" w:line="360" w:lineRule="auto"/>
        <w:jc w:val="both"/>
        <w:rPr>
          <w:rFonts w:ascii="Times New Roman" w:eastAsia="Calibri" w:hAnsi="Times New Roman" w:cs="Times New Roman"/>
          <w:kern w:val="0"/>
          <w:sz w:val="24"/>
          <w:szCs w:val="24"/>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Foundation Phase Framework for Children’s Learning for 3-7 year olds in Wales (2015) [Online]. Available at: </w:t>
      </w:r>
      <w:hyperlink r:id="rId10" w:history="1">
        <w:r w:rsidRPr="00BA7042">
          <w:rPr>
            <w:rStyle w:val="Hyperlink"/>
            <w:rFonts w:ascii="Times New Roman" w:hAnsi="Times New Roman" w:cs="Times New Roman"/>
            <w:sz w:val="24"/>
            <w:szCs w:val="24"/>
          </w:rPr>
          <w:t>http://learning.gov.wales/docs/learningwales/publications/130424-framework-for-childrens-learning-en.pdf</w:t>
        </w:r>
      </w:hyperlink>
      <w:r w:rsidRPr="00BA7042">
        <w:rPr>
          <w:rFonts w:ascii="Times New Roman" w:hAnsi="Times New Roman" w:cs="Times New Roman"/>
          <w:sz w:val="24"/>
          <w:szCs w:val="24"/>
        </w:rPr>
        <w:t xml:space="preserve"> (Accessed 28 December 2018).  </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Independent (2018)</w:t>
      </w:r>
      <w:r w:rsidRPr="00BA7042">
        <w:rPr>
          <w:rFonts w:ascii="Times New Roman" w:hAnsi="Times New Roman" w:cs="Times New Roman"/>
          <w:i/>
          <w:sz w:val="24"/>
          <w:szCs w:val="24"/>
        </w:rPr>
        <w:t xml:space="preserve"> ‘The importance of literacy and numeracy in early childhood’, The Sligo Champion, </w:t>
      </w:r>
      <w:r w:rsidRPr="00BA7042">
        <w:rPr>
          <w:rFonts w:ascii="Times New Roman" w:hAnsi="Times New Roman" w:cs="Times New Roman"/>
          <w:sz w:val="24"/>
          <w:szCs w:val="24"/>
        </w:rPr>
        <w:t>26 November [online]. Available at:</w:t>
      </w:r>
      <w:r w:rsidRPr="00BA7042">
        <w:rPr>
          <w:rFonts w:ascii="Times New Roman" w:hAnsi="Times New Roman" w:cs="Times New Roman"/>
          <w:i/>
          <w:sz w:val="24"/>
          <w:szCs w:val="24"/>
        </w:rPr>
        <w:t xml:space="preserve"> </w:t>
      </w:r>
      <w:hyperlink r:id="rId11" w:history="1">
        <w:r w:rsidRPr="00BA7042">
          <w:rPr>
            <w:rFonts w:ascii="Times New Roman" w:hAnsi="Times New Roman" w:cs="Times New Roman"/>
            <w:sz w:val="24"/>
            <w:szCs w:val="24"/>
            <w:u w:val="single"/>
          </w:rPr>
          <w:t>www.independent.ie/regionals/sligochampion/opinion/the-importance-of-literacy-and-numeracy-in-early-childhood-28843785.html</w:t>
        </w:r>
      </w:hyperlink>
      <w:r w:rsidRPr="00BA7042">
        <w:rPr>
          <w:rFonts w:ascii="Times New Roman" w:hAnsi="Times New Roman" w:cs="Times New Roman"/>
          <w:sz w:val="24"/>
          <w:szCs w:val="24"/>
          <w:u w:val="single"/>
        </w:rPr>
        <w:t xml:space="preserve"> </w:t>
      </w:r>
      <w:r w:rsidRPr="00BA7042">
        <w:rPr>
          <w:rFonts w:ascii="Times New Roman" w:hAnsi="Times New Roman" w:cs="Times New Roman"/>
          <w:sz w:val="24"/>
          <w:szCs w:val="24"/>
        </w:rPr>
        <w:t>(Accessed 8 December 2018).</w:t>
      </w: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Koshy, V. &amp; Murray, J. (2002) </w:t>
      </w:r>
      <w:r w:rsidRPr="00BA7042">
        <w:rPr>
          <w:rFonts w:ascii="Times New Roman" w:hAnsi="Times New Roman" w:cs="Times New Roman"/>
          <w:i/>
          <w:iCs/>
          <w:sz w:val="24"/>
          <w:szCs w:val="24"/>
        </w:rPr>
        <w:t>Unlocking Numeracy</w:t>
      </w:r>
      <w:r w:rsidRPr="00BA7042">
        <w:rPr>
          <w:rFonts w:ascii="Times New Roman" w:hAnsi="Times New Roman" w:cs="Times New Roman"/>
          <w:sz w:val="24"/>
          <w:szCs w:val="24"/>
        </w:rPr>
        <w:t>. London: David Fulton Publishers.</w:t>
      </w:r>
    </w:p>
    <w:p w:rsidR="00B26FC2" w:rsidRPr="00BA7042" w:rsidRDefault="00B26FC2" w:rsidP="00BA7042">
      <w:pPr>
        <w:spacing w:after="0" w:line="360" w:lineRule="auto"/>
        <w:jc w:val="both"/>
        <w:rPr>
          <w:rFonts w:ascii="Times New Roman" w:hAnsi="Times New Roman" w:cs="Times New Roman"/>
          <w:sz w:val="24"/>
          <w:szCs w:val="24"/>
        </w:rPr>
      </w:pPr>
    </w:p>
    <w:p w:rsidR="00B26FC2" w:rsidRPr="00BA7042" w:rsidRDefault="00B26FC2"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Literacy and Numeracy in Secondary </w:t>
      </w:r>
      <w:r w:rsidR="00742298" w:rsidRPr="00BA7042">
        <w:rPr>
          <w:rFonts w:ascii="Times New Roman" w:hAnsi="Times New Roman" w:cs="Times New Roman"/>
          <w:sz w:val="24"/>
          <w:szCs w:val="24"/>
        </w:rPr>
        <w:t>(</w:t>
      </w:r>
      <w:r w:rsidRPr="00BA7042">
        <w:rPr>
          <w:rFonts w:ascii="Times New Roman" w:hAnsi="Times New Roman" w:cs="Times New Roman"/>
          <w:sz w:val="24"/>
          <w:szCs w:val="24"/>
        </w:rPr>
        <w:t>no date)</w:t>
      </w:r>
      <w:r w:rsidR="008B77A6" w:rsidRPr="00BA7042">
        <w:rPr>
          <w:rFonts w:ascii="Times New Roman" w:hAnsi="Times New Roman" w:cs="Times New Roman"/>
          <w:sz w:val="24"/>
          <w:szCs w:val="24"/>
        </w:rPr>
        <w:t xml:space="preserve"> [</w:t>
      </w:r>
      <w:r w:rsidRPr="00BA7042">
        <w:rPr>
          <w:rFonts w:ascii="Times New Roman" w:hAnsi="Times New Roman" w:cs="Times New Roman"/>
          <w:sz w:val="24"/>
          <w:szCs w:val="24"/>
        </w:rPr>
        <w:t>online] Available at:</w:t>
      </w:r>
    </w:p>
    <w:p w:rsidR="00E26B72" w:rsidRPr="00BA7042" w:rsidRDefault="00B26FC2"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u w:val="single"/>
        </w:rPr>
        <w:t>https://litnuminsecondary.weebly.com/vygotskys-theories.html</w:t>
      </w:r>
      <w:r w:rsidRPr="00BA7042">
        <w:rPr>
          <w:rFonts w:ascii="Times New Roman" w:hAnsi="Times New Roman" w:cs="Times New Roman"/>
          <w:sz w:val="24"/>
          <w:szCs w:val="24"/>
          <w:u w:val="single"/>
        </w:rPr>
        <w:cr/>
      </w:r>
      <w:r w:rsidRPr="00BA7042">
        <w:rPr>
          <w:rFonts w:ascii="Times New Roman" w:hAnsi="Times New Roman" w:cs="Times New Roman"/>
          <w:sz w:val="24"/>
          <w:szCs w:val="24"/>
        </w:rPr>
        <w:t>(Accessed 8 January 2019).</w:t>
      </w:r>
    </w:p>
    <w:p w:rsidR="00E26B72" w:rsidRPr="00BA7042" w:rsidRDefault="00E26B72" w:rsidP="00BA7042">
      <w:pPr>
        <w:spacing w:after="0" w:line="360" w:lineRule="auto"/>
        <w:jc w:val="both"/>
        <w:rPr>
          <w:rFonts w:ascii="Times New Roman" w:hAnsi="Times New Roman" w:cs="Times New Roman"/>
          <w:sz w:val="24"/>
          <w:szCs w:val="24"/>
        </w:rPr>
      </w:pPr>
      <w:bookmarkStart w:id="0" w:name="_GoBack"/>
      <w:bookmarkEnd w:id="0"/>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National Curriculum (2013). [Online]. Available at: </w:t>
      </w:r>
      <w:hyperlink r:id="rId12" w:history="1">
        <w:r w:rsidRPr="00BA7042">
          <w:rPr>
            <w:rStyle w:val="Hyperlink"/>
            <w:rFonts w:ascii="Times New Roman" w:hAnsi="Times New Roman" w:cs="Times New Roman"/>
            <w:sz w:val="24"/>
            <w:szCs w:val="24"/>
          </w:rPr>
          <w:t>http://learning.gov.wales/resources/improvementareas/curriculum/programmes-of-study/?lang=en</w:t>
        </w:r>
      </w:hyperlink>
      <w:r w:rsidRPr="00BA7042">
        <w:rPr>
          <w:rFonts w:ascii="Times New Roman" w:hAnsi="Times New Roman" w:cs="Times New Roman"/>
          <w:sz w:val="24"/>
          <w:szCs w:val="24"/>
        </w:rPr>
        <w:t xml:space="preserve"> (Accessed 12 December 2018). </w:t>
      </w:r>
      <w:r w:rsidRPr="00BA7042">
        <w:rPr>
          <w:rFonts w:ascii="Times New Roman" w:hAnsi="Times New Roman" w:cs="Times New Roman"/>
          <w:vanish/>
          <w:sz w:val="24"/>
          <w:szCs w:val="24"/>
        </w:rPr>
        <w:t>(</w:t>
      </w:r>
    </w:p>
    <w:p w:rsidR="00E26B72" w:rsidRPr="00BA7042" w:rsidRDefault="00E26B72" w:rsidP="00BA7042">
      <w:pPr>
        <w:spacing w:after="0" w:line="360" w:lineRule="auto"/>
        <w:jc w:val="both"/>
        <w:rPr>
          <w:rFonts w:ascii="Times New Roman" w:eastAsia="Calibri" w:hAnsi="Times New Roman" w:cs="Times New Roman"/>
          <w:kern w:val="0"/>
          <w:sz w:val="24"/>
          <w:szCs w:val="24"/>
        </w:rPr>
      </w:pP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National numeracy for everyone for life, (2018) </w:t>
      </w:r>
      <w:r w:rsidRPr="00BA7042">
        <w:rPr>
          <w:rFonts w:ascii="Times New Roman" w:hAnsi="Times New Roman" w:cs="Times New Roman"/>
          <w:i/>
          <w:sz w:val="24"/>
          <w:szCs w:val="24"/>
        </w:rPr>
        <w:t xml:space="preserve">Why is numeracy important? </w:t>
      </w:r>
      <w:r w:rsidRPr="00BA7042">
        <w:rPr>
          <w:rFonts w:ascii="Times New Roman" w:hAnsi="Times New Roman" w:cs="Times New Roman"/>
          <w:sz w:val="24"/>
          <w:szCs w:val="24"/>
        </w:rPr>
        <w:t xml:space="preserve">[Online] Available at: </w:t>
      </w:r>
      <w:r w:rsidRPr="00BA7042">
        <w:rPr>
          <w:rFonts w:ascii="Times New Roman" w:hAnsi="Times New Roman" w:cs="Times New Roman"/>
          <w:color w:val="0066CC"/>
          <w:sz w:val="24"/>
          <w:szCs w:val="24"/>
          <w:u w:val="single"/>
        </w:rPr>
        <w:t>www.nationalnumeracy.org.uk/why-numeracy-important</w:t>
      </w:r>
      <w:r w:rsidRPr="00BA7042">
        <w:rPr>
          <w:rFonts w:ascii="Times New Roman" w:hAnsi="Times New Roman" w:cs="Times New Roman"/>
          <w:color w:val="0066CC"/>
          <w:sz w:val="24"/>
          <w:szCs w:val="24"/>
        </w:rPr>
        <w:t xml:space="preserve"> </w:t>
      </w:r>
      <w:r w:rsidRPr="00BA7042">
        <w:rPr>
          <w:rFonts w:ascii="Times New Roman" w:hAnsi="Times New Roman" w:cs="Times New Roman"/>
          <w:sz w:val="24"/>
          <w:szCs w:val="24"/>
        </w:rPr>
        <w:t>(Accessed 9 December 2018).</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Numicon Firm Foundations, </w:t>
      </w:r>
      <w:r w:rsidRPr="00BA7042">
        <w:rPr>
          <w:rFonts w:ascii="Times New Roman" w:hAnsi="Times New Roman" w:cs="Times New Roman"/>
          <w:i/>
          <w:sz w:val="24"/>
          <w:szCs w:val="24"/>
        </w:rPr>
        <w:t>Supporting Mathematics in the Welsh National Curriculum</w:t>
      </w:r>
      <w:r w:rsidRPr="00BA7042">
        <w:rPr>
          <w:rFonts w:ascii="Times New Roman" w:hAnsi="Times New Roman" w:cs="Times New Roman"/>
          <w:sz w:val="24"/>
          <w:szCs w:val="24"/>
        </w:rPr>
        <w:t xml:space="preserve"> (2016) </w:t>
      </w:r>
      <w:r w:rsidRPr="00BA7042">
        <w:rPr>
          <w:rFonts w:ascii="Times New Roman" w:hAnsi="Times New Roman" w:cs="Times New Roman"/>
          <w:sz w:val="24"/>
          <w:szCs w:val="24"/>
          <w:u w:val="single"/>
        </w:rPr>
        <w:t>https://cdn.oxfordowl.co.uk/2016/06/24/11/49/22/90/NumFFWalesFoundation.pdf</w:t>
      </w:r>
      <w:r w:rsidRPr="00BA7042">
        <w:rPr>
          <w:rFonts w:ascii="Times New Roman" w:hAnsi="Times New Roman" w:cs="Times New Roman"/>
          <w:sz w:val="24"/>
          <w:szCs w:val="24"/>
          <w:u w:val="single"/>
        </w:rPr>
        <w:cr/>
      </w:r>
      <w:r w:rsidRPr="00BA7042">
        <w:rPr>
          <w:rFonts w:ascii="Times New Roman" w:hAnsi="Times New Roman" w:cs="Times New Roman"/>
          <w:sz w:val="24"/>
          <w:szCs w:val="24"/>
        </w:rPr>
        <w:t xml:space="preserve"> [Online] Available at: (Accessed 7 January 2019).</w:t>
      </w:r>
    </w:p>
    <w:p w:rsidR="00E26B72" w:rsidRDefault="006C6BC1" w:rsidP="00BA7042">
      <w:pPr>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Oxford University Press: Practical experiences, visual imagery and problem solving (2011). [Online]. Available at: </w:t>
      </w:r>
      <w:hyperlink r:id="rId13" w:history="1">
        <w:r w:rsidRPr="00BA7042">
          <w:rPr>
            <w:rStyle w:val="Hyperlink"/>
            <w:rFonts w:ascii="Times New Roman" w:hAnsi="Times New Roman" w:cs="Times New Roman"/>
            <w:sz w:val="24"/>
            <w:szCs w:val="24"/>
          </w:rPr>
          <w:t>http://fdslive.oup.com/www.oup.com/oxed/primary/close_gap_wales_numicon.pdf?region=uk</w:t>
        </w:r>
      </w:hyperlink>
      <w:r w:rsidRPr="00BA7042">
        <w:rPr>
          <w:rFonts w:ascii="Times New Roman" w:hAnsi="Times New Roman" w:cs="Times New Roman"/>
          <w:sz w:val="24"/>
          <w:szCs w:val="24"/>
        </w:rPr>
        <w:t xml:space="preserve"> (Accessed 3 January 2019).</w:t>
      </w:r>
    </w:p>
    <w:p w:rsidR="00BA7042" w:rsidRPr="00BA7042" w:rsidRDefault="00BA7042" w:rsidP="00BA70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School X (2018) </w:t>
      </w:r>
      <w:r w:rsidRPr="00BA7042">
        <w:rPr>
          <w:rFonts w:ascii="Times New Roman" w:hAnsi="Times New Roman" w:cs="Times New Roman"/>
          <w:i/>
          <w:sz w:val="24"/>
          <w:szCs w:val="24"/>
        </w:rPr>
        <w:t>Agored Cymru</w:t>
      </w:r>
      <w:r>
        <w:rPr>
          <w:rFonts w:ascii="Times New Roman" w:hAnsi="Times New Roman" w:cs="Times New Roman"/>
          <w:i/>
          <w:sz w:val="24"/>
          <w:szCs w:val="24"/>
        </w:rPr>
        <w:t>.</w:t>
      </w: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Simply Psychology (2018) </w:t>
      </w:r>
      <w:r w:rsidRPr="00BA7042">
        <w:rPr>
          <w:rFonts w:ascii="Times New Roman" w:hAnsi="Times New Roman" w:cs="Times New Roman"/>
          <w:i/>
          <w:sz w:val="24"/>
          <w:szCs w:val="24"/>
        </w:rPr>
        <w:t xml:space="preserve">Maslow’s Hierarchy of Needs. </w:t>
      </w:r>
      <w:r w:rsidRPr="00BA7042">
        <w:rPr>
          <w:rFonts w:ascii="Times New Roman" w:hAnsi="Times New Roman" w:cs="Times New Roman"/>
          <w:sz w:val="24"/>
          <w:szCs w:val="24"/>
        </w:rPr>
        <w:t xml:space="preserve">[Online]. Available at: </w:t>
      </w:r>
      <w:r w:rsidRPr="00BA7042">
        <w:rPr>
          <w:rFonts w:ascii="Times New Roman" w:hAnsi="Times New Roman" w:cs="Times New Roman"/>
          <w:sz w:val="24"/>
          <w:szCs w:val="24"/>
          <w:u w:val="single"/>
        </w:rPr>
        <w:t>https://www.simplypsychology.org/maslow.html</w:t>
      </w:r>
      <w:r w:rsidRPr="00BA7042">
        <w:rPr>
          <w:rFonts w:ascii="Times New Roman" w:hAnsi="Times New Roman" w:cs="Times New Roman"/>
          <w:sz w:val="24"/>
          <w:szCs w:val="24"/>
          <w:u w:val="single"/>
        </w:rPr>
        <w:cr/>
      </w:r>
      <w:r w:rsidRPr="00BA7042">
        <w:rPr>
          <w:rFonts w:ascii="Times New Roman" w:hAnsi="Times New Roman" w:cs="Times New Roman"/>
          <w:sz w:val="24"/>
          <w:szCs w:val="24"/>
        </w:rPr>
        <w:t>(Accessed 6 January 2019).</w:t>
      </w:r>
    </w:p>
    <w:p w:rsidR="00E26B72" w:rsidRPr="00BA7042" w:rsidRDefault="00E26B72" w:rsidP="00BA7042">
      <w:pPr>
        <w:spacing w:line="360" w:lineRule="auto"/>
        <w:jc w:val="both"/>
        <w:rPr>
          <w:rFonts w:ascii="Times New Roman" w:hAnsi="Times New Roman" w:cs="Times New Roman"/>
          <w:sz w:val="24"/>
          <w:szCs w:val="24"/>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Sutherland, R. (2007) </w:t>
      </w:r>
      <w:r w:rsidRPr="00BA7042">
        <w:rPr>
          <w:rFonts w:ascii="Times New Roman" w:hAnsi="Times New Roman" w:cs="Times New Roman"/>
          <w:i/>
          <w:iCs/>
          <w:sz w:val="24"/>
          <w:szCs w:val="24"/>
        </w:rPr>
        <w:t>Teaching for Learning Mathematics</w:t>
      </w:r>
      <w:r w:rsidRPr="00BA7042">
        <w:rPr>
          <w:rFonts w:ascii="Times New Roman" w:hAnsi="Times New Roman" w:cs="Times New Roman"/>
          <w:sz w:val="24"/>
          <w:szCs w:val="24"/>
        </w:rPr>
        <w:t xml:space="preserve">. Maidenhead: Open University </w:t>
      </w:r>
      <w:r w:rsidRPr="00BA7042">
        <w:rPr>
          <w:rFonts w:ascii="Times New Roman" w:hAnsi="Times New Roman" w:cs="Times New Roman"/>
          <w:sz w:val="24"/>
          <w:szCs w:val="24"/>
        </w:rPr>
        <w:lastRenderedPageBreak/>
        <w:t>Press.</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Teach Hub (2019)</w:t>
      </w:r>
      <w:r w:rsidRPr="00BA7042">
        <w:rPr>
          <w:rFonts w:ascii="Times New Roman" w:hAnsi="Times New Roman" w:cs="Times New Roman"/>
          <w:b/>
          <w:bCs/>
          <w:color w:val="222222"/>
          <w:sz w:val="24"/>
          <w:szCs w:val="24"/>
        </w:rPr>
        <w:t xml:space="preserve"> </w:t>
      </w:r>
      <w:r w:rsidRPr="00BA7042">
        <w:rPr>
          <w:rFonts w:ascii="Times New Roman" w:hAnsi="Times New Roman" w:cs="Times New Roman"/>
          <w:bCs/>
          <w:i/>
          <w:color w:val="222222"/>
          <w:sz w:val="24"/>
          <w:szCs w:val="24"/>
        </w:rPr>
        <w:t>Approaches to Successful Cross-Curriculum Integration</w:t>
      </w:r>
      <w:r w:rsidRPr="00BA7042">
        <w:rPr>
          <w:rFonts w:ascii="Times New Roman" w:hAnsi="Times New Roman" w:cs="Times New Roman"/>
          <w:bCs/>
          <w:color w:val="222222"/>
          <w:sz w:val="24"/>
          <w:szCs w:val="24"/>
        </w:rPr>
        <w:t xml:space="preserve">. </w:t>
      </w:r>
      <w:r w:rsidR="003E3C00" w:rsidRPr="00BA7042">
        <w:rPr>
          <w:rFonts w:ascii="Times New Roman" w:hAnsi="Times New Roman" w:cs="Times New Roman"/>
          <w:bCs/>
          <w:color w:val="222222"/>
          <w:sz w:val="24"/>
          <w:szCs w:val="24"/>
        </w:rPr>
        <w:t>[Online</w:t>
      </w:r>
      <w:r w:rsidR="008A1397" w:rsidRPr="00BA7042">
        <w:rPr>
          <w:rFonts w:ascii="Times New Roman" w:hAnsi="Times New Roman" w:cs="Times New Roman"/>
          <w:bCs/>
          <w:color w:val="222222"/>
          <w:sz w:val="24"/>
          <w:szCs w:val="24"/>
        </w:rPr>
        <w:t>]. Available at:</w:t>
      </w:r>
      <w:r w:rsidRPr="00BA7042">
        <w:rPr>
          <w:rFonts w:ascii="Times New Roman" w:hAnsi="Times New Roman" w:cs="Times New Roman"/>
          <w:sz w:val="24"/>
          <w:szCs w:val="24"/>
        </w:rPr>
        <w:t xml:space="preserve"> </w:t>
      </w:r>
      <w:r w:rsidRPr="00BA7042">
        <w:rPr>
          <w:rFonts w:ascii="Times New Roman" w:hAnsi="Times New Roman" w:cs="Times New Roman"/>
          <w:sz w:val="24"/>
          <w:szCs w:val="24"/>
          <w:u w:val="single"/>
        </w:rPr>
        <w:t>www.teachhub.com/approaches-successful-cross-curriculum-integration</w:t>
      </w:r>
      <w:r w:rsidRPr="00BA7042">
        <w:rPr>
          <w:rFonts w:ascii="Times New Roman" w:hAnsi="Times New Roman" w:cs="Times New Roman"/>
          <w:sz w:val="24"/>
          <w:szCs w:val="24"/>
          <w:u w:val="single"/>
        </w:rPr>
        <w:cr/>
      </w:r>
      <w:r w:rsidRPr="00BA7042">
        <w:rPr>
          <w:rFonts w:ascii="Times New Roman" w:hAnsi="Times New Roman" w:cs="Times New Roman"/>
          <w:sz w:val="24"/>
          <w:szCs w:val="24"/>
        </w:rPr>
        <w:t>(Accessed 5 January 2019).</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8A1397"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The Cockcroft Report</w:t>
      </w:r>
      <w:r w:rsidR="006C6BC1" w:rsidRPr="00BA7042">
        <w:rPr>
          <w:rFonts w:ascii="Times New Roman" w:hAnsi="Times New Roman" w:cs="Times New Roman"/>
          <w:sz w:val="24"/>
          <w:szCs w:val="24"/>
        </w:rPr>
        <w:t xml:space="preserve"> (1982), </w:t>
      </w:r>
      <w:r w:rsidR="006C6BC1" w:rsidRPr="00BA7042">
        <w:rPr>
          <w:rFonts w:ascii="Times New Roman" w:hAnsi="Times New Roman" w:cs="Times New Roman"/>
          <w:i/>
          <w:sz w:val="24"/>
          <w:szCs w:val="24"/>
        </w:rPr>
        <w:t>Mathematics Counts.</w:t>
      </w:r>
      <w:r w:rsidR="006C6BC1" w:rsidRPr="00BA7042">
        <w:rPr>
          <w:rFonts w:ascii="Times New Roman" w:hAnsi="Times New Roman" w:cs="Times New Roman"/>
          <w:sz w:val="24"/>
          <w:szCs w:val="24"/>
        </w:rPr>
        <w:t xml:space="preserve"> London: Her Majesty’s Stationery Office.</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The Primary review, (2008) </w:t>
      </w:r>
      <w:r w:rsidRPr="00BA7042">
        <w:rPr>
          <w:rFonts w:ascii="Times New Roman" w:hAnsi="Times New Roman" w:cs="Times New Roman"/>
          <w:i/>
          <w:sz w:val="24"/>
          <w:szCs w:val="24"/>
        </w:rPr>
        <w:t xml:space="preserve">Classes, groups and transitions: Structures for teaching and learning </w:t>
      </w:r>
      <w:r w:rsidRPr="00BA7042">
        <w:rPr>
          <w:rFonts w:ascii="Times New Roman" w:hAnsi="Times New Roman" w:cs="Times New Roman"/>
          <w:sz w:val="24"/>
          <w:szCs w:val="24"/>
        </w:rPr>
        <w:t>[Online].</w:t>
      </w:r>
      <w:r w:rsidRPr="00BA7042">
        <w:rPr>
          <w:rFonts w:ascii="Times New Roman" w:hAnsi="Times New Roman" w:cs="Times New Roman"/>
          <w:i/>
          <w:sz w:val="24"/>
          <w:szCs w:val="24"/>
        </w:rPr>
        <w:t xml:space="preserve"> </w:t>
      </w:r>
      <w:r w:rsidRPr="00BA7042">
        <w:rPr>
          <w:rFonts w:ascii="Times New Roman" w:hAnsi="Times New Roman" w:cs="Times New Roman"/>
          <w:color w:val="000000"/>
          <w:sz w:val="24"/>
          <w:szCs w:val="24"/>
        </w:rPr>
        <w:t>Available at:</w:t>
      </w:r>
      <w:r w:rsidRPr="00BA7042">
        <w:rPr>
          <w:rFonts w:ascii="Times New Roman" w:hAnsi="Times New Roman" w:cs="Times New Roman"/>
          <w:color w:val="4472C4"/>
          <w:sz w:val="24"/>
          <w:szCs w:val="24"/>
        </w:rPr>
        <w:t xml:space="preserve"> </w:t>
      </w:r>
      <w:hyperlink r:id="rId14" w:history="1">
        <w:r w:rsidRPr="00BA7042">
          <w:rPr>
            <w:rFonts w:ascii="Times New Roman" w:hAnsi="Times New Roman" w:cs="Times New Roman"/>
            <w:color w:val="4472C4"/>
            <w:sz w:val="24"/>
            <w:szCs w:val="24"/>
            <w:u w:val="single"/>
            <w:bdr w:val="none" w:sz="0" w:space="0" w:color="auto" w:frame="1"/>
          </w:rPr>
          <w:t>http://www.primaryreview.org.uk</w:t>
        </w:r>
      </w:hyperlink>
      <w:r w:rsidRPr="00BA7042">
        <w:rPr>
          <w:rFonts w:ascii="Times New Roman" w:hAnsi="Times New Roman" w:cs="Times New Roman"/>
          <w:color w:val="4472C4"/>
          <w:sz w:val="24"/>
          <w:szCs w:val="24"/>
          <w:u w:val="single"/>
          <w:bdr w:val="none" w:sz="0" w:space="0" w:color="auto" w:frame="1"/>
        </w:rPr>
        <w:t xml:space="preserve"> </w:t>
      </w:r>
      <w:r w:rsidRPr="00BA7042">
        <w:rPr>
          <w:rFonts w:ascii="Times New Roman" w:hAnsi="Times New Roman" w:cs="Times New Roman"/>
          <w:color w:val="4472C4"/>
          <w:sz w:val="24"/>
          <w:szCs w:val="24"/>
          <w:bdr w:val="none" w:sz="0" w:space="0" w:color="auto" w:frame="1"/>
        </w:rPr>
        <w:t>(Accessed 5 January 2019).</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Welsh Assembly Government, (2008</w:t>
      </w:r>
      <w:r w:rsidRPr="00BA7042">
        <w:rPr>
          <w:rFonts w:ascii="Times New Roman" w:hAnsi="Times New Roman" w:cs="Times New Roman"/>
          <w:i/>
          <w:sz w:val="24"/>
          <w:szCs w:val="24"/>
        </w:rPr>
        <w:t>) Mathematical Development</w:t>
      </w:r>
      <w:r w:rsidRPr="00BA7042">
        <w:rPr>
          <w:rFonts w:ascii="Times New Roman" w:hAnsi="Times New Roman" w:cs="Times New Roman"/>
          <w:sz w:val="24"/>
          <w:szCs w:val="24"/>
        </w:rPr>
        <w:t>. Cardiff: Crown Copyright.</w:t>
      </w:r>
    </w:p>
    <w:p w:rsidR="00E26B72" w:rsidRPr="00BA7042" w:rsidRDefault="006C6BC1" w:rsidP="00BA7042">
      <w:pPr>
        <w:pStyle w:val="Standard"/>
        <w:spacing w:line="360" w:lineRule="auto"/>
        <w:jc w:val="both"/>
        <w:rPr>
          <w:rFonts w:ascii="Times New Roman" w:hAnsi="Times New Roman" w:cs="Times New Roman"/>
          <w:sz w:val="24"/>
          <w:szCs w:val="24"/>
        </w:rPr>
      </w:pPr>
      <w:r w:rsidRPr="00BA7042">
        <w:rPr>
          <w:rFonts w:ascii="Times New Roman" w:hAnsi="Times New Roman" w:cs="Times New Roman"/>
          <w:sz w:val="24"/>
          <w:szCs w:val="24"/>
        </w:rPr>
        <w:t>Welsh Government, (2015)</w:t>
      </w:r>
      <w:r w:rsidRPr="00BA7042">
        <w:rPr>
          <w:rFonts w:ascii="Times New Roman" w:hAnsi="Times New Roman" w:cs="Times New Roman"/>
          <w:i/>
          <w:sz w:val="24"/>
          <w:szCs w:val="24"/>
        </w:rPr>
        <w:t xml:space="preserve"> Curriculum for Wales: Foundation Phase Framework.</w:t>
      </w:r>
      <w:r w:rsidRPr="00BA7042">
        <w:rPr>
          <w:rFonts w:ascii="Times New Roman" w:hAnsi="Times New Roman" w:cs="Times New Roman"/>
          <w:sz w:val="24"/>
          <w:szCs w:val="24"/>
        </w:rPr>
        <w:t xml:space="preserve"> Cardiff: Crown Copyright.</w:t>
      </w: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Welsh Government (2013) </w:t>
      </w:r>
      <w:r w:rsidRPr="00BA7042">
        <w:rPr>
          <w:rFonts w:ascii="Times New Roman" w:hAnsi="Times New Roman" w:cs="Times New Roman"/>
          <w:i/>
          <w:iCs/>
          <w:sz w:val="24"/>
          <w:szCs w:val="24"/>
        </w:rPr>
        <w:t xml:space="preserve">National Literacy and Numeracy Framework. </w:t>
      </w:r>
      <w:r w:rsidRPr="00BA7042">
        <w:rPr>
          <w:rFonts w:ascii="Times New Roman" w:hAnsi="Times New Roman" w:cs="Times New Roman"/>
          <w:sz w:val="24"/>
          <w:szCs w:val="24"/>
        </w:rPr>
        <w:t xml:space="preserve">Welsh Government: </w:t>
      </w:r>
      <w:hyperlink r:id="rId15" w:history="1">
        <w:r w:rsidRPr="00BA7042">
          <w:rPr>
            <w:rStyle w:val="Hyperlink"/>
            <w:rFonts w:ascii="Times New Roman" w:hAnsi="Times New Roman" w:cs="Times New Roman"/>
            <w:sz w:val="24"/>
            <w:szCs w:val="24"/>
          </w:rPr>
          <w:t>http://learningwales.gov.uk/resources/nlnf</w:t>
        </w:r>
      </w:hyperlink>
      <w:r w:rsidRPr="00BA7042">
        <w:rPr>
          <w:rFonts w:ascii="Times New Roman" w:hAnsi="Times New Roman" w:cs="Times New Roman"/>
          <w:sz w:val="24"/>
          <w:szCs w:val="24"/>
        </w:rPr>
        <w:t xml:space="preserve"> (Accessed 30 December 2018).</w:t>
      </w:r>
    </w:p>
    <w:p w:rsidR="00E26B72" w:rsidRPr="00BA7042" w:rsidRDefault="00E26B72" w:rsidP="00BA7042">
      <w:pPr>
        <w:spacing w:after="0" w:line="360" w:lineRule="auto"/>
        <w:jc w:val="both"/>
        <w:rPr>
          <w:rFonts w:ascii="Times New Roman" w:eastAsia="Calibri" w:hAnsi="Times New Roman" w:cs="Times New Roman"/>
          <w:kern w:val="0"/>
          <w:sz w:val="24"/>
          <w:szCs w:val="24"/>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Welsh Assembly Government. (2005) </w:t>
      </w:r>
      <w:r w:rsidRPr="00BA7042">
        <w:rPr>
          <w:rFonts w:ascii="Times New Roman" w:hAnsi="Times New Roman" w:cs="Times New Roman"/>
          <w:i/>
          <w:iCs/>
          <w:sz w:val="24"/>
          <w:szCs w:val="24"/>
        </w:rPr>
        <w:t>Words Talk – Numbers Count</w:t>
      </w:r>
      <w:r w:rsidRPr="00BA7042">
        <w:rPr>
          <w:rFonts w:ascii="Times New Roman" w:hAnsi="Times New Roman" w:cs="Times New Roman"/>
          <w:sz w:val="24"/>
          <w:szCs w:val="24"/>
        </w:rPr>
        <w:t xml:space="preserve">. Cardiff: Welsh Assembly Government. </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6C6BC1" w:rsidP="00BA7042">
      <w:pPr>
        <w:spacing w:after="0" w:line="360" w:lineRule="auto"/>
        <w:jc w:val="both"/>
        <w:rPr>
          <w:rFonts w:ascii="Times New Roman" w:hAnsi="Times New Roman" w:cs="Times New Roman"/>
          <w:sz w:val="24"/>
          <w:szCs w:val="24"/>
        </w:rPr>
      </w:pPr>
      <w:r w:rsidRPr="00BA7042">
        <w:rPr>
          <w:rFonts w:ascii="Times New Roman" w:hAnsi="Times New Roman" w:cs="Times New Roman"/>
          <w:sz w:val="24"/>
          <w:szCs w:val="24"/>
        </w:rPr>
        <w:t xml:space="preserve">Williams, P. (2008) </w:t>
      </w:r>
      <w:r w:rsidRPr="00BA7042">
        <w:rPr>
          <w:rFonts w:ascii="Times New Roman" w:hAnsi="Times New Roman" w:cs="Times New Roman"/>
          <w:i/>
          <w:sz w:val="24"/>
          <w:szCs w:val="24"/>
        </w:rPr>
        <w:t>Independent Review of Mathematics teaching in early years’ settings and primary schools.</w:t>
      </w:r>
      <w:r w:rsidRPr="00BA7042">
        <w:rPr>
          <w:rFonts w:ascii="Times New Roman" w:hAnsi="Times New Roman" w:cs="Times New Roman"/>
          <w:sz w:val="24"/>
          <w:szCs w:val="24"/>
        </w:rPr>
        <w:t xml:space="preserve"> London: DCSF.</w:t>
      </w: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E26B72" w:rsidP="00BA7042">
      <w:pPr>
        <w:spacing w:after="0" w:line="360" w:lineRule="auto"/>
        <w:jc w:val="both"/>
        <w:rPr>
          <w:rFonts w:ascii="Times New Roman" w:hAnsi="Times New Roman" w:cs="Times New Roman"/>
          <w:sz w:val="24"/>
          <w:szCs w:val="24"/>
        </w:rPr>
      </w:pPr>
    </w:p>
    <w:p w:rsidR="00E26B72" w:rsidRPr="00BA7042" w:rsidRDefault="00E26B72" w:rsidP="00BA7042">
      <w:pPr>
        <w:spacing w:after="0" w:line="360" w:lineRule="auto"/>
        <w:jc w:val="both"/>
        <w:rPr>
          <w:rFonts w:ascii="Times New Roman" w:eastAsia="Calibri" w:hAnsi="Times New Roman" w:cs="Times New Roman"/>
          <w:kern w:val="0"/>
          <w:sz w:val="24"/>
          <w:szCs w:val="24"/>
        </w:rPr>
      </w:pPr>
    </w:p>
    <w:p w:rsidR="00E26B72" w:rsidRPr="00BA7042" w:rsidRDefault="00E26B72" w:rsidP="00BA7042">
      <w:pPr>
        <w:spacing w:line="360" w:lineRule="auto"/>
        <w:jc w:val="both"/>
        <w:rPr>
          <w:rFonts w:ascii="Times New Roman" w:hAnsi="Times New Roman" w:cs="Times New Roman"/>
          <w:sz w:val="24"/>
          <w:szCs w:val="24"/>
        </w:rPr>
      </w:pPr>
    </w:p>
    <w:p w:rsidR="00E26B72" w:rsidRPr="00BA7042" w:rsidRDefault="00E26B72" w:rsidP="00BA7042">
      <w:pPr>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pStyle w:val="Standard"/>
        <w:spacing w:line="360" w:lineRule="auto"/>
        <w:jc w:val="both"/>
        <w:rPr>
          <w:rFonts w:ascii="Times New Roman" w:hAnsi="Times New Roman" w:cs="Times New Roman"/>
          <w:sz w:val="24"/>
          <w:szCs w:val="24"/>
        </w:rPr>
      </w:pPr>
    </w:p>
    <w:p w:rsidR="00E26B72" w:rsidRPr="00BA7042" w:rsidRDefault="00E26B72" w:rsidP="00BA7042">
      <w:pPr>
        <w:spacing w:line="360" w:lineRule="auto"/>
        <w:jc w:val="both"/>
        <w:rPr>
          <w:rFonts w:ascii="Times New Roman" w:hAnsi="Times New Roman" w:cs="Times New Roman"/>
          <w:sz w:val="24"/>
          <w:szCs w:val="24"/>
        </w:rPr>
      </w:pPr>
    </w:p>
    <w:sectPr w:rsidR="00E26B72" w:rsidRPr="00BA7042">
      <w:headerReference w:type="default" r:id="rId16"/>
      <w:footerReference w:type="default" r:id="rId1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B72" w:rsidRDefault="00E26B72">
      <w:pPr>
        <w:spacing w:after="0" w:line="240" w:lineRule="auto"/>
      </w:pPr>
      <w:r>
        <w:separator/>
      </w:r>
    </w:p>
  </w:endnote>
  <w:endnote w:type="continuationSeparator" w:id="0">
    <w:p w:rsidR="00E26B72" w:rsidRDefault="00E2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B72" w:rsidRDefault="00E26B72">
    <w:pPr>
      <w:pStyle w:val="Footer"/>
    </w:pPr>
    <w:r>
      <w:fldChar w:fldCharType="begin"/>
    </w:r>
    <w:r>
      <w:instrText xml:space="preserve"> PAGE </w:instrText>
    </w:r>
    <w:r>
      <w:fldChar w:fldCharType="separate"/>
    </w:r>
    <w:r w:rsidR="00684CCC">
      <w:rPr>
        <w:noProof/>
      </w:rPr>
      <w:t>9</w:t>
    </w:r>
    <w:r>
      <w:fldChar w:fldCharType="end"/>
    </w:r>
  </w:p>
  <w:p w:rsidR="00E26B72" w:rsidRDefault="00E26B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B72" w:rsidRDefault="00E26B72">
      <w:pPr>
        <w:spacing w:after="0" w:line="240" w:lineRule="auto"/>
      </w:pPr>
      <w:r>
        <w:separator/>
      </w:r>
    </w:p>
  </w:footnote>
  <w:footnote w:type="continuationSeparator" w:id="0">
    <w:p w:rsidR="00E26B72" w:rsidRDefault="00E26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B72" w:rsidRDefault="00E26B72">
    <w:pPr>
      <w:pStyle w:val="Header"/>
    </w:pPr>
    <w:r>
      <w:t>SJIE5001                                            Numbers Count                                                                  1602526</w:t>
    </w:r>
  </w:p>
  <w:p w:rsidR="00E26B72" w:rsidRDefault="00E26B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A7B35"/>
    <w:multiLevelType w:val="hybridMultilevel"/>
    <w:tmpl w:val="C292156C"/>
    <w:lvl w:ilvl="0" w:tplc="D7EE409A">
      <w:start w:val="1"/>
      <w:numFmt w:val="bullet"/>
      <w:lvlText w:val=""/>
      <w:lvlJc w:val="left"/>
      <w:pPr>
        <w:tabs>
          <w:tab w:val="num" w:pos="720"/>
        </w:tabs>
        <w:ind w:left="720" w:hanging="360"/>
      </w:pPr>
      <w:rPr>
        <w:rFonts w:ascii="Symbol" w:hAnsi="Symbol" w:hint="default"/>
        <w:sz w:val="20"/>
      </w:rPr>
    </w:lvl>
    <w:lvl w:ilvl="1" w:tplc="A2A8B520" w:tentative="1">
      <w:start w:val="1"/>
      <w:numFmt w:val="bullet"/>
      <w:lvlText w:val=""/>
      <w:lvlJc w:val="left"/>
      <w:pPr>
        <w:tabs>
          <w:tab w:val="num" w:pos="1440"/>
        </w:tabs>
        <w:ind w:left="1440" w:hanging="360"/>
      </w:pPr>
      <w:rPr>
        <w:rFonts w:ascii="Symbol" w:hAnsi="Symbol" w:hint="default"/>
        <w:sz w:val="20"/>
      </w:rPr>
    </w:lvl>
    <w:lvl w:ilvl="2" w:tplc="119C08EA" w:tentative="1">
      <w:start w:val="1"/>
      <w:numFmt w:val="bullet"/>
      <w:lvlText w:val=""/>
      <w:lvlJc w:val="left"/>
      <w:pPr>
        <w:tabs>
          <w:tab w:val="num" w:pos="2160"/>
        </w:tabs>
        <w:ind w:left="2160" w:hanging="360"/>
      </w:pPr>
      <w:rPr>
        <w:rFonts w:ascii="Symbol" w:hAnsi="Symbol" w:hint="default"/>
        <w:sz w:val="20"/>
      </w:rPr>
    </w:lvl>
    <w:lvl w:ilvl="3" w:tplc="504E5128" w:tentative="1">
      <w:start w:val="1"/>
      <w:numFmt w:val="bullet"/>
      <w:lvlText w:val=""/>
      <w:lvlJc w:val="left"/>
      <w:pPr>
        <w:tabs>
          <w:tab w:val="num" w:pos="2880"/>
        </w:tabs>
        <w:ind w:left="2880" w:hanging="360"/>
      </w:pPr>
      <w:rPr>
        <w:rFonts w:ascii="Symbol" w:hAnsi="Symbol" w:hint="default"/>
        <w:sz w:val="20"/>
      </w:rPr>
    </w:lvl>
    <w:lvl w:ilvl="4" w:tplc="BA06F5BC" w:tentative="1">
      <w:start w:val="1"/>
      <w:numFmt w:val="bullet"/>
      <w:lvlText w:val=""/>
      <w:lvlJc w:val="left"/>
      <w:pPr>
        <w:tabs>
          <w:tab w:val="num" w:pos="3600"/>
        </w:tabs>
        <w:ind w:left="3600" w:hanging="360"/>
      </w:pPr>
      <w:rPr>
        <w:rFonts w:ascii="Symbol" w:hAnsi="Symbol" w:hint="default"/>
        <w:sz w:val="20"/>
      </w:rPr>
    </w:lvl>
    <w:lvl w:ilvl="5" w:tplc="E5A80F38" w:tentative="1">
      <w:start w:val="1"/>
      <w:numFmt w:val="bullet"/>
      <w:lvlText w:val=""/>
      <w:lvlJc w:val="left"/>
      <w:pPr>
        <w:tabs>
          <w:tab w:val="num" w:pos="4320"/>
        </w:tabs>
        <w:ind w:left="4320" w:hanging="360"/>
      </w:pPr>
      <w:rPr>
        <w:rFonts w:ascii="Symbol" w:hAnsi="Symbol" w:hint="default"/>
        <w:sz w:val="20"/>
      </w:rPr>
    </w:lvl>
    <w:lvl w:ilvl="6" w:tplc="2654C0C0" w:tentative="1">
      <w:start w:val="1"/>
      <w:numFmt w:val="bullet"/>
      <w:lvlText w:val=""/>
      <w:lvlJc w:val="left"/>
      <w:pPr>
        <w:tabs>
          <w:tab w:val="num" w:pos="5040"/>
        </w:tabs>
        <w:ind w:left="5040" w:hanging="360"/>
      </w:pPr>
      <w:rPr>
        <w:rFonts w:ascii="Symbol" w:hAnsi="Symbol" w:hint="default"/>
        <w:sz w:val="20"/>
      </w:rPr>
    </w:lvl>
    <w:lvl w:ilvl="7" w:tplc="2BD88AAA" w:tentative="1">
      <w:start w:val="1"/>
      <w:numFmt w:val="bullet"/>
      <w:lvlText w:val=""/>
      <w:lvlJc w:val="left"/>
      <w:pPr>
        <w:tabs>
          <w:tab w:val="num" w:pos="5760"/>
        </w:tabs>
        <w:ind w:left="5760" w:hanging="360"/>
      </w:pPr>
      <w:rPr>
        <w:rFonts w:ascii="Symbol" w:hAnsi="Symbol" w:hint="default"/>
        <w:sz w:val="20"/>
      </w:rPr>
    </w:lvl>
    <w:lvl w:ilvl="8" w:tplc="3294ADCC"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932A5E"/>
    <w:multiLevelType w:val="hybridMultilevel"/>
    <w:tmpl w:val="13A896B8"/>
    <w:lvl w:ilvl="0" w:tplc="46DCB2B8">
      <w:start w:val="1"/>
      <w:numFmt w:val="bullet"/>
      <w:lvlText w:val=""/>
      <w:lvlJc w:val="left"/>
      <w:pPr>
        <w:tabs>
          <w:tab w:val="num" w:pos="720"/>
        </w:tabs>
        <w:ind w:left="720" w:hanging="360"/>
      </w:pPr>
      <w:rPr>
        <w:rFonts w:ascii="Symbol" w:hAnsi="Symbol" w:hint="default"/>
        <w:sz w:val="20"/>
      </w:rPr>
    </w:lvl>
    <w:lvl w:ilvl="1" w:tplc="C952DD5E" w:tentative="1">
      <w:start w:val="1"/>
      <w:numFmt w:val="bullet"/>
      <w:lvlText w:val="o"/>
      <w:lvlJc w:val="left"/>
      <w:pPr>
        <w:tabs>
          <w:tab w:val="num" w:pos="1440"/>
        </w:tabs>
        <w:ind w:left="1440" w:hanging="360"/>
      </w:pPr>
      <w:rPr>
        <w:rFonts w:ascii="Courier New" w:hAnsi="Courier New" w:hint="default"/>
        <w:sz w:val="20"/>
      </w:rPr>
    </w:lvl>
    <w:lvl w:ilvl="2" w:tplc="ECF4CEE8" w:tentative="1">
      <w:start w:val="1"/>
      <w:numFmt w:val="bullet"/>
      <w:lvlText w:val=""/>
      <w:lvlJc w:val="left"/>
      <w:pPr>
        <w:tabs>
          <w:tab w:val="num" w:pos="2160"/>
        </w:tabs>
        <w:ind w:left="2160" w:hanging="360"/>
      </w:pPr>
      <w:rPr>
        <w:rFonts w:ascii="Wingdings" w:hAnsi="Wingdings" w:hint="default"/>
        <w:sz w:val="20"/>
      </w:rPr>
    </w:lvl>
    <w:lvl w:ilvl="3" w:tplc="56B6FC6A" w:tentative="1">
      <w:start w:val="1"/>
      <w:numFmt w:val="bullet"/>
      <w:lvlText w:val=""/>
      <w:lvlJc w:val="left"/>
      <w:pPr>
        <w:tabs>
          <w:tab w:val="num" w:pos="2880"/>
        </w:tabs>
        <w:ind w:left="2880" w:hanging="360"/>
      </w:pPr>
      <w:rPr>
        <w:rFonts w:ascii="Wingdings" w:hAnsi="Wingdings" w:hint="default"/>
        <w:sz w:val="20"/>
      </w:rPr>
    </w:lvl>
    <w:lvl w:ilvl="4" w:tplc="335013DE" w:tentative="1">
      <w:start w:val="1"/>
      <w:numFmt w:val="bullet"/>
      <w:lvlText w:val=""/>
      <w:lvlJc w:val="left"/>
      <w:pPr>
        <w:tabs>
          <w:tab w:val="num" w:pos="3600"/>
        </w:tabs>
        <w:ind w:left="3600" w:hanging="360"/>
      </w:pPr>
      <w:rPr>
        <w:rFonts w:ascii="Wingdings" w:hAnsi="Wingdings" w:hint="default"/>
        <w:sz w:val="20"/>
      </w:rPr>
    </w:lvl>
    <w:lvl w:ilvl="5" w:tplc="A0404018" w:tentative="1">
      <w:start w:val="1"/>
      <w:numFmt w:val="bullet"/>
      <w:lvlText w:val=""/>
      <w:lvlJc w:val="left"/>
      <w:pPr>
        <w:tabs>
          <w:tab w:val="num" w:pos="4320"/>
        </w:tabs>
        <w:ind w:left="4320" w:hanging="360"/>
      </w:pPr>
      <w:rPr>
        <w:rFonts w:ascii="Wingdings" w:hAnsi="Wingdings" w:hint="default"/>
        <w:sz w:val="20"/>
      </w:rPr>
    </w:lvl>
    <w:lvl w:ilvl="6" w:tplc="681C83B8" w:tentative="1">
      <w:start w:val="1"/>
      <w:numFmt w:val="bullet"/>
      <w:lvlText w:val=""/>
      <w:lvlJc w:val="left"/>
      <w:pPr>
        <w:tabs>
          <w:tab w:val="num" w:pos="5040"/>
        </w:tabs>
        <w:ind w:left="5040" w:hanging="360"/>
      </w:pPr>
      <w:rPr>
        <w:rFonts w:ascii="Wingdings" w:hAnsi="Wingdings" w:hint="default"/>
        <w:sz w:val="20"/>
      </w:rPr>
    </w:lvl>
    <w:lvl w:ilvl="7" w:tplc="CFF6922E" w:tentative="1">
      <w:start w:val="1"/>
      <w:numFmt w:val="bullet"/>
      <w:lvlText w:val=""/>
      <w:lvlJc w:val="left"/>
      <w:pPr>
        <w:tabs>
          <w:tab w:val="num" w:pos="5760"/>
        </w:tabs>
        <w:ind w:left="5760" w:hanging="360"/>
      </w:pPr>
      <w:rPr>
        <w:rFonts w:ascii="Wingdings" w:hAnsi="Wingdings" w:hint="default"/>
        <w:sz w:val="20"/>
      </w:rPr>
    </w:lvl>
    <w:lvl w:ilvl="8" w:tplc="951AAD0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D279F"/>
    <w:multiLevelType w:val="hybridMultilevel"/>
    <w:tmpl w:val="62AE03DE"/>
    <w:lvl w:ilvl="0" w:tplc="AB80D4FE">
      <w:start w:val="1"/>
      <w:numFmt w:val="decimal"/>
      <w:lvlText w:val="%1."/>
      <w:lvlJc w:val="left"/>
      <w:pPr>
        <w:ind w:left="720" w:hanging="360"/>
      </w:pPr>
    </w:lvl>
    <w:lvl w:ilvl="1" w:tplc="D2A47120">
      <w:start w:val="1"/>
      <w:numFmt w:val="decimal"/>
      <w:lvlText w:val="%2."/>
      <w:lvlJc w:val="left"/>
      <w:pPr>
        <w:ind w:left="1440" w:hanging="1080"/>
      </w:pPr>
    </w:lvl>
    <w:lvl w:ilvl="2" w:tplc="57A27560">
      <w:start w:val="1"/>
      <w:numFmt w:val="decimal"/>
      <w:lvlText w:val="%3."/>
      <w:lvlJc w:val="left"/>
      <w:pPr>
        <w:ind w:left="2160" w:hanging="1980"/>
      </w:pPr>
    </w:lvl>
    <w:lvl w:ilvl="3" w:tplc="42180C96">
      <w:start w:val="1"/>
      <w:numFmt w:val="decimal"/>
      <w:lvlText w:val="%4."/>
      <w:lvlJc w:val="left"/>
      <w:pPr>
        <w:ind w:left="2880" w:hanging="2520"/>
      </w:pPr>
    </w:lvl>
    <w:lvl w:ilvl="4" w:tplc="4DFC5146">
      <w:start w:val="1"/>
      <w:numFmt w:val="decimal"/>
      <w:lvlText w:val="%5."/>
      <w:lvlJc w:val="left"/>
      <w:pPr>
        <w:ind w:left="3600" w:hanging="3240"/>
      </w:pPr>
    </w:lvl>
    <w:lvl w:ilvl="5" w:tplc="3F7A9DC0">
      <w:start w:val="1"/>
      <w:numFmt w:val="decimal"/>
      <w:lvlText w:val="%6."/>
      <w:lvlJc w:val="left"/>
      <w:pPr>
        <w:ind w:left="4320" w:hanging="4140"/>
      </w:pPr>
    </w:lvl>
    <w:lvl w:ilvl="6" w:tplc="45288B16">
      <w:start w:val="1"/>
      <w:numFmt w:val="decimal"/>
      <w:lvlText w:val="%7."/>
      <w:lvlJc w:val="left"/>
      <w:pPr>
        <w:ind w:left="5040" w:hanging="4680"/>
      </w:pPr>
    </w:lvl>
    <w:lvl w:ilvl="7" w:tplc="6B30804A">
      <w:start w:val="1"/>
      <w:numFmt w:val="decimal"/>
      <w:lvlText w:val="%8."/>
      <w:lvlJc w:val="left"/>
      <w:pPr>
        <w:ind w:left="5760" w:hanging="5400"/>
      </w:pPr>
    </w:lvl>
    <w:lvl w:ilvl="8" w:tplc="1D54856A">
      <w:start w:val="1"/>
      <w:numFmt w:val="decimal"/>
      <w:lvlText w:val="%9."/>
      <w:lvlJc w:val="left"/>
      <w:pPr>
        <w:ind w:left="6480" w:hanging="6300"/>
      </w:pPr>
    </w:lvl>
  </w:abstractNum>
  <w:abstractNum w:abstractNumId="3" w15:restartNumberingAfterBreak="0">
    <w:nsid w:val="3AD1169C"/>
    <w:multiLevelType w:val="multilevel"/>
    <w:tmpl w:val="01D4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E92AE1"/>
    <w:multiLevelType w:val="multilevel"/>
    <w:tmpl w:val="7AF0A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02"/>
    <w:rsid w:val="00004443"/>
    <w:rsid w:val="001A1787"/>
    <w:rsid w:val="00262905"/>
    <w:rsid w:val="00313F3A"/>
    <w:rsid w:val="00350562"/>
    <w:rsid w:val="003D3F75"/>
    <w:rsid w:val="003E3C00"/>
    <w:rsid w:val="004774DA"/>
    <w:rsid w:val="004D68A1"/>
    <w:rsid w:val="004E13F6"/>
    <w:rsid w:val="00575D9D"/>
    <w:rsid w:val="005D7FCF"/>
    <w:rsid w:val="005F7710"/>
    <w:rsid w:val="006400D6"/>
    <w:rsid w:val="00684CCC"/>
    <w:rsid w:val="006C6BC1"/>
    <w:rsid w:val="00702E20"/>
    <w:rsid w:val="00742298"/>
    <w:rsid w:val="00776348"/>
    <w:rsid w:val="00866FCD"/>
    <w:rsid w:val="008A1397"/>
    <w:rsid w:val="008B77A6"/>
    <w:rsid w:val="0090263D"/>
    <w:rsid w:val="00A217C8"/>
    <w:rsid w:val="00A664DD"/>
    <w:rsid w:val="00A6666D"/>
    <w:rsid w:val="00A67A99"/>
    <w:rsid w:val="00A865E7"/>
    <w:rsid w:val="00B26FC2"/>
    <w:rsid w:val="00B819B2"/>
    <w:rsid w:val="00B837A4"/>
    <w:rsid w:val="00B86D22"/>
    <w:rsid w:val="00BA7042"/>
    <w:rsid w:val="00BB3E02"/>
    <w:rsid w:val="00C57B9F"/>
    <w:rsid w:val="00CA0069"/>
    <w:rsid w:val="00CB01EC"/>
    <w:rsid w:val="00CB7F2F"/>
    <w:rsid w:val="00D37C61"/>
    <w:rsid w:val="00E26B72"/>
    <w:rsid w:val="00E61FD5"/>
    <w:rsid w:val="00E77619"/>
    <w:rsid w:val="00F30DA7"/>
    <w:rsid w:val="00F57DF8"/>
    <w:rsid w:val="00FE058F"/>
    <w:rsid w:val="00FE0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CC951"/>
  <w15:docId w15:val="{44E4296A-37D4-40A7-88F2-1DA1549E7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46D86"/>
    <w:pPr>
      <w:widowControl w:val="0"/>
      <w:suppressAutoHyphens/>
      <w:autoSpaceDN w:val="0"/>
      <w:spacing w:line="242" w:lineRule="auto"/>
      <w:textAlignment w:val="baseline"/>
    </w:pPr>
    <w:rPr>
      <w:rFonts w:eastAsia="SimSun" w:hAnsi="Calibri" w:cs="F"/>
      <w:kern w:val="3"/>
    </w:rPr>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446D86"/>
    <w:pPr>
      <w:suppressAutoHyphens/>
      <w:autoSpaceDN w:val="0"/>
      <w:spacing w:line="242" w:lineRule="auto"/>
      <w:textAlignment w:val="baseline"/>
    </w:pPr>
    <w:rPr>
      <w:rFonts w:eastAsia="SimSun" w:hAnsi="Calibri" w:cs="F"/>
      <w:kern w:val="3"/>
    </w:rPr>
  </w:style>
  <w:style w:type="paragraph" w:styleId="Header">
    <w:name w:val="header"/>
    <w:basedOn w:val="Standard"/>
    <w:link w:val="HeaderChar"/>
    <w:uiPriority w:val="99"/>
    <w:rsid w:val="00446D86"/>
    <w:pPr>
      <w:suppressLineNumbers/>
      <w:tabs>
        <w:tab w:val="center" w:pos="4513"/>
        <w:tab w:val="right" w:pos="9026"/>
      </w:tabs>
      <w:spacing w:after="0" w:line="240" w:lineRule="auto"/>
    </w:pPr>
  </w:style>
  <w:style w:type="character" w:customStyle="1" w:styleId="HeaderChar">
    <w:name w:val="Header Char"/>
    <w:basedOn w:val="DefaultParagraphFont"/>
    <w:link w:val="Header"/>
    <w:uiPriority w:val="99"/>
    <w:rsid w:val="00446D86"/>
    <w:rPr>
      <w:rFonts w:ascii="Calibri" w:eastAsia="SimSun" w:hAnsi="Calibri" w:cs="F"/>
      <w:kern w:val="3"/>
    </w:rPr>
  </w:style>
  <w:style w:type="paragraph" w:styleId="Footer">
    <w:name w:val="footer"/>
    <w:basedOn w:val="Standard"/>
    <w:link w:val="FooterChar"/>
    <w:rsid w:val="00446D86"/>
    <w:pPr>
      <w:suppressLineNumbers/>
      <w:tabs>
        <w:tab w:val="center" w:pos="4513"/>
        <w:tab w:val="right" w:pos="9026"/>
      </w:tabs>
      <w:spacing w:after="0" w:line="240" w:lineRule="auto"/>
    </w:pPr>
  </w:style>
  <w:style w:type="character" w:customStyle="1" w:styleId="FooterChar">
    <w:name w:val="Footer Char"/>
    <w:basedOn w:val="DefaultParagraphFont"/>
    <w:link w:val="Footer"/>
    <w:rsid w:val="00446D86"/>
    <w:rPr>
      <w:rFonts w:ascii="Calibri" w:eastAsia="SimSun" w:hAnsi="Calibri" w:cs="F"/>
      <w:kern w:val="3"/>
    </w:rPr>
  </w:style>
  <w:style w:type="paragraph" w:styleId="NormalWeb">
    <w:name w:val="Normal (Web)"/>
    <w:basedOn w:val="Normal"/>
    <w:uiPriority w:val="99"/>
    <w:unhideWhenUsed/>
    <w:rsid w:val="00685A91"/>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685A91"/>
    <w:rPr>
      <w:color w:val="0000FF"/>
      <w:u w:val="single"/>
    </w:rPr>
  </w:style>
  <w:style w:type="character" w:styleId="Strong">
    <w:name w:val="Strong"/>
    <w:basedOn w:val="DefaultParagraphFont"/>
    <w:uiPriority w:val="22"/>
    <w:qFormat/>
    <w:rsid w:val="00685A91"/>
    <w:rPr>
      <w:b/>
      <w:bCs/>
    </w:rPr>
  </w:style>
  <w:style w:type="paragraph" w:styleId="NoSpacing">
    <w:name w:val="No Spacing"/>
    <w:uiPriority w:val="1"/>
    <w:qFormat/>
    <w:rsid w:val="008D2AA2"/>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4403">
      <w:bodyDiv w:val="1"/>
      <w:marLeft w:val="0"/>
      <w:marRight w:val="0"/>
      <w:marTop w:val="0"/>
      <w:marBottom w:val="0"/>
      <w:divBdr>
        <w:top w:val="none" w:sz="0" w:space="0" w:color="auto"/>
        <w:left w:val="none" w:sz="0" w:space="0" w:color="auto"/>
        <w:bottom w:val="none" w:sz="0" w:space="0" w:color="auto"/>
        <w:right w:val="none" w:sz="0" w:space="0" w:color="auto"/>
      </w:divBdr>
    </w:div>
    <w:div w:id="27611901">
      <w:bodyDiv w:val="1"/>
      <w:marLeft w:val="0"/>
      <w:marRight w:val="0"/>
      <w:marTop w:val="0"/>
      <w:marBottom w:val="0"/>
      <w:divBdr>
        <w:top w:val="none" w:sz="0" w:space="0" w:color="auto"/>
        <w:left w:val="none" w:sz="0" w:space="0" w:color="auto"/>
        <w:bottom w:val="none" w:sz="0" w:space="0" w:color="auto"/>
        <w:right w:val="none" w:sz="0" w:space="0" w:color="auto"/>
      </w:divBdr>
    </w:div>
    <w:div w:id="55515227">
      <w:bodyDiv w:val="1"/>
      <w:marLeft w:val="0"/>
      <w:marRight w:val="0"/>
      <w:marTop w:val="0"/>
      <w:marBottom w:val="0"/>
      <w:divBdr>
        <w:top w:val="none" w:sz="0" w:space="0" w:color="auto"/>
        <w:left w:val="none" w:sz="0" w:space="0" w:color="auto"/>
        <w:bottom w:val="none" w:sz="0" w:space="0" w:color="auto"/>
        <w:right w:val="none" w:sz="0" w:space="0" w:color="auto"/>
      </w:divBdr>
    </w:div>
    <w:div w:id="150679950">
      <w:bodyDiv w:val="1"/>
      <w:marLeft w:val="0"/>
      <w:marRight w:val="0"/>
      <w:marTop w:val="0"/>
      <w:marBottom w:val="0"/>
      <w:divBdr>
        <w:top w:val="none" w:sz="0" w:space="0" w:color="auto"/>
        <w:left w:val="none" w:sz="0" w:space="0" w:color="auto"/>
        <w:bottom w:val="none" w:sz="0" w:space="0" w:color="auto"/>
        <w:right w:val="none" w:sz="0" w:space="0" w:color="auto"/>
      </w:divBdr>
      <w:divsChild>
        <w:div w:id="137264744">
          <w:marLeft w:val="547"/>
          <w:marRight w:val="0"/>
          <w:marTop w:val="200"/>
          <w:marBottom w:val="0"/>
          <w:divBdr>
            <w:top w:val="none" w:sz="0" w:space="0" w:color="auto"/>
            <w:left w:val="none" w:sz="0" w:space="0" w:color="auto"/>
            <w:bottom w:val="none" w:sz="0" w:space="0" w:color="auto"/>
            <w:right w:val="none" w:sz="0" w:space="0" w:color="auto"/>
          </w:divBdr>
        </w:div>
      </w:divsChild>
    </w:div>
    <w:div w:id="155920439">
      <w:bodyDiv w:val="1"/>
      <w:marLeft w:val="0"/>
      <w:marRight w:val="0"/>
      <w:marTop w:val="0"/>
      <w:marBottom w:val="0"/>
      <w:divBdr>
        <w:top w:val="none" w:sz="0" w:space="0" w:color="auto"/>
        <w:left w:val="none" w:sz="0" w:space="0" w:color="auto"/>
        <w:bottom w:val="none" w:sz="0" w:space="0" w:color="auto"/>
        <w:right w:val="none" w:sz="0" w:space="0" w:color="auto"/>
      </w:divBdr>
    </w:div>
    <w:div w:id="244073110">
      <w:bodyDiv w:val="1"/>
      <w:marLeft w:val="0"/>
      <w:marRight w:val="0"/>
      <w:marTop w:val="0"/>
      <w:marBottom w:val="0"/>
      <w:divBdr>
        <w:top w:val="none" w:sz="0" w:space="0" w:color="auto"/>
        <w:left w:val="none" w:sz="0" w:space="0" w:color="auto"/>
        <w:bottom w:val="none" w:sz="0" w:space="0" w:color="auto"/>
        <w:right w:val="none" w:sz="0" w:space="0" w:color="auto"/>
      </w:divBdr>
      <w:divsChild>
        <w:div w:id="270087579">
          <w:marLeft w:val="547"/>
          <w:marRight w:val="0"/>
          <w:marTop w:val="200"/>
          <w:marBottom w:val="0"/>
          <w:divBdr>
            <w:top w:val="none" w:sz="0" w:space="0" w:color="auto"/>
            <w:left w:val="none" w:sz="0" w:space="0" w:color="auto"/>
            <w:bottom w:val="none" w:sz="0" w:space="0" w:color="auto"/>
            <w:right w:val="none" w:sz="0" w:space="0" w:color="auto"/>
          </w:divBdr>
        </w:div>
        <w:div w:id="666203434">
          <w:marLeft w:val="547"/>
          <w:marRight w:val="0"/>
          <w:marTop w:val="200"/>
          <w:marBottom w:val="0"/>
          <w:divBdr>
            <w:top w:val="none" w:sz="0" w:space="0" w:color="auto"/>
            <w:left w:val="none" w:sz="0" w:space="0" w:color="auto"/>
            <w:bottom w:val="none" w:sz="0" w:space="0" w:color="auto"/>
            <w:right w:val="none" w:sz="0" w:space="0" w:color="auto"/>
          </w:divBdr>
        </w:div>
        <w:div w:id="1074862136">
          <w:marLeft w:val="547"/>
          <w:marRight w:val="0"/>
          <w:marTop w:val="200"/>
          <w:marBottom w:val="0"/>
          <w:divBdr>
            <w:top w:val="none" w:sz="0" w:space="0" w:color="auto"/>
            <w:left w:val="none" w:sz="0" w:space="0" w:color="auto"/>
            <w:bottom w:val="none" w:sz="0" w:space="0" w:color="auto"/>
            <w:right w:val="none" w:sz="0" w:space="0" w:color="auto"/>
          </w:divBdr>
        </w:div>
        <w:div w:id="1171750147">
          <w:marLeft w:val="547"/>
          <w:marRight w:val="0"/>
          <w:marTop w:val="200"/>
          <w:marBottom w:val="0"/>
          <w:divBdr>
            <w:top w:val="none" w:sz="0" w:space="0" w:color="auto"/>
            <w:left w:val="none" w:sz="0" w:space="0" w:color="auto"/>
            <w:bottom w:val="none" w:sz="0" w:space="0" w:color="auto"/>
            <w:right w:val="none" w:sz="0" w:space="0" w:color="auto"/>
          </w:divBdr>
        </w:div>
        <w:div w:id="1930306149">
          <w:marLeft w:val="547"/>
          <w:marRight w:val="0"/>
          <w:marTop w:val="200"/>
          <w:marBottom w:val="0"/>
          <w:divBdr>
            <w:top w:val="none" w:sz="0" w:space="0" w:color="auto"/>
            <w:left w:val="none" w:sz="0" w:space="0" w:color="auto"/>
            <w:bottom w:val="none" w:sz="0" w:space="0" w:color="auto"/>
            <w:right w:val="none" w:sz="0" w:space="0" w:color="auto"/>
          </w:divBdr>
        </w:div>
        <w:div w:id="2006275382">
          <w:marLeft w:val="547"/>
          <w:marRight w:val="0"/>
          <w:marTop w:val="200"/>
          <w:marBottom w:val="0"/>
          <w:divBdr>
            <w:top w:val="none" w:sz="0" w:space="0" w:color="auto"/>
            <w:left w:val="none" w:sz="0" w:space="0" w:color="auto"/>
            <w:bottom w:val="none" w:sz="0" w:space="0" w:color="auto"/>
            <w:right w:val="none" w:sz="0" w:space="0" w:color="auto"/>
          </w:divBdr>
        </w:div>
      </w:divsChild>
    </w:div>
    <w:div w:id="298069768">
      <w:bodyDiv w:val="1"/>
      <w:marLeft w:val="0"/>
      <w:marRight w:val="0"/>
      <w:marTop w:val="0"/>
      <w:marBottom w:val="0"/>
      <w:divBdr>
        <w:top w:val="none" w:sz="0" w:space="0" w:color="auto"/>
        <w:left w:val="none" w:sz="0" w:space="0" w:color="auto"/>
        <w:bottom w:val="none" w:sz="0" w:space="0" w:color="auto"/>
        <w:right w:val="none" w:sz="0" w:space="0" w:color="auto"/>
      </w:divBdr>
    </w:div>
    <w:div w:id="365910641">
      <w:bodyDiv w:val="1"/>
      <w:marLeft w:val="0"/>
      <w:marRight w:val="0"/>
      <w:marTop w:val="0"/>
      <w:marBottom w:val="0"/>
      <w:divBdr>
        <w:top w:val="none" w:sz="0" w:space="0" w:color="auto"/>
        <w:left w:val="none" w:sz="0" w:space="0" w:color="auto"/>
        <w:bottom w:val="none" w:sz="0" w:space="0" w:color="auto"/>
        <w:right w:val="none" w:sz="0" w:space="0" w:color="auto"/>
      </w:divBdr>
    </w:div>
    <w:div w:id="398132376">
      <w:bodyDiv w:val="1"/>
      <w:marLeft w:val="0"/>
      <w:marRight w:val="0"/>
      <w:marTop w:val="0"/>
      <w:marBottom w:val="0"/>
      <w:divBdr>
        <w:top w:val="none" w:sz="0" w:space="0" w:color="auto"/>
        <w:left w:val="none" w:sz="0" w:space="0" w:color="auto"/>
        <w:bottom w:val="none" w:sz="0" w:space="0" w:color="auto"/>
        <w:right w:val="none" w:sz="0" w:space="0" w:color="auto"/>
      </w:divBdr>
    </w:div>
    <w:div w:id="687831854">
      <w:bodyDiv w:val="1"/>
      <w:marLeft w:val="0"/>
      <w:marRight w:val="0"/>
      <w:marTop w:val="0"/>
      <w:marBottom w:val="0"/>
      <w:divBdr>
        <w:top w:val="none" w:sz="0" w:space="0" w:color="auto"/>
        <w:left w:val="none" w:sz="0" w:space="0" w:color="auto"/>
        <w:bottom w:val="none" w:sz="0" w:space="0" w:color="auto"/>
        <w:right w:val="none" w:sz="0" w:space="0" w:color="auto"/>
      </w:divBdr>
    </w:div>
    <w:div w:id="737871746">
      <w:bodyDiv w:val="1"/>
      <w:marLeft w:val="0"/>
      <w:marRight w:val="0"/>
      <w:marTop w:val="0"/>
      <w:marBottom w:val="0"/>
      <w:divBdr>
        <w:top w:val="none" w:sz="0" w:space="0" w:color="auto"/>
        <w:left w:val="none" w:sz="0" w:space="0" w:color="auto"/>
        <w:bottom w:val="none" w:sz="0" w:space="0" w:color="auto"/>
        <w:right w:val="none" w:sz="0" w:space="0" w:color="auto"/>
      </w:divBdr>
    </w:div>
    <w:div w:id="874848737">
      <w:bodyDiv w:val="1"/>
      <w:marLeft w:val="0"/>
      <w:marRight w:val="0"/>
      <w:marTop w:val="0"/>
      <w:marBottom w:val="0"/>
      <w:divBdr>
        <w:top w:val="none" w:sz="0" w:space="0" w:color="auto"/>
        <w:left w:val="none" w:sz="0" w:space="0" w:color="auto"/>
        <w:bottom w:val="none" w:sz="0" w:space="0" w:color="auto"/>
        <w:right w:val="none" w:sz="0" w:space="0" w:color="auto"/>
      </w:divBdr>
    </w:div>
    <w:div w:id="963735747">
      <w:bodyDiv w:val="1"/>
      <w:marLeft w:val="0"/>
      <w:marRight w:val="0"/>
      <w:marTop w:val="0"/>
      <w:marBottom w:val="0"/>
      <w:divBdr>
        <w:top w:val="none" w:sz="0" w:space="0" w:color="auto"/>
        <w:left w:val="none" w:sz="0" w:space="0" w:color="auto"/>
        <w:bottom w:val="none" w:sz="0" w:space="0" w:color="auto"/>
        <w:right w:val="none" w:sz="0" w:space="0" w:color="auto"/>
      </w:divBdr>
      <w:divsChild>
        <w:div w:id="97407720">
          <w:marLeft w:val="547"/>
          <w:marRight w:val="0"/>
          <w:marTop w:val="200"/>
          <w:marBottom w:val="0"/>
          <w:divBdr>
            <w:top w:val="none" w:sz="0" w:space="0" w:color="auto"/>
            <w:left w:val="none" w:sz="0" w:space="0" w:color="auto"/>
            <w:bottom w:val="none" w:sz="0" w:space="0" w:color="auto"/>
            <w:right w:val="none" w:sz="0" w:space="0" w:color="auto"/>
          </w:divBdr>
        </w:div>
      </w:divsChild>
    </w:div>
    <w:div w:id="992832123">
      <w:bodyDiv w:val="1"/>
      <w:marLeft w:val="0"/>
      <w:marRight w:val="0"/>
      <w:marTop w:val="0"/>
      <w:marBottom w:val="0"/>
      <w:divBdr>
        <w:top w:val="none" w:sz="0" w:space="0" w:color="auto"/>
        <w:left w:val="none" w:sz="0" w:space="0" w:color="auto"/>
        <w:bottom w:val="none" w:sz="0" w:space="0" w:color="auto"/>
        <w:right w:val="none" w:sz="0" w:space="0" w:color="auto"/>
      </w:divBdr>
    </w:div>
    <w:div w:id="1249578535">
      <w:bodyDiv w:val="1"/>
      <w:marLeft w:val="0"/>
      <w:marRight w:val="0"/>
      <w:marTop w:val="0"/>
      <w:marBottom w:val="0"/>
      <w:divBdr>
        <w:top w:val="none" w:sz="0" w:space="0" w:color="auto"/>
        <w:left w:val="none" w:sz="0" w:space="0" w:color="auto"/>
        <w:bottom w:val="none" w:sz="0" w:space="0" w:color="auto"/>
        <w:right w:val="none" w:sz="0" w:space="0" w:color="auto"/>
      </w:divBdr>
    </w:div>
    <w:div w:id="1278755122">
      <w:bodyDiv w:val="1"/>
      <w:marLeft w:val="0"/>
      <w:marRight w:val="0"/>
      <w:marTop w:val="0"/>
      <w:marBottom w:val="0"/>
      <w:divBdr>
        <w:top w:val="none" w:sz="0" w:space="0" w:color="auto"/>
        <w:left w:val="none" w:sz="0" w:space="0" w:color="auto"/>
        <w:bottom w:val="none" w:sz="0" w:space="0" w:color="auto"/>
        <w:right w:val="none" w:sz="0" w:space="0" w:color="auto"/>
      </w:divBdr>
    </w:div>
    <w:div w:id="1390180707">
      <w:bodyDiv w:val="1"/>
      <w:marLeft w:val="0"/>
      <w:marRight w:val="0"/>
      <w:marTop w:val="0"/>
      <w:marBottom w:val="0"/>
      <w:divBdr>
        <w:top w:val="none" w:sz="0" w:space="0" w:color="auto"/>
        <w:left w:val="none" w:sz="0" w:space="0" w:color="auto"/>
        <w:bottom w:val="none" w:sz="0" w:space="0" w:color="auto"/>
        <w:right w:val="none" w:sz="0" w:space="0" w:color="auto"/>
      </w:divBdr>
    </w:div>
    <w:div w:id="1527671707">
      <w:bodyDiv w:val="1"/>
      <w:marLeft w:val="0"/>
      <w:marRight w:val="0"/>
      <w:marTop w:val="0"/>
      <w:marBottom w:val="0"/>
      <w:divBdr>
        <w:top w:val="none" w:sz="0" w:space="0" w:color="auto"/>
        <w:left w:val="none" w:sz="0" w:space="0" w:color="auto"/>
        <w:bottom w:val="none" w:sz="0" w:space="0" w:color="auto"/>
        <w:right w:val="none" w:sz="0" w:space="0" w:color="auto"/>
      </w:divBdr>
    </w:div>
    <w:div w:id="1569342465">
      <w:bodyDiv w:val="1"/>
      <w:marLeft w:val="0"/>
      <w:marRight w:val="0"/>
      <w:marTop w:val="0"/>
      <w:marBottom w:val="0"/>
      <w:divBdr>
        <w:top w:val="none" w:sz="0" w:space="0" w:color="auto"/>
        <w:left w:val="none" w:sz="0" w:space="0" w:color="auto"/>
        <w:bottom w:val="none" w:sz="0" w:space="0" w:color="auto"/>
        <w:right w:val="none" w:sz="0" w:space="0" w:color="auto"/>
      </w:divBdr>
    </w:div>
    <w:div w:id="1626349611">
      <w:bodyDiv w:val="1"/>
      <w:marLeft w:val="0"/>
      <w:marRight w:val="0"/>
      <w:marTop w:val="0"/>
      <w:marBottom w:val="0"/>
      <w:divBdr>
        <w:top w:val="none" w:sz="0" w:space="0" w:color="auto"/>
        <w:left w:val="none" w:sz="0" w:space="0" w:color="auto"/>
        <w:bottom w:val="none" w:sz="0" w:space="0" w:color="auto"/>
        <w:right w:val="none" w:sz="0" w:space="0" w:color="auto"/>
      </w:divBdr>
    </w:div>
    <w:div w:id="1708214323">
      <w:bodyDiv w:val="1"/>
      <w:marLeft w:val="0"/>
      <w:marRight w:val="0"/>
      <w:marTop w:val="0"/>
      <w:marBottom w:val="0"/>
      <w:divBdr>
        <w:top w:val="none" w:sz="0" w:space="0" w:color="auto"/>
        <w:left w:val="none" w:sz="0" w:space="0" w:color="auto"/>
        <w:bottom w:val="none" w:sz="0" w:space="0" w:color="auto"/>
        <w:right w:val="none" w:sz="0" w:space="0" w:color="auto"/>
      </w:divBdr>
    </w:div>
    <w:div w:id="1749186300">
      <w:bodyDiv w:val="1"/>
      <w:marLeft w:val="0"/>
      <w:marRight w:val="0"/>
      <w:marTop w:val="0"/>
      <w:marBottom w:val="0"/>
      <w:divBdr>
        <w:top w:val="none" w:sz="0" w:space="0" w:color="auto"/>
        <w:left w:val="none" w:sz="0" w:space="0" w:color="auto"/>
        <w:bottom w:val="none" w:sz="0" w:space="0" w:color="auto"/>
        <w:right w:val="none" w:sz="0" w:space="0" w:color="auto"/>
      </w:divBdr>
      <w:divsChild>
        <w:div w:id="2139834953">
          <w:marLeft w:val="-405"/>
          <w:marRight w:val="0"/>
          <w:marTop w:val="0"/>
          <w:marBottom w:val="0"/>
          <w:divBdr>
            <w:top w:val="none" w:sz="0" w:space="0" w:color="auto"/>
            <w:left w:val="none" w:sz="0" w:space="0" w:color="auto"/>
            <w:bottom w:val="none" w:sz="0" w:space="0" w:color="auto"/>
            <w:right w:val="none" w:sz="0" w:space="0" w:color="auto"/>
          </w:divBdr>
          <w:divsChild>
            <w:div w:id="19711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86293">
      <w:bodyDiv w:val="1"/>
      <w:marLeft w:val="0"/>
      <w:marRight w:val="0"/>
      <w:marTop w:val="0"/>
      <w:marBottom w:val="0"/>
      <w:divBdr>
        <w:top w:val="none" w:sz="0" w:space="0" w:color="auto"/>
        <w:left w:val="none" w:sz="0" w:space="0" w:color="auto"/>
        <w:bottom w:val="none" w:sz="0" w:space="0" w:color="auto"/>
        <w:right w:val="none" w:sz="0" w:space="0" w:color="auto"/>
      </w:divBdr>
    </w:div>
    <w:div w:id="2066447463">
      <w:bodyDiv w:val="1"/>
      <w:marLeft w:val="0"/>
      <w:marRight w:val="0"/>
      <w:marTop w:val="0"/>
      <w:marBottom w:val="0"/>
      <w:divBdr>
        <w:top w:val="none" w:sz="0" w:space="0" w:color="auto"/>
        <w:left w:val="none" w:sz="0" w:space="0" w:color="auto"/>
        <w:bottom w:val="none" w:sz="0" w:space="0" w:color="auto"/>
        <w:right w:val="none" w:sz="0" w:space="0" w:color="auto"/>
      </w:divBdr>
      <w:divsChild>
        <w:div w:id="276915440">
          <w:marLeft w:val="0"/>
          <w:marRight w:val="0"/>
          <w:marTop w:val="0"/>
          <w:marBottom w:val="750"/>
          <w:divBdr>
            <w:top w:val="none" w:sz="0" w:space="0" w:color="auto"/>
            <w:left w:val="none" w:sz="0" w:space="0" w:color="auto"/>
            <w:bottom w:val="none" w:sz="0" w:space="0" w:color="auto"/>
            <w:right w:val="none" w:sz="0" w:space="0" w:color="auto"/>
          </w:divBdr>
        </w:div>
      </w:divsChild>
    </w:div>
    <w:div w:id="2074619911">
      <w:bodyDiv w:val="1"/>
      <w:marLeft w:val="0"/>
      <w:marRight w:val="0"/>
      <w:marTop w:val="0"/>
      <w:marBottom w:val="0"/>
      <w:divBdr>
        <w:top w:val="none" w:sz="0" w:space="0" w:color="auto"/>
        <w:left w:val="none" w:sz="0" w:space="0" w:color="auto"/>
        <w:bottom w:val="none" w:sz="0" w:space="0" w:color="auto"/>
        <w:right w:val="none" w:sz="0" w:space="0" w:color="auto"/>
      </w:divBdr>
      <w:divsChild>
        <w:div w:id="46104758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fdslive.oup.com/www.oup.com/oxed/primary/close_gap_wales_numicon.pdf?region=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resources/improvementareas/curriculum/programmes-of-study/?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ependent.ie/regionals/sligochampion/opinion/the-importance-of-literacy-and-numeracy-in-early-childhood-28843785.html" TargetMode="External"/><Relationship Id="rId5" Type="http://schemas.openxmlformats.org/officeDocument/2006/relationships/webSettings" Target="webSettings.xml"/><Relationship Id="rId15" Type="http://schemas.openxmlformats.org/officeDocument/2006/relationships/hyperlink" Target="http://learningwales.gov.uk/resources/nlnf" TargetMode="External"/><Relationship Id="rId10" Type="http://schemas.openxmlformats.org/officeDocument/2006/relationships/hyperlink" Target="http://learning.gov.wales/docs/learningwales/publications/130424-framework-for-childrens-learning-en.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Estyn:%20Numeracy%20in%20key%20stages%202%20and%203:%20a%20baseline%20study.(2013).%20[%20Online].%20.Available%20at:%20http://learning.gov.wales" TargetMode="External"/><Relationship Id="rId14" Type="http://schemas.openxmlformats.org/officeDocument/2006/relationships/hyperlink" Target="http://www.primaryreview.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0DE8A-C0DB-43C0-84AF-4CC1051F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4014</Words>
  <Characters>22882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Morgan</dc:creator>
  <cp:keywords/>
  <dc:description/>
  <cp:lastModifiedBy>anna morgan</cp:lastModifiedBy>
  <cp:revision>2</cp:revision>
  <cp:lastPrinted>2018-12-17T11:46:00Z</cp:lastPrinted>
  <dcterms:created xsi:type="dcterms:W3CDTF">2019-01-12T15:16:00Z</dcterms:created>
  <dcterms:modified xsi:type="dcterms:W3CDTF">2019-01-12T15:16:00Z</dcterms:modified>
</cp:coreProperties>
</file>