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A61FE" w14:textId="7F21C1DC" w:rsidR="009927A1" w:rsidRPr="00F82C7D" w:rsidRDefault="009B1749">
      <w:pPr>
        <w:rPr>
          <w:rFonts w:cstheme="minorHAnsi"/>
          <w:b/>
          <w:bCs/>
          <w:sz w:val="24"/>
          <w:szCs w:val="24"/>
        </w:rPr>
      </w:pPr>
      <w:r w:rsidRPr="00F82C7D">
        <w:rPr>
          <w:rFonts w:cstheme="minorHAnsi"/>
          <w:b/>
          <w:bCs/>
          <w:sz w:val="24"/>
          <w:szCs w:val="24"/>
        </w:rPr>
        <w:t xml:space="preserve">Literature Review </w:t>
      </w:r>
    </w:p>
    <w:p w14:paraId="4D17193F" w14:textId="711ED0F9" w:rsidR="009B1749" w:rsidRPr="00F82C7D" w:rsidRDefault="009B1749" w:rsidP="00C96F13">
      <w:pPr>
        <w:pStyle w:val="NoSpacing"/>
        <w:rPr>
          <w:rFonts w:cstheme="minorHAnsi"/>
          <w:sz w:val="24"/>
          <w:szCs w:val="24"/>
        </w:rPr>
      </w:pPr>
      <w:r w:rsidRPr="00F82C7D">
        <w:rPr>
          <w:rFonts w:cstheme="minorHAnsi"/>
          <w:sz w:val="24"/>
          <w:szCs w:val="24"/>
        </w:rPr>
        <w:t xml:space="preserve">2.1 Introduction </w:t>
      </w:r>
    </w:p>
    <w:p w14:paraId="6D5BC2D0" w14:textId="51003AAB" w:rsidR="00C96F13" w:rsidRPr="00F82C7D" w:rsidRDefault="00C96F13" w:rsidP="00C96F13">
      <w:pPr>
        <w:pStyle w:val="NoSpacing"/>
        <w:rPr>
          <w:rFonts w:cstheme="minorHAnsi"/>
          <w:sz w:val="24"/>
          <w:szCs w:val="24"/>
        </w:rPr>
      </w:pPr>
      <w:r w:rsidRPr="00F82C7D">
        <w:rPr>
          <w:rFonts w:cstheme="minorHAnsi"/>
          <w:sz w:val="24"/>
          <w:szCs w:val="24"/>
        </w:rPr>
        <w:t xml:space="preserve">2.2 </w:t>
      </w:r>
      <w:r w:rsidR="009B1749" w:rsidRPr="00F82C7D">
        <w:rPr>
          <w:rFonts w:cstheme="minorHAnsi"/>
          <w:sz w:val="24"/>
          <w:szCs w:val="24"/>
        </w:rPr>
        <w:t xml:space="preserve">The </w:t>
      </w:r>
      <w:r w:rsidRPr="00F82C7D">
        <w:rPr>
          <w:rFonts w:cstheme="minorHAnsi"/>
          <w:sz w:val="24"/>
          <w:szCs w:val="24"/>
        </w:rPr>
        <w:t xml:space="preserve">varying </w:t>
      </w:r>
      <w:r w:rsidR="009B1749" w:rsidRPr="00F82C7D">
        <w:rPr>
          <w:rFonts w:cstheme="minorHAnsi"/>
          <w:sz w:val="24"/>
          <w:szCs w:val="24"/>
        </w:rPr>
        <w:t xml:space="preserve">reporting rates of sexual offences </w:t>
      </w:r>
      <w:r w:rsidRPr="00F82C7D">
        <w:rPr>
          <w:rFonts w:cstheme="minorHAnsi"/>
          <w:sz w:val="24"/>
          <w:szCs w:val="24"/>
        </w:rPr>
        <w:t xml:space="preserve">across England and Wales </w:t>
      </w:r>
    </w:p>
    <w:p w14:paraId="38540DA2" w14:textId="0A858F10" w:rsidR="00C96F13" w:rsidRPr="00F82C7D" w:rsidRDefault="00C96F13" w:rsidP="00C96F13">
      <w:pPr>
        <w:pStyle w:val="NoSpacing"/>
        <w:rPr>
          <w:rFonts w:cstheme="minorHAnsi"/>
          <w:sz w:val="24"/>
          <w:szCs w:val="24"/>
        </w:rPr>
      </w:pPr>
      <w:r w:rsidRPr="00F82C7D">
        <w:rPr>
          <w:rFonts w:cstheme="minorHAnsi"/>
          <w:sz w:val="24"/>
          <w:szCs w:val="24"/>
        </w:rPr>
        <w:t>2.</w:t>
      </w:r>
      <w:r w:rsidR="00F8002C" w:rsidRPr="00F82C7D">
        <w:rPr>
          <w:rFonts w:cstheme="minorHAnsi"/>
          <w:sz w:val="24"/>
          <w:szCs w:val="24"/>
        </w:rPr>
        <w:t>3</w:t>
      </w:r>
      <w:r w:rsidRPr="00F82C7D">
        <w:rPr>
          <w:rFonts w:cstheme="minorHAnsi"/>
          <w:sz w:val="24"/>
          <w:szCs w:val="24"/>
        </w:rPr>
        <w:t xml:space="preserve"> Victim reasons not to report </w:t>
      </w:r>
      <w:r w:rsidR="00112A6A" w:rsidRPr="00F82C7D">
        <w:rPr>
          <w:rFonts w:cstheme="minorHAnsi"/>
          <w:sz w:val="24"/>
          <w:szCs w:val="24"/>
        </w:rPr>
        <w:t xml:space="preserve">sexual offences to Police </w:t>
      </w:r>
    </w:p>
    <w:p w14:paraId="710F90E1" w14:textId="7E7D4E1B" w:rsidR="00C96F13" w:rsidRPr="00F82C7D" w:rsidRDefault="00C96F13" w:rsidP="00C96F13">
      <w:pPr>
        <w:pStyle w:val="NoSpacing"/>
        <w:rPr>
          <w:rFonts w:cstheme="minorHAnsi"/>
          <w:sz w:val="24"/>
          <w:szCs w:val="24"/>
        </w:rPr>
      </w:pPr>
      <w:r w:rsidRPr="00F82C7D">
        <w:rPr>
          <w:rFonts w:cstheme="minorHAnsi"/>
          <w:sz w:val="24"/>
          <w:szCs w:val="24"/>
        </w:rPr>
        <w:tab/>
        <w:t>2.</w:t>
      </w:r>
      <w:r w:rsidR="00F30520" w:rsidRPr="00F82C7D">
        <w:rPr>
          <w:rFonts w:cstheme="minorHAnsi"/>
          <w:sz w:val="24"/>
          <w:szCs w:val="24"/>
        </w:rPr>
        <w:t>3</w:t>
      </w:r>
      <w:r w:rsidRPr="00F82C7D">
        <w:rPr>
          <w:rFonts w:cstheme="minorHAnsi"/>
          <w:sz w:val="24"/>
          <w:szCs w:val="24"/>
        </w:rPr>
        <w:t xml:space="preserve">.1 Victim </w:t>
      </w:r>
      <w:r w:rsidR="00DA16F8" w:rsidRPr="00F82C7D">
        <w:rPr>
          <w:rFonts w:cstheme="minorHAnsi"/>
          <w:sz w:val="24"/>
          <w:szCs w:val="24"/>
        </w:rPr>
        <w:t>P</w:t>
      </w:r>
      <w:r w:rsidRPr="00F82C7D">
        <w:rPr>
          <w:rFonts w:cstheme="minorHAnsi"/>
          <w:sz w:val="24"/>
          <w:szCs w:val="24"/>
        </w:rPr>
        <w:t xml:space="preserve">recipitation </w:t>
      </w:r>
      <w:r w:rsidR="00DA16F8" w:rsidRPr="00F82C7D">
        <w:rPr>
          <w:rFonts w:cstheme="minorHAnsi"/>
          <w:sz w:val="24"/>
          <w:szCs w:val="24"/>
        </w:rPr>
        <w:t xml:space="preserve">Theory </w:t>
      </w:r>
    </w:p>
    <w:p w14:paraId="2C9A3D1B" w14:textId="1BF64D28" w:rsidR="000373B9" w:rsidRPr="00F82C7D" w:rsidRDefault="00C96F13" w:rsidP="00C96F13">
      <w:pPr>
        <w:pStyle w:val="NoSpacing"/>
        <w:rPr>
          <w:rFonts w:cstheme="minorHAnsi"/>
          <w:sz w:val="24"/>
          <w:szCs w:val="24"/>
        </w:rPr>
      </w:pPr>
      <w:r w:rsidRPr="00F82C7D">
        <w:rPr>
          <w:rFonts w:cstheme="minorHAnsi"/>
          <w:sz w:val="24"/>
          <w:szCs w:val="24"/>
        </w:rPr>
        <w:tab/>
        <w:t>2.</w:t>
      </w:r>
      <w:r w:rsidR="00F30520" w:rsidRPr="00F82C7D">
        <w:rPr>
          <w:rFonts w:cstheme="minorHAnsi"/>
          <w:sz w:val="24"/>
          <w:szCs w:val="24"/>
        </w:rPr>
        <w:t>3</w:t>
      </w:r>
      <w:r w:rsidRPr="00F82C7D">
        <w:rPr>
          <w:rFonts w:cstheme="minorHAnsi"/>
          <w:sz w:val="24"/>
          <w:szCs w:val="24"/>
        </w:rPr>
        <w:t>.</w:t>
      </w:r>
      <w:r w:rsidR="00F30520" w:rsidRPr="00F82C7D">
        <w:rPr>
          <w:rFonts w:cstheme="minorHAnsi"/>
          <w:sz w:val="24"/>
          <w:szCs w:val="24"/>
        </w:rPr>
        <w:t>2</w:t>
      </w:r>
      <w:r w:rsidRPr="00F82C7D">
        <w:rPr>
          <w:rFonts w:cstheme="minorHAnsi"/>
          <w:sz w:val="24"/>
          <w:szCs w:val="24"/>
        </w:rPr>
        <w:t xml:space="preserve"> The </w:t>
      </w:r>
      <w:r w:rsidR="00DA16F8" w:rsidRPr="00F82C7D">
        <w:rPr>
          <w:rFonts w:cstheme="minorHAnsi"/>
          <w:sz w:val="24"/>
          <w:szCs w:val="24"/>
        </w:rPr>
        <w:t xml:space="preserve">Lifestyle Theory </w:t>
      </w:r>
    </w:p>
    <w:p w14:paraId="345A9043" w14:textId="4BDCDED0" w:rsidR="00DA16F8" w:rsidRPr="00F82C7D" w:rsidRDefault="00DA16F8" w:rsidP="00C96F13">
      <w:pPr>
        <w:pStyle w:val="NoSpacing"/>
        <w:rPr>
          <w:rFonts w:cstheme="minorHAnsi"/>
          <w:sz w:val="24"/>
          <w:szCs w:val="24"/>
        </w:rPr>
      </w:pPr>
      <w:r w:rsidRPr="00F82C7D">
        <w:rPr>
          <w:rFonts w:cstheme="minorHAnsi"/>
          <w:sz w:val="24"/>
          <w:szCs w:val="24"/>
        </w:rPr>
        <w:tab/>
        <w:t xml:space="preserve">2.3.3 Deviant Place Theory </w:t>
      </w:r>
    </w:p>
    <w:p w14:paraId="03A09A19" w14:textId="2ECF826A" w:rsidR="000373B9" w:rsidRPr="00F82C7D" w:rsidRDefault="00DA16F8" w:rsidP="00DA16F8">
      <w:pPr>
        <w:pStyle w:val="NoSpacing"/>
        <w:ind w:firstLine="720"/>
        <w:rPr>
          <w:rFonts w:cstheme="minorHAnsi"/>
          <w:sz w:val="24"/>
          <w:szCs w:val="24"/>
        </w:rPr>
      </w:pPr>
      <w:r w:rsidRPr="00F82C7D">
        <w:rPr>
          <w:rFonts w:cstheme="minorHAnsi"/>
          <w:sz w:val="24"/>
          <w:szCs w:val="24"/>
        </w:rPr>
        <w:t xml:space="preserve">2.3.4 The lack of support available to victims of sexual offences </w:t>
      </w:r>
    </w:p>
    <w:p w14:paraId="755DCF20" w14:textId="27DE4296" w:rsidR="00F8002C" w:rsidRPr="00F82C7D" w:rsidRDefault="00F8002C" w:rsidP="00C96F13">
      <w:pPr>
        <w:pStyle w:val="NoSpacing"/>
        <w:rPr>
          <w:rFonts w:cstheme="minorHAnsi"/>
          <w:sz w:val="24"/>
          <w:szCs w:val="24"/>
        </w:rPr>
      </w:pPr>
      <w:r w:rsidRPr="00F82C7D">
        <w:rPr>
          <w:rFonts w:cstheme="minorHAnsi"/>
          <w:sz w:val="24"/>
          <w:szCs w:val="24"/>
        </w:rPr>
        <w:t>2.</w:t>
      </w:r>
      <w:r w:rsidR="00DA16F8" w:rsidRPr="00F82C7D">
        <w:rPr>
          <w:rFonts w:cstheme="minorHAnsi"/>
          <w:sz w:val="24"/>
          <w:szCs w:val="24"/>
        </w:rPr>
        <w:t>4</w:t>
      </w:r>
      <w:r w:rsidRPr="00F82C7D">
        <w:rPr>
          <w:rFonts w:cstheme="minorHAnsi"/>
          <w:sz w:val="24"/>
          <w:szCs w:val="24"/>
        </w:rPr>
        <w:t xml:space="preserve"> The attrition rates in sexual offence cases across England and Wales </w:t>
      </w:r>
    </w:p>
    <w:p w14:paraId="73468D7D" w14:textId="4A9391B3" w:rsidR="00C96F13" w:rsidRPr="00F82C7D" w:rsidRDefault="00C96F13" w:rsidP="00C96F13">
      <w:pPr>
        <w:pStyle w:val="NoSpacing"/>
        <w:rPr>
          <w:rFonts w:cstheme="minorHAnsi"/>
          <w:sz w:val="24"/>
          <w:szCs w:val="24"/>
        </w:rPr>
      </w:pPr>
      <w:r w:rsidRPr="00F82C7D">
        <w:rPr>
          <w:rFonts w:cstheme="minorHAnsi"/>
          <w:sz w:val="24"/>
          <w:szCs w:val="24"/>
        </w:rPr>
        <w:t>2.</w:t>
      </w:r>
      <w:r w:rsidR="00DA16F8" w:rsidRPr="00F82C7D">
        <w:rPr>
          <w:rFonts w:cstheme="minorHAnsi"/>
          <w:sz w:val="24"/>
          <w:szCs w:val="24"/>
        </w:rPr>
        <w:t xml:space="preserve">5 </w:t>
      </w:r>
      <w:r w:rsidR="00F8002C" w:rsidRPr="00F82C7D">
        <w:rPr>
          <w:rFonts w:cstheme="minorHAnsi"/>
          <w:sz w:val="24"/>
          <w:szCs w:val="24"/>
        </w:rPr>
        <w:t>C</w:t>
      </w:r>
      <w:r w:rsidRPr="00F82C7D">
        <w:rPr>
          <w:rFonts w:cstheme="minorHAnsi"/>
          <w:sz w:val="24"/>
          <w:szCs w:val="24"/>
        </w:rPr>
        <w:t xml:space="preserve">onclusion and areas for further research  </w:t>
      </w:r>
    </w:p>
    <w:p w14:paraId="6B4E2677" w14:textId="15BEB0E2" w:rsidR="00F8002C" w:rsidRPr="00F82C7D" w:rsidRDefault="00F8002C" w:rsidP="00C96F13">
      <w:pPr>
        <w:pStyle w:val="NoSpacing"/>
        <w:rPr>
          <w:rFonts w:cstheme="minorHAnsi"/>
          <w:sz w:val="24"/>
          <w:szCs w:val="24"/>
        </w:rPr>
      </w:pPr>
    </w:p>
    <w:p w14:paraId="4F948C97" w14:textId="10E2696E" w:rsidR="00F30520" w:rsidRPr="00F82C7D" w:rsidRDefault="00F30520" w:rsidP="00224F15">
      <w:pPr>
        <w:pStyle w:val="NoSpacing"/>
        <w:rPr>
          <w:rFonts w:cstheme="minorHAnsi"/>
          <w:sz w:val="24"/>
          <w:szCs w:val="24"/>
        </w:rPr>
      </w:pPr>
    </w:p>
    <w:p w14:paraId="58F35C01" w14:textId="228FB5E1" w:rsidR="00F30520" w:rsidRPr="00F82C7D" w:rsidRDefault="00F30520" w:rsidP="00224F15">
      <w:pPr>
        <w:pStyle w:val="NoSpacing"/>
        <w:rPr>
          <w:rFonts w:cstheme="minorHAnsi"/>
          <w:b/>
          <w:bCs/>
          <w:sz w:val="24"/>
          <w:szCs w:val="24"/>
        </w:rPr>
      </w:pPr>
      <w:r w:rsidRPr="00F82C7D">
        <w:rPr>
          <w:rFonts w:cstheme="minorHAnsi"/>
          <w:b/>
          <w:bCs/>
          <w:sz w:val="24"/>
          <w:szCs w:val="24"/>
        </w:rPr>
        <w:t xml:space="preserve">2.1 Introduction </w:t>
      </w:r>
    </w:p>
    <w:p w14:paraId="7E4141B7" w14:textId="2883068A" w:rsidR="00F30520" w:rsidRPr="00F82C7D" w:rsidRDefault="00F30520" w:rsidP="00224F15">
      <w:pPr>
        <w:pStyle w:val="NoSpacing"/>
        <w:rPr>
          <w:rFonts w:cstheme="minorHAnsi"/>
          <w:sz w:val="24"/>
          <w:szCs w:val="24"/>
        </w:rPr>
      </w:pPr>
    </w:p>
    <w:p w14:paraId="459E95C1" w14:textId="4FE41D4B" w:rsidR="00F30520" w:rsidRPr="00F82C7D" w:rsidRDefault="00F30520" w:rsidP="00224F15">
      <w:pPr>
        <w:pStyle w:val="NoSpacing"/>
        <w:rPr>
          <w:rFonts w:cstheme="minorHAnsi"/>
          <w:sz w:val="24"/>
          <w:szCs w:val="24"/>
        </w:rPr>
      </w:pPr>
      <w:r w:rsidRPr="00F82C7D">
        <w:rPr>
          <w:rFonts w:cstheme="minorHAnsi"/>
          <w:sz w:val="24"/>
          <w:szCs w:val="24"/>
        </w:rPr>
        <w:t xml:space="preserve">This aim of this literature review is to </w:t>
      </w:r>
      <w:r w:rsidR="00A36112" w:rsidRPr="00F82C7D">
        <w:rPr>
          <w:rFonts w:cstheme="minorHAnsi"/>
          <w:sz w:val="24"/>
          <w:szCs w:val="24"/>
        </w:rPr>
        <w:t xml:space="preserve">consider and critically evaluate the reasons behind the under-reporting of sexual offences to Police by women in England and Wales. This research will cover all types of sexual offences, </w:t>
      </w:r>
      <w:r w:rsidR="00AC040D" w:rsidRPr="00F82C7D">
        <w:rPr>
          <w:rFonts w:cstheme="minorHAnsi"/>
          <w:sz w:val="24"/>
          <w:szCs w:val="24"/>
        </w:rPr>
        <w:t>from low-level sexual assaults</w:t>
      </w:r>
      <w:r w:rsidR="00A36112" w:rsidRPr="00F82C7D">
        <w:rPr>
          <w:rFonts w:cstheme="minorHAnsi"/>
          <w:sz w:val="24"/>
          <w:szCs w:val="24"/>
        </w:rPr>
        <w:t xml:space="preserve"> to serious sexual offences such as rape. </w:t>
      </w:r>
    </w:p>
    <w:p w14:paraId="756928F4" w14:textId="5E55013D" w:rsidR="00A36112" w:rsidRPr="00F82C7D" w:rsidRDefault="00A36112" w:rsidP="00224F15">
      <w:pPr>
        <w:pStyle w:val="NoSpacing"/>
        <w:rPr>
          <w:rFonts w:cstheme="minorHAnsi"/>
          <w:sz w:val="24"/>
          <w:szCs w:val="24"/>
        </w:rPr>
      </w:pPr>
    </w:p>
    <w:p w14:paraId="0FD903DB" w14:textId="2395DE71" w:rsidR="00A36112" w:rsidRPr="00F82C7D" w:rsidRDefault="00A36112" w:rsidP="00224F15">
      <w:pPr>
        <w:pStyle w:val="NoSpacing"/>
        <w:rPr>
          <w:rFonts w:cstheme="minorHAnsi"/>
          <w:sz w:val="24"/>
          <w:szCs w:val="24"/>
          <w:shd w:val="clear" w:color="auto" w:fill="FFFFFF"/>
        </w:rPr>
      </w:pPr>
      <w:r w:rsidRPr="00F82C7D">
        <w:rPr>
          <w:rFonts w:cstheme="minorHAnsi"/>
          <w:sz w:val="24"/>
          <w:szCs w:val="24"/>
        </w:rPr>
        <w:t>The literature will be reviewed by theme rather than chronologically, in order to cover the relevant areas in the most efficient way, and identify the need for further research</w:t>
      </w:r>
      <w:r w:rsidR="00AC040D" w:rsidRPr="00F82C7D">
        <w:rPr>
          <w:rFonts w:cstheme="minorHAnsi"/>
          <w:sz w:val="24"/>
          <w:szCs w:val="24"/>
        </w:rPr>
        <w:t xml:space="preserve"> within the topic</w:t>
      </w:r>
      <w:r w:rsidRPr="00F82C7D">
        <w:rPr>
          <w:rFonts w:cstheme="minorHAnsi"/>
          <w:sz w:val="24"/>
          <w:szCs w:val="24"/>
        </w:rPr>
        <w:t xml:space="preserve"> (</w:t>
      </w:r>
      <w:r w:rsidRPr="00F82C7D">
        <w:rPr>
          <w:rFonts w:cstheme="minorHAnsi"/>
          <w:sz w:val="24"/>
          <w:szCs w:val="24"/>
          <w:shd w:val="clear" w:color="auto" w:fill="FFFFFF"/>
        </w:rPr>
        <w:t>Charlesworth</w:t>
      </w:r>
      <w:r w:rsidRPr="00F82C7D">
        <w:rPr>
          <w:rFonts w:cstheme="minorHAnsi"/>
          <w:sz w:val="24"/>
          <w:szCs w:val="24"/>
          <w:shd w:val="clear" w:color="auto" w:fill="FFFFFF"/>
        </w:rPr>
        <w:t xml:space="preserve">, </w:t>
      </w:r>
      <w:r w:rsidRPr="00F82C7D">
        <w:rPr>
          <w:rFonts w:cstheme="minorHAnsi"/>
          <w:sz w:val="24"/>
          <w:szCs w:val="24"/>
          <w:shd w:val="clear" w:color="auto" w:fill="FFFFFF"/>
        </w:rPr>
        <w:t>2022)</w:t>
      </w:r>
      <w:r w:rsidRPr="00F82C7D">
        <w:rPr>
          <w:rFonts w:cstheme="minorHAnsi"/>
          <w:sz w:val="24"/>
          <w:szCs w:val="24"/>
          <w:shd w:val="clear" w:color="auto" w:fill="FFFFFF"/>
        </w:rPr>
        <w:t xml:space="preserve">. </w:t>
      </w:r>
    </w:p>
    <w:p w14:paraId="3D9116C9" w14:textId="0223E3D5" w:rsidR="00F30520" w:rsidRPr="00F82C7D" w:rsidRDefault="00F30520" w:rsidP="00C96F13">
      <w:pPr>
        <w:pStyle w:val="NoSpacing"/>
        <w:rPr>
          <w:rFonts w:cstheme="minorHAnsi"/>
          <w:sz w:val="24"/>
          <w:szCs w:val="24"/>
        </w:rPr>
      </w:pPr>
    </w:p>
    <w:p w14:paraId="35E80872" w14:textId="2198BB62" w:rsidR="00F30520" w:rsidRPr="00F82C7D" w:rsidRDefault="00F30520" w:rsidP="00C96F13">
      <w:pPr>
        <w:pStyle w:val="NoSpacing"/>
        <w:rPr>
          <w:rFonts w:cstheme="minorHAnsi"/>
          <w:sz w:val="24"/>
          <w:szCs w:val="24"/>
        </w:rPr>
      </w:pPr>
    </w:p>
    <w:p w14:paraId="33D931B2" w14:textId="77777777" w:rsidR="00BC3FB0" w:rsidRPr="00F82C7D" w:rsidRDefault="00BC3FB0" w:rsidP="00BC3FB0">
      <w:pPr>
        <w:pStyle w:val="NoSpacing"/>
        <w:rPr>
          <w:rFonts w:cstheme="minorHAnsi"/>
          <w:b/>
          <w:bCs/>
          <w:sz w:val="24"/>
          <w:szCs w:val="24"/>
        </w:rPr>
      </w:pPr>
      <w:r w:rsidRPr="00F82C7D">
        <w:rPr>
          <w:rFonts w:cstheme="minorHAnsi"/>
          <w:b/>
          <w:bCs/>
          <w:sz w:val="24"/>
          <w:szCs w:val="24"/>
        </w:rPr>
        <w:t xml:space="preserve">2.2 The varying reporting rates of sexual offences across England and Wales </w:t>
      </w:r>
    </w:p>
    <w:p w14:paraId="7B597165" w14:textId="2E54584D" w:rsidR="00F30520" w:rsidRPr="00F82C7D" w:rsidRDefault="00F30520" w:rsidP="00C96F13">
      <w:pPr>
        <w:pStyle w:val="NoSpacing"/>
        <w:rPr>
          <w:rFonts w:cstheme="minorHAnsi"/>
          <w:sz w:val="24"/>
          <w:szCs w:val="24"/>
        </w:rPr>
      </w:pPr>
    </w:p>
    <w:p w14:paraId="39452356" w14:textId="77777777" w:rsidR="00BC3FB0" w:rsidRPr="00F82C7D" w:rsidRDefault="00BC3FB0" w:rsidP="00BC3FB0">
      <w:pPr>
        <w:pStyle w:val="NoSpacing"/>
        <w:rPr>
          <w:rFonts w:cstheme="minorHAnsi"/>
          <w:sz w:val="24"/>
          <w:szCs w:val="24"/>
        </w:rPr>
      </w:pPr>
      <w:r w:rsidRPr="00F82C7D">
        <w:rPr>
          <w:rFonts w:cstheme="minorHAnsi"/>
          <w:sz w:val="24"/>
          <w:szCs w:val="24"/>
        </w:rPr>
        <w:t xml:space="preserve">The Crime Survey for England and Wales shows 773,000 persons between the age of 16 and 74 to have become victims of sexual offences (including attempts) in the year ending in 2020 (Office of National Statistics, 2021). Out of these victims, 618,000 were women. The most recent figure of reporting rates compared to the actual believed number of offences tripled over the recent years, however dropped by 0.7% to 162,936 in the year ending in 2020. This suggests that approximately 600,000 victims did not report sexual offences to Police that year. </w:t>
      </w:r>
    </w:p>
    <w:p w14:paraId="2C6959EF" w14:textId="77777777" w:rsidR="00BC3FB0" w:rsidRPr="00F82C7D" w:rsidRDefault="00BC3FB0" w:rsidP="00BC3FB0">
      <w:pPr>
        <w:pStyle w:val="NoSpacing"/>
        <w:rPr>
          <w:rFonts w:cstheme="minorHAnsi"/>
          <w:sz w:val="24"/>
          <w:szCs w:val="24"/>
        </w:rPr>
      </w:pPr>
    </w:p>
    <w:p w14:paraId="67FCC718" w14:textId="77777777" w:rsidR="00A541EC" w:rsidRPr="00F82C7D" w:rsidRDefault="00BC3FB0" w:rsidP="00BC3FB0">
      <w:pPr>
        <w:pStyle w:val="NoSpacing"/>
        <w:rPr>
          <w:rFonts w:cstheme="minorHAnsi"/>
          <w:sz w:val="24"/>
          <w:szCs w:val="24"/>
        </w:rPr>
      </w:pPr>
      <w:r w:rsidRPr="00F82C7D">
        <w:rPr>
          <w:rFonts w:cstheme="minorHAnsi"/>
          <w:sz w:val="24"/>
          <w:szCs w:val="24"/>
        </w:rPr>
        <w:t xml:space="preserve">The figures mentioned above are a little outdated now, however, are the most recent statistic available which have been obtained from the 2021 census, therefore can be relied upon for accuracy at the time of it being published. </w:t>
      </w:r>
      <w:r w:rsidR="00A541EC" w:rsidRPr="00F82C7D">
        <w:rPr>
          <w:rFonts w:cstheme="minorHAnsi"/>
          <w:sz w:val="24"/>
          <w:szCs w:val="24"/>
        </w:rPr>
        <w:t xml:space="preserve">On the other hand, the website does document the potential issues with comparing the yearly statistics; stating that Police’ recording practises may change on a year to year basis, causing some variation in the annual statistics. </w:t>
      </w:r>
    </w:p>
    <w:p w14:paraId="229558A5" w14:textId="77777777" w:rsidR="00A541EC" w:rsidRPr="00F82C7D" w:rsidRDefault="00A541EC" w:rsidP="00BC3FB0">
      <w:pPr>
        <w:pStyle w:val="NoSpacing"/>
        <w:rPr>
          <w:rFonts w:cstheme="minorHAnsi"/>
          <w:sz w:val="24"/>
          <w:szCs w:val="24"/>
        </w:rPr>
      </w:pPr>
    </w:p>
    <w:p w14:paraId="60ABE86F" w14:textId="047B6CAF" w:rsidR="00BC3FB0" w:rsidRPr="00F82C7D" w:rsidRDefault="00A541EC" w:rsidP="00BC3FB0">
      <w:pPr>
        <w:pStyle w:val="NoSpacing"/>
        <w:rPr>
          <w:rFonts w:cstheme="minorHAnsi"/>
          <w:sz w:val="24"/>
          <w:szCs w:val="24"/>
        </w:rPr>
      </w:pPr>
      <w:r w:rsidRPr="00F82C7D">
        <w:rPr>
          <w:rFonts w:cstheme="minorHAnsi"/>
          <w:sz w:val="24"/>
          <w:szCs w:val="24"/>
        </w:rPr>
        <w:t xml:space="preserve">This should, however, not take away from the overall issue which has been demonstrated.  </w:t>
      </w:r>
      <w:r w:rsidR="00BC3FB0" w:rsidRPr="00F82C7D">
        <w:rPr>
          <w:rFonts w:cstheme="minorHAnsi"/>
          <w:sz w:val="24"/>
          <w:szCs w:val="24"/>
        </w:rPr>
        <w:t>The</w:t>
      </w:r>
      <w:r w:rsidRPr="00F82C7D">
        <w:rPr>
          <w:rFonts w:cstheme="minorHAnsi"/>
          <w:sz w:val="24"/>
          <w:szCs w:val="24"/>
        </w:rPr>
        <w:t xml:space="preserve"> figures</w:t>
      </w:r>
      <w:r w:rsidR="00BC3FB0" w:rsidRPr="00F82C7D">
        <w:rPr>
          <w:rFonts w:cstheme="minorHAnsi"/>
          <w:sz w:val="24"/>
          <w:szCs w:val="24"/>
        </w:rPr>
        <w:t xml:space="preserve"> clearly highlight a discrepancy between the number of sexual offences that are occurring, compared to the number being reported. This review aims to evaluate the reasons provided in research already available, and demonstrate the requirement for further research to make recommendations on how to resolve the issue. </w:t>
      </w:r>
    </w:p>
    <w:p w14:paraId="3A48CC5C" w14:textId="77777777" w:rsidR="00EF6FED" w:rsidRPr="00F82C7D" w:rsidRDefault="00EF6FED" w:rsidP="00BC3FB0">
      <w:pPr>
        <w:pStyle w:val="NoSpacing"/>
        <w:rPr>
          <w:rFonts w:cstheme="minorHAnsi"/>
          <w:sz w:val="24"/>
          <w:szCs w:val="24"/>
        </w:rPr>
      </w:pPr>
    </w:p>
    <w:p w14:paraId="43C68D8A" w14:textId="527B8951" w:rsidR="00BC3FB0" w:rsidRPr="00F82C7D" w:rsidRDefault="00BC3FB0" w:rsidP="00BC3FB0">
      <w:pPr>
        <w:pStyle w:val="NoSpacing"/>
        <w:rPr>
          <w:rFonts w:cstheme="minorHAnsi"/>
          <w:sz w:val="24"/>
          <w:szCs w:val="24"/>
        </w:rPr>
      </w:pPr>
    </w:p>
    <w:p w14:paraId="5200BC81" w14:textId="15D4AD48" w:rsidR="00A541EC" w:rsidRPr="00F82C7D" w:rsidRDefault="00112A6A" w:rsidP="00BC3FB0">
      <w:pPr>
        <w:pStyle w:val="NoSpacing"/>
        <w:rPr>
          <w:rFonts w:cstheme="minorHAnsi"/>
          <w:b/>
          <w:bCs/>
          <w:sz w:val="24"/>
          <w:szCs w:val="24"/>
        </w:rPr>
      </w:pPr>
      <w:r w:rsidRPr="00F82C7D">
        <w:rPr>
          <w:rFonts w:cstheme="minorHAnsi"/>
          <w:b/>
          <w:bCs/>
          <w:sz w:val="24"/>
          <w:szCs w:val="24"/>
        </w:rPr>
        <w:t xml:space="preserve">2.3 Victims reasons not to report sexual offences to Police </w:t>
      </w:r>
    </w:p>
    <w:p w14:paraId="4132913F" w14:textId="3A169770" w:rsidR="00BC3FB0" w:rsidRPr="00F82C7D" w:rsidRDefault="00BC3FB0" w:rsidP="00C96F13">
      <w:pPr>
        <w:pStyle w:val="NoSpacing"/>
        <w:rPr>
          <w:rFonts w:cstheme="minorHAnsi"/>
          <w:sz w:val="24"/>
          <w:szCs w:val="24"/>
        </w:rPr>
      </w:pPr>
    </w:p>
    <w:p w14:paraId="7418A218" w14:textId="23AF36E6" w:rsidR="00BC3FB0" w:rsidRPr="00F82C7D" w:rsidRDefault="00DB2248" w:rsidP="00C96F13">
      <w:pPr>
        <w:pStyle w:val="NoSpacing"/>
        <w:rPr>
          <w:rFonts w:cstheme="minorHAnsi"/>
          <w:sz w:val="24"/>
          <w:szCs w:val="24"/>
        </w:rPr>
      </w:pPr>
      <w:r w:rsidRPr="00F82C7D">
        <w:rPr>
          <w:rFonts w:cstheme="minorHAnsi"/>
          <w:sz w:val="24"/>
          <w:szCs w:val="24"/>
        </w:rPr>
        <w:t xml:space="preserve">This section of the literature review will look to assess the specific reasons behind the under-reporting of sexual offences to Police. Three specific theories focusing on victimology </w:t>
      </w:r>
      <w:r w:rsidR="00121866" w:rsidRPr="00F82C7D">
        <w:rPr>
          <w:rFonts w:cstheme="minorHAnsi"/>
          <w:sz w:val="24"/>
          <w:szCs w:val="24"/>
        </w:rPr>
        <w:t xml:space="preserve">will be considered among other more general victim perspectives </w:t>
      </w:r>
      <w:r w:rsidRPr="00F82C7D">
        <w:rPr>
          <w:rFonts w:cstheme="minorHAnsi"/>
          <w:sz w:val="24"/>
          <w:szCs w:val="24"/>
        </w:rPr>
        <w:t>– those being the Victim Precipitation Theory, The Lifestyle Theory, and the Deviant Place Theory</w:t>
      </w:r>
      <w:r w:rsidR="00121866" w:rsidRPr="00F82C7D">
        <w:rPr>
          <w:rFonts w:cstheme="minorHAnsi"/>
          <w:sz w:val="24"/>
          <w:szCs w:val="24"/>
        </w:rPr>
        <w:t xml:space="preserve"> (Harper, 2022). </w:t>
      </w:r>
    </w:p>
    <w:p w14:paraId="4977F23F" w14:textId="77777777" w:rsidR="00121866" w:rsidRPr="00F82C7D" w:rsidRDefault="00121866" w:rsidP="00C96F13">
      <w:pPr>
        <w:pStyle w:val="NoSpacing"/>
        <w:rPr>
          <w:rFonts w:cstheme="minorHAnsi"/>
          <w:sz w:val="24"/>
          <w:szCs w:val="24"/>
        </w:rPr>
      </w:pPr>
    </w:p>
    <w:p w14:paraId="1C8A6FF8" w14:textId="5F9B372C" w:rsidR="00BC3FB0" w:rsidRPr="00F82C7D" w:rsidRDefault="00D93995" w:rsidP="00C96F13">
      <w:pPr>
        <w:pStyle w:val="NoSpacing"/>
        <w:rPr>
          <w:rFonts w:cstheme="minorHAnsi"/>
          <w:sz w:val="24"/>
          <w:szCs w:val="24"/>
        </w:rPr>
      </w:pPr>
      <w:r w:rsidRPr="00F82C7D">
        <w:rPr>
          <w:rFonts w:cstheme="minorHAnsi"/>
          <w:sz w:val="24"/>
          <w:szCs w:val="24"/>
        </w:rPr>
        <w:t>John Scott, in his book ‘A Dictionary of Sociology’ defines Victimology as “</w:t>
      </w:r>
      <w:r w:rsidRPr="00F82C7D">
        <w:rPr>
          <w:rFonts w:cstheme="minorHAnsi"/>
          <w:sz w:val="24"/>
          <w:szCs w:val="24"/>
        </w:rPr>
        <w:t>The study of victims of </w:t>
      </w:r>
      <w:hyperlink r:id="rId5" w:history="1">
        <w:r w:rsidRPr="00F82C7D">
          <w:rPr>
            <w:rFonts w:cstheme="minorHAnsi"/>
            <w:sz w:val="24"/>
            <w:szCs w:val="24"/>
          </w:rPr>
          <w:t>crime</w:t>
        </w:r>
      </w:hyperlink>
      <w:r w:rsidRPr="00F82C7D">
        <w:rPr>
          <w:rFonts w:cstheme="minorHAnsi"/>
          <w:sz w:val="24"/>
          <w:szCs w:val="24"/>
        </w:rPr>
        <w:t>, including such aspects as patterns of offence, place of incident, characteristics of and relationship between victim and offender, and the like.</w:t>
      </w:r>
      <w:r w:rsidRPr="00F82C7D">
        <w:rPr>
          <w:rFonts w:cstheme="minorHAnsi"/>
          <w:sz w:val="24"/>
          <w:szCs w:val="24"/>
        </w:rPr>
        <w:t xml:space="preserve">” (Scott, 2014). </w:t>
      </w:r>
    </w:p>
    <w:p w14:paraId="60A06DB9" w14:textId="1B085E0D" w:rsidR="00EF6FED" w:rsidRPr="00F82C7D" w:rsidRDefault="00EF6FED" w:rsidP="00C96F13">
      <w:pPr>
        <w:pStyle w:val="NoSpacing"/>
        <w:rPr>
          <w:rFonts w:cstheme="minorHAnsi"/>
          <w:sz w:val="24"/>
          <w:szCs w:val="24"/>
        </w:rPr>
      </w:pPr>
    </w:p>
    <w:p w14:paraId="2B0CE9B9" w14:textId="7403AAD6" w:rsidR="00EF6FED" w:rsidRPr="00F82C7D" w:rsidRDefault="00EF6FED" w:rsidP="00C96F13">
      <w:pPr>
        <w:pStyle w:val="NoSpacing"/>
        <w:rPr>
          <w:rStyle w:val="lookup-resultcontent"/>
          <w:rFonts w:cstheme="minorHAnsi"/>
          <w:sz w:val="24"/>
          <w:szCs w:val="24"/>
        </w:rPr>
      </w:pPr>
      <w:r w:rsidRPr="00F82C7D">
        <w:rPr>
          <w:rFonts w:cstheme="minorHAnsi"/>
          <w:sz w:val="24"/>
          <w:szCs w:val="24"/>
        </w:rPr>
        <w:t xml:space="preserve">Throughout the research completed, one of the most common reasons behind the under-reporting of sexual offences that has come to light, is the victim feeling they are somehow involved or to blame for the incident </w:t>
      </w:r>
      <w:r w:rsidRPr="00F82C7D">
        <w:rPr>
          <w:rStyle w:val="lookup-resultcontent"/>
          <w:rFonts w:cstheme="minorHAnsi"/>
          <w:sz w:val="24"/>
          <w:szCs w:val="24"/>
        </w:rPr>
        <w:t>(Parti and Robinson, 2021).</w:t>
      </w:r>
      <w:r w:rsidRPr="00F82C7D">
        <w:rPr>
          <w:rStyle w:val="lookup-resultcontent"/>
          <w:rFonts w:cstheme="minorHAnsi"/>
          <w:sz w:val="24"/>
          <w:szCs w:val="24"/>
        </w:rPr>
        <w:t xml:space="preserve"> Given this, it seems appropriate to review certain theories of Victimology, which study the victim of the crime and the role they play in the offence that takes place. </w:t>
      </w:r>
    </w:p>
    <w:p w14:paraId="4BBDBE37" w14:textId="48FFCF11" w:rsidR="007A0AFB" w:rsidRPr="00F82C7D" w:rsidRDefault="007A0AFB" w:rsidP="00C96F13">
      <w:pPr>
        <w:pStyle w:val="NoSpacing"/>
        <w:rPr>
          <w:rStyle w:val="lookup-resultcontent"/>
          <w:rFonts w:cstheme="minorHAnsi"/>
          <w:sz w:val="24"/>
          <w:szCs w:val="24"/>
        </w:rPr>
      </w:pPr>
    </w:p>
    <w:p w14:paraId="18B787EF" w14:textId="77777777" w:rsidR="007A0AFB" w:rsidRPr="00F82C7D" w:rsidRDefault="007A0AFB" w:rsidP="00C96F13">
      <w:pPr>
        <w:pStyle w:val="NoSpacing"/>
        <w:rPr>
          <w:rStyle w:val="lookup-resultcontent"/>
          <w:rFonts w:cstheme="minorHAnsi"/>
          <w:sz w:val="24"/>
          <w:szCs w:val="24"/>
        </w:rPr>
      </w:pPr>
    </w:p>
    <w:p w14:paraId="63268B75" w14:textId="31F588AC" w:rsidR="007A0AFB" w:rsidRPr="00F82C7D" w:rsidRDefault="007A0AFB" w:rsidP="00C96F13">
      <w:pPr>
        <w:pStyle w:val="NoSpacing"/>
        <w:rPr>
          <w:rStyle w:val="lookup-resultcontent"/>
          <w:rFonts w:cstheme="minorHAnsi"/>
          <w:b/>
          <w:bCs/>
          <w:sz w:val="24"/>
          <w:szCs w:val="24"/>
        </w:rPr>
      </w:pPr>
      <w:r w:rsidRPr="00F82C7D">
        <w:rPr>
          <w:rStyle w:val="lookup-resultcontent"/>
          <w:rFonts w:cstheme="minorHAnsi"/>
          <w:b/>
          <w:bCs/>
          <w:sz w:val="24"/>
          <w:szCs w:val="24"/>
        </w:rPr>
        <w:t xml:space="preserve">2.3.1 Victim Precipitation Theory </w:t>
      </w:r>
    </w:p>
    <w:p w14:paraId="33890EEB" w14:textId="2C0E1E72" w:rsidR="007A0AFB" w:rsidRPr="00F82C7D" w:rsidRDefault="007A0AFB" w:rsidP="00C96F13">
      <w:pPr>
        <w:pStyle w:val="NoSpacing"/>
        <w:rPr>
          <w:rStyle w:val="lookup-resultcontent"/>
          <w:rFonts w:cstheme="minorHAnsi"/>
          <w:b/>
          <w:bCs/>
          <w:sz w:val="24"/>
          <w:szCs w:val="24"/>
        </w:rPr>
      </w:pPr>
    </w:p>
    <w:p w14:paraId="34B2C36C" w14:textId="6A95E731" w:rsidR="007A0AFB" w:rsidRPr="00F82C7D" w:rsidRDefault="007A0AFB" w:rsidP="00C96F13">
      <w:pPr>
        <w:pStyle w:val="NoSpacing"/>
        <w:rPr>
          <w:rFonts w:cstheme="minorHAnsi"/>
          <w:sz w:val="24"/>
          <w:szCs w:val="24"/>
        </w:rPr>
      </w:pPr>
      <w:r w:rsidRPr="00F82C7D">
        <w:rPr>
          <w:rFonts w:cstheme="minorHAnsi"/>
          <w:sz w:val="24"/>
          <w:szCs w:val="24"/>
        </w:rPr>
        <w:t xml:space="preserve">As previously mentioned, one of the many reasons behind the under-reporting of sexual offences to Police may be the victim’s fear of being blamed for the incident taking place. The Victim Precipitation Theory explores the victim’s involvement in the incident – and whether any blame can be attributed to the victim, rather than just the offender. </w:t>
      </w:r>
      <w:r w:rsidR="00716E19" w:rsidRPr="00F82C7D">
        <w:rPr>
          <w:rFonts w:cstheme="minorHAnsi"/>
          <w:sz w:val="24"/>
          <w:szCs w:val="24"/>
        </w:rPr>
        <w:t>Hans von Hentig, who is arguably one of the leading thinkers when it comes to Victimology and the Precipitation Theory</w:t>
      </w:r>
      <w:r w:rsidR="001C7B8C" w:rsidRPr="00F82C7D">
        <w:rPr>
          <w:rFonts w:cstheme="minorHAnsi"/>
          <w:sz w:val="24"/>
          <w:szCs w:val="24"/>
        </w:rPr>
        <w:t>,</w:t>
      </w:r>
      <w:r w:rsidR="00716E19" w:rsidRPr="00F82C7D">
        <w:rPr>
          <w:rFonts w:cstheme="minorHAnsi"/>
          <w:sz w:val="24"/>
          <w:szCs w:val="24"/>
        </w:rPr>
        <w:t xml:space="preserve"> described it as such:  </w:t>
      </w:r>
    </w:p>
    <w:p w14:paraId="285D1CA2" w14:textId="2E08018F" w:rsidR="00716E19" w:rsidRPr="00F82C7D" w:rsidRDefault="00716E19" w:rsidP="00C96F13">
      <w:pPr>
        <w:pStyle w:val="NoSpacing"/>
        <w:rPr>
          <w:rFonts w:cstheme="minorHAnsi"/>
          <w:sz w:val="24"/>
          <w:szCs w:val="24"/>
        </w:rPr>
      </w:pPr>
      <w:r w:rsidRPr="00F82C7D">
        <w:rPr>
          <w:rFonts w:cstheme="minorHAnsi"/>
          <w:sz w:val="24"/>
          <w:szCs w:val="24"/>
        </w:rPr>
        <w:t>“The human victim in many instances seems to lead the evil-doers actively into temptation” (von Hentig, 1940)</w:t>
      </w:r>
      <w:r w:rsidR="001C7B8C" w:rsidRPr="00F82C7D">
        <w:rPr>
          <w:rFonts w:cstheme="minorHAnsi"/>
          <w:sz w:val="24"/>
          <w:szCs w:val="24"/>
        </w:rPr>
        <w:t xml:space="preserve">. </w:t>
      </w:r>
    </w:p>
    <w:p w14:paraId="04309EB9" w14:textId="5845D587" w:rsidR="001C7B8C" w:rsidRPr="00F82C7D" w:rsidRDefault="001C7B8C" w:rsidP="00C96F13">
      <w:pPr>
        <w:pStyle w:val="NoSpacing"/>
        <w:rPr>
          <w:rFonts w:cstheme="minorHAnsi"/>
          <w:sz w:val="24"/>
          <w:szCs w:val="24"/>
        </w:rPr>
      </w:pPr>
    </w:p>
    <w:p w14:paraId="0A1D9056" w14:textId="5F70FA80" w:rsidR="001C7B8C" w:rsidRPr="00F82C7D" w:rsidRDefault="001C7B8C" w:rsidP="00C96F13">
      <w:pPr>
        <w:pStyle w:val="NoSpacing"/>
        <w:rPr>
          <w:rFonts w:cstheme="minorHAnsi"/>
          <w:sz w:val="24"/>
          <w:szCs w:val="24"/>
        </w:rPr>
      </w:pPr>
      <w:r w:rsidRPr="00F82C7D">
        <w:rPr>
          <w:rFonts w:cstheme="minorHAnsi"/>
          <w:sz w:val="24"/>
          <w:szCs w:val="24"/>
        </w:rPr>
        <w:t xml:space="preserve">Despite </w:t>
      </w:r>
      <w:r w:rsidR="00DD27B5" w:rsidRPr="00F82C7D">
        <w:rPr>
          <w:rFonts w:cstheme="minorHAnsi"/>
          <w:sz w:val="24"/>
          <w:szCs w:val="24"/>
        </w:rPr>
        <w:t xml:space="preserve">von </w:t>
      </w:r>
      <w:r w:rsidRPr="00F82C7D">
        <w:rPr>
          <w:rFonts w:cstheme="minorHAnsi"/>
          <w:sz w:val="24"/>
          <w:szCs w:val="24"/>
        </w:rPr>
        <w:t xml:space="preserve">Hentig being a leading thinker of his time, the world view has perhaps since moved on, and it would appear almost </w:t>
      </w:r>
      <w:r w:rsidR="00674FF7">
        <w:rPr>
          <w:rFonts w:cstheme="minorHAnsi"/>
          <w:sz w:val="24"/>
          <w:szCs w:val="24"/>
        </w:rPr>
        <w:t>dissident</w:t>
      </w:r>
      <w:r w:rsidRPr="00F82C7D">
        <w:rPr>
          <w:rFonts w:cstheme="minorHAnsi"/>
          <w:sz w:val="24"/>
          <w:szCs w:val="24"/>
        </w:rPr>
        <w:t xml:space="preserve"> to suggest that victims are to blame for being raped. This journal entry was written over 80 years ago, when society was far more misogynistic, and had far less sympathy for women than nowadays</w:t>
      </w:r>
      <w:r w:rsidR="00EF3AB9">
        <w:rPr>
          <w:rFonts w:cstheme="minorHAnsi"/>
          <w:sz w:val="24"/>
          <w:szCs w:val="24"/>
        </w:rPr>
        <w:t xml:space="preserve"> (Holland and Holland, 2018). </w:t>
      </w:r>
    </w:p>
    <w:p w14:paraId="1A24CFF3" w14:textId="114A6E0E" w:rsidR="007A0AFB" w:rsidRPr="00F82C7D" w:rsidRDefault="007A0AFB" w:rsidP="00C96F13">
      <w:pPr>
        <w:pStyle w:val="NoSpacing"/>
        <w:rPr>
          <w:rFonts w:cstheme="minorHAnsi"/>
          <w:sz w:val="24"/>
          <w:szCs w:val="24"/>
        </w:rPr>
      </w:pPr>
    </w:p>
    <w:p w14:paraId="6F6CBB37" w14:textId="5B51C240" w:rsidR="007A0AFB" w:rsidRPr="00F82C7D" w:rsidRDefault="001C7B8C" w:rsidP="00C96F13">
      <w:pPr>
        <w:pStyle w:val="NoSpacing"/>
        <w:rPr>
          <w:rFonts w:cstheme="minorHAnsi"/>
          <w:sz w:val="24"/>
          <w:szCs w:val="24"/>
        </w:rPr>
      </w:pPr>
      <w:r w:rsidRPr="00F82C7D">
        <w:rPr>
          <w:rFonts w:cstheme="minorHAnsi"/>
          <w:sz w:val="24"/>
          <w:szCs w:val="24"/>
        </w:rPr>
        <w:t>However, i</w:t>
      </w:r>
      <w:r w:rsidR="007A0AFB" w:rsidRPr="00F82C7D">
        <w:rPr>
          <w:rFonts w:cstheme="minorHAnsi"/>
          <w:sz w:val="24"/>
          <w:szCs w:val="24"/>
        </w:rPr>
        <w:t xml:space="preserve">t is understandable that many victims may feel </w:t>
      </w:r>
      <w:r w:rsidRPr="00F82C7D">
        <w:rPr>
          <w:rFonts w:cstheme="minorHAnsi"/>
          <w:sz w:val="24"/>
          <w:szCs w:val="24"/>
        </w:rPr>
        <w:t>blamed for the incidents</w:t>
      </w:r>
      <w:r w:rsidR="007A0AFB" w:rsidRPr="00F82C7D">
        <w:rPr>
          <w:rFonts w:cstheme="minorHAnsi"/>
          <w:sz w:val="24"/>
          <w:szCs w:val="24"/>
        </w:rPr>
        <w:t xml:space="preserve">, given the way some have been treated by Police when reporting incidents. </w:t>
      </w:r>
      <w:r w:rsidRPr="00F82C7D">
        <w:rPr>
          <w:rFonts w:cstheme="minorHAnsi"/>
          <w:sz w:val="24"/>
          <w:szCs w:val="24"/>
        </w:rPr>
        <w:t xml:space="preserve">Perhaps the world has not moved on as much as it should or could. </w:t>
      </w:r>
      <w:r w:rsidR="007A0AFB" w:rsidRPr="00F82C7D">
        <w:rPr>
          <w:rFonts w:cstheme="minorHAnsi"/>
          <w:sz w:val="24"/>
          <w:szCs w:val="24"/>
        </w:rPr>
        <w:t xml:space="preserve">For example, </w:t>
      </w:r>
      <w:r w:rsidR="00DF5348" w:rsidRPr="00F82C7D">
        <w:rPr>
          <w:rFonts w:cstheme="minorHAnsi"/>
          <w:sz w:val="24"/>
          <w:szCs w:val="24"/>
        </w:rPr>
        <w:t xml:space="preserve">BBC News shared an article in October 2022 relaying the story a teenage girl who reported a sexual assault to South Wales Police, and was told by an officer “Okay, that top is quite low-cut” (Williams, 2022). </w:t>
      </w:r>
    </w:p>
    <w:p w14:paraId="1ECE9A8C" w14:textId="770BA248" w:rsidR="00DF5348" w:rsidRPr="00F82C7D" w:rsidRDefault="00DF5348" w:rsidP="00C96F13">
      <w:pPr>
        <w:pStyle w:val="NoSpacing"/>
        <w:rPr>
          <w:rFonts w:cstheme="minorHAnsi"/>
          <w:sz w:val="24"/>
          <w:szCs w:val="24"/>
        </w:rPr>
      </w:pPr>
    </w:p>
    <w:p w14:paraId="145D918E" w14:textId="35BE2CC6" w:rsidR="00DF5348" w:rsidRPr="00F82C7D" w:rsidRDefault="00DF5348" w:rsidP="00C96F13">
      <w:pPr>
        <w:pStyle w:val="NoSpacing"/>
        <w:rPr>
          <w:rFonts w:cstheme="minorHAnsi"/>
          <w:sz w:val="24"/>
          <w:szCs w:val="24"/>
        </w:rPr>
      </w:pPr>
      <w:r w:rsidRPr="00F82C7D">
        <w:rPr>
          <w:rFonts w:cstheme="minorHAnsi"/>
          <w:sz w:val="24"/>
          <w:szCs w:val="24"/>
        </w:rPr>
        <w:t xml:space="preserve">The article title immediately draws the reader’s attention to the Police fault in blaming the victim, however upon reading the article, the writer explains how the Police in fact stated first that the victim’s clothing had no bearing on the matter. This victim later withdrew her complaint </w:t>
      </w:r>
      <w:r w:rsidR="00822990" w:rsidRPr="00F82C7D">
        <w:rPr>
          <w:rFonts w:cstheme="minorHAnsi"/>
          <w:sz w:val="24"/>
          <w:szCs w:val="24"/>
        </w:rPr>
        <w:t xml:space="preserve">as she did not feel she had the required support for a female in her situation. News articles are often written in such a way that the title will draw the reader in, however </w:t>
      </w:r>
      <w:r w:rsidR="00822990" w:rsidRPr="00F82C7D">
        <w:rPr>
          <w:rFonts w:cstheme="minorHAnsi"/>
          <w:sz w:val="24"/>
          <w:szCs w:val="24"/>
        </w:rPr>
        <w:lastRenderedPageBreak/>
        <w:t xml:space="preserve">the article itself does not directly </w:t>
      </w:r>
      <w:r w:rsidR="00716E19" w:rsidRPr="00F82C7D">
        <w:rPr>
          <w:rFonts w:cstheme="minorHAnsi"/>
          <w:sz w:val="24"/>
          <w:szCs w:val="24"/>
        </w:rPr>
        <w:t xml:space="preserve">reflect what the title suggests. </w:t>
      </w:r>
      <w:r w:rsidR="001C7B8C" w:rsidRPr="00F82C7D">
        <w:rPr>
          <w:rFonts w:cstheme="minorHAnsi"/>
          <w:sz w:val="24"/>
          <w:szCs w:val="24"/>
        </w:rPr>
        <w:t>Th</w:t>
      </w:r>
      <w:r w:rsidR="00716E19" w:rsidRPr="00F82C7D">
        <w:rPr>
          <w:rFonts w:cstheme="minorHAnsi"/>
          <w:sz w:val="24"/>
          <w:szCs w:val="24"/>
        </w:rPr>
        <w:t xml:space="preserve">e article itself focuses largely on the lack of support available to victims of sexual offences, rather than any victim blaming done by Police. </w:t>
      </w:r>
    </w:p>
    <w:p w14:paraId="27BA8405" w14:textId="39677B00" w:rsidR="00716E19" w:rsidRPr="00F82C7D" w:rsidRDefault="00716E19" w:rsidP="00C96F13">
      <w:pPr>
        <w:pStyle w:val="NoSpacing"/>
        <w:rPr>
          <w:rFonts w:cstheme="minorHAnsi"/>
          <w:sz w:val="24"/>
          <w:szCs w:val="24"/>
        </w:rPr>
      </w:pPr>
    </w:p>
    <w:p w14:paraId="16EBF473" w14:textId="77777777" w:rsidR="009B5F2B" w:rsidRPr="00F82C7D" w:rsidRDefault="00716E19" w:rsidP="00C96F13">
      <w:pPr>
        <w:pStyle w:val="NoSpacing"/>
        <w:rPr>
          <w:rFonts w:cstheme="minorHAnsi"/>
          <w:sz w:val="24"/>
          <w:szCs w:val="24"/>
        </w:rPr>
      </w:pPr>
      <w:r w:rsidRPr="00F82C7D">
        <w:rPr>
          <w:rFonts w:cstheme="minorHAnsi"/>
          <w:sz w:val="24"/>
          <w:szCs w:val="24"/>
        </w:rPr>
        <w:t xml:space="preserve">A journal </w:t>
      </w:r>
      <w:r w:rsidR="001C7B8C" w:rsidRPr="00F82C7D">
        <w:rPr>
          <w:rFonts w:cstheme="minorHAnsi"/>
          <w:sz w:val="24"/>
          <w:szCs w:val="24"/>
        </w:rPr>
        <w:t xml:space="preserve">entry </w:t>
      </w:r>
      <w:r w:rsidRPr="00F82C7D">
        <w:rPr>
          <w:rFonts w:cstheme="minorHAnsi"/>
          <w:sz w:val="24"/>
          <w:szCs w:val="24"/>
        </w:rPr>
        <w:t xml:space="preserve">released in 1967 provides a </w:t>
      </w:r>
      <w:r w:rsidR="001C7B8C" w:rsidRPr="00F82C7D">
        <w:rPr>
          <w:rFonts w:cstheme="minorHAnsi"/>
          <w:sz w:val="24"/>
          <w:szCs w:val="24"/>
        </w:rPr>
        <w:t>similar view to</w:t>
      </w:r>
      <w:r w:rsidR="00DD27B5" w:rsidRPr="00F82C7D">
        <w:rPr>
          <w:rFonts w:cstheme="minorHAnsi"/>
          <w:sz w:val="24"/>
          <w:szCs w:val="24"/>
        </w:rPr>
        <w:t xml:space="preserve"> von</w:t>
      </w:r>
      <w:r w:rsidR="001C7B8C" w:rsidRPr="00F82C7D">
        <w:rPr>
          <w:rFonts w:cstheme="minorHAnsi"/>
          <w:sz w:val="24"/>
          <w:szCs w:val="24"/>
        </w:rPr>
        <w:t xml:space="preserve"> Hentig</w:t>
      </w:r>
      <w:r w:rsidR="00DD27B5" w:rsidRPr="00F82C7D">
        <w:rPr>
          <w:rFonts w:cstheme="minorHAnsi"/>
          <w:sz w:val="24"/>
          <w:szCs w:val="24"/>
        </w:rPr>
        <w:t xml:space="preserve">, stating that victim precipitation may refer to the “behaviour of the victim being interpretated by the offender as a direct invitation for sexual relations or as a sign that she will be available for sexual contact if he will persist in demanding it” </w:t>
      </w:r>
      <w:r w:rsidRPr="00F82C7D">
        <w:rPr>
          <w:rFonts w:cstheme="minorHAnsi"/>
          <w:sz w:val="24"/>
          <w:szCs w:val="24"/>
        </w:rPr>
        <w:t>(Amir, 1967)</w:t>
      </w:r>
      <w:r w:rsidR="00DD27B5" w:rsidRPr="00F82C7D">
        <w:rPr>
          <w:rFonts w:cstheme="minorHAnsi"/>
          <w:sz w:val="24"/>
          <w:szCs w:val="24"/>
        </w:rPr>
        <w:t xml:space="preserve">.  </w:t>
      </w:r>
    </w:p>
    <w:p w14:paraId="280D114D" w14:textId="77777777" w:rsidR="009B5F2B" w:rsidRPr="00F82C7D" w:rsidRDefault="009B5F2B" w:rsidP="00C96F13">
      <w:pPr>
        <w:pStyle w:val="NoSpacing"/>
        <w:rPr>
          <w:rFonts w:cstheme="minorHAnsi"/>
          <w:sz w:val="24"/>
          <w:szCs w:val="24"/>
        </w:rPr>
      </w:pPr>
    </w:p>
    <w:p w14:paraId="518C98E2" w14:textId="5CC3E2AE" w:rsidR="00BC3FB0" w:rsidRPr="00F82C7D" w:rsidRDefault="009B5F2B" w:rsidP="00C96F13">
      <w:pPr>
        <w:pStyle w:val="NoSpacing"/>
        <w:rPr>
          <w:rFonts w:cstheme="minorHAnsi"/>
          <w:sz w:val="24"/>
          <w:szCs w:val="24"/>
        </w:rPr>
      </w:pPr>
      <w:r w:rsidRPr="00F82C7D">
        <w:rPr>
          <w:rFonts w:cstheme="minorHAnsi"/>
          <w:sz w:val="24"/>
          <w:szCs w:val="24"/>
        </w:rPr>
        <w:t xml:space="preserve">As the article is 55 years old, this view will also likely be quite an outdated one, and potentially one that would offend the majority of women. However, it appears important to note that Amir is not blaming the victim’s behaviour, but attempting to gain an understanding of the offender’s thought process. Within the same article, he stated that precipitation is not as obvious or ‘clear-cut’ as seduction or provocation, but could be considered “undue, unwise or rash haste” where the victim does not have enough time to consider their behaviour or body-language, but is merely reacting to what is in front of them. </w:t>
      </w:r>
      <w:r w:rsidR="00F82C7D" w:rsidRPr="00F82C7D">
        <w:rPr>
          <w:rFonts w:cstheme="minorHAnsi"/>
          <w:sz w:val="24"/>
          <w:szCs w:val="24"/>
        </w:rPr>
        <w:t xml:space="preserve">This article is relevant to the chosen research topic, as it provides perspective on victims being partially to blame for the incidents. </w:t>
      </w:r>
    </w:p>
    <w:p w14:paraId="61DC1F2D" w14:textId="54A4E5C0" w:rsidR="00F82C7D" w:rsidRPr="00F82C7D" w:rsidRDefault="00F82C7D" w:rsidP="00C96F13">
      <w:pPr>
        <w:pStyle w:val="NoSpacing"/>
        <w:rPr>
          <w:rFonts w:cstheme="minorHAnsi"/>
          <w:sz w:val="24"/>
          <w:szCs w:val="24"/>
        </w:rPr>
      </w:pPr>
    </w:p>
    <w:p w14:paraId="550EDFE0" w14:textId="734022A0" w:rsidR="00F82C7D" w:rsidRPr="00F82C7D" w:rsidRDefault="00F82C7D" w:rsidP="00C96F13">
      <w:pPr>
        <w:pStyle w:val="NoSpacing"/>
        <w:rPr>
          <w:rFonts w:cstheme="minorHAnsi"/>
          <w:sz w:val="24"/>
          <w:szCs w:val="24"/>
        </w:rPr>
      </w:pPr>
      <w:r w:rsidRPr="00F82C7D">
        <w:rPr>
          <w:rFonts w:cstheme="minorHAnsi"/>
          <w:sz w:val="24"/>
          <w:szCs w:val="24"/>
        </w:rPr>
        <w:t xml:space="preserve">This links well with the ‘Just World Theory’, which is the idea that good things happen to good people, and bad things happen to bad people. </w:t>
      </w:r>
    </w:p>
    <w:p w14:paraId="24EC0DDD" w14:textId="0EDCA3F1" w:rsidR="00BC3FB0" w:rsidRPr="00F82C7D" w:rsidRDefault="00BC3FB0" w:rsidP="00C96F13">
      <w:pPr>
        <w:pStyle w:val="NoSpacing"/>
        <w:rPr>
          <w:rFonts w:cstheme="minorHAnsi"/>
          <w:sz w:val="24"/>
          <w:szCs w:val="24"/>
        </w:rPr>
      </w:pPr>
    </w:p>
    <w:p w14:paraId="418A010F" w14:textId="77777777" w:rsidR="00BC3FB0" w:rsidRPr="00F82C7D" w:rsidRDefault="00BC3FB0" w:rsidP="00C96F13">
      <w:pPr>
        <w:pStyle w:val="NoSpacing"/>
        <w:rPr>
          <w:rFonts w:cstheme="minorHAnsi"/>
          <w:sz w:val="24"/>
          <w:szCs w:val="24"/>
        </w:rPr>
      </w:pPr>
    </w:p>
    <w:p w14:paraId="53E01BF0" w14:textId="579CA259" w:rsidR="00F8002C" w:rsidRPr="00F82C7D" w:rsidRDefault="00F8002C" w:rsidP="00C96F13">
      <w:pPr>
        <w:pStyle w:val="NoSpacing"/>
        <w:rPr>
          <w:rFonts w:cstheme="minorHAnsi"/>
          <w:sz w:val="24"/>
          <w:szCs w:val="24"/>
        </w:rPr>
      </w:pPr>
    </w:p>
    <w:p w14:paraId="2F0D1A35" w14:textId="536FAD7D" w:rsidR="00F8002C" w:rsidRPr="00F82C7D" w:rsidRDefault="00F8002C" w:rsidP="00C96F13">
      <w:pPr>
        <w:pStyle w:val="NoSpacing"/>
        <w:rPr>
          <w:rFonts w:cstheme="minorHAnsi"/>
          <w:b/>
          <w:bCs/>
          <w:sz w:val="24"/>
          <w:szCs w:val="24"/>
        </w:rPr>
      </w:pPr>
      <w:r w:rsidRPr="00F82C7D">
        <w:rPr>
          <w:rFonts w:cstheme="minorHAnsi"/>
          <w:b/>
          <w:bCs/>
          <w:sz w:val="24"/>
          <w:szCs w:val="24"/>
        </w:rPr>
        <w:t xml:space="preserve">Bibliography </w:t>
      </w:r>
    </w:p>
    <w:p w14:paraId="45A1C73A" w14:textId="77777777" w:rsidR="00AC040D" w:rsidRPr="00F82C7D" w:rsidRDefault="00AC040D" w:rsidP="00A36112">
      <w:pPr>
        <w:spacing w:after="0" w:line="240" w:lineRule="auto"/>
        <w:rPr>
          <w:rFonts w:cstheme="minorHAnsi"/>
          <w:sz w:val="24"/>
          <w:szCs w:val="24"/>
          <w:shd w:val="clear" w:color="auto" w:fill="FFFFFF"/>
        </w:rPr>
      </w:pPr>
    </w:p>
    <w:p w14:paraId="705553F3" w14:textId="77777777" w:rsidR="00A541EC" w:rsidRPr="00F82C7D" w:rsidRDefault="00A36112" w:rsidP="00716E19">
      <w:pPr>
        <w:pStyle w:val="NoSpacing"/>
        <w:rPr>
          <w:rFonts w:cstheme="minorHAnsi"/>
          <w:sz w:val="24"/>
          <w:szCs w:val="24"/>
        </w:rPr>
      </w:pPr>
      <w:r w:rsidRPr="00F82C7D">
        <w:rPr>
          <w:rFonts w:cstheme="minorHAnsi"/>
          <w:sz w:val="24"/>
          <w:szCs w:val="24"/>
          <w:shd w:val="clear" w:color="auto" w:fill="FFFFFF"/>
        </w:rPr>
        <w:t xml:space="preserve">Charlesworth (2022) </w:t>
      </w:r>
      <w:r w:rsidRPr="00F82C7D">
        <w:rPr>
          <w:rFonts w:cstheme="minorHAnsi"/>
          <w:i/>
          <w:iCs/>
          <w:sz w:val="24"/>
          <w:szCs w:val="24"/>
          <w:shd w:val="clear" w:color="auto" w:fill="FFFFFF"/>
        </w:rPr>
        <w:t xml:space="preserve">How to structure and write a thematic literature review. </w:t>
      </w:r>
      <w:r w:rsidRPr="00F82C7D">
        <w:rPr>
          <w:rFonts w:cstheme="minorHAnsi"/>
          <w:sz w:val="24"/>
          <w:szCs w:val="24"/>
          <w:shd w:val="clear" w:color="auto" w:fill="FFFFFF"/>
        </w:rPr>
        <w:t xml:space="preserve">Available at: </w:t>
      </w:r>
      <w:hyperlink r:id="rId6" w:anchor=":~:text=Advantages%20of%20doing%20a%20thematic%20literature%20review%201,significant%20lack%20of%20existing%20literature%2Fstudies.%20...%20More%20items" w:history="1">
        <w:r w:rsidRPr="00F82C7D">
          <w:rPr>
            <w:rStyle w:val="Hyperlink"/>
            <w:rFonts w:cstheme="minorHAnsi"/>
            <w:sz w:val="24"/>
            <w:szCs w:val="24"/>
          </w:rPr>
          <w:t>How to write a Thematic Literature Review? | CW Authors</w:t>
        </w:r>
      </w:hyperlink>
      <w:r w:rsidRPr="00F82C7D">
        <w:rPr>
          <w:rFonts w:cstheme="minorHAnsi"/>
          <w:sz w:val="24"/>
          <w:szCs w:val="24"/>
        </w:rPr>
        <w:t xml:space="preserve"> Accessed</w:t>
      </w:r>
      <w:r w:rsidR="00AC040D" w:rsidRPr="00F82C7D">
        <w:rPr>
          <w:rFonts w:cstheme="minorHAnsi"/>
          <w:sz w:val="24"/>
          <w:szCs w:val="24"/>
        </w:rPr>
        <w:t>:</w:t>
      </w:r>
      <w:r w:rsidRPr="00F82C7D">
        <w:rPr>
          <w:rFonts w:cstheme="minorHAnsi"/>
          <w:sz w:val="24"/>
          <w:szCs w:val="24"/>
        </w:rPr>
        <w:t xml:space="preserve"> 26 October 2022 </w:t>
      </w:r>
    </w:p>
    <w:p w14:paraId="6E2E235C" w14:textId="77777777" w:rsidR="00A541EC" w:rsidRPr="00F82C7D" w:rsidRDefault="00A541EC" w:rsidP="00716E19">
      <w:pPr>
        <w:pStyle w:val="NoSpacing"/>
        <w:rPr>
          <w:rFonts w:cstheme="minorHAnsi"/>
          <w:sz w:val="24"/>
          <w:szCs w:val="24"/>
        </w:rPr>
      </w:pPr>
    </w:p>
    <w:p w14:paraId="0446D8E0" w14:textId="148284D2" w:rsidR="00A541EC" w:rsidRPr="00F82C7D" w:rsidRDefault="00A541EC" w:rsidP="00716E19">
      <w:pPr>
        <w:pStyle w:val="NoSpacing"/>
        <w:rPr>
          <w:rFonts w:cstheme="minorHAnsi"/>
          <w:sz w:val="24"/>
          <w:szCs w:val="24"/>
        </w:rPr>
      </w:pPr>
      <w:r w:rsidRPr="00F82C7D">
        <w:rPr>
          <w:rFonts w:cstheme="minorHAnsi"/>
          <w:color w:val="000000"/>
          <w:sz w:val="24"/>
          <w:szCs w:val="24"/>
          <w:shd w:val="clear" w:color="auto" w:fill="FFFFFF"/>
        </w:rPr>
        <w:t>Ons.gov.uk. 2021. </w:t>
      </w:r>
      <w:r w:rsidRPr="00F82C7D">
        <w:rPr>
          <w:rFonts w:cstheme="minorHAnsi"/>
          <w:i/>
          <w:iCs/>
          <w:color w:val="000000"/>
          <w:sz w:val="24"/>
          <w:szCs w:val="24"/>
          <w:shd w:val="clear" w:color="auto" w:fill="FFFFFF"/>
        </w:rPr>
        <w:t>Sexual offences in England and Wales overview - Office for National Statistics</w:t>
      </w:r>
      <w:r w:rsidRPr="00F82C7D">
        <w:rPr>
          <w:rFonts w:cstheme="minorHAnsi"/>
          <w:color w:val="000000"/>
          <w:sz w:val="24"/>
          <w:szCs w:val="24"/>
          <w:shd w:val="clear" w:color="auto" w:fill="FFFFFF"/>
        </w:rPr>
        <w:t xml:space="preserve">. [online] Available at: &lt;https://www.ons.gov.uk/peoplepopulationandcommunity/crimeandjustice/bulletins/sexualoffencesinenglandandwalesoverview/march2020&gt; [Accessed 6 October 2022]. </w:t>
      </w:r>
    </w:p>
    <w:p w14:paraId="3BA6ACFA" w14:textId="77777777" w:rsidR="00A541EC" w:rsidRPr="00F82C7D" w:rsidRDefault="00A541EC" w:rsidP="00716E19">
      <w:pPr>
        <w:pStyle w:val="NoSpacing"/>
        <w:rPr>
          <w:rFonts w:cstheme="minorHAnsi"/>
          <w:sz w:val="24"/>
          <w:szCs w:val="24"/>
          <w:shd w:val="clear" w:color="auto" w:fill="FFFFFF"/>
        </w:rPr>
      </w:pPr>
    </w:p>
    <w:p w14:paraId="53952F37" w14:textId="20057A5A" w:rsidR="00AC040D" w:rsidRPr="00F82C7D" w:rsidRDefault="00121866" w:rsidP="00716E19">
      <w:pPr>
        <w:pStyle w:val="NoSpacing"/>
        <w:rPr>
          <w:rFonts w:cstheme="minorHAnsi"/>
          <w:sz w:val="24"/>
          <w:szCs w:val="24"/>
          <w:shd w:val="clear" w:color="auto" w:fill="FFFFFF"/>
        </w:rPr>
      </w:pPr>
      <w:r w:rsidRPr="00F82C7D">
        <w:rPr>
          <w:rFonts w:cstheme="minorHAnsi"/>
          <w:sz w:val="24"/>
          <w:szCs w:val="24"/>
          <w:shd w:val="clear" w:color="auto" w:fill="FFFFFF"/>
        </w:rPr>
        <w:t xml:space="preserve">Harper, L (2022). </w:t>
      </w:r>
      <w:r w:rsidRPr="00F82C7D">
        <w:rPr>
          <w:rFonts w:cstheme="minorHAnsi"/>
          <w:i/>
          <w:iCs/>
          <w:sz w:val="24"/>
          <w:szCs w:val="24"/>
          <w:shd w:val="clear" w:color="auto" w:fill="FFFFFF"/>
        </w:rPr>
        <w:t xml:space="preserve">The Four Theories of Victimisation. </w:t>
      </w:r>
      <w:r w:rsidRPr="00F82C7D">
        <w:rPr>
          <w:rFonts w:cstheme="minorHAnsi"/>
          <w:sz w:val="24"/>
          <w:szCs w:val="24"/>
          <w:shd w:val="clear" w:color="auto" w:fill="FFFFFF"/>
        </w:rPr>
        <w:t xml:space="preserve">Available at: </w:t>
      </w:r>
      <w:hyperlink r:id="rId7" w:anchor=":~:text=For%20the%20purpose%20of%20understanding%20and%20researching%20victimology%2C,3%20Deviant%20Place%20Theory%204%20Routine%20Activity%20Theory" w:history="1">
        <w:r w:rsidRPr="00F82C7D">
          <w:rPr>
            <w:rStyle w:val="Hyperlink"/>
            <w:rFonts w:cstheme="minorHAnsi"/>
            <w:sz w:val="24"/>
            <w:szCs w:val="24"/>
          </w:rPr>
          <w:t xml:space="preserve">The Four Theories of Victimization - </w:t>
        </w:r>
        <w:proofErr w:type="spellStart"/>
        <w:r w:rsidRPr="00F82C7D">
          <w:rPr>
            <w:rStyle w:val="Hyperlink"/>
            <w:rFonts w:cstheme="minorHAnsi"/>
            <w:sz w:val="24"/>
            <w:szCs w:val="24"/>
          </w:rPr>
          <w:t>Soapboxie</w:t>
        </w:r>
        <w:proofErr w:type="spellEnd"/>
      </w:hyperlink>
      <w:r w:rsidRPr="00F82C7D">
        <w:rPr>
          <w:rFonts w:cstheme="minorHAnsi"/>
          <w:sz w:val="24"/>
          <w:szCs w:val="24"/>
        </w:rPr>
        <w:t xml:space="preserve"> Accessed: 26 October 2022 </w:t>
      </w:r>
    </w:p>
    <w:p w14:paraId="0D33991A" w14:textId="77777777" w:rsidR="00D93995" w:rsidRPr="00F82C7D" w:rsidRDefault="00D93995" w:rsidP="00716E19">
      <w:pPr>
        <w:pStyle w:val="NoSpacing"/>
        <w:rPr>
          <w:rFonts w:cstheme="minorHAnsi"/>
          <w:sz w:val="24"/>
          <w:szCs w:val="24"/>
          <w:shd w:val="clear" w:color="auto" w:fill="FFFFFF"/>
        </w:rPr>
      </w:pPr>
    </w:p>
    <w:p w14:paraId="3FFEECCF" w14:textId="28A7FD0C" w:rsidR="00D93995" w:rsidRPr="00F82C7D" w:rsidRDefault="00D93995" w:rsidP="00716E19">
      <w:pPr>
        <w:pStyle w:val="NoSpacing"/>
        <w:rPr>
          <w:rFonts w:cstheme="minorHAnsi"/>
          <w:color w:val="000000"/>
          <w:sz w:val="24"/>
          <w:szCs w:val="24"/>
        </w:rPr>
      </w:pPr>
      <w:r w:rsidRPr="00F82C7D">
        <w:rPr>
          <w:rFonts w:cstheme="minorHAnsi"/>
          <w:color w:val="000000"/>
          <w:sz w:val="24"/>
          <w:szCs w:val="24"/>
        </w:rPr>
        <w:t>Scott, J. (2014). </w:t>
      </w:r>
      <w:r w:rsidRPr="00F82C7D">
        <w:rPr>
          <w:rFonts w:cstheme="minorHAnsi"/>
          <w:i/>
          <w:iCs/>
          <w:color w:val="000000"/>
          <w:sz w:val="24"/>
          <w:szCs w:val="24"/>
        </w:rPr>
        <w:t>A dictionary of sociology</w:t>
      </w:r>
      <w:r w:rsidRPr="00F82C7D">
        <w:rPr>
          <w:rFonts w:cstheme="minorHAnsi"/>
          <w:color w:val="000000"/>
          <w:sz w:val="24"/>
          <w:szCs w:val="24"/>
        </w:rPr>
        <w:t>. 4th ed. [online] Oxford, United Kingdom</w:t>
      </w:r>
      <w:r w:rsidRPr="00F82C7D">
        <w:rPr>
          <w:rFonts w:cstheme="minorHAnsi"/>
          <w:color w:val="000000"/>
          <w:sz w:val="24"/>
          <w:szCs w:val="24"/>
        </w:rPr>
        <w:t xml:space="preserve">: </w:t>
      </w:r>
      <w:r w:rsidRPr="00F82C7D">
        <w:rPr>
          <w:rFonts w:cstheme="minorHAnsi"/>
          <w:color w:val="000000"/>
          <w:sz w:val="24"/>
          <w:szCs w:val="24"/>
        </w:rPr>
        <w:t>Oxford University Press, Available at:</w:t>
      </w:r>
      <w:r w:rsidRPr="00F82C7D">
        <w:rPr>
          <w:rFonts w:cstheme="minorHAnsi"/>
          <w:color w:val="000000"/>
          <w:sz w:val="24"/>
          <w:szCs w:val="24"/>
        </w:rPr>
        <w:t xml:space="preserve"> </w:t>
      </w:r>
      <w:hyperlink r:id="rId8" w:history="1">
        <w:r w:rsidR="00EF6FED" w:rsidRPr="00F82C7D">
          <w:rPr>
            <w:rStyle w:val="Hyperlink"/>
            <w:rFonts w:cstheme="minorHAnsi"/>
            <w:sz w:val="24"/>
            <w:szCs w:val="24"/>
          </w:rPr>
          <w:t>https://www.oxfordreference.com/view/10.1093/acref/9780199683581.001.0001/acref-9780199683581-e-2530</w:t>
        </w:r>
      </w:hyperlink>
      <w:r w:rsidRPr="00F82C7D">
        <w:rPr>
          <w:rFonts w:cstheme="minorHAnsi"/>
          <w:color w:val="000000"/>
          <w:sz w:val="24"/>
          <w:szCs w:val="24"/>
        </w:rPr>
        <w:t>.</w:t>
      </w:r>
    </w:p>
    <w:p w14:paraId="113ECB0F" w14:textId="77777777" w:rsidR="00EF6FED" w:rsidRPr="00F82C7D" w:rsidRDefault="00EF6FED" w:rsidP="00716E19">
      <w:pPr>
        <w:pStyle w:val="NoSpacing"/>
        <w:rPr>
          <w:rFonts w:cstheme="minorHAnsi"/>
          <w:color w:val="000000"/>
          <w:sz w:val="24"/>
          <w:szCs w:val="24"/>
        </w:rPr>
      </w:pPr>
    </w:p>
    <w:p w14:paraId="6B587FB1" w14:textId="6B50750D" w:rsidR="00716E19" w:rsidRPr="00F82C7D" w:rsidRDefault="00D93995" w:rsidP="00716E19">
      <w:pPr>
        <w:pStyle w:val="NoSpacing"/>
        <w:rPr>
          <w:rFonts w:cstheme="minorHAnsi"/>
          <w:color w:val="000000"/>
          <w:sz w:val="24"/>
          <w:szCs w:val="24"/>
          <w:shd w:val="clear" w:color="auto" w:fill="FFFFFF"/>
        </w:rPr>
      </w:pPr>
      <w:r w:rsidRPr="00F82C7D">
        <w:rPr>
          <w:rFonts w:cstheme="minorHAnsi"/>
          <w:color w:val="000000"/>
          <w:sz w:val="24"/>
          <w:szCs w:val="24"/>
        </w:rPr>
        <w:t>‌</w:t>
      </w:r>
      <w:r w:rsidR="00EF6FED" w:rsidRPr="00F82C7D">
        <w:rPr>
          <w:rFonts w:cstheme="minorHAnsi"/>
          <w:color w:val="000000"/>
          <w:sz w:val="24"/>
          <w:szCs w:val="24"/>
          <w:shd w:val="clear" w:color="auto" w:fill="FFFFFF"/>
        </w:rPr>
        <w:t>Parti, K. and Robinson, R., 2021. What Hinders Victims from Reporting Sexual Violence: A Qualitative Study with Police Officers, Prosecutors, and Judges in Hungary. </w:t>
      </w:r>
      <w:r w:rsidR="00EF6FED" w:rsidRPr="00F82C7D">
        <w:rPr>
          <w:rFonts w:cstheme="minorHAnsi"/>
          <w:i/>
          <w:iCs/>
          <w:color w:val="000000"/>
          <w:sz w:val="24"/>
          <w:szCs w:val="24"/>
          <w:shd w:val="clear" w:color="auto" w:fill="FFFFFF"/>
        </w:rPr>
        <w:t>International Journal for Crime, Justice and Social Democracy</w:t>
      </w:r>
      <w:r w:rsidR="00EF6FED" w:rsidRPr="00F82C7D">
        <w:rPr>
          <w:rFonts w:cstheme="minorHAnsi"/>
          <w:color w:val="000000"/>
          <w:sz w:val="24"/>
          <w:szCs w:val="24"/>
          <w:shd w:val="clear" w:color="auto" w:fill="FFFFFF"/>
        </w:rPr>
        <w:t xml:space="preserve">, [online] 10(2), pp.159-160. Available at: &lt;http://file:///C:/Users/406671/Downloads/1851-Article%20Text-7992-1-10-20210831%20(1).pdf&gt; [Accessed 7 October 2022]. </w:t>
      </w:r>
    </w:p>
    <w:p w14:paraId="08A76C83" w14:textId="19FA8993" w:rsidR="00716E19" w:rsidRPr="00F82C7D" w:rsidRDefault="00716E19" w:rsidP="00716E19">
      <w:pPr>
        <w:pStyle w:val="NoSpacing"/>
        <w:rPr>
          <w:rFonts w:cstheme="minorHAnsi"/>
          <w:color w:val="000000"/>
          <w:sz w:val="24"/>
          <w:szCs w:val="24"/>
          <w:shd w:val="clear" w:color="auto" w:fill="FFFFFF"/>
        </w:rPr>
      </w:pPr>
    </w:p>
    <w:p w14:paraId="28A59456" w14:textId="620AD4B3" w:rsidR="00716E19" w:rsidRPr="00EF3AB9" w:rsidRDefault="00716E19" w:rsidP="00716E19">
      <w:pPr>
        <w:pStyle w:val="NormalWeb"/>
        <w:spacing w:before="0" w:beforeAutospacing="0" w:after="0" w:afterAutospacing="0" w:line="360" w:lineRule="atLeast"/>
        <w:rPr>
          <w:rFonts w:asciiTheme="minorHAnsi" w:hAnsiTheme="minorHAnsi" w:cstheme="minorHAnsi"/>
          <w:color w:val="000000"/>
          <w:sz w:val="22"/>
          <w:szCs w:val="22"/>
        </w:rPr>
      </w:pPr>
      <w:r w:rsidRPr="00F82C7D">
        <w:rPr>
          <w:rFonts w:asciiTheme="minorHAnsi" w:hAnsiTheme="minorHAnsi" w:cstheme="minorHAnsi"/>
          <w:color w:val="000000"/>
        </w:rPr>
        <w:t>von Hentig</w:t>
      </w:r>
      <w:r w:rsidRPr="00EF3AB9">
        <w:rPr>
          <w:rFonts w:asciiTheme="minorHAnsi" w:hAnsiTheme="minorHAnsi" w:cstheme="minorHAnsi"/>
          <w:color w:val="000000"/>
          <w:sz w:val="22"/>
          <w:szCs w:val="22"/>
        </w:rPr>
        <w:t>, H. (1940). Remarks on the Interaction of Perpetrator and Victim. </w:t>
      </w:r>
      <w:r w:rsidRPr="00EF3AB9">
        <w:rPr>
          <w:rFonts w:asciiTheme="minorHAnsi" w:hAnsiTheme="minorHAnsi" w:cstheme="minorHAnsi"/>
          <w:i/>
          <w:iCs/>
          <w:color w:val="000000"/>
          <w:sz w:val="22"/>
          <w:szCs w:val="22"/>
        </w:rPr>
        <w:t>Journal of Criminal Law and Criminology (1931-1951)</w:t>
      </w:r>
      <w:r w:rsidRPr="00EF3AB9">
        <w:rPr>
          <w:rFonts w:asciiTheme="minorHAnsi" w:hAnsiTheme="minorHAnsi" w:cstheme="minorHAnsi"/>
          <w:color w:val="000000"/>
          <w:sz w:val="22"/>
          <w:szCs w:val="22"/>
        </w:rPr>
        <w:t>, 31(3), p.303. doi:10.2307/1137415.</w:t>
      </w:r>
      <w:r w:rsidR="00EF3AB9" w:rsidRPr="00EF3AB9">
        <w:rPr>
          <w:rFonts w:asciiTheme="minorHAnsi" w:hAnsiTheme="minorHAnsi" w:cstheme="minorHAnsi"/>
          <w:color w:val="000000"/>
          <w:sz w:val="22"/>
          <w:szCs w:val="22"/>
        </w:rPr>
        <w:t xml:space="preserve"> </w:t>
      </w:r>
    </w:p>
    <w:p w14:paraId="548ECE16" w14:textId="058513E3" w:rsidR="00EF3AB9" w:rsidRPr="00EF3AB9" w:rsidRDefault="00EF3AB9" w:rsidP="00716E19">
      <w:pPr>
        <w:pStyle w:val="NormalWeb"/>
        <w:spacing w:before="0" w:beforeAutospacing="0" w:after="0" w:afterAutospacing="0" w:line="360" w:lineRule="atLeast"/>
        <w:rPr>
          <w:rFonts w:asciiTheme="minorHAnsi" w:hAnsiTheme="minorHAnsi" w:cstheme="minorHAnsi"/>
          <w:color w:val="000000"/>
          <w:sz w:val="22"/>
          <w:szCs w:val="22"/>
        </w:rPr>
      </w:pPr>
    </w:p>
    <w:p w14:paraId="5D58A289" w14:textId="4A0CAC53" w:rsidR="00EF3AB9" w:rsidRPr="00EF3AB9" w:rsidRDefault="00EF3AB9" w:rsidP="00EF3AB9">
      <w:pPr>
        <w:pStyle w:val="NormalWeb"/>
        <w:spacing w:before="0" w:beforeAutospacing="0" w:after="0" w:afterAutospacing="0" w:line="360" w:lineRule="atLeast"/>
        <w:rPr>
          <w:rFonts w:ascii="Calibri" w:hAnsi="Calibri" w:cs="Calibri"/>
          <w:color w:val="000000"/>
          <w:sz w:val="22"/>
          <w:szCs w:val="22"/>
        </w:rPr>
      </w:pPr>
      <w:r w:rsidRPr="00EF3AB9">
        <w:rPr>
          <w:rFonts w:ascii="Calibri" w:hAnsi="Calibri" w:cs="Calibri"/>
          <w:color w:val="000000"/>
          <w:sz w:val="22"/>
          <w:szCs w:val="22"/>
        </w:rPr>
        <w:t>Holland, J. and Holland, J. (2018). </w:t>
      </w:r>
      <w:r w:rsidRPr="00EF3AB9">
        <w:rPr>
          <w:rFonts w:ascii="Calibri" w:hAnsi="Calibri" w:cs="Calibri"/>
          <w:i/>
          <w:iCs/>
          <w:color w:val="000000"/>
          <w:sz w:val="22"/>
          <w:szCs w:val="22"/>
        </w:rPr>
        <w:t>A brief history of misogyny : the world’s oldest prejudice</w:t>
      </w:r>
      <w:r w:rsidRPr="00EF3AB9">
        <w:rPr>
          <w:rFonts w:ascii="Calibri" w:hAnsi="Calibri" w:cs="Calibri"/>
          <w:color w:val="000000"/>
          <w:sz w:val="22"/>
          <w:szCs w:val="22"/>
        </w:rPr>
        <w:t>. London: Robinson, An Imprint Of Little, Brown Book Group.</w:t>
      </w:r>
    </w:p>
    <w:p w14:paraId="26DF12BC" w14:textId="0F4A8FCA" w:rsidR="00716E19" w:rsidRPr="00EF3AB9" w:rsidRDefault="00DF5348" w:rsidP="00716E19">
      <w:pPr>
        <w:pStyle w:val="NormalWeb"/>
        <w:rPr>
          <w:rFonts w:asciiTheme="minorHAnsi" w:hAnsiTheme="minorHAnsi" w:cstheme="minorHAnsi"/>
          <w:color w:val="000000"/>
          <w:sz w:val="22"/>
          <w:szCs w:val="22"/>
        </w:rPr>
      </w:pPr>
      <w:r w:rsidRPr="00EF3AB9">
        <w:rPr>
          <w:rFonts w:asciiTheme="minorHAnsi" w:eastAsiaTheme="minorHAnsi" w:hAnsiTheme="minorHAnsi" w:cstheme="minorHAnsi"/>
          <w:sz w:val="22"/>
          <w:szCs w:val="22"/>
          <w:shd w:val="clear" w:color="auto" w:fill="FFFFFF"/>
        </w:rPr>
        <w:t xml:space="preserve">Williams, M (2022) </w:t>
      </w:r>
      <w:r w:rsidRPr="00EF3AB9">
        <w:rPr>
          <w:rFonts w:asciiTheme="minorHAnsi" w:hAnsiTheme="minorHAnsi" w:cstheme="minorHAnsi"/>
          <w:i/>
          <w:iCs/>
          <w:sz w:val="22"/>
          <w:szCs w:val="22"/>
          <w:shd w:val="clear" w:color="auto" w:fill="FFFFFF"/>
        </w:rPr>
        <w:t xml:space="preserve">Sex assault: South Wales Police officer said my top was low-cut – teenager. </w:t>
      </w:r>
      <w:r w:rsidRPr="00EF3AB9">
        <w:rPr>
          <w:rFonts w:asciiTheme="minorHAnsi" w:hAnsiTheme="minorHAnsi" w:cstheme="minorHAnsi"/>
          <w:sz w:val="22"/>
          <w:szCs w:val="22"/>
          <w:shd w:val="clear" w:color="auto" w:fill="FFFFFF"/>
        </w:rPr>
        <w:t xml:space="preserve">Available at: </w:t>
      </w:r>
      <w:hyperlink r:id="rId9" w:history="1">
        <w:r w:rsidRPr="00EF3AB9">
          <w:rPr>
            <w:rStyle w:val="Hyperlink"/>
            <w:rFonts w:asciiTheme="minorHAnsi" w:hAnsiTheme="minorHAnsi" w:cstheme="minorHAnsi"/>
            <w:sz w:val="22"/>
            <w:szCs w:val="22"/>
          </w:rPr>
          <w:t>Sex assault: South Wales Police officer said my top was low-cut – teenager - BBC News</w:t>
        </w:r>
      </w:hyperlink>
      <w:r w:rsidRPr="00EF3AB9">
        <w:rPr>
          <w:rFonts w:asciiTheme="minorHAnsi" w:hAnsiTheme="minorHAnsi" w:cstheme="minorHAnsi"/>
          <w:sz w:val="22"/>
          <w:szCs w:val="22"/>
        </w:rPr>
        <w:t xml:space="preserve"> Accessed: 26 October 2022 </w:t>
      </w:r>
    </w:p>
    <w:p w14:paraId="62AFBD0B" w14:textId="77777777" w:rsidR="00716E19" w:rsidRPr="00F82C7D" w:rsidRDefault="00716E19" w:rsidP="00716E19">
      <w:pPr>
        <w:pStyle w:val="NoSpacing"/>
        <w:rPr>
          <w:rFonts w:cstheme="minorHAnsi"/>
          <w:color w:val="000000"/>
          <w:sz w:val="24"/>
          <w:szCs w:val="24"/>
        </w:rPr>
      </w:pPr>
      <w:r w:rsidRPr="00F82C7D">
        <w:rPr>
          <w:rFonts w:cstheme="minorHAnsi"/>
          <w:color w:val="000000"/>
          <w:sz w:val="24"/>
          <w:szCs w:val="24"/>
        </w:rPr>
        <w:t>Amir, M. (1967). Victim Precipitated Forcible Rape. </w:t>
      </w:r>
      <w:r w:rsidRPr="00F82C7D">
        <w:rPr>
          <w:rFonts w:cstheme="minorHAnsi"/>
          <w:i/>
          <w:iCs/>
          <w:color w:val="000000"/>
          <w:sz w:val="24"/>
          <w:szCs w:val="24"/>
        </w:rPr>
        <w:t>The Journal of Criminal Law, Criminology, and Police Science</w:t>
      </w:r>
      <w:r w:rsidRPr="00F82C7D">
        <w:rPr>
          <w:rFonts w:cstheme="minorHAnsi"/>
          <w:color w:val="000000"/>
          <w:sz w:val="24"/>
          <w:szCs w:val="24"/>
        </w:rPr>
        <w:t>, 58(4), p.493. doi:10.2307/1141908.</w:t>
      </w:r>
    </w:p>
    <w:p w14:paraId="0AF436A0" w14:textId="77777777" w:rsidR="00716E19" w:rsidRPr="00F82C7D" w:rsidRDefault="00716E19" w:rsidP="00716E19">
      <w:pPr>
        <w:pStyle w:val="NoSpacing"/>
        <w:rPr>
          <w:rFonts w:cstheme="minorHAnsi"/>
          <w:color w:val="000000"/>
          <w:sz w:val="24"/>
          <w:szCs w:val="24"/>
        </w:rPr>
      </w:pPr>
      <w:r w:rsidRPr="00F82C7D">
        <w:rPr>
          <w:rFonts w:cstheme="minorHAnsi"/>
          <w:color w:val="000000"/>
          <w:sz w:val="24"/>
          <w:szCs w:val="24"/>
        </w:rPr>
        <w:t>‌</w:t>
      </w:r>
    </w:p>
    <w:p w14:paraId="23CE8ACB" w14:textId="77777777" w:rsidR="00716E19" w:rsidRPr="00F82C7D" w:rsidRDefault="00716E19" w:rsidP="00C96F13">
      <w:pPr>
        <w:rPr>
          <w:rFonts w:cstheme="minorHAnsi"/>
          <w:b/>
          <w:bCs/>
          <w:sz w:val="24"/>
          <w:szCs w:val="24"/>
        </w:rPr>
      </w:pPr>
    </w:p>
    <w:sectPr w:rsidR="00716E19" w:rsidRPr="00F82C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83C78"/>
    <w:multiLevelType w:val="hybridMultilevel"/>
    <w:tmpl w:val="C19040E0"/>
    <w:lvl w:ilvl="0" w:tplc="CFFA3CEE">
      <w:start w:val="1"/>
      <w:numFmt w:val="decimal"/>
      <w:lvlText w:val="%1."/>
      <w:lvlJc w:val="left"/>
      <w:pPr>
        <w:ind w:left="720" w:hanging="360"/>
      </w:pPr>
      <w:rPr>
        <w:rFonts w:eastAsiaTheme="minorHAns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94006A"/>
    <w:multiLevelType w:val="hybridMultilevel"/>
    <w:tmpl w:val="320C4F74"/>
    <w:lvl w:ilvl="0" w:tplc="E4C2A2A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D52685"/>
    <w:multiLevelType w:val="hybridMultilevel"/>
    <w:tmpl w:val="C19040E0"/>
    <w:lvl w:ilvl="0" w:tplc="FFFFFFFF">
      <w:start w:val="1"/>
      <w:numFmt w:val="decimal"/>
      <w:lvlText w:val="%1."/>
      <w:lvlJc w:val="left"/>
      <w:pPr>
        <w:ind w:left="720" w:hanging="360"/>
      </w:pPr>
      <w:rPr>
        <w:rFonts w:eastAsiaTheme="minorHAnsi" w:hint="default"/>
        <w:color w:val="auto"/>
        <w:sz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749"/>
    <w:rsid w:val="000373B9"/>
    <w:rsid w:val="00073DDA"/>
    <w:rsid w:val="00112A6A"/>
    <w:rsid w:val="00121866"/>
    <w:rsid w:val="001C7B8C"/>
    <w:rsid w:val="00224F15"/>
    <w:rsid w:val="0052573E"/>
    <w:rsid w:val="00674FF7"/>
    <w:rsid w:val="00716E19"/>
    <w:rsid w:val="007A0AFB"/>
    <w:rsid w:val="00822990"/>
    <w:rsid w:val="009927A1"/>
    <w:rsid w:val="009B1749"/>
    <w:rsid w:val="009B5F2B"/>
    <w:rsid w:val="00A36112"/>
    <w:rsid w:val="00A541EC"/>
    <w:rsid w:val="00AC040D"/>
    <w:rsid w:val="00BC3FB0"/>
    <w:rsid w:val="00C3702F"/>
    <w:rsid w:val="00C96F13"/>
    <w:rsid w:val="00D93995"/>
    <w:rsid w:val="00DA16F8"/>
    <w:rsid w:val="00DB2248"/>
    <w:rsid w:val="00DD27B5"/>
    <w:rsid w:val="00DF5348"/>
    <w:rsid w:val="00EF3AB9"/>
    <w:rsid w:val="00EF6FED"/>
    <w:rsid w:val="00F30520"/>
    <w:rsid w:val="00F8002C"/>
    <w:rsid w:val="00F82C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73C61"/>
  <w15:chartTrackingRefBased/>
  <w15:docId w15:val="{6693BD3E-577A-456C-B10D-D4A9DC5BE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1749"/>
    <w:pPr>
      <w:ind w:left="720"/>
      <w:contextualSpacing/>
    </w:pPr>
  </w:style>
  <w:style w:type="paragraph" w:styleId="NoSpacing">
    <w:name w:val="No Spacing"/>
    <w:uiPriority w:val="1"/>
    <w:qFormat/>
    <w:rsid w:val="00C96F13"/>
    <w:pPr>
      <w:spacing w:after="0" w:line="240" w:lineRule="auto"/>
    </w:pPr>
  </w:style>
  <w:style w:type="character" w:styleId="Hyperlink">
    <w:name w:val="Hyperlink"/>
    <w:basedOn w:val="DefaultParagraphFont"/>
    <w:uiPriority w:val="99"/>
    <w:unhideWhenUsed/>
    <w:rsid w:val="00A36112"/>
    <w:rPr>
      <w:color w:val="0000FF"/>
      <w:u w:val="single"/>
    </w:rPr>
  </w:style>
  <w:style w:type="paragraph" w:styleId="NormalWeb">
    <w:name w:val="Normal (Web)"/>
    <w:basedOn w:val="Normal"/>
    <w:uiPriority w:val="99"/>
    <w:unhideWhenUsed/>
    <w:rsid w:val="00D939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F6FED"/>
    <w:rPr>
      <w:color w:val="605E5C"/>
      <w:shd w:val="clear" w:color="auto" w:fill="E1DFDD"/>
    </w:rPr>
  </w:style>
  <w:style w:type="character" w:customStyle="1" w:styleId="lookup-resultcontent">
    <w:name w:val="lookup-result__content"/>
    <w:rsid w:val="00EF6F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322812">
      <w:bodyDiv w:val="1"/>
      <w:marLeft w:val="0"/>
      <w:marRight w:val="0"/>
      <w:marTop w:val="0"/>
      <w:marBottom w:val="0"/>
      <w:divBdr>
        <w:top w:val="none" w:sz="0" w:space="0" w:color="auto"/>
        <w:left w:val="none" w:sz="0" w:space="0" w:color="auto"/>
        <w:bottom w:val="none" w:sz="0" w:space="0" w:color="auto"/>
        <w:right w:val="none" w:sz="0" w:space="0" w:color="auto"/>
      </w:divBdr>
    </w:div>
    <w:div w:id="1342581354">
      <w:bodyDiv w:val="1"/>
      <w:marLeft w:val="0"/>
      <w:marRight w:val="0"/>
      <w:marTop w:val="0"/>
      <w:marBottom w:val="0"/>
      <w:divBdr>
        <w:top w:val="none" w:sz="0" w:space="0" w:color="auto"/>
        <w:left w:val="none" w:sz="0" w:space="0" w:color="auto"/>
        <w:bottom w:val="none" w:sz="0" w:space="0" w:color="auto"/>
        <w:right w:val="none" w:sz="0" w:space="0" w:color="auto"/>
      </w:divBdr>
    </w:div>
    <w:div w:id="1376587641">
      <w:bodyDiv w:val="1"/>
      <w:marLeft w:val="0"/>
      <w:marRight w:val="0"/>
      <w:marTop w:val="0"/>
      <w:marBottom w:val="0"/>
      <w:divBdr>
        <w:top w:val="none" w:sz="0" w:space="0" w:color="auto"/>
        <w:left w:val="none" w:sz="0" w:space="0" w:color="auto"/>
        <w:bottom w:val="none" w:sz="0" w:space="0" w:color="auto"/>
        <w:right w:val="none" w:sz="0" w:space="0" w:color="auto"/>
      </w:divBdr>
    </w:div>
    <w:div w:id="1423262153">
      <w:bodyDiv w:val="1"/>
      <w:marLeft w:val="0"/>
      <w:marRight w:val="0"/>
      <w:marTop w:val="0"/>
      <w:marBottom w:val="0"/>
      <w:divBdr>
        <w:top w:val="none" w:sz="0" w:space="0" w:color="auto"/>
        <w:left w:val="none" w:sz="0" w:space="0" w:color="auto"/>
        <w:bottom w:val="none" w:sz="0" w:space="0" w:color="auto"/>
        <w:right w:val="none" w:sz="0" w:space="0" w:color="auto"/>
      </w:divBdr>
    </w:div>
    <w:div w:id="1923366366">
      <w:bodyDiv w:val="1"/>
      <w:marLeft w:val="0"/>
      <w:marRight w:val="0"/>
      <w:marTop w:val="0"/>
      <w:marBottom w:val="0"/>
      <w:divBdr>
        <w:top w:val="none" w:sz="0" w:space="0" w:color="auto"/>
        <w:left w:val="none" w:sz="0" w:space="0" w:color="auto"/>
        <w:bottom w:val="none" w:sz="0" w:space="0" w:color="auto"/>
        <w:right w:val="none" w:sz="0" w:space="0" w:color="auto"/>
      </w:divBdr>
    </w:div>
    <w:div w:id="1957439917">
      <w:bodyDiv w:val="1"/>
      <w:marLeft w:val="0"/>
      <w:marRight w:val="0"/>
      <w:marTop w:val="0"/>
      <w:marBottom w:val="0"/>
      <w:divBdr>
        <w:top w:val="none" w:sz="0" w:space="0" w:color="auto"/>
        <w:left w:val="none" w:sz="0" w:space="0" w:color="auto"/>
        <w:bottom w:val="none" w:sz="0" w:space="0" w:color="auto"/>
        <w:right w:val="none" w:sz="0" w:space="0" w:color="auto"/>
      </w:divBdr>
    </w:div>
    <w:div w:id="2081437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reference.com/view/10.1093/acref/9780199683581.001.0001/acref-9780199683581-e-2530" TargetMode="External"/><Relationship Id="rId3" Type="http://schemas.openxmlformats.org/officeDocument/2006/relationships/settings" Target="settings.xml"/><Relationship Id="rId7" Type="http://schemas.openxmlformats.org/officeDocument/2006/relationships/hyperlink" Target="https://soapboxie.com/government/The-Four-Theories-of-Victimiz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wauthors.com/article/how-to-structure-and-write-a-thematic-literature-review" TargetMode="External"/><Relationship Id="rId11" Type="http://schemas.openxmlformats.org/officeDocument/2006/relationships/theme" Target="theme/theme1.xml"/><Relationship Id="rId5" Type="http://schemas.openxmlformats.org/officeDocument/2006/relationships/hyperlink" Target="https://www.oxfordreference.com/view/10.1093/acref/9780199683581.001.0001/acref-9780199683581-e-441"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uk-wales-631586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TotalTime>
  <Pages>4</Pages>
  <Words>1449</Words>
  <Characters>8263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 Katie</dc:creator>
  <cp:keywords/>
  <dc:description/>
  <cp:lastModifiedBy>Tosh, Katie</cp:lastModifiedBy>
  <cp:revision>4</cp:revision>
  <dcterms:created xsi:type="dcterms:W3CDTF">2022-10-20T16:02:00Z</dcterms:created>
  <dcterms:modified xsi:type="dcterms:W3CDTF">2022-10-26T13:30:00Z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2022-10-20T16:02:07Z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89fa0cb7-df29-416e-b70c-e29b66075c7e</vt:lpwstr>
  </property>
  <property fmtid="{D5CDD505-2E9C-101B-9397-08002B2CF9AE}" pid="8" name="MSIP_Label_f2acd28b-79a3-4a0f-b0ff-4b75658b1549_ContentBits">
    <vt:lpwstr>0</vt:lpwstr>
  </property>
</Properties>
</file>