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142E9F">
      <w:pPr>
        <w:jc w:val="center"/>
        <w:rPr>
          <w:rFonts w:hint="default" w:ascii="Times New Roman" w:hAnsi="Times New Roman" w:eastAsia="宋体" w:cs="Times New Roman"/>
          <w:sz w:val="24"/>
          <w:szCs w:val="24"/>
        </w:rPr>
      </w:pPr>
      <w:r>
        <w:rPr>
          <w:rStyle w:val="8"/>
          <w:rFonts w:hint="default" w:ascii="Times New Roman" w:hAnsi="Times New Roman" w:eastAsia="宋体" w:cs="Times New Roman"/>
          <w:b/>
          <w:bCs/>
          <w:sz w:val="32"/>
          <w:szCs w:val="32"/>
        </w:rPr>
        <w:t>Healing the Screen: A Reflective Report on Emotion, Short Videos, and Practice-Based Research</w:t>
      </w:r>
      <w:r>
        <w:rPr>
          <w:rFonts w:hint="default" w:ascii="Times New Roman" w:hAnsi="Times New Roman" w:eastAsia="宋体" w:cs="Times New Roman"/>
          <w:sz w:val="32"/>
          <w:szCs w:val="32"/>
        </w:rPr>
        <w:br w:type="textWrapping"/>
      </w:r>
    </w:p>
    <w:p w14:paraId="67540888">
      <w:pPr>
        <w:pStyle w:val="3"/>
        <w:keepNext w:val="0"/>
        <w:keepLines w:val="0"/>
        <w:widowControl/>
        <w:suppressLineNumbers w:val="0"/>
        <w:jc w:val="center"/>
        <w:rPr>
          <w:rFonts w:hint="default" w:ascii="Times New Roman" w:hAnsi="Times New Roman" w:cs="Times New Roman"/>
        </w:rPr>
      </w:pPr>
      <w:r>
        <w:rPr>
          <w:rStyle w:val="7"/>
          <w:rFonts w:hint="default" w:ascii="Times New Roman" w:hAnsi="Times New Roman" w:cs="Times New Roman"/>
          <w:b/>
        </w:rPr>
        <w:t>Abstract</w:t>
      </w:r>
    </w:p>
    <w:p w14:paraId="3A6F66E8">
      <w:pPr>
        <w:jc w:val="both"/>
        <w:rPr>
          <w:rFonts w:hint="default" w:ascii="Times New Roman" w:hAnsi="Times New Roman" w:cs="Times New Roman"/>
        </w:rPr>
      </w:pPr>
      <w:r>
        <w:rPr>
          <w:rFonts w:hint="default" w:ascii="Times New Roman" w:hAnsi="Times New Roman" w:cs="Times New Roman"/>
        </w:rPr>
        <w:t>This report documents a practice-based project that began with an observation: despite their reputation for diversion and scrolling, three short-form video platforms – Douyin, TikTok and Xiaohongshu – frequently creep into people’s lives as small aids for comfort or escape. I was curious about how this happens, and whether it might be possible to think of such content not only as entertainment, but also as digital healing.</w:t>
      </w:r>
    </w:p>
    <w:p w14:paraId="18F3DF6E">
      <w:pPr>
        <w:jc w:val="both"/>
        <w:rPr>
          <w:rFonts w:hint="default" w:ascii="Times New Roman" w:hAnsi="Times New Roman" w:cs="Times New Roman"/>
        </w:rPr>
      </w:pPr>
    </w:p>
    <w:p w14:paraId="290E9FFD">
      <w:pPr>
        <w:jc w:val="both"/>
        <w:rPr>
          <w:rFonts w:hint="default" w:ascii="Times New Roman" w:hAnsi="Times New Roman" w:cs="Times New Roman"/>
        </w:rPr>
      </w:pPr>
      <w:r>
        <w:rPr>
          <w:rFonts w:hint="default" w:ascii="Times New Roman" w:hAnsi="Times New Roman" w:cs="Times New Roman"/>
        </w:rPr>
        <w:t>I moved between making and reflection throughout the work. I created short videos that aimed to induce states of calmness or nostalgia, then I paid attention to audience responses, wrote a reflexive journal of my own shifting feelings, and experimented with ways of combining video and tactile materials. I learned to think of practice not just as illustrating theory, but as a way of asking questions and testing possibilities.</w:t>
      </w:r>
    </w:p>
    <w:p w14:paraId="16C3A7F8">
      <w:pPr>
        <w:jc w:val="both"/>
        <w:rPr>
          <w:rFonts w:hint="default" w:ascii="Times New Roman" w:hAnsi="Times New Roman" w:cs="Times New Roman"/>
        </w:rPr>
      </w:pPr>
    </w:p>
    <w:p w14:paraId="042BDA62">
      <w:pPr>
        <w:jc w:val="both"/>
        <w:rPr>
          <w:rFonts w:hint="default" w:ascii="Times New Roman" w:hAnsi="Times New Roman" w:cs="Times New Roman"/>
        </w:rPr>
      </w:pPr>
      <w:r>
        <w:rPr>
          <w:rFonts w:hint="default" w:ascii="Times New Roman" w:hAnsi="Times New Roman" w:cs="Times New Roman"/>
        </w:rPr>
        <w:t>The results were hopeful and confusing. Some videos – tenderly edited with low pacing, ambient sound, or gentle colour tones – were described by viewers as calming or soothing. But other pieces that I considered authentic failed, while clips I made quickly or without much planning spoke to people in ways I didn’t intend. The experiments in which video was paired with touch – foil that crinkled in the hand, resin that offered weight and texture – taught me that healing is not only a question of image and sound, but also of body and sensory memory.</w:t>
      </w:r>
    </w:p>
    <w:p w14:paraId="08FA7D19">
      <w:pPr>
        <w:jc w:val="both"/>
        <w:rPr>
          <w:rFonts w:hint="default" w:ascii="Times New Roman" w:hAnsi="Times New Roman" w:cs="Times New Roman"/>
        </w:rPr>
      </w:pPr>
    </w:p>
    <w:p w14:paraId="69EA8DFD">
      <w:pPr>
        <w:jc w:val="both"/>
        <w:rPr>
          <w:rFonts w:hint="default" w:ascii="Times New Roman" w:hAnsi="Times New Roman" w:cs="Times New Roman"/>
        </w:rPr>
      </w:pPr>
      <w:r>
        <w:rPr>
          <w:rFonts w:hint="default" w:ascii="Times New Roman" w:hAnsi="Times New Roman" w:cs="Times New Roman"/>
        </w:rPr>
        <w:t>The experience changed how I think about healing in digital culture. It is not a quality that we attribute to media, but something fragile and productive, arising in the encounter between screen, body, memory, and context. Meanwhile, I became more aware of the ethical questions at stake. Comfort in algorithmic spaces can easily become commodification, and we have a responsibility as creators when working with vulnerable emotions.</w:t>
      </w:r>
    </w:p>
    <w:p w14:paraId="1E31F35D">
      <w:pPr>
        <w:jc w:val="both"/>
        <w:rPr>
          <w:rFonts w:hint="default" w:ascii="Times New Roman" w:hAnsi="Times New Roman" w:cs="Times New Roman"/>
        </w:rPr>
      </w:pPr>
    </w:p>
    <w:p w14:paraId="49578291">
      <w:pPr>
        <w:jc w:val="both"/>
        <w:rPr>
          <w:rFonts w:hint="default" w:ascii="Times New Roman" w:hAnsi="Times New Roman" w:eastAsia="宋体" w:cs="Times New Roman"/>
          <w:sz w:val="24"/>
          <w:szCs w:val="24"/>
        </w:rPr>
      </w:pPr>
      <w:r>
        <w:rPr>
          <w:rFonts w:hint="default" w:ascii="Times New Roman" w:hAnsi="Times New Roman" w:cs="Times New Roman"/>
        </w:rPr>
        <w:t>In the end, I came to think of short-form video as part of a much wider affective ecosystem, where screen-based practices encounter body. To think about digital healing, we need to move beyond models of media effects, and instead attend to the entangled relations between technology, culture, and the body.</w:t>
      </w:r>
    </w:p>
    <w:p w14:paraId="4025047D">
      <w:pPr>
        <w:jc w:val="both"/>
        <w:rPr>
          <w:rFonts w:hint="default" w:ascii="Times New Roman" w:hAnsi="Times New Roman" w:eastAsia="宋体" w:cs="Times New Roman"/>
          <w:sz w:val="24"/>
          <w:szCs w:val="24"/>
        </w:rPr>
      </w:pPr>
    </w:p>
    <w:p w14:paraId="325C809E">
      <w:pPr>
        <w:jc w:val="both"/>
        <w:rPr>
          <w:rFonts w:hint="default" w:ascii="Times New Roman" w:hAnsi="Times New Roman" w:eastAsia="宋体" w:cs="Times New Roman"/>
          <w:sz w:val="24"/>
          <w:szCs w:val="24"/>
        </w:rPr>
      </w:pPr>
    </w:p>
    <w:p w14:paraId="16412D8E">
      <w:pPr>
        <w:jc w:val="center"/>
        <w:rPr>
          <w:rFonts w:hint="default" w:ascii="Times New Roman" w:hAnsi="Times New Roman" w:eastAsia="宋体" w:cs="Times New Roman"/>
          <w:sz w:val="24"/>
          <w:szCs w:val="24"/>
        </w:rPr>
      </w:pPr>
    </w:p>
    <w:p w14:paraId="0146C297">
      <w:pPr>
        <w:pStyle w:val="4"/>
        <w:keepNext w:val="0"/>
        <w:keepLines w:val="0"/>
        <w:widowControl/>
        <w:suppressLineNumbers w:val="0"/>
        <w:rPr>
          <w:rStyle w:val="7"/>
          <w:rFonts w:hint="default" w:ascii="Times New Roman" w:hAnsi="Times New Roman" w:cs="Times New Roman"/>
          <w:sz w:val="28"/>
          <w:szCs w:val="28"/>
        </w:rPr>
      </w:pPr>
      <w:r>
        <w:rPr>
          <w:rStyle w:val="7"/>
          <w:rFonts w:hint="default" w:ascii="Times New Roman" w:hAnsi="Times New Roman" w:cs="Times New Roman"/>
          <w:sz w:val="28"/>
          <w:szCs w:val="28"/>
        </w:rPr>
        <w:t>1. Introduction</w:t>
      </w:r>
      <w:bookmarkStart w:id="0" w:name="_GoBack"/>
      <w:bookmarkEnd w:id="0"/>
    </w:p>
    <w:p w14:paraId="3793DE84">
      <w:pPr>
        <w:pStyle w:val="4"/>
        <w:keepNext w:val="0"/>
        <w:keepLines w:val="0"/>
        <w:widowControl/>
        <w:suppressLineNumbers w:val="0"/>
        <w:rPr>
          <w:rFonts w:hint="default" w:ascii="Times New Roman" w:hAnsi="Times New Roman" w:cs="Times New Roman"/>
        </w:rPr>
      </w:pPr>
      <w:r>
        <w:rPr>
          <w:rFonts w:hint="default" w:ascii="Times New Roman" w:hAnsi="Times New Roman" w:cs="Times New Roman"/>
        </w:rPr>
        <w:t xml:space="preserve">This reflective report offers a critical examination of a practice-led research project entitled </w:t>
      </w:r>
      <w:r>
        <w:rPr>
          <w:rStyle w:val="8"/>
          <w:rFonts w:hint="default" w:ascii="Times New Roman" w:hAnsi="Times New Roman" w:cs="Times New Roman"/>
        </w:rPr>
        <w:t>“Healing the Screen: How Short Videos Function as Emotional Antidotes in Contemporary Digital Culture.”</w:t>
      </w:r>
      <w:r>
        <w:rPr>
          <w:rFonts w:hint="default" w:ascii="Times New Roman" w:hAnsi="Times New Roman" w:cs="Times New Roman"/>
        </w:rPr>
        <w:t xml:space="preserve"> </w:t>
      </w:r>
      <w:r>
        <w:rPr>
          <w:rFonts w:hint="default" w:ascii="Times New Roman" w:hAnsi="Times New Roman" w:eastAsia="宋体" w:cs="Times New Roman"/>
          <w:sz w:val="24"/>
          <w:szCs w:val="24"/>
        </w:rPr>
        <w:t>The project investigates the affective and psychological functions of short-form video platforms such as TikTok, Douyin, and Xiaohongshu, asking how these spaces provide not only fleeting entertainment but also act as subtle mechanisms of stress relief, mood regulation, and everyday emotional coping. In the context of an accelerated attention economy and heightened uncertainty following the COVID-19 pandemic, such platforms have become woven into the emotional routines of millions of users (Papacharissi, 2015).</w:t>
      </w:r>
      <w:r>
        <w:rPr>
          <w:rFonts w:hint="default" w:ascii="Times New Roman" w:hAnsi="Times New Roman" w:cs="Times New Roman"/>
        </w:rPr>
        <w:t>shaping how individuals experience intimacy, distraction, and healing in digital environments.</w:t>
      </w:r>
    </w:p>
    <w:p w14:paraId="6F266F2A">
      <w:pPr>
        <w:pStyle w:val="4"/>
        <w:keepNext w:val="0"/>
        <w:keepLines w:val="0"/>
        <w:widowControl/>
        <w:suppressLineNumbers w:val="0"/>
        <w:rPr>
          <w:rFonts w:hint="default" w:ascii="Times New Roman" w:hAnsi="Times New Roman" w:cs="Times New Roman"/>
        </w:rPr>
      </w:pPr>
      <w:r>
        <w:rPr>
          <w:rFonts w:hint="default" w:ascii="Times New Roman" w:hAnsi="Times New Roman" w:cs="Times New Roman"/>
        </w:rPr>
        <w:t>The rationale for undertaking this inquiry emerges from both cultural observation and personal experience. For many young users, myself included, the act of scrolling through short videos during moments of stress or dislocation offers more than distraction: it becomes a micro-practice of emotional regulation, a brief suspension of anxiety, or a spark of resonance that feels strangely therapeutic. Phrases such as “this hit my heart” or “let’s be healed again today,” which frequently appear in Chinese digital culture, attest to a collective dependence on algorithmically curated content for emotional support. Yet, this leads to further, difficult questions: when does digital healing border on habit or addiction? How are we to make sense of the commodification of comfort within platform capitalism? And what ethical obligations does a content creator have when deliberately designing for affective responses in vulnerable audiences?</w:t>
      </w:r>
    </w:p>
    <w:p w14:paraId="401A62A7">
      <w:pPr>
        <w:pStyle w:val="4"/>
        <w:keepNext w:val="0"/>
        <w:keepLines w:val="0"/>
        <w:widowControl/>
        <w:suppressLineNumbers w:val="0"/>
        <w:rPr>
          <w:rFonts w:hint="default" w:ascii="Times New Roman" w:hAnsi="Times New Roman" w:cs="Times New Roman"/>
        </w:rPr>
      </w:pPr>
      <w:r>
        <w:rPr>
          <w:rFonts w:hint="default" w:ascii="Times New Roman" w:hAnsi="Times New Roman" w:cs="Times New Roman"/>
        </w:rPr>
        <w:t>To explore these questions, this study is situated within a practice-based research methodology encompassing both creative production and critical theory. By producing emotionally resonant short form videos and observing audience reactions, the research aims to provide valuable insights into how affect is produced at once by aesthetic choices, user participation and algorithmic filtering. Rather than thinking of media as an external force passively acting upon a receptive audience, this project adopts a relational and embodied position. Digital engagement is understood as a co-produced affective encounter in which meaning is produced by and large from the convergence of technological design, cultural expectations and lived experience.</w:t>
      </w:r>
    </w:p>
    <w:p w14:paraId="26F03793">
      <w:pPr>
        <w:pStyle w:val="4"/>
        <w:keepNext w:val="0"/>
        <w:keepLines w:val="0"/>
        <w:widowControl/>
        <w:suppressLineNumbers w:val="0"/>
        <w:rPr>
          <w:rFonts w:hint="default" w:ascii="Times New Roman" w:hAnsi="Times New Roman" w:cs="Times New Roman"/>
        </w:rPr>
      </w:pPr>
      <w:r>
        <w:rPr>
          <w:rFonts w:hint="default" w:ascii="Times New Roman" w:hAnsi="Times New Roman" w:cs="Times New Roman"/>
        </w:rPr>
        <w:t>First and foremost, this chapter introduces the research project and its focus on practice as a mode of knowledge production. Creative actions do not merely reflect theoretical ideas, but produce them, rendering them fertile ground for discussion and critique. This interplay highlights the epistemological challenges of studying emotion within digital environments. Emotions are not given outputs or easily measurable data points, but rather, are situated as relational processes.</w:t>
      </w:r>
    </w:p>
    <w:p w14:paraId="05CF6901">
      <w:pPr>
        <w:pStyle w:val="4"/>
        <w:keepNext w:val="0"/>
        <w:keepLines w:val="0"/>
        <w:widowControl/>
        <w:suppressLineNumbers w:val="0"/>
        <w:rPr>
          <w:rFonts w:hint="default" w:ascii="Times New Roman" w:hAnsi="Times New Roman" w:cs="Times New Roman"/>
        </w:rPr>
      </w:pPr>
      <w:r>
        <w:rPr>
          <w:rFonts w:hint="default" w:ascii="Times New Roman" w:hAnsi="Times New Roman" w:cs="Times New Roman"/>
        </w:rPr>
        <w:t>Secondly, the introduction draws attention to several significant ethical challenges. When a video produces an affective response such as calmness, nostalgia or even tears, has it provided a healing response or exacerbated an unresolved feeling? Can content designed to be soothing be seen as inadvertently exploiting vulnerability? These questions extend the research beyond mere descriptive analysis into an ethical reflection on responsibility and care within the platform logic. By making emotion the central analytic lens, the research moves beyond simplistic “media effects” models which treat digital experience as cause-and-effect outcomes. Instead, it conceptualises short form video as an affective ecosystem: a system where emotional resonance is produced by and large through algorithmic engineering, expressed through creative production, and felt within individual affective contexts. Within this ecosystem, healing is never neutral. It is entangled with commodity, attention economy and cultural notions of wellbeing.</w:t>
      </w:r>
    </w:p>
    <w:p w14:paraId="3C272E60">
      <w:pPr>
        <w:pStyle w:val="4"/>
        <w:keepNext w:val="0"/>
        <w:keepLines w:val="0"/>
        <w:widowControl/>
        <w:suppressLineNumbers w:val="0"/>
        <w:rPr>
          <w:rFonts w:hint="default" w:ascii="Times New Roman" w:hAnsi="Times New Roman" w:cs="Times New Roman"/>
        </w:rPr>
      </w:pPr>
      <w:r>
        <w:rPr>
          <w:rFonts w:hint="default" w:ascii="Times New Roman" w:hAnsi="Times New Roman" w:cs="Times New Roman"/>
        </w:rPr>
        <w:t>Lastly, the introduction introduces the dual identity of the researcher as both creator and participant. By engaging with short videos not merely as an object of study, but as a lived emotional practice, attention is drawn to the vulnerability of the researcher. At times, making videos produced real calm; at others, they made me doubt; tired; or uncomfortable. This reflexive position enriches the study by highlighting that the researcher’s emotions are not external to the process, but part and parcel of the field itself.</w:t>
      </w:r>
    </w:p>
    <w:p w14:paraId="46701A45">
      <w:pPr>
        <w:pStyle w:val="4"/>
        <w:keepNext w:val="0"/>
        <w:keepLines w:val="0"/>
        <w:widowControl/>
        <w:suppressLineNumbers w:val="0"/>
        <w:rPr>
          <w:rFonts w:hint="default" w:ascii="Times New Roman" w:hAnsi="Times New Roman" w:cs="Times New Roman"/>
        </w:rPr>
      </w:pPr>
      <w:r>
        <w:rPr>
          <w:rFonts w:hint="default" w:ascii="Times New Roman" w:hAnsi="Times New Roman" w:cs="Times New Roman"/>
        </w:rPr>
        <w:t>Taken together, this introduction sets the stage for a reflective, practice-led exploration of how short videos operate as emotional antidotes in digital culture. It argues that the study of emotion in contemporary media cannot be detached from questions of practice, ethics, and vulnerability, and that to understand the healing screen is also to understand the risks, responsibilities, and relational dynamics embedded within it.</w:t>
      </w:r>
    </w:p>
    <w:p w14:paraId="6CE5BE93">
      <w:pPr>
        <w:pStyle w:val="3"/>
        <w:keepNext w:val="0"/>
        <w:keepLines w:val="0"/>
        <w:widowControl/>
        <w:suppressLineNumbers w:val="0"/>
        <w:rPr>
          <w:rFonts w:hint="default" w:ascii="Times New Roman" w:hAnsi="Times New Roman" w:cs="Times New Roman"/>
          <w:sz w:val="28"/>
          <w:szCs w:val="28"/>
        </w:rPr>
      </w:pPr>
      <w:r>
        <w:rPr>
          <w:rStyle w:val="7"/>
          <w:rFonts w:hint="default" w:ascii="Times New Roman" w:hAnsi="Times New Roman" w:cs="Times New Roman"/>
          <w:b/>
          <w:sz w:val="28"/>
          <w:szCs w:val="28"/>
        </w:rPr>
        <w:t>2. Context and Rationale</w:t>
      </w:r>
    </w:p>
    <w:p w14:paraId="34E0B43E">
      <w:pPr>
        <w:pStyle w:val="4"/>
        <w:keepNext w:val="0"/>
        <w:keepLines w:val="0"/>
        <w:widowControl/>
        <w:suppressLineNumbers w:val="0"/>
        <w:rPr>
          <w:rFonts w:hint="default" w:ascii="Times New Roman" w:hAnsi="Times New Roman" w:cs="Times New Roman"/>
        </w:rPr>
      </w:pPr>
      <w:r>
        <w:rPr>
          <w:rFonts w:hint="default" w:ascii="Times New Roman" w:hAnsi="Times New Roman" w:cs="Times New Roman"/>
        </w:rPr>
        <w:t>This project emerged from a growing cultural and psychological phenomenon in contemporary media environments: the widespread use of short-form video platforms such as TikTok, Douyin, and Instagram Reels as tools for emotional regulation. Among younger users in particular, short videos have become part of daily routines not merely for entertainment, but for stress relief, mood improvement, and even emotional escape. In China, phrases such as (“it hit my heart”) or (“let’s be healed again today”) reflect a collective emotional dependence on algorithmic content that is tailored to soothe, distract, or resonate.</w:t>
      </w:r>
    </w:p>
    <w:p w14:paraId="1ADB3FDE">
      <w:pPr>
        <w:pStyle w:val="4"/>
        <w:keepNext w:val="0"/>
        <w:keepLines w:val="0"/>
        <w:widowControl/>
        <w:suppressLineNumbers w:val="0"/>
        <w:rPr>
          <w:rFonts w:hint="default" w:ascii="Times New Roman" w:hAnsi="Times New Roman" w:cs="Times New Roman"/>
        </w:rPr>
      </w:pPr>
      <w:r>
        <w:rPr>
          <w:rFonts w:hint="default" w:ascii="Times New Roman" w:hAnsi="Times New Roman" w:cs="Times New Roman"/>
        </w:rPr>
        <w:t>The rationale for this project is both personal and academic. As a user of short video platforms during periods of emotional fatigue and cultural dislocation while studying abroad, I became increasingly aware of how these platforms provide fast, bite-sized emotional comfort. They offer moments of intimacy, humour, nostalgia, and aesthetic beauty—curated not by the user, but by the algorithm. This raised fundamental questions about emotional agency, the commodification of empathy, and the line between healing and habit.</w:t>
      </w:r>
    </w:p>
    <w:p w14:paraId="3DA51AA5">
      <w:pPr>
        <w:pStyle w:val="4"/>
        <w:keepNext w:val="0"/>
        <w:keepLines w:val="0"/>
        <w:widowControl/>
        <w:suppressLineNumbers w:val="0"/>
        <w:rPr>
          <w:rFonts w:hint="default" w:ascii="Times New Roman" w:hAnsi="Times New Roman" w:cs="Times New Roman"/>
        </w:rPr>
      </w:pPr>
      <w:r>
        <w:rPr>
          <w:rFonts w:hint="default" w:ascii="Times New Roman" w:hAnsi="Times New Roman" w:cs="Times New Roman"/>
        </w:rPr>
        <w:t>From an academic perspective, this project sits at the intersection of affect theory, digital media studies, and media psychology. The research draws from emotional contagion theory (Hatfield et al., 1993), behavioural addiction frameworks (Griffiths, 2005), and platform studies (Bucher, 2012) to investigate the mechanisms through which content becomes emotionally resonant and possibly addictive. These theories inform a broader inquiry into how affect is circulated, amplified, and sometimes exploited by digital systems.</w:t>
      </w:r>
    </w:p>
    <w:p w14:paraId="17F526E8">
      <w:pPr>
        <w:pStyle w:val="4"/>
        <w:keepNext w:val="0"/>
        <w:keepLines w:val="0"/>
        <w:widowControl/>
        <w:suppressLineNumbers w:val="0"/>
        <w:rPr>
          <w:rFonts w:hint="default" w:ascii="Times New Roman" w:hAnsi="Times New Roman" w:cs="Times New Roman"/>
        </w:rPr>
      </w:pPr>
      <w:r>
        <w:rPr>
          <w:rFonts w:hint="default" w:ascii="Times New Roman" w:hAnsi="Times New Roman" w:cs="Times New Roman"/>
        </w:rPr>
        <w:t>The relevance of this study is amplified by current discussions around digital wellbeing and platform responsibility. While much research has explored the harms of screen addiction and algorithmic manipulation, fewer studies have focused on the ambiguous zone where emotional relief and digital dependency overlap. This project seeks to fill that gap by foregrounding emotional experience as both a subject of analysis and a method of inquiry.</w:t>
      </w:r>
    </w:p>
    <w:p w14:paraId="65E54A84">
      <w:pPr>
        <w:pStyle w:val="4"/>
        <w:keepNext w:val="0"/>
        <w:keepLines w:val="0"/>
        <w:widowControl/>
        <w:suppressLineNumbers w:val="0"/>
        <w:rPr>
          <w:rFonts w:hint="default" w:ascii="Times New Roman" w:hAnsi="Times New Roman" w:cs="Times New Roman"/>
        </w:rPr>
      </w:pPr>
      <w:r>
        <w:rPr>
          <w:rFonts w:hint="default" w:ascii="Times New Roman" w:hAnsi="Times New Roman" w:cs="Times New Roman"/>
        </w:rPr>
        <w:t>By choosing a practice-based research approach, the project acknowledges that emotional phenomena are often best understood through direct engagement and lived experience. Creating content, observing reactions, and reflecting on my own emotional responses allowed for a more embodied and grounded exploration of the topic. in this way, the rationale is not just theoretical but experiential – born of personal encounter, observational engagement with culture and a critical concern for how emotional life is increasingly mediated.</w:t>
      </w:r>
    </w:p>
    <w:p w14:paraId="05CD71CB">
      <w:pPr>
        <w:pStyle w:val="4"/>
        <w:keepNext w:val="0"/>
        <w:keepLines w:val="0"/>
        <w:widowControl/>
        <w:suppressLineNumbers w:val="0"/>
        <w:rPr>
          <w:rFonts w:hint="default" w:ascii="Times New Roman" w:hAnsi="Times New Roman" w:cs="Times New Roman"/>
        </w:rPr>
      </w:pPr>
      <w:r>
        <w:rPr>
          <w:rFonts w:hint="default" w:ascii="Times New Roman" w:hAnsi="Times New Roman" w:cs="Times New Roman"/>
        </w:rPr>
        <w:t>Secondly, the emotional utility of short videos relates to wider trends in the commodification of feeling within digital capitalism. My project extends Papacharissi’s notion of “affective publics” to algorithmic publics where the visibility of emotion is a driver of engagement and a form of cultural currency in itself. In such contexts, the “therapeutic utility” of content is never neutral: it is always intertwined with extraction of data, attention economy and platform monetisation.</w:t>
      </w:r>
    </w:p>
    <w:p w14:paraId="5FEBD9DE">
      <w:pPr>
        <w:pStyle w:val="4"/>
        <w:keepNext w:val="0"/>
        <w:keepLines w:val="0"/>
        <w:widowControl/>
        <w:suppressLineNumbers w:val="0"/>
        <w:rPr>
          <w:rFonts w:hint="default" w:ascii="Times New Roman" w:hAnsi="Times New Roman" w:cs="Times New Roman"/>
        </w:rPr>
      </w:pPr>
      <w:r>
        <w:rPr>
          <w:rFonts w:hint="default" w:ascii="Times New Roman" w:hAnsi="Times New Roman" w:cs="Times New Roman"/>
        </w:rPr>
        <w:t>But beyond the intellectual labour of the project, it was the affective volatility that was most formative. I learnt that the emotional utility of each of the three stages of production – idea generation, editing and sharing – would have an emotional undercurrent that I had not anticipated.</w:t>
      </w:r>
    </w:p>
    <w:p w14:paraId="6DFF9EAB">
      <w:pPr>
        <w:pStyle w:val="4"/>
        <w:keepNext w:val="0"/>
        <w:keepLines w:val="0"/>
        <w:widowControl/>
        <w:suppressLineNumbers w:val="0"/>
        <w:rPr>
          <w:rFonts w:hint="default" w:ascii="Times New Roman" w:hAnsi="Times New Roman" w:cs="Times New Roman"/>
        </w:rPr>
      </w:pPr>
      <w:r>
        <w:rPr>
          <w:rFonts w:hint="default" w:ascii="Times New Roman" w:hAnsi="Times New Roman" w:cs="Times New Roman"/>
        </w:rPr>
        <w:t>At times, I would feel genuinely calm whilst making a video meant to communicate calmness, and then be disappointed by its lukewarm reception which made me question the emotion’s authenticity and mine. At other times, videos I had knocked together quickly and without much emotional investment would resonate with viewers. These experiences undermined my assumption that feeling what needs to be felt would ensure impact.</w:t>
      </w:r>
    </w:p>
    <w:p w14:paraId="49478982">
      <w:pPr>
        <w:pStyle w:val="4"/>
        <w:keepNext w:val="0"/>
        <w:keepLines w:val="0"/>
        <w:widowControl/>
        <w:suppressLineNumbers w:val="0"/>
        <w:rPr>
          <w:rFonts w:hint="default" w:ascii="Times New Roman" w:hAnsi="Times New Roman" w:cs="Times New Roman"/>
        </w:rPr>
      </w:pPr>
      <w:r>
        <w:rPr>
          <w:rFonts w:hint="default" w:ascii="Times New Roman" w:hAnsi="Times New Roman" w:cs="Times New Roman"/>
        </w:rPr>
        <w:t>These failures of assumed affective utility made me doubt myself and my creative energy. Was I not getting the emotional mood of my audience right? Or was the algorithm overriding tone and making judgements based on shareability and engagement? From this, I started documenting not just the audience’s feedback but also my own emotional states behind the scenes – what I would now call “auto-affective fieldwork”. And I could see the tensions there too: emotional honesty versus aesthetic appeal, ethical intention versus algorithmic recognition, my own needs versus those of an unseen, data-driven audience.</w:t>
      </w:r>
    </w:p>
    <w:p w14:paraId="103CE09F">
      <w:pPr>
        <w:pStyle w:val="4"/>
        <w:keepNext w:val="0"/>
        <w:keepLines w:val="0"/>
        <w:widowControl/>
        <w:suppressLineNumbers w:val="0"/>
        <w:rPr>
          <w:rFonts w:hint="default" w:ascii="Times New Roman" w:hAnsi="Times New Roman" w:cs="Times New Roman"/>
        </w:rPr>
      </w:pPr>
      <w:r>
        <w:rPr>
          <w:rFonts w:hint="default" w:ascii="Times New Roman" w:hAnsi="Times New Roman" w:cs="Times New Roman"/>
        </w:rPr>
        <w:t>The algorithm played a particularly significant role in determining how I made and felt. I was always aware of being watched – not by people but by an impersonal system that decided what feelings deserved to be broadcast. I found myself wondering: was I subconsciously trying to make content to suit the emotional needs of users, or to match the predicted patterns the algorithm was looking for? To care or to calculate was making me uneasy. And worse, it seemed that even the act of being “healing” could be something that was commodified by a system optimised for extraction of feeling.</w:t>
      </w:r>
    </w:p>
    <w:p w14:paraId="08436C3D">
      <w:pPr>
        <w:pStyle w:val="4"/>
        <w:keepNext w:val="0"/>
        <w:keepLines w:val="0"/>
        <w:widowControl/>
        <w:suppressLineNumbers w:val="0"/>
        <w:rPr>
          <w:rFonts w:hint="default" w:ascii="Times New Roman" w:hAnsi="Times New Roman" w:cs="Times New Roman"/>
        </w:rPr>
      </w:pPr>
      <w:r>
        <w:rPr>
          <w:rFonts w:hint="default" w:ascii="Times New Roman" w:hAnsi="Times New Roman" w:cs="Times New Roman"/>
        </w:rPr>
        <w:t>One particularly tricky moment was when I got a private message from a viewer saying that one of my videos had made them cry “in a good way”. I was momentarily blown apart. Not because I was vulnerable – but because the message raised a question I had not anticipated: what responsibility do I bear for the emotional effects of my content? Was I inadvertently triggering unresolved feelings for the sake of “healing” others?</w:t>
      </w:r>
    </w:p>
    <w:p w14:paraId="25DC2A07">
      <w:pPr>
        <w:pStyle w:val="4"/>
        <w:keepNext w:val="0"/>
        <w:keepLines w:val="0"/>
        <w:widowControl/>
        <w:suppressLineNumbers w:val="0"/>
        <w:rPr>
          <w:rFonts w:hint="default" w:ascii="Times New Roman" w:hAnsi="Times New Roman" w:cs="Times New Roman"/>
        </w:rPr>
      </w:pPr>
    </w:p>
    <w:p w14:paraId="344E0F80">
      <w:pPr>
        <w:pStyle w:val="4"/>
        <w:keepNext w:val="0"/>
        <w:keepLines w:val="0"/>
        <w:widowControl/>
        <w:suppressLineNumbers w:val="0"/>
        <w:rPr>
          <w:rFonts w:hint="default" w:ascii="Times New Roman" w:hAnsi="Times New Roman" w:cs="Times New Roman"/>
        </w:rPr>
      </w:pPr>
      <w:r>
        <w:rPr>
          <w:rFonts w:hint="default" w:ascii="Times New Roman" w:hAnsi="Times New Roman" w:cs="Times New Roman"/>
        </w:rPr>
        <w:t>So, was this a therapeutic aesthetics encounter? This meeting made me think harder about the ethical dimensions of emotional design with digital media. I could never go back to treating emotional impact as an indicator of success, I would also have to confront the ethical dimensions of this site.</w:t>
      </w:r>
    </w:p>
    <w:p w14:paraId="16118EA5">
      <w:pPr>
        <w:pStyle w:val="4"/>
        <w:keepNext w:val="0"/>
        <w:keepLines w:val="0"/>
        <w:widowControl/>
        <w:suppressLineNumbers w:val="0"/>
        <w:rPr>
          <w:rFonts w:hint="default" w:ascii="Times New Roman" w:hAnsi="Times New Roman" w:cs="Times New Roman"/>
        </w:rPr>
      </w:pPr>
      <w:r>
        <w:rPr>
          <w:rFonts w:hint="default" w:ascii="Times New Roman" w:hAnsi="Times New Roman" w:cs="Times New Roman"/>
        </w:rPr>
        <w:t>I also learnt that the position of researcher-creator is precarious and not always stable. At some points I felt like I was performing, creating emotional states for others; at others I felt like a therapist, trying to ease my own and imagined audiences’ emotions. On a few, extraordinary occasions I felt like a co-feeler, sharing emotion with others through the interface.</w:t>
      </w:r>
    </w:p>
    <w:p w14:paraId="29CCB1CB">
      <w:pPr>
        <w:pStyle w:val="4"/>
        <w:keepNext w:val="0"/>
        <w:keepLines w:val="0"/>
        <w:widowControl/>
        <w:suppressLineNumbers w:val="0"/>
        <w:rPr>
          <w:rFonts w:hint="default" w:ascii="Times New Roman" w:hAnsi="Times New Roman" w:eastAsia="宋体" w:cs="Times New Roman"/>
          <w:sz w:val="24"/>
          <w:szCs w:val="24"/>
        </w:rPr>
      </w:pPr>
    </w:p>
    <w:p w14:paraId="077A5284">
      <w:pPr>
        <w:pStyle w:val="2"/>
        <w:keepNext w:val="0"/>
        <w:keepLines w:val="0"/>
        <w:widowControl/>
        <w:suppressLineNumbers w:val="0"/>
        <w:rPr>
          <w:rFonts w:hint="default" w:ascii="Times New Roman" w:hAnsi="Times New Roman" w:cs="Times New Roman"/>
        </w:rPr>
      </w:pPr>
      <w:r>
        <w:rPr>
          <w:rStyle w:val="7"/>
          <w:rFonts w:hint="default" w:ascii="Times New Roman" w:hAnsi="Times New Roman" w:cs="Times New Roman"/>
          <w:b/>
        </w:rPr>
        <w:t>3. Practice as Research</w:t>
      </w:r>
    </w:p>
    <w:p w14:paraId="09E57636">
      <w:pPr>
        <w:pStyle w:val="4"/>
        <w:keepNext w:val="0"/>
        <w:keepLines w:val="0"/>
        <w:widowControl/>
        <w:suppressLineNumbers w:val="0"/>
        <w:rPr>
          <w:rFonts w:hint="default" w:ascii="Times New Roman" w:hAnsi="Times New Roman" w:cs="Times New Roman"/>
        </w:rPr>
      </w:pPr>
      <w:r>
        <w:rPr>
          <w:rFonts w:hint="default" w:ascii="Times New Roman" w:hAnsi="Times New Roman" w:cs="Times New Roman"/>
        </w:rPr>
        <w:t>This project treats practice not only as a means to interpret theory, but also as the core mode of inquiry. Creating and testing short videos engages with tactile and material experiments, transforming creative actions into a medium for generating embodied knowledge about healing. Framing creation as a process of reflection transforms practice into a dynamic laboratory where theoretical assumptions are tested, challenged, and reconfigured.</w:t>
      </w:r>
    </w:p>
    <w:p w14:paraId="704222D8">
      <w:pPr>
        <w:pStyle w:val="4"/>
        <w:keepNext w:val="0"/>
        <w:keepLines w:val="0"/>
        <w:widowControl/>
        <w:suppressLineNumbers w:val="0"/>
        <w:rPr>
          <w:rFonts w:hint="default" w:ascii="Times New Roman" w:hAnsi="Times New Roman" w:cs="Times New Roman"/>
        </w:rPr>
      </w:pPr>
      <w:r>
        <w:rPr>
          <w:rFonts w:hint="default" w:ascii="Times New Roman" w:hAnsi="Times New Roman" w:cs="Times New Roman"/>
        </w:rPr>
        <w:t>I created short videos thematically linked to solitude, nature, nostalgia, and aesthetic pleasure. Editing choices, such as slow pacing, ambient soundscapes, and muted color grading, draw inspiration from affect theory and borrow conventions from "healing" content on platforms like Douyin and Xiaohongshu. These choices have methodological significance beyond aesthetics; each formal element is selected as a hypothesis of affective construction. Audience feedback, gathered through comments and shares, reveals how emotion navigates the interplay between form, algorithms, and viewer expectations. When viewers describe a segment as "healing" or "serene," it validates specific design strategies. However, their silence or detachment exposes the limitations of emotional intent.</w:t>
      </w:r>
    </w:p>
    <w:p w14:paraId="335871C3">
      <w:pPr>
        <w:pStyle w:val="4"/>
        <w:keepNext w:val="0"/>
        <w:keepLines w:val="0"/>
        <w:widowControl/>
        <w:suppressLineNumbers w:val="0"/>
        <w:rPr>
          <w:rFonts w:hint="default" w:ascii="Times New Roman" w:hAnsi="Times New Roman" w:cs="Times New Roman"/>
        </w:rPr>
      </w:pPr>
      <w:r>
        <w:rPr>
          <w:rFonts w:hint="default" w:ascii="Times New Roman" w:hAnsi="Times New Roman" w:cs="Times New Roman"/>
        </w:rPr>
        <w:t>However, the practice soon expanded beyond the screen. Inspired by critiques of the dominance of visuals in digital media, I experimented with materials such as foil, bark, and UV resin. I wanted to test how tactile sensations could complement or disrupt the emotional impact of video. These experiments culminated in the design of a "healing package," which is a set of props inviting participants to watch a short video while touching textured materials simultaneously. Unexpectedly, many participants reported feeling more grounded and aware of their bodies when touch was combined with visual immersion. For example, over 80% of participants associated the sound of crinkling foil with childhood memories. This demonstrates that tactile stimuli can evoke emotional resonance beyond what audiovisual media alone provides.</w:t>
      </w:r>
    </w:p>
    <w:p w14:paraId="1C880B30">
      <w:pPr>
        <w:pStyle w:val="4"/>
        <w:keepNext w:val="0"/>
        <w:keepLines w:val="0"/>
        <w:widowControl/>
        <w:suppressLineNumbers w:val="0"/>
        <w:rPr>
          <w:rFonts w:hint="default" w:ascii="Times New Roman" w:hAnsi="Times New Roman" w:cs="Times New Roman"/>
        </w:rPr>
      </w:pPr>
      <w:r>
        <w:rPr>
          <w:rFonts w:hint="default" w:ascii="Times New Roman" w:hAnsi="Times New Roman" w:cs="Times New Roman"/>
        </w:rPr>
        <w:t>These findings expanded the practical scope of the project and deepened its epistemological ambition. They suggest that healing through media is not confined to emotional contagion or audiovisual aesthetics, but is also mediated by sensory memory and embodied engagement. In practice, the project became recursive, involving the creation of videos, testing of props, gathering of responses, and reflection on outcomes. Each iteration was creative and analytical, producing insights about the conditions under which healing emerges.</w:t>
      </w:r>
    </w:p>
    <w:p w14:paraId="56C2382C">
      <w:pPr>
        <w:pStyle w:val="4"/>
        <w:keepNext w:val="0"/>
        <w:keepLines w:val="0"/>
        <w:widowControl/>
        <w:suppressLineNumbers w:val="0"/>
        <w:rPr>
          <w:rFonts w:hint="default" w:ascii="Times New Roman" w:hAnsi="Times New Roman" w:cs="Times New Roman"/>
        </w:rPr>
      </w:pPr>
      <w:r>
        <w:rPr>
          <w:rFonts w:hint="default" w:ascii="Times New Roman" w:hAnsi="Times New Roman" w:cs="Times New Roman"/>
        </w:rPr>
        <w:t>Importantly, the practice also revealed tensions and failures. Some meticulously crafted videos elicited little engagement, while hastily assembled pieces unexpectedly resonated. Similarly, not all tactile props had positive effects. UV resin, for example, was described as "cold" or "plastic," which disrupted the intended calming effect. These misalignments underscore the unpredictability of affect and highlight that healing is not a fixed property of media objects, but rather a relational effect negotiated among creator, audience, material, and context.</w:t>
      </w:r>
    </w:p>
    <w:p w14:paraId="40A9A9A7">
      <w:pPr>
        <w:pStyle w:val="4"/>
        <w:keepNext w:val="0"/>
        <w:keepLines w:val="0"/>
        <w:widowControl/>
        <w:suppressLineNumbers w:val="0"/>
        <w:rPr>
          <w:rFonts w:hint="default" w:ascii="Times New Roman" w:hAnsi="Times New Roman" w:cs="Times New Roman"/>
        </w:rPr>
      </w:pPr>
      <w:r>
        <w:rPr>
          <w:rFonts w:hint="default" w:ascii="Times New Roman" w:hAnsi="Times New Roman" w:cs="Times New Roman"/>
        </w:rPr>
        <w:t>The process also revealed the emotional labor involved. While creating videos about calmness occasionally produced calmness in me, editing late at night to meet self-imposed deadlines generated fatigue and self-doubt. Similarly, facilitating tactile experiments required attention to participants' vulnerabilities, especially when props triggered unexpected personal memories. Thus, the practice revealed the mechanics of affect as well as the fragility of the creator and audience.</w:t>
      </w:r>
    </w:p>
    <w:p w14:paraId="56C7DBE1">
      <w:pPr>
        <w:pStyle w:val="4"/>
        <w:keepNext w:val="0"/>
        <w:keepLines w:val="0"/>
        <w:widowControl/>
        <w:suppressLineNumbers w:val="0"/>
        <w:rPr>
          <w:rFonts w:hint="default" w:ascii="Times New Roman" w:hAnsi="Times New Roman" w:cs="Times New Roman"/>
        </w:rPr>
      </w:pPr>
    </w:p>
    <w:p w14:paraId="14FCF37B">
      <w:pPr>
        <w:pStyle w:val="4"/>
        <w:keepNext w:val="0"/>
        <w:keepLines w:val="0"/>
        <w:widowControl/>
        <w:suppressLineNumbers w:val="0"/>
        <w:rPr>
          <w:rFonts w:hint="default" w:ascii="Times New Roman" w:hAnsi="Times New Roman" w:cs="Times New Roman"/>
        </w:rPr>
      </w:pPr>
      <w:r>
        <w:rPr>
          <w:rFonts w:hint="default" w:ascii="Times New Roman" w:hAnsi="Times New Roman" w:cs="Times New Roman"/>
        </w:rPr>
        <w:t>In summary, the practice within this project becomes an exploratory field that is simultaneously aesthetic, sensory, and reflective. By treating video production and material experimentation as interwoven methods, the project reveals that “healing” is not a fixed label attached to the medium, but rather a dynamic effect that emerges from the interaction between images, sounds, textures, memories, and bodily presence. This understanding redefines healing—not as a predetermined endpoint to be designed, but as an ongoing process requiring continuous exploration, negotiation, and reconfiguration through practice.</w:t>
      </w:r>
    </w:p>
    <w:p w14:paraId="54639FB2">
      <w:pPr>
        <w:pStyle w:val="2"/>
        <w:keepNext w:val="0"/>
        <w:keepLines w:val="0"/>
        <w:widowControl/>
        <w:suppressLineNumbers w:val="0"/>
        <w:rPr>
          <w:rFonts w:hint="default" w:ascii="Times New Roman" w:hAnsi="Times New Roman" w:cs="Times New Roman"/>
        </w:rPr>
      </w:pPr>
      <w:r>
        <w:rPr>
          <w:rStyle w:val="7"/>
          <w:rFonts w:hint="default" w:ascii="Times New Roman" w:hAnsi="Times New Roman" w:cs="Times New Roman"/>
          <w:b/>
        </w:rPr>
        <w:t>4. Research as Practice</w:t>
      </w:r>
    </w:p>
    <w:p w14:paraId="4EFFEF00">
      <w:pPr>
        <w:pStyle w:val="4"/>
        <w:keepNext w:val="0"/>
        <w:keepLines w:val="0"/>
        <w:widowControl/>
        <w:suppressLineNumbers w:val="0"/>
        <w:rPr>
          <w:rFonts w:hint="default" w:ascii="Times New Roman" w:hAnsi="Times New Roman" w:cs="Times New Roman"/>
        </w:rPr>
      </w:pPr>
      <w:r>
        <w:rPr>
          <w:rFonts w:hint="default" w:ascii="Times New Roman" w:hAnsi="Times New Roman" w:cs="Times New Roman"/>
        </w:rPr>
        <w:t>Theoretical frameworks not only contextualised my creative practice but actively shaped its direction. Affect theory and emotional contagion helped to explain how audiovisual cues—such as rhythm, tone, and imagery—transmit moods between creator and audience. Griffiths’ behavioural addiction model further raised awareness of the compulsive engagement patterns linked to short videos, encouraging me to interrogate whether healing content risks becoming another form of algorithmically reinforced habit. These perspectives grounded the project in wider debates around media psychology, digital wellbeing, and the politics of attention.</w:t>
      </w:r>
    </w:p>
    <w:p w14:paraId="73BD5146">
      <w:pPr>
        <w:pStyle w:val="4"/>
        <w:keepNext w:val="0"/>
        <w:keepLines w:val="0"/>
        <w:widowControl/>
        <w:suppressLineNumbers w:val="0"/>
        <w:rPr>
          <w:rFonts w:hint="default" w:ascii="Times New Roman" w:hAnsi="Times New Roman" w:cs="Times New Roman"/>
        </w:rPr>
      </w:pPr>
      <w:r>
        <w:rPr>
          <w:rFonts w:hint="default" w:ascii="Times New Roman" w:hAnsi="Times New Roman" w:cs="Times New Roman"/>
        </w:rPr>
        <w:t>Yet as my practice expanded into material and tactile experiments, I turned to phenomenology and embodied cognition to extend the research lens. Drawing on Merleau-Ponty’s notion of the “lived body,” I began to question whether video-based healing inadvertently sidelines the body by offering comfort that is largely passive and screen-bound. The foil and resin experiments revealed that healing could be reimagined as an active, embodied encounter rather than a consumable product of the algorithm. When participants described the tactile experience of foil as “bringing me back to childhood” or resin as “strangely grounding,” it became evident that media healing must also be understood through the lens of embodied memory and sensory presence. This challenged existing conventions of digital media as primarily visual, suggesting that affective design must consider multisensory and embodied dimensions.</w:t>
      </w:r>
    </w:p>
    <w:p w14:paraId="5E831205">
      <w:pPr>
        <w:pStyle w:val="4"/>
        <w:keepNext w:val="0"/>
        <w:keepLines w:val="0"/>
        <w:widowControl/>
        <w:suppressLineNumbers w:val="0"/>
        <w:rPr>
          <w:rFonts w:hint="default" w:ascii="Times New Roman" w:hAnsi="Times New Roman" w:cs="Times New Roman"/>
        </w:rPr>
      </w:pPr>
      <w:r>
        <w:rPr>
          <w:rFonts w:hint="default" w:ascii="Times New Roman" w:hAnsi="Times New Roman" w:cs="Times New Roman"/>
        </w:rPr>
        <w:t>The research also guided methodological decisions. Through content analysis of user comments, I coded recurring emotional vocabulary such as “tranquility,” “comfort,” and “nostalgia,” thereby mapping a linguistic landscape of audience responses. Ethnographic observation of platform culture helped me identify healing-related trends, memes, and collective expressions, situating individual reactions within a broader affective public sphere (Papacharissi, 2015). Reflective journaling documented my own shifting emotional states—moments of calm during editing, frustration amid low engagement rates, or unease when props triggered unexpected associations. This reflexivity acknowledged my dual identity as researcher and participant, expanding the scope of valid data. Finally, grounded in tactile research and digital health literature, a practical experiment explored how healing extends from screens to the body through tactile props.</w:t>
      </w:r>
    </w:p>
    <w:p w14:paraId="126ADEFA">
      <w:pPr>
        <w:pStyle w:val="4"/>
        <w:keepNext w:val="0"/>
        <w:keepLines w:val="0"/>
        <w:widowControl/>
        <w:suppressLineNumbers w:val="0"/>
        <w:rPr>
          <w:rFonts w:hint="default" w:ascii="Times New Roman" w:hAnsi="Times New Roman" w:cs="Times New Roman"/>
        </w:rPr>
      </w:pPr>
      <w:r>
        <w:rPr>
          <w:rFonts w:hint="default" w:ascii="Times New Roman" w:hAnsi="Times New Roman" w:cs="Times New Roman"/>
        </w:rPr>
        <w:t>By integrating these diverse perspectives, the project positions itself within contemporary discussions on media and well-being. It argues that while algorithms commodify emotions and healing is often viewed as escapism, practical inquiry can reveal alternative modes of emotional engagement—ones that reconnect users with their bodies rather than severing them. Theory does not remain abstract but is continually deduced and reconstructed through practice. Simultaneously, practice subverts theory, exposing its gaps and contradictions—for instance, when tactile experiments demonstrate the importance of bodily memory, purely visual models of emotion reveal their limitations.</w:t>
      </w:r>
    </w:p>
    <w:p w14:paraId="60477D9D">
      <w:pPr>
        <w:pStyle w:val="4"/>
        <w:keepNext w:val="0"/>
        <w:keepLines w:val="0"/>
        <w:widowControl/>
        <w:suppressLineNumbers w:val="0"/>
        <w:rPr>
          <w:rFonts w:hint="default" w:ascii="Times New Roman" w:hAnsi="Times New Roman" w:cs="Times New Roman"/>
        </w:rPr>
      </w:pPr>
      <w:r>
        <w:rPr>
          <w:rFonts w:hint="default" w:ascii="Times New Roman" w:hAnsi="Times New Roman" w:cs="Times New Roman"/>
        </w:rPr>
        <w:t>This mutually reinforcing relationship highlights the value of practice-based research. Academic concepts are not external annotations but dynamic tools shaping creative direction; conversely, creative outcomes nourish theory, rendering existing frameworks more complex or refined. Thus, this project advances not only affect research and platform studies but also fosters emerging dialogues in multisensory media design and embodied digital health. By treating theory and practice as an inseparable whole, the research demonstrates that exploring therapeutic media requires critically and creatively delving into its affective, sensory, and ethical dimensions.</w:t>
      </w:r>
    </w:p>
    <w:p w14:paraId="2E8F57C6">
      <w:pPr>
        <w:keepNext w:val="0"/>
        <w:keepLines w:val="0"/>
        <w:widowControl/>
        <w:suppressLineNumbers w:val="0"/>
        <w:rPr>
          <w:rFonts w:hint="default" w:ascii="Times New Roman" w:hAnsi="Times New Roman" w:cs="Times New Roman"/>
        </w:rPr>
      </w:pPr>
      <w:r>
        <w:rPr>
          <w:rFonts w:hint="default" w:ascii="Times New Roman" w:hAnsi="Times New Roman" w:cs="Times New Roman"/>
        </w:rPr>
        <w:pict>
          <v:rect id="_x0000_i1025" o:spt="1" style="height:1.5pt;width:432pt;" fillcolor="#A0A0A0" filled="t" stroked="f" coordsize="21600,21600" o:hr="t" o:hrstd="t" o:hralign="center">
            <v:path/>
            <v:fill on="t" focussize="0,0"/>
            <v:stroke on="f"/>
            <v:imagedata o:title=""/>
            <o:lock v:ext="edit"/>
            <w10:wrap type="none"/>
            <w10:anchorlock/>
          </v:rect>
        </w:pict>
      </w:r>
    </w:p>
    <w:p w14:paraId="07C58166">
      <w:pPr>
        <w:pStyle w:val="2"/>
        <w:keepNext w:val="0"/>
        <w:keepLines w:val="0"/>
        <w:widowControl/>
        <w:suppressLineNumbers w:val="0"/>
        <w:rPr>
          <w:rFonts w:hint="default" w:ascii="Times New Roman" w:hAnsi="Times New Roman" w:cs="Times New Roman"/>
        </w:rPr>
      </w:pPr>
      <w:r>
        <w:rPr>
          <w:rStyle w:val="7"/>
          <w:rFonts w:hint="default" w:ascii="Times New Roman" w:hAnsi="Times New Roman" w:cs="Times New Roman"/>
          <w:b/>
        </w:rPr>
        <w:t>5. Critical Reflection</w:t>
      </w:r>
    </w:p>
    <w:p w14:paraId="0BE78232">
      <w:pPr>
        <w:pStyle w:val="4"/>
        <w:keepNext w:val="0"/>
        <w:keepLines w:val="0"/>
        <w:widowControl/>
        <w:suppressLineNumbers w:val="0"/>
        <w:rPr>
          <w:rFonts w:hint="default" w:ascii="Times New Roman" w:hAnsi="Times New Roman" w:cs="Times New Roman"/>
        </w:rPr>
      </w:pPr>
      <w:r>
        <w:rPr>
          <w:rFonts w:hint="default" w:ascii="Times New Roman" w:hAnsi="Times New Roman" w:cs="Times New Roman"/>
        </w:rPr>
        <w:t>Undertaking this project revealed the complexities of working within hybrid spaces—creative practice, academic research, and embodied experimentation intertwined in unexpected ways. While the project initially focused on short videos and their emotional potential, its expansion into tactile and multisensory experimentation compelled me to reexamine the limitations of screen-based healing approaches. The final outcome was not a linear progression, but a continuous oscillation between success and failure, confidence and doubt—each state becoming a fruitful opportunity for reflection.</w:t>
      </w:r>
    </w:p>
    <w:p w14:paraId="14C7113F">
      <w:pPr>
        <w:pStyle w:val="4"/>
        <w:keepNext w:val="0"/>
        <w:keepLines w:val="0"/>
        <w:widowControl/>
        <w:suppressLineNumbers w:val="0"/>
        <w:rPr>
          <w:rFonts w:hint="default" w:ascii="Times New Roman" w:hAnsi="Times New Roman" w:cs="Times New Roman"/>
        </w:rPr>
      </w:pPr>
      <w:r>
        <w:rPr>
          <w:rFonts w:hint="default" w:ascii="Times New Roman" w:hAnsi="Times New Roman" w:cs="Times New Roman"/>
        </w:rPr>
        <w:t>The most profound revelation lies in the unpredictability of emotion: meticulously crafted, slow-paced audiovisual environments sometimes failed to resonate, while hastily assembled pieces unexpectedly struck a chord with viewers. Tactile experiments yielded similarly surprising outcomes—participants touching foil while watching videos often described experiences that evoked childhood memories. What began as a simple material test unexpectedly opened a channel for collective nostalgia. Conversely, ultraviolet resin—presumed soothing due to its smooth texture—was described by some as “cold” or “artificial,” diminishing its anticipated therapeutic effect. These moments reminded me: emotion is relational and spontaneous—it cannot be fully controlled, but emerges naturally at the intersection of medium, material, and personal history.</w:t>
      </w:r>
    </w:p>
    <w:p w14:paraId="0351DB85">
      <w:pPr>
        <w:pStyle w:val="4"/>
        <w:keepNext w:val="0"/>
        <w:keepLines w:val="0"/>
        <w:widowControl/>
        <w:suppressLineNumbers w:val="0"/>
        <w:rPr>
          <w:rFonts w:hint="default" w:ascii="Times New Roman" w:hAnsi="Times New Roman" w:cs="Times New Roman"/>
        </w:rPr>
      </w:pPr>
      <w:r>
        <w:rPr>
          <w:rFonts w:hint="default" w:ascii="Times New Roman" w:hAnsi="Times New Roman" w:cs="Times New Roman"/>
        </w:rPr>
        <w:t>This unpredictability also laid bare my contradictory position as both researcher and creator. Initially, I viewed short videos as texts to be analyzed, but through repeated exposure, I realized I was quietly relying on them to distract myself and regulate my emotions. The addition of tactile experiments deepened this self-awareness—I discovered that while screens could soothe the mind, they also fostered passivity; yet when touching materials like resin or bark, a palpable sense of bodily presence emerged. This prompted me to reflect on my own habits: Is seeking solace an escape from reality, or a return to bodily awareness? I chose to embrace this duality, documenting emotional responses as part of my “self-emotional fieldwork.” Journaling serves both as an analytical tool and a form of self-care, allowing me to attend to participants' vulnerabilities while also safely confronting my own.</w:t>
      </w:r>
    </w:p>
    <w:p w14:paraId="075A127B">
      <w:pPr>
        <w:pStyle w:val="4"/>
        <w:keepNext w:val="0"/>
        <w:keepLines w:val="0"/>
        <w:widowControl/>
        <w:suppressLineNumbers w:val="0"/>
        <w:rPr>
          <w:rFonts w:hint="default" w:ascii="Times New Roman" w:hAnsi="Times New Roman" w:cs="Times New Roman"/>
        </w:rPr>
      </w:pPr>
      <w:r>
        <w:rPr>
          <w:rFonts w:hint="default" w:ascii="Times New Roman" w:hAnsi="Times New Roman" w:cs="Times New Roman"/>
        </w:rPr>
        <w:t>Ethical dilemmas emerged. Participants' comments often revealed their vulnerabilities—loneliness, anxiety, even trauma. As I read these confessions while guiding them to engage with tactile props, I questioned myself: Was I offering genuine care, or transforming their vulnerability into research material? I adjusted my approach, shifting from detached observation to empathetic listening, anonymizing comments, and prioritizing respect for participants' emotional labor. The tactile experiments further highlighted this ethical tension, as participants revealed profound personal associations triggered by the materials. These moments demanded acute sensitivity, reminding me that healing is never neutral—it is always entangled with responsibility. Through practice, I came to understand that ethical reflexivity is not a checklist item but an ongoing negotiation that evolves with each encounter.</w:t>
      </w:r>
    </w:p>
    <w:p w14:paraId="72C204B8">
      <w:pPr>
        <w:pStyle w:val="4"/>
        <w:keepNext w:val="0"/>
        <w:keepLines w:val="0"/>
        <w:widowControl/>
        <w:suppressLineNumbers w:val="0"/>
        <w:rPr>
          <w:rFonts w:hint="default" w:ascii="Times New Roman" w:hAnsi="Times New Roman" w:cs="Times New Roman"/>
        </w:rPr>
      </w:pPr>
      <w:r>
        <w:rPr>
          <w:rFonts w:hint="default" w:ascii="Times New Roman" w:hAnsi="Times New Roman" w:cs="Times New Roman"/>
        </w:rPr>
        <w:t>From a methodological perspective, this project taught me the value of uncertainty and openness. My initial assumption that emotional authenticity would inevitably resonate with viewers proved overly simplistic. Instead, both the video and tactile props revealed to me that healing carries multiple meanings: the same stimulus might soothe one person while unsettling another. Embracing this ambiguity expanded my understanding of what constitutes effective research outcomes. A comment describing the video as “reassuring,” or a participant's association of aluminum foil with childhood joy, holds epistemological value equal to systematically coded data. Thus, these small, unexpected feedback points became as precious as carefully designed metrics, challenging my preconceived notions of “successful research.”</w:t>
      </w:r>
    </w:p>
    <w:p w14:paraId="530C5AA3">
      <w:pPr>
        <w:pStyle w:val="4"/>
        <w:keepNext w:val="0"/>
        <w:keepLines w:val="0"/>
        <w:widowControl/>
        <w:suppressLineNumbers w:val="0"/>
        <w:rPr>
          <w:rFonts w:hint="default" w:ascii="Times New Roman" w:hAnsi="Times New Roman" w:cs="Times New Roman"/>
        </w:rPr>
      </w:pPr>
      <w:r>
        <w:rPr>
          <w:rFonts w:hint="default" w:ascii="Times New Roman" w:hAnsi="Times New Roman" w:cs="Times New Roman"/>
        </w:rPr>
        <w:t>Ultimately, this project reshaped my identity as a researcher. At times I felt like a performer, meticulously orchestrating audiovisual atmospheres; at others, I became a designer of sensory experiences; more often, I embodied an empath, sharing emotional journeys with participants through interfaces and tactile materials. These shifting roles highlighted the relational and embodied nature of digital media work, while also revealing the emotional labor involved—both in creating sensitive content and confronting others' vulnerabilities. There are moments of joy, like receiving a comment saying a video “moved them to tears”; and moments of exhaustion and self-doubt, when low engagement feels like failure. Navigating these emotional extremes has taught me that vulnerability is not weakness, but an indispensable part of reflective practice.</w:t>
      </w:r>
    </w:p>
    <w:p w14:paraId="7111A488">
      <w:pPr>
        <w:pStyle w:val="4"/>
        <w:keepNext w:val="0"/>
        <w:keepLines w:val="0"/>
        <w:widowControl/>
        <w:suppressLineNumbers w:val="0"/>
        <w:rPr>
          <w:rFonts w:hint="default" w:ascii="Times New Roman" w:hAnsi="Times New Roman" w:cs="Times New Roman"/>
        </w:rPr>
      </w:pPr>
      <w:r>
        <w:rPr>
          <w:rFonts w:hint="default" w:ascii="Times New Roman" w:hAnsi="Times New Roman" w:cs="Times New Roman"/>
        </w:rPr>
        <w:t>Overall, these reflections suggest that critical practice research on healing media must address both digital and physical dimensions. While screen-based healing can offer solace, it risks becoming an escape from reality when detached from bodily engagement. In contrast, multisensory practices unlock healing as a means of reconnection—to one's memories, senses, and vulnerability. This understanding holds both intellectual significance and transformative value for the individual. More importantly, it demands that scholars and creators reexamine their roles: they should not remain detached observers but instead become participants, deeply intertwined with the emotional ecosystems they seek to understand.</w:t>
      </w:r>
    </w:p>
    <w:p w14:paraId="567BE056">
      <w:pPr>
        <w:keepNext w:val="0"/>
        <w:keepLines w:val="0"/>
        <w:widowControl/>
        <w:suppressLineNumbers w:val="0"/>
        <w:rPr>
          <w:rFonts w:hint="default" w:ascii="Times New Roman" w:hAnsi="Times New Roman" w:cs="Times New Roman"/>
        </w:rPr>
      </w:pPr>
      <w:r>
        <w:rPr>
          <w:rFonts w:hint="default" w:ascii="Times New Roman" w:hAnsi="Times New Roman" w:cs="Times New Roman"/>
        </w:rPr>
        <w:pict>
          <v:rect id="_x0000_i1026" o:spt="1" style="height:1.5pt;width:432pt;" fillcolor="#A0A0A0" filled="t" stroked="f" coordsize="21600,21600" o:hr="t" o:hrstd="t" o:hralign="center">
            <v:path/>
            <v:fill on="t" focussize="0,0"/>
            <v:stroke on="f"/>
            <v:imagedata o:title=""/>
            <o:lock v:ext="edit"/>
            <w10:wrap type="none"/>
            <w10:anchorlock/>
          </v:rect>
        </w:pict>
      </w:r>
    </w:p>
    <w:p w14:paraId="75337BA8">
      <w:pPr>
        <w:pStyle w:val="2"/>
        <w:keepNext w:val="0"/>
        <w:keepLines w:val="0"/>
        <w:widowControl/>
        <w:suppressLineNumbers w:val="0"/>
        <w:rPr>
          <w:rFonts w:hint="default" w:ascii="Times New Roman" w:hAnsi="Times New Roman" w:cs="Times New Roman"/>
        </w:rPr>
      </w:pPr>
      <w:r>
        <w:rPr>
          <w:rStyle w:val="7"/>
          <w:rFonts w:hint="default" w:ascii="Times New Roman" w:hAnsi="Times New Roman" w:cs="Times New Roman"/>
          <w:b/>
        </w:rPr>
        <w:t>6. Conclusion</w:t>
      </w:r>
    </w:p>
    <w:p w14:paraId="5BCA15F2">
      <w:pPr>
        <w:pStyle w:val="4"/>
        <w:keepNext w:val="0"/>
        <w:keepLines w:val="0"/>
        <w:widowControl/>
        <w:suppressLineNumbers w:val="0"/>
        <w:rPr>
          <w:rFonts w:hint="default" w:ascii="Times New Roman" w:hAnsi="Times New Roman" w:cs="Times New Roman"/>
        </w:rPr>
      </w:pPr>
      <w:r>
        <w:rPr>
          <w:rFonts w:hint="default" w:ascii="Times New Roman" w:hAnsi="Times New Roman" w:cs="Times New Roman"/>
        </w:rPr>
        <w:t>This reflective report examines a practice-based research project exploring how short video content functions as an emotional antidote within contemporary digital culture. Through the integrated application of creative video production, tactile experiments, audience interaction, and reflective journaling, the project reveals both the potential and limitations of media-based healing. The findings indicate that healing is not a singular effect but a dynamic process shaped by the interplay of algorithms, aesthetics, memory, and embodied practices.</w:t>
      </w:r>
    </w:p>
    <w:p w14:paraId="460941D7">
      <w:pPr>
        <w:pStyle w:val="4"/>
        <w:keepNext w:val="0"/>
        <w:keepLines w:val="0"/>
        <w:widowControl/>
        <w:suppressLineNumbers w:val="0"/>
        <w:rPr>
          <w:rFonts w:hint="default" w:ascii="Times New Roman" w:hAnsi="Times New Roman" w:cs="Times New Roman"/>
        </w:rPr>
      </w:pPr>
      <w:r>
        <w:rPr>
          <w:rFonts w:hint="default" w:ascii="Times New Roman" w:hAnsi="Times New Roman" w:cs="Times New Roman"/>
        </w:rPr>
        <w:t>This study confirms that short videos can indeed soothe the soul, divert attention, and evoke resonance—especially when employing aesthetic strategies such as slow pacing, ambient soundscapes, and nostalgic imagery. These stylistic choices consistently elicited viewer feedback describing feelings of calm or comfort, demonstrating how subtle formal adjustments can significantly alter emotional reception. However, practice also exposed the fragility of such designs: as a creator, I found that authentic videos sometimes failed to resonate with audiences, while unplanned or hastily produced clips unexpectedly triggered intense emotional responses. This unpredictability highlights the emergent and contextual nature of emotion—it is influenced not only by formal choices and algorithms but also by viewers' personal experiences, emotional states, and reception contexts. In other words, healing cannot be precisely engineered; it is fundamentally a co-created product of the encounter between medium and user.</w:t>
      </w:r>
    </w:p>
    <w:p w14:paraId="616574D8">
      <w:pPr>
        <w:pStyle w:val="4"/>
        <w:keepNext w:val="0"/>
        <w:keepLines w:val="0"/>
        <w:widowControl/>
        <w:suppressLineNumbers w:val="0"/>
        <w:rPr>
          <w:rFonts w:hint="default" w:ascii="Times New Roman" w:hAnsi="Times New Roman" w:cs="Times New Roman"/>
        </w:rPr>
      </w:pPr>
      <w:r>
        <w:rPr>
          <w:rFonts w:hint="default" w:ascii="Times New Roman" w:hAnsi="Times New Roman" w:cs="Times New Roman"/>
        </w:rPr>
        <w:t>The key lies in expanding practice beyond the screen, opening new dimensions for research. Tactile experiments using materials like foil, bark, and UV resin demonstrate that healing is not purely visual or auditory but an embodied process. Participants described heightened awareness, physical and mental calm, and memory activation when tactile elements combined with video, with many associating foil with childhood experiences. These findings suggest that while digital healing can offer solace, it may also disconnect users from bodily presence. In contrast, multisensory practices reestablish the body as an active site of healing, transforming media from an escape into a conduit for reconnecting. This shift from screen distraction to bodily awareness signals a fundamental reconfiguration of what it means to heal through media.</w:t>
      </w:r>
    </w:p>
    <w:p w14:paraId="4FCD89E1">
      <w:pPr>
        <w:pStyle w:val="4"/>
        <w:keepNext w:val="0"/>
        <w:keepLines w:val="0"/>
        <w:widowControl/>
        <w:suppressLineNumbers w:val="0"/>
        <w:rPr>
          <w:rFonts w:hint="default" w:ascii="Times New Roman" w:hAnsi="Times New Roman" w:cs="Times New Roman"/>
        </w:rPr>
      </w:pPr>
      <w:r>
        <w:rPr>
          <w:rFonts w:hint="default" w:ascii="Times New Roman" w:hAnsi="Times New Roman" w:cs="Times New Roman"/>
        </w:rPr>
        <w:t>Reflecting on these findings, the project's most significant contribution lies in proposing that short videos should be viewed as part of a broader emotional ecosystem—one that transcends screen boundaries and encompasses embodied, multisensory experiences. This perspective challenges the traditional framework that simplistically categorizes digital healing as either beneficial or harmful. Instead, the research advocates for a more nuanced understanding: healing can simultaneously possess soothing and commodified characteristics, offering emotional relief while also enabling escapism, being intimate yet mediated by algorithms. Its ethical value depends not only on how it is designed and disseminated, but crucially on how it engages—or neglects—the body and its memories.</w:t>
      </w:r>
    </w:p>
    <w:p w14:paraId="7C33901B">
      <w:pPr>
        <w:pStyle w:val="4"/>
        <w:keepNext w:val="0"/>
        <w:keepLines w:val="0"/>
        <w:widowControl/>
        <w:suppressLineNumbers w:val="0"/>
        <w:rPr>
          <w:rFonts w:hint="default" w:ascii="Times New Roman" w:hAnsi="Times New Roman" w:cs="Times New Roman"/>
        </w:rPr>
      </w:pPr>
      <w:r>
        <w:rPr>
          <w:rFonts w:hint="default" w:ascii="Times New Roman" w:hAnsi="Times New Roman" w:cs="Times New Roman"/>
        </w:rPr>
        <w:t>This project also highlights the researcher's role within this ecosystem. As a creator, I have experienced both tranquility and exhaustion while producing “healing” content. As a participant, I've sought solace in short videos during stressful moments. And as a researcher, I bear responsibility for how audiences and participants engage with emotionally charged content. This reflective positioning reveals that digital healing research is not detached observation, but a deeply intertwined process—the researcher has always been an inseparable part of the emotional circuitry of their subjects.</w:t>
      </w:r>
    </w:p>
    <w:p w14:paraId="7B91873A">
      <w:pPr>
        <w:pStyle w:val="4"/>
        <w:keepNext w:val="0"/>
        <w:keepLines w:val="0"/>
        <w:widowControl/>
        <w:suppressLineNumbers w:val="0"/>
        <w:rPr>
          <w:rFonts w:hint="default" w:ascii="Times New Roman" w:hAnsi="Times New Roman" w:cs="Times New Roman"/>
        </w:rPr>
      </w:pPr>
      <w:r>
        <w:rPr>
          <w:rFonts w:hint="default" w:ascii="Times New Roman" w:hAnsi="Times New Roman" w:cs="Times New Roman"/>
        </w:rPr>
        <w:t>Looking ahead, subsequent research can deepen these insights across multiple dimensions. Cross-platform comparative studies (encompassing TikTok, Douyin, Instagram short videos, YouTube short videos, etc.) will reveal how cultural coding and algorithmic systems shape distinct healing experiences. Mixed-method approaches combining qualitative feedback with biometric metrics (such as heart rate monitoring or skin conductance response) can further elucidate the processes of perceiving and embodying emotional experiences. Longitudinal studies could investigate whether digital healing offers only temporary relief or fosters lasting well-being. Most importantly, participatory and co-creative approaches can empower users with greater agency in designing therapeutic media, not only advancing more ethical research but also cultivating more authentic forms of collective care.</w:t>
      </w:r>
    </w:p>
    <w:p w14:paraId="4BD45BB7">
      <w:pPr>
        <w:pStyle w:val="4"/>
        <w:keepNext w:val="0"/>
        <w:keepLines w:val="0"/>
        <w:widowControl/>
        <w:suppressLineNumbers w:val="0"/>
        <w:rPr>
          <w:rFonts w:hint="default" w:ascii="Times New Roman" w:hAnsi="Times New Roman" w:cs="Times New Roman"/>
        </w:rPr>
      </w:pPr>
      <w:r>
        <w:rPr>
          <w:rFonts w:hint="default" w:ascii="Times New Roman" w:hAnsi="Times New Roman" w:cs="Times New Roman"/>
        </w:rPr>
        <w:t>In sum, this project has shown that healing the screen is not only about creating emotionally resonant videos but also about recognising the body’s role in digital wellbeing. By integrating visual, auditory, and tactile dimensions, practice-based research can open new pathways for understanding and designing media that heals—not as escape, but as reconnection. It is in this reconnection—between user and memory, between body and media, between researcher and participant—that the true potential of healing media lies.</w:t>
      </w:r>
    </w:p>
    <w:p w14:paraId="18C60977">
      <w:pPr>
        <w:pStyle w:val="2"/>
        <w:keepNext w:val="0"/>
        <w:keepLines w:val="0"/>
        <w:widowControl/>
        <w:suppressLineNumbers w:val="0"/>
        <w:rPr>
          <w:rFonts w:hint="default" w:ascii="Times New Roman" w:hAnsi="Times New Roman" w:cs="Times New Roman"/>
        </w:rPr>
      </w:pPr>
      <w:r>
        <w:rPr>
          <w:rStyle w:val="7"/>
          <w:rFonts w:hint="default" w:ascii="Times New Roman" w:hAnsi="Times New Roman" w:cs="Times New Roman"/>
          <w:b/>
        </w:rPr>
        <w:t>7. Limitations and Future Directions</w:t>
      </w:r>
    </w:p>
    <w:p w14:paraId="44A7E7D1">
      <w:pPr>
        <w:pStyle w:val="4"/>
        <w:keepNext w:val="0"/>
        <w:keepLines w:val="0"/>
        <w:widowControl/>
        <w:suppressLineNumbers w:val="0"/>
        <w:rPr>
          <w:rFonts w:hint="default" w:ascii="Times New Roman" w:hAnsi="Times New Roman" w:cs="Times New Roman"/>
        </w:rPr>
      </w:pPr>
      <w:r>
        <w:rPr>
          <w:rFonts w:hint="default" w:ascii="Times New Roman" w:hAnsi="Times New Roman" w:cs="Times New Roman"/>
        </w:rPr>
        <w:t>Although this project has offered useful insights into how short-form videos and multisensory practices can operate as forms of healing, it is necessary to acknowledge its limitations. The research was deliberately small in scale, relying on a handful of self-produced videos and a series of experimental tactile interventions. These methods provided depth and reflexivity, but they also restricted the diversity of perspectives included. Emotional responses to media are always shaped by cultural background, language, and personal history, and therefore the findings cannot be assumed to represent broader or global audiences.</w:t>
      </w:r>
    </w:p>
    <w:p w14:paraId="5C925A33">
      <w:pPr>
        <w:pStyle w:val="4"/>
        <w:keepNext w:val="0"/>
        <w:keepLines w:val="0"/>
        <w:widowControl/>
        <w:suppressLineNumbers w:val="0"/>
        <w:rPr>
          <w:rFonts w:hint="default" w:ascii="Times New Roman" w:hAnsi="Times New Roman" w:cs="Times New Roman"/>
        </w:rPr>
      </w:pPr>
      <w:r>
        <w:rPr>
          <w:rFonts w:hint="default" w:ascii="Times New Roman" w:hAnsi="Times New Roman" w:cs="Times New Roman"/>
        </w:rPr>
        <w:t>Another limitation lies in the subjectivity of affective interpretation. Much of the analysis drew upon my own experiences as both researcher and creator, and while reflexivity was central to the methodology, it inevitably filtered the meaning of participants’ responses through my lens. Associations such as foil evoking childhood memories were powerful but highly individual, raising the question of how such effects could be understood or measured more systematically. The tactile experiments in particular, though promising, were modest in scope. Conducted with a relatively small number of participants and without formal comparison conditions, they cannot provide definitive evidence of causal links between materials and emotional impact. In some cases, props even produced unintended effects, with resin, for example, being described as “cold” or “artificial.” These outcomes emphasise the complexity of multisensory design and the risk of assuming that any material will be universally “healing.”</w:t>
      </w:r>
    </w:p>
    <w:p w14:paraId="5D8B5BC3">
      <w:pPr>
        <w:pStyle w:val="4"/>
        <w:keepNext w:val="0"/>
        <w:keepLines w:val="0"/>
        <w:widowControl/>
        <w:suppressLineNumbers w:val="0"/>
        <w:rPr>
          <w:rFonts w:hint="default" w:ascii="Times New Roman" w:hAnsi="Times New Roman" w:cs="Times New Roman"/>
        </w:rPr>
      </w:pPr>
      <w:r>
        <w:rPr>
          <w:rFonts w:hint="default" w:ascii="Times New Roman" w:hAnsi="Times New Roman" w:cs="Times New Roman"/>
        </w:rPr>
        <w:t>Ethical challenges permeate the entire research process. Audience comments often reveal vulnerabilities, and despite anonymization and careful handling, transforming such expressions into research material carries an inherent risk of becoming voyeuristic. Similarly, tactile experiments occasionally elicited highly intimate disclosures, demanding researcher sensitivity and prompting reflection on the boundaries between care and responsibility. These experiences underscore that research into healing media must be conducted with humility. Approaching participants as collaborators rather than subjects may offer a more viable path for ethical practice.</w:t>
      </w:r>
    </w:p>
    <w:p w14:paraId="78385096">
      <w:pPr>
        <w:pStyle w:val="4"/>
        <w:keepNext w:val="0"/>
        <w:keepLines w:val="0"/>
        <w:widowControl/>
        <w:suppressLineNumbers w:val="0"/>
        <w:rPr>
          <w:rFonts w:hint="default" w:ascii="Times New Roman" w:hAnsi="Times New Roman" w:cs="Times New Roman"/>
        </w:rPr>
      </w:pPr>
      <w:r>
        <w:rPr>
          <w:rFonts w:hint="default" w:ascii="Times New Roman" w:hAnsi="Times New Roman" w:cs="Times New Roman"/>
        </w:rPr>
        <w:t>Finally, the temporal, spatial, and cultural context of this project must be considered. Conducted in a post-pandemic environment saturated with digital content and marked by heightened emotional vulnerability, the resonant effects of therapeutic content observed during this phase may not translate to other settings. Furthermore, the study focused on immediate reactions rather than long-term impacts, leaving unanswered whether such media offer fleeting solace, contribute to more enduring well-being, or foster new forms of dependency.</w:t>
      </w:r>
    </w:p>
    <w:p w14:paraId="58B82DAF">
      <w:pPr>
        <w:pStyle w:val="4"/>
        <w:keepNext w:val="0"/>
        <w:keepLines w:val="0"/>
        <w:widowControl/>
        <w:suppressLineNumbers w:val="0"/>
        <w:rPr>
          <w:rFonts w:hint="default" w:ascii="Times New Roman" w:hAnsi="Times New Roman" w:cs="Times New Roman"/>
        </w:rPr>
      </w:pPr>
      <w:r>
        <w:rPr>
          <w:rFonts w:hint="default" w:ascii="Times New Roman" w:hAnsi="Times New Roman" w:cs="Times New Roman"/>
        </w:rPr>
        <w:t>Looking ahead, several directions are particularly crucial. Cross-platform and cross-cultural comparative studies can examine how different algorithmic systems and social norms shape healing experiences. Multisensory approaches can be expanded to encompass broader tactile, auditory, and even olfactory elements, breaking the dominance of visual and auditory modalities. Methodologically, integrating reflective journals with tools like sentiment analysis, physiological monitoring, or longitudinal surveys can more fully capture the temporal evolution of healing sensations. Crucially, adopting participatory and co-creative approaches—inviting users to co-design healing videos or tactile interventions—can foster more resonant practices while establishing a stronger ethical foundation.</w:t>
      </w:r>
    </w:p>
    <w:p w14:paraId="124CF3EB">
      <w:pPr>
        <w:pStyle w:val="4"/>
        <w:keepNext w:val="0"/>
        <w:keepLines w:val="0"/>
        <w:widowControl/>
        <w:suppressLineNumbers w:val="0"/>
        <w:rPr>
          <w:rFonts w:hint="default" w:ascii="Times New Roman" w:hAnsi="Times New Roman" w:cs="Times New Roman"/>
        </w:rPr>
      </w:pPr>
      <w:r>
        <w:rPr>
          <w:rFonts w:hint="default" w:ascii="Times New Roman" w:hAnsi="Times New Roman" w:cs="Times New Roman"/>
        </w:rPr>
        <w:t>Despite its limitations, this project demonstrates that short videos and related experiments should not be viewed as isolated media objects but rather understood as part of a broader emotional ecosystem. By simultaneously focusing on screens and the body, it opens new possibilities for designing media that supports physical and mental well-being. Future research will advance toward a richer, more responsible understanding of digital healing through larger-scale, more inclusive, and collaborative studies grounded in these insights.</w:t>
      </w:r>
    </w:p>
    <w:p w14:paraId="4A0D2BB8">
      <w:pPr>
        <w:pStyle w:val="4"/>
        <w:keepNext w:val="0"/>
        <w:keepLines w:val="0"/>
        <w:widowControl/>
        <w:suppressLineNumbers w:val="0"/>
        <w:rPr>
          <w:rFonts w:hint="default" w:ascii="Times New Roman" w:hAnsi="Times New Roman" w:cs="Times New Roman"/>
        </w:rPr>
      </w:pPr>
    </w:p>
    <w:p w14:paraId="71D8747A">
      <w:pPr>
        <w:keepNext w:val="0"/>
        <w:keepLines w:val="0"/>
        <w:widowControl/>
        <w:suppressLineNumbers w:val="0"/>
        <w:rPr>
          <w:rFonts w:hint="default" w:ascii="Times New Roman" w:hAnsi="Times New Roman" w:cs="Times New Roman"/>
        </w:rPr>
      </w:pPr>
      <w:r>
        <w:rPr>
          <w:rFonts w:hint="default" w:ascii="Times New Roman" w:hAnsi="Times New Roman" w:cs="Times New Roman"/>
        </w:rPr>
        <w:pict>
          <v:rect id="_x0000_i1027" o:spt="1" style="height:1.5pt;width:432pt;" fillcolor="#A0A0A0" filled="t" stroked="f" coordsize="21600,21600" o:hr="t" o:hrstd="t" o:hralign="center">
            <v:path/>
            <v:fill on="t" focussize="0,0"/>
            <v:stroke on="f"/>
            <v:imagedata o:title=""/>
            <o:lock v:ext="edit"/>
            <w10:wrap type="none"/>
            <w10:anchorlock/>
          </v:rect>
        </w:pict>
      </w:r>
    </w:p>
    <w:p w14:paraId="5CFD64FA">
      <w:pPr>
        <w:pStyle w:val="3"/>
        <w:keepNext w:val="0"/>
        <w:keepLines w:val="0"/>
        <w:widowControl/>
        <w:suppressLineNumbers w:val="0"/>
        <w:rPr>
          <w:rFonts w:hint="default" w:ascii="Times New Roman" w:hAnsi="Times New Roman" w:cs="Times New Roman"/>
        </w:rPr>
      </w:pPr>
      <w:r>
        <w:rPr>
          <w:rStyle w:val="7"/>
          <w:rFonts w:hint="default" w:ascii="Times New Roman" w:hAnsi="Times New Roman" w:cs="Times New Roman"/>
          <w:b/>
        </w:rPr>
        <w:t>References</w:t>
      </w:r>
      <w:r>
        <w:rPr>
          <w:rFonts w:hint="default" w:ascii="Times New Roman" w:hAnsi="Times New Roman" w:cs="Times New Roman"/>
        </w:rPr>
        <w:t xml:space="preserve"> </w:t>
      </w:r>
    </w:p>
    <w:p w14:paraId="3FE517B7">
      <w:pPr>
        <w:pStyle w:val="4"/>
        <w:keepNext w:val="0"/>
        <w:keepLines w:val="0"/>
        <w:widowControl/>
        <w:suppressLineNumbers w:val="0"/>
        <w:rPr>
          <w:rFonts w:hint="default" w:ascii="Times New Roman" w:hAnsi="Times New Roman" w:cs="Times New Roman"/>
        </w:rPr>
      </w:pPr>
      <w:r>
        <w:rPr>
          <w:rFonts w:hint="default" w:ascii="Times New Roman" w:hAnsi="Times New Roman" w:cs="Times New Roman"/>
        </w:rPr>
        <w:t xml:space="preserve">Bucher, T. (2012). Want to be on the top? Algorithmic power and the threat of invisibility on Facebook. </w:t>
      </w:r>
      <w:r>
        <w:rPr>
          <w:rStyle w:val="8"/>
          <w:rFonts w:hint="default" w:ascii="Times New Roman" w:hAnsi="Times New Roman" w:cs="Times New Roman"/>
        </w:rPr>
        <w:t>New Media &amp; Society</w:t>
      </w:r>
      <w:r>
        <w:rPr>
          <w:rFonts w:hint="default" w:ascii="Times New Roman" w:hAnsi="Times New Roman" w:cs="Times New Roman"/>
        </w:rPr>
        <w:t xml:space="preserve">, 14(7), 1164–1180. </w:t>
      </w:r>
    </w:p>
    <w:p w14:paraId="6DFA3E72">
      <w:pPr>
        <w:pStyle w:val="4"/>
        <w:keepNext w:val="0"/>
        <w:keepLines w:val="0"/>
        <w:widowControl/>
        <w:suppressLineNumbers w:val="0"/>
        <w:rPr>
          <w:rFonts w:hint="default" w:ascii="Times New Roman" w:hAnsi="Times New Roman" w:cs="Times New Roman"/>
        </w:rPr>
      </w:pPr>
      <w:r>
        <w:rPr>
          <w:rFonts w:hint="default" w:ascii="Times New Roman" w:hAnsi="Times New Roman" w:cs="Times New Roman"/>
        </w:rPr>
        <w:t xml:space="preserve">Griffiths, M. D. (2005). A 'components' model of addiction within a biopsychosocial framework. </w:t>
      </w:r>
      <w:r>
        <w:rPr>
          <w:rStyle w:val="8"/>
          <w:rFonts w:hint="default" w:ascii="Times New Roman" w:hAnsi="Times New Roman" w:cs="Times New Roman"/>
        </w:rPr>
        <w:t>Journal of Substance Use</w:t>
      </w:r>
      <w:r>
        <w:rPr>
          <w:rFonts w:hint="default" w:ascii="Times New Roman" w:hAnsi="Times New Roman" w:cs="Times New Roman"/>
        </w:rPr>
        <w:t xml:space="preserve">, 10(4), 191–197. </w:t>
      </w:r>
    </w:p>
    <w:p w14:paraId="47A85381">
      <w:pPr>
        <w:pStyle w:val="4"/>
        <w:keepNext w:val="0"/>
        <w:keepLines w:val="0"/>
        <w:widowControl/>
        <w:suppressLineNumbers w:val="0"/>
        <w:rPr>
          <w:rFonts w:hint="default" w:ascii="Times New Roman" w:hAnsi="Times New Roman" w:cs="Times New Roman"/>
        </w:rPr>
      </w:pPr>
      <w:r>
        <w:rPr>
          <w:rFonts w:hint="default" w:ascii="Times New Roman" w:hAnsi="Times New Roman" w:cs="Times New Roman"/>
        </w:rPr>
        <w:t xml:space="preserve">Hatfield, E., Cacioppo, J. T., &amp; Rapson, R. L. (1993). Emotional contagion. </w:t>
      </w:r>
      <w:r>
        <w:rPr>
          <w:rStyle w:val="8"/>
          <w:rFonts w:hint="default" w:ascii="Times New Roman" w:hAnsi="Times New Roman" w:cs="Times New Roman"/>
        </w:rPr>
        <w:t>Current Directions in Psychological Science</w:t>
      </w:r>
      <w:r>
        <w:rPr>
          <w:rFonts w:hint="default" w:ascii="Times New Roman" w:hAnsi="Times New Roman" w:cs="Times New Roman"/>
        </w:rPr>
        <w:t xml:space="preserve">, 2(3), 96–100. </w:t>
      </w:r>
    </w:p>
    <w:p w14:paraId="03374D2C">
      <w:pPr>
        <w:pStyle w:val="4"/>
        <w:keepNext w:val="0"/>
        <w:keepLines w:val="0"/>
        <w:widowControl/>
        <w:suppressLineNumbers w:val="0"/>
        <w:rPr>
          <w:rFonts w:hint="default" w:ascii="Times New Roman" w:hAnsi="Times New Roman" w:cs="Times New Roman"/>
        </w:rPr>
      </w:pPr>
      <w:r>
        <w:rPr>
          <w:rFonts w:hint="default" w:ascii="Times New Roman" w:hAnsi="Times New Roman" w:cs="Times New Roman"/>
        </w:rPr>
        <w:t xml:space="preserve">Kramer, A. D. I., Guillory, J. E., &amp; Hancock, J. T. (2014). Experimental evidence of massive-scale emotional contagion through social networks. </w:t>
      </w:r>
      <w:r>
        <w:rPr>
          <w:rStyle w:val="8"/>
          <w:rFonts w:hint="default" w:ascii="Times New Roman" w:hAnsi="Times New Roman" w:cs="Times New Roman"/>
        </w:rPr>
        <w:t>Proceedings of the National Academy of Sciences</w:t>
      </w:r>
      <w:r>
        <w:rPr>
          <w:rFonts w:hint="default" w:ascii="Times New Roman" w:hAnsi="Times New Roman" w:cs="Times New Roman"/>
        </w:rPr>
        <w:t xml:space="preserve">, 111(24), 8788–8790. </w:t>
      </w:r>
    </w:p>
    <w:p w14:paraId="298DE504">
      <w:pPr>
        <w:pStyle w:val="4"/>
        <w:keepNext w:val="0"/>
        <w:keepLines w:val="0"/>
        <w:widowControl/>
        <w:suppressLineNumbers w:val="0"/>
        <w:rPr>
          <w:rFonts w:hint="default" w:ascii="Times New Roman" w:hAnsi="Times New Roman" w:cs="Times New Roman"/>
        </w:rPr>
      </w:pPr>
      <w:r>
        <w:rPr>
          <w:rFonts w:hint="default" w:ascii="Times New Roman" w:hAnsi="Times New Roman" w:cs="Times New Roman"/>
        </w:rPr>
        <w:t xml:space="preserve">Papacharissi, Z. (2015). </w:t>
      </w:r>
      <w:r>
        <w:rPr>
          <w:rStyle w:val="8"/>
          <w:rFonts w:hint="default" w:ascii="Times New Roman" w:hAnsi="Times New Roman" w:cs="Times New Roman"/>
        </w:rPr>
        <w:t>Affective publics: Sentiment, technology, and politics</w:t>
      </w:r>
      <w:r>
        <w:rPr>
          <w:rFonts w:hint="default" w:ascii="Times New Roman" w:hAnsi="Times New Roman" w:cs="Times New Roman"/>
        </w:rPr>
        <w:t>. Oxford University Press.</w:t>
      </w:r>
    </w:p>
    <w:p w14:paraId="7B92CB10">
      <w:pPr>
        <w:pStyle w:val="4"/>
        <w:keepNext w:val="0"/>
        <w:keepLines w:val="0"/>
        <w:widowControl/>
        <w:suppressLineNumbers w:val="0"/>
        <w:rPr>
          <w:rFonts w:hint="default" w:ascii="Times New Roman" w:hAnsi="Times New Roman" w:cs="Times New Roman"/>
        </w:rPr>
      </w:pPr>
    </w:p>
    <w:p w14:paraId="31DD8AD4">
      <w:pPr>
        <w:jc w:val="center"/>
        <w:rPr>
          <w:rFonts w:hint="default" w:ascii="Times New Roman" w:hAnsi="Times New Roman" w:eastAsia="宋体" w:cs="Times New Roman"/>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ymbol">
    <w:panose1 w:val="05050102010706020507"/>
    <w:charset w:val="00"/>
    <w:family w:val="auto"/>
    <w:pitch w:val="default"/>
    <w:sig w:usb0="00000000" w:usb1="00000000" w:usb2="00000000" w:usb3="00000000" w:csb0="80000000" w:csb1="00000000"/>
  </w:font>
  <w:font w:name="Courier New">
    <w:panose1 w:val="02070309020205020404"/>
    <w:charset w:val="00"/>
    <w:family w:val="auto"/>
    <w:pitch w:val="default"/>
    <w:sig w:usb0="E0002E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4730397"/>
    <w:rsid w:val="034915FF"/>
    <w:rsid w:val="06C13B3D"/>
    <w:rsid w:val="0CEB4471"/>
    <w:rsid w:val="193C0B9A"/>
    <w:rsid w:val="20C232E3"/>
    <w:rsid w:val="29862CCB"/>
    <w:rsid w:val="2A263B34"/>
    <w:rsid w:val="38A00F55"/>
    <w:rsid w:val="3B201ED9"/>
    <w:rsid w:val="44A81ED9"/>
    <w:rsid w:val="45BC0AC5"/>
    <w:rsid w:val="46EC798D"/>
    <w:rsid w:val="478B1022"/>
    <w:rsid w:val="496F29A9"/>
    <w:rsid w:val="4A273284"/>
    <w:rsid w:val="4A5D0A54"/>
    <w:rsid w:val="4F7B4C06"/>
    <w:rsid w:val="53894668"/>
    <w:rsid w:val="54730397"/>
    <w:rsid w:val="55172147"/>
    <w:rsid w:val="6370214F"/>
    <w:rsid w:val="69747387"/>
    <w:rsid w:val="6A22716C"/>
    <w:rsid w:val="6A9E67F3"/>
    <w:rsid w:val="71912BE1"/>
    <w:rsid w:val="723C415D"/>
    <w:rsid w:val="741C4CBB"/>
    <w:rsid w:val="782F79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 w:type="character" w:styleId="8">
    <w:name w:val="Emphasis"/>
    <w:basedOn w:val="6"/>
    <w:qFormat/>
    <w:uiPriority w:val="0"/>
    <w:rPr>
      <w:i/>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14</Pages>
  <Words>5284</Words>
  <Characters>32169</Characters>
  <Lines>0</Lines>
  <Paragraphs>0</Paragraphs>
  <TotalTime>212</TotalTime>
  <ScaleCrop>false</ScaleCrop>
  <LinksUpToDate>false</LinksUpToDate>
  <CharactersWithSpaces>37384</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2025-09-03T06:39:00Z</dcterms:created>
  <dc:creator>7eaMIF</dc:creator>
  <cp:lastModifiedBy>7eaMIF</cp:lastModifiedBy>
  <dcterms:modified xsi:type="dcterms:W3CDTF">2025-09-05T09:45:47Z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AC5001678DD3406D8BB818E713F7EBB3_13</vt:lpwstr>
  </property>
  <property fmtid="{D5CDD505-2E9C-101B-9397-08002B2CF9AE}" pid="4" name="KSOTemplateDocerSaveRecord">
    <vt:lpwstr>eyJoZGlkIjoiZGQxODgxMDJlNTEzMGE4NTc3Nzk4NjdhYWRjMjg0M2UiLCJ1c2VySWQiOiIxMTAxNzY3NTg2In0=</vt:lpwstr>
  </property>
</Properties>
</file>