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50018" w14:textId="77777777" w:rsidR="004D75FD" w:rsidRPr="00D66FC8" w:rsidRDefault="004D75FD" w:rsidP="004D75FD">
      <w:pPr>
        <w:pStyle w:val="Title"/>
        <w:jc w:val="center"/>
        <w:rPr>
          <w:rFonts w:ascii="Arial" w:hAnsi="Arial" w:cs="Arial"/>
        </w:rPr>
      </w:pPr>
      <w:r w:rsidRPr="00D66FC8">
        <w:rPr>
          <w:rFonts w:ascii="Arial" w:hAnsi="Arial" w:cs="Arial"/>
        </w:rPr>
        <w:t>Electric Vehicles</w:t>
      </w:r>
    </w:p>
    <w:p w14:paraId="7C71892F" w14:textId="77777777" w:rsidR="004D75FD" w:rsidRPr="00D66FC8" w:rsidRDefault="004D75FD" w:rsidP="004D75FD">
      <w:pPr>
        <w:rPr>
          <w:rFonts w:ascii="Arial" w:hAnsi="Arial" w:cs="Arial"/>
        </w:rPr>
      </w:pPr>
    </w:p>
    <w:p w14:paraId="2AA8C2A4" w14:textId="77777777" w:rsidR="004D75FD" w:rsidRPr="00D66FC8" w:rsidRDefault="004D75FD" w:rsidP="004D75FD">
      <w:pPr>
        <w:rPr>
          <w:rFonts w:ascii="Arial" w:hAnsi="Arial" w:cs="Arial"/>
        </w:rPr>
      </w:pPr>
    </w:p>
    <w:p w14:paraId="273FDD14" w14:textId="77777777" w:rsidR="004D75FD" w:rsidRPr="00D66FC8" w:rsidRDefault="004D75FD" w:rsidP="004D75FD">
      <w:pPr>
        <w:rPr>
          <w:rFonts w:ascii="Arial" w:hAnsi="Arial" w:cs="Arial"/>
        </w:rPr>
      </w:pPr>
      <w:r w:rsidRPr="00D66FC8">
        <w:rPr>
          <w:rFonts w:ascii="Arial" w:hAnsi="Arial" w:cs="Arial"/>
          <w:noProof/>
        </w:rPr>
        <w:drawing>
          <wp:inline distT="0" distB="0" distL="0" distR="0" wp14:anchorId="0351E049" wp14:editId="7716118E">
            <wp:extent cx="5727700" cy="3115310"/>
            <wp:effectExtent l="0" t="0" r="6350" b="8890"/>
            <wp:docPr id="2" name="Picture 2" descr="Image result for electric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lectric vehic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115310"/>
                    </a:xfrm>
                    <a:prstGeom prst="rect">
                      <a:avLst/>
                    </a:prstGeom>
                    <a:noFill/>
                    <a:ln>
                      <a:noFill/>
                    </a:ln>
                  </pic:spPr>
                </pic:pic>
              </a:graphicData>
            </a:graphic>
          </wp:inline>
        </w:drawing>
      </w:r>
    </w:p>
    <w:p w14:paraId="58111764" w14:textId="77777777" w:rsidR="004D75FD" w:rsidRPr="00D66FC8" w:rsidRDefault="004D75FD" w:rsidP="004D75FD">
      <w:pPr>
        <w:rPr>
          <w:rFonts w:ascii="Arial" w:hAnsi="Arial" w:cs="Arial"/>
        </w:rPr>
      </w:pPr>
    </w:p>
    <w:p w14:paraId="22BB29FA" w14:textId="77777777" w:rsidR="004D75FD" w:rsidRPr="00D66FC8" w:rsidRDefault="004D75FD" w:rsidP="004D75FD">
      <w:pPr>
        <w:rPr>
          <w:rFonts w:ascii="Arial" w:hAnsi="Arial" w:cs="Arial"/>
        </w:rPr>
      </w:pPr>
    </w:p>
    <w:p w14:paraId="01461CB6" w14:textId="77777777" w:rsidR="004D75FD" w:rsidRPr="00D66FC8" w:rsidRDefault="004D75FD" w:rsidP="004D75FD">
      <w:pPr>
        <w:rPr>
          <w:rFonts w:ascii="Arial" w:hAnsi="Arial" w:cs="Arial"/>
        </w:rPr>
      </w:pPr>
    </w:p>
    <w:p w14:paraId="79C83121" w14:textId="77777777" w:rsidR="004D75FD" w:rsidRPr="00D66FC8" w:rsidRDefault="004D75FD" w:rsidP="004D75FD">
      <w:pPr>
        <w:rPr>
          <w:rFonts w:ascii="Arial" w:hAnsi="Arial" w:cs="Arial"/>
        </w:rPr>
      </w:pPr>
    </w:p>
    <w:p w14:paraId="1011B5FB" w14:textId="77777777" w:rsidR="004D75FD" w:rsidRPr="00D66FC8" w:rsidRDefault="004D75FD" w:rsidP="004D75FD">
      <w:pPr>
        <w:rPr>
          <w:rFonts w:ascii="Arial" w:hAnsi="Arial" w:cs="Arial"/>
        </w:rPr>
      </w:pPr>
    </w:p>
    <w:p w14:paraId="127F07EC" w14:textId="77777777" w:rsidR="004D75FD" w:rsidRDefault="004D75FD" w:rsidP="004D75FD">
      <w:pPr>
        <w:jc w:val="center"/>
        <w:rPr>
          <w:rFonts w:ascii="Arial" w:hAnsi="Arial" w:cs="Arial"/>
          <w:b/>
          <w:bCs/>
        </w:rPr>
      </w:pPr>
      <w:r w:rsidRPr="007F4ABC">
        <w:rPr>
          <w:rFonts w:ascii="Arial" w:hAnsi="Arial" w:cs="Arial"/>
          <w:b/>
          <w:bCs/>
        </w:rPr>
        <w:t>Prepared for</w:t>
      </w:r>
    </w:p>
    <w:p w14:paraId="2E5FA2E1" w14:textId="77777777" w:rsidR="004D75FD" w:rsidRPr="007F4ABC" w:rsidRDefault="004D75FD" w:rsidP="004D75FD">
      <w:pPr>
        <w:jc w:val="center"/>
        <w:rPr>
          <w:rFonts w:ascii="Arial" w:hAnsi="Arial" w:cs="Arial"/>
          <w:b/>
          <w:bCs/>
        </w:rPr>
      </w:pPr>
    </w:p>
    <w:p w14:paraId="25F869C8" w14:textId="1C846A2C" w:rsidR="004D75FD" w:rsidRDefault="004D75FD" w:rsidP="004D75FD">
      <w:pPr>
        <w:jc w:val="center"/>
        <w:rPr>
          <w:rFonts w:ascii="Arial" w:hAnsi="Arial" w:cs="Arial"/>
          <w:b/>
          <w:bCs/>
        </w:rPr>
      </w:pPr>
      <w:r w:rsidRPr="007F4ABC">
        <w:rPr>
          <w:rFonts w:ascii="Arial" w:hAnsi="Arial" w:cs="Arial"/>
          <w:b/>
          <w:bCs/>
        </w:rPr>
        <w:t xml:space="preserve">Dr. </w:t>
      </w:r>
      <w:proofErr w:type="spellStart"/>
      <w:r>
        <w:rPr>
          <w:rFonts w:ascii="Arial" w:hAnsi="Arial" w:cs="Arial"/>
          <w:b/>
          <w:bCs/>
        </w:rPr>
        <w:t>Rexon</w:t>
      </w:r>
      <w:proofErr w:type="spellEnd"/>
      <w:r>
        <w:rPr>
          <w:rFonts w:ascii="Arial" w:hAnsi="Arial" w:cs="Arial"/>
          <w:b/>
          <w:bCs/>
        </w:rPr>
        <w:t xml:space="preserve"> Night</w:t>
      </w:r>
    </w:p>
    <w:p w14:paraId="1EE9D1E2" w14:textId="796280AB" w:rsidR="009956E9" w:rsidRDefault="00EA11AA" w:rsidP="004D75FD">
      <w:pPr>
        <w:jc w:val="center"/>
        <w:rPr>
          <w:rFonts w:ascii="Arial" w:hAnsi="Arial" w:cs="Arial"/>
          <w:b/>
          <w:bCs/>
        </w:rPr>
      </w:pPr>
      <w:r>
        <w:rPr>
          <w:rFonts w:ascii="Arial" w:hAnsi="Arial" w:cs="Arial"/>
          <w:b/>
          <w:bCs/>
        </w:rPr>
        <w:t xml:space="preserve">Syed </w:t>
      </w:r>
      <w:proofErr w:type="spellStart"/>
      <w:r>
        <w:rPr>
          <w:rFonts w:ascii="Arial" w:hAnsi="Arial" w:cs="Arial"/>
          <w:b/>
          <w:bCs/>
        </w:rPr>
        <w:t>Jaffery</w:t>
      </w:r>
      <w:proofErr w:type="spellEnd"/>
    </w:p>
    <w:p w14:paraId="0E40CF5D" w14:textId="3C00B89F" w:rsidR="009956E9" w:rsidRDefault="009956E9" w:rsidP="004D75FD">
      <w:pPr>
        <w:jc w:val="center"/>
        <w:rPr>
          <w:rFonts w:ascii="Segoe UI" w:hAnsi="Segoe UI" w:cs="Segoe UI"/>
          <w:color w:val="373A3C"/>
          <w:shd w:val="clear" w:color="auto" w:fill="FFF6AE"/>
        </w:rPr>
      </w:pPr>
    </w:p>
    <w:p w14:paraId="485FC138" w14:textId="77777777" w:rsidR="009956E9" w:rsidRDefault="009956E9" w:rsidP="004D75FD">
      <w:pPr>
        <w:jc w:val="center"/>
        <w:rPr>
          <w:rFonts w:ascii="Arial" w:hAnsi="Arial" w:cs="Arial"/>
          <w:b/>
          <w:bCs/>
        </w:rPr>
      </w:pPr>
    </w:p>
    <w:p w14:paraId="45FEE18B" w14:textId="77777777" w:rsidR="004D75FD" w:rsidRPr="007F4ABC" w:rsidRDefault="004D75FD" w:rsidP="004D75FD">
      <w:pPr>
        <w:jc w:val="center"/>
        <w:rPr>
          <w:rFonts w:ascii="Arial" w:hAnsi="Arial" w:cs="Arial"/>
          <w:b/>
          <w:bCs/>
        </w:rPr>
      </w:pPr>
    </w:p>
    <w:p w14:paraId="5E1F5AB3" w14:textId="77777777" w:rsidR="004D75FD" w:rsidRDefault="004D75FD" w:rsidP="004D75FD">
      <w:pPr>
        <w:jc w:val="center"/>
        <w:rPr>
          <w:rFonts w:ascii="Arial" w:hAnsi="Arial" w:cs="Arial"/>
          <w:b/>
          <w:bCs/>
        </w:rPr>
      </w:pPr>
      <w:r w:rsidRPr="007F4ABC">
        <w:rPr>
          <w:rFonts w:ascii="Arial" w:hAnsi="Arial" w:cs="Arial"/>
          <w:b/>
          <w:bCs/>
        </w:rPr>
        <w:t xml:space="preserve">Module: Global </w:t>
      </w:r>
      <w:proofErr w:type="gramStart"/>
      <w:r w:rsidRPr="007F4ABC">
        <w:rPr>
          <w:rFonts w:ascii="Arial" w:hAnsi="Arial" w:cs="Arial"/>
          <w:b/>
          <w:bCs/>
        </w:rPr>
        <w:t>Business  Environment</w:t>
      </w:r>
      <w:proofErr w:type="gramEnd"/>
    </w:p>
    <w:p w14:paraId="73E7709F" w14:textId="77777777" w:rsidR="004D75FD" w:rsidRPr="007F4ABC" w:rsidRDefault="004D75FD" w:rsidP="004D75FD">
      <w:pPr>
        <w:jc w:val="center"/>
        <w:rPr>
          <w:rFonts w:ascii="Arial" w:hAnsi="Arial" w:cs="Arial"/>
          <w:b/>
          <w:bCs/>
        </w:rPr>
      </w:pPr>
    </w:p>
    <w:p w14:paraId="10D87DAC" w14:textId="77777777" w:rsidR="004D75FD" w:rsidRDefault="004D75FD" w:rsidP="004D75FD">
      <w:pPr>
        <w:jc w:val="center"/>
        <w:rPr>
          <w:rFonts w:ascii="Arial" w:hAnsi="Arial" w:cs="Arial"/>
          <w:b/>
          <w:bCs/>
        </w:rPr>
      </w:pPr>
      <w:r w:rsidRPr="007F4ABC">
        <w:rPr>
          <w:rFonts w:ascii="Arial" w:hAnsi="Arial" w:cs="Arial"/>
          <w:b/>
          <w:bCs/>
        </w:rPr>
        <w:t>Prepared from</w:t>
      </w:r>
    </w:p>
    <w:p w14:paraId="5C59F757" w14:textId="77777777" w:rsidR="004D75FD" w:rsidRPr="007F4ABC" w:rsidRDefault="004D75FD" w:rsidP="004D75FD">
      <w:pPr>
        <w:jc w:val="center"/>
        <w:rPr>
          <w:rFonts w:ascii="Arial" w:hAnsi="Arial" w:cs="Arial"/>
          <w:b/>
          <w:bCs/>
        </w:rPr>
      </w:pPr>
    </w:p>
    <w:p w14:paraId="0272A5DE" w14:textId="77777777" w:rsidR="004D75FD" w:rsidRPr="007F4ABC" w:rsidRDefault="004D75FD" w:rsidP="004D75FD">
      <w:pPr>
        <w:jc w:val="center"/>
        <w:rPr>
          <w:rFonts w:ascii="Arial" w:hAnsi="Arial" w:cs="Arial"/>
          <w:b/>
          <w:bCs/>
        </w:rPr>
      </w:pPr>
      <w:r w:rsidRPr="007F4ABC">
        <w:rPr>
          <w:rFonts w:ascii="Arial" w:hAnsi="Arial" w:cs="Arial"/>
          <w:b/>
          <w:bCs/>
        </w:rPr>
        <w:t>Petya Nedeva - 1816235</w:t>
      </w:r>
    </w:p>
    <w:p w14:paraId="0A7E0306" w14:textId="540CF640" w:rsidR="008343F3" w:rsidRDefault="00EA11AA"/>
    <w:p w14:paraId="104FCC52" w14:textId="605E1BD0" w:rsidR="004D75FD" w:rsidRDefault="004D75FD"/>
    <w:p w14:paraId="155DD2FB" w14:textId="4B73A78C" w:rsidR="004D75FD" w:rsidRDefault="004D75FD"/>
    <w:p w14:paraId="2EEF80D3" w14:textId="352DE5C3" w:rsidR="004D75FD" w:rsidRDefault="004D75FD"/>
    <w:p w14:paraId="3CD42BC7" w14:textId="32A04524" w:rsidR="004D75FD" w:rsidRDefault="004D75FD"/>
    <w:p w14:paraId="4989335F" w14:textId="2F848D51" w:rsidR="004D75FD" w:rsidRDefault="004D75FD"/>
    <w:p w14:paraId="0B2E330C" w14:textId="066905F1" w:rsidR="004D75FD" w:rsidRDefault="004D75FD"/>
    <w:p w14:paraId="061592F8" w14:textId="04B3F237" w:rsidR="004D75FD" w:rsidRDefault="004D75FD"/>
    <w:p w14:paraId="065FCB5A" w14:textId="2408E4FC" w:rsidR="004D75FD" w:rsidRDefault="004D75FD"/>
    <w:p w14:paraId="04454E40" w14:textId="71D7914A" w:rsidR="004D75FD" w:rsidRDefault="004D75FD"/>
    <w:p w14:paraId="75EDABE1" w14:textId="39E7DB70" w:rsidR="004D75FD" w:rsidRDefault="004D75FD"/>
    <w:p w14:paraId="0EDA258B" w14:textId="61DEEE68" w:rsidR="004D75FD" w:rsidRDefault="004D75FD"/>
    <w:p w14:paraId="406CEC5D" w14:textId="2DB48ACC" w:rsidR="004D75FD" w:rsidRDefault="004D75FD"/>
    <w:p w14:paraId="023D73E1" w14:textId="0A9321F5" w:rsidR="004D75FD" w:rsidRDefault="004D75FD"/>
    <w:p w14:paraId="5FD2E9C7" w14:textId="77777777" w:rsidR="004D75FD" w:rsidRPr="004D75FD" w:rsidRDefault="004D75FD" w:rsidP="004D75FD">
      <w:pPr>
        <w:spacing w:line="480" w:lineRule="auto"/>
        <w:jc w:val="center"/>
        <w:rPr>
          <w:rFonts w:ascii="Arial" w:hAnsi="Arial" w:cs="Arial"/>
        </w:rPr>
      </w:pPr>
      <w:r w:rsidRPr="004D75FD">
        <w:rPr>
          <w:rFonts w:ascii="Arial" w:hAnsi="Arial" w:cs="Arial"/>
        </w:rPr>
        <w:t>Production and Marketing of Electric Vehicles in Europe</w:t>
      </w:r>
    </w:p>
    <w:p w14:paraId="395F4EF6" w14:textId="77777777" w:rsidR="004D75FD" w:rsidRPr="004D75FD" w:rsidRDefault="004D75FD" w:rsidP="004D75FD">
      <w:pPr>
        <w:pStyle w:val="Heading1"/>
        <w:spacing w:line="480" w:lineRule="auto"/>
        <w:rPr>
          <w:rFonts w:ascii="Arial" w:hAnsi="Arial" w:cs="Arial"/>
          <w:color w:val="auto"/>
          <w:sz w:val="24"/>
          <w:szCs w:val="24"/>
        </w:rPr>
      </w:pPr>
      <w:r w:rsidRPr="004D75FD">
        <w:rPr>
          <w:rFonts w:ascii="Arial" w:hAnsi="Arial" w:cs="Arial"/>
          <w:color w:val="auto"/>
          <w:sz w:val="24"/>
          <w:szCs w:val="24"/>
        </w:rPr>
        <w:t>Introduction</w:t>
      </w:r>
    </w:p>
    <w:p w14:paraId="1864FAC7" w14:textId="0AC2E46F" w:rsidR="004D75FD" w:rsidRPr="004D75FD" w:rsidRDefault="004D75FD" w:rsidP="004D75FD">
      <w:pPr>
        <w:spacing w:line="480" w:lineRule="auto"/>
        <w:rPr>
          <w:rFonts w:ascii="Arial" w:hAnsi="Arial" w:cs="Arial"/>
        </w:rPr>
      </w:pPr>
      <w:r w:rsidRPr="004D75FD">
        <w:rPr>
          <w:rFonts w:ascii="Arial" w:hAnsi="Arial" w:cs="Arial"/>
        </w:rPr>
        <w:tab/>
        <w:t xml:space="preserve">Europe has experienced the initial adoption phase of electric mobility. The growth of global and European sale numbers has increased drastically due to several factors such as government support and enhanced offers from automotive </w:t>
      </w:r>
      <w:proofErr w:type="spellStart"/>
      <w:r w:rsidRPr="004D75FD">
        <w:rPr>
          <w:rFonts w:ascii="Arial" w:hAnsi="Arial" w:cs="Arial"/>
        </w:rPr>
        <w:t>organi</w:t>
      </w:r>
      <w:r w:rsidR="001E1BBF">
        <w:rPr>
          <w:rFonts w:ascii="Arial" w:hAnsi="Arial" w:cs="Arial"/>
        </w:rPr>
        <w:t>s</w:t>
      </w:r>
      <w:r w:rsidRPr="004D75FD">
        <w:rPr>
          <w:rFonts w:ascii="Arial" w:hAnsi="Arial" w:cs="Arial"/>
        </w:rPr>
        <w:t>ations</w:t>
      </w:r>
      <w:proofErr w:type="spellEnd"/>
      <w:r w:rsidRPr="004D75FD">
        <w:rPr>
          <w:rFonts w:ascii="Arial" w:hAnsi="Arial" w:cs="Arial"/>
        </w:rPr>
        <w:t>. There is also an improvement in the familiarity and readiness to purchase electric vehicles on the side of the customers. These changes in momentum behind the adoption of EV from the consumer perspective and the automotive industry will influence the electrified powertrains, which will affect mobility in Europe. The adoption rate of electric powertrains will determine the opportunities for entrepreneurs and business executives in the electric automobile industry. There are, however, several sectors of the automobile industry hat may be less profitable for investors.</w:t>
      </w:r>
    </w:p>
    <w:p w14:paraId="74F55BBD" w14:textId="77777777" w:rsidR="004D75FD" w:rsidRPr="004D75FD" w:rsidRDefault="004D75FD" w:rsidP="004D75FD">
      <w:pPr>
        <w:pStyle w:val="Heading1"/>
        <w:spacing w:line="480" w:lineRule="auto"/>
        <w:jc w:val="center"/>
        <w:rPr>
          <w:rFonts w:ascii="Arial" w:hAnsi="Arial" w:cs="Arial"/>
          <w:color w:val="auto"/>
          <w:sz w:val="24"/>
          <w:szCs w:val="24"/>
        </w:rPr>
      </w:pPr>
      <w:r w:rsidRPr="004D75FD">
        <w:rPr>
          <w:rFonts w:ascii="Arial" w:hAnsi="Arial" w:cs="Arial"/>
          <w:color w:val="auto"/>
          <w:sz w:val="24"/>
          <w:szCs w:val="24"/>
        </w:rPr>
        <w:t>Opportunities in the Marketplace</w:t>
      </w:r>
    </w:p>
    <w:p w14:paraId="03CD4B63" w14:textId="16A4B1CA" w:rsidR="004D75FD" w:rsidRPr="004D75FD" w:rsidRDefault="004D75FD" w:rsidP="004D75FD">
      <w:pPr>
        <w:spacing w:line="480" w:lineRule="auto"/>
        <w:rPr>
          <w:rFonts w:ascii="Arial" w:hAnsi="Arial" w:cs="Arial"/>
        </w:rPr>
      </w:pPr>
      <w:r w:rsidRPr="004D75FD">
        <w:rPr>
          <w:rFonts w:ascii="Arial" w:hAnsi="Arial" w:cs="Arial"/>
        </w:rPr>
        <w:tab/>
        <w:t>Several explanations that define opportunities exist. Opportunities include introducing new products, raw materials, services, and structural approaches, which are later put on sale for a higher price relative to the cost of production. Also, opportunities may include robust, attractive, and timely potential services and goods that increase value. Assessments for a product are, therefore, essential when entering a market</w:t>
      </w:r>
      <w:r w:rsidR="00606391">
        <w:rPr>
          <w:rFonts w:ascii="Arial" w:hAnsi="Arial" w:cs="Arial"/>
        </w:rPr>
        <w:t xml:space="preserve"> -</w:t>
      </w:r>
      <w:r w:rsidRPr="004D75FD">
        <w:rPr>
          <w:rFonts w:ascii="Arial" w:hAnsi="Arial" w:cs="Arial"/>
        </w:rPr>
        <w:t xml:space="preserve"> place. Opportunities are dependent on three primary circumstances—opportunities for a product in the market increase when the supply of the commodity is short. The level of innovation or superiority indicates the supply of service or product. Feedback from consumers through consistent questioning can </w:t>
      </w:r>
      <w:r w:rsidRPr="004D75FD">
        <w:rPr>
          <w:rFonts w:ascii="Arial" w:hAnsi="Arial" w:cs="Arial"/>
        </w:rPr>
        <w:lastRenderedPageBreak/>
        <w:t>help give a solution to the innovative and superiority situation. How customers classify the effective form of the product can also help encounter the condition. The supply method of innovative goods determines the opportunities in the market. Business executives focus on enhancing the brand and product when the companies value innovation as a vital element. Mercedes, for instance, advertised their new A-class with advanced technology compared to the previous versions and as such initiating success across Europe.</w:t>
      </w:r>
    </w:p>
    <w:p w14:paraId="75D1D3D4" w14:textId="77777777" w:rsidR="004D75FD" w:rsidRPr="004D75FD" w:rsidRDefault="004D75FD" w:rsidP="004D75FD">
      <w:pPr>
        <w:pStyle w:val="Heading2"/>
        <w:spacing w:line="480" w:lineRule="auto"/>
        <w:rPr>
          <w:rFonts w:ascii="Arial" w:hAnsi="Arial" w:cs="Arial"/>
          <w:color w:val="auto"/>
          <w:sz w:val="24"/>
          <w:szCs w:val="24"/>
        </w:rPr>
      </w:pPr>
      <w:r w:rsidRPr="004D75FD">
        <w:rPr>
          <w:rFonts w:ascii="Arial" w:hAnsi="Arial" w:cs="Arial"/>
          <w:color w:val="auto"/>
          <w:sz w:val="24"/>
          <w:szCs w:val="24"/>
        </w:rPr>
        <w:t>How to Find Opportunities</w:t>
      </w:r>
    </w:p>
    <w:p w14:paraId="0DB85512" w14:textId="77A746F5" w:rsidR="004D75FD" w:rsidRPr="004D75FD" w:rsidRDefault="004D75FD" w:rsidP="004D75FD">
      <w:pPr>
        <w:spacing w:line="480" w:lineRule="auto"/>
        <w:rPr>
          <w:rFonts w:ascii="Arial" w:hAnsi="Arial" w:cs="Arial"/>
        </w:rPr>
      </w:pPr>
      <w:r w:rsidRPr="004D75FD">
        <w:rPr>
          <w:rFonts w:ascii="Arial" w:hAnsi="Arial" w:cs="Arial"/>
        </w:rPr>
        <w:tab/>
        <w:t xml:space="preserve">The identification of market opportunities does not need to be clear in the initial stages but presents itself in several ways. The advancement occurs through suggestions from individuals in the </w:t>
      </w:r>
      <w:proofErr w:type="spellStart"/>
      <w:r w:rsidRPr="004D75FD">
        <w:rPr>
          <w:rFonts w:ascii="Arial" w:hAnsi="Arial" w:cs="Arial"/>
        </w:rPr>
        <w:t>organi</w:t>
      </w:r>
      <w:r w:rsidR="00A10E02">
        <w:rPr>
          <w:rFonts w:ascii="Arial" w:hAnsi="Arial" w:cs="Arial"/>
        </w:rPr>
        <w:t>s</w:t>
      </w:r>
      <w:r w:rsidRPr="004D75FD">
        <w:rPr>
          <w:rFonts w:ascii="Arial" w:hAnsi="Arial" w:cs="Arial"/>
        </w:rPr>
        <w:t>ation</w:t>
      </w:r>
      <w:proofErr w:type="spellEnd"/>
      <w:r w:rsidRPr="004D75FD">
        <w:rPr>
          <w:rFonts w:ascii="Arial" w:hAnsi="Arial" w:cs="Arial"/>
        </w:rPr>
        <w:t xml:space="preserve"> or emerging competitive action or existing clients. In the electric vehicle industry, there is a need to possess effective marketing approaches. The release of environmentally</w:t>
      </w:r>
      <w:r w:rsidR="00A51AE2">
        <w:rPr>
          <w:rFonts w:ascii="Arial" w:hAnsi="Arial" w:cs="Arial"/>
        </w:rPr>
        <w:t xml:space="preserve"> </w:t>
      </w:r>
      <w:r w:rsidRPr="004D75FD">
        <w:rPr>
          <w:rFonts w:ascii="Arial" w:hAnsi="Arial" w:cs="Arial"/>
        </w:rPr>
        <w:t>-</w:t>
      </w:r>
      <w:r w:rsidR="00A51AE2">
        <w:rPr>
          <w:rFonts w:ascii="Arial" w:hAnsi="Arial" w:cs="Arial"/>
        </w:rPr>
        <w:t xml:space="preserve"> </w:t>
      </w:r>
      <w:r w:rsidRPr="004D75FD">
        <w:rPr>
          <w:rFonts w:ascii="Arial" w:hAnsi="Arial" w:cs="Arial"/>
        </w:rPr>
        <w:t>friendly electric vehicles has the time when the international community is struggling to combat the causes of global warming.</w:t>
      </w:r>
    </w:p>
    <w:p w14:paraId="73A43A20" w14:textId="77777777" w:rsidR="004D75FD" w:rsidRPr="004D75FD" w:rsidRDefault="004D75FD" w:rsidP="004D75FD">
      <w:pPr>
        <w:pStyle w:val="Heading2"/>
        <w:spacing w:line="480" w:lineRule="auto"/>
        <w:rPr>
          <w:rFonts w:ascii="Arial" w:hAnsi="Arial" w:cs="Arial"/>
          <w:color w:val="auto"/>
          <w:sz w:val="24"/>
          <w:szCs w:val="24"/>
        </w:rPr>
      </w:pPr>
      <w:r w:rsidRPr="004D75FD">
        <w:rPr>
          <w:rFonts w:ascii="Arial" w:hAnsi="Arial" w:cs="Arial"/>
          <w:color w:val="auto"/>
          <w:sz w:val="24"/>
          <w:szCs w:val="24"/>
        </w:rPr>
        <w:t>Battery swapping</w:t>
      </w:r>
    </w:p>
    <w:p w14:paraId="7E56CC5E" w14:textId="14E4A2B7" w:rsidR="004D75FD" w:rsidRPr="004D75FD" w:rsidRDefault="004D75FD" w:rsidP="004D75FD">
      <w:pPr>
        <w:spacing w:line="480" w:lineRule="auto"/>
        <w:rPr>
          <w:rFonts w:ascii="Arial" w:hAnsi="Arial" w:cs="Arial"/>
        </w:rPr>
      </w:pPr>
      <w:r w:rsidRPr="004D75FD">
        <w:rPr>
          <w:rFonts w:ascii="Arial" w:hAnsi="Arial" w:cs="Arial"/>
        </w:rPr>
        <w:tab/>
        <w:t xml:space="preserve">The technology has undergone piloting on a small scale before losing its appeal due to the bankruptcy of the innovating company, Better Place, in 2013. Most stations in Denmark and Israel cannot adopt the BRV models in the battery swapping stations. Tesla is the only existing company that has demonstrated the ability to support battery swapping for its model S hence presenting an opportunity for business </w:t>
      </w:r>
      <w:proofErr w:type="spellStart"/>
      <w:r w:rsidRPr="004D75FD">
        <w:rPr>
          <w:rFonts w:ascii="Arial" w:hAnsi="Arial" w:cs="Arial"/>
        </w:rPr>
        <w:t>organi</w:t>
      </w:r>
      <w:r w:rsidR="008B323C">
        <w:rPr>
          <w:rFonts w:ascii="Arial" w:hAnsi="Arial" w:cs="Arial"/>
        </w:rPr>
        <w:t>s</w:t>
      </w:r>
      <w:r w:rsidRPr="004D75FD">
        <w:rPr>
          <w:rFonts w:ascii="Arial" w:hAnsi="Arial" w:cs="Arial"/>
        </w:rPr>
        <w:t>ations</w:t>
      </w:r>
      <w:proofErr w:type="spellEnd"/>
      <w:r w:rsidRPr="004D75FD">
        <w:rPr>
          <w:rFonts w:ascii="Arial" w:hAnsi="Arial" w:cs="Arial"/>
        </w:rPr>
        <w:t xml:space="preserve"> and entrepreneurs to develop the battery swapping stations.</w:t>
      </w:r>
    </w:p>
    <w:p w14:paraId="62EB1DF8" w14:textId="77777777" w:rsidR="004D75FD" w:rsidRPr="004D75FD" w:rsidRDefault="004D75FD" w:rsidP="004D75FD">
      <w:pPr>
        <w:spacing w:line="480" w:lineRule="auto"/>
        <w:rPr>
          <w:rFonts w:ascii="Arial" w:hAnsi="Arial" w:cs="Arial"/>
        </w:rPr>
      </w:pPr>
      <w:r w:rsidRPr="004D75FD">
        <w:rPr>
          <w:rFonts w:ascii="Arial" w:hAnsi="Arial" w:cs="Arial"/>
        </w:rPr>
        <w:t xml:space="preserve">Induction or Wireless Charging is currently operational in a few pilot stations, although it has not experienced commercial viability. Opportunities exist for </w:t>
      </w:r>
      <w:r w:rsidRPr="004D75FD">
        <w:rPr>
          <w:rFonts w:ascii="Arial" w:hAnsi="Arial" w:cs="Arial"/>
        </w:rPr>
        <w:lastRenderedPageBreak/>
        <w:t xml:space="preserve">companies and entrepreneurs to establish and develop induction charging systems for electric vehicles in Europe.  </w:t>
      </w:r>
    </w:p>
    <w:p w14:paraId="70E99B9E" w14:textId="77777777" w:rsidR="004D75FD" w:rsidRPr="004D75FD" w:rsidRDefault="004D75FD" w:rsidP="004D75FD">
      <w:pPr>
        <w:pStyle w:val="Heading2"/>
        <w:spacing w:line="480" w:lineRule="auto"/>
        <w:rPr>
          <w:rFonts w:ascii="Arial" w:hAnsi="Arial" w:cs="Arial"/>
          <w:color w:val="auto"/>
          <w:sz w:val="24"/>
          <w:szCs w:val="24"/>
        </w:rPr>
      </w:pPr>
      <w:r w:rsidRPr="004D75FD">
        <w:rPr>
          <w:rFonts w:ascii="Arial" w:hAnsi="Arial" w:cs="Arial"/>
          <w:color w:val="auto"/>
          <w:sz w:val="24"/>
          <w:szCs w:val="24"/>
        </w:rPr>
        <w:t>Wired charging</w:t>
      </w:r>
    </w:p>
    <w:p w14:paraId="4D03E526" w14:textId="77777777" w:rsidR="004D75FD" w:rsidRPr="004D75FD" w:rsidRDefault="004D75FD" w:rsidP="004D75FD">
      <w:pPr>
        <w:spacing w:line="480" w:lineRule="auto"/>
        <w:rPr>
          <w:rFonts w:ascii="Arial" w:hAnsi="Arial" w:cs="Arial"/>
        </w:rPr>
      </w:pPr>
      <w:r w:rsidRPr="004D75FD">
        <w:rPr>
          <w:rFonts w:ascii="Arial" w:hAnsi="Arial" w:cs="Arial"/>
        </w:rPr>
        <w:tab/>
        <w:t>The establishment of public wired charging systems for EVs has expanded largely due to initiatives of the public sector at regional and country levels. Despite the installation of more than 20,000 public EV charging stations throughout Europe by 2013, the density of the charging points is irregular. The uneven density offers opportunities to entrepreneurs and business executives to establish wired charging stations in regions that lack the network. Denmark, Netherlands, Germany, the UK, and France are leading in deploying public charging stations. Initiatives are also in place to increase the number of charging stations across Western European cities such as Paris, London, and Amsterdam. However, Eastern Europe has low coverage of charging stations and entirely no charging stations in some parts of Eastern Europe. Therefore, there are opportunities for entrepreneurs and business executives to invest in the establishment of charging stations in Eastern Europe.</w:t>
      </w:r>
    </w:p>
    <w:p w14:paraId="297ABA3F" w14:textId="77777777" w:rsidR="004D75FD" w:rsidRPr="004D75FD" w:rsidRDefault="004D75FD" w:rsidP="004D75FD">
      <w:pPr>
        <w:pStyle w:val="Heading2"/>
        <w:spacing w:line="480" w:lineRule="auto"/>
        <w:rPr>
          <w:rFonts w:ascii="Arial" w:hAnsi="Arial" w:cs="Arial"/>
          <w:color w:val="auto"/>
          <w:sz w:val="24"/>
          <w:szCs w:val="24"/>
        </w:rPr>
      </w:pPr>
      <w:r w:rsidRPr="004D75FD">
        <w:rPr>
          <w:rFonts w:ascii="Arial" w:hAnsi="Arial" w:cs="Arial"/>
          <w:color w:val="auto"/>
          <w:sz w:val="24"/>
          <w:szCs w:val="24"/>
        </w:rPr>
        <w:t>Demand Management of EVs</w:t>
      </w:r>
    </w:p>
    <w:p w14:paraId="6447DBC0" w14:textId="5350CA1F" w:rsidR="004D75FD" w:rsidRPr="004D75FD" w:rsidRDefault="004D75FD" w:rsidP="004D75FD">
      <w:pPr>
        <w:spacing w:line="480" w:lineRule="auto"/>
        <w:rPr>
          <w:rFonts w:ascii="Arial" w:hAnsi="Arial" w:cs="Arial"/>
        </w:rPr>
      </w:pPr>
      <w:r w:rsidRPr="004D75FD">
        <w:rPr>
          <w:rFonts w:ascii="Arial" w:hAnsi="Arial" w:cs="Arial"/>
        </w:rPr>
        <w:tab/>
        <w:t xml:space="preserve">The aim of demand management as a marketing strategy is to maintain available customers and raise new customers. Products and markets affect the development of opportunities. Market penetration increases the sales of a product within the existing market for an existing product. Electric vehicles are still penetrating Western Europe and have not penetrated the Eastern regions of Europe. This level of penetration offers more opportunities for business executives to explore such regions. EVs have been in existence for the past few years. As such, they are presenting an existing product to new markets that can be a substantial opportunity in Eastern Europe. Product development by establishing modified products into the </w:t>
      </w:r>
      <w:r w:rsidRPr="004D75FD">
        <w:rPr>
          <w:rFonts w:ascii="Arial" w:hAnsi="Arial" w:cs="Arial"/>
        </w:rPr>
        <w:lastRenderedPageBreak/>
        <w:t>existing market helps in demand management. Currently, the plugs and outlets for charging systems vary; hence not all EV models can plugin at all charging stations. Charging stations are also linked to a definite charging grid with specific identification and billing systems that can only serve its subscribers. The Clean Fuel Directive proposes two ways of standardi</w:t>
      </w:r>
      <w:r w:rsidR="00530AE9">
        <w:rPr>
          <w:rFonts w:ascii="Arial" w:hAnsi="Arial" w:cs="Arial"/>
        </w:rPr>
        <w:t>z</w:t>
      </w:r>
      <w:r w:rsidRPr="004D75FD">
        <w:rPr>
          <w:rFonts w:ascii="Arial" w:hAnsi="Arial" w:cs="Arial"/>
        </w:rPr>
        <w:t>ation to solve the issue with charging systems and cables through prioritizing certain forms of chargers and standardizing them. This directive implies that there are opportunities for companies to develop universal chargers that would apply to a majority of the EV models. Business executives can also explore the challenges originating from the compatibility of numerous networks of charging stations and several service systems such as the payment, identification, and communication structures. There is a need for innovating interoperability to permit all models in the EV to use all charging stations existing.</w:t>
      </w:r>
    </w:p>
    <w:p w14:paraId="33C63EED" w14:textId="77777777" w:rsidR="004D75FD" w:rsidRPr="004D75FD" w:rsidRDefault="004D75FD" w:rsidP="004D75FD">
      <w:pPr>
        <w:pStyle w:val="Heading1"/>
        <w:spacing w:line="480" w:lineRule="auto"/>
        <w:jc w:val="center"/>
        <w:rPr>
          <w:rFonts w:ascii="Arial" w:hAnsi="Arial" w:cs="Arial"/>
          <w:color w:val="auto"/>
          <w:sz w:val="24"/>
          <w:szCs w:val="24"/>
        </w:rPr>
      </w:pPr>
      <w:r w:rsidRPr="004D75FD">
        <w:rPr>
          <w:rFonts w:ascii="Arial" w:hAnsi="Arial" w:cs="Arial"/>
          <w:color w:val="auto"/>
          <w:sz w:val="24"/>
          <w:szCs w:val="24"/>
        </w:rPr>
        <w:t>Challenges Facing the Automotive Car industry that may be Unprofitable</w:t>
      </w:r>
    </w:p>
    <w:p w14:paraId="5768CC55" w14:textId="77777777" w:rsidR="004D75FD" w:rsidRPr="004D75FD" w:rsidRDefault="004D75FD" w:rsidP="004D75FD">
      <w:pPr>
        <w:pStyle w:val="Heading2"/>
        <w:spacing w:line="480" w:lineRule="auto"/>
        <w:rPr>
          <w:rFonts w:ascii="Arial" w:hAnsi="Arial" w:cs="Arial"/>
          <w:color w:val="auto"/>
          <w:sz w:val="24"/>
          <w:szCs w:val="24"/>
        </w:rPr>
      </w:pPr>
      <w:r w:rsidRPr="004D75FD">
        <w:rPr>
          <w:rFonts w:ascii="Arial" w:hAnsi="Arial" w:cs="Arial"/>
          <w:color w:val="auto"/>
          <w:sz w:val="24"/>
          <w:szCs w:val="24"/>
        </w:rPr>
        <w:t>Commercial EV Charging Business</w:t>
      </w:r>
    </w:p>
    <w:p w14:paraId="6A73C898" w14:textId="29C6D7DC" w:rsidR="004D75FD" w:rsidRPr="004D75FD" w:rsidRDefault="004D75FD" w:rsidP="004D75FD">
      <w:pPr>
        <w:spacing w:line="480" w:lineRule="auto"/>
        <w:rPr>
          <w:rFonts w:ascii="Arial" w:hAnsi="Arial" w:cs="Arial"/>
        </w:rPr>
      </w:pPr>
      <w:r w:rsidRPr="004D75FD">
        <w:rPr>
          <w:rFonts w:ascii="Arial" w:hAnsi="Arial" w:cs="Arial"/>
        </w:rPr>
        <w:tab/>
        <w:t xml:space="preserve">The EV ecosystem experiences a dilemma despite the unavoidable EV charging station network. The cost of installing public charging infrastructure is too high that the governments in Europe cannot bear alone. The economic implication of both slow charging station for public and the fast charging systems for highway stations do the business of investing in public charging systems to be challenging. Many investors in the EV charging systems have faced difficulties that imply a challenge in attaining profits from the power sales to EV drivers that charge their cars to enable them to recover their investment in the network. Charging service providers in Europe, such as The New Motion, have used a different strategy by providing both hardware and back-office services such as payment and billing services as a solution for clients who wish to have the charging points installed. </w:t>
      </w:r>
      <w:r w:rsidRPr="004D75FD">
        <w:rPr>
          <w:rFonts w:ascii="Arial" w:hAnsi="Arial" w:cs="Arial"/>
        </w:rPr>
        <w:lastRenderedPageBreak/>
        <w:t xml:space="preserve">Municipalities and businesses </w:t>
      </w:r>
      <w:proofErr w:type="spellStart"/>
      <w:r w:rsidRPr="004D75FD">
        <w:rPr>
          <w:rFonts w:ascii="Arial" w:hAnsi="Arial" w:cs="Arial"/>
        </w:rPr>
        <w:t>organi</w:t>
      </w:r>
      <w:r w:rsidR="00C47459">
        <w:rPr>
          <w:rFonts w:ascii="Arial" w:hAnsi="Arial" w:cs="Arial"/>
        </w:rPr>
        <w:t>s</w:t>
      </w:r>
      <w:r w:rsidRPr="004D75FD">
        <w:rPr>
          <w:rFonts w:ascii="Arial" w:hAnsi="Arial" w:cs="Arial"/>
        </w:rPr>
        <w:t>ations</w:t>
      </w:r>
      <w:proofErr w:type="spellEnd"/>
      <w:r w:rsidRPr="004D75FD">
        <w:rPr>
          <w:rFonts w:ascii="Arial" w:hAnsi="Arial" w:cs="Arial"/>
        </w:rPr>
        <w:t xml:space="preserve"> pay for the installation of charging infrastructures and hardware, which implies that the source of funding for the systems is from various sources. The different parties that fund the installation have the freedom to determine their pricing structures and whether to make the stations public or private. Several businesses might intend to offer free charging to employees. The charging service providers, therefore, generate revenue from the sale of hardware and subscription fees from EV drivers. Investing in charging systems may generate less profit due to the high costs of hardware and the involvement of numerous parties in purchasing charging hardware. They even offer free charging to employees.</w:t>
      </w:r>
    </w:p>
    <w:p w14:paraId="76E368C0" w14:textId="77777777" w:rsidR="004D75FD" w:rsidRPr="004D75FD" w:rsidRDefault="004D75FD" w:rsidP="004D75FD">
      <w:pPr>
        <w:pStyle w:val="Heading2"/>
        <w:spacing w:line="480" w:lineRule="auto"/>
        <w:ind w:firstLine="720"/>
        <w:rPr>
          <w:rFonts w:ascii="Arial" w:hAnsi="Arial" w:cs="Arial"/>
          <w:color w:val="auto"/>
          <w:sz w:val="24"/>
          <w:szCs w:val="24"/>
        </w:rPr>
      </w:pPr>
      <w:r w:rsidRPr="004D75FD">
        <w:rPr>
          <w:rFonts w:ascii="Arial" w:hAnsi="Arial" w:cs="Arial"/>
          <w:color w:val="auto"/>
          <w:sz w:val="24"/>
          <w:szCs w:val="24"/>
        </w:rPr>
        <w:t>Increased Competition, Demographics and Urbanization</w:t>
      </w:r>
    </w:p>
    <w:p w14:paraId="0D367F6B" w14:textId="77777777" w:rsidR="004D75FD" w:rsidRPr="004D75FD" w:rsidRDefault="004D75FD" w:rsidP="004D75FD">
      <w:pPr>
        <w:spacing w:line="480" w:lineRule="auto"/>
        <w:ind w:firstLine="720"/>
        <w:rPr>
          <w:rFonts w:ascii="Arial" w:hAnsi="Arial" w:cs="Arial"/>
        </w:rPr>
      </w:pPr>
      <w:r w:rsidRPr="004D75FD">
        <w:rPr>
          <w:rFonts w:ascii="Arial" w:hAnsi="Arial" w:cs="Arial"/>
        </w:rPr>
        <w:t xml:space="preserve">The sale of automobiles is currently experiencing a flattening trend in </w:t>
      </w:r>
      <w:proofErr w:type="gramStart"/>
      <w:r w:rsidRPr="004D75FD">
        <w:rPr>
          <w:rFonts w:ascii="Arial" w:hAnsi="Arial" w:cs="Arial"/>
        </w:rPr>
        <w:t>the majority of</w:t>
      </w:r>
      <w:proofErr w:type="gramEnd"/>
      <w:r w:rsidRPr="004D75FD">
        <w:rPr>
          <w:rFonts w:ascii="Arial" w:hAnsi="Arial" w:cs="Arial"/>
        </w:rPr>
        <w:t xml:space="preserve"> the markets within Europe. The automakers are also facing a potential intensifying competition for every piece of market share pie. Changing demographics in Western Europe, environmental issues, and emerging technological developments limit the growth of automotive sales. Competition in the auto sale for mature markets is increasing with more models coming on offer than before. The European region has experienced congestion of players and products, which have led to the development of a hyper-competitive market. These factors involving competition in the sale of automotive and other related products create uncertainty in the business and hence less likelihood of being less profitable for investments.</w:t>
      </w:r>
    </w:p>
    <w:p w14:paraId="7EC2F479" w14:textId="77777777" w:rsidR="004D75FD" w:rsidRPr="004D75FD" w:rsidRDefault="004D75FD" w:rsidP="004D75FD">
      <w:pPr>
        <w:spacing w:line="480" w:lineRule="auto"/>
        <w:rPr>
          <w:rFonts w:ascii="Arial" w:hAnsi="Arial" w:cs="Arial"/>
        </w:rPr>
      </w:pPr>
      <w:r w:rsidRPr="004D75FD">
        <w:rPr>
          <w:rFonts w:ascii="Arial" w:hAnsi="Arial" w:cs="Arial"/>
        </w:rPr>
        <w:tab/>
        <w:t xml:space="preserve">The automotive business faces a challenge in responding to the speedy altering trends in demographics and consumer characteristics through the international economy. Major parts of Europe have a mature market in which the population is getting older, while the younger and first-time buyers are becoming a </w:t>
      </w:r>
      <w:r w:rsidRPr="004D75FD">
        <w:rPr>
          <w:rFonts w:ascii="Arial" w:hAnsi="Arial" w:cs="Arial"/>
        </w:rPr>
        <w:lastRenderedPageBreak/>
        <w:t xml:space="preserve">challenge to convince. </w:t>
      </w:r>
      <w:proofErr w:type="gramStart"/>
      <w:r w:rsidRPr="004D75FD">
        <w:rPr>
          <w:rFonts w:ascii="Arial" w:hAnsi="Arial" w:cs="Arial"/>
        </w:rPr>
        <w:t>The majority of</w:t>
      </w:r>
      <w:proofErr w:type="gramEnd"/>
      <w:r w:rsidRPr="004D75FD">
        <w:rPr>
          <w:rFonts w:ascii="Arial" w:hAnsi="Arial" w:cs="Arial"/>
        </w:rPr>
        <w:t xml:space="preserve"> the European region is urbanized, and as such, there is an increasing demand for small and effective commuter cars. Pollution in major European urban centers has become a major public concern, and hence, the use of zero and low emission zones is increasing. The introduction of EVs such as Renault </w:t>
      </w:r>
      <w:proofErr w:type="spellStart"/>
      <w:r w:rsidRPr="004D75FD">
        <w:rPr>
          <w:rFonts w:ascii="Arial" w:hAnsi="Arial" w:cs="Arial"/>
        </w:rPr>
        <w:t>Twizy</w:t>
      </w:r>
      <w:proofErr w:type="spellEnd"/>
      <w:r w:rsidRPr="004D75FD">
        <w:rPr>
          <w:rFonts w:ascii="Arial" w:hAnsi="Arial" w:cs="Arial"/>
        </w:rPr>
        <w:t xml:space="preserve"> electric quadricycle to offer zero-emission transport systems are on the rise. However, different countries are enacting and adopting policies in various ways and rates. There is a difficulty in establishing the appropriate blend of technologies that satisfy both the consumer needs and legislative regulations and as such, inhibiting </w:t>
      </w:r>
      <w:proofErr w:type="gramStart"/>
      <w:r w:rsidRPr="004D75FD">
        <w:rPr>
          <w:rFonts w:ascii="Arial" w:hAnsi="Arial" w:cs="Arial"/>
        </w:rPr>
        <w:t>investment</w:t>
      </w:r>
      <w:proofErr w:type="gramEnd"/>
      <w:r w:rsidRPr="004D75FD">
        <w:rPr>
          <w:rFonts w:ascii="Arial" w:hAnsi="Arial" w:cs="Arial"/>
        </w:rPr>
        <w:t xml:space="preserve"> and revenue generation from these businesses.</w:t>
      </w:r>
    </w:p>
    <w:p w14:paraId="1829C689" w14:textId="77777777" w:rsidR="004D75FD" w:rsidRPr="004D75FD" w:rsidRDefault="004D75FD" w:rsidP="004D75FD">
      <w:pPr>
        <w:pStyle w:val="Heading1"/>
        <w:spacing w:line="480" w:lineRule="auto"/>
        <w:jc w:val="center"/>
        <w:rPr>
          <w:rFonts w:ascii="Arial" w:hAnsi="Arial" w:cs="Arial"/>
          <w:color w:val="auto"/>
          <w:sz w:val="24"/>
          <w:szCs w:val="24"/>
        </w:rPr>
      </w:pPr>
      <w:r w:rsidRPr="004D75FD">
        <w:rPr>
          <w:rFonts w:ascii="Arial" w:hAnsi="Arial" w:cs="Arial"/>
          <w:color w:val="auto"/>
          <w:sz w:val="24"/>
          <w:szCs w:val="24"/>
        </w:rPr>
        <w:t>Conclusion</w:t>
      </w:r>
    </w:p>
    <w:p w14:paraId="15B243EC" w14:textId="77777777" w:rsidR="004D75FD" w:rsidRPr="004D75FD" w:rsidRDefault="004D75FD" w:rsidP="004D75FD">
      <w:pPr>
        <w:spacing w:line="480" w:lineRule="auto"/>
        <w:rPr>
          <w:rFonts w:ascii="Arial" w:hAnsi="Arial" w:cs="Arial"/>
        </w:rPr>
      </w:pPr>
      <w:r w:rsidRPr="004D75FD">
        <w:rPr>
          <w:rFonts w:ascii="Arial" w:hAnsi="Arial" w:cs="Arial"/>
        </w:rPr>
        <w:tab/>
        <w:t xml:space="preserve">Electric vehicles are entering a different phase in Europe with the development of ripe opportunities in certain market segments. There are therefore opportunities which will continue to emerge throughout various sectors of the EV value chain for existing and new market players.  The adoption of EVs will be effective through competition on cost competitiveness on large scale. The present rates and future use of EVs develops demand for new applications and services such as charging hardware, services and navigation which create market opportunities in the value chain. There is however need for standardization of charging infrastructure and economies of scale which possess a challenge to the investment in the automobile industry. </w:t>
      </w:r>
    </w:p>
    <w:p w14:paraId="72E47984" w14:textId="77777777" w:rsidR="004D75FD" w:rsidRPr="004D75FD" w:rsidRDefault="004D75FD" w:rsidP="004D75FD">
      <w:pPr>
        <w:spacing w:line="480" w:lineRule="auto"/>
        <w:rPr>
          <w:rFonts w:ascii="Arial" w:hAnsi="Arial" w:cs="Arial"/>
        </w:rPr>
      </w:pPr>
    </w:p>
    <w:p w14:paraId="4216B36A" w14:textId="77777777" w:rsidR="004D75FD" w:rsidRPr="004D75FD" w:rsidRDefault="004D75FD" w:rsidP="004D75FD">
      <w:pPr>
        <w:rPr>
          <w:rFonts w:ascii="Arial" w:hAnsi="Arial" w:cs="Arial"/>
        </w:rPr>
      </w:pPr>
      <w:r w:rsidRPr="004D75FD">
        <w:rPr>
          <w:rFonts w:ascii="Arial" w:hAnsi="Arial" w:cs="Arial"/>
        </w:rPr>
        <w:br w:type="page"/>
      </w:r>
    </w:p>
    <w:p w14:paraId="7BEDCA16" w14:textId="77777777" w:rsidR="004D75FD" w:rsidRPr="004D75FD" w:rsidRDefault="004D75FD" w:rsidP="004D75FD">
      <w:pPr>
        <w:spacing w:line="480" w:lineRule="auto"/>
        <w:jc w:val="center"/>
        <w:rPr>
          <w:rFonts w:ascii="Arial" w:hAnsi="Arial" w:cs="Arial"/>
        </w:rPr>
      </w:pPr>
      <w:r w:rsidRPr="004D75FD">
        <w:rPr>
          <w:rFonts w:ascii="Arial" w:hAnsi="Arial" w:cs="Arial"/>
        </w:rPr>
        <w:lastRenderedPageBreak/>
        <w:t>Bibliography</w:t>
      </w:r>
    </w:p>
    <w:p w14:paraId="6C6EB35D" w14:textId="77777777" w:rsidR="004D75FD" w:rsidRPr="004D75FD" w:rsidRDefault="004D75FD" w:rsidP="004D75FD">
      <w:pPr>
        <w:spacing w:line="480" w:lineRule="auto"/>
        <w:ind w:left="720" w:hanging="720"/>
        <w:rPr>
          <w:rFonts w:ascii="Arial" w:hAnsi="Arial" w:cs="Arial"/>
          <w:shd w:val="clear" w:color="auto" w:fill="FFFFFF"/>
        </w:rPr>
      </w:pPr>
      <w:r w:rsidRPr="004D75FD">
        <w:rPr>
          <w:rFonts w:ascii="Arial" w:hAnsi="Arial" w:cs="Arial"/>
          <w:shd w:val="clear" w:color="auto" w:fill="FFFFFF"/>
        </w:rPr>
        <w:t>Blythe, J. and Martin, J., 2019. </w:t>
      </w:r>
      <w:r w:rsidRPr="004D75FD">
        <w:rPr>
          <w:rFonts w:ascii="Arial" w:hAnsi="Arial" w:cs="Arial"/>
          <w:i/>
          <w:iCs/>
          <w:shd w:val="clear" w:color="auto" w:fill="FFFFFF"/>
        </w:rPr>
        <w:t>Essentials of marketing</w:t>
      </w:r>
      <w:r w:rsidRPr="004D75FD">
        <w:rPr>
          <w:rFonts w:ascii="Arial" w:hAnsi="Arial" w:cs="Arial"/>
          <w:shd w:val="clear" w:color="auto" w:fill="FFFFFF"/>
        </w:rPr>
        <w:t>. Pearson UK.</w:t>
      </w:r>
    </w:p>
    <w:p w14:paraId="6DE3DCE9" w14:textId="77777777" w:rsidR="004D75FD" w:rsidRPr="004D75FD" w:rsidRDefault="004D75FD" w:rsidP="004D75FD">
      <w:pPr>
        <w:spacing w:line="480" w:lineRule="auto"/>
        <w:ind w:left="720" w:hanging="720"/>
        <w:rPr>
          <w:rFonts w:ascii="Arial" w:hAnsi="Arial" w:cs="Arial"/>
          <w:shd w:val="clear" w:color="auto" w:fill="FFFFFF"/>
        </w:rPr>
      </w:pPr>
      <w:r w:rsidRPr="004D75FD">
        <w:rPr>
          <w:rFonts w:ascii="Arial" w:hAnsi="Arial" w:cs="Arial"/>
          <w:shd w:val="clear" w:color="auto" w:fill="FFFFFF"/>
        </w:rPr>
        <w:t xml:space="preserve">Johnson, G., Whittington, R., Scholes, K., Angwin, D. and </w:t>
      </w:r>
      <w:proofErr w:type="spellStart"/>
      <w:r w:rsidRPr="004D75FD">
        <w:rPr>
          <w:rFonts w:ascii="Arial" w:hAnsi="Arial" w:cs="Arial"/>
          <w:shd w:val="clear" w:color="auto" w:fill="FFFFFF"/>
        </w:rPr>
        <w:t>Regnér</w:t>
      </w:r>
      <w:proofErr w:type="spellEnd"/>
      <w:r w:rsidRPr="004D75FD">
        <w:rPr>
          <w:rFonts w:ascii="Arial" w:hAnsi="Arial" w:cs="Arial"/>
          <w:shd w:val="clear" w:color="auto" w:fill="FFFFFF"/>
        </w:rPr>
        <w:t>, P., 2017. Exploring Strategy: Text and Cases (11th Edit….</w:t>
      </w:r>
    </w:p>
    <w:p w14:paraId="599EC6A9" w14:textId="77777777" w:rsidR="004D75FD" w:rsidRPr="004D75FD" w:rsidRDefault="004D75FD" w:rsidP="004D75FD">
      <w:pPr>
        <w:spacing w:line="480" w:lineRule="auto"/>
        <w:ind w:left="720" w:hanging="720"/>
        <w:rPr>
          <w:rFonts w:ascii="Arial" w:hAnsi="Arial" w:cs="Arial"/>
        </w:rPr>
      </w:pPr>
      <w:r w:rsidRPr="004D75FD">
        <w:rPr>
          <w:rFonts w:ascii="Arial" w:hAnsi="Arial" w:cs="Arial"/>
          <w:shd w:val="clear" w:color="auto" w:fill="FFFFFF"/>
        </w:rPr>
        <w:t>Morrison, M.J., 2016. </w:t>
      </w:r>
      <w:r w:rsidRPr="004D75FD">
        <w:rPr>
          <w:rFonts w:ascii="Arial" w:hAnsi="Arial" w:cs="Arial"/>
          <w:i/>
          <w:iCs/>
          <w:shd w:val="clear" w:color="auto" w:fill="FFFFFF"/>
        </w:rPr>
        <w:t>The global business environment: Challenges and responsibilities</w:t>
      </w:r>
      <w:r w:rsidRPr="004D75FD">
        <w:rPr>
          <w:rFonts w:ascii="Arial" w:hAnsi="Arial" w:cs="Arial"/>
          <w:shd w:val="clear" w:color="auto" w:fill="FFFFFF"/>
        </w:rPr>
        <w:t>. Red Globe Press.</w:t>
      </w:r>
    </w:p>
    <w:p w14:paraId="498A75B8" w14:textId="77777777" w:rsidR="004D75FD" w:rsidRPr="004D75FD" w:rsidRDefault="004D75FD">
      <w:pPr>
        <w:rPr>
          <w:rFonts w:ascii="Arial" w:hAnsi="Arial" w:cs="Arial"/>
        </w:rPr>
      </w:pPr>
    </w:p>
    <w:sectPr w:rsidR="004D75FD" w:rsidRPr="004D75F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7E08B2" w14:textId="77777777" w:rsidR="006D7AC8" w:rsidRDefault="006D7AC8" w:rsidP="006D7AC8">
      <w:r>
        <w:separator/>
      </w:r>
    </w:p>
  </w:endnote>
  <w:endnote w:type="continuationSeparator" w:id="0">
    <w:p w14:paraId="0D4C58CA" w14:textId="77777777" w:rsidR="006D7AC8" w:rsidRDefault="006D7AC8" w:rsidP="006D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0024604"/>
      <w:docPartObj>
        <w:docPartGallery w:val="Page Numbers (Bottom of Page)"/>
        <w:docPartUnique/>
      </w:docPartObj>
    </w:sdtPr>
    <w:sdtEndPr>
      <w:rPr>
        <w:noProof/>
      </w:rPr>
    </w:sdtEndPr>
    <w:sdtContent>
      <w:p w14:paraId="0EAC7A64" w14:textId="741EF192" w:rsidR="006D7AC8" w:rsidRDefault="006D7A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7B70FE" w14:textId="77777777" w:rsidR="006D7AC8" w:rsidRDefault="006D7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B8597" w14:textId="77777777" w:rsidR="006D7AC8" w:rsidRDefault="006D7AC8" w:rsidP="006D7AC8">
      <w:r>
        <w:separator/>
      </w:r>
    </w:p>
  </w:footnote>
  <w:footnote w:type="continuationSeparator" w:id="0">
    <w:p w14:paraId="32EA3883" w14:textId="77777777" w:rsidR="006D7AC8" w:rsidRDefault="006D7AC8" w:rsidP="006D7A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FD"/>
    <w:rsid w:val="001E1BBF"/>
    <w:rsid w:val="004D75FD"/>
    <w:rsid w:val="00530AE9"/>
    <w:rsid w:val="00606391"/>
    <w:rsid w:val="00664606"/>
    <w:rsid w:val="006D7AC8"/>
    <w:rsid w:val="0087584B"/>
    <w:rsid w:val="008B323C"/>
    <w:rsid w:val="009956E9"/>
    <w:rsid w:val="009D2342"/>
    <w:rsid w:val="00A10E02"/>
    <w:rsid w:val="00A51AE2"/>
    <w:rsid w:val="00C47459"/>
    <w:rsid w:val="00EA1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EFCB"/>
  <w15:chartTrackingRefBased/>
  <w15:docId w15:val="{D15A7900-F845-4A57-837D-D40A5BC64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F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4D75F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paragraph" w:styleId="Heading2">
    <w:name w:val="heading 2"/>
    <w:basedOn w:val="Normal"/>
    <w:next w:val="Normal"/>
    <w:link w:val="Heading2Char"/>
    <w:uiPriority w:val="9"/>
    <w:unhideWhenUsed/>
    <w:qFormat/>
    <w:rsid w:val="004D75F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1"/>
    </w:pPr>
    <w:rPr>
      <w:rFonts w:asciiTheme="majorHAnsi" w:eastAsiaTheme="majorEastAsia" w:hAnsiTheme="majorHAnsi" w:cstheme="majorBidi"/>
      <w:color w:val="2F5496" w:themeColor="accent1" w:themeShade="BF"/>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75F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5FD"/>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4D75F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4D75FD"/>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6D7AC8"/>
    <w:pPr>
      <w:tabs>
        <w:tab w:val="center" w:pos="4513"/>
        <w:tab w:val="right" w:pos="9026"/>
      </w:tabs>
    </w:pPr>
  </w:style>
  <w:style w:type="character" w:customStyle="1" w:styleId="HeaderChar">
    <w:name w:val="Header Char"/>
    <w:basedOn w:val="DefaultParagraphFont"/>
    <w:link w:val="Header"/>
    <w:uiPriority w:val="99"/>
    <w:rsid w:val="006D7AC8"/>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6D7AC8"/>
    <w:pPr>
      <w:tabs>
        <w:tab w:val="center" w:pos="4513"/>
        <w:tab w:val="right" w:pos="9026"/>
      </w:tabs>
    </w:pPr>
  </w:style>
  <w:style w:type="character" w:customStyle="1" w:styleId="FooterChar">
    <w:name w:val="Footer Char"/>
    <w:basedOn w:val="DefaultParagraphFont"/>
    <w:link w:val="Footer"/>
    <w:uiPriority w:val="99"/>
    <w:rsid w:val="006D7AC8"/>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1652</Words>
  <Characters>9418</Characters>
  <Application>Microsoft Office Word</Application>
  <DocSecurity>0</DocSecurity>
  <Lines>78</Lines>
  <Paragraphs>22</Paragraphs>
  <ScaleCrop>false</ScaleCrop>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Petya Nedeva</dc:creator>
  <cp:keywords/>
  <dc:description/>
  <cp:lastModifiedBy>Petya Nedeva</cp:lastModifiedBy>
  <cp:revision>12</cp:revision>
  <dcterms:created xsi:type="dcterms:W3CDTF">2020-07-07T09:37:00Z</dcterms:created>
  <dcterms:modified xsi:type="dcterms:W3CDTF">2020-08-13T08:38:00Z</dcterms:modified>
</cp:coreProperties>
</file>