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7EC3E" w14:textId="77777777" w:rsidR="00417A86" w:rsidRPr="00417A86" w:rsidRDefault="00417A86" w:rsidP="00417A86">
      <w:pPr>
        <w:pStyle w:val="BodyText"/>
        <w:ind w:left="2798"/>
        <w:rPr>
          <w:rFonts w:ascii="Times New Roman"/>
          <w:sz w:val="20"/>
        </w:rPr>
      </w:pPr>
      <w:r w:rsidRPr="00417A86">
        <w:rPr>
          <w:rFonts w:ascii="Times New Roman"/>
          <w:noProof/>
          <w:sz w:val="20"/>
          <w:lang w:bidi="ar-SA"/>
        </w:rPr>
        <w:drawing>
          <wp:inline distT="0" distB="0" distL="0" distR="0" wp14:anchorId="3F7BF8F9" wp14:editId="120B4239">
            <wp:extent cx="2880984" cy="1133855"/>
            <wp:effectExtent l="0" t="0" r="0" b="0"/>
            <wp:docPr id="1" name="image1.jpeg"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black and white sign with black text&#10;&#10;Description automatically generated"/>
                    <pic:cNvPicPr/>
                  </pic:nvPicPr>
                  <pic:blipFill>
                    <a:blip r:embed="rId7" cstate="print"/>
                    <a:stretch>
                      <a:fillRect/>
                    </a:stretch>
                  </pic:blipFill>
                  <pic:spPr>
                    <a:xfrm>
                      <a:off x="0" y="0"/>
                      <a:ext cx="2880984" cy="1133855"/>
                    </a:xfrm>
                    <a:prstGeom prst="rect">
                      <a:avLst/>
                    </a:prstGeom>
                  </pic:spPr>
                </pic:pic>
              </a:graphicData>
            </a:graphic>
          </wp:inline>
        </w:drawing>
      </w:r>
    </w:p>
    <w:p w14:paraId="6CEEC097" w14:textId="77777777" w:rsidR="00417A86" w:rsidRPr="00417A86" w:rsidRDefault="00417A86" w:rsidP="00417A86">
      <w:pPr>
        <w:pStyle w:val="BodyText"/>
        <w:rPr>
          <w:rFonts w:ascii="Times New Roman"/>
          <w:sz w:val="20"/>
        </w:rPr>
      </w:pPr>
    </w:p>
    <w:p w14:paraId="1E5F584B" w14:textId="77777777" w:rsidR="00417A86" w:rsidRPr="00417A86" w:rsidRDefault="00417A86" w:rsidP="00417A86">
      <w:pPr>
        <w:pStyle w:val="BodyText"/>
        <w:rPr>
          <w:rFonts w:ascii="Times New Roman"/>
          <w:sz w:val="20"/>
        </w:rPr>
      </w:pPr>
    </w:p>
    <w:p w14:paraId="4ACAFD67" w14:textId="77777777" w:rsidR="00417A86" w:rsidRPr="00417A86" w:rsidRDefault="00417A86" w:rsidP="00417A86">
      <w:pPr>
        <w:pStyle w:val="BodyText"/>
        <w:rPr>
          <w:rFonts w:ascii="Times New Roman"/>
          <w:sz w:val="20"/>
        </w:rPr>
      </w:pPr>
    </w:p>
    <w:p w14:paraId="68682F2F" w14:textId="77777777" w:rsidR="00417A86" w:rsidRPr="00417A86" w:rsidRDefault="00417A86" w:rsidP="00417A86">
      <w:pPr>
        <w:pStyle w:val="BodyText"/>
        <w:rPr>
          <w:rFonts w:ascii="Times New Roman"/>
          <w:sz w:val="20"/>
        </w:rPr>
      </w:pPr>
    </w:p>
    <w:p w14:paraId="7FE704F2" w14:textId="77777777" w:rsidR="00417A86" w:rsidRPr="00417A86" w:rsidRDefault="00417A86" w:rsidP="00417A86">
      <w:pPr>
        <w:spacing w:line="1342" w:lineRule="exact"/>
        <w:jc w:val="center"/>
        <w:rPr>
          <w:rFonts w:cstheme="minorHAnsi"/>
          <w:sz w:val="110"/>
        </w:rPr>
      </w:pPr>
    </w:p>
    <w:p w14:paraId="5CB5C72D" w14:textId="77777777" w:rsidR="00417A86" w:rsidRPr="00417A86" w:rsidRDefault="00417A86" w:rsidP="00417A86">
      <w:pPr>
        <w:spacing w:line="360" w:lineRule="auto"/>
        <w:jc w:val="center"/>
        <w:rPr>
          <w:rFonts w:cstheme="minorHAnsi"/>
          <w:b/>
          <w:bCs/>
          <w:sz w:val="40"/>
          <w:szCs w:val="40"/>
        </w:rPr>
      </w:pPr>
      <w:r w:rsidRPr="00417A86">
        <w:rPr>
          <w:rFonts w:cstheme="minorHAnsi"/>
          <w:b/>
          <w:bCs/>
          <w:sz w:val="40"/>
          <w:szCs w:val="40"/>
        </w:rPr>
        <w:t>BMNS4008</w:t>
      </w:r>
    </w:p>
    <w:p w14:paraId="44A6EE93" w14:textId="77777777" w:rsidR="00417A86" w:rsidRPr="00417A86" w:rsidRDefault="00417A86" w:rsidP="00417A86">
      <w:pPr>
        <w:spacing w:line="360" w:lineRule="auto"/>
        <w:jc w:val="center"/>
        <w:rPr>
          <w:rFonts w:cstheme="minorHAnsi"/>
          <w:b/>
          <w:bCs/>
          <w:sz w:val="40"/>
          <w:szCs w:val="40"/>
        </w:rPr>
      </w:pPr>
      <w:r w:rsidRPr="00417A86">
        <w:rPr>
          <w:rFonts w:cstheme="minorHAnsi"/>
          <w:b/>
          <w:bCs/>
          <w:sz w:val="40"/>
          <w:szCs w:val="40"/>
        </w:rPr>
        <w:t>Managing Organisations in Nursing</w:t>
      </w:r>
    </w:p>
    <w:p w14:paraId="531B6673" w14:textId="77777777" w:rsidR="00417A86" w:rsidRPr="00417A86" w:rsidRDefault="00417A86" w:rsidP="00417A86">
      <w:pPr>
        <w:spacing w:line="360" w:lineRule="auto"/>
        <w:jc w:val="center"/>
        <w:rPr>
          <w:rFonts w:cstheme="minorHAnsi"/>
          <w:b/>
          <w:bCs/>
          <w:sz w:val="40"/>
          <w:szCs w:val="40"/>
        </w:rPr>
      </w:pPr>
    </w:p>
    <w:p w14:paraId="5D363CF1" w14:textId="77777777" w:rsidR="00417A86" w:rsidRPr="00417A86" w:rsidRDefault="00417A86" w:rsidP="00417A86">
      <w:pPr>
        <w:spacing w:line="1342" w:lineRule="exact"/>
        <w:jc w:val="center"/>
        <w:rPr>
          <w:rFonts w:cstheme="minorHAnsi"/>
          <w:sz w:val="110"/>
        </w:rPr>
      </w:pPr>
      <w:r w:rsidRPr="00417A86">
        <w:rPr>
          <w:rFonts w:cstheme="minorHAnsi"/>
          <w:sz w:val="110"/>
        </w:rPr>
        <w:t>Event Risk Management</w:t>
      </w:r>
    </w:p>
    <w:p w14:paraId="261D9D8F" w14:textId="04CCCA5D" w:rsidR="00F37A4F" w:rsidRPr="00417A86" w:rsidRDefault="00417A86" w:rsidP="00417A86">
      <w:pPr>
        <w:jc w:val="center"/>
        <w:rPr>
          <w:rFonts w:ascii="Times New Roman" w:hAnsi="Times New Roman" w:cs="Times New Roman"/>
          <w:b/>
          <w:bCs/>
          <w:sz w:val="28"/>
          <w:szCs w:val="28"/>
        </w:rPr>
      </w:pPr>
      <w:r w:rsidRPr="00417A86">
        <w:rPr>
          <w:rFonts w:cstheme="minorHAnsi"/>
          <w:sz w:val="110"/>
        </w:rPr>
        <w:t>Template</w:t>
      </w:r>
    </w:p>
    <w:p w14:paraId="7A0A4A49" w14:textId="77777777" w:rsidR="00F37A4F" w:rsidRDefault="00F37A4F" w:rsidP="00F37A4F">
      <w:pPr>
        <w:ind w:left="360"/>
        <w:jc w:val="both"/>
        <w:rPr>
          <w:rFonts w:ascii="Times New Roman" w:hAnsi="Times New Roman" w:cs="Times New Roman"/>
          <w:b/>
          <w:bCs/>
          <w:sz w:val="28"/>
          <w:szCs w:val="28"/>
        </w:rPr>
      </w:pPr>
    </w:p>
    <w:p w14:paraId="253D0F5F" w14:textId="77777777" w:rsidR="00417A86" w:rsidRDefault="00417A86" w:rsidP="00F37A4F">
      <w:pPr>
        <w:ind w:left="360"/>
        <w:jc w:val="both"/>
        <w:rPr>
          <w:rFonts w:ascii="Times New Roman" w:hAnsi="Times New Roman" w:cs="Times New Roman"/>
          <w:b/>
          <w:bCs/>
          <w:sz w:val="28"/>
          <w:szCs w:val="28"/>
        </w:rPr>
      </w:pPr>
    </w:p>
    <w:p w14:paraId="79A6A578" w14:textId="77777777" w:rsidR="00417A86" w:rsidRPr="00417A86" w:rsidRDefault="00417A86" w:rsidP="00F37A4F">
      <w:pPr>
        <w:ind w:left="360"/>
        <w:jc w:val="both"/>
        <w:rPr>
          <w:rFonts w:ascii="Times New Roman" w:hAnsi="Times New Roman" w:cs="Times New Roman"/>
          <w:b/>
          <w:bCs/>
          <w:sz w:val="28"/>
          <w:szCs w:val="28"/>
        </w:rPr>
      </w:pPr>
    </w:p>
    <w:p w14:paraId="7C2DF87C" w14:textId="59324EEA" w:rsidR="00A35C2B" w:rsidRPr="00417A86" w:rsidRDefault="00A35C2B" w:rsidP="00F37A4F">
      <w:pPr>
        <w:pStyle w:val="ListParagraph"/>
        <w:numPr>
          <w:ilvl w:val="0"/>
          <w:numId w:val="3"/>
        </w:numPr>
        <w:jc w:val="both"/>
        <w:rPr>
          <w:rFonts w:ascii="Times New Roman" w:hAnsi="Times New Roman" w:cs="Times New Roman"/>
          <w:b/>
          <w:bCs/>
          <w:sz w:val="28"/>
          <w:szCs w:val="28"/>
        </w:rPr>
      </w:pPr>
      <w:r w:rsidRPr="00417A86">
        <w:rPr>
          <w:rFonts w:ascii="Times New Roman" w:hAnsi="Times New Roman" w:cs="Times New Roman"/>
          <w:b/>
          <w:bCs/>
          <w:sz w:val="28"/>
          <w:szCs w:val="28"/>
        </w:rPr>
        <w:lastRenderedPageBreak/>
        <w:t xml:space="preserve"> Introduction</w:t>
      </w:r>
    </w:p>
    <w:p w14:paraId="0AA2A8E8"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Situation Description</w:t>
      </w:r>
    </w:p>
    <w:p w14:paraId="1D368980" w14:textId="45860850"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A new high-dependency unit specialized for the care of patients with dementia is being established at the local hospital. This initiative responds to the growing need for specialized care environments that cater specifically to the complex needs of dementia patients. Such units are designed to provide intensive monitoring, support, and care to patients who, due to the severity of their condition, require a higher level of attention than what is available in standard care settings. This situation necessitates a comprehensive risk assessment to ensure the safety and well-being of patients during their transportation to the unit and throughout their stay (Silverstein </w:t>
      </w:r>
      <w:r w:rsidR="00417A86">
        <w:rPr>
          <w:rFonts w:ascii="Times New Roman" w:hAnsi="Times New Roman" w:cs="Times New Roman"/>
          <w:sz w:val="28"/>
          <w:szCs w:val="28"/>
        </w:rPr>
        <w:t>and</w:t>
      </w:r>
      <w:r w:rsidRPr="00417A86">
        <w:rPr>
          <w:rFonts w:ascii="Times New Roman" w:hAnsi="Times New Roman" w:cs="Times New Roman"/>
          <w:sz w:val="28"/>
          <w:szCs w:val="28"/>
        </w:rPr>
        <w:t xml:space="preserve"> Kerschner, 2016)</w:t>
      </w:r>
    </w:p>
    <w:p w14:paraId="5045B656"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Context</w:t>
      </w:r>
    </w:p>
    <w:p w14:paraId="1D70DBFC" w14:textId="3B1A6935"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Dementia is a collective term used to describe various symptoms of cognitive decline, such as memory loss, difficulties with problem-solving, and other thinking abilities severe enough to interfere with daily life. It is not a specific disease but a general term that covers a wide range of specific medical conditions, including Alzheimer's disease. The context of this report revolves around the critical transition period as patients are moved from </w:t>
      </w:r>
      <w:r w:rsidR="00417A86" w:rsidRPr="00417A86">
        <w:rPr>
          <w:rFonts w:ascii="Times New Roman" w:hAnsi="Times New Roman" w:cs="Times New Roman"/>
          <w:sz w:val="28"/>
          <w:szCs w:val="28"/>
        </w:rPr>
        <w:t>neighbouring</w:t>
      </w:r>
      <w:r w:rsidRPr="00417A86">
        <w:rPr>
          <w:rFonts w:ascii="Times New Roman" w:hAnsi="Times New Roman" w:cs="Times New Roman"/>
          <w:sz w:val="28"/>
          <w:szCs w:val="28"/>
        </w:rPr>
        <w:t xml:space="preserve"> hospitals to the new high-dependency unit. This phase involves considerable logistical, medical, and ethical considerations, especially given the vulnerabilities and specific needs of dementia patients. The care within the unit further encompasses a range of practices aimed at managing the complex symptoms of dementia, enhancing patient quality of life, and providing support to families and caregivers (Schüssler </w:t>
      </w:r>
      <w:r w:rsidR="00417A86">
        <w:rPr>
          <w:rFonts w:ascii="Times New Roman" w:hAnsi="Times New Roman" w:cs="Times New Roman"/>
          <w:sz w:val="28"/>
          <w:szCs w:val="28"/>
        </w:rPr>
        <w:t>and</w:t>
      </w:r>
      <w:r w:rsidRPr="00417A86">
        <w:rPr>
          <w:rFonts w:ascii="Times New Roman" w:hAnsi="Times New Roman" w:cs="Times New Roman"/>
          <w:sz w:val="28"/>
          <w:szCs w:val="28"/>
        </w:rPr>
        <w:t xml:space="preserve"> Lohrmann, 2015</w:t>
      </w:r>
      <w:r w:rsidR="000D65A3" w:rsidRPr="00417A86">
        <w:rPr>
          <w:rFonts w:ascii="Times New Roman" w:hAnsi="Times New Roman" w:cs="Times New Roman"/>
          <w:sz w:val="28"/>
          <w:szCs w:val="28"/>
        </w:rPr>
        <w:t>, Åkerborg et al, 2016</w:t>
      </w:r>
      <w:r w:rsidRPr="00417A86">
        <w:rPr>
          <w:rFonts w:ascii="Times New Roman" w:hAnsi="Times New Roman" w:cs="Times New Roman"/>
          <w:sz w:val="28"/>
          <w:szCs w:val="28"/>
        </w:rPr>
        <w:t>)</w:t>
      </w:r>
    </w:p>
    <w:p w14:paraId="0DB404C1"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Key Definitions</w:t>
      </w:r>
    </w:p>
    <w:p w14:paraId="4E27080D" w14:textId="4F961B15" w:rsidR="00A35C2B" w:rsidRPr="00417A86" w:rsidRDefault="00A35C2B" w:rsidP="00F37A4F">
      <w:pPr>
        <w:numPr>
          <w:ilvl w:val="0"/>
          <w:numId w:val="2"/>
        </w:numPr>
        <w:jc w:val="both"/>
        <w:rPr>
          <w:rFonts w:ascii="Times New Roman" w:hAnsi="Times New Roman" w:cs="Times New Roman"/>
          <w:sz w:val="28"/>
          <w:szCs w:val="28"/>
        </w:rPr>
      </w:pPr>
      <w:r w:rsidRPr="00417A86">
        <w:rPr>
          <w:rFonts w:ascii="Times New Roman" w:hAnsi="Times New Roman" w:cs="Times New Roman"/>
          <w:b/>
          <w:bCs/>
          <w:sz w:val="28"/>
          <w:szCs w:val="28"/>
        </w:rPr>
        <w:t>High-Dependency Unit (HDU):</w:t>
      </w:r>
      <w:r w:rsidRPr="00417A86">
        <w:rPr>
          <w:rFonts w:ascii="Times New Roman" w:hAnsi="Times New Roman" w:cs="Times New Roman"/>
          <w:sz w:val="28"/>
          <w:szCs w:val="28"/>
        </w:rPr>
        <w:t xml:space="preserve"> A specialized hospital ward designed to provide intensive care monitoring and treatment to patients with serious health conditions that require more comprehensive care than what's available in a regular ward but do not necessarily need intensive care (Luckner et al., 2018).</w:t>
      </w:r>
    </w:p>
    <w:p w14:paraId="4A6CAD71" w14:textId="2357D5DD" w:rsidR="00A35C2B" w:rsidRPr="00417A86" w:rsidRDefault="00A35C2B" w:rsidP="00F37A4F">
      <w:pPr>
        <w:numPr>
          <w:ilvl w:val="0"/>
          <w:numId w:val="2"/>
        </w:numPr>
        <w:jc w:val="both"/>
        <w:rPr>
          <w:rFonts w:ascii="Times New Roman" w:hAnsi="Times New Roman" w:cs="Times New Roman"/>
          <w:sz w:val="28"/>
          <w:szCs w:val="28"/>
        </w:rPr>
      </w:pPr>
      <w:r w:rsidRPr="00417A86">
        <w:rPr>
          <w:rFonts w:ascii="Times New Roman" w:hAnsi="Times New Roman" w:cs="Times New Roman"/>
          <w:b/>
          <w:bCs/>
          <w:sz w:val="28"/>
          <w:szCs w:val="28"/>
        </w:rPr>
        <w:t>Dementia:</w:t>
      </w:r>
      <w:r w:rsidRPr="00417A86">
        <w:rPr>
          <w:rFonts w:ascii="Times New Roman" w:hAnsi="Times New Roman" w:cs="Times New Roman"/>
          <w:sz w:val="28"/>
          <w:szCs w:val="28"/>
        </w:rPr>
        <w:t xml:space="preserve"> A syndrome associated with an ongoing decline of brain functioning that might include memory loss, difficulties with thinking, problem-solving, language, and often changes in mood, perception, or </w:t>
      </w:r>
      <w:r w:rsidR="00417A86" w:rsidRPr="00417A86">
        <w:rPr>
          <w:rFonts w:ascii="Times New Roman" w:hAnsi="Times New Roman" w:cs="Times New Roman"/>
          <w:sz w:val="28"/>
          <w:szCs w:val="28"/>
        </w:rPr>
        <w:t>behaviour</w:t>
      </w:r>
      <w:r w:rsidRPr="00417A86">
        <w:rPr>
          <w:rFonts w:ascii="Times New Roman" w:hAnsi="Times New Roman" w:cs="Times New Roman"/>
          <w:sz w:val="28"/>
          <w:szCs w:val="28"/>
        </w:rPr>
        <w:t xml:space="preserve"> (Rapoport et al., 2020)</w:t>
      </w:r>
    </w:p>
    <w:p w14:paraId="4646B645" w14:textId="732CCCDB" w:rsidR="00A35C2B" w:rsidRPr="00417A86" w:rsidRDefault="00A35C2B" w:rsidP="00F37A4F">
      <w:pPr>
        <w:numPr>
          <w:ilvl w:val="0"/>
          <w:numId w:val="2"/>
        </w:numPr>
        <w:jc w:val="both"/>
        <w:rPr>
          <w:rFonts w:ascii="Times New Roman" w:hAnsi="Times New Roman" w:cs="Times New Roman"/>
          <w:sz w:val="28"/>
          <w:szCs w:val="28"/>
        </w:rPr>
      </w:pPr>
      <w:r w:rsidRPr="00417A86">
        <w:rPr>
          <w:rFonts w:ascii="Times New Roman" w:hAnsi="Times New Roman" w:cs="Times New Roman"/>
          <w:b/>
          <w:bCs/>
          <w:sz w:val="28"/>
          <w:szCs w:val="28"/>
        </w:rPr>
        <w:lastRenderedPageBreak/>
        <w:t>Risk Assessment:</w:t>
      </w:r>
      <w:r w:rsidRPr="00417A86">
        <w:rPr>
          <w:rFonts w:ascii="Times New Roman" w:hAnsi="Times New Roman" w:cs="Times New Roman"/>
          <w:sz w:val="28"/>
          <w:szCs w:val="28"/>
        </w:rPr>
        <w:t xml:space="preserve"> The process of identifying potential hazards and </w:t>
      </w:r>
      <w:r w:rsidR="00816F58" w:rsidRPr="00417A86">
        <w:rPr>
          <w:rFonts w:ascii="Times New Roman" w:hAnsi="Times New Roman" w:cs="Times New Roman"/>
          <w:sz w:val="28"/>
          <w:szCs w:val="28"/>
        </w:rPr>
        <w:t>analysing</w:t>
      </w:r>
      <w:r w:rsidRPr="00417A86">
        <w:rPr>
          <w:rFonts w:ascii="Times New Roman" w:hAnsi="Times New Roman" w:cs="Times New Roman"/>
          <w:sz w:val="28"/>
          <w:szCs w:val="28"/>
        </w:rPr>
        <w:t xml:space="preserve"> what could happen if a hazard occurs. In healthcare, this involves evaluating the potential risks that could harm patients or healthcare workers and determining appropriate ways to mitigate these risks (Sadarangani et al., 2021).</w:t>
      </w:r>
    </w:p>
    <w:p w14:paraId="64C7DA7A" w14:textId="78A439B8" w:rsidR="002F4815" w:rsidRPr="00417A86" w:rsidRDefault="00A35C2B" w:rsidP="00F37A4F">
      <w:pPr>
        <w:numPr>
          <w:ilvl w:val="0"/>
          <w:numId w:val="2"/>
        </w:numPr>
        <w:jc w:val="both"/>
        <w:rPr>
          <w:rFonts w:ascii="Times New Roman" w:hAnsi="Times New Roman" w:cs="Times New Roman"/>
          <w:sz w:val="28"/>
          <w:szCs w:val="28"/>
        </w:rPr>
      </w:pPr>
      <w:r w:rsidRPr="00417A86">
        <w:rPr>
          <w:rFonts w:ascii="Times New Roman" w:hAnsi="Times New Roman" w:cs="Times New Roman"/>
          <w:b/>
          <w:bCs/>
          <w:sz w:val="28"/>
          <w:szCs w:val="28"/>
        </w:rPr>
        <w:t>Legislative Compliance:</w:t>
      </w:r>
      <w:r w:rsidRPr="00417A86">
        <w:rPr>
          <w:rFonts w:ascii="Times New Roman" w:hAnsi="Times New Roman" w:cs="Times New Roman"/>
          <w:sz w:val="28"/>
          <w:szCs w:val="28"/>
        </w:rPr>
        <w:t xml:space="preserve"> Adhering to laws and regulations relevant to healthcare settings. This includes following standards and guidelines set by healthcare regulatory bodies to ensure patient safety, privacy, and quality of care.</w:t>
      </w:r>
      <w:r w:rsidR="000D65A3" w:rsidRPr="00417A86">
        <w:rPr>
          <w:rFonts w:ascii="Times New Roman" w:hAnsi="Times New Roman" w:cs="Times New Roman"/>
          <w:sz w:val="28"/>
          <w:szCs w:val="28"/>
        </w:rPr>
        <w:t xml:space="preserve"> (Donnelly, 2020)</w:t>
      </w:r>
    </w:p>
    <w:p w14:paraId="52EC9F2C" w14:textId="77777777" w:rsidR="00A35C2B" w:rsidRPr="00417A86" w:rsidRDefault="00A35C2B" w:rsidP="00F37A4F">
      <w:pPr>
        <w:jc w:val="both"/>
        <w:rPr>
          <w:rFonts w:ascii="Times New Roman" w:hAnsi="Times New Roman" w:cs="Times New Roman"/>
          <w:sz w:val="28"/>
          <w:szCs w:val="28"/>
        </w:rPr>
      </w:pPr>
    </w:p>
    <w:p w14:paraId="45A96C3C" w14:textId="406D25DC" w:rsidR="00A35C2B" w:rsidRPr="00417A86" w:rsidRDefault="00A35C2B" w:rsidP="00F37A4F">
      <w:pPr>
        <w:pStyle w:val="ListParagraph"/>
        <w:numPr>
          <w:ilvl w:val="0"/>
          <w:numId w:val="3"/>
        </w:numPr>
        <w:jc w:val="both"/>
        <w:rPr>
          <w:rFonts w:ascii="Times New Roman" w:hAnsi="Times New Roman" w:cs="Times New Roman"/>
          <w:b/>
          <w:bCs/>
          <w:sz w:val="28"/>
          <w:szCs w:val="28"/>
        </w:rPr>
      </w:pPr>
      <w:r w:rsidRPr="00417A86">
        <w:rPr>
          <w:rFonts w:ascii="Times New Roman" w:hAnsi="Times New Roman" w:cs="Times New Roman"/>
          <w:b/>
          <w:bCs/>
          <w:sz w:val="28"/>
          <w:szCs w:val="28"/>
        </w:rPr>
        <w:t>Method</w:t>
      </w:r>
    </w:p>
    <w:p w14:paraId="6203BCA3" w14:textId="77777777" w:rsidR="00A35C2B" w:rsidRPr="00417A86" w:rsidRDefault="00A35C2B" w:rsidP="00F37A4F">
      <w:pPr>
        <w:pStyle w:val="ListParagraph"/>
        <w:jc w:val="both"/>
        <w:rPr>
          <w:rFonts w:ascii="Times New Roman" w:hAnsi="Times New Roman" w:cs="Times New Roman"/>
          <w:b/>
          <w:bCs/>
          <w:sz w:val="28"/>
          <w:szCs w:val="28"/>
        </w:rPr>
      </w:pPr>
    </w:p>
    <w:p w14:paraId="0894CBE7"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Description and Justification of Methodology</w:t>
      </w:r>
    </w:p>
    <w:p w14:paraId="4F5F0C32" w14:textId="6C53DE85"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To comprehensively assess the risks associated with the establishment and operation of a high dependency unit for dementia patients, a mixed-methods approach was employed. This methodology combines qualitative insights from literature reviews, expert consultations, and stakeholder feedback with quantitative data derived from risk scoring and facility audits. This approach is justified by its ability to capture a wide spectrum of potential risks, from clinical and operational to socio-emotional and environmental, ensuring a holistic risk management strategy (Clarke </w:t>
      </w:r>
      <w:r w:rsidR="006F2505">
        <w:rPr>
          <w:rFonts w:ascii="Times New Roman" w:hAnsi="Times New Roman" w:cs="Times New Roman"/>
          <w:sz w:val="28"/>
          <w:szCs w:val="28"/>
        </w:rPr>
        <w:t>and</w:t>
      </w:r>
      <w:r w:rsidRPr="00417A86">
        <w:rPr>
          <w:rFonts w:ascii="Times New Roman" w:hAnsi="Times New Roman" w:cs="Times New Roman"/>
          <w:sz w:val="28"/>
          <w:szCs w:val="28"/>
        </w:rPr>
        <w:t xml:space="preserve"> Mantle, 2016).</w:t>
      </w:r>
    </w:p>
    <w:p w14:paraId="0C63CB9C"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Areas Assessed</w:t>
      </w:r>
    </w:p>
    <w:p w14:paraId="6B86D34C" w14:textId="77777777" w:rsidR="00A35C2B" w:rsidRPr="00417A86" w:rsidRDefault="00A35C2B" w:rsidP="00F37A4F">
      <w:pPr>
        <w:numPr>
          <w:ilvl w:val="0"/>
          <w:numId w:val="4"/>
        </w:numPr>
        <w:jc w:val="both"/>
        <w:rPr>
          <w:rFonts w:ascii="Times New Roman" w:hAnsi="Times New Roman" w:cs="Times New Roman"/>
          <w:sz w:val="28"/>
          <w:szCs w:val="28"/>
        </w:rPr>
      </w:pPr>
      <w:r w:rsidRPr="00417A86">
        <w:rPr>
          <w:rFonts w:ascii="Times New Roman" w:hAnsi="Times New Roman" w:cs="Times New Roman"/>
          <w:b/>
          <w:bCs/>
          <w:sz w:val="28"/>
          <w:szCs w:val="28"/>
        </w:rPr>
        <w:t>Patient Transportation:</w:t>
      </w:r>
      <w:r w:rsidRPr="00417A86">
        <w:rPr>
          <w:rFonts w:ascii="Times New Roman" w:hAnsi="Times New Roman" w:cs="Times New Roman"/>
          <w:sz w:val="28"/>
          <w:szCs w:val="28"/>
        </w:rPr>
        <w:t xml:space="preserve"> Evaluated the safety and adequacy of transportation arrangements for transferring dementia patients to the unit, focusing on vehicle accessibility, staff training, and contingency plans for emergencies.</w:t>
      </w:r>
    </w:p>
    <w:p w14:paraId="2E64EA38" w14:textId="75965F74" w:rsidR="00A35C2B" w:rsidRPr="00417A86" w:rsidRDefault="00A35C2B" w:rsidP="00F37A4F">
      <w:pPr>
        <w:numPr>
          <w:ilvl w:val="0"/>
          <w:numId w:val="4"/>
        </w:numPr>
        <w:jc w:val="both"/>
        <w:rPr>
          <w:rFonts w:ascii="Times New Roman" w:hAnsi="Times New Roman" w:cs="Times New Roman"/>
          <w:sz w:val="28"/>
          <w:szCs w:val="28"/>
        </w:rPr>
      </w:pPr>
      <w:r w:rsidRPr="00417A86">
        <w:rPr>
          <w:rFonts w:ascii="Times New Roman" w:hAnsi="Times New Roman" w:cs="Times New Roman"/>
          <w:b/>
          <w:bCs/>
          <w:sz w:val="28"/>
          <w:szCs w:val="28"/>
        </w:rPr>
        <w:t>Facility Safety and Design:</w:t>
      </w:r>
      <w:r w:rsidRPr="00417A86">
        <w:rPr>
          <w:rFonts w:ascii="Times New Roman" w:hAnsi="Times New Roman" w:cs="Times New Roman"/>
          <w:sz w:val="28"/>
          <w:szCs w:val="28"/>
        </w:rPr>
        <w:t xml:space="preserve"> Assessed the physical environment of the unit for potential hazards that could lead to falls, wandering, and other safety risks specific to dementia patients. Also evaluated the design for its ability to promote a therapeutic and comfortable atmosphere (Nazarko, 2015)</w:t>
      </w:r>
    </w:p>
    <w:p w14:paraId="707A377D" w14:textId="77777777" w:rsidR="00A35C2B" w:rsidRPr="00417A86" w:rsidRDefault="00A35C2B" w:rsidP="00F37A4F">
      <w:pPr>
        <w:numPr>
          <w:ilvl w:val="0"/>
          <w:numId w:val="4"/>
        </w:numPr>
        <w:jc w:val="both"/>
        <w:rPr>
          <w:rFonts w:ascii="Times New Roman" w:hAnsi="Times New Roman" w:cs="Times New Roman"/>
          <w:sz w:val="28"/>
          <w:szCs w:val="28"/>
        </w:rPr>
      </w:pPr>
      <w:r w:rsidRPr="00417A86">
        <w:rPr>
          <w:rFonts w:ascii="Times New Roman" w:hAnsi="Times New Roman" w:cs="Times New Roman"/>
          <w:b/>
          <w:bCs/>
          <w:sz w:val="28"/>
          <w:szCs w:val="28"/>
        </w:rPr>
        <w:t>Staff Competency and Preparedness:</w:t>
      </w:r>
      <w:r w:rsidRPr="00417A86">
        <w:rPr>
          <w:rFonts w:ascii="Times New Roman" w:hAnsi="Times New Roman" w:cs="Times New Roman"/>
          <w:sz w:val="28"/>
          <w:szCs w:val="28"/>
        </w:rPr>
        <w:t xml:space="preserve"> Examined staff training programs, qualifications, and preparedness to provide specialized dementia care, including emergency response and patient engagement strategies.</w:t>
      </w:r>
    </w:p>
    <w:p w14:paraId="1BAFABC0" w14:textId="22F7F850" w:rsidR="00A35C2B" w:rsidRPr="00417A86" w:rsidRDefault="00A35C2B" w:rsidP="00F37A4F">
      <w:pPr>
        <w:numPr>
          <w:ilvl w:val="0"/>
          <w:numId w:val="4"/>
        </w:numPr>
        <w:jc w:val="both"/>
        <w:rPr>
          <w:rFonts w:ascii="Times New Roman" w:hAnsi="Times New Roman" w:cs="Times New Roman"/>
          <w:sz w:val="28"/>
          <w:szCs w:val="28"/>
        </w:rPr>
      </w:pPr>
      <w:r w:rsidRPr="00417A86">
        <w:rPr>
          <w:rFonts w:ascii="Times New Roman" w:hAnsi="Times New Roman" w:cs="Times New Roman"/>
          <w:b/>
          <w:bCs/>
          <w:sz w:val="28"/>
          <w:szCs w:val="28"/>
        </w:rPr>
        <w:lastRenderedPageBreak/>
        <w:t>Legislative Compliance and Best Practices:</w:t>
      </w:r>
      <w:r w:rsidRPr="00417A86">
        <w:rPr>
          <w:rFonts w:ascii="Times New Roman" w:hAnsi="Times New Roman" w:cs="Times New Roman"/>
          <w:sz w:val="28"/>
          <w:szCs w:val="28"/>
        </w:rPr>
        <w:t xml:space="preserve"> Reviewed compliance with healthcare regulations, standards, and best practices to ensure the unit's operations align with legal requirements and industry benchmarks for dementia care.</w:t>
      </w:r>
    </w:p>
    <w:p w14:paraId="30B7919E" w14:textId="77777777" w:rsidR="00A35C2B" w:rsidRPr="00417A86" w:rsidRDefault="00A35C2B" w:rsidP="00F37A4F">
      <w:pPr>
        <w:ind w:left="720"/>
        <w:jc w:val="both"/>
        <w:rPr>
          <w:rFonts w:ascii="Times New Roman" w:hAnsi="Times New Roman" w:cs="Times New Roman"/>
          <w:sz w:val="28"/>
          <w:szCs w:val="28"/>
        </w:rPr>
      </w:pPr>
    </w:p>
    <w:p w14:paraId="3D5CA99C"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How This Was Done</w:t>
      </w:r>
    </w:p>
    <w:p w14:paraId="26E39CBE" w14:textId="77777777" w:rsidR="00A35C2B" w:rsidRPr="00417A86" w:rsidRDefault="00A35C2B" w:rsidP="00F37A4F">
      <w:pPr>
        <w:numPr>
          <w:ilvl w:val="0"/>
          <w:numId w:val="5"/>
        </w:numPr>
        <w:jc w:val="both"/>
        <w:rPr>
          <w:rFonts w:ascii="Times New Roman" w:hAnsi="Times New Roman" w:cs="Times New Roman"/>
          <w:sz w:val="28"/>
          <w:szCs w:val="28"/>
        </w:rPr>
      </w:pPr>
      <w:r w:rsidRPr="00417A86">
        <w:rPr>
          <w:rFonts w:ascii="Times New Roman" w:hAnsi="Times New Roman" w:cs="Times New Roman"/>
          <w:b/>
          <w:bCs/>
          <w:sz w:val="28"/>
          <w:szCs w:val="28"/>
        </w:rPr>
        <w:t>Literature Review and Document Analysis:</w:t>
      </w:r>
      <w:r w:rsidRPr="00417A86">
        <w:rPr>
          <w:rFonts w:ascii="Times New Roman" w:hAnsi="Times New Roman" w:cs="Times New Roman"/>
          <w:sz w:val="28"/>
          <w:szCs w:val="28"/>
        </w:rPr>
        <w:t xml:space="preserve"> Systematic review of current research, guidelines, and regulatory standards to identify known risks and effective mitigation strategies.</w:t>
      </w:r>
    </w:p>
    <w:p w14:paraId="0500DB0D" w14:textId="77777777" w:rsidR="00A35C2B" w:rsidRPr="00417A86" w:rsidRDefault="00A35C2B" w:rsidP="00F37A4F">
      <w:pPr>
        <w:numPr>
          <w:ilvl w:val="0"/>
          <w:numId w:val="5"/>
        </w:numPr>
        <w:jc w:val="both"/>
        <w:rPr>
          <w:rFonts w:ascii="Times New Roman" w:hAnsi="Times New Roman" w:cs="Times New Roman"/>
          <w:sz w:val="28"/>
          <w:szCs w:val="28"/>
        </w:rPr>
      </w:pPr>
      <w:r w:rsidRPr="00417A86">
        <w:rPr>
          <w:rFonts w:ascii="Times New Roman" w:hAnsi="Times New Roman" w:cs="Times New Roman"/>
          <w:b/>
          <w:bCs/>
          <w:sz w:val="28"/>
          <w:szCs w:val="28"/>
        </w:rPr>
        <w:t>Stakeholder Engagement:</w:t>
      </w:r>
      <w:r w:rsidRPr="00417A86">
        <w:rPr>
          <w:rFonts w:ascii="Times New Roman" w:hAnsi="Times New Roman" w:cs="Times New Roman"/>
          <w:sz w:val="28"/>
          <w:szCs w:val="28"/>
        </w:rPr>
        <w:t xml:space="preserve"> Conducted interviews and surveys with healthcare professionals, patients' families, and dementia care experts to gather diverse perspectives on risks and safety priorities.</w:t>
      </w:r>
    </w:p>
    <w:p w14:paraId="0CE033C7" w14:textId="763FF500" w:rsidR="00A35C2B" w:rsidRPr="00417A86" w:rsidRDefault="00A35C2B" w:rsidP="00F37A4F">
      <w:pPr>
        <w:numPr>
          <w:ilvl w:val="0"/>
          <w:numId w:val="5"/>
        </w:numPr>
        <w:jc w:val="both"/>
        <w:rPr>
          <w:rFonts w:ascii="Times New Roman" w:hAnsi="Times New Roman" w:cs="Times New Roman"/>
          <w:sz w:val="28"/>
          <w:szCs w:val="28"/>
        </w:rPr>
      </w:pPr>
      <w:r w:rsidRPr="00417A86">
        <w:rPr>
          <w:rFonts w:ascii="Times New Roman" w:hAnsi="Times New Roman" w:cs="Times New Roman"/>
          <w:b/>
          <w:bCs/>
          <w:sz w:val="28"/>
          <w:szCs w:val="28"/>
        </w:rPr>
        <w:t>Risk Scoring and Prioritization:</w:t>
      </w:r>
      <w:r w:rsidRPr="00417A86">
        <w:rPr>
          <w:rFonts w:ascii="Times New Roman" w:hAnsi="Times New Roman" w:cs="Times New Roman"/>
          <w:sz w:val="28"/>
          <w:szCs w:val="28"/>
        </w:rPr>
        <w:t xml:space="preserve"> Utilized a standardized risk matrix to score identified risks based on their probability and potential impact, facilitating the prioritization of risk mitigation efforts (Farrow et al., 2020).</w:t>
      </w:r>
    </w:p>
    <w:p w14:paraId="102F19A9" w14:textId="6F5C9987" w:rsidR="00A35C2B" w:rsidRPr="00417A86" w:rsidRDefault="00A35C2B" w:rsidP="00F37A4F">
      <w:pPr>
        <w:numPr>
          <w:ilvl w:val="0"/>
          <w:numId w:val="5"/>
        </w:numPr>
        <w:jc w:val="both"/>
        <w:rPr>
          <w:rFonts w:ascii="Times New Roman" w:hAnsi="Times New Roman" w:cs="Times New Roman"/>
          <w:sz w:val="28"/>
          <w:szCs w:val="28"/>
        </w:rPr>
      </w:pPr>
      <w:r w:rsidRPr="00417A86">
        <w:rPr>
          <w:rFonts w:ascii="Times New Roman" w:hAnsi="Times New Roman" w:cs="Times New Roman"/>
          <w:b/>
          <w:bCs/>
          <w:sz w:val="28"/>
          <w:szCs w:val="28"/>
        </w:rPr>
        <w:t>Facility Audit:</w:t>
      </w:r>
      <w:r w:rsidRPr="00417A86">
        <w:rPr>
          <w:rFonts w:ascii="Times New Roman" w:hAnsi="Times New Roman" w:cs="Times New Roman"/>
          <w:sz w:val="28"/>
          <w:szCs w:val="28"/>
        </w:rPr>
        <w:t xml:space="preserve"> A comprehensive inspection of the physical premises and operational protocols was conducted to identify deviations from recommended safety standards and dementia care best practices (Ranasinghe, Bates </w:t>
      </w:r>
      <w:r w:rsidR="00816F58">
        <w:rPr>
          <w:rFonts w:ascii="Times New Roman" w:hAnsi="Times New Roman" w:cs="Times New Roman"/>
          <w:sz w:val="28"/>
          <w:szCs w:val="28"/>
        </w:rPr>
        <w:t>and</w:t>
      </w:r>
      <w:r w:rsidRPr="00417A86">
        <w:rPr>
          <w:rFonts w:ascii="Times New Roman" w:hAnsi="Times New Roman" w:cs="Times New Roman"/>
          <w:sz w:val="28"/>
          <w:szCs w:val="28"/>
        </w:rPr>
        <w:t xml:space="preserve"> Mynes, 2013).</w:t>
      </w:r>
    </w:p>
    <w:p w14:paraId="1742FC49" w14:textId="77777777" w:rsidR="00A35C2B" w:rsidRPr="00417A86" w:rsidRDefault="00A35C2B" w:rsidP="00F37A4F">
      <w:pPr>
        <w:jc w:val="both"/>
        <w:rPr>
          <w:rFonts w:ascii="Times New Roman" w:hAnsi="Times New Roman" w:cs="Times New Roman"/>
          <w:sz w:val="28"/>
          <w:szCs w:val="28"/>
        </w:rPr>
      </w:pPr>
    </w:p>
    <w:p w14:paraId="4CCB75F9" w14:textId="181F6EEB" w:rsidR="00A35C2B" w:rsidRPr="00417A86" w:rsidRDefault="00A35C2B" w:rsidP="00F37A4F">
      <w:pPr>
        <w:pStyle w:val="ListParagraph"/>
        <w:numPr>
          <w:ilvl w:val="0"/>
          <w:numId w:val="3"/>
        </w:numPr>
        <w:jc w:val="both"/>
        <w:rPr>
          <w:rFonts w:ascii="Times New Roman" w:hAnsi="Times New Roman" w:cs="Times New Roman"/>
          <w:b/>
          <w:bCs/>
          <w:sz w:val="28"/>
          <w:szCs w:val="28"/>
        </w:rPr>
      </w:pPr>
      <w:r w:rsidRPr="00417A86">
        <w:rPr>
          <w:rFonts w:ascii="Times New Roman" w:hAnsi="Times New Roman" w:cs="Times New Roman"/>
          <w:b/>
          <w:bCs/>
          <w:sz w:val="28"/>
          <w:szCs w:val="28"/>
        </w:rPr>
        <w:t xml:space="preserve"> Compliance with Standards and Legislation</w:t>
      </w:r>
    </w:p>
    <w:p w14:paraId="3479BAA8"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Ensuring compliance with standards and legislation in the operation of a high dependency unit for dementia care is pivotal. This encompasses a wide array of aspects including clinical care quality, facility management, staff training, and patient rights, all within the ambit of existing healthcare laws and regulations. The alignment with such standards not only safeguards the well-being and safety of patients but also fortifies the care unit against potential legal and ethical pitfalls.</w:t>
      </w:r>
    </w:p>
    <w:p w14:paraId="3CFA99C5"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Adhering to Quality Care Standards</w:t>
      </w:r>
    </w:p>
    <w:p w14:paraId="74E9F321" w14:textId="4A854B8F"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Quality care provision in dementia care units necessitates a framework that includes clinically relevant assessments, functional modifications in living settings tailored to dementia patients' needs, and the provision of stage-adapted care through continuous staff education (</w:t>
      </w:r>
      <w:hyperlink r:id="rId8" w:tgtFrame="_new" w:history="1">
        <w:r w:rsidRPr="00731CB5">
          <w:rPr>
            <w:rStyle w:val="Hyperlink"/>
            <w:rFonts w:ascii="Times New Roman" w:hAnsi="Times New Roman" w:cs="Times New Roman"/>
            <w:color w:val="auto"/>
            <w:sz w:val="28"/>
            <w:szCs w:val="28"/>
            <w:u w:val="none"/>
          </w:rPr>
          <w:t>Janicki, 2011</w:t>
        </w:r>
      </w:hyperlink>
      <w:r w:rsidRPr="00417A86">
        <w:rPr>
          <w:rFonts w:ascii="Times New Roman" w:hAnsi="Times New Roman" w:cs="Times New Roman"/>
          <w:sz w:val="28"/>
          <w:szCs w:val="28"/>
        </w:rPr>
        <w:t xml:space="preserve">). Additionally, the evolving nature of </w:t>
      </w:r>
      <w:r w:rsidRPr="00417A86">
        <w:rPr>
          <w:rFonts w:ascii="Times New Roman" w:hAnsi="Times New Roman" w:cs="Times New Roman"/>
          <w:sz w:val="28"/>
          <w:szCs w:val="28"/>
        </w:rPr>
        <w:lastRenderedPageBreak/>
        <w:t>dementia demands that care provisions are flexible, allowing for adjustments as the disease progresses, thus ensuring that the care remains person-</w:t>
      </w:r>
      <w:r w:rsidR="00731CB5" w:rsidRPr="00417A86">
        <w:rPr>
          <w:rFonts w:ascii="Times New Roman" w:hAnsi="Times New Roman" w:cs="Times New Roman"/>
          <w:sz w:val="28"/>
          <w:szCs w:val="28"/>
        </w:rPr>
        <w:t>cantered</w:t>
      </w:r>
      <w:r w:rsidRPr="00417A86">
        <w:rPr>
          <w:rFonts w:ascii="Times New Roman" w:hAnsi="Times New Roman" w:cs="Times New Roman"/>
          <w:sz w:val="28"/>
          <w:szCs w:val="28"/>
        </w:rPr>
        <w:t xml:space="preserve"> and respectful of the patients’ dignity and autonomy (</w:t>
      </w:r>
      <w:hyperlink r:id="rId9" w:tgtFrame="_new" w:history="1">
        <w:r w:rsidRPr="00731CB5">
          <w:rPr>
            <w:rStyle w:val="Hyperlink"/>
            <w:rFonts w:ascii="Times New Roman" w:hAnsi="Times New Roman" w:cs="Times New Roman"/>
            <w:color w:val="auto"/>
            <w:sz w:val="28"/>
            <w:szCs w:val="28"/>
            <w:u w:val="none"/>
          </w:rPr>
          <w:t>Hyde, 1996</w:t>
        </w:r>
      </w:hyperlink>
      <w:r w:rsidRPr="00417A86">
        <w:rPr>
          <w:rFonts w:ascii="Times New Roman" w:hAnsi="Times New Roman" w:cs="Times New Roman"/>
          <w:sz w:val="28"/>
          <w:szCs w:val="28"/>
        </w:rPr>
        <w:t>).</w:t>
      </w:r>
    </w:p>
    <w:p w14:paraId="4E212DA7"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Regulatory Compliance and Alzheimer-Friendly Policies</w:t>
      </w:r>
    </w:p>
    <w:p w14:paraId="69E13276" w14:textId="5A4871A3"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Assisted living providers, akin to high dependency units, face significant challenges in adhering to regulations not fully adapted to the needs of an increasing number of residents with dementia. This underscores the necessity for regulations to be supportive, accommodating, and Alzheimer-friendly, ensuring that facilities can provide optimal care without being hindered by regulatory constraints (</w:t>
      </w:r>
      <w:hyperlink r:id="rId10" w:tgtFrame="_new" w:history="1">
        <w:r w:rsidRPr="00731CB5">
          <w:rPr>
            <w:rStyle w:val="Hyperlink"/>
            <w:rFonts w:ascii="Times New Roman" w:hAnsi="Times New Roman" w:cs="Times New Roman"/>
            <w:color w:val="auto"/>
            <w:sz w:val="28"/>
            <w:szCs w:val="28"/>
            <w:u w:val="none"/>
          </w:rPr>
          <w:t>Hyde, 1996</w:t>
        </w:r>
      </w:hyperlink>
      <w:r w:rsidRPr="00417A86">
        <w:rPr>
          <w:rFonts w:ascii="Times New Roman" w:hAnsi="Times New Roman" w:cs="Times New Roman"/>
          <w:sz w:val="28"/>
          <w:szCs w:val="28"/>
        </w:rPr>
        <w:t>). Australian residential dementia aged care providers offer insights into interpreting regulations contextually, aiming to enhance care quality while remaining compliant (</w:t>
      </w:r>
      <w:hyperlink r:id="rId11" w:tgtFrame="_new" w:history="1">
        <w:r w:rsidRPr="00731CB5">
          <w:rPr>
            <w:rStyle w:val="Hyperlink"/>
            <w:rFonts w:ascii="Times New Roman" w:hAnsi="Times New Roman" w:cs="Times New Roman"/>
            <w:color w:val="auto"/>
            <w:sz w:val="28"/>
            <w:szCs w:val="28"/>
            <w:u w:val="none"/>
          </w:rPr>
          <w:t xml:space="preserve">Biggs </w:t>
        </w:r>
        <w:r w:rsidR="00731CB5">
          <w:rPr>
            <w:rStyle w:val="Hyperlink"/>
            <w:rFonts w:ascii="Times New Roman" w:hAnsi="Times New Roman" w:cs="Times New Roman"/>
            <w:color w:val="auto"/>
            <w:sz w:val="28"/>
            <w:szCs w:val="28"/>
            <w:u w:val="none"/>
          </w:rPr>
          <w:t>and</w:t>
        </w:r>
        <w:r w:rsidRPr="00731CB5">
          <w:rPr>
            <w:rStyle w:val="Hyperlink"/>
            <w:rFonts w:ascii="Times New Roman" w:hAnsi="Times New Roman" w:cs="Times New Roman"/>
            <w:color w:val="auto"/>
            <w:sz w:val="28"/>
            <w:szCs w:val="28"/>
            <w:u w:val="none"/>
          </w:rPr>
          <w:t xml:space="preserve"> Carr, 2019</w:t>
        </w:r>
      </w:hyperlink>
      <w:r w:rsidRPr="00417A86">
        <w:rPr>
          <w:rFonts w:ascii="Times New Roman" w:hAnsi="Times New Roman" w:cs="Times New Roman"/>
          <w:sz w:val="28"/>
          <w:szCs w:val="28"/>
        </w:rPr>
        <w:t>).</w:t>
      </w:r>
    </w:p>
    <w:p w14:paraId="7F59CE0D" w14:textId="77777777"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Systematic Care Programs and Caregiver Support</w:t>
      </w:r>
    </w:p>
    <w:p w14:paraId="3342CC39" w14:textId="283C6690" w:rsidR="00A35C2B"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The implementation of systematic care programs for caregivers within high dependency units is crucial. Such programs positively impact the overall care quality, highlighting the importance of support systems that alleviate caregiver burden and enhance their ability to provide effective care (</w:t>
      </w:r>
      <w:hyperlink r:id="rId12" w:tgtFrame="_new" w:history="1">
        <w:r w:rsidRPr="00731CB5">
          <w:rPr>
            <w:rStyle w:val="Hyperlink"/>
            <w:rFonts w:ascii="Times New Roman" w:hAnsi="Times New Roman" w:cs="Times New Roman"/>
            <w:color w:val="auto"/>
            <w:sz w:val="28"/>
            <w:szCs w:val="28"/>
            <w:u w:val="none"/>
          </w:rPr>
          <w:t>Spijker et al, 2012</w:t>
        </w:r>
      </w:hyperlink>
      <w:r w:rsidRPr="00417A86">
        <w:rPr>
          <w:rFonts w:ascii="Times New Roman" w:hAnsi="Times New Roman" w:cs="Times New Roman"/>
          <w:sz w:val="28"/>
          <w:szCs w:val="28"/>
        </w:rPr>
        <w:t>).</w:t>
      </w:r>
    </w:p>
    <w:p w14:paraId="021B2AF2" w14:textId="77777777" w:rsidR="00FE2DAC" w:rsidRPr="00417A86" w:rsidRDefault="00FE2DAC" w:rsidP="00F37A4F">
      <w:pPr>
        <w:jc w:val="both"/>
        <w:rPr>
          <w:rFonts w:ascii="Times New Roman" w:hAnsi="Times New Roman" w:cs="Times New Roman"/>
          <w:sz w:val="28"/>
          <w:szCs w:val="28"/>
        </w:rPr>
      </w:pPr>
    </w:p>
    <w:p w14:paraId="63638BA0" w14:textId="244C12A8" w:rsidR="00FE2DAC" w:rsidRPr="00FE2DAC" w:rsidRDefault="00FE2DAC" w:rsidP="00F14ECF">
      <w:pPr>
        <w:pStyle w:val="ListParagraph"/>
        <w:numPr>
          <w:ilvl w:val="0"/>
          <w:numId w:val="8"/>
        </w:numPr>
        <w:jc w:val="both"/>
        <w:rPr>
          <w:rFonts w:ascii="Times New Roman" w:hAnsi="Times New Roman" w:cs="Times New Roman"/>
          <w:sz w:val="28"/>
          <w:szCs w:val="28"/>
        </w:rPr>
      </w:pPr>
      <w:r w:rsidRPr="00FE2DAC">
        <w:rPr>
          <w:rFonts w:ascii="Times New Roman" w:hAnsi="Times New Roman" w:cs="Times New Roman"/>
          <w:b/>
          <w:bCs/>
          <w:sz w:val="28"/>
          <w:szCs w:val="28"/>
        </w:rPr>
        <w:t>Risk Assessment Register</w:t>
      </w:r>
    </w:p>
    <w:p w14:paraId="7CF076C7" w14:textId="77777777" w:rsidR="00FE2DAC" w:rsidRPr="00417A86" w:rsidRDefault="00FE2DAC" w:rsidP="00FE2DAC">
      <w:pPr>
        <w:jc w:val="both"/>
        <w:rPr>
          <w:rFonts w:ascii="Times New Roman" w:hAnsi="Times New Roman" w:cs="Times New Roman"/>
          <w:sz w:val="28"/>
          <w:szCs w:val="28"/>
        </w:rPr>
      </w:pPr>
      <w:r w:rsidRPr="00417A86">
        <w:rPr>
          <w:rFonts w:ascii="Times New Roman" w:hAnsi="Times New Roman" w:cs="Times New Roman"/>
          <w:sz w:val="28"/>
          <w:szCs w:val="28"/>
        </w:rPr>
        <w:t xml:space="preserve">Creating a risk assessment register for a high dependency unit specializing in dementia care involves a meticulous process of identifying, analysing, and prioritizing risks to ensure the safety and well-being of patients and staff. This register is critical for the strategic planning of interventions aimed at mitigating identified risks. </w:t>
      </w:r>
    </w:p>
    <w:p w14:paraId="723B553F" w14:textId="77777777" w:rsidR="00731CB5" w:rsidRDefault="00731CB5" w:rsidP="00F37A4F">
      <w:pPr>
        <w:jc w:val="both"/>
        <w:rPr>
          <w:rFonts w:ascii="Times New Roman" w:hAnsi="Times New Roman" w:cs="Times New Roman"/>
          <w:sz w:val="28"/>
          <w:szCs w:val="28"/>
        </w:rPr>
      </w:pPr>
    </w:p>
    <w:p w14:paraId="2DC78B63" w14:textId="77777777" w:rsidR="00731CB5" w:rsidRDefault="00731CB5" w:rsidP="00F37A4F">
      <w:pPr>
        <w:jc w:val="both"/>
        <w:rPr>
          <w:rFonts w:ascii="Times New Roman" w:hAnsi="Times New Roman" w:cs="Times New Roman"/>
          <w:sz w:val="28"/>
          <w:szCs w:val="28"/>
        </w:rPr>
      </w:pPr>
    </w:p>
    <w:p w14:paraId="04E4B006" w14:textId="77777777" w:rsidR="00731CB5" w:rsidRDefault="00731CB5" w:rsidP="00F37A4F">
      <w:pPr>
        <w:jc w:val="both"/>
        <w:rPr>
          <w:rFonts w:ascii="Times New Roman" w:hAnsi="Times New Roman" w:cs="Times New Roman"/>
          <w:sz w:val="28"/>
          <w:szCs w:val="28"/>
        </w:rPr>
      </w:pPr>
    </w:p>
    <w:p w14:paraId="3C2195C5" w14:textId="77777777" w:rsidR="00731CB5" w:rsidRPr="00417A86" w:rsidRDefault="00731CB5" w:rsidP="00F37A4F">
      <w:pPr>
        <w:jc w:val="both"/>
        <w:rPr>
          <w:rFonts w:ascii="Times New Roman" w:hAnsi="Times New Roman" w:cs="Times New Roman"/>
          <w:sz w:val="28"/>
          <w:szCs w:val="28"/>
        </w:rPr>
      </w:pPr>
    </w:p>
    <w:tbl>
      <w:tblPr>
        <w:tblpPr w:leftFromText="180" w:rightFromText="180" w:vertAnchor="text" w:horzAnchor="margin" w:tblpXSpec="center" w:tblpY="661"/>
        <w:tblW w:w="1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544"/>
        <w:gridCol w:w="1843"/>
        <w:gridCol w:w="1842"/>
        <w:gridCol w:w="1701"/>
        <w:gridCol w:w="1843"/>
      </w:tblGrid>
      <w:tr w:rsidR="00731CB5" w:rsidRPr="00417A86" w14:paraId="6052BC6F" w14:textId="77777777" w:rsidTr="00731CB5">
        <w:trPr>
          <w:trHeight w:val="274"/>
        </w:trPr>
        <w:tc>
          <w:tcPr>
            <w:tcW w:w="704" w:type="dxa"/>
            <w:tcBorders>
              <w:top w:val="single" w:sz="4" w:space="0" w:color="auto"/>
              <w:left w:val="single" w:sz="4" w:space="0" w:color="auto"/>
              <w:bottom w:val="single" w:sz="4" w:space="0" w:color="auto"/>
              <w:right w:val="single" w:sz="4" w:space="0" w:color="auto"/>
            </w:tcBorders>
            <w:shd w:val="clear" w:color="auto" w:fill="C0C0C0"/>
            <w:hideMark/>
          </w:tcPr>
          <w:p w14:paraId="68C6C204"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lastRenderedPageBreak/>
              <w:t>Ref</w:t>
            </w:r>
          </w:p>
        </w:tc>
        <w:tc>
          <w:tcPr>
            <w:tcW w:w="3544" w:type="dxa"/>
            <w:tcBorders>
              <w:top w:val="single" w:sz="4" w:space="0" w:color="auto"/>
              <w:left w:val="single" w:sz="4" w:space="0" w:color="auto"/>
              <w:bottom w:val="single" w:sz="4" w:space="0" w:color="auto"/>
              <w:right w:val="single" w:sz="4" w:space="0" w:color="auto"/>
            </w:tcBorders>
            <w:shd w:val="clear" w:color="auto" w:fill="C0C0C0"/>
            <w:hideMark/>
          </w:tcPr>
          <w:p w14:paraId="2C0E0485"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Risk Description</w:t>
            </w:r>
          </w:p>
        </w:tc>
        <w:tc>
          <w:tcPr>
            <w:tcW w:w="1843" w:type="dxa"/>
            <w:tcBorders>
              <w:top w:val="single" w:sz="4" w:space="0" w:color="auto"/>
              <w:left w:val="single" w:sz="4" w:space="0" w:color="auto"/>
              <w:bottom w:val="single" w:sz="4" w:space="0" w:color="auto"/>
              <w:right w:val="single" w:sz="4" w:space="0" w:color="auto"/>
            </w:tcBorders>
            <w:shd w:val="clear" w:color="auto" w:fill="C0C0C0"/>
            <w:hideMark/>
          </w:tcPr>
          <w:p w14:paraId="30D03FD4"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Likelihood of occurrence (Score 1-5)</w:t>
            </w:r>
          </w:p>
        </w:tc>
        <w:tc>
          <w:tcPr>
            <w:tcW w:w="1842" w:type="dxa"/>
            <w:tcBorders>
              <w:top w:val="single" w:sz="4" w:space="0" w:color="auto"/>
              <w:left w:val="single" w:sz="4" w:space="0" w:color="auto"/>
              <w:bottom w:val="single" w:sz="4" w:space="0" w:color="auto"/>
              <w:right w:val="single" w:sz="4" w:space="0" w:color="auto"/>
            </w:tcBorders>
            <w:shd w:val="clear" w:color="auto" w:fill="C0C0C0"/>
            <w:hideMark/>
          </w:tcPr>
          <w:p w14:paraId="402D75DE"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Impact of Risk occurrence (Score 1-5)</w:t>
            </w:r>
          </w:p>
        </w:tc>
        <w:tc>
          <w:tcPr>
            <w:tcW w:w="1701" w:type="dxa"/>
            <w:tcBorders>
              <w:top w:val="single" w:sz="4" w:space="0" w:color="auto"/>
              <w:left w:val="single" w:sz="4" w:space="0" w:color="auto"/>
              <w:bottom w:val="single" w:sz="4" w:space="0" w:color="auto"/>
              <w:right w:val="single" w:sz="4" w:space="0" w:color="auto"/>
            </w:tcBorders>
            <w:shd w:val="clear" w:color="auto" w:fill="C0C0C0"/>
            <w:hideMark/>
          </w:tcPr>
          <w:p w14:paraId="2B0F94ED"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Risk Score (Likelihood x Occurrence)</w:t>
            </w:r>
          </w:p>
        </w:tc>
        <w:tc>
          <w:tcPr>
            <w:tcW w:w="1843" w:type="dxa"/>
            <w:tcBorders>
              <w:top w:val="single" w:sz="4" w:space="0" w:color="auto"/>
              <w:left w:val="single" w:sz="4" w:space="0" w:color="auto"/>
              <w:bottom w:val="single" w:sz="4" w:space="0" w:color="auto"/>
              <w:right w:val="single" w:sz="4" w:space="0" w:color="auto"/>
            </w:tcBorders>
            <w:shd w:val="clear" w:color="auto" w:fill="C0C0C0"/>
            <w:hideMark/>
          </w:tcPr>
          <w:p w14:paraId="0FD10252"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Risk Severity (High, Medium, or Low)</w:t>
            </w:r>
          </w:p>
        </w:tc>
      </w:tr>
      <w:tr w:rsidR="00731CB5" w:rsidRPr="00417A86" w14:paraId="0880CDAF" w14:textId="77777777" w:rsidTr="00731CB5">
        <w:trPr>
          <w:trHeight w:val="563"/>
        </w:trPr>
        <w:tc>
          <w:tcPr>
            <w:tcW w:w="704" w:type="dxa"/>
            <w:tcBorders>
              <w:top w:val="single" w:sz="4" w:space="0" w:color="auto"/>
              <w:left w:val="single" w:sz="4" w:space="0" w:color="auto"/>
              <w:bottom w:val="single" w:sz="4" w:space="0" w:color="auto"/>
              <w:right w:val="single" w:sz="4" w:space="0" w:color="auto"/>
            </w:tcBorders>
          </w:tcPr>
          <w:p w14:paraId="6113D473"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1</w:t>
            </w:r>
          </w:p>
        </w:tc>
        <w:tc>
          <w:tcPr>
            <w:tcW w:w="3544" w:type="dxa"/>
            <w:tcBorders>
              <w:top w:val="single" w:sz="4" w:space="0" w:color="auto"/>
              <w:left w:val="single" w:sz="4" w:space="0" w:color="auto"/>
              <w:bottom w:val="single" w:sz="4" w:space="0" w:color="auto"/>
              <w:right w:val="single" w:sz="4" w:space="0" w:color="auto"/>
            </w:tcBorders>
          </w:tcPr>
          <w:p w14:paraId="50CA2FB8"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b/>
                <w:bCs/>
                <w:sz w:val="28"/>
                <w:szCs w:val="28"/>
                <w:lang w:bidi="en-GB"/>
              </w:rPr>
              <w:t>Risk of Aggression and Self-neglect among Patients</w:t>
            </w:r>
          </w:p>
        </w:tc>
        <w:tc>
          <w:tcPr>
            <w:tcW w:w="1843" w:type="dxa"/>
            <w:tcBorders>
              <w:top w:val="single" w:sz="4" w:space="0" w:color="auto"/>
              <w:left w:val="single" w:sz="4" w:space="0" w:color="auto"/>
              <w:bottom w:val="single" w:sz="4" w:space="0" w:color="auto"/>
              <w:right w:val="single" w:sz="4" w:space="0" w:color="auto"/>
            </w:tcBorders>
          </w:tcPr>
          <w:p w14:paraId="77958DEB"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1842" w:type="dxa"/>
            <w:tcBorders>
              <w:top w:val="single" w:sz="4" w:space="0" w:color="auto"/>
              <w:left w:val="single" w:sz="4" w:space="0" w:color="auto"/>
              <w:bottom w:val="single" w:sz="4" w:space="0" w:color="auto"/>
              <w:right w:val="single" w:sz="4" w:space="0" w:color="auto"/>
            </w:tcBorders>
          </w:tcPr>
          <w:p w14:paraId="3F7255AD"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1701" w:type="dxa"/>
            <w:tcBorders>
              <w:top w:val="single" w:sz="4" w:space="0" w:color="auto"/>
              <w:left w:val="single" w:sz="4" w:space="0" w:color="auto"/>
              <w:bottom w:val="single" w:sz="4" w:space="0" w:color="auto"/>
              <w:right w:val="single" w:sz="4" w:space="0" w:color="auto"/>
            </w:tcBorders>
          </w:tcPr>
          <w:p w14:paraId="204D9781"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16</w:t>
            </w:r>
          </w:p>
        </w:tc>
        <w:tc>
          <w:tcPr>
            <w:tcW w:w="1843" w:type="dxa"/>
            <w:tcBorders>
              <w:top w:val="single" w:sz="4" w:space="0" w:color="auto"/>
              <w:left w:val="single" w:sz="4" w:space="0" w:color="auto"/>
              <w:bottom w:val="single" w:sz="4" w:space="0" w:color="auto"/>
              <w:right w:val="single" w:sz="4" w:space="0" w:color="auto"/>
            </w:tcBorders>
          </w:tcPr>
          <w:p w14:paraId="5BB9F88B" w14:textId="77777777" w:rsidR="00731CB5" w:rsidRPr="00417A86" w:rsidRDefault="00731CB5" w:rsidP="00731CB5">
            <w:pPr>
              <w:jc w:val="both"/>
              <w:rPr>
                <w:rFonts w:ascii="Times New Roman" w:hAnsi="Times New Roman" w:cs="Times New Roman"/>
                <w:b/>
                <w:sz w:val="28"/>
                <w:szCs w:val="28"/>
                <w:lang w:bidi="en-GB"/>
              </w:rPr>
            </w:pPr>
            <w:r w:rsidRPr="00417A86">
              <w:rPr>
                <w:rFonts w:ascii="Times New Roman" w:hAnsi="Times New Roman" w:cs="Times New Roman"/>
                <w:b/>
                <w:sz w:val="28"/>
                <w:szCs w:val="28"/>
                <w:lang w:bidi="en-GB"/>
              </w:rPr>
              <w:t>High</w:t>
            </w:r>
          </w:p>
        </w:tc>
      </w:tr>
      <w:tr w:rsidR="00731CB5" w:rsidRPr="00417A86" w14:paraId="09A48B38" w14:textId="77777777" w:rsidTr="00731CB5">
        <w:trPr>
          <w:trHeight w:val="548"/>
        </w:trPr>
        <w:tc>
          <w:tcPr>
            <w:tcW w:w="704" w:type="dxa"/>
            <w:tcBorders>
              <w:top w:val="single" w:sz="4" w:space="0" w:color="auto"/>
              <w:left w:val="single" w:sz="4" w:space="0" w:color="auto"/>
              <w:bottom w:val="single" w:sz="4" w:space="0" w:color="auto"/>
              <w:right w:val="single" w:sz="4" w:space="0" w:color="auto"/>
            </w:tcBorders>
          </w:tcPr>
          <w:p w14:paraId="505F563D" w14:textId="77777777" w:rsidR="00731CB5" w:rsidRPr="00417A86" w:rsidRDefault="00731CB5" w:rsidP="00731CB5">
            <w:pPr>
              <w:jc w:val="both"/>
              <w:rPr>
                <w:rFonts w:ascii="Times New Roman" w:hAnsi="Times New Roman" w:cs="Times New Roman"/>
                <w:sz w:val="28"/>
                <w:szCs w:val="28"/>
                <w:lang w:bidi="en-GB"/>
              </w:rPr>
            </w:pPr>
          </w:p>
          <w:p w14:paraId="747C4DAE"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2</w:t>
            </w:r>
          </w:p>
        </w:tc>
        <w:tc>
          <w:tcPr>
            <w:tcW w:w="3544" w:type="dxa"/>
            <w:tcBorders>
              <w:top w:val="single" w:sz="4" w:space="0" w:color="auto"/>
              <w:left w:val="single" w:sz="4" w:space="0" w:color="auto"/>
              <w:bottom w:val="single" w:sz="4" w:space="0" w:color="auto"/>
              <w:right w:val="single" w:sz="4" w:space="0" w:color="auto"/>
            </w:tcBorders>
          </w:tcPr>
          <w:p w14:paraId="5FBCFF26"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b/>
                <w:bCs/>
                <w:sz w:val="28"/>
                <w:szCs w:val="28"/>
                <w:lang w:bidi="en-GB"/>
              </w:rPr>
              <w:t>Risk of Suicide After Dementia Diagnosis</w:t>
            </w:r>
          </w:p>
        </w:tc>
        <w:tc>
          <w:tcPr>
            <w:tcW w:w="1843" w:type="dxa"/>
            <w:tcBorders>
              <w:top w:val="single" w:sz="4" w:space="0" w:color="auto"/>
              <w:left w:val="single" w:sz="4" w:space="0" w:color="auto"/>
              <w:bottom w:val="single" w:sz="4" w:space="0" w:color="auto"/>
              <w:right w:val="single" w:sz="4" w:space="0" w:color="auto"/>
            </w:tcBorders>
          </w:tcPr>
          <w:p w14:paraId="70954738"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 xml:space="preserve">3 </w:t>
            </w:r>
          </w:p>
        </w:tc>
        <w:tc>
          <w:tcPr>
            <w:tcW w:w="1842" w:type="dxa"/>
            <w:tcBorders>
              <w:top w:val="single" w:sz="4" w:space="0" w:color="auto"/>
              <w:left w:val="single" w:sz="4" w:space="0" w:color="auto"/>
              <w:bottom w:val="single" w:sz="4" w:space="0" w:color="auto"/>
              <w:right w:val="single" w:sz="4" w:space="0" w:color="auto"/>
            </w:tcBorders>
          </w:tcPr>
          <w:p w14:paraId="29DA1732"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5</w:t>
            </w:r>
          </w:p>
        </w:tc>
        <w:tc>
          <w:tcPr>
            <w:tcW w:w="1701" w:type="dxa"/>
            <w:tcBorders>
              <w:top w:val="single" w:sz="4" w:space="0" w:color="auto"/>
              <w:left w:val="single" w:sz="4" w:space="0" w:color="auto"/>
              <w:bottom w:val="single" w:sz="4" w:space="0" w:color="auto"/>
              <w:right w:val="single" w:sz="4" w:space="0" w:color="auto"/>
            </w:tcBorders>
          </w:tcPr>
          <w:p w14:paraId="2EB8A9B7"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15</w:t>
            </w:r>
          </w:p>
        </w:tc>
        <w:tc>
          <w:tcPr>
            <w:tcW w:w="1843" w:type="dxa"/>
            <w:tcBorders>
              <w:top w:val="single" w:sz="4" w:space="0" w:color="auto"/>
              <w:left w:val="single" w:sz="4" w:space="0" w:color="auto"/>
              <w:bottom w:val="single" w:sz="4" w:space="0" w:color="auto"/>
              <w:right w:val="single" w:sz="4" w:space="0" w:color="auto"/>
            </w:tcBorders>
          </w:tcPr>
          <w:p w14:paraId="7D538F11" w14:textId="77777777" w:rsidR="00731CB5" w:rsidRPr="00417A86" w:rsidRDefault="00731CB5" w:rsidP="00731CB5">
            <w:pPr>
              <w:jc w:val="both"/>
              <w:rPr>
                <w:rFonts w:ascii="Times New Roman" w:hAnsi="Times New Roman" w:cs="Times New Roman"/>
                <w:b/>
                <w:sz w:val="28"/>
                <w:szCs w:val="28"/>
                <w:lang w:bidi="en-GB"/>
              </w:rPr>
            </w:pPr>
            <w:r w:rsidRPr="00417A86">
              <w:rPr>
                <w:rFonts w:ascii="Times New Roman" w:hAnsi="Times New Roman" w:cs="Times New Roman"/>
                <w:b/>
                <w:sz w:val="28"/>
                <w:szCs w:val="28"/>
                <w:lang w:bidi="en-GB"/>
              </w:rPr>
              <w:t>High</w:t>
            </w:r>
          </w:p>
        </w:tc>
      </w:tr>
      <w:tr w:rsidR="00731CB5" w:rsidRPr="00417A86" w14:paraId="145DBA61" w14:textId="77777777" w:rsidTr="00731CB5">
        <w:trPr>
          <w:trHeight w:val="563"/>
        </w:trPr>
        <w:tc>
          <w:tcPr>
            <w:tcW w:w="704" w:type="dxa"/>
            <w:tcBorders>
              <w:top w:val="single" w:sz="4" w:space="0" w:color="auto"/>
              <w:left w:val="single" w:sz="4" w:space="0" w:color="auto"/>
              <w:bottom w:val="single" w:sz="4" w:space="0" w:color="auto"/>
              <w:right w:val="single" w:sz="4" w:space="0" w:color="auto"/>
            </w:tcBorders>
          </w:tcPr>
          <w:p w14:paraId="087DA98E" w14:textId="77777777" w:rsidR="00731CB5" w:rsidRPr="00417A86" w:rsidRDefault="00731CB5" w:rsidP="00731CB5">
            <w:pPr>
              <w:jc w:val="both"/>
              <w:rPr>
                <w:rFonts w:ascii="Times New Roman" w:hAnsi="Times New Roman" w:cs="Times New Roman"/>
                <w:sz w:val="28"/>
                <w:szCs w:val="28"/>
                <w:lang w:bidi="en-GB"/>
              </w:rPr>
            </w:pPr>
          </w:p>
          <w:p w14:paraId="57DE67A1"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3</w:t>
            </w:r>
          </w:p>
        </w:tc>
        <w:tc>
          <w:tcPr>
            <w:tcW w:w="3544" w:type="dxa"/>
            <w:tcBorders>
              <w:top w:val="single" w:sz="4" w:space="0" w:color="auto"/>
              <w:left w:val="single" w:sz="4" w:space="0" w:color="auto"/>
              <w:bottom w:val="single" w:sz="4" w:space="0" w:color="auto"/>
              <w:right w:val="single" w:sz="4" w:space="0" w:color="auto"/>
            </w:tcBorders>
          </w:tcPr>
          <w:p w14:paraId="0A3A6A6D"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b/>
                <w:bCs/>
                <w:sz w:val="28"/>
                <w:szCs w:val="28"/>
                <w:lang w:bidi="en-GB"/>
              </w:rPr>
              <w:t>Risk of Nutritional Deficiencies</w:t>
            </w:r>
          </w:p>
        </w:tc>
        <w:tc>
          <w:tcPr>
            <w:tcW w:w="1843" w:type="dxa"/>
            <w:tcBorders>
              <w:top w:val="single" w:sz="4" w:space="0" w:color="auto"/>
              <w:left w:val="single" w:sz="4" w:space="0" w:color="auto"/>
              <w:bottom w:val="single" w:sz="4" w:space="0" w:color="auto"/>
              <w:right w:val="single" w:sz="4" w:space="0" w:color="auto"/>
            </w:tcBorders>
          </w:tcPr>
          <w:p w14:paraId="7E119064"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1842" w:type="dxa"/>
            <w:tcBorders>
              <w:top w:val="single" w:sz="4" w:space="0" w:color="auto"/>
              <w:left w:val="single" w:sz="4" w:space="0" w:color="auto"/>
              <w:bottom w:val="single" w:sz="4" w:space="0" w:color="auto"/>
              <w:right w:val="single" w:sz="4" w:space="0" w:color="auto"/>
            </w:tcBorders>
          </w:tcPr>
          <w:p w14:paraId="02DD4065"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3</w:t>
            </w:r>
          </w:p>
        </w:tc>
        <w:tc>
          <w:tcPr>
            <w:tcW w:w="1701" w:type="dxa"/>
            <w:tcBorders>
              <w:top w:val="single" w:sz="4" w:space="0" w:color="auto"/>
              <w:left w:val="single" w:sz="4" w:space="0" w:color="auto"/>
              <w:bottom w:val="single" w:sz="4" w:space="0" w:color="auto"/>
              <w:right w:val="single" w:sz="4" w:space="0" w:color="auto"/>
            </w:tcBorders>
          </w:tcPr>
          <w:p w14:paraId="7CFC241A"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12</w:t>
            </w:r>
          </w:p>
        </w:tc>
        <w:tc>
          <w:tcPr>
            <w:tcW w:w="1843" w:type="dxa"/>
            <w:tcBorders>
              <w:top w:val="single" w:sz="4" w:space="0" w:color="auto"/>
              <w:left w:val="single" w:sz="4" w:space="0" w:color="auto"/>
              <w:bottom w:val="single" w:sz="4" w:space="0" w:color="auto"/>
              <w:right w:val="single" w:sz="4" w:space="0" w:color="auto"/>
            </w:tcBorders>
          </w:tcPr>
          <w:p w14:paraId="7001E93D" w14:textId="77777777" w:rsidR="00731CB5" w:rsidRPr="00417A86" w:rsidRDefault="00731CB5" w:rsidP="00731CB5">
            <w:pPr>
              <w:jc w:val="both"/>
              <w:rPr>
                <w:rFonts w:ascii="Times New Roman" w:hAnsi="Times New Roman" w:cs="Times New Roman"/>
                <w:b/>
                <w:sz w:val="28"/>
                <w:szCs w:val="28"/>
                <w:lang w:bidi="en-GB"/>
              </w:rPr>
            </w:pPr>
            <w:r w:rsidRPr="00417A86">
              <w:rPr>
                <w:rFonts w:ascii="Times New Roman" w:hAnsi="Times New Roman" w:cs="Times New Roman"/>
                <w:b/>
                <w:sz w:val="28"/>
                <w:szCs w:val="28"/>
                <w:lang w:bidi="en-GB"/>
              </w:rPr>
              <w:t>Medium</w:t>
            </w:r>
          </w:p>
        </w:tc>
      </w:tr>
      <w:tr w:rsidR="00731CB5" w:rsidRPr="00417A86" w14:paraId="0E4348B6" w14:textId="77777777" w:rsidTr="00731CB5">
        <w:trPr>
          <w:trHeight w:val="563"/>
        </w:trPr>
        <w:tc>
          <w:tcPr>
            <w:tcW w:w="704" w:type="dxa"/>
            <w:tcBorders>
              <w:top w:val="single" w:sz="4" w:space="0" w:color="auto"/>
              <w:left w:val="single" w:sz="4" w:space="0" w:color="auto"/>
              <w:bottom w:val="single" w:sz="4" w:space="0" w:color="auto"/>
              <w:right w:val="single" w:sz="4" w:space="0" w:color="auto"/>
            </w:tcBorders>
          </w:tcPr>
          <w:p w14:paraId="6AC3E065" w14:textId="77777777" w:rsidR="00731CB5" w:rsidRPr="00417A86" w:rsidRDefault="00731CB5" w:rsidP="00731CB5">
            <w:pPr>
              <w:jc w:val="both"/>
              <w:rPr>
                <w:rFonts w:ascii="Times New Roman" w:hAnsi="Times New Roman" w:cs="Times New Roman"/>
                <w:sz w:val="28"/>
                <w:szCs w:val="28"/>
                <w:lang w:bidi="en-GB"/>
              </w:rPr>
            </w:pPr>
          </w:p>
          <w:p w14:paraId="778475A1"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3544" w:type="dxa"/>
            <w:tcBorders>
              <w:top w:val="single" w:sz="4" w:space="0" w:color="auto"/>
              <w:left w:val="single" w:sz="4" w:space="0" w:color="auto"/>
              <w:bottom w:val="single" w:sz="4" w:space="0" w:color="auto"/>
              <w:right w:val="single" w:sz="4" w:space="0" w:color="auto"/>
            </w:tcBorders>
          </w:tcPr>
          <w:p w14:paraId="2FA193C1"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b/>
                <w:bCs/>
                <w:sz w:val="28"/>
                <w:szCs w:val="28"/>
                <w:lang w:bidi="en-GB"/>
              </w:rPr>
              <w:t>Risk of Developing Pressure Ulcers</w:t>
            </w:r>
          </w:p>
          <w:p w14:paraId="64AE2D1A" w14:textId="77777777" w:rsidR="00731CB5" w:rsidRPr="00417A86" w:rsidRDefault="00731CB5" w:rsidP="00731CB5">
            <w:pPr>
              <w:tabs>
                <w:tab w:val="left" w:pos="1480"/>
              </w:tabs>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ab/>
            </w:r>
          </w:p>
        </w:tc>
        <w:tc>
          <w:tcPr>
            <w:tcW w:w="1843" w:type="dxa"/>
            <w:tcBorders>
              <w:top w:val="single" w:sz="4" w:space="0" w:color="auto"/>
              <w:left w:val="single" w:sz="4" w:space="0" w:color="auto"/>
              <w:bottom w:val="single" w:sz="4" w:space="0" w:color="auto"/>
              <w:right w:val="single" w:sz="4" w:space="0" w:color="auto"/>
            </w:tcBorders>
          </w:tcPr>
          <w:p w14:paraId="09051E0F"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2</w:t>
            </w:r>
          </w:p>
        </w:tc>
        <w:tc>
          <w:tcPr>
            <w:tcW w:w="1842" w:type="dxa"/>
            <w:tcBorders>
              <w:top w:val="single" w:sz="4" w:space="0" w:color="auto"/>
              <w:left w:val="single" w:sz="4" w:space="0" w:color="auto"/>
              <w:bottom w:val="single" w:sz="4" w:space="0" w:color="auto"/>
              <w:right w:val="single" w:sz="4" w:space="0" w:color="auto"/>
            </w:tcBorders>
          </w:tcPr>
          <w:p w14:paraId="245ED03C"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1701" w:type="dxa"/>
            <w:tcBorders>
              <w:top w:val="single" w:sz="4" w:space="0" w:color="auto"/>
              <w:left w:val="single" w:sz="4" w:space="0" w:color="auto"/>
              <w:bottom w:val="single" w:sz="4" w:space="0" w:color="auto"/>
              <w:right w:val="single" w:sz="4" w:space="0" w:color="auto"/>
            </w:tcBorders>
          </w:tcPr>
          <w:p w14:paraId="64675CC5"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8</w:t>
            </w:r>
          </w:p>
        </w:tc>
        <w:tc>
          <w:tcPr>
            <w:tcW w:w="1843" w:type="dxa"/>
            <w:tcBorders>
              <w:top w:val="single" w:sz="4" w:space="0" w:color="auto"/>
              <w:left w:val="single" w:sz="4" w:space="0" w:color="auto"/>
              <w:bottom w:val="single" w:sz="4" w:space="0" w:color="auto"/>
              <w:right w:val="single" w:sz="4" w:space="0" w:color="auto"/>
            </w:tcBorders>
          </w:tcPr>
          <w:p w14:paraId="6C5EDCA3" w14:textId="77777777" w:rsidR="00731CB5" w:rsidRPr="00417A86" w:rsidRDefault="00731CB5" w:rsidP="00731CB5">
            <w:pPr>
              <w:jc w:val="both"/>
              <w:rPr>
                <w:rFonts w:ascii="Times New Roman" w:hAnsi="Times New Roman" w:cs="Times New Roman"/>
                <w:b/>
                <w:sz w:val="28"/>
                <w:szCs w:val="28"/>
                <w:lang w:bidi="en-GB"/>
              </w:rPr>
            </w:pPr>
            <w:r w:rsidRPr="00417A86">
              <w:rPr>
                <w:rFonts w:ascii="Times New Roman" w:hAnsi="Times New Roman" w:cs="Times New Roman"/>
                <w:b/>
                <w:sz w:val="28"/>
                <w:szCs w:val="28"/>
                <w:lang w:bidi="en-GB"/>
              </w:rPr>
              <w:t>Medium</w:t>
            </w:r>
          </w:p>
        </w:tc>
      </w:tr>
      <w:tr w:rsidR="00731CB5" w:rsidRPr="00417A86" w14:paraId="67FB5EF2" w14:textId="77777777" w:rsidTr="00731CB5">
        <w:trPr>
          <w:trHeight w:val="548"/>
        </w:trPr>
        <w:tc>
          <w:tcPr>
            <w:tcW w:w="704" w:type="dxa"/>
            <w:tcBorders>
              <w:top w:val="single" w:sz="4" w:space="0" w:color="auto"/>
              <w:left w:val="single" w:sz="4" w:space="0" w:color="auto"/>
              <w:bottom w:val="single" w:sz="4" w:space="0" w:color="auto"/>
              <w:right w:val="single" w:sz="4" w:space="0" w:color="auto"/>
            </w:tcBorders>
          </w:tcPr>
          <w:p w14:paraId="46492C62" w14:textId="77777777" w:rsidR="00731CB5" w:rsidRPr="00417A86" w:rsidRDefault="00731CB5" w:rsidP="00731CB5">
            <w:pPr>
              <w:jc w:val="both"/>
              <w:rPr>
                <w:rFonts w:ascii="Times New Roman" w:hAnsi="Times New Roman" w:cs="Times New Roman"/>
                <w:sz w:val="28"/>
                <w:szCs w:val="28"/>
                <w:lang w:bidi="en-GB"/>
              </w:rPr>
            </w:pPr>
          </w:p>
          <w:p w14:paraId="00388346"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5</w:t>
            </w:r>
          </w:p>
        </w:tc>
        <w:tc>
          <w:tcPr>
            <w:tcW w:w="3544" w:type="dxa"/>
            <w:tcBorders>
              <w:top w:val="single" w:sz="4" w:space="0" w:color="auto"/>
              <w:left w:val="single" w:sz="4" w:space="0" w:color="auto"/>
              <w:bottom w:val="single" w:sz="4" w:space="0" w:color="auto"/>
              <w:right w:val="single" w:sz="4" w:space="0" w:color="auto"/>
            </w:tcBorders>
          </w:tcPr>
          <w:p w14:paraId="1310B57A"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b/>
                <w:bCs/>
                <w:sz w:val="28"/>
                <w:szCs w:val="28"/>
                <w:lang w:bidi="en-GB"/>
              </w:rPr>
              <w:t>Risk of Delirium</w:t>
            </w:r>
          </w:p>
        </w:tc>
        <w:tc>
          <w:tcPr>
            <w:tcW w:w="1843" w:type="dxa"/>
            <w:tcBorders>
              <w:top w:val="single" w:sz="4" w:space="0" w:color="auto"/>
              <w:left w:val="single" w:sz="4" w:space="0" w:color="auto"/>
              <w:bottom w:val="single" w:sz="4" w:space="0" w:color="auto"/>
              <w:right w:val="single" w:sz="4" w:space="0" w:color="auto"/>
            </w:tcBorders>
          </w:tcPr>
          <w:p w14:paraId="030EC0C6"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3</w:t>
            </w:r>
          </w:p>
        </w:tc>
        <w:tc>
          <w:tcPr>
            <w:tcW w:w="1842" w:type="dxa"/>
            <w:tcBorders>
              <w:top w:val="single" w:sz="4" w:space="0" w:color="auto"/>
              <w:left w:val="single" w:sz="4" w:space="0" w:color="auto"/>
              <w:bottom w:val="single" w:sz="4" w:space="0" w:color="auto"/>
              <w:right w:val="single" w:sz="4" w:space="0" w:color="auto"/>
            </w:tcBorders>
          </w:tcPr>
          <w:p w14:paraId="6806174B"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4</w:t>
            </w:r>
          </w:p>
        </w:tc>
        <w:tc>
          <w:tcPr>
            <w:tcW w:w="1701" w:type="dxa"/>
            <w:tcBorders>
              <w:top w:val="single" w:sz="4" w:space="0" w:color="auto"/>
              <w:left w:val="single" w:sz="4" w:space="0" w:color="auto"/>
              <w:bottom w:val="single" w:sz="4" w:space="0" w:color="auto"/>
              <w:right w:val="single" w:sz="4" w:space="0" w:color="auto"/>
            </w:tcBorders>
          </w:tcPr>
          <w:p w14:paraId="4CB88074" w14:textId="77777777" w:rsidR="00731CB5" w:rsidRPr="00417A86" w:rsidRDefault="00731CB5" w:rsidP="00731CB5">
            <w:pPr>
              <w:jc w:val="both"/>
              <w:rPr>
                <w:rFonts w:ascii="Times New Roman" w:hAnsi="Times New Roman" w:cs="Times New Roman"/>
                <w:sz w:val="28"/>
                <w:szCs w:val="28"/>
                <w:lang w:bidi="en-GB"/>
              </w:rPr>
            </w:pPr>
            <w:r w:rsidRPr="00417A86">
              <w:rPr>
                <w:rFonts w:ascii="Times New Roman" w:hAnsi="Times New Roman" w:cs="Times New Roman"/>
                <w:sz w:val="28"/>
                <w:szCs w:val="28"/>
                <w:lang w:bidi="en-GB"/>
              </w:rPr>
              <w:t>12</w:t>
            </w:r>
          </w:p>
        </w:tc>
        <w:tc>
          <w:tcPr>
            <w:tcW w:w="1843" w:type="dxa"/>
            <w:tcBorders>
              <w:top w:val="single" w:sz="4" w:space="0" w:color="auto"/>
              <w:left w:val="single" w:sz="4" w:space="0" w:color="auto"/>
              <w:bottom w:val="single" w:sz="4" w:space="0" w:color="auto"/>
              <w:right w:val="single" w:sz="4" w:space="0" w:color="auto"/>
            </w:tcBorders>
          </w:tcPr>
          <w:p w14:paraId="5D24CDE3" w14:textId="77777777" w:rsidR="00731CB5" w:rsidRPr="00417A86" w:rsidRDefault="00731CB5" w:rsidP="00731CB5">
            <w:pPr>
              <w:jc w:val="both"/>
              <w:rPr>
                <w:rFonts w:ascii="Times New Roman" w:hAnsi="Times New Roman" w:cs="Times New Roman"/>
                <w:b/>
                <w:sz w:val="28"/>
                <w:szCs w:val="28"/>
                <w:lang w:bidi="en-GB"/>
              </w:rPr>
            </w:pPr>
            <w:r w:rsidRPr="00417A86">
              <w:rPr>
                <w:rFonts w:ascii="Times New Roman" w:hAnsi="Times New Roman" w:cs="Times New Roman"/>
                <w:b/>
                <w:sz w:val="28"/>
                <w:szCs w:val="28"/>
                <w:lang w:bidi="en-GB"/>
              </w:rPr>
              <w:t>Medium</w:t>
            </w:r>
          </w:p>
        </w:tc>
      </w:tr>
    </w:tbl>
    <w:p w14:paraId="4E526711" w14:textId="77777777" w:rsidR="00FE2DAC" w:rsidRDefault="00FE2DAC" w:rsidP="00F37A4F">
      <w:pPr>
        <w:jc w:val="both"/>
        <w:rPr>
          <w:rFonts w:ascii="Times New Roman" w:hAnsi="Times New Roman" w:cs="Times New Roman"/>
          <w:b/>
          <w:bCs/>
          <w:sz w:val="28"/>
          <w:szCs w:val="28"/>
        </w:rPr>
      </w:pPr>
    </w:p>
    <w:p w14:paraId="7357269B" w14:textId="674B4992" w:rsidR="0007770A" w:rsidRPr="00417A86" w:rsidRDefault="0007770A" w:rsidP="00F37A4F">
      <w:pPr>
        <w:jc w:val="both"/>
        <w:rPr>
          <w:rFonts w:ascii="Times New Roman" w:hAnsi="Times New Roman" w:cs="Times New Roman"/>
          <w:b/>
          <w:bCs/>
          <w:sz w:val="28"/>
          <w:szCs w:val="28"/>
        </w:rPr>
      </w:pPr>
      <w:r w:rsidRPr="00417A86">
        <w:rPr>
          <w:rFonts w:ascii="Times New Roman" w:hAnsi="Times New Roman" w:cs="Times New Roman"/>
          <w:b/>
          <w:bCs/>
          <w:sz w:val="28"/>
          <w:szCs w:val="28"/>
        </w:rPr>
        <w:t>Risk of Aggression and Self-neglect among Patients</w:t>
      </w:r>
    </w:p>
    <w:p w14:paraId="717108BC" w14:textId="15A3001A"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Patients with dementia may exhibit aggressive </w:t>
      </w:r>
      <w:r w:rsidR="00FE2DAC" w:rsidRPr="00417A86">
        <w:rPr>
          <w:rFonts w:ascii="Times New Roman" w:hAnsi="Times New Roman" w:cs="Times New Roman"/>
          <w:sz w:val="28"/>
          <w:szCs w:val="28"/>
        </w:rPr>
        <w:t>behaviour</w:t>
      </w:r>
      <w:r w:rsidRPr="00417A86">
        <w:rPr>
          <w:rFonts w:ascii="Times New Roman" w:hAnsi="Times New Roman" w:cs="Times New Roman"/>
          <w:sz w:val="28"/>
          <w:szCs w:val="28"/>
        </w:rPr>
        <w:t xml:space="preserve"> due to frustration, confusion, or fear, which can be a response to a variety of triggers, including environmental factors or personal discomfort. Aggressive </w:t>
      </w:r>
      <w:r w:rsidR="00FE2DAC" w:rsidRPr="00417A86">
        <w:rPr>
          <w:rFonts w:ascii="Times New Roman" w:hAnsi="Times New Roman" w:cs="Times New Roman"/>
          <w:sz w:val="28"/>
          <w:szCs w:val="28"/>
        </w:rPr>
        <w:t>behaviours</w:t>
      </w:r>
      <w:r w:rsidRPr="00417A86">
        <w:rPr>
          <w:rFonts w:ascii="Times New Roman" w:hAnsi="Times New Roman" w:cs="Times New Roman"/>
          <w:sz w:val="28"/>
          <w:szCs w:val="28"/>
        </w:rPr>
        <w:t xml:space="preserve"> pose a significant risk to both the patient and others in the high dependency unit, including other patients and care staff. It can lead to injuries, a breakdown in the therapeutic relationship, and an increased use of physical or chemical restraints, which are generally to be avoided. Self-neglect, characterized by a patient's inability to attend to their own basic needs and hygiene, can lead to severe health complications, including malnutrition, dehydration, and skin infections (Simpson, Meaden</w:t>
      </w:r>
      <w:r w:rsidR="00E009B2">
        <w:rPr>
          <w:rFonts w:ascii="Times New Roman" w:hAnsi="Times New Roman" w:cs="Times New Roman"/>
          <w:sz w:val="28"/>
          <w:szCs w:val="28"/>
        </w:rPr>
        <w:t xml:space="preserve"> and</w:t>
      </w:r>
      <w:r w:rsidRPr="00417A86">
        <w:rPr>
          <w:rFonts w:ascii="Times New Roman" w:hAnsi="Times New Roman" w:cs="Times New Roman"/>
          <w:sz w:val="28"/>
          <w:szCs w:val="28"/>
        </w:rPr>
        <w:t xml:space="preserve"> Fox, 2024).</w:t>
      </w:r>
    </w:p>
    <w:p w14:paraId="1DE2C267" w14:textId="77777777" w:rsidR="0007770A" w:rsidRPr="00417A86" w:rsidRDefault="0007770A" w:rsidP="00F37A4F">
      <w:pPr>
        <w:jc w:val="both"/>
        <w:rPr>
          <w:rFonts w:ascii="Times New Roman" w:hAnsi="Times New Roman" w:cs="Times New Roman"/>
          <w:b/>
          <w:bCs/>
          <w:sz w:val="28"/>
          <w:szCs w:val="28"/>
        </w:rPr>
      </w:pPr>
      <w:r w:rsidRPr="00417A86">
        <w:rPr>
          <w:rFonts w:ascii="Times New Roman" w:hAnsi="Times New Roman" w:cs="Times New Roman"/>
          <w:b/>
          <w:bCs/>
          <w:sz w:val="28"/>
          <w:szCs w:val="28"/>
        </w:rPr>
        <w:t>Risk of Suicide After Dementia Diagnosis</w:t>
      </w:r>
    </w:p>
    <w:p w14:paraId="1F48B194" w14:textId="2947AF1A"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The period following a dementia diagnosis can be extremely challenging for patients, leading to feelings of despair, loss of identity, and in some cases, suicidal </w:t>
      </w:r>
      <w:r w:rsidRPr="00417A86">
        <w:rPr>
          <w:rFonts w:ascii="Times New Roman" w:hAnsi="Times New Roman" w:cs="Times New Roman"/>
          <w:sz w:val="28"/>
          <w:szCs w:val="28"/>
        </w:rPr>
        <w:lastRenderedPageBreak/>
        <w:t>ideation. Patients diagnosed with dementia, especially those under the age of 65, face a significantly increased risk of suicide. This risk is compounded by the potential for cognitive impairment to impair judgment and impulse control, making it critical for the high dependency unit to have protocols in place for early identification and management of mental health issues in this patient population (Alothman et al, 2022).</w:t>
      </w:r>
    </w:p>
    <w:p w14:paraId="72C8C4EC" w14:textId="77777777" w:rsidR="0007770A" w:rsidRPr="00417A86" w:rsidRDefault="0007770A" w:rsidP="00F37A4F">
      <w:pPr>
        <w:jc w:val="both"/>
        <w:rPr>
          <w:rFonts w:ascii="Times New Roman" w:hAnsi="Times New Roman" w:cs="Times New Roman"/>
          <w:b/>
          <w:bCs/>
          <w:sz w:val="28"/>
          <w:szCs w:val="28"/>
        </w:rPr>
      </w:pPr>
      <w:r w:rsidRPr="00417A86">
        <w:rPr>
          <w:rFonts w:ascii="Times New Roman" w:hAnsi="Times New Roman" w:cs="Times New Roman"/>
          <w:b/>
          <w:bCs/>
          <w:sz w:val="28"/>
          <w:szCs w:val="28"/>
        </w:rPr>
        <w:t>Risk of Nutritional Deficiencies</w:t>
      </w:r>
    </w:p>
    <w:p w14:paraId="1B37947D" w14:textId="3E154120"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Dementia can significantly impact a patient's ability to maintain adequate nutrition. Factors such as forgetfulness, loss of appetite, difficulty swallowing, and challenges in communicating needs can all contribute to nutritional deficiencies. Without proper intervention, these deficiencies can lead to weight loss, weakened immune system, increased susceptibility to infections, and overall decline in physical and mental health (Wang et al, 2021).</w:t>
      </w:r>
    </w:p>
    <w:p w14:paraId="4C0FA35B" w14:textId="77777777" w:rsidR="0007770A" w:rsidRPr="00417A86" w:rsidRDefault="0007770A" w:rsidP="00F37A4F">
      <w:pPr>
        <w:jc w:val="both"/>
        <w:rPr>
          <w:rFonts w:ascii="Times New Roman" w:hAnsi="Times New Roman" w:cs="Times New Roman"/>
          <w:b/>
          <w:bCs/>
          <w:sz w:val="28"/>
          <w:szCs w:val="28"/>
        </w:rPr>
      </w:pPr>
      <w:r w:rsidRPr="00417A86">
        <w:rPr>
          <w:rFonts w:ascii="Times New Roman" w:hAnsi="Times New Roman" w:cs="Times New Roman"/>
          <w:b/>
          <w:bCs/>
          <w:sz w:val="28"/>
          <w:szCs w:val="28"/>
        </w:rPr>
        <w:t>Risk of Developing Pressure Ulcers</w:t>
      </w:r>
    </w:p>
    <w:p w14:paraId="307EA458" w14:textId="507049CE"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Patients in high dependency units, especially those with limited mobility or those who are bedridden, are at an increased risk of developing pressure ulcers. These injuries to the skin and underlying tissue result from prolonged pressure on the skin and are particularly common in areas over bony prominences, such as heels, ankles, hips, and the sacrum. Pressure ulcers can lead to significant pain, infection, and a prolonged stay in the hospital or care facility (Ahtiala et al, 2018)</w:t>
      </w:r>
    </w:p>
    <w:p w14:paraId="424616EC" w14:textId="7ECC543A"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Delirium, an acute confusional state, is a common and serious condition that can affect patients with dementia in high dependency units. It can be triggered by a variety of factors, including infections, medication changes, dehydration, and sensory overload or deprivation. Delirium can lead to a rapid decline in cognitive function, increased mortality risk, longer hospital stays, and a higher likelihood of needing long-term care post-discharge (Lange et al, 2023).</w:t>
      </w:r>
    </w:p>
    <w:p w14:paraId="1A81D820" w14:textId="5DECA322"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For these risks, we can implement mitigation strategies as follows:</w:t>
      </w:r>
    </w:p>
    <w:p w14:paraId="00C8C78B" w14:textId="1366879D"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Risk of Aggression and Self-neglect among Patients: Implementation of personalized care plans, continuous staff training in de-escalation techniques, and ensuring adequate staffing levels to manage and monitor patient </w:t>
      </w:r>
      <w:r w:rsidR="00FF5E5F" w:rsidRPr="00417A86">
        <w:rPr>
          <w:rFonts w:ascii="Times New Roman" w:hAnsi="Times New Roman" w:cs="Times New Roman"/>
          <w:sz w:val="28"/>
          <w:szCs w:val="28"/>
        </w:rPr>
        <w:t>behaviours</w:t>
      </w:r>
      <w:r w:rsidRPr="00417A86">
        <w:rPr>
          <w:rFonts w:ascii="Times New Roman" w:hAnsi="Times New Roman" w:cs="Times New Roman"/>
          <w:sz w:val="28"/>
          <w:szCs w:val="28"/>
        </w:rPr>
        <w:t xml:space="preserve"> effectively (Simpson, Meaden</w:t>
      </w:r>
      <w:r w:rsidR="00FF5E5F">
        <w:rPr>
          <w:rFonts w:ascii="Times New Roman" w:hAnsi="Times New Roman" w:cs="Times New Roman"/>
          <w:sz w:val="28"/>
          <w:szCs w:val="28"/>
        </w:rPr>
        <w:t xml:space="preserve"> and</w:t>
      </w:r>
      <w:r w:rsidRPr="00417A86">
        <w:rPr>
          <w:rFonts w:ascii="Times New Roman" w:hAnsi="Times New Roman" w:cs="Times New Roman"/>
          <w:sz w:val="28"/>
          <w:szCs w:val="28"/>
        </w:rPr>
        <w:t xml:space="preserve"> Fox, 2024).</w:t>
      </w:r>
    </w:p>
    <w:p w14:paraId="0A964B24" w14:textId="5F6D468F"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lastRenderedPageBreak/>
        <w:t>Risk of Suicide After Dementia Diagnosis: Early psychiatric evaluations, regular mental health check-ups, and support groups for patients and families to address mental health issues promptly (Alothman et al, 2022).</w:t>
      </w:r>
    </w:p>
    <w:p w14:paraId="44F7B9D3" w14:textId="7E38C273"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 xml:space="preserve">Risk of Nutritional Deficiencies: Regular nutritional assessments, involvement of dietitians in care planning, and personalized meal plans to ensure nutritional needs are met (Wang et al, 2021). </w:t>
      </w:r>
    </w:p>
    <w:p w14:paraId="017A593B" w14:textId="6288A232"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Risk of Developing Pressure Ulcers: Regular skin assessments, use of pressure-relieving devices, and staff training in pressure ulcer prevention (Ahtiala et al, 2018).</w:t>
      </w:r>
    </w:p>
    <w:p w14:paraId="5F25B505" w14:textId="61B12671" w:rsidR="00A35C2B" w:rsidRPr="00417A86" w:rsidRDefault="00A35C2B" w:rsidP="00F37A4F">
      <w:pPr>
        <w:jc w:val="both"/>
        <w:rPr>
          <w:rFonts w:ascii="Times New Roman" w:hAnsi="Times New Roman" w:cs="Times New Roman"/>
          <w:sz w:val="28"/>
          <w:szCs w:val="28"/>
        </w:rPr>
      </w:pPr>
      <w:r w:rsidRPr="00417A86">
        <w:rPr>
          <w:rFonts w:ascii="Times New Roman" w:hAnsi="Times New Roman" w:cs="Times New Roman"/>
          <w:sz w:val="28"/>
          <w:szCs w:val="28"/>
        </w:rPr>
        <w:t>Risk of Delirium:  Environmental modifications to reduce confusion, medication review to avoid deliriogenic drugs, and orientation protocols to support cognitive functioning (Lange et al, 2023).</w:t>
      </w:r>
    </w:p>
    <w:p w14:paraId="0DC0C37B" w14:textId="69D9E1DF" w:rsidR="0007770A" w:rsidRPr="00417A86" w:rsidRDefault="0007770A" w:rsidP="00FE2DAC">
      <w:pPr>
        <w:pStyle w:val="ListParagraph"/>
        <w:numPr>
          <w:ilvl w:val="0"/>
          <w:numId w:val="8"/>
        </w:numPr>
        <w:jc w:val="both"/>
        <w:rPr>
          <w:rFonts w:ascii="Times New Roman" w:hAnsi="Times New Roman" w:cs="Times New Roman"/>
          <w:b/>
          <w:bCs/>
          <w:sz w:val="28"/>
          <w:szCs w:val="28"/>
        </w:rPr>
      </w:pPr>
      <w:r w:rsidRPr="00417A86">
        <w:rPr>
          <w:rFonts w:ascii="Times New Roman" w:hAnsi="Times New Roman" w:cs="Times New Roman"/>
          <w:b/>
          <w:bCs/>
          <w:sz w:val="28"/>
          <w:szCs w:val="28"/>
        </w:rPr>
        <w:t xml:space="preserve"> Conclusion and Recommendations</w:t>
      </w:r>
    </w:p>
    <w:p w14:paraId="371810EA"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The comprehensive risk assessment for the high dependency unit specializing in dementia care has illuminated several key areas requiring targeted intervention to mitigate risks effectively. The conclusions drawn from this assessment underline the critical nature of continuous monitoring, personalized care strategies, and adherence to best practices in dementia care. Here are the recommendations based on the findings:</w:t>
      </w:r>
    </w:p>
    <w:p w14:paraId="314DA292"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Exercise and Preventive Measures</w:t>
      </w:r>
    </w:p>
    <w:p w14:paraId="0A629269" w14:textId="4E75FBD3"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Implement exercise programs focusing on balance and strength training to mitigate the risk of falls and injuries among dementia patients. The potential benefits of anti-inflammatory drugs, vitamin E, folic acid, and estrogen for dementia prevention should be considered.</w:t>
      </w:r>
    </w:p>
    <w:p w14:paraId="029771AF"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Screening for Delirium and Cognitive Impairment</w:t>
      </w:r>
    </w:p>
    <w:p w14:paraId="06F0E825" w14:textId="641CB7DB"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Delirium screening and cognitive impairment assessments should be mandatory for older hospitalized patients to facilitate better care. Clear screening guidelines and necessary staff training could significantly improve the clinical awareness and management of these conditions in high dependency units (Lange et al, 2023).</w:t>
      </w:r>
    </w:p>
    <w:p w14:paraId="6306954E"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Education and Policy Implementation</w:t>
      </w:r>
    </w:p>
    <w:p w14:paraId="0E9AB536" w14:textId="5A989B98"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Educate nurses about delirium and make its assessment obligatory in care protocols. Implementing a hospital policy on delirium monitoring and management will ensure a standardized approach to addressing this syndrome.</w:t>
      </w:r>
    </w:p>
    <w:p w14:paraId="602681AD"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lastRenderedPageBreak/>
        <w:t>Non-pharmacological Interventions</w:t>
      </w:r>
    </w:p>
    <w:p w14:paraId="4049B85E" w14:textId="4900EA5D"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Non-pharmacological interventions have shown effectiveness in preventing delirium in hospitalized patients. Implementing strategies such as environmental modifications, personalized care plans, and structured activities can play a crucial role in enhancing the care quality in the high dependency unit.</w:t>
      </w:r>
    </w:p>
    <w:p w14:paraId="6732C4EA" w14:textId="77777777" w:rsidR="0007770A" w:rsidRPr="00417A86" w:rsidRDefault="0007770A" w:rsidP="00F37A4F">
      <w:pPr>
        <w:jc w:val="both"/>
        <w:rPr>
          <w:rFonts w:ascii="Times New Roman" w:hAnsi="Times New Roman" w:cs="Times New Roman"/>
          <w:b/>
          <w:bCs/>
          <w:sz w:val="28"/>
          <w:szCs w:val="28"/>
        </w:rPr>
      </w:pPr>
      <w:r w:rsidRPr="00417A86">
        <w:rPr>
          <w:rFonts w:ascii="Times New Roman" w:hAnsi="Times New Roman" w:cs="Times New Roman"/>
          <w:b/>
          <w:bCs/>
          <w:sz w:val="28"/>
          <w:szCs w:val="28"/>
        </w:rPr>
        <w:t>Conclusion</w:t>
      </w:r>
    </w:p>
    <w:p w14:paraId="21B92BE3" w14:textId="77777777" w:rsidR="0007770A" w:rsidRPr="00417A86" w:rsidRDefault="0007770A" w:rsidP="00F37A4F">
      <w:pPr>
        <w:jc w:val="both"/>
        <w:rPr>
          <w:rFonts w:ascii="Times New Roman" w:hAnsi="Times New Roman" w:cs="Times New Roman"/>
          <w:sz w:val="28"/>
          <w:szCs w:val="28"/>
        </w:rPr>
      </w:pPr>
      <w:r w:rsidRPr="00417A86">
        <w:rPr>
          <w:rFonts w:ascii="Times New Roman" w:hAnsi="Times New Roman" w:cs="Times New Roman"/>
          <w:sz w:val="28"/>
          <w:szCs w:val="28"/>
        </w:rPr>
        <w:t>The establishment and operation of a high dependency unit for dementia care present a complex array of challenges and risks. However, through diligent risk assessment, continuous evaluation, and the implementation of evidence-based recommendations, it is possible to significantly enhance the safety, well-being, and quality of life for dementia patients. These recommendations, informed by the latest research and best practices, are designed to guide the unit towards excellence in dementia care, ensuring that patients receive the compassionate, specialized care they require.</w:t>
      </w:r>
    </w:p>
    <w:p w14:paraId="1AA98CB1"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5EA8336E"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6107FE04"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07F5AB9C"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05175830"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4AB5B5D9"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12FE42D9"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0E012015"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7FB2B9A5"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5061D822"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1CE67EEE"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0AD3FA3B" w14:textId="77777777" w:rsidR="00947DD6" w:rsidRDefault="00947DD6"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p>
    <w:p w14:paraId="3E8268B5" w14:textId="51A039BD" w:rsidR="00493E02" w:rsidRPr="00493E02" w:rsidRDefault="00493E02" w:rsidP="00493E02">
      <w:pPr>
        <w:widowControl w:val="0"/>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lastRenderedPageBreak/>
        <w:t>Reference list:</w:t>
      </w:r>
    </w:p>
    <w:p w14:paraId="2BF7BDD9"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Adelabu, J. S., Meaden, A. and Fox, A. (2024), ‘Developing a Dynamic Understanding of Risk Factors for People Admitted to Long-term High Dependency Units’, </w:t>
      </w:r>
      <w:r w:rsidRPr="00493E02">
        <w:rPr>
          <w:rFonts w:ascii="Times New Roman" w:hAnsi="Times New Roman" w:cs="Times New Roman"/>
          <w:i/>
          <w:iCs/>
          <w:kern w:val="0"/>
          <w:sz w:val="24"/>
          <w:szCs w:val="24"/>
          <w:lang w:val="en-US"/>
        </w:rPr>
        <w:t>Journal of psychosocial rehabilitation and mental health</w:t>
      </w:r>
      <w:r w:rsidRPr="00493E02">
        <w:rPr>
          <w:rFonts w:ascii="Times New Roman" w:hAnsi="Times New Roman" w:cs="Times New Roman"/>
          <w:kern w:val="0"/>
          <w:sz w:val="24"/>
          <w:szCs w:val="24"/>
          <w:lang w:val="en-US"/>
        </w:rPr>
        <w:t xml:space="preserve">. Available at: </w:t>
      </w:r>
      <w:hyperlink r:id="rId13" w:history="1">
        <w:r w:rsidRPr="00493E02">
          <w:rPr>
            <w:rFonts w:ascii="Times New Roman" w:hAnsi="Times New Roman" w:cs="Times New Roman"/>
            <w:kern w:val="0"/>
            <w:sz w:val="24"/>
            <w:szCs w:val="24"/>
            <w:lang w:val="en-US"/>
          </w:rPr>
          <w:t>https://doi.org/10.1007/s40737-023-00388-7</w:t>
        </w:r>
      </w:hyperlink>
      <w:r w:rsidRPr="00493E02">
        <w:rPr>
          <w:rFonts w:ascii="Times New Roman" w:hAnsi="Times New Roman" w:cs="Times New Roman"/>
          <w:kern w:val="0"/>
          <w:sz w:val="24"/>
          <w:szCs w:val="24"/>
          <w:lang w:val="en-US"/>
        </w:rPr>
        <w:t>.</w:t>
      </w:r>
    </w:p>
    <w:p w14:paraId="5A3AFC5B"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Åkerborg, Ö., Lang, A., Wimo, A., Sköldunger, A., Fratiglioni, L., Gaudig, M. and Rosenlund, M. (2016), ‘Cost of Dementia and Its Correlation With Dependence’, </w:t>
      </w:r>
      <w:r w:rsidRPr="00493E02">
        <w:rPr>
          <w:rFonts w:ascii="Times New Roman" w:hAnsi="Times New Roman" w:cs="Times New Roman"/>
          <w:i/>
          <w:iCs/>
          <w:kern w:val="0"/>
          <w:sz w:val="24"/>
          <w:szCs w:val="24"/>
          <w:lang w:val="en-US"/>
        </w:rPr>
        <w:t>Journal of Aging and Health</w:t>
      </w:r>
      <w:r w:rsidRPr="00493E02">
        <w:rPr>
          <w:rFonts w:ascii="Times New Roman" w:hAnsi="Times New Roman" w:cs="Times New Roman"/>
          <w:kern w:val="0"/>
          <w:sz w:val="24"/>
          <w:szCs w:val="24"/>
          <w:lang w:val="en-US"/>
        </w:rPr>
        <w:t xml:space="preserve">, 28(8), pp 1448–1464. Available at: </w:t>
      </w:r>
      <w:hyperlink r:id="rId14" w:history="1">
        <w:r w:rsidRPr="00493E02">
          <w:rPr>
            <w:rFonts w:ascii="Times New Roman" w:hAnsi="Times New Roman" w:cs="Times New Roman"/>
            <w:kern w:val="0"/>
            <w:sz w:val="24"/>
            <w:szCs w:val="24"/>
            <w:lang w:val="en-US"/>
          </w:rPr>
          <w:t>https://doi.org/10.1177/0898264315624899</w:t>
        </w:r>
      </w:hyperlink>
      <w:r w:rsidRPr="00493E02">
        <w:rPr>
          <w:rFonts w:ascii="Times New Roman" w:hAnsi="Times New Roman" w:cs="Times New Roman"/>
          <w:kern w:val="0"/>
          <w:sz w:val="24"/>
          <w:szCs w:val="24"/>
          <w:lang w:val="en-US"/>
        </w:rPr>
        <w:t>.</w:t>
      </w:r>
    </w:p>
    <w:p w14:paraId="23F016B0"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Alothman, D., Card, T., Lewis, S., Tyrrell, E., Fogarty, A.W. and Marshall, C.R. (2022), ‘Risk of Suicide After Dementia Diagnosis’, </w:t>
      </w:r>
      <w:r w:rsidRPr="00493E02">
        <w:rPr>
          <w:rFonts w:ascii="Times New Roman" w:hAnsi="Times New Roman" w:cs="Times New Roman"/>
          <w:i/>
          <w:iCs/>
          <w:kern w:val="0"/>
          <w:sz w:val="24"/>
          <w:szCs w:val="24"/>
          <w:lang w:val="en-US"/>
        </w:rPr>
        <w:t>JAMA Neurology</w:t>
      </w:r>
      <w:r w:rsidRPr="00493E02">
        <w:rPr>
          <w:rFonts w:ascii="Times New Roman" w:hAnsi="Times New Roman" w:cs="Times New Roman"/>
          <w:kern w:val="0"/>
          <w:sz w:val="24"/>
          <w:szCs w:val="24"/>
          <w:lang w:val="en-US"/>
        </w:rPr>
        <w:t xml:space="preserve">. Available at: </w:t>
      </w:r>
      <w:hyperlink r:id="rId15" w:history="1">
        <w:r w:rsidRPr="00493E02">
          <w:rPr>
            <w:rFonts w:ascii="Times New Roman" w:hAnsi="Times New Roman" w:cs="Times New Roman"/>
            <w:kern w:val="0"/>
            <w:sz w:val="24"/>
            <w:szCs w:val="24"/>
            <w:lang w:val="en-US"/>
          </w:rPr>
          <w:t>https://doi.org/10.1001/jamaneurol.2022.3094</w:t>
        </w:r>
      </w:hyperlink>
      <w:r w:rsidRPr="00493E02">
        <w:rPr>
          <w:rFonts w:ascii="Times New Roman" w:hAnsi="Times New Roman" w:cs="Times New Roman"/>
          <w:kern w:val="0"/>
          <w:sz w:val="24"/>
          <w:szCs w:val="24"/>
          <w:lang w:val="en-US"/>
        </w:rPr>
        <w:t>.</w:t>
      </w:r>
    </w:p>
    <w:p w14:paraId="4CA3196E"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Armstrong, K., Young, J., Hayburn, A., Irish, B. and Nikoletti, S. (2003), ‘Evaluating the impact of a new high dependency unit’, </w:t>
      </w:r>
      <w:r w:rsidRPr="00493E02">
        <w:rPr>
          <w:rFonts w:ascii="Times New Roman" w:hAnsi="Times New Roman" w:cs="Times New Roman"/>
          <w:i/>
          <w:iCs/>
          <w:kern w:val="0"/>
          <w:sz w:val="24"/>
          <w:szCs w:val="24"/>
          <w:lang w:val="en-US"/>
        </w:rPr>
        <w:t>International Journal of Nursing Practice</w:t>
      </w:r>
      <w:r w:rsidRPr="00493E02">
        <w:rPr>
          <w:rFonts w:ascii="Times New Roman" w:hAnsi="Times New Roman" w:cs="Times New Roman"/>
          <w:kern w:val="0"/>
          <w:sz w:val="24"/>
          <w:szCs w:val="24"/>
          <w:lang w:val="en-US"/>
        </w:rPr>
        <w:t xml:space="preserve">, 9(5), pp 285–293. Available at: </w:t>
      </w:r>
      <w:hyperlink r:id="rId16" w:history="1">
        <w:r w:rsidRPr="00947DD6">
          <w:rPr>
            <w:rStyle w:val="Hyperlink"/>
            <w:rFonts w:ascii="Times New Roman" w:hAnsi="Times New Roman" w:cs="Times New Roman"/>
            <w:color w:val="auto"/>
            <w:kern w:val="0"/>
            <w:sz w:val="24"/>
            <w:szCs w:val="24"/>
            <w:u w:val="none"/>
            <w:lang w:val="en-US"/>
          </w:rPr>
          <w:t>https://doi.org/10.1046/j.1440-172x.2003.00439.x</w:t>
        </w:r>
      </w:hyperlink>
      <w:r w:rsidRPr="00493E02">
        <w:rPr>
          <w:rFonts w:ascii="Times New Roman" w:hAnsi="Times New Roman" w:cs="Times New Roman"/>
          <w:kern w:val="0"/>
          <w:sz w:val="24"/>
          <w:szCs w:val="24"/>
          <w:lang w:val="en-US"/>
        </w:rPr>
        <w:t>.</w:t>
      </w:r>
    </w:p>
    <w:p w14:paraId="28137358"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Athiala, M., Soppi, E. and Saari, T. (2018), ‘Sequential Organ Failure Assessment (SOFA) to Predict Pressure Ulcer Risk in Intensive Care Patients: A Retrospective Cohort Study’, </w:t>
      </w:r>
      <w:r w:rsidRPr="00493E02">
        <w:rPr>
          <w:rFonts w:ascii="Times New Roman" w:hAnsi="Times New Roman" w:cs="Times New Roman"/>
          <w:i/>
          <w:iCs/>
          <w:kern w:val="0"/>
          <w:sz w:val="24"/>
          <w:szCs w:val="24"/>
          <w:lang w:val="en-US"/>
        </w:rPr>
        <w:t>Ostomy Wound Management</w:t>
      </w:r>
      <w:r w:rsidRPr="00493E02">
        <w:rPr>
          <w:rFonts w:ascii="Times New Roman" w:hAnsi="Times New Roman" w:cs="Times New Roman"/>
          <w:kern w:val="0"/>
          <w:sz w:val="24"/>
          <w:szCs w:val="24"/>
          <w:lang w:val="en-US"/>
        </w:rPr>
        <w:t xml:space="preserve">, 64(10), pp 32–38. Available at: </w:t>
      </w:r>
      <w:hyperlink r:id="rId17" w:history="1">
        <w:r w:rsidRPr="00947DD6">
          <w:rPr>
            <w:rStyle w:val="Hyperlink"/>
            <w:rFonts w:ascii="Times New Roman" w:hAnsi="Times New Roman" w:cs="Times New Roman"/>
            <w:color w:val="auto"/>
            <w:kern w:val="0"/>
            <w:sz w:val="24"/>
            <w:szCs w:val="24"/>
            <w:u w:val="none"/>
            <w:lang w:val="en-US"/>
          </w:rPr>
          <w:t>https://doi.org/10.25270/owm.2018.10.3238</w:t>
        </w:r>
      </w:hyperlink>
      <w:r w:rsidRPr="00493E02">
        <w:rPr>
          <w:rFonts w:ascii="Times New Roman" w:hAnsi="Times New Roman" w:cs="Times New Roman"/>
          <w:kern w:val="0"/>
          <w:sz w:val="24"/>
          <w:szCs w:val="24"/>
          <w:lang w:val="en-US"/>
        </w:rPr>
        <w:t>.</w:t>
      </w:r>
    </w:p>
    <w:p w14:paraId="0D3CBD68"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Biggs, S. and Carr, A. (2019), ‘How provider organizations interpret regulation in the context of residential dementia aged care’, </w:t>
      </w:r>
      <w:r w:rsidRPr="00493E02">
        <w:rPr>
          <w:rFonts w:ascii="Times New Roman" w:hAnsi="Times New Roman" w:cs="Times New Roman"/>
          <w:i/>
          <w:iCs/>
          <w:kern w:val="0"/>
          <w:sz w:val="24"/>
          <w:szCs w:val="24"/>
          <w:lang w:val="en-US"/>
        </w:rPr>
        <w:t>Australasian Journal on Ageing</w:t>
      </w:r>
      <w:r w:rsidRPr="00493E02">
        <w:rPr>
          <w:rFonts w:ascii="Times New Roman" w:hAnsi="Times New Roman" w:cs="Times New Roman"/>
          <w:kern w:val="0"/>
          <w:sz w:val="24"/>
          <w:szCs w:val="24"/>
          <w:lang w:val="en-US"/>
        </w:rPr>
        <w:t xml:space="preserve">, 38(S2), pp 83–89. Available at: </w:t>
      </w:r>
      <w:hyperlink r:id="rId18" w:history="1">
        <w:r w:rsidRPr="00493E02">
          <w:rPr>
            <w:rFonts w:ascii="Times New Roman" w:hAnsi="Times New Roman" w:cs="Times New Roman"/>
            <w:kern w:val="0"/>
            <w:sz w:val="24"/>
            <w:szCs w:val="24"/>
            <w:lang w:val="en-US"/>
          </w:rPr>
          <w:t>https://doi.org/10.1111/ajag.12634</w:t>
        </w:r>
      </w:hyperlink>
      <w:r w:rsidRPr="00493E02">
        <w:rPr>
          <w:rFonts w:ascii="Times New Roman" w:hAnsi="Times New Roman" w:cs="Times New Roman"/>
          <w:kern w:val="0"/>
          <w:sz w:val="24"/>
          <w:szCs w:val="24"/>
          <w:lang w:val="en-US"/>
        </w:rPr>
        <w:t>.</w:t>
      </w:r>
    </w:p>
    <w:p w14:paraId="6E3AE85D"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Clarke, C. and Mantle, R. (2016), ‘Using risk management to promote person-centered dementia care’, </w:t>
      </w:r>
      <w:r w:rsidRPr="00493E02">
        <w:rPr>
          <w:rFonts w:ascii="Times New Roman" w:hAnsi="Times New Roman" w:cs="Times New Roman"/>
          <w:i/>
          <w:iCs/>
          <w:kern w:val="0"/>
          <w:sz w:val="24"/>
          <w:szCs w:val="24"/>
          <w:lang w:val="en-US"/>
        </w:rPr>
        <w:t>Nursing Standard</w:t>
      </w:r>
      <w:r w:rsidRPr="00493E02">
        <w:rPr>
          <w:rFonts w:ascii="Times New Roman" w:hAnsi="Times New Roman" w:cs="Times New Roman"/>
          <w:kern w:val="0"/>
          <w:sz w:val="24"/>
          <w:szCs w:val="24"/>
          <w:lang w:val="en-US"/>
        </w:rPr>
        <w:t xml:space="preserve">, 30(28), pp 41–46. Available at: </w:t>
      </w:r>
      <w:hyperlink r:id="rId19" w:history="1">
        <w:r w:rsidRPr="00493E02">
          <w:rPr>
            <w:rFonts w:ascii="Times New Roman" w:hAnsi="Times New Roman" w:cs="Times New Roman"/>
            <w:kern w:val="0"/>
            <w:sz w:val="24"/>
            <w:szCs w:val="24"/>
            <w:lang w:val="en-US"/>
          </w:rPr>
          <w:t>https://doi.org/10.7748/ns.30.28.41.s47</w:t>
        </w:r>
      </w:hyperlink>
      <w:r w:rsidRPr="00493E02">
        <w:rPr>
          <w:rFonts w:ascii="Times New Roman" w:hAnsi="Times New Roman" w:cs="Times New Roman"/>
          <w:kern w:val="0"/>
          <w:sz w:val="24"/>
          <w:szCs w:val="24"/>
          <w:lang w:val="en-US"/>
        </w:rPr>
        <w:t>.</w:t>
      </w:r>
    </w:p>
    <w:p w14:paraId="64F130B8"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Donnelly, M. (2019), ‘Deciding in dementia: the possibilities and limits of supported decision-making’, </w:t>
      </w:r>
      <w:r w:rsidRPr="00493E02">
        <w:rPr>
          <w:rFonts w:ascii="Times New Roman" w:hAnsi="Times New Roman" w:cs="Times New Roman"/>
          <w:i/>
          <w:iCs/>
          <w:kern w:val="0"/>
          <w:sz w:val="24"/>
          <w:szCs w:val="24"/>
          <w:lang w:val="en-US"/>
        </w:rPr>
        <w:t>cora.ucc.ie</w:t>
      </w:r>
      <w:r w:rsidRPr="00493E02">
        <w:rPr>
          <w:rFonts w:ascii="Times New Roman" w:hAnsi="Times New Roman" w:cs="Times New Roman"/>
          <w:kern w:val="0"/>
          <w:sz w:val="24"/>
          <w:szCs w:val="24"/>
          <w:lang w:val="en-US"/>
        </w:rPr>
        <w:t xml:space="preserve">. Available at: </w:t>
      </w:r>
      <w:hyperlink r:id="rId20" w:history="1">
        <w:r w:rsidRPr="00493E02">
          <w:rPr>
            <w:rFonts w:ascii="Times New Roman" w:hAnsi="Times New Roman" w:cs="Times New Roman"/>
            <w:kern w:val="0"/>
            <w:sz w:val="24"/>
            <w:szCs w:val="24"/>
            <w:lang w:val="en-US"/>
          </w:rPr>
          <w:t>https://hdl.handle.net/10468/8399</w:t>
        </w:r>
      </w:hyperlink>
      <w:r w:rsidRPr="00493E02">
        <w:rPr>
          <w:rFonts w:ascii="Times New Roman" w:hAnsi="Times New Roman" w:cs="Times New Roman"/>
          <w:kern w:val="0"/>
          <w:sz w:val="24"/>
          <w:szCs w:val="24"/>
          <w:lang w:val="en-US"/>
        </w:rPr>
        <w:t>.</w:t>
      </w:r>
    </w:p>
    <w:p w14:paraId="13E6E348"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Farrow, M., Kim, S., Bindoff, A., Doherty, K., Eccleston, C. and Vickers, J.C. (2020), ‘A dementia risk assessment tool to facilitate risk‐related behavior change: The dementia risk profile’, </w:t>
      </w:r>
      <w:r w:rsidRPr="00493E02">
        <w:rPr>
          <w:rFonts w:ascii="Times New Roman" w:hAnsi="Times New Roman" w:cs="Times New Roman"/>
          <w:i/>
          <w:iCs/>
          <w:kern w:val="0"/>
          <w:sz w:val="24"/>
          <w:szCs w:val="24"/>
          <w:lang w:val="en-US"/>
        </w:rPr>
        <w:t>Alzheimer’s and Dementia</w:t>
      </w:r>
      <w:r w:rsidRPr="00493E02">
        <w:rPr>
          <w:rFonts w:ascii="Times New Roman" w:hAnsi="Times New Roman" w:cs="Times New Roman"/>
          <w:kern w:val="0"/>
          <w:sz w:val="24"/>
          <w:szCs w:val="24"/>
          <w:lang w:val="en-US"/>
        </w:rPr>
        <w:t xml:space="preserve">, 16(S10). Available at: </w:t>
      </w:r>
      <w:hyperlink r:id="rId21" w:history="1">
        <w:r w:rsidRPr="00493E02">
          <w:rPr>
            <w:rFonts w:ascii="Times New Roman" w:hAnsi="Times New Roman" w:cs="Times New Roman"/>
            <w:kern w:val="0"/>
            <w:sz w:val="24"/>
            <w:szCs w:val="24"/>
            <w:lang w:val="en-US"/>
          </w:rPr>
          <w:t>https://doi.org/10.1002/alz.046604</w:t>
        </w:r>
      </w:hyperlink>
      <w:r w:rsidRPr="00493E02">
        <w:rPr>
          <w:rFonts w:ascii="Times New Roman" w:hAnsi="Times New Roman" w:cs="Times New Roman"/>
          <w:kern w:val="0"/>
          <w:sz w:val="24"/>
          <w:szCs w:val="24"/>
          <w:lang w:val="en-US"/>
        </w:rPr>
        <w:t>.</w:t>
      </w:r>
    </w:p>
    <w:p w14:paraId="1BA9EBDE"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lastRenderedPageBreak/>
        <w:t xml:space="preserve">Hyde, J. (1996), ‘Alzheimer friendly assisted living regulation’, </w:t>
      </w:r>
      <w:r w:rsidRPr="00493E02">
        <w:rPr>
          <w:rFonts w:ascii="Times New Roman" w:hAnsi="Times New Roman" w:cs="Times New Roman"/>
          <w:i/>
          <w:iCs/>
          <w:kern w:val="0"/>
          <w:sz w:val="24"/>
          <w:szCs w:val="24"/>
          <w:lang w:val="en-US"/>
        </w:rPr>
        <w:t>American Journal of Alzheimer’s Disease</w:t>
      </w:r>
      <w:r w:rsidRPr="00493E02">
        <w:rPr>
          <w:rFonts w:ascii="Times New Roman" w:hAnsi="Times New Roman" w:cs="Times New Roman"/>
          <w:kern w:val="0"/>
          <w:sz w:val="24"/>
          <w:szCs w:val="24"/>
          <w:lang w:val="en-US"/>
        </w:rPr>
        <w:t xml:space="preserve">, 11(2), pp 2–9. Available at: </w:t>
      </w:r>
      <w:hyperlink r:id="rId22" w:history="1">
        <w:r w:rsidRPr="00493E02">
          <w:rPr>
            <w:rFonts w:ascii="Times New Roman" w:hAnsi="Times New Roman" w:cs="Times New Roman"/>
            <w:kern w:val="0"/>
            <w:sz w:val="24"/>
            <w:szCs w:val="24"/>
            <w:lang w:val="en-US"/>
          </w:rPr>
          <w:t>https://doi.org/10.1177/153331759601100201</w:t>
        </w:r>
      </w:hyperlink>
      <w:r w:rsidRPr="00493E02">
        <w:rPr>
          <w:rFonts w:ascii="Times New Roman" w:hAnsi="Times New Roman" w:cs="Times New Roman"/>
          <w:kern w:val="0"/>
          <w:sz w:val="24"/>
          <w:szCs w:val="24"/>
          <w:lang w:val="en-US"/>
        </w:rPr>
        <w:t>.</w:t>
      </w:r>
    </w:p>
    <w:p w14:paraId="60CA6BA7"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Janicki, M.P. (2011), ‘Quality outcomes in group home dementia care for adults with intellectual disabilities’, </w:t>
      </w:r>
      <w:r w:rsidRPr="00493E02">
        <w:rPr>
          <w:rFonts w:ascii="Times New Roman" w:hAnsi="Times New Roman" w:cs="Times New Roman"/>
          <w:i/>
          <w:iCs/>
          <w:kern w:val="0"/>
          <w:sz w:val="24"/>
          <w:szCs w:val="24"/>
          <w:lang w:val="en-US"/>
        </w:rPr>
        <w:t>Journal of Intellectual Disability Research</w:t>
      </w:r>
      <w:r w:rsidRPr="00493E02">
        <w:rPr>
          <w:rFonts w:ascii="Times New Roman" w:hAnsi="Times New Roman" w:cs="Times New Roman"/>
          <w:kern w:val="0"/>
          <w:sz w:val="24"/>
          <w:szCs w:val="24"/>
          <w:lang w:val="en-US"/>
        </w:rPr>
        <w:t xml:space="preserve">, 55(8), pp 763–776. Available at: </w:t>
      </w:r>
      <w:hyperlink r:id="rId23" w:history="1">
        <w:r w:rsidRPr="00493E02">
          <w:rPr>
            <w:rFonts w:ascii="Times New Roman" w:hAnsi="Times New Roman" w:cs="Times New Roman"/>
            <w:kern w:val="0"/>
            <w:sz w:val="24"/>
            <w:szCs w:val="24"/>
            <w:lang w:val="en-US"/>
          </w:rPr>
          <w:t>https://doi.org/10.1111/j.1365-2788.2011.01424.x</w:t>
        </w:r>
      </w:hyperlink>
      <w:r w:rsidRPr="00493E02">
        <w:rPr>
          <w:rFonts w:ascii="Times New Roman" w:hAnsi="Times New Roman" w:cs="Times New Roman"/>
          <w:kern w:val="0"/>
          <w:sz w:val="24"/>
          <w:szCs w:val="24"/>
          <w:lang w:val="en-US"/>
        </w:rPr>
        <w:t>.</w:t>
      </w:r>
    </w:p>
    <w:p w14:paraId="5090D4DC"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Lange, S., Mȩdrzycka-Da̧browskaW., Tomaszek, L., Wujtewicz, M. and Krupa, S. (2023),  ‘Nurses’ knowledge, barriers and practice in the care of patients with delirium in the intensive care unit in Poland—A cross-sectional study’, </w:t>
      </w:r>
      <w:r w:rsidRPr="00493E02">
        <w:rPr>
          <w:rFonts w:ascii="Times New Roman" w:hAnsi="Times New Roman" w:cs="Times New Roman"/>
          <w:i/>
          <w:iCs/>
          <w:kern w:val="0"/>
          <w:sz w:val="24"/>
          <w:szCs w:val="24"/>
          <w:lang w:val="en-US"/>
        </w:rPr>
        <w:t>Frontiers in Public Health</w:t>
      </w:r>
      <w:r w:rsidRPr="00493E02">
        <w:rPr>
          <w:rFonts w:ascii="Times New Roman" w:hAnsi="Times New Roman" w:cs="Times New Roman"/>
          <w:kern w:val="0"/>
          <w:sz w:val="24"/>
          <w:szCs w:val="24"/>
          <w:lang w:val="en-US"/>
        </w:rPr>
        <w:t xml:space="preserve">, 11. Available at: </w:t>
      </w:r>
      <w:hyperlink r:id="rId24" w:history="1">
        <w:r w:rsidRPr="00493E02">
          <w:rPr>
            <w:rFonts w:ascii="Times New Roman" w:hAnsi="Times New Roman" w:cs="Times New Roman"/>
            <w:kern w:val="0"/>
            <w:sz w:val="24"/>
            <w:szCs w:val="24"/>
            <w:lang w:val="en-US"/>
          </w:rPr>
          <w:t>https://doi.org/10.3389/fpubh.2023.1119526</w:t>
        </w:r>
      </w:hyperlink>
      <w:r w:rsidRPr="00493E02">
        <w:rPr>
          <w:rFonts w:ascii="Times New Roman" w:hAnsi="Times New Roman" w:cs="Times New Roman"/>
          <w:kern w:val="0"/>
          <w:sz w:val="24"/>
          <w:szCs w:val="24"/>
          <w:lang w:val="en-US"/>
        </w:rPr>
        <w:t>.</w:t>
      </w:r>
    </w:p>
    <w:p w14:paraId="5F42EB0A"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Luckner, N., Kayali, F., Purgathofer, P., Werner, K. and Matei Capatu Victoria (2018), ‘Technological interventions to increase mobility of older adults with dementia’. Available at: </w:t>
      </w:r>
      <w:hyperlink r:id="rId25" w:history="1">
        <w:r w:rsidRPr="00493E02">
          <w:rPr>
            <w:rFonts w:ascii="Times New Roman" w:hAnsi="Times New Roman" w:cs="Times New Roman"/>
            <w:kern w:val="0"/>
            <w:sz w:val="24"/>
            <w:szCs w:val="24"/>
            <w:lang w:val="en-US"/>
          </w:rPr>
          <w:t>https://doi.org/10.1109/segah.2018.8401368</w:t>
        </w:r>
      </w:hyperlink>
      <w:r w:rsidRPr="00493E02">
        <w:rPr>
          <w:rFonts w:ascii="Times New Roman" w:hAnsi="Times New Roman" w:cs="Times New Roman"/>
          <w:kern w:val="0"/>
          <w:sz w:val="24"/>
          <w:szCs w:val="24"/>
          <w:lang w:val="en-US"/>
        </w:rPr>
        <w:t>.</w:t>
      </w:r>
    </w:p>
    <w:p w14:paraId="253FC6C9"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Nazarko, L. (2015), ‘Risk management in dementia care, Part 2/4: identifying hazards and risks’, </w:t>
      </w:r>
      <w:r w:rsidRPr="00493E02">
        <w:rPr>
          <w:rFonts w:ascii="Times New Roman" w:hAnsi="Times New Roman" w:cs="Times New Roman"/>
          <w:i/>
          <w:iCs/>
          <w:kern w:val="0"/>
          <w:sz w:val="24"/>
          <w:szCs w:val="24"/>
          <w:lang w:val="en-US"/>
        </w:rPr>
        <w:t>British Journal of Healthcare Assistants</w:t>
      </w:r>
      <w:r w:rsidRPr="00493E02">
        <w:rPr>
          <w:rFonts w:ascii="Times New Roman" w:hAnsi="Times New Roman" w:cs="Times New Roman"/>
          <w:kern w:val="0"/>
          <w:sz w:val="24"/>
          <w:szCs w:val="24"/>
          <w:lang w:val="en-US"/>
        </w:rPr>
        <w:t xml:space="preserve">, 9(10), pp 486–491. Available at: </w:t>
      </w:r>
      <w:hyperlink r:id="rId26" w:history="1">
        <w:r w:rsidRPr="00493E02">
          <w:rPr>
            <w:rFonts w:ascii="Times New Roman" w:hAnsi="Times New Roman" w:cs="Times New Roman"/>
            <w:kern w:val="0"/>
            <w:sz w:val="24"/>
            <w:szCs w:val="24"/>
            <w:lang w:val="en-US"/>
          </w:rPr>
          <w:t>https://doi.org/10.12968/bjha.2015.9.10.486</w:t>
        </w:r>
      </w:hyperlink>
      <w:r w:rsidRPr="00493E02">
        <w:rPr>
          <w:rFonts w:ascii="Times New Roman" w:hAnsi="Times New Roman" w:cs="Times New Roman"/>
          <w:kern w:val="0"/>
          <w:sz w:val="24"/>
          <w:szCs w:val="24"/>
          <w:lang w:val="en-US"/>
        </w:rPr>
        <w:t>.</w:t>
      </w:r>
    </w:p>
    <w:p w14:paraId="1AB9D2EE"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Ranasinghe, D., Bates, L. and Mynes, P. (2013), ‘Clinical risk assessment and management strategies for residents with severe dementia in a residential care setting: a best practice implementation project’, </w:t>
      </w:r>
      <w:r w:rsidRPr="00493E02">
        <w:rPr>
          <w:rFonts w:ascii="Times New Roman" w:hAnsi="Times New Roman" w:cs="Times New Roman"/>
          <w:i/>
          <w:iCs/>
          <w:kern w:val="0"/>
          <w:sz w:val="24"/>
          <w:szCs w:val="24"/>
          <w:lang w:val="en-US"/>
        </w:rPr>
        <w:t>JBI Database of Systematic Reviews and Implementation Reports</w:t>
      </w:r>
      <w:r w:rsidRPr="00493E02">
        <w:rPr>
          <w:rFonts w:ascii="Times New Roman" w:hAnsi="Times New Roman" w:cs="Times New Roman"/>
          <w:kern w:val="0"/>
          <w:sz w:val="24"/>
          <w:szCs w:val="24"/>
          <w:lang w:val="en-US"/>
        </w:rPr>
        <w:t xml:space="preserve">, 11(7), pp 422–433. Available at: </w:t>
      </w:r>
      <w:hyperlink r:id="rId27" w:history="1">
        <w:r w:rsidRPr="00493E02">
          <w:rPr>
            <w:rFonts w:ascii="Times New Roman" w:hAnsi="Times New Roman" w:cs="Times New Roman"/>
            <w:kern w:val="0"/>
            <w:sz w:val="24"/>
            <w:szCs w:val="24"/>
            <w:lang w:val="en-US"/>
          </w:rPr>
          <w:t>https://doi.org/10.11124/jbisrir-2013-1103</w:t>
        </w:r>
      </w:hyperlink>
      <w:r w:rsidRPr="00493E02">
        <w:rPr>
          <w:rFonts w:ascii="Times New Roman" w:hAnsi="Times New Roman" w:cs="Times New Roman"/>
          <w:kern w:val="0"/>
          <w:sz w:val="24"/>
          <w:szCs w:val="24"/>
          <w:lang w:val="en-US"/>
        </w:rPr>
        <w:t>.</w:t>
      </w:r>
    </w:p>
    <w:p w14:paraId="65DDB9FE"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Rapoport, M., Hyde, A. and Naglie, G. (2020), ‘Transportation issues in dementia’, </w:t>
      </w:r>
      <w:r w:rsidRPr="00493E02">
        <w:rPr>
          <w:rFonts w:ascii="Times New Roman" w:hAnsi="Times New Roman" w:cs="Times New Roman"/>
          <w:i/>
          <w:iCs/>
          <w:kern w:val="0"/>
          <w:sz w:val="24"/>
          <w:szCs w:val="24"/>
          <w:lang w:val="en-US"/>
        </w:rPr>
        <w:t>Policy Press eBooks</w:t>
      </w:r>
      <w:r w:rsidRPr="00493E02">
        <w:rPr>
          <w:rFonts w:ascii="Times New Roman" w:hAnsi="Times New Roman" w:cs="Times New Roman"/>
          <w:kern w:val="0"/>
          <w:sz w:val="24"/>
          <w:szCs w:val="24"/>
          <w:lang w:val="en-US"/>
        </w:rPr>
        <w:t xml:space="preserve">, pp 213–240. Available at: </w:t>
      </w:r>
      <w:hyperlink r:id="rId28" w:history="1">
        <w:r w:rsidRPr="00493E02">
          <w:rPr>
            <w:rFonts w:ascii="Times New Roman" w:hAnsi="Times New Roman" w:cs="Times New Roman"/>
            <w:kern w:val="0"/>
            <w:sz w:val="24"/>
            <w:szCs w:val="24"/>
            <w:lang w:val="en-US"/>
          </w:rPr>
          <w:t>https://doi.org/10.2307/j.ctv1198zhj.15</w:t>
        </w:r>
      </w:hyperlink>
      <w:r w:rsidRPr="00493E02">
        <w:rPr>
          <w:rFonts w:ascii="Times New Roman" w:hAnsi="Times New Roman" w:cs="Times New Roman"/>
          <w:kern w:val="0"/>
          <w:sz w:val="24"/>
          <w:szCs w:val="24"/>
          <w:lang w:val="en-US"/>
        </w:rPr>
        <w:t>.</w:t>
      </w:r>
    </w:p>
    <w:p w14:paraId="063534B2"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Sadarangani, T., Boafo, J., Wu, B., Brody, A. and Yu, G. (2021), ‘Exploring the Intersection of Chronic Disease, Function, and Social Care in Adult Day Care Clients With Dementia’, </w:t>
      </w:r>
      <w:r w:rsidRPr="00493E02">
        <w:rPr>
          <w:rFonts w:ascii="Times New Roman" w:hAnsi="Times New Roman" w:cs="Times New Roman"/>
          <w:i/>
          <w:iCs/>
          <w:kern w:val="0"/>
          <w:sz w:val="24"/>
          <w:szCs w:val="24"/>
          <w:lang w:val="en-US"/>
        </w:rPr>
        <w:t>Innovation in Aging</w:t>
      </w:r>
      <w:r w:rsidRPr="00493E02">
        <w:rPr>
          <w:rFonts w:ascii="Times New Roman" w:hAnsi="Times New Roman" w:cs="Times New Roman"/>
          <w:kern w:val="0"/>
          <w:sz w:val="24"/>
          <w:szCs w:val="24"/>
          <w:lang w:val="en-US"/>
        </w:rPr>
        <w:t xml:space="preserve">, 5(Supplement_1), pp 84–84. Available at: </w:t>
      </w:r>
      <w:hyperlink r:id="rId29" w:history="1">
        <w:r w:rsidRPr="00493E02">
          <w:rPr>
            <w:rFonts w:ascii="Times New Roman" w:hAnsi="Times New Roman" w:cs="Times New Roman"/>
            <w:kern w:val="0"/>
            <w:sz w:val="24"/>
            <w:szCs w:val="24"/>
            <w:lang w:val="en-US"/>
          </w:rPr>
          <w:t>https://doi.org/10.1093/geroni/igab046.319</w:t>
        </w:r>
      </w:hyperlink>
      <w:r w:rsidRPr="00493E02">
        <w:rPr>
          <w:rFonts w:ascii="Times New Roman" w:hAnsi="Times New Roman" w:cs="Times New Roman"/>
          <w:kern w:val="0"/>
          <w:sz w:val="24"/>
          <w:szCs w:val="24"/>
          <w:lang w:val="en-US"/>
        </w:rPr>
        <w:t>.</w:t>
      </w:r>
    </w:p>
    <w:p w14:paraId="423347F6" w14:textId="77777777" w:rsidR="00493E02" w:rsidRPr="00493E02" w:rsidRDefault="00493E02" w:rsidP="00493E02">
      <w:pPr>
        <w:pStyle w:val="ListParagraph"/>
        <w:widowControl w:val="0"/>
        <w:numPr>
          <w:ilvl w:val="0"/>
          <w:numId w:val="9"/>
        </w:numPr>
        <w:autoSpaceDE w:val="0"/>
        <w:autoSpaceDN w:val="0"/>
        <w:adjustRightInd w:val="0"/>
        <w:spacing w:after="240" w:line="360" w:lineRule="auto"/>
        <w:jc w:val="both"/>
        <w:rPr>
          <w:rFonts w:ascii="Times New Roman" w:hAnsi="Times New Roman" w:cs="Times New Roman"/>
          <w:kern w:val="0"/>
          <w:sz w:val="24"/>
          <w:szCs w:val="24"/>
          <w:lang w:val="en-US"/>
        </w:rPr>
      </w:pPr>
      <w:r w:rsidRPr="00493E02">
        <w:rPr>
          <w:rFonts w:ascii="Times New Roman" w:hAnsi="Times New Roman" w:cs="Times New Roman"/>
          <w:kern w:val="0"/>
          <w:sz w:val="24"/>
          <w:szCs w:val="24"/>
          <w:lang w:val="en-US"/>
        </w:rPr>
        <w:t xml:space="preserve">Schüssler, S. and Lohrmann, C. (2015), ‘Change in Care Dependency and Nursing Care Problems in Nursing Home Residents with and without Dementia: A 2-Year Panel Study’, </w:t>
      </w:r>
      <w:r w:rsidRPr="00493E02">
        <w:rPr>
          <w:rFonts w:ascii="Times New Roman" w:hAnsi="Times New Roman" w:cs="Times New Roman"/>
          <w:i/>
          <w:iCs/>
          <w:kern w:val="0"/>
          <w:sz w:val="24"/>
          <w:szCs w:val="24"/>
          <w:lang w:val="en-US"/>
        </w:rPr>
        <w:t>PLOS ONE</w:t>
      </w:r>
      <w:r w:rsidRPr="00493E02">
        <w:rPr>
          <w:rFonts w:ascii="Times New Roman" w:hAnsi="Times New Roman" w:cs="Times New Roman"/>
          <w:kern w:val="0"/>
          <w:sz w:val="24"/>
          <w:szCs w:val="24"/>
          <w:lang w:val="en-US"/>
        </w:rPr>
        <w:t xml:space="preserve">, 10(10), pp 0141653. Available at: </w:t>
      </w:r>
      <w:hyperlink r:id="rId30" w:history="1">
        <w:r w:rsidRPr="00493E02">
          <w:rPr>
            <w:rStyle w:val="Hyperlink"/>
            <w:rFonts w:ascii="Times New Roman" w:hAnsi="Times New Roman" w:cs="Times New Roman"/>
            <w:color w:val="auto"/>
            <w:kern w:val="0"/>
            <w:sz w:val="24"/>
            <w:szCs w:val="24"/>
            <w:u w:val="none"/>
            <w:lang w:val="en-US"/>
          </w:rPr>
          <w:t>https://doi.org/10.1371/journal.pone.0141653</w:t>
        </w:r>
      </w:hyperlink>
      <w:r w:rsidRPr="00493E02">
        <w:rPr>
          <w:rFonts w:ascii="Times New Roman" w:hAnsi="Times New Roman" w:cs="Times New Roman"/>
          <w:kern w:val="0"/>
          <w:sz w:val="24"/>
          <w:szCs w:val="24"/>
          <w:lang w:val="en-US"/>
        </w:rPr>
        <w:t>.</w:t>
      </w:r>
    </w:p>
    <w:p w14:paraId="7F138390" w14:textId="77777777" w:rsidR="00493E02" w:rsidRPr="00493E02" w:rsidRDefault="00493E02" w:rsidP="00493E02">
      <w:pPr>
        <w:pStyle w:val="ListParagraph"/>
        <w:widowControl w:val="0"/>
        <w:numPr>
          <w:ilvl w:val="0"/>
          <w:numId w:val="10"/>
        </w:numPr>
        <w:autoSpaceDE w:val="0"/>
        <w:autoSpaceDN w:val="0"/>
        <w:adjustRightInd w:val="0"/>
        <w:spacing w:after="240" w:line="360" w:lineRule="auto"/>
        <w:jc w:val="both"/>
        <w:rPr>
          <w:rFonts w:ascii="Times New Roman" w:hAnsi="Times New Roman" w:cs="Times New Roman"/>
          <w:sz w:val="24"/>
          <w:szCs w:val="24"/>
        </w:rPr>
      </w:pPr>
      <w:r w:rsidRPr="00493E02">
        <w:rPr>
          <w:rFonts w:ascii="Times New Roman" w:hAnsi="Times New Roman" w:cs="Times New Roman"/>
          <w:kern w:val="0"/>
          <w:sz w:val="24"/>
          <w:szCs w:val="24"/>
          <w:lang w:val="en-US"/>
        </w:rPr>
        <w:t xml:space="preserve">Spijker, A., Teerenstra, S., Wollersheim, H., Adang, E., Verhey, F. and Vernooij-Dassen, </w:t>
      </w:r>
      <w:r w:rsidRPr="00493E02">
        <w:rPr>
          <w:rFonts w:ascii="Times New Roman" w:hAnsi="Times New Roman" w:cs="Times New Roman"/>
          <w:kern w:val="0"/>
          <w:sz w:val="24"/>
          <w:szCs w:val="24"/>
          <w:lang w:val="en-US"/>
        </w:rPr>
        <w:lastRenderedPageBreak/>
        <w:t xml:space="preserve">M. (2013), ‘Influence of Adherence to a Systematic Care Program for Caregivers of Dementia Patients’, </w:t>
      </w:r>
      <w:r w:rsidRPr="00493E02">
        <w:rPr>
          <w:rFonts w:ascii="Times New Roman" w:hAnsi="Times New Roman" w:cs="Times New Roman"/>
          <w:i/>
          <w:iCs/>
          <w:kern w:val="0"/>
          <w:sz w:val="24"/>
          <w:szCs w:val="24"/>
          <w:lang w:val="en-US"/>
        </w:rPr>
        <w:t>The American Journal of Geriatric Psychiatry</w:t>
      </w:r>
      <w:r w:rsidRPr="00493E02">
        <w:rPr>
          <w:rFonts w:ascii="Times New Roman" w:hAnsi="Times New Roman" w:cs="Times New Roman"/>
          <w:kern w:val="0"/>
          <w:sz w:val="24"/>
          <w:szCs w:val="24"/>
          <w:lang w:val="en-US"/>
        </w:rPr>
        <w:t xml:space="preserve">, 21(1), pp 26–36. Available at: </w:t>
      </w:r>
      <w:hyperlink r:id="rId31" w:history="1">
        <w:r w:rsidRPr="00493E02">
          <w:rPr>
            <w:rFonts w:ascii="Times New Roman" w:hAnsi="Times New Roman" w:cs="Times New Roman"/>
            <w:kern w:val="0"/>
            <w:sz w:val="24"/>
            <w:szCs w:val="24"/>
            <w:lang w:val="en-US"/>
          </w:rPr>
          <w:t>https://doi.org/10.1016/j.jagp.2012.10.003</w:t>
        </w:r>
      </w:hyperlink>
      <w:r w:rsidRPr="00493E02">
        <w:rPr>
          <w:rFonts w:ascii="Times New Roman" w:hAnsi="Times New Roman" w:cs="Times New Roman"/>
          <w:kern w:val="0"/>
          <w:sz w:val="24"/>
          <w:szCs w:val="24"/>
          <w:lang w:val="en-US"/>
        </w:rPr>
        <w:t>.</w:t>
      </w:r>
    </w:p>
    <w:p w14:paraId="22F3AB84" w14:textId="7F3A6A78" w:rsidR="0007770A" w:rsidRPr="00493E02" w:rsidRDefault="00493E02" w:rsidP="00493E02">
      <w:pPr>
        <w:pStyle w:val="ListParagraph"/>
        <w:widowControl w:val="0"/>
        <w:numPr>
          <w:ilvl w:val="0"/>
          <w:numId w:val="10"/>
        </w:numPr>
        <w:autoSpaceDE w:val="0"/>
        <w:autoSpaceDN w:val="0"/>
        <w:adjustRightInd w:val="0"/>
        <w:spacing w:after="240" w:line="360" w:lineRule="auto"/>
        <w:jc w:val="both"/>
        <w:rPr>
          <w:rFonts w:ascii="Times New Roman" w:hAnsi="Times New Roman" w:cs="Times New Roman"/>
          <w:sz w:val="24"/>
          <w:szCs w:val="24"/>
        </w:rPr>
      </w:pPr>
      <w:r w:rsidRPr="00493E02">
        <w:rPr>
          <w:rFonts w:ascii="Times New Roman" w:hAnsi="Times New Roman" w:cs="Times New Roman"/>
          <w:kern w:val="0"/>
          <w:sz w:val="24"/>
          <w:szCs w:val="24"/>
          <w:lang w:val="en-US"/>
        </w:rPr>
        <w:t xml:space="preserve">Wang, N., Wang, M.-P., Jiang, L., Du, B., Zhu, B. and Xi, X.-M. (2021), ‘Association between the modified Nutrition Risk in Critically Ill (mNUTRIC) score and clinical outcomes in the intensive care unit: a secondary analysis of a large prospective observational study’, </w:t>
      </w:r>
      <w:r w:rsidRPr="00493E02">
        <w:rPr>
          <w:rFonts w:ascii="Times New Roman" w:hAnsi="Times New Roman" w:cs="Times New Roman"/>
          <w:i/>
          <w:iCs/>
          <w:kern w:val="0"/>
          <w:sz w:val="24"/>
          <w:szCs w:val="24"/>
          <w:lang w:val="en-US"/>
        </w:rPr>
        <w:t>BMC Anesthesiology</w:t>
      </w:r>
      <w:r w:rsidRPr="00493E02">
        <w:rPr>
          <w:rFonts w:ascii="Times New Roman" w:hAnsi="Times New Roman" w:cs="Times New Roman"/>
          <w:kern w:val="0"/>
          <w:sz w:val="24"/>
          <w:szCs w:val="24"/>
          <w:lang w:val="en-US"/>
        </w:rPr>
        <w:t xml:space="preserve">, 21(1). Available at: </w:t>
      </w:r>
      <w:hyperlink r:id="rId32" w:history="1">
        <w:r w:rsidRPr="00493E02">
          <w:rPr>
            <w:rFonts w:ascii="Times New Roman" w:hAnsi="Times New Roman" w:cs="Times New Roman"/>
            <w:kern w:val="0"/>
            <w:sz w:val="24"/>
            <w:szCs w:val="24"/>
            <w:lang w:val="en-US"/>
          </w:rPr>
          <w:t>https://doi.org/10.1186/s12871-021-01439-x</w:t>
        </w:r>
      </w:hyperlink>
      <w:r w:rsidRPr="00493E02">
        <w:rPr>
          <w:rFonts w:ascii="Times New Roman" w:hAnsi="Times New Roman" w:cs="Times New Roman"/>
          <w:kern w:val="0"/>
          <w:sz w:val="24"/>
          <w:szCs w:val="24"/>
          <w:lang w:val="en-US"/>
        </w:rPr>
        <w:t>.</w:t>
      </w:r>
    </w:p>
    <w:sectPr w:rsidR="0007770A" w:rsidRPr="00493E0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DE088" w14:textId="77777777" w:rsidR="00D002FF" w:rsidRDefault="00D002FF" w:rsidP="00947DD6">
      <w:pPr>
        <w:spacing w:after="0" w:line="240" w:lineRule="auto"/>
      </w:pPr>
      <w:r>
        <w:separator/>
      </w:r>
    </w:p>
  </w:endnote>
  <w:endnote w:type="continuationSeparator" w:id="0">
    <w:p w14:paraId="683B515B" w14:textId="77777777" w:rsidR="00D002FF" w:rsidRDefault="00D002FF" w:rsidP="00947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7537119"/>
      <w:docPartObj>
        <w:docPartGallery w:val="Page Numbers (Bottom of Page)"/>
        <w:docPartUnique/>
      </w:docPartObj>
    </w:sdtPr>
    <w:sdtContent>
      <w:p w14:paraId="1A806247" w14:textId="33925C40" w:rsidR="00947DD6" w:rsidRDefault="00947DD6">
        <w:pPr>
          <w:pStyle w:val="Footer"/>
          <w:jc w:val="right"/>
        </w:pPr>
        <w:r>
          <w:fldChar w:fldCharType="begin"/>
        </w:r>
        <w:r>
          <w:instrText>PAGE   \* MERGEFORMAT</w:instrText>
        </w:r>
        <w:r>
          <w:fldChar w:fldCharType="separate"/>
        </w:r>
        <w:r>
          <w:t>2</w:t>
        </w:r>
        <w:r>
          <w:fldChar w:fldCharType="end"/>
        </w:r>
      </w:p>
    </w:sdtContent>
  </w:sdt>
  <w:p w14:paraId="6F5880B3" w14:textId="77777777" w:rsidR="00947DD6" w:rsidRDefault="0094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A0F1F" w14:textId="77777777" w:rsidR="00D002FF" w:rsidRDefault="00D002FF" w:rsidP="00947DD6">
      <w:pPr>
        <w:spacing w:after="0" w:line="240" w:lineRule="auto"/>
      </w:pPr>
      <w:r>
        <w:separator/>
      </w:r>
    </w:p>
  </w:footnote>
  <w:footnote w:type="continuationSeparator" w:id="0">
    <w:p w14:paraId="7278B810" w14:textId="77777777" w:rsidR="00D002FF" w:rsidRDefault="00D002FF" w:rsidP="00947D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B26E4"/>
    <w:multiLevelType w:val="multilevel"/>
    <w:tmpl w:val="5DCCF2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3761C"/>
    <w:multiLevelType w:val="multilevel"/>
    <w:tmpl w:val="A998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B152B0"/>
    <w:multiLevelType w:val="hybridMultilevel"/>
    <w:tmpl w:val="EEA4A00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8DF2BFE"/>
    <w:multiLevelType w:val="multilevel"/>
    <w:tmpl w:val="F528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D53F8F"/>
    <w:multiLevelType w:val="hybridMultilevel"/>
    <w:tmpl w:val="EEA4A0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1A322E8"/>
    <w:multiLevelType w:val="hybridMultilevel"/>
    <w:tmpl w:val="A9189C14"/>
    <w:lvl w:ilvl="0" w:tplc="2BCC8CBA">
      <w:start w:val="19"/>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AA2390"/>
    <w:multiLevelType w:val="multilevel"/>
    <w:tmpl w:val="2690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AE472F"/>
    <w:multiLevelType w:val="hybridMultilevel"/>
    <w:tmpl w:val="2E10A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C74FAE"/>
    <w:multiLevelType w:val="hybridMultilevel"/>
    <w:tmpl w:val="EEA4A00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1346F7"/>
    <w:multiLevelType w:val="multilevel"/>
    <w:tmpl w:val="6B74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4963306">
    <w:abstractNumId w:val="3"/>
  </w:num>
  <w:num w:numId="2" w16cid:durableId="14581237">
    <w:abstractNumId w:val="1"/>
  </w:num>
  <w:num w:numId="3" w16cid:durableId="1748647473">
    <w:abstractNumId w:val="8"/>
  </w:num>
  <w:num w:numId="4" w16cid:durableId="325597797">
    <w:abstractNumId w:val="6"/>
  </w:num>
  <w:num w:numId="5" w16cid:durableId="339551956">
    <w:abstractNumId w:val="9"/>
  </w:num>
  <w:num w:numId="6" w16cid:durableId="149249948">
    <w:abstractNumId w:val="0"/>
  </w:num>
  <w:num w:numId="7" w16cid:durableId="509025996">
    <w:abstractNumId w:val="4"/>
  </w:num>
  <w:num w:numId="8" w16cid:durableId="2038115120">
    <w:abstractNumId w:val="2"/>
  </w:num>
  <w:num w:numId="9" w16cid:durableId="1579631727">
    <w:abstractNumId w:val="7"/>
  </w:num>
  <w:num w:numId="10" w16cid:durableId="5805251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C2B"/>
    <w:rsid w:val="0007770A"/>
    <w:rsid w:val="000D65A3"/>
    <w:rsid w:val="002F4815"/>
    <w:rsid w:val="00417A86"/>
    <w:rsid w:val="00493E02"/>
    <w:rsid w:val="006A7102"/>
    <w:rsid w:val="006F2505"/>
    <w:rsid w:val="00731CB5"/>
    <w:rsid w:val="00816F58"/>
    <w:rsid w:val="008D787F"/>
    <w:rsid w:val="00947DD6"/>
    <w:rsid w:val="00A35C2B"/>
    <w:rsid w:val="00D002FF"/>
    <w:rsid w:val="00D94305"/>
    <w:rsid w:val="00E009B2"/>
    <w:rsid w:val="00E81B38"/>
    <w:rsid w:val="00EF2854"/>
    <w:rsid w:val="00F37A4F"/>
    <w:rsid w:val="00FE2DAC"/>
    <w:rsid w:val="00FF5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D456C"/>
  <w15:chartTrackingRefBased/>
  <w15:docId w15:val="{E813FD77-7A7F-458C-AE26-F3977FB17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35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C2B"/>
    <w:rPr>
      <w:rFonts w:eastAsiaTheme="majorEastAsia" w:cstheme="majorBidi"/>
      <w:color w:val="272727" w:themeColor="text1" w:themeTint="D8"/>
    </w:rPr>
  </w:style>
  <w:style w:type="paragraph" w:styleId="Title">
    <w:name w:val="Title"/>
    <w:basedOn w:val="Normal"/>
    <w:next w:val="Normal"/>
    <w:link w:val="TitleChar"/>
    <w:uiPriority w:val="10"/>
    <w:qFormat/>
    <w:rsid w:val="00A35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C2B"/>
    <w:pPr>
      <w:spacing w:before="160"/>
      <w:jc w:val="center"/>
    </w:pPr>
    <w:rPr>
      <w:i/>
      <w:iCs/>
      <w:color w:val="404040" w:themeColor="text1" w:themeTint="BF"/>
    </w:rPr>
  </w:style>
  <w:style w:type="character" w:customStyle="1" w:styleId="QuoteChar">
    <w:name w:val="Quote Char"/>
    <w:basedOn w:val="DefaultParagraphFont"/>
    <w:link w:val="Quote"/>
    <w:uiPriority w:val="29"/>
    <w:rsid w:val="00A35C2B"/>
    <w:rPr>
      <w:i/>
      <w:iCs/>
      <w:color w:val="404040" w:themeColor="text1" w:themeTint="BF"/>
    </w:rPr>
  </w:style>
  <w:style w:type="paragraph" w:styleId="ListParagraph">
    <w:name w:val="List Paragraph"/>
    <w:basedOn w:val="Normal"/>
    <w:uiPriority w:val="34"/>
    <w:qFormat/>
    <w:rsid w:val="00A35C2B"/>
    <w:pPr>
      <w:ind w:left="720"/>
      <w:contextualSpacing/>
    </w:pPr>
  </w:style>
  <w:style w:type="character" w:styleId="IntenseEmphasis">
    <w:name w:val="Intense Emphasis"/>
    <w:basedOn w:val="DefaultParagraphFont"/>
    <w:uiPriority w:val="21"/>
    <w:qFormat/>
    <w:rsid w:val="00A35C2B"/>
    <w:rPr>
      <w:i/>
      <w:iCs/>
      <w:color w:val="0F4761" w:themeColor="accent1" w:themeShade="BF"/>
    </w:rPr>
  </w:style>
  <w:style w:type="paragraph" w:styleId="IntenseQuote">
    <w:name w:val="Intense Quote"/>
    <w:basedOn w:val="Normal"/>
    <w:next w:val="Normal"/>
    <w:link w:val="IntenseQuoteChar"/>
    <w:uiPriority w:val="30"/>
    <w:qFormat/>
    <w:rsid w:val="00A35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C2B"/>
    <w:rPr>
      <w:i/>
      <w:iCs/>
      <w:color w:val="0F4761" w:themeColor="accent1" w:themeShade="BF"/>
    </w:rPr>
  </w:style>
  <w:style w:type="character" w:styleId="IntenseReference">
    <w:name w:val="Intense Reference"/>
    <w:basedOn w:val="DefaultParagraphFont"/>
    <w:uiPriority w:val="32"/>
    <w:qFormat/>
    <w:rsid w:val="00A35C2B"/>
    <w:rPr>
      <w:b/>
      <w:bCs/>
      <w:smallCaps/>
      <w:color w:val="0F4761" w:themeColor="accent1" w:themeShade="BF"/>
      <w:spacing w:val="5"/>
    </w:rPr>
  </w:style>
  <w:style w:type="character" w:styleId="Hyperlink">
    <w:name w:val="Hyperlink"/>
    <w:basedOn w:val="DefaultParagraphFont"/>
    <w:uiPriority w:val="99"/>
    <w:unhideWhenUsed/>
    <w:rsid w:val="00A35C2B"/>
    <w:rPr>
      <w:color w:val="467886" w:themeColor="hyperlink"/>
      <w:u w:val="single"/>
    </w:rPr>
  </w:style>
  <w:style w:type="character" w:styleId="UnresolvedMention">
    <w:name w:val="Unresolved Mention"/>
    <w:basedOn w:val="DefaultParagraphFont"/>
    <w:uiPriority w:val="99"/>
    <w:semiHidden/>
    <w:unhideWhenUsed/>
    <w:rsid w:val="00A35C2B"/>
    <w:rPr>
      <w:color w:val="605E5C"/>
      <w:shd w:val="clear" w:color="auto" w:fill="E1DFDD"/>
    </w:rPr>
  </w:style>
  <w:style w:type="character" w:styleId="FollowedHyperlink">
    <w:name w:val="FollowedHyperlink"/>
    <w:basedOn w:val="DefaultParagraphFont"/>
    <w:uiPriority w:val="99"/>
    <w:semiHidden/>
    <w:unhideWhenUsed/>
    <w:rsid w:val="00A35C2B"/>
    <w:rPr>
      <w:color w:val="96607D" w:themeColor="followedHyperlink"/>
      <w:u w:val="single"/>
    </w:rPr>
  </w:style>
  <w:style w:type="paragraph" w:styleId="BodyText">
    <w:name w:val="Body Text"/>
    <w:basedOn w:val="Normal"/>
    <w:link w:val="BodyTextChar"/>
    <w:uiPriority w:val="1"/>
    <w:qFormat/>
    <w:rsid w:val="00417A86"/>
    <w:pPr>
      <w:widowControl w:val="0"/>
      <w:autoSpaceDE w:val="0"/>
      <w:autoSpaceDN w:val="0"/>
      <w:spacing w:after="0" w:line="240" w:lineRule="auto"/>
    </w:pPr>
    <w:rPr>
      <w:rFonts w:ascii="Calibri Light" w:eastAsia="Calibri Light" w:hAnsi="Calibri Light" w:cs="Calibri Light"/>
      <w:kern w:val="0"/>
      <w:lang w:eastAsia="en-GB" w:bidi="en-GB"/>
      <w14:ligatures w14:val="none"/>
    </w:rPr>
  </w:style>
  <w:style w:type="character" w:customStyle="1" w:styleId="BodyTextChar">
    <w:name w:val="Body Text Char"/>
    <w:basedOn w:val="DefaultParagraphFont"/>
    <w:link w:val="BodyText"/>
    <w:uiPriority w:val="1"/>
    <w:rsid w:val="00417A86"/>
    <w:rPr>
      <w:rFonts w:ascii="Calibri Light" w:eastAsia="Calibri Light" w:hAnsi="Calibri Light" w:cs="Calibri Light"/>
      <w:kern w:val="0"/>
      <w:lang w:val="en-GB" w:eastAsia="en-GB" w:bidi="en-GB"/>
      <w14:ligatures w14:val="none"/>
    </w:rPr>
  </w:style>
  <w:style w:type="paragraph" w:styleId="Header">
    <w:name w:val="header"/>
    <w:basedOn w:val="Normal"/>
    <w:link w:val="HeaderChar"/>
    <w:uiPriority w:val="99"/>
    <w:unhideWhenUsed/>
    <w:rsid w:val="00947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DD6"/>
    <w:rPr>
      <w:lang w:val="en-GB"/>
    </w:rPr>
  </w:style>
  <w:style w:type="paragraph" w:styleId="Footer">
    <w:name w:val="footer"/>
    <w:basedOn w:val="Normal"/>
    <w:link w:val="FooterChar"/>
    <w:uiPriority w:val="99"/>
    <w:unhideWhenUsed/>
    <w:rsid w:val="00947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DD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80399">
      <w:bodyDiv w:val="1"/>
      <w:marLeft w:val="0"/>
      <w:marRight w:val="0"/>
      <w:marTop w:val="0"/>
      <w:marBottom w:val="0"/>
      <w:divBdr>
        <w:top w:val="none" w:sz="0" w:space="0" w:color="auto"/>
        <w:left w:val="none" w:sz="0" w:space="0" w:color="auto"/>
        <w:bottom w:val="none" w:sz="0" w:space="0" w:color="auto"/>
        <w:right w:val="none" w:sz="0" w:space="0" w:color="auto"/>
      </w:divBdr>
    </w:div>
    <w:div w:id="207761657">
      <w:bodyDiv w:val="1"/>
      <w:marLeft w:val="0"/>
      <w:marRight w:val="0"/>
      <w:marTop w:val="0"/>
      <w:marBottom w:val="0"/>
      <w:divBdr>
        <w:top w:val="none" w:sz="0" w:space="0" w:color="auto"/>
        <w:left w:val="none" w:sz="0" w:space="0" w:color="auto"/>
        <w:bottom w:val="none" w:sz="0" w:space="0" w:color="auto"/>
        <w:right w:val="none" w:sz="0" w:space="0" w:color="auto"/>
      </w:divBdr>
    </w:div>
    <w:div w:id="273638468">
      <w:bodyDiv w:val="1"/>
      <w:marLeft w:val="0"/>
      <w:marRight w:val="0"/>
      <w:marTop w:val="0"/>
      <w:marBottom w:val="0"/>
      <w:divBdr>
        <w:top w:val="none" w:sz="0" w:space="0" w:color="auto"/>
        <w:left w:val="none" w:sz="0" w:space="0" w:color="auto"/>
        <w:bottom w:val="none" w:sz="0" w:space="0" w:color="auto"/>
        <w:right w:val="none" w:sz="0" w:space="0" w:color="auto"/>
      </w:divBdr>
    </w:div>
    <w:div w:id="318776289">
      <w:bodyDiv w:val="1"/>
      <w:marLeft w:val="0"/>
      <w:marRight w:val="0"/>
      <w:marTop w:val="0"/>
      <w:marBottom w:val="0"/>
      <w:divBdr>
        <w:top w:val="none" w:sz="0" w:space="0" w:color="auto"/>
        <w:left w:val="none" w:sz="0" w:space="0" w:color="auto"/>
        <w:bottom w:val="none" w:sz="0" w:space="0" w:color="auto"/>
        <w:right w:val="none" w:sz="0" w:space="0" w:color="auto"/>
      </w:divBdr>
    </w:div>
    <w:div w:id="544104029">
      <w:bodyDiv w:val="1"/>
      <w:marLeft w:val="0"/>
      <w:marRight w:val="0"/>
      <w:marTop w:val="0"/>
      <w:marBottom w:val="0"/>
      <w:divBdr>
        <w:top w:val="none" w:sz="0" w:space="0" w:color="auto"/>
        <w:left w:val="none" w:sz="0" w:space="0" w:color="auto"/>
        <w:bottom w:val="none" w:sz="0" w:space="0" w:color="auto"/>
        <w:right w:val="none" w:sz="0" w:space="0" w:color="auto"/>
      </w:divBdr>
    </w:div>
    <w:div w:id="722101775">
      <w:bodyDiv w:val="1"/>
      <w:marLeft w:val="0"/>
      <w:marRight w:val="0"/>
      <w:marTop w:val="0"/>
      <w:marBottom w:val="0"/>
      <w:divBdr>
        <w:top w:val="none" w:sz="0" w:space="0" w:color="auto"/>
        <w:left w:val="none" w:sz="0" w:space="0" w:color="auto"/>
        <w:bottom w:val="none" w:sz="0" w:space="0" w:color="auto"/>
        <w:right w:val="none" w:sz="0" w:space="0" w:color="auto"/>
      </w:divBdr>
    </w:div>
    <w:div w:id="934706889">
      <w:bodyDiv w:val="1"/>
      <w:marLeft w:val="0"/>
      <w:marRight w:val="0"/>
      <w:marTop w:val="0"/>
      <w:marBottom w:val="0"/>
      <w:divBdr>
        <w:top w:val="none" w:sz="0" w:space="0" w:color="auto"/>
        <w:left w:val="none" w:sz="0" w:space="0" w:color="auto"/>
        <w:bottom w:val="none" w:sz="0" w:space="0" w:color="auto"/>
        <w:right w:val="none" w:sz="0" w:space="0" w:color="auto"/>
      </w:divBdr>
    </w:div>
    <w:div w:id="978994656">
      <w:bodyDiv w:val="1"/>
      <w:marLeft w:val="0"/>
      <w:marRight w:val="0"/>
      <w:marTop w:val="0"/>
      <w:marBottom w:val="0"/>
      <w:divBdr>
        <w:top w:val="none" w:sz="0" w:space="0" w:color="auto"/>
        <w:left w:val="none" w:sz="0" w:space="0" w:color="auto"/>
        <w:bottom w:val="none" w:sz="0" w:space="0" w:color="auto"/>
        <w:right w:val="none" w:sz="0" w:space="0" w:color="auto"/>
      </w:divBdr>
    </w:div>
    <w:div w:id="1081364922">
      <w:bodyDiv w:val="1"/>
      <w:marLeft w:val="0"/>
      <w:marRight w:val="0"/>
      <w:marTop w:val="0"/>
      <w:marBottom w:val="0"/>
      <w:divBdr>
        <w:top w:val="none" w:sz="0" w:space="0" w:color="auto"/>
        <w:left w:val="none" w:sz="0" w:space="0" w:color="auto"/>
        <w:bottom w:val="none" w:sz="0" w:space="0" w:color="auto"/>
        <w:right w:val="none" w:sz="0" w:space="0" w:color="auto"/>
      </w:divBdr>
    </w:div>
    <w:div w:id="1239097854">
      <w:bodyDiv w:val="1"/>
      <w:marLeft w:val="0"/>
      <w:marRight w:val="0"/>
      <w:marTop w:val="0"/>
      <w:marBottom w:val="0"/>
      <w:divBdr>
        <w:top w:val="none" w:sz="0" w:space="0" w:color="auto"/>
        <w:left w:val="none" w:sz="0" w:space="0" w:color="auto"/>
        <w:bottom w:val="none" w:sz="0" w:space="0" w:color="auto"/>
        <w:right w:val="none" w:sz="0" w:space="0" w:color="auto"/>
      </w:divBdr>
    </w:div>
    <w:div w:id="1284263832">
      <w:bodyDiv w:val="1"/>
      <w:marLeft w:val="0"/>
      <w:marRight w:val="0"/>
      <w:marTop w:val="0"/>
      <w:marBottom w:val="0"/>
      <w:divBdr>
        <w:top w:val="none" w:sz="0" w:space="0" w:color="auto"/>
        <w:left w:val="none" w:sz="0" w:space="0" w:color="auto"/>
        <w:bottom w:val="none" w:sz="0" w:space="0" w:color="auto"/>
        <w:right w:val="none" w:sz="0" w:space="0" w:color="auto"/>
      </w:divBdr>
    </w:div>
    <w:div w:id="1421831542">
      <w:bodyDiv w:val="1"/>
      <w:marLeft w:val="0"/>
      <w:marRight w:val="0"/>
      <w:marTop w:val="0"/>
      <w:marBottom w:val="0"/>
      <w:divBdr>
        <w:top w:val="none" w:sz="0" w:space="0" w:color="auto"/>
        <w:left w:val="none" w:sz="0" w:space="0" w:color="auto"/>
        <w:bottom w:val="none" w:sz="0" w:space="0" w:color="auto"/>
        <w:right w:val="none" w:sz="0" w:space="0" w:color="auto"/>
      </w:divBdr>
    </w:div>
    <w:div w:id="1572422231">
      <w:bodyDiv w:val="1"/>
      <w:marLeft w:val="0"/>
      <w:marRight w:val="0"/>
      <w:marTop w:val="0"/>
      <w:marBottom w:val="0"/>
      <w:divBdr>
        <w:top w:val="none" w:sz="0" w:space="0" w:color="auto"/>
        <w:left w:val="none" w:sz="0" w:space="0" w:color="auto"/>
        <w:bottom w:val="none" w:sz="0" w:space="0" w:color="auto"/>
        <w:right w:val="none" w:sz="0" w:space="0" w:color="auto"/>
      </w:divBdr>
    </w:div>
    <w:div w:id="1654915443">
      <w:bodyDiv w:val="1"/>
      <w:marLeft w:val="0"/>
      <w:marRight w:val="0"/>
      <w:marTop w:val="0"/>
      <w:marBottom w:val="0"/>
      <w:divBdr>
        <w:top w:val="none" w:sz="0" w:space="0" w:color="auto"/>
        <w:left w:val="none" w:sz="0" w:space="0" w:color="auto"/>
        <w:bottom w:val="none" w:sz="0" w:space="0" w:color="auto"/>
        <w:right w:val="none" w:sz="0" w:space="0" w:color="auto"/>
      </w:divBdr>
    </w:div>
    <w:div w:id="1664772413">
      <w:bodyDiv w:val="1"/>
      <w:marLeft w:val="0"/>
      <w:marRight w:val="0"/>
      <w:marTop w:val="0"/>
      <w:marBottom w:val="0"/>
      <w:divBdr>
        <w:top w:val="none" w:sz="0" w:space="0" w:color="auto"/>
        <w:left w:val="none" w:sz="0" w:space="0" w:color="auto"/>
        <w:bottom w:val="none" w:sz="0" w:space="0" w:color="auto"/>
        <w:right w:val="none" w:sz="0" w:space="0" w:color="auto"/>
      </w:divBdr>
    </w:div>
    <w:div w:id="1673946345">
      <w:bodyDiv w:val="1"/>
      <w:marLeft w:val="0"/>
      <w:marRight w:val="0"/>
      <w:marTop w:val="0"/>
      <w:marBottom w:val="0"/>
      <w:divBdr>
        <w:top w:val="none" w:sz="0" w:space="0" w:color="auto"/>
        <w:left w:val="none" w:sz="0" w:space="0" w:color="auto"/>
        <w:bottom w:val="none" w:sz="0" w:space="0" w:color="auto"/>
        <w:right w:val="none" w:sz="0" w:space="0" w:color="auto"/>
      </w:divBdr>
    </w:div>
    <w:div w:id="1678381947">
      <w:bodyDiv w:val="1"/>
      <w:marLeft w:val="0"/>
      <w:marRight w:val="0"/>
      <w:marTop w:val="0"/>
      <w:marBottom w:val="0"/>
      <w:divBdr>
        <w:top w:val="none" w:sz="0" w:space="0" w:color="auto"/>
        <w:left w:val="none" w:sz="0" w:space="0" w:color="auto"/>
        <w:bottom w:val="none" w:sz="0" w:space="0" w:color="auto"/>
        <w:right w:val="none" w:sz="0" w:space="0" w:color="auto"/>
      </w:divBdr>
    </w:div>
    <w:div w:id="1760905899">
      <w:bodyDiv w:val="1"/>
      <w:marLeft w:val="0"/>
      <w:marRight w:val="0"/>
      <w:marTop w:val="0"/>
      <w:marBottom w:val="0"/>
      <w:divBdr>
        <w:top w:val="none" w:sz="0" w:space="0" w:color="auto"/>
        <w:left w:val="none" w:sz="0" w:space="0" w:color="auto"/>
        <w:bottom w:val="none" w:sz="0" w:space="0" w:color="auto"/>
        <w:right w:val="none" w:sz="0" w:space="0" w:color="auto"/>
      </w:divBdr>
    </w:div>
    <w:div w:id="1762144929">
      <w:bodyDiv w:val="1"/>
      <w:marLeft w:val="0"/>
      <w:marRight w:val="0"/>
      <w:marTop w:val="0"/>
      <w:marBottom w:val="0"/>
      <w:divBdr>
        <w:top w:val="none" w:sz="0" w:space="0" w:color="auto"/>
        <w:left w:val="none" w:sz="0" w:space="0" w:color="auto"/>
        <w:bottom w:val="none" w:sz="0" w:space="0" w:color="auto"/>
        <w:right w:val="none" w:sz="0" w:space="0" w:color="auto"/>
      </w:divBdr>
    </w:div>
    <w:div w:id="1902059885">
      <w:bodyDiv w:val="1"/>
      <w:marLeft w:val="0"/>
      <w:marRight w:val="0"/>
      <w:marTop w:val="0"/>
      <w:marBottom w:val="0"/>
      <w:divBdr>
        <w:top w:val="none" w:sz="0" w:space="0" w:color="auto"/>
        <w:left w:val="none" w:sz="0" w:space="0" w:color="auto"/>
        <w:bottom w:val="none" w:sz="0" w:space="0" w:color="auto"/>
        <w:right w:val="none" w:sz="0" w:space="0" w:color="auto"/>
      </w:divBdr>
    </w:div>
    <w:div w:id="2003971363">
      <w:bodyDiv w:val="1"/>
      <w:marLeft w:val="0"/>
      <w:marRight w:val="0"/>
      <w:marTop w:val="0"/>
      <w:marBottom w:val="0"/>
      <w:divBdr>
        <w:top w:val="none" w:sz="0" w:space="0" w:color="auto"/>
        <w:left w:val="none" w:sz="0" w:space="0" w:color="auto"/>
        <w:bottom w:val="none" w:sz="0" w:space="0" w:color="auto"/>
        <w:right w:val="none" w:sz="0" w:space="0" w:color="auto"/>
      </w:divBdr>
    </w:div>
    <w:div w:id="200986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0737-023-00388-7" TargetMode="External"/><Relationship Id="rId18" Type="http://schemas.openxmlformats.org/officeDocument/2006/relationships/hyperlink" Target="https://doi.org/10.1111/ajag.12634" TargetMode="External"/><Relationship Id="rId26" Type="http://schemas.openxmlformats.org/officeDocument/2006/relationships/hyperlink" Target="https://doi.org/10.12968/bjha.2015.9.10.486" TargetMode="External"/><Relationship Id="rId3" Type="http://schemas.openxmlformats.org/officeDocument/2006/relationships/settings" Target="settings.xml"/><Relationship Id="rId21" Type="http://schemas.openxmlformats.org/officeDocument/2006/relationships/hyperlink" Target="https://doi.org/10.1002/alz.046604"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x.doi.org/10.1016/j.jagp.2012.10.003" TargetMode="External"/><Relationship Id="rId17" Type="http://schemas.openxmlformats.org/officeDocument/2006/relationships/hyperlink" Target="https://doi.org/10.25270/owm.2018.10.3238" TargetMode="External"/><Relationship Id="rId25" Type="http://schemas.openxmlformats.org/officeDocument/2006/relationships/hyperlink" Target="https://doi.org/10.1109/segah.2018.8401368"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46/j.1440-172x.2003.00439.x" TargetMode="External"/><Relationship Id="rId20" Type="http://schemas.openxmlformats.org/officeDocument/2006/relationships/hyperlink" Target="https://hdl.handle.net/10468/8399" TargetMode="External"/><Relationship Id="rId29" Type="http://schemas.openxmlformats.org/officeDocument/2006/relationships/hyperlink" Target="https://doi.org/10.1093/geroni/igab046.3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x.doi.org/10.1111/ajag.12634" TargetMode="External"/><Relationship Id="rId24" Type="http://schemas.openxmlformats.org/officeDocument/2006/relationships/hyperlink" Target="https://doi.org/10.3389/fpubh.2023.1119526" TargetMode="External"/><Relationship Id="rId32" Type="http://schemas.openxmlformats.org/officeDocument/2006/relationships/hyperlink" Target="https://doi.org/10.1186/s12871-021-01439-x" TargetMode="External"/><Relationship Id="rId5" Type="http://schemas.openxmlformats.org/officeDocument/2006/relationships/footnotes" Target="footnotes.xml"/><Relationship Id="rId15" Type="http://schemas.openxmlformats.org/officeDocument/2006/relationships/hyperlink" Target="https://doi.org/10.1001/jamaneurol.2022.3094" TargetMode="External"/><Relationship Id="rId23" Type="http://schemas.openxmlformats.org/officeDocument/2006/relationships/hyperlink" Target="https://doi.org/10.1111/j.1365-2788.2011.01424.x" TargetMode="External"/><Relationship Id="rId28" Type="http://schemas.openxmlformats.org/officeDocument/2006/relationships/hyperlink" Target="https://doi.org/10.2307/j.ctv1198zhj.15" TargetMode="External"/><Relationship Id="rId10" Type="http://schemas.openxmlformats.org/officeDocument/2006/relationships/hyperlink" Target="https://dx.doi.org/10.1177/153331759601100201" TargetMode="External"/><Relationship Id="rId19" Type="http://schemas.openxmlformats.org/officeDocument/2006/relationships/hyperlink" Target="https://doi.org/10.7748/ns.30.28.41.s47" TargetMode="External"/><Relationship Id="rId31" Type="http://schemas.openxmlformats.org/officeDocument/2006/relationships/hyperlink" Target="https://doi.org/10.1016/j.jagp.2012.10.003" TargetMode="External"/><Relationship Id="rId4" Type="http://schemas.openxmlformats.org/officeDocument/2006/relationships/webSettings" Target="webSettings.xml"/><Relationship Id="rId9" Type="http://schemas.openxmlformats.org/officeDocument/2006/relationships/hyperlink" Target="https://dx.doi.org/10.1177/153331759601100201" TargetMode="External"/><Relationship Id="rId14" Type="http://schemas.openxmlformats.org/officeDocument/2006/relationships/hyperlink" Target="https://doi.org/10.1177/0898264315624899" TargetMode="External"/><Relationship Id="rId22" Type="http://schemas.openxmlformats.org/officeDocument/2006/relationships/hyperlink" Target="https://doi.org/10.1177/153331759601100201" TargetMode="External"/><Relationship Id="rId27" Type="http://schemas.openxmlformats.org/officeDocument/2006/relationships/hyperlink" Target="https://doi.org/10.11124/jbisrir-2013-1103" TargetMode="External"/><Relationship Id="rId30" Type="http://schemas.openxmlformats.org/officeDocument/2006/relationships/hyperlink" Target="https://doi.org/10.1371/journal.pone.0141653" TargetMode="External"/><Relationship Id="rId35" Type="http://schemas.openxmlformats.org/officeDocument/2006/relationships/theme" Target="theme/theme1.xml"/><Relationship Id="rId8" Type="http://schemas.openxmlformats.org/officeDocument/2006/relationships/hyperlink" Target="https://dx.doi.org/10.1111/j.1365-2788.2011.0142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3162</Words>
  <Characters>18028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Marinel Biban</cp:lastModifiedBy>
  <cp:revision>13</cp:revision>
  <dcterms:created xsi:type="dcterms:W3CDTF">2024-04-09T12:35:00Z</dcterms:created>
  <dcterms:modified xsi:type="dcterms:W3CDTF">2024-04-09T13:24:00Z</dcterms:modified>
</cp:coreProperties>
</file>