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192BE7" w14:textId="0BB13BEB" w:rsidR="000669EE" w:rsidRDefault="000669EE" w:rsidP="000669EE">
      <w:pPr>
        <w:spacing w:after="134"/>
        <w:rPr>
          <w:rFonts w:asciiTheme="majorHAnsi" w:hAnsiTheme="majorHAnsi" w:cstheme="majorHAnsi"/>
          <w:b/>
          <w:color w:val="3A7C22" w:themeColor="accent6" w:themeShade="BF"/>
          <w:sz w:val="48"/>
        </w:rPr>
      </w:pPr>
      <w:r>
        <w:rPr>
          <w:rFonts w:asciiTheme="majorHAnsi" w:hAnsiTheme="majorHAnsi" w:cstheme="majorHAnsi"/>
          <w:b/>
          <w:noProof/>
          <w:color w:val="3A7C22" w:themeColor="accent6" w:themeShade="BF"/>
          <w:sz w:val="48"/>
        </w:rPr>
        <w:drawing>
          <wp:anchor distT="0" distB="0" distL="114300" distR="114300" simplePos="0" relativeHeight="251658240" behindDoc="1" locked="0" layoutInCell="1" allowOverlap="1" wp14:anchorId="7215BEDB" wp14:editId="11528540">
            <wp:simplePos x="0" y="0"/>
            <wp:positionH relativeFrom="column">
              <wp:posOffset>-622300</wp:posOffset>
            </wp:positionH>
            <wp:positionV relativeFrom="paragraph">
              <wp:posOffset>342265</wp:posOffset>
            </wp:positionV>
            <wp:extent cx="1315085" cy="794385"/>
            <wp:effectExtent l="0" t="0" r="0" b="5715"/>
            <wp:wrapTight wrapText="bothSides">
              <wp:wrapPolygon edited="0">
                <wp:start x="0" y="0"/>
                <wp:lineTo x="0" y="21237"/>
                <wp:lineTo x="21277" y="21237"/>
                <wp:lineTo x="21277" y="0"/>
                <wp:lineTo x="0" y="0"/>
              </wp:wrapPolygon>
            </wp:wrapTight>
            <wp:docPr id="137746746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315085" cy="794385"/>
                    </a:xfrm>
                    <a:prstGeom prst="rect">
                      <a:avLst/>
                    </a:prstGeom>
                    <a:noFill/>
                  </pic:spPr>
                </pic:pic>
              </a:graphicData>
            </a:graphic>
            <wp14:sizeRelH relativeFrom="margin">
              <wp14:pctWidth>0</wp14:pctWidth>
            </wp14:sizeRelH>
            <wp14:sizeRelV relativeFrom="margin">
              <wp14:pctHeight>0</wp14:pctHeight>
            </wp14:sizeRelV>
          </wp:anchor>
        </w:drawing>
      </w:r>
    </w:p>
    <w:p w14:paraId="3D45A5F8" w14:textId="49D1AB9B" w:rsidR="00FF2113" w:rsidRPr="00062104" w:rsidRDefault="00FF2113" w:rsidP="000669EE">
      <w:pPr>
        <w:spacing w:after="134"/>
        <w:jc w:val="center"/>
        <w:rPr>
          <w:rFonts w:asciiTheme="majorHAnsi" w:hAnsiTheme="majorHAnsi" w:cstheme="majorHAnsi"/>
          <w:b/>
          <w:color w:val="3A7C22" w:themeColor="accent6" w:themeShade="BF"/>
        </w:rPr>
      </w:pPr>
      <w:r>
        <w:rPr>
          <w:rFonts w:asciiTheme="majorHAnsi" w:hAnsiTheme="majorHAnsi" w:cstheme="majorHAnsi"/>
          <w:b/>
          <w:color w:val="3A7C22" w:themeColor="accent6" w:themeShade="BF"/>
          <w:sz w:val="48"/>
        </w:rPr>
        <w:t xml:space="preserve">Therapeutic </w:t>
      </w:r>
      <w:r w:rsidR="000669EE">
        <w:rPr>
          <w:rFonts w:asciiTheme="majorHAnsi" w:hAnsiTheme="majorHAnsi" w:cstheme="majorHAnsi"/>
          <w:b/>
          <w:color w:val="3A7C22" w:themeColor="accent6" w:themeShade="BF"/>
          <w:sz w:val="48"/>
        </w:rPr>
        <w:t>Techniques Evaluation Table</w:t>
      </w:r>
    </w:p>
    <w:p w14:paraId="4F0A6215" w14:textId="57E314C7" w:rsidR="00FF2113" w:rsidRDefault="003D0B7D" w:rsidP="003D0B7D">
      <w:r>
        <w:t xml:space="preserve">Submission date: </w:t>
      </w:r>
      <w:r w:rsidRPr="00F902DE">
        <w:rPr>
          <w:rFonts w:eastAsiaTheme="majorEastAsia" w:cstheme="minorHAnsi"/>
          <w:b/>
          <w:color w:val="000000" w:themeColor="text1"/>
          <w:sz w:val="24"/>
          <w:szCs w:val="24"/>
        </w:rPr>
        <w:t>2</w:t>
      </w:r>
      <w:r>
        <w:rPr>
          <w:rFonts w:eastAsiaTheme="majorEastAsia" w:cstheme="minorHAnsi"/>
          <w:b/>
          <w:color w:val="000000" w:themeColor="text1"/>
          <w:sz w:val="24"/>
          <w:szCs w:val="24"/>
        </w:rPr>
        <w:t>4</w:t>
      </w:r>
      <w:r w:rsidRPr="00F902DE">
        <w:rPr>
          <w:rFonts w:eastAsiaTheme="majorEastAsia" w:cstheme="minorHAnsi"/>
          <w:b/>
          <w:color w:val="000000" w:themeColor="text1"/>
          <w:sz w:val="24"/>
          <w:szCs w:val="24"/>
          <w:vertAlign w:val="superscript"/>
        </w:rPr>
        <w:t>th</w:t>
      </w:r>
      <w:r w:rsidRPr="00F902DE">
        <w:rPr>
          <w:rFonts w:eastAsiaTheme="majorEastAsia" w:cstheme="minorHAnsi"/>
          <w:b/>
          <w:color w:val="000000" w:themeColor="text1"/>
          <w:sz w:val="24"/>
          <w:szCs w:val="24"/>
        </w:rPr>
        <w:t xml:space="preserve"> February 202</w:t>
      </w:r>
      <w:r>
        <w:rPr>
          <w:rFonts w:eastAsiaTheme="majorEastAsia" w:cstheme="minorHAnsi"/>
          <w:b/>
          <w:color w:val="000000" w:themeColor="text1"/>
          <w:sz w:val="24"/>
          <w:szCs w:val="24"/>
        </w:rPr>
        <w:t>6</w:t>
      </w:r>
      <w:r w:rsidRPr="00F902DE">
        <w:rPr>
          <w:rFonts w:eastAsiaTheme="majorEastAsia" w:cstheme="minorHAnsi"/>
          <w:b/>
          <w:color w:val="000000" w:themeColor="text1"/>
          <w:sz w:val="24"/>
          <w:szCs w:val="24"/>
        </w:rPr>
        <w:t xml:space="preserve"> </w:t>
      </w:r>
      <w:proofErr w:type="gramStart"/>
      <w:r w:rsidRPr="00F902DE">
        <w:rPr>
          <w:rFonts w:eastAsiaTheme="majorEastAsia" w:cstheme="minorHAnsi"/>
          <w:b/>
          <w:color w:val="000000" w:themeColor="text1"/>
          <w:sz w:val="24"/>
          <w:szCs w:val="24"/>
        </w:rPr>
        <w:t>By</w:t>
      </w:r>
      <w:proofErr w:type="gramEnd"/>
      <w:r w:rsidRPr="00F902DE">
        <w:rPr>
          <w:rFonts w:eastAsiaTheme="majorEastAsia" w:cstheme="minorHAnsi"/>
          <w:b/>
          <w:color w:val="000000" w:themeColor="text1"/>
          <w:sz w:val="24"/>
          <w:szCs w:val="24"/>
        </w:rPr>
        <w:t xml:space="preserve"> 23:58</w:t>
      </w:r>
    </w:p>
    <w:tbl>
      <w:tblPr>
        <w:tblStyle w:val="TableGrid"/>
        <w:tblW w:w="15735" w:type="dxa"/>
        <w:tblInd w:w="-998" w:type="dxa"/>
        <w:tblLook w:val="04A0" w:firstRow="1" w:lastRow="0" w:firstColumn="1" w:lastColumn="0" w:noHBand="0" w:noVBand="1"/>
      </w:tblPr>
      <w:tblGrid>
        <w:gridCol w:w="2127"/>
        <w:gridCol w:w="3261"/>
        <w:gridCol w:w="5244"/>
        <w:gridCol w:w="5103"/>
      </w:tblGrid>
      <w:tr w:rsidR="00FF2113" w14:paraId="6E9C4AD7" w14:textId="77777777" w:rsidTr="000669EE">
        <w:tc>
          <w:tcPr>
            <w:tcW w:w="2127" w:type="dxa"/>
            <w:shd w:val="clear" w:color="auto" w:fill="D1D1D1" w:themeFill="background2" w:themeFillShade="E6"/>
          </w:tcPr>
          <w:p w14:paraId="74BE2719" w14:textId="3ED35FFA" w:rsidR="00FF2113" w:rsidRPr="000669EE" w:rsidRDefault="00FF2113">
            <w:pPr>
              <w:rPr>
                <w:b/>
                <w:bCs/>
              </w:rPr>
            </w:pPr>
            <w:r w:rsidRPr="000669EE">
              <w:rPr>
                <w:b/>
                <w:bCs/>
              </w:rPr>
              <w:t xml:space="preserve">Therapeutic technique </w:t>
            </w:r>
          </w:p>
        </w:tc>
        <w:tc>
          <w:tcPr>
            <w:tcW w:w="3261" w:type="dxa"/>
            <w:shd w:val="clear" w:color="auto" w:fill="D1D1D1" w:themeFill="background2" w:themeFillShade="E6"/>
          </w:tcPr>
          <w:p w14:paraId="3DEEDFDF" w14:textId="47D549EC" w:rsidR="00FF2113" w:rsidRPr="000669EE" w:rsidRDefault="00FF2113">
            <w:pPr>
              <w:rPr>
                <w:b/>
                <w:bCs/>
              </w:rPr>
            </w:pPr>
            <w:r w:rsidRPr="000669EE">
              <w:rPr>
                <w:b/>
                <w:bCs/>
              </w:rPr>
              <w:t xml:space="preserve">Description </w:t>
            </w:r>
          </w:p>
        </w:tc>
        <w:tc>
          <w:tcPr>
            <w:tcW w:w="5244" w:type="dxa"/>
            <w:shd w:val="clear" w:color="auto" w:fill="D1D1D1" w:themeFill="background2" w:themeFillShade="E6"/>
          </w:tcPr>
          <w:p w14:paraId="100F362C" w14:textId="32E4B1CD" w:rsidR="00FF2113" w:rsidRPr="000669EE" w:rsidRDefault="00FF2113">
            <w:pPr>
              <w:rPr>
                <w:b/>
                <w:bCs/>
              </w:rPr>
            </w:pPr>
            <w:r w:rsidRPr="000669EE">
              <w:rPr>
                <w:b/>
                <w:bCs/>
              </w:rPr>
              <w:t xml:space="preserve">Example of </w:t>
            </w:r>
            <w:r w:rsidR="00B80729">
              <w:rPr>
                <w:b/>
                <w:bCs/>
              </w:rPr>
              <w:t xml:space="preserve">how you could use it, it’s importance and benefits within your role. </w:t>
            </w:r>
            <w:r w:rsidRPr="000669EE">
              <w:rPr>
                <w:b/>
                <w:bCs/>
              </w:rPr>
              <w:t xml:space="preserve"> </w:t>
            </w:r>
          </w:p>
        </w:tc>
        <w:tc>
          <w:tcPr>
            <w:tcW w:w="5103" w:type="dxa"/>
            <w:shd w:val="clear" w:color="auto" w:fill="D1D1D1" w:themeFill="background2" w:themeFillShade="E6"/>
          </w:tcPr>
          <w:p w14:paraId="329DE664" w14:textId="777CFF13" w:rsidR="00FF2113" w:rsidRPr="000669EE" w:rsidRDefault="000669EE">
            <w:pPr>
              <w:rPr>
                <w:b/>
                <w:bCs/>
              </w:rPr>
            </w:pPr>
            <w:r>
              <w:rPr>
                <w:b/>
                <w:bCs/>
              </w:rPr>
              <w:t>Examples of the c</w:t>
            </w:r>
            <w:r w:rsidR="00FF2113" w:rsidRPr="000669EE">
              <w:rPr>
                <w:b/>
                <w:bCs/>
              </w:rPr>
              <w:t xml:space="preserve">hallenges or drawbacks to using this method within your role </w:t>
            </w:r>
          </w:p>
        </w:tc>
      </w:tr>
      <w:tr w:rsidR="00FF2113" w14:paraId="52273059" w14:textId="77777777" w:rsidTr="000669EE">
        <w:tc>
          <w:tcPr>
            <w:tcW w:w="2127" w:type="dxa"/>
            <w:shd w:val="clear" w:color="auto" w:fill="E8E8E8" w:themeFill="background2"/>
          </w:tcPr>
          <w:p w14:paraId="333B18DF" w14:textId="77777777" w:rsidR="00FF2113" w:rsidRDefault="000669EE">
            <w:r>
              <w:t xml:space="preserve">Active listening </w:t>
            </w:r>
          </w:p>
          <w:p w14:paraId="191E40CC" w14:textId="77777777" w:rsidR="000669EE" w:rsidRDefault="000669EE"/>
          <w:p w14:paraId="0A456D82" w14:textId="441B442A" w:rsidR="000669EE" w:rsidRDefault="000669EE"/>
        </w:tc>
        <w:tc>
          <w:tcPr>
            <w:tcW w:w="3261" w:type="dxa"/>
          </w:tcPr>
          <w:p w14:paraId="753F34A6" w14:textId="661C9758" w:rsidR="000669EE" w:rsidRPr="001626E8" w:rsidRDefault="00016245" w:rsidP="00BD7EFB">
            <w:pPr>
              <w:spacing w:line="360" w:lineRule="auto"/>
              <w:rPr>
                <w:rFonts w:ascii="Arial" w:hAnsi="Arial" w:cs="Arial"/>
                <w:sz w:val="24"/>
                <w:szCs w:val="24"/>
              </w:rPr>
            </w:pPr>
            <w:r w:rsidRPr="001626E8">
              <w:rPr>
                <w:rFonts w:ascii="Arial" w:hAnsi="Arial" w:cs="Arial"/>
                <w:sz w:val="24"/>
                <w:szCs w:val="24"/>
              </w:rPr>
              <w:t xml:space="preserve">Active listening is a communication technique that involves giving full attention to an individual, demonstrating understanding, and responding appropriately. It includes using open questions, reflecting on and paraphrasing information, and allowing adequate time for responses to confirm understanding. Verbal and non-verbal cues, such as tone of voice, word choice, </w:t>
            </w:r>
            <w:r w:rsidRPr="001626E8">
              <w:rPr>
                <w:rFonts w:ascii="Arial" w:hAnsi="Arial" w:cs="Arial"/>
                <w:sz w:val="24"/>
                <w:szCs w:val="24"/>
              </w:rPr>
              <w:lastRenderedPageBreak/>
              <w:t>eye contact, facial expressions, and body language, are essential for conveying engagement and empathy, thereby supporting the development of a therapeutic relationship (Thiyagarajan, 2024).</w:t>
            </w:r>
          </w:p>
          <w:p w14:paraId="2486D8CA" w14:textId="77777777" w:rsidR="000669EE" w:rsidRPr="001626E8" w:rsidRDefault="000669EE" w:rsidP="00BD7EFB">
            <w:pPr>
              <w:spacing w:line="360" w:lineRule="auto"/>
              <w:rPr>
                <w:rFonts w:ascii="Arial" w:hAnsi="Arial" w:cs="Arial"/>
                <w:sz w:val="24"/>
                <w:szCs w:val="24"/>
              </w:rPr>
            </w:pPr>
          </w:p>
        </w:tc>
        <w:tc>
          <w:tcPr>
            <w:tcW w:w="5244" w:type="dxa"/>
          </w:tcPr>
          <w:p w14:paraId="64377893" w14:textId="3726BC63" w:rsidR="00A81943" w:rsidRPr="001626E8" w:rsidRDefault="000C7B0C" w:rsidP="00BD7EFB">
            <w:pPr>
              <w:pStyle w:val="NormalWeb"/>
              <w:spacing w:line="360" w:lineRule="auto"/>
              <w:rPr>
                <w:rFonts w:ascii="Arial" w:hAnsi="Arial" w:cs="Arial"/>
              </w:rPr>
            </w:pPr>
            <w:r w:rsidRPr="001626E8">
              <w:rPr>
                <w:rFonts w:ascii="Arial" w:hAnsi="Arial" w:cs="Arial"/>
              </w:rPr>
              <w:lastRenderedPageBreak/>
              <w:t xml:space="preserve">In practice, Therapy Assistant Practitioners (TAPs) use active listening to develop and maintain effective therapeutic relationships. This involves asking open-ended questions and allowing pauses to give individuals sufficient time to respond. TAPs paraphrase or summarise what individuals have shared to confirm understanding and observe non-verbal cues, such as facial expressions, posture, and body language, to gain a fuller understanding of the individual’s emotions, needs, and level of engagement (Thiyagarajan, 2024). At the same time, TAPs </w:t>
            </w:r>
            <w:r w:rsidR="0010135F" w:rsidRPr="001626E8">
              <w:rPr>
                <w:rFonts w:ascii="Arial" w:hAnsi="Arial" w:cs="Arial"/>
              </w:rPr>
              <w:t xml:space="preserve">need to use </w:t>
            </w:r>
            <w:r w:rsidRPr="001626E8">
              <w:rPr>
                <w:rFonts w:ascii="Arial" w:hAnsi="Arial" w:cs="Arial"/>
              </w:rPr>
              <w:t xml:space="preserve">appropriate facial expressions, eye contact, and open body language to demonstrate attentiveness and </w:t>
            </w:r>
            <w:r w:rsidRPr="001626E8">
              <w:rPr>
                <w:rFonts w:ascii="Arial" w:hAnsi="Arial" w:cs="Arial"/>
              </w:rPr>
              <w:lastRenderedPageBreak/>
              <w:t>empathy, reinforcing that the individual feels heard and valued. Through active listening, TAPs can identify individual motivations, recognise potential triggers for disengagement, and understand preferred learning styles or communication methods, allowing interventions to be tailored appropriately. This approach builds trust and rapport, strengthens the therapeutic relationship, and supports collaborative working, leading to improved engagement, adherence to therapy, and feelings of respect, understanding, and empowerment throughout the rehabilitation process</w:t>
            </w:r>
            <w:r w:rsidR="00B56E78" w:rsidRPr="001626E8">
              <w:rPr>
                <w:rFonts w:ascii="Arial" w:hAnsi="Arial" w:cs="Arial"/>
              </w:rPr>
              <w:t>.</w:t>
            </w:r>
          </w:p>
        </w:tc>
        <w:tc>
          <w:tcPr>
            <w:tcW w:w="5103" w:type="dxa"/>
          </w:tcPr>
          <w:p w14:paraId="3F198C46" w14:textId="3EE470E9" w:rsidR="00FF2113" w:rsidRPr="001626E8" w:rsidRDefault="00233296" w:rsidP="00BD7EFB">
            <w:pPr>
              <w:spacing w:line="360" w:lineRule="auto"/>
              <w:rPr>
                <w:rFonts w:ascii="Arial" w:hAnsi="Arial" w:cs="Arial"/>
                <w:sz w:val="24"/>
                <w:szCs w:val="24"/>
              </w:rPr>
            </w:pPr>
            <w:r w:rsidRPr="001626E8">
              <w:rPr>
                <w:rFonts w:ascii="Arial" w:hAnsi="Arial" w:cs="Arial"/>
                <w:sz w:val="24"/>
                <w:szCs w:val="24"/>
              </w:rPr>
              <w:lastRenderedPageBreak/>
              <w:t xml:space="preserve">A key challenge of using active listening within the role of a Therapy Assistant Practitioner (TAP) in a community setting is that it can be time-consuming, particularly where appointment durations are limited. Allowing individuals to speak freely may result in conversations moving off topic, which can reduce the time available for planned therapeutic interventions. If not managed effectively, this may also blur professional boundaries and create ethical challenges, particularly if discussions become overly personal or social rather than therapeutic. Therefore, TAPs must maintain a careful balance between demonstrating empathy </w:t>
            </w:r>
            <w:r w:rsidRPr="001626E8">
              <w:rPr>
                <w:rFonts w:ascii="Arial" w:hAnsi="Arial" w:cs="Arial"/>
                <w:sz w:val="24"/>
                <w:szCs w:val="24"/>
              </w:rPr>
              <w:lastRenderedPageBreak/>
              <w:t xml:space="preserve">through active listening and remaining within professional boundaries to ensure sessions remain focused, appropriate, and </w:t>
            </w:r>
            <w:r w:rsidR="0021616E" w:rsidRPr="001626E8">
              <w:rPr>
                <w:rFonts w:ascii="Arial" w:hAnsi="Arial" w:cs="Arial"/>
                <w:sz w:val="24"/>
                <w:szCs w:val="24"/>
              </w:rPr>
              <w:t>goal orientated</w:t>
            </w:r>
            <w:r w:rsidRPr="001626E8">
              <w:rPr>
                <w:rFonts w:ascii="Arial" w:hAnsi="Arial" w:cs="Arial"/>
                <w:sz w:val="24"/>
                <w:szCs w:val="24"/>
              </w:rPr>
              <w:t>.</w:t>
            </w:r>
          </w:p>
        </w:tc>
      </w:tr>
      <w:tr w:rsidR="00FF2113" w14:paraId="0B9EE689" w14:textId="77777777" w:rsidTr="000669EE">
        <w:tc>
          <w:tcPr>
            <w:tcW w:w="2127" w:type="dxa"/>
            <w:shd w:val="clear" w:color="auto" w:fill="E8E8E8" w:themeFill="background2"/>
          </w:tcPr>
          <w:p w14:paraId="33506638" w14:textId="77777777" w:rsidR="00FF2113" w:rsidRPr="00D9680C" w:rsidRDefault="000669EE" w:rsidP="00D9680C">
            <w:pPr>
              <w:spacing w:line="360" w:lineRule="auto"/>
              <w:rPr>
                <w:rFonts w:ascii="Arial" w:hAnsi="Arial" w:cs="Arial"/>
                <w:sz w:val="24"/>
                <w:szCs w:val="24"/>
              </w:rPr>
            </w:pPr>
            <w:r w:rsidRPr="00D9680C">
              <w:rPr>
                <w:rFonts w:ascii="Arial" w:hAnsi="Arial" w:cs="Arial"/>
                <w:sz w:val="24"/>
                <w:szCs w:val="24"/>
              </w:rPr>
              <w:lastRenderedPageBreak/>
              <w:t xml:space="preserve">Motivational interviewing </w:t>
            </w:r>
          </w:p>
          <w:p w14:paraId="55991956" w14:textId="77777777" w:rsidR="000669EE" w:rsidRPr="00D9680C" w:rsidRDefault="000669EE" w:rsidP="00D9680C">
            <w:pPr>
              <w:spacing w:line="360" w:lineRule="auto"/>
              <w:rPr>
                <w:rFonts w:ascii="Arial" w:hAnsi="Arial" w:cs="Arial"/>
                <w:sz w:val="24"/>
                <w:szCs w:val="24"/>
              </w:rPr>
            </w:pPr>
          </w:p>
          <w:p w14:paraId="447694C8" w14:textId="3C45B81D" w:rsidR="000669EE" w:rsidRPr="00D9680C" w:rsidRDefault="000669EE" w:rsidP="00D9680C">
            <w:pPr>
              <w:spacing w:line="360" w:lineRule="auto"/>
              <w:rPr>
                <w:rFonts w:ascii="Arial" w:hAnsi="Arial" w:cs="Arial"/>
                <w:sz w:val="24"/>
                <w:szCs w:val="24"/>
              </w:rPr>
            </w:pPr>
          </w:p>
        </w:tc>
        <w:tc>
          <w:tcPr>
            <w:tcW w:w="3261" w:type="dxa"/>
          </w:tcPr>
          <w:p w14:paraId="14369D51" w14:textId="34CFB28E" w:rsidR="000669EE" w:rsidRPr="001626E8" w:rsidRDefault="00D9680C" w:rsidP="00BD7EFB">
            <w:pPr>
              <w:spacing w:line="360" w:lineRule="auto"/>
              <w:rPr>
                <w:rFonts w:ascii="Arial" w:hAnsi="Arial" w:cs="Arial"/>
                <w:sz w:val="24"/>
                <w:szCs w:val="24"/>
              </w:rPr>
            </w:pPr>
            <w:r w:rsidRPr="001626E8">
              <w:rPr>
                <w:rFonts w:ascii="Arial" w:hAnsi="Arial" w:cs="Arial"/>
                <w:sz w:val="24"/>
                <w:szCs w:val="24"/>
              </w:rPr>
              <w:t xml:space="preserve">Motivational interviewing (MI) is a person-centred, collaborative communication approach that supports individuals who may feel uncertain or hesitant about change. It </w:t>
            </w:r>
            <w:r w:rsidR="0004636B" w:rsidRPr="001626E8">
              <w:rPr>
                <w:rFonts w:ascii="Arial" w:hAnsi="Arial" w:cs="Arial"/>
                <w:sz w:val="24"/>
                <w:szCs w:val="24"/>
              </w:rPr>
              <w:t xml:space="preserve">is used to </w:t>
            </w:r>
            <w:r w:rsidR="007A6243" w:rsidRPr="001626E8">
              <w:rPr>
                <w:rFonts w:ascii="Arial" w:hAnsi="Arial" w:cs="Arial"/>
                <w:sz w:val="24"/>
                <w:szCs w:val="24"/>
              </w:rPr>
              <w:t xml:space="preserve">find out </w:t>
            </w:r>
            <w:r w:rsidR="00456BE5" w:rsidRPr="001626E8">
              <w:rPr>
                <w:rFonts w:ascii="Arial" w:hAnsi="Arial" w:cs="Arial"/>
                <w:sz w:val="24"/>
                <w:szCs w:val="24"/>
              </w:rPr>
              <w:lastRenderedPageBreak/>
              <w:t>individuals’</w:t>
            </w:r>
            <w:r w:rsidRPr="001626E8">
              <w:rPr>
                <w:rFonts w:ascii="Arial" w:hAnsi="Arial" w:cs="Arial"/>
                <w:sz w:val="24"/>
                <w:szCs w:val="24"/>
              </w:rPr>
              <w:t xml:space="preserve"> values, priorities, and reasons for disengagement, allowing </w:t>
            </w:r>
            <w:r w:rsidR="0004636B" w:rsidRPr="001626E8">
              <w:rPr>
                <w:rFonts w:ascii="Arial" w:hAnsi="Arial" w:cs="Arial"/>
                <w:sz w:val="24"/>
                <w:szCs w:val="24"/>
              </w:rPr>
              <w:t xml:space="preserve">clinicians </w:t>
            </w:r>
            <w:r w:rsidRPr="001626E8">
              <w:rPr>
                <w:rFonts w:ascii="Arial" w:hAnsi="Arial" w:cs="Arial"/>
                <w:sz w:val="24"/>
                <w:szCs w:val="24"/>
              </w:rPr>
              <w:t xml:space="preserve">to identify what matters most </w:t>
            </w:r>
            <w:r w:rsidR="0004636B" w:rsidRPr="001626E8">
              <w:rPr>
                <w:rFonts w:ascii="Arial" w:hAnsi="Arial" w:cs="Arial"/>
                <w:sz w:val="24"/>
                <w:szCs w:val="24"/>
              </w:rPr>
              <w:t>to an individual</w:t>
            </w:r>
            <w:r w:rsidRPr="001626E8">
              <w:rPr>
                <w:rFonts w:ascii="Arial" w:hAnsi="Arial" w:cs="Arial"/>
                <w:sz w:val="24"/>
                <w:szCs w:val="24"/>
              </w:rPr>
              <w:t>. MI encourages individuals to take ownership of their goals and decisions, fostering autonomy and self-efficacy (</w:t>
            </w:r>
            <w:r w:rsidR="00277FD4" w:rsidRPr="001626E8">
              <w:rPr>
                <w:rFonts w:ascii="Arial" w:hAnsi="Arial" w:cs="Arial"/>
                <w:sz w:val="24"/>
                <w:szCs w:val="24"/>
              </w:rPr>
              <w:t>Rollnick</w:t>
            </w:r>
            <w:r w:rsidR="005A50C0" w:rsidRPr="001626E8">
              <w:rPr>
                <w:rFonts w:ascii="Arial" w:hAnsi="Arial" w:cs="Arial"/>
                <w:sz w:val="24"/>
                <w:szCs w:val="24"/>
              </w:rPr>
              <w:t xml:space="preserve">, </w:t>
            </w:r>
            <w:r w:rsidR="00C40F16" w:rsidRPr="001626E8">
              <w:rPr>
                <w:rFonts w:ascii="Arial" w:hAnsi="Arial" w:cs="Arial"/>
                <w:sz w:val="24"/>
                <w:szCs w:val="24"/>
              </w:rPr>
              <w:t>Miller</w:t>
            </w:r>
            <w:r w:rsidR="005A50C0" w:rsidRPr="001626E8">
              <w:rPr>
                <w:rFonts w:ascii="Arial" w:hAnsi="Arial" w:cs="Arial"/>
                <w:sz w:val="24"/>
                <w:szCs w:val="24"/>
              </w:rPr>
              <w:t xml:space="preserve"> and Butler,</w:t>
            </w:r>
            <w:r w:rsidRPr="001626E8">
              <w:rPr>
                <w:rFonts w:ascii="Arial" w:hAnsi="Arial" w:cs="Arial"/>
                <w:sz w:val="24"/>
                <w:szCs w:val="24"/>
              </w:rPr>
              <w:t xml:space="preserve"> 20</w:t>
            </w:r>
            <w:r w:rsidR="000F418E" w:rsidRPr="001626E8">
              <w:rPr>
                <w:rFonts w:ascii="Arial" w:hAnsi="Arial" w:cs="Arial"/>
                <w:sz w:val="24"/>
                <w:szCs w:val="24"/>
              </w:rPr>
              <w:t>2</w:t>
            </w:r>
            <w:r w:rsidRPr="001626E8">
              <w:rPr>
                <w:rFonts w:ascii="Arial" w:hAnsi="Arial" w:cs="Arial"/>
                <w:sz w:val="24"/>
                <w:szCs w:val="24"/>
              </w:rPr>
              <w:t>3).</w:t>
            </w:r>
          </w:p>
        </w:tc>
        <w:tc>
          <w:tcPr>
            <w:tcW w:w="5244" w:type="dxa"/>
          </w:tcPr>
          <w:p w14:paraId="17031D9A" w14:textId="1E68A7D6" w:rsidR="006168DC" w:rsidRPr="001626E8" w:rsidRDefault="009908F8" w:rsidP="00BD7EFB">
            <w:pPr>
              <w:spacing w:line="360" w:lineRule="auto"/>
              <w:rPr>
                <w:rFonts w:ascii="Arial" w:hAnsi="Arial" w:cs="Arial"/>
                <w:sz w:val="24"/>
                <w:szCs w:val="24"/>
              </w:rPr>
            </w:pPr>
            <w:r w:rsidRPr="001626E8">
              <w:rPr>
                <w:rFonts w:ascii="Arial" w:hAnsi="Arial" w:cs="Arial"/>
                <w:sz w:val="24"/>
                <w:szCs w:val="24"/>
              </w:rPr>
              <w:lastRenderedPageBreak/>
              <w:t>Within the role of a Therapy Assistant Practitioner (TAP) in a community setting, motivational interviewing is used to explore the individual’s priorities, values, and perspectives in line with the Social Services and Well-being (Wales) Act 201</w:t>
            </w:r>
            <w:r w:rsidR="001914B0" w:rsidRPr="001626E8">
              <w:rPr>
                <w:rFonts w:ascii="Arial" w:hAnsi="Arial" w:cs="Arial"/>
                <w:sz w:val="24"/>
                <w:szCs w:val="24"/>
              </w:rPr>
              <w:t>4</w:t>
            </w:r>
            <w:r w:rsidRPr="001626E8">
              <w:rPr>
                <w:rFonts w:ascii="Arial" w:hAnsi="Arial" w:cs="Arial"/>
                <w:sz w:val="24"/>
                <w:szCs w:val="24"/>
              </w:rPr>
              <w:t xml:space="preserve"> (The National Archives, 202</w:t>
            </w:r>
            <w:r w:rsidR="001914B0" w:rsidRPr="001626E8">
              <w:rPr>
                <w:rFonts w:ascii="Arial" w:hAnsi="Arial" w:cs="Arial"/>
                <w:sz w:val="24"/>
                <w:szCs w:val="24"/>
              </w:rPr>
              <w:t>6</w:t>
            </w:r>
            <w:r w:rsidRPr="001626E8">
              <w:rPr>
                <w:rFonts w:ascii="Arial" w:hAnsi="Arial" w:cs="Arial"/>
                <w:sz w:val="24"/>
                <w:szCs w:val="24"/>
              </w:rPr>
              <w:t xml:space="preserve">). During an assessment, a TAP may </w:t>
            </w:r>
            <w:r w:rsidRPr="001626E8">
              <w:rPr>
                <w:rFonts w:ascii="Arial" w:hAnsi="Arial" w:cs="Arial"/>
                <w:sz w:val="24"/>
                <w:szCs w:val="24"/>
              </w:rPr>
              <w:lastRenderedPageBreak/>
              <w:t xml:space="preserve">discuss what aspects of daily living or therapy support the individual feels are most important, identify barriers to participation such as </w:t>
            </w:r>
            <w:r w:rsidR="003A5A6E" w:rsidRPr="001626E8">
              <w:rPr>
                <w:rFonts w:ascii="Arial" w:hAnsi="Arial" w:cs="Arial"/>
                <w:sz w:val="24"/>
                <w:szCs w:val="24"/>
              </w:rPr>
              <w:t xml:space="preserve">pain </w:t>
            </w:r>
            <w:r w:rsidRPr="001626E8">
              <w:rPr>
                <w:rFonts w:ascii="Arial" w:hAnsi="Arial" w:cs="Arial"/>
                <w:sz w:val="24"/>
                <w:szCs w:val="24"/>
              </w:rPr>
              <w:t>or fatigue, and explore how previous care experiences have influenced their engagement. TAPs use open and reflective questions to encourage individuals to share their own motivations and preferences, ensuring that interventions are based on the person’s expressed needs rather than assumptions. This collaborative dialogue supports therapeutic relationships by fostering trust and respect, reinforcing the individual’s sense of autonomy, and promoting engagement with care and rehabilitation (</w:t>
            </w:r>
            <w:proofErr w:type="spellStart"/>
            <w:r w:rsidRPr="001626E8">
              <w:rPr>
                <w:rFonts w:ascii="Arial" w:hAnsi="Arial" w:cs="Arial"/>
                <w:sz w:val="24"/>
                <w:szCs w:val="24"/>
              </w:rPr>
              <w:t>Hettema</w:t>
            </w:r>
            <w:proofErr w:type="spellEnd"/>
            <w:r w:rsidRPr="001626E8">
              <w:rPr>
                <w:rFonts w:ascii="Arial" w:hAnsi="Arial" w:cs="Arial"/>
                <w:sz w:val="24"/>
                <w:szCs w:val="24"/>
              </w:rPr>
              <w:t xml:space="preserve"> et al., 2005; Rollnick</w:t>
            </w:r>
            <w:r w:rsidR="005A50C0" w:rsidRPr="001626E8">
              <w:rPr>
                <w:rFonts w:ascii="Arial" w:hAnsi="Arial" w:cs="Arial"/>
                <w:sz w:val="24"/>
                <w:szCs w:val="24"/>
              </w:rPr>
              <w:t xml:space="preserve">, Miller and Butler </w:t>
            </w:r>
            <w:r w:rsidRPr="001626E8">
              <w:rPr>
                <w:rFonts w:ascii="Arial" w:hAnsi="Arial" w:cs="Arial"/>
                <w:sz w:val="24"/>
                <w:szCs w:val="24"/>
              </w:rPr>
              <w:t>20</w:t>
            </w:r>
            <w:r w:rsidR="005A50C0" w:rsidRPr="001626E8">
              <w:rPr>
                <w:rFonts w:ascii="Arial" w:hAnsi="Arial" w:cs="Arial"/>
                <w:sz w:val="24"/>
                <w:szCs w:val="24"/>
              </w:rPr>
              <w:t>23</w:t>
            </w:r>
            <w:r w:rsidRPr="001626E8">
              <w:rPr>
                <w:rFonts w:ascii="Arial" w:hAnsi="Arial" w:cs="Arial"/>
                <w:sz w:val="24"/>
                <w:szCs w:val="24"/>
              </w:rPr>
              <w:t>)</w:t>
            </w:r>
          </w:p>
          <w:p w14:paraId="6748716C" w14:textId="29F5DD97" w:rsidR="006168DC" w:rsidRPr="001626E8" w:rsidRDefault="006168DC" w:rsidP="00BD7EFB">
            <w:pPr>
              <w:spacing w:line="360" w:lineRule="auto"/>
              <w:rPr>
                <w:rFonts w:ascii="Arial" w:hAnsi="Arial" w:cs="Arial"/>
                <w:sz w:val="24"/>
                <w:szCs w:val="24"/>
              </w:rPr>
            </w:pPr>
          </w:p>
          <w:p w14:paraId="29310424" w14:textId="77777777" w:rsidR="0085623B" w:rsidRPr="001626E8" w:rsidRDefault="0085623B" w:rsidP="00BD7EFB">
            <w:pPr>
              <w:spacing w:line="360" w:lineRule="auto"/>
              <w:rPr>
                <w:rFonts w:ascii="Arial" w:hAnsi="Arial" w:cs="Arial"/>
                <w:sz w:val="24"/>
                <w:szCs w:val="24"/>
              </w:rPr>
            </w:pPr>
          </w:p>
          <w:p w14:paraId="248C8B8F" w14:textId="77777777" w:rsidR="00A4049A" w:rsidRPr="001626E8" w:rsidRDefault="00A4049A" w:rsidP="00BD7EFB">
            <w:pPr>
              <w:spacing w:line="360" w:lineRule="auto"/>
              <w:rPr>
                <w:rFonts w:ascii="Arial" w:hAnsi="Arial" w:cs="Arial"/>
                <w:sz w:val="24"/>
                <w:szCs w:val="24"/>
              </w:rPr>
            </w:pPr>
          </w:p>
          <w:p w14:paraId="36BC6995" w14:textId="77777777" w:rsidR="00A4049A" w:rsidRPr="001626E8" w:rsidRDefault="00A4049A" w:rsidP="00BD7EFB">
            <w:pPr>
              <w:spacing w:line="360" w:lineRule="auto"/>
              <w:rPr>
                <w:rFonts w:ascii="Arial" w:hAnsi="Arial" w:cs="Arial"/>
                <w:sz w:val="24"/>
                <w:szCs w:val="24"/>
              </w:rPr>
            </w:pPr>
          </w:p>
          <w:p w14:paraId="18A7F674" w14:textId="77777777" w:rsidR="00A4049A" w:rsidRPr="001626E8" w:rsidRDefault="00A4049A" w:rsidP="00BD7EFB">
            <w:pPr>
              <w:spacing w:line="360" w:lineRule="auto"/>
              <w:rPr>
                <w:rFonts w:ascii="Arial" w:hAnsi="Arial" w:cs="Arial"/>
                <w:sz w:val="24"/>
                <w:szCs w:val="24"/>
              </w:rPr>
            </w:pPr>
          </w:p>
          <w:p w14:paraId="51CE1028" w14:textId="77777777" w:rsidR="00A4049A" w:rsidRPr="001626E8" w:rsidRDefault="00A4049A" w:rsidP="00BD7EFB">
            <w:pPr>
              <w:spacing w:line="360" w:lineRule="auto"/>
              <w:rPr>
                <w:rFonts w:ascii="Arial" w:hAnsi="Arial" w:cs="Arial"/>
                <w:sz w:val="24"/>
                <w:szCs w:val="24"/>
              </w:rPr>
            </w:pPr>
          </w:p>
          <w:p w14:paraId="0BBA7DE0" w14:textId="77777777" w:rsidR="00A4049A" w:rsidRPr="001626E8" w:rsidRDefault="00A4049A" w:rsidP="00BD7EFB">
            <w:pPr>
              <w:spacing w:line="360" w:lineRule="auto"/>
              <w:rPr>
                <w:rFonts w:ascii="Arial" w:hAnsi="Arial" w:cs="Arial"/>
                <w:sz w:val="24"/>
                <w:szCs w:val="24"/>
              </w:rPr>
            </w:pPr>
          </w:p>
          <w:p w14:paraId="7E98A392" w14:textId="77777777" w:rsidR="00A4049A" w:rsidRPr="001626E8" w:rsidRDefault="00A4049A" w:rsidP="00BD7EFB">
            <w:pPr>
              <w:spacing w:line="360" w:lineRule="auto"/>
              <w:rPr>
                <w:rFonts w:ascii="Arial" w:hAnsi="Arial" w:cs="Arial"/>
                <w:sz w:val="24"/>
                <w:szCs w:val="24"/>
              </w:rPr>
            </w:pPr>
          </w:p>
          <w:p w14:paraId="597EBB70" w14:textId="77777777" w:rsidR="00A4049A" w:rsidRPr="001626E8" w:rsidRDefault="00A4049A" w:rsidP="00BD7EFB">
            <w:pPr>
              <w:spacing w:line="360" w:lineRule="auto"/>
              <w:rPr>
                <w:rFonts w:ascii="Arial" w:hAnsi="Arial" w:cs="Arial"/>
                <w:sz w:val="24"/>
                <w:szCs w:val="24"/>
              </w:rPr>
            </w:pPr>
          </w:p>
          <w:p w14:paraId="37A2B5A2" w14:textId="77777777" w:rsidR="00A4049A" w:rsidRPr="001626E8" w:rsidRDefault="00A4049A" w:rsidP="00BD7EFB">
            <w:pPr>
              <w:spacing w:line="360" w:lineRule="auto"/>
              <w:rPr>
                <w:rFonts w:ascii="Arial" w:hAnsi="Arial" w:cs="Arial"/>
                <w:sz w:val="24"/>
                <w:szCs w:val="24"/>
              </w:rPr>
            </w:pPr>
          </w:p>
          <w:p w14:paraId="0E3DEC0B" w14:textId="35A178D5" w:rsidR="00A4049A" w:rsidRPr="001626E8" w:rsidRDefault="00A4049A" w:rsidP="00BD7EFB">
            <w:pPr>
              <w:spacing w:line="360" w:lineRule="auto"/>
              <w:rPr>
                <w:rFonts w:ascii="Arial" w:hAnsi="Arial" w:cs="Arial"/>
                <w:sz w:val="24"/>
                <w:szCs w:val="24"/>
              </w:rPr>
            </w:pPr>
          </w:p>
        </w:tc>
        <w:tc>
          <w:tcPr>
            <w:tcW w:w="5103" w:type="dxa"/>
          </w:tcPr>
          <w:p w14:paraId="492A5033" w14:textId="77777777" w:rsidR="00A30A86" w:rsidRPr="001626E8" w:rsidRDefault="008407EE" w:rsidP="00BD7EFB">
            <w:pPr>
              <w:spacing w:line="360" w:lineRule="auto"/>
              <w:rPr>
                <w:rFonts w:ascii="Arial" w:hAnsi="Arial" w:cs="Arial"/>
                <w:sz w:val="24"/>
                <w:szCs w:val="24"/>
              </w:rPr>
            </w:pPr>
            <w:r w:rsidRPr="001626E8">
              <w:rPr>
                <w:rFonts w:ascii="Arial" w:hAnsi="Arial" w:cs="Arial"/>
                <w:sz w:val="24"/>
                <w:szCs w:val="24"/>
              </w:rPr>
              <w:lastRenderedPageBreak/>
              <w:t xml:space="preserve">Motivational interviewing can be time-intensive, making it challenging to fully explore priorities and readiness for change in short community appointments. Effective delivery requires specialist training and ongoing professional development to build and maintain the communication skills </w:t>
            </w:r>
            <w:r w:rsidRPr="001626E8">
              <w:rPr>
                <w:rFonts w:ascii="Arial" w:hAnsi="Arial" w:cs="Arial"/>
                <w:sz w:val="24"/>
                <w:szCs w:val="24"/>
              </w:rPr>
              <w:lastRenderedPageBreak/>
              <w:t xml:space="preserve">needed to support behaviour change. Interventions that include MI often require extended contact time, which increases both time and financial resources for delivery (Zhu et al., 2024). </w:t>
            </w:r>
          </w:p>
          <w:p w14:paraId="5A1F4E1D" w14:textId="77777777" w:rsidR="00A30A86" w:rsidRPr="001626E8" w:rsidRDefault="008407EE" w:rsidP="00BD7EFB">
            <w:pPr>
              <w:spacing w:line="360" w:lineRule="auto"/>
              <w:rPr>
                <w:rFonts w:ascii="Arial" w:hAnsi="Arial" w:cs="Arial"/>
                <w:sz w:val="24"/>
                <w:szCs w:val="24"/>
              </w:rPr>
            </w:pPr>
            <w:r w:rsidRPr="001626E8">
              <w:rPr>
                <w:rFonts w:ascii="Arial" w:hAnsi="Arial" w:cs="Arial"/>
                <w:sz w:val="24"/>
                <w:szCs w:val="24"/>
              </w:rPr>
              <w:t xml:space="preserve">TAPs must stay within their scope of practice, as conversations can become emotionally complex, particularly when discussing previous trauma. </w:t>
            </w:r>
          </w:p>
          <w:p w14:paraId="78951DA3" w14:textId="50B73A2E" w:rsidR="00FF2113" w:rsidRPr="001626E8" w:rsidRDefault="008407EE" w:rsidP="00BD7EFB">
            <w:pPr>
              <w:spacing w:line="360" w:lineRule="auto"/>
              <w:rPr>
                <w:rFonts w:ascii="Arial" w:hAnsi="Arial" w:cs="Arial"/>
                <w:sz w:val="24"/>
                <w:szCs w:val="24"/>
              </w:rPr>
            </w:pPr>
            <w:r w:rsidRPr="001626E8">
              <w:rPr>
                <w:rFonts w:ascii="Arial" w:hAnsi="Arial" w:cs="Arial"/>
                <w:sz w:val="24"/>
                <w:szCs w:val="24"/>
              </w:rPr>
              <w:t xml:space="preserve">MI may be less effective for individuals with significant cognitive impairments, learning disabilities, or reduced capacity. In these cases, TAPs need to adapt their communication style or facilitate understanding using techniques such as visual prompts, simplified language, or involvement of advocates or caregivers to ensure meaningful participation. Poorly managed or rushed conversations can negatively impact therapeutic relationships, reducing trust, engagement, and the </w:t>
            </w:r>
            <w:r w:rsidRPr="001626E8">
              <w:rPr>
                <w:rFonts w:ascii="Arial" w:hAnsi="Arial" w:cs="Arial"/>
                <w:sz w:val="24"/>
                <w:szCs w:val="24"/>
              </w:rPr>
              <w:lastRenderedPageBreak/>
              <w:t>individual’s sense of being understood (</w:t>
            </w:r>
            <w:r w:rsidR="00D14105" w:rsidRPr="001626E8">
              <w:rPr>
                <w:rFonts w:ascii="Arial" w:hAnsi="Arial" w:cs="Arial"/>
                <w:sz w:val="24"/>
                <w:szCs w:val="24"/>
              </w:rPr>
              <w:t>Roll</w:t>
            </w:r>
            <w:r w:rsidR="00135FF2" w:rsidRPr="001626E8">
              <w:rPr>
                <w:rFonts w:ascii="Arial" w:hAnsi="Arial" w:cs="Arial"/>
                <w:sz w:val="24"/>
                <w:szCs w:val="24"/>
              </w:rPr>
              <w:t>nick, Miller and Butler, 2023;</w:t>
            </w:r>
            <w:r w:rsidRPr="001626E8">
              <w:rPr>
                <w:rFonts w:ascii="Arial" w:hAnsi="Arial" w:cs="Arial"/>
                <w:sz w:val="24"/>
                <w:szCs w:val="24"/>
              </w:rPr>
              <w:t xml:space="preserve"> </w:t>
            </w:r>
            <w:proofErr w:type="spellStart"/>
            <w:r w:rsidRPr="001626E8">
              <w:rPr>
                <w:rFonts w:ascii="Arial" w:hAnsi="Arial" w:cs="Arial"/>
                <w:sz w:val="24"/>
                <w:szCs w:val="24"/>
              </w:rPr>
              <w:t>Hettema</w:t>
            </w:r>
            <w:proofErr w:type="spellEnd"/>
            <w:r w:rsidRPr="001626E8">
              <w:rPr>
                <w:rFonts w:ascii="Arial" w:hAnsi="Arial" w:cs="Arial"/>
                <w:sz w:val="24"/>
                <w:szCs w:val="24"/>
              </w:rPr>
              <w:t xml:space="preserve"> et al., 2005).</w:t>
            </w:r>
          </w:p>
        </w:tc>
      </w:tr>
      <w:tr w:rsidR="00FF2113" w14:paraId="162AF924" w14:textId="77777777" w:rsidTr="000669EE">
        <w:tc>
          <w:tcPr>
            <w:tcW w:w="2127" w:type="dxa"/>
            <w:shd w:val="clear" w:color="auto" w:fill="E8E8E8" w:themeFill="background2"/>
          </w:tcPr>
          <w:p w14:paraId="29777D6C" w14:textId="77777777" w:rsidR="00FF2113" w:rsidRDefault="000669EE">
            <w:r>
              <w:lastRenderedPageBreak/>
              <w:t xml:space="preserve">Goal setting </w:t>
            </w:r>
          </w:p>
          <w:p w14:paraId="4BB32418" w14:textId="77777777" w:rsidR="000669EE" w:rsidRDefault="000669EE"/>
          <w:p w14:paraId="69FED408" w14:textId="4E9FD5B0" w:rsidR="000669EE" w:rsidRDefault="000669EE"/>
        </w:tc>
        <w:tc>
          <w:tcPr>
            <w:tcW w:w="3261" w:type="dxa"/>
          </w:tcPr>
          <w:p w14:paraId="701934EF" w14:textId="7BE337EC" w:rsidR="000669EE" w:rsidRPr="001626E8" w:rsidRDefault="00CF342B" w:rsidP="00BD7EFB">
            <w:pPr>
              <w:spacing w:line="360" w:lineRule="auto"/>
              <w:rPr>
                <w:rFonts w:ascii="Arial" w:hAnsi="Arial" w:cs="Arial"/>
                <w:sz w:val="24"/>
                <w:szCs w:val="24"/>
              </w:rPr>
            </w:pPr>
            <w:r w:rsidRPr="001626E8">
              <w:rPr>
                <w:rFonts w:ascii="Arial" w:hAnsi="Arial" w:cs="Arial"/>
                <w:sz w:val="24"/>
                <w:szCs w:val="24"/>
              </w:rPr>
              <w:t xml:space="preserve">Goal setting is a collaborative process in which the individual and practitioner identify specific, realistic, and measurable targets to work towards during intervention. It ensures that rehabilitation is structured, focused, and tailored to the individual’s needs and priorities by exploring their values and motivations, considering their strengths and </w:t>
            </w:r>
            <w:r w:rsidRPr="001626E8">
              <w:rPr>
                <w:rFonts w:ascii="Arial" w:hAnsi="Arial" w:cs="Arial"/>
                <w:sz w:val="24"/>
                <w:szCs w:val="24"/>
              </w:rPr>
              <w:lastRenderedPageBreak/>
              <w:t xml:space="preserve">limitations, breaking long-term objectives into smaller achievable steps, and regularly reviewing progress to adapt goals as needed. This is supported by Rose, Rosewilliam, and Soundy (2017), who note that </w:t>
            </w:r>
            <w:proofErr w:type="gramStart"/>
            <w:r w:rsidRPr="001626E8">
              <w:rPr>
                <w:rFonts w:ascii="Arial" w:hAnsi="Arial" w:cs="Arial"/>
                <w:sz w:val="24"/>
                <w:szCs w:val="24"/>
              </w:rPr>
              <w:t>goal-setting</w:t>
            </w:r>
            <w:proofErr w:type="gramEnd"/>
            <w:r w:rsidRPr="001626E8">
              <w:rPr>
                <w:rFonts w:ascii="Arial" w:hAnsi="Arial" w:cs="Arial"/>
                <w:sz w:val="24"/>
                <w:szCs w:val="24"/>
              </w:rPr>
              <w:t xml:space="preserve"> is a collaborative process in which the patient and healthcare team agree on behavioural objectives within a defined timeframe, ensuring that targets are meaningful and that shared decision-making is central to the process. Contemporary rehabilitation practice builds on this foundation, emphasising person-centred approaches that support </w:t>
            </w:r>
            <w:r w:rsidRPr="001626E8">
              <w:rPr>
                <w:rFonts w:ascii="Arial" w:hAnsi="Arial" w:cs="Arial"/>
                <w:sz w:val="24"/>
                <w:szCs w:val="24"/>
              </w:rPr>
              <w:lastRenderedPageBreak/>
              <w:t>patient empowerment and goals that are relevant and meaningful to the individual.</w:t>
            </w:r>
          </w:p>
        </w:tc>
        <w:tc>
          <w:tcPr>
            <w:tcW w:w="5244" w:type="dxa"/>
          </w:tcPr>
          <w:p w14:paraId="66716216" w14:textId="77777777" w:rsidR="00252E14" w:rsidRPr="00252E14" w:rsidRDefault="00252E14" w:rsidP="00BD7EFB">
            <w:pPr>
              <w:spacing w:line="360" w:lineRule="auto"/>
              <w:rPr>
                <w:rFonts w:ascii="Arial" w:hAnsi="Arial" w:cs="Arial"/>
                <w:sz w:val="24"/>
                <w:szCs w:val="24"/>
              </w:rPr>
            </w:pPr>
            <w:r w:rsidRPr="00252E14">
              <w:rPr>
                <w:rFonts w:ascii="Arial" w:hAnsi="Arial" w:cs="Arial"/>
                <w:sz w:val="24"/>
                <w:szCs w:val="24"/>
              </w:rPr>
              <w:lastRenderedPageBreak/>
              <w:t xml:space="preserve">In practice, the Therapy Assistant Practitioner (TAP) uses goal setting by actively involving the individual in identifying what they would like to achieve, ensuring that goals are meaningful, realistic and achievable. For example, during the development of a home exercise programme within physiotherapy, the TAP may work collaboratively with a patient to set a goal such as walking safely and independently to the garden. This broader goal would be broken down into smaller, measurable and time-bound steps, such as improving lower limb strength, balance and endurance. Goals are tailored to the individual’s abilities, rehabilitation stage </w:t>
            </w:r>
            <w:r w:rsidRPr="00252E14">
              <w:rPr>
                <w:rFonts w:ascii="Arial" w:hAnsi="Arial" w:cs="Arial"/>
                <w:sz w:val="24"/>
                <w:szCs w:val="24"/>
              </w:rPr>
              <w:lastRenderedPageBreak/>
              <w:t>and personal circumstances to ensure they remain appropriate and achievable.</w:t>
            </w:r>
          </w:p>
          <w:p w14:paraId="26CCDF9A" w14:textId="7E7E3545" w:rsidR="00252E14" w:rsidRPr="00252E14" w:rsidRDefault="00252E14" w:rsidP="00BD7EFB">
            <w:pPr>
              <w:spacing w:line="360" w:lineRule="auto"/>
              <w:rPr>
                <w:rFonts w:ascii="Arial" w:hAnsi="Arial" w:cs="Arial"/>
                <w:sz w:val="24"/>
                <w:szCs w:val="24"/>
              </w:rPr>
            </w:pPr>
            <w:r w:rsidRPr="00252E14">
              <w:rPr>
                <w:rFonts w:ascii="Arial" w:hAnsi="Arial" w:cs="Arial"/>
                <w:sz w:val="24"/>
                <w:szCs w:val="24"/>
              </w:rPr>
              <w:t xml:space="preserve">Goal setting is crucial within the TAP role as it promotes person-centred care and empowers individuals to take ownership of their rehabilitation. It provides structure and direction to therapy sessions, ensuring interventions remain purposeful and </w:t>
            </w:r>
            <w:r w:rsidR="00FC5CBC" w:rsidRPr="001626E8">
              <w:rPr>
                <w:rFonts w:ascii="Arial" w:hAnsi="Arial" w:cs="Arial"/>
                <w:sz w:val="24"/>
                <w:szCs w:val="24"/>
              </w:rPr>
              <w:t>outcome focused</w:t>
            </w:r>
            <w:r w:rsidRPr="00252E14">
              <w:rPr>
                <w:rFonts w:ascii="Arial" w:hAnsi="Arial" w:cs="Arial"/>
                <w:sz w:val="24"/>
                <w:szCs w:val="24"/>
              </w:rPr>
              <w:t>. The use of clear and measurable goals enables both the TAP and the individual to objectively monitor progress, which can enhance motivation and engagement.</w:t>
            </w:r>
          </w:p>
          <w:p w14:paraId="1CAAE938" w14:textId="77777777" w:rsidR="00252E14" w:rsidRPr="00252E14" w:rsidRDefault="00252E14" w:rsidP="00BD7EFB">
            <w:pPr>
              <w:spacing w:line="360" w:lineRule="auto"/>
              <w:rPr>
                <w:rFonts w:ascii="Arial" w:hAnsi="Arial" w:cs="Arial"/>
                <w:sz w:val="24"/>
                <w:szCs w:val="24"/>
              </w:rPr>
            </w:pPr>
            <w:r w:rsidRPr="00252E14">
              <w:rPr>
                <w:rFonts w:ascii="Arial" w:hAnsi="Arial" w:cs="Arial"/>
                <w:sz w:val="24"/>
                <w:szCs w:val="24"/>
              </w:rPr>
              <w:t xml:space="preserve">Melin et al. (2019) emphasise that person-centred goal setting must relate directly to the patient’s needs, values and expectations. They suggest that when goals are meaningful and developed through a thorough understanding of the individual’s activities, perceived limitations and strengths, this enhances motivation and supports adherence to rehabilitation programmes. By involving </w:t>
            </w:r>
            <w:r w:rsidRPr="00252E14">
              <w:rPr>
                <w:rFonts w:ascii="Arial" w:hAnsi="Arial" w:cs="Arial"/>
                <w:sz w:val="24"/>
                <w:szCs w:val="24"/>
              </w:rPr>
              <w:lastRenderedPageBreak/>
              <w:t>individuals early in goal identification, the TAP promotes agency, confidence and the development of self-management skills.</w:t>
            </w:r>
          </w:p>
          <w:p w14:paraId="63C1CDC0" w14:textId="6932BA8E" w:rsidR="00252E14" w:rsidRPr="00252E14" w:rsidRDefault="00252E14" w:rsidP="00BD7EFB">
            <w:pPr>
              <w:spacing w:line="360" w:lineRule="auto"/>
              <w:rPr>
                <w:rFonts w:ascii="Arial" w:hAnsi="Arial" w:cs="Arial"/>
                <w:sz w:val="24"/>
                <w:szCs w:val="24"/>
              </w:rPr>
            </w:pPr>
            <w:r w:rsidRPr="00252E14">
              <w:rPr>
                <w:rFonts w:ascii="Arial" w:hAnsi="Arial" w:cs="Arial"/>
                <w:sz w:val="24"/>
                <w:szCs w:val="24"/>
              </w:rPr>
              <w:t>This approach aligns with the principles outlined by The National Archives (202</w:t>
            </w:r>
            <w:r w:rsidR="001914B0" w:rsidRPr="001626E8">
              <w:rPr>
                <w:rFonts w:ascii="Arial" w:hAnsi="Arial" w:cs="Arial"/>
                <w:sz w:val="24"/>
                <w:szCs w:val="24"/>
              </w:rPr>
              <w:t>6</w:t>
            </w:r>
            <w:r w:rsidRPr="00252E14">
              <w:rPr>
                <w:rFonts w:ascii="Arial" w:hAnsi="Arial" w:cs="Arial"/>
                <w:sz w:val="24"/>
                <w:szCs w:val="24"/>
              </w:rPr>
              <w:t>) within the Social Services and Well-being (Wales) Act 201</w:t>
            </w:r>
            <w:r w:rsidR="008C5149" w:rsidRPr="001626E8">
              <w:rPr>
                <w:rFonts w:ascii="Arial" w:hAnsi="Arial" w:cs="Arial"/>
                <w:sz w:val="24"/>
                <w:szCs w:val="24"/>
              </w:rPr>
              <w:t>4</w:t>
            </w:r>
            <w:r w:rsidRPr="00252E14">
              <w:rPr>
                <w:rFonts w:ascii="Arial" w:hAnsi="Arial" w:cs="Arial"/>
                <w:sz w:val="24"/>
                <w:szCs w:val="24"/>
              </w:rPr>
              <w:t>, which emphasise holistic assessment, voice, choice and control in care planning. The Act supports enabling individuals to achieve outcomes that matter most to them, reinforcing the legal and ethical importance of collaborative goal setting within practice.</w:t>
            </w:r>
          </w:p>
          <w:p w14:paraId="1210A299" w14:textId="40D3D3D2" w:rsidR="00FF2113" w:rsidRPr="001626E8" w:rsidRDefault="00FF2113" w:rsidP="00BD7EFB">
            <w:pPr>
              <w:spacing w:line="360" w:lineRule="auto"/>
              <w:rPr>
                <w:rFonts w:ascii="Arial" w:hAnsi="Arial" w:cs="Arial"/>
                <w:sz w:val="24"/>
                <w:szCs w:val="24"/>
              </w:rPr>
            </w:pPr>
          </w:p>
        </w:tc>
        <w:tc>
          <w:tcPr>
            <w:tcW w:w="5103" w:type="dxa"/>
          </w:tcPr>
          <w:p w14:paraId="19855048" w14:textId="77777777" w:rsidR="005E6955" w:rsidRPr="005E6955" w:rsidRDefault="005E6955" w:rsidP="00BD7EFB">
            <w:pPr>
              <w:tabs>
                <w:tab w:val="left" w:pos="3330"/>
              </w:tabs>
              <w:spacing w:line="360" w:lineRule="auto"/>
              <w:rPr>
                <w:rFonts w:ascii="Arial" w:hAnsi="Arial" w:cs="Arial"/>
                <w:sz w:val="24"/>
                <w:szCs w:val="24"/>
              </w:rPr>
            </w:pPr>
            <w:r w:rsidRPr="005E6955">
              <w:rPr>
                <w:rFonts w:ascii="Arial" w:hAnsi="Arial" w:cs="Arial"/>
                <w:sz w:val="24"/>
                <w:szCs w:val="24"/>
              </w:rPr>
              <w:lastRenderedPageBreak/>
              <w:t>Despite the recognised benefits of goal setting, implementing person-centred approaches presents several challenges. Stevens et al. (2016) report that difficulties arise when there is not a mutual understanding of the goal-setting process. Some patients expect the therapist to determine goals on their behalf, which conflicts with the principle of shared decision-making and active participation. In these cases, the TAP may need to provide education, encouragement and skilled prompting to ensure the patient can engage meaningfully in goal formulation.</w:t>
            </w:r>
          </w:p>
          <w:p w14:paraId="2A658DB5" w14:textId="77777777" w:rsidR="005E6955" w:rsidRPr="005E6955" w:rsidRDefault="005E6955" w:rsidP="00BD7EFB">
            <w:pPr>
              <w:tabs>
                <w:tab w:val="left" w:pos="3330"/>
              </w:tabs>
              <w:spacing w:line="360" w:lineRule="auto"/>
              <w:rPr>
                <w:rFonts w:ascii="Arial" w:hAnsi="Arial" w:cs="Arial"/>
                <w:sz w:val="24"/>
                <w:szCs w:val="24"/>
              </w:rPr>
            </w:pPr>
            <w:r w:rsidRPr="005E6955">
              <w:rPr>
                <w:rFonts w:ascii="Arial" w:hAnsi="Arial" w:cs="Arial"/>
                <w:sz w:val="24"/>
                <w:szCs w:val="24"/>
              </w:rPr>
              <w:lastRenderedPageBreak/>
              <w:t>Another key challenge is ensuring that goals are realistic and achievable within the constraints of the individual’s condition, available resources and session frequency. Goals that are set too ambitiously may lead to frustration, disengagement or reduced confidence if progress is slower than anticipated. Conversely, goals that are too simplistic may not challenge the individual sufficiently or promote meaningful improvement. Regular review and adjustment of goals are therefore necessary to maintain relevance, but this can be time-consuming within busy clinical settings.</w:t>
            </w:r>
          </w:p>
          <w:p w14:paraId="14FA3166" w14:textId="77777777" w:rsidR="005E6955" w:rsidRPr="005E6955" w:rsidRDefault="005E6955" w:rsidP="00BD7EFB">
            <w:pPr>
              <w:tabs>
                <w:tab w:val="left" w:pos="3330"/>
              </w:tabs>
              <w:spacing w:line="360" w:lineRule="auto"/>
              <w:rPr>
                <w:rFonts w:ascii="Arial" w:hAnsi="Arial" w:cs="Arial"/>
                <w:sz w:val="24"/>
                <w:szCs w:val="24"/>
              </w:rPr>
            </w:pPr>
            <w:r w:rsidRPr="005E6955">
              <w:rPr>
                <w:rFonts w:ascii="Arial" w:hAnsi="Arial" w:cs="Arial"/>
                <w:sz w:val="24"/>
                <w:szCs w:val="24"/>
              </w:rPr>
              <w:t xml:space="preserve">Service pressures and delegated responsibilities may also restrict the TAP’s autonomy to adapt goals independently, highlighting the importance of working within scope of practice and under supervision. Additionally, some individuals may struggle to articulate what is important to them due to </w:t>
            </w:r>
            <w:r w:rsidRPr="005E6955">
              <w:rPr>
                <w:rFonts w:ascii="Arial" w:hAnsi="Arial" w:cs="Arial"/>
                <w:sz w:val="24"/>
                <w:szCs w:val="24"/>
              </w:rPr>
              <w:lastRenderedPageBreak/>
              <w:t>cognitive impairment, communication difficulties or reduced insight into their condition. In such cases, the TAP must use careful prompting and supportive communication to ensure goals remain genuinely person-centred, while balancing therapeutic safety and professional guidance.</w:t>
            </w:r>
          </w:p>
          <w:p w14:paraId="233A7F1B" w14:textId="47AAAD43" w:rsidR="000101BB" w:rsidRPr="001626E8" w:rsidRDefault="000101BB" w:rsidP="00BD7EFB">
            <w:pPr>
              <w:tabs>
                <w:tab w:val="left" w:pos="3330"/>
              </w:tabs>
              <w:spacing w:line="360" w:lineRule="auto"/>
              <w:rPr>
                <w:rFonts w:ascii="Arial" w:hAnsi="Arial" w:cs="Arial"/>
                <w:sz w:val="24"/>
                <w:szCs w:val="24"/>
              </w:rPr>
            </w:pPr>
          </w:p>
        </w:tc>
      </w:tr>
      <w:tr w:rsidR="00FF2113" w14:paraId="79B0C50C" w14:textId="77777777" w:rsidTr="000669EE">
        <w:tc>
          <w:tcPr>
            <w:tcW w:w="2127" w:type="dxa"/>
            <w:shd w:val="clear" w:color="auto" w:fill="E8E8E8" w:themeFill="background2"/>
          </w:tcPr>
          <w:p w14:paraId="09A494C0" w14:textId="50D8AA04" w:rsidR="00FF2113" w:rsidRDefault="000669EE">
            <w:r>
              <w:lastRenderedPageBreak/>
              <w:t>Compassion focused approaches</w:t>
            </w:r>
          </w:p>
        </w:tc>
        <w:tc>
          <w:tcPr>
            <w:tcW w:w="3261" w:type="dxa"/>
          </w:tcPr>
          <w:p w14:paraId="0D7500C8" w14:textId="36A52FE0" w:rsidR="000D3935" w:rsidRPr="000D3935" w:rsidRDefault="000D3935" w:rsidP="00BD7EFB">
            <w:pPr>
              <w:spacing w:line="360" w:lineRule="auto"/>
              <w:rPr>
                <w:rFonts w:ascii="Arial" w:hAnsi="Arial" w:cs="Arial"/>
                <w:sz w:val="24"/>
                <w:szCs w:val="24"/>
              </w:rPr>
            </w:pPr>
            <w:r w:rsidRPr="000D3935">
              <w:rPr>
                <w:rFonts w:ascii="Arial" w:hAnsi="Arial" w:cs="Arial"/>
                <w:sz w:val="24"/>
                <w:szCs w:val="24"/>
              </w:rPr>
              <w:t xml:space="preserve">Compassion-focused approaches are therapeutic strategies designed to promote emotional regulation, reduce self-criticism, and enhance psychological wellbeing through the development of </w:t>
            </w:r>
            <w:r w:rsidRPr="000D3935">
              <w:rPr>
                <w:rFonts w:ascii="Arial" w:hAnsi="Arial" w:cs="Arial"/>
                <w:sz w:val="24"/>
                <w:szCs w:val="24"/>
              </w:rPr>
              <w:lastRenderedPageBreak/>
              <w:t>self-compassion. Rooted in compassion-focused theory developed by Paul Gilbert, this approach recognises the impact of shame, fear, and negative self-perception on an individual’s ability to engage in rehabilitation</w:t>
            </w:r>
            <w:r w:rsidRPr="001626E8">
              <w:rPr>
                <w:rFonts w:ascii="Arial" w:hAnsi="Arial" w:cs="Arial"/>
                <w:sz w:val="24"/>
                <w:szCs w:val="24"/>
              </w:rPr>
              <w:t xml:space="preserve"> (Gilbert, 2009)</w:t>
            </w:r>
            <w:r w:rsidRPr="000D3935">
              <w:rPr>
                <w:rFonts w:ascii="Arial" w:hAnsi="Arial" w:cs="Arial"/>
                <w:sz w:val="24"/>
                <w:szCs w:val="24"/>
              </w:rPr>
              <w:t>. It emphasises the creation of a safe, supportive, and non-judgemental therapeutic environment.</w:t>
            </w:r>
          </w:p>
          <w:p w14:paraId="5CABBEDD" w14:textId="77777777" w:rsidR="000D3935" w:rsidRPr="000D3935" w:rsidRDefault="000D3935" w:rsidP="00BD7EFB">
            <w:pPr>
              <w:spacing w:line="360" w:lineRule="auto"/>
              <w:rPr>
                <w:rFonts w:ascii="Arial" w:hAnsi="Arial" w:cs="Arial"/>
                <w:sz w:val="24"/>
                <w:szCs w:val="24"/>
              </w:rPr>
            </w:pPr>
            <w:r w:rsidRPr="000D3935">
              <w:rPr>
                <w:rFonts w:ascii="Arial" w:hAnsi="Arial" w:cs="Arial"/>
                <w:sz w:val="24"/>
                <w:szCs w:val="24"/>
              </w:rPr>
              <w:t xml:space="preserve">Within practice, compassion-focused approaches involve validating an individual’s experiences, normalising difficulties, and encouraging a balanced and understanding response to </w:t>
            </w:r>
            <w:r w:rsidRPr="000D3935">
              <w:rPr>
                <w:rFonts w:ascii="Arial" w:hAnsi="Arial" w:cs="Arial"/>
                <w:sz w:val="24"/>
                <w:szCs w:val="24"/>
              </w:rPr>
              <w:lastRenderedPageBreak/>
              <w:t>setbacks. By fostering self-compassion, these strategies aim to support resilience and sustained engagement in rehabilitation interventions.</w:t>
            </w:r>
          </w:p>
          <w:p w14:paraId="18D7CE07" w14:textId="19EE2E29" w:rsidR="00FF2113" w:rsidRPr="001626E8" w:rsidRDefault="00FF2113" w:rsidP="00BD7EFB">
            <w:pPr>
              <w:spacing w:line="360" w:lineRule="auto"/>
              <w:rPr>
                <w:rFonts w:ascii="Arial" w:hAnsi="Arial" w:cs="Arial"/>
                <w:sz w:val="24"/>
                <w:szCs w:val="24"/>
              </w:rPr>
            </w:pPr>
          </w:p>
          <w:p w14:paraId="03070D7B" w14:textId="77777777" w:rsidR="000669EE" w:rsidRPr="001626E8" w:rsidRDefault="000669EE" w:rsidP="00BD7EFB">
            <w:pPr>
              <w:spacing w:line="360" w:lineRule="auto"/>
              <w:rPr>
                <w:rFonts w:ascii="Arial" w:hAnsi="Arial" w:cs="Arial"/>
                <w:sz w:val="24"/>
                <w:szCs w:val="24"/>
              </w:rPr>
            </w:pPr>
          </w:p>
          <w:p w14:paraId="5B0C7707" w14:textId="77777777" w:rsidR="000669EE" w:rsidRPr="001626E8" w:rsidRDefault="000669EE" w:rsidP="00BD7EFB">
            <w:pPr>
              <w:spacing w:line="360" w:lineRule="auto"/>
              <w:rPr>
                <w:rFonts w:ascii="Arial" w:hAnsi="Arial" w:cs="Arial"/>
                <w:sz w:val="24"/>
                <w:szCs w:val="24"/>
              </w:rPr>
            </w:pPr>
          </w:p>
          <w:p w14:paraId="09EB45D9" w14:textId="77777777" w:rsidR="000669EE" w:rsidRPr="001626E8" w:rsidRDefault="000669EE" w:rsidP="00BD7EFB">
            <w:pPr>
              <w:spacing w:line="360" w:lineRule="auto"/>
              <w:rPr>
                <w:rFonts w:ascii="Arial" w:hAnsi="Arial" w:cs="Arial"/>
                <w:sz w:val="24"/>
                <w:szCs w:val="24"/>
              </w:rPr>
            </w:pPr>
          </w:p>
        </w:tc>
        <w:tc>
          <w:tcPr>
            <w:tcW w:w="5244" w:type="dxa"/>
          </w:tcPr>
          <w:p w14:paraId="03898637" w14:textId="77777777" w:rsidR="00030EDE" w:rsidRPr="00030EDE" w:rsidRDefault="00030EDE" w:rsidP="00BD7EFB">
            <w:pPr>
              <w:spacing w:line="360" w:lineRule="auto"/>
              <w:rPr>
                <w:rFonts w:ascii="Arial" w:hAnsi="Arial" w:cs="Arial"/>
                <w:sz w:val="24"/>
                <w:szCs w:val="24"/>
              </w:rPr>
            </w:pPr>
            <w:r w:rsidRPr="00030EDE">
              <w:rPr>
                <w:rFonts w:ascii="Arial" w:hAnsi="Arial" w:cs="Arial"/>
                <w:sz w:val="24"/>
                <w:szCs w:val="24"/>
              </w:rPr>
              <w:lastRenderedPageBreak/>
              <w:t xml:space="preserve">Within community rehabilitation, a Therapy Assistant Practitioner (TAP) may apply a compassion-focused approach when supporting an individual experiencing frustration or self-criticism related to slow physical progress. For example, a patient recovering mobility after illness may express demotivation or distress at reduced </w:t>
            </w:r>
            <w:r w:rsidRPr="00030EDE">
              <w:rPr>
                <w:rFonts w:ascii="Arial" w:hAnsi="Arial" w:cs="Arial"/>
                <w:sz w:val="24"/>
                <w:szCs w:val="24"/>
              </w:rPr>
              <w:lastRenderedPageBreak/>
              <w:t>independence. The TAP can acknowledge the emotional impact, validate these feelings, and gently reframe setbacks as a normal part of recovery. Highlighting incremental achievements and encouraging constructive self-reflection can help foster resilience, confidence, and sustained participation in the rehabilitation programme.</w:t>
            </w:r>
          </w:p>
          <w:p w14:paraId="4DEEB0C4" w14:textId="77777777" w:rsidR="00030EDE" w:rsidRPr="00030EDE" w:rsidRDefault="00030EDE" w:rsidP="00BD7EFB">
            <w:pPr>
              <w:spacing w:line="360" w:lineRule="auto"/>
              <w:rPr>
                <w:rFonts w:ascii="Arial" w:hAnsi="Arial" w:cs="Arial"/>
                <w:sz w:val="24"/>
                <w:szCs w:val="24"/>
              </w:rPr>
            </w:pPr>
            <w:r w:rsidRPr="00030EDE">
              <w:rPr>
                <w:rFonts w:ascii="Arial" w:hAnsi="Arial" w:cs="Arial"/>
                <w:sz w:val="24"/>
                <w:szCs w:val="24"/>
              </w:rPr>
              <w:t xml:space="preserve">Compassion-focused approaches are significant within the TAP role because they underpin person-centred practice and strengthen the therapeutic alliance. Individuals in community settings may experience isolation, anxiety, or reduced confidence due to functional decline. By incorporating compassion-based principles, the TAP can enhance motivation, adherence to prescribed interventions, and emotional wellbeing alongside physical rehabilitation. This approach aligns with holistic models of care and reflects the principles outlined by the </w:t>
            </w:r>
            <w:r w:rsidRPr="00030EDE">
              <w:rPr>
                <w:rFonts w:ascii="Arial" w:hAnsi="Arial" w:cs="Arial"/>
                <w:sz w:val="24"/>
                <w:szCs w:val="24"/>
              </w:rPr>
              <w:lastRenderedPageBreak/>
              <w:t>Social Services and Well-being (Wales) Act 2014 (The National Archives, 2025), which emphasise dignity, empowerment, and outcomes that matter to the individual. Fostering self-compassion can therefore contribute to improved confidence, independence, and long-term self-management.</w:t>
            </w:r>
          </w:p>
          <w:p w14:paraId="21E33CDF" w14:textId="3DA4FA63" w:rsidR="006459A3" w:rsidRPr="001626E8" w:rsidRDefault="006459A3" w:rsidP="00BD7EFB">
            <w:pPr>
              <w:spacing w:line="360" w:lineRule="auto"/>
              <w:rPr>
                <w:rFonts w:ascii="Arial" w:hAnsi="Arial" w:cs="Arial"/>
                <w:sz w:val="24"/>
                <w:szCs w:val="24"/>
              </w:rPr>
            </w:pPr>
          </w:p>
        </w:tc>
        <w:tc>
          <w:tcPr>
            <w:tcW w:w="5103" w:type="dxa"/>
          </w:tcPr>
          <w:p w14:paraId="6C01CB2E" w14:textId="4D0711DE" w:rsidR="00E53664" w:rsidRPr="00E53664" w:rsidRDefault="00E53664" w:rsidP="00BD7EFB">
            <w:pPr>
              <w:spacing w:line="360" w:lineRule="auto"/>
              <w:rPr>
                <w:rFonts w:ascii="Arial" w:hAnsi="Arial" w:cs="Arial"/>
                <w:sz w:val="24"/>
                <w:szCs w:val="24"/>
              </w:rPr>
            </w:pPr>
            <w:r w:rsidRPr="00E53664">
              <w:rPr>
                <w:rFonts w:ascii="Arial" w:hAnsi="Arial" w:cs="Arial"/>
                <w:sz w:val="24"/>
                <w:szCs w:val="24"/>
              </w:rPr>
              <w:lastRenderedPageBreak/>
              <w:t xml:space="preserve">Despite the recognised benefits, implementing compassion-focused approaches within community rehabilitation presents several challenges. Time constraints during home visits may limit opportunities for in-depth emotional exploration. Some individuals may prioritise functional recovery over emotional reflection, reducing </w:t>
            </w:r>
            <w:r w:rsidRPr="00E53664">
              <w:rPr>
                <w:rFonts w:ascii="Arial" w:hAnsi="Arial" w:cs="Arial"/>
                <w:sz w:val="24"/>
                <w:szCs w:val="24"/>
              </w:rPr>
              <w:lastRenderedPageBreak/>
              <w:t>engagement with compassion-based strategies.</w:t>
            </w:r>
          </w:p>
          <w:p w14:paraId="1BDC839F" w14:textId="6D7A3D94" w:rsidR="00E53664" w:rsidRPr="00E53664" w:rsidRDefault="00E53664" w:rsidP="00BD7EFB">
            <w:pPr>
              <w:spacing w:line="360" w:lineRule="auto"/>
              <w:rPr>
                <w:rFonts w:ascii="Arial" w:hAnsi="Arial" w:cs="Arial"/>
                <w:sz w:val="24"/>
                <w:szCs w:val="24"/>
              </w:rPr>
            </w:pPr>
            <w:r w:rsidRPr="00E53664">
              <w:rPr>
                <w:rFonts w:ascii="Arial" w:hAnsi="Arial" w:cs="Arial"/>
                <w:sz w:val="24"/>
                <w:szCs w:val="24"/>
              </w:rPr>
              <w:t>Scope of practice boundaries also require careful consideration. TAPs must recognise when individuals present with complex psychological needs that exceed their role, necessitating referral to specialist services</w:t>
            </w:r>
            <w:r w:rsidR="006A0F6F" w:rsidRPr="001626E8">
              <w:rPr>
                <w:rFonts w:ascii="Arial" w:hAnsi="Arial" w:cs="Arial"/>
                <w:sz w:val="24"/>
                <w:szCs w:val="24"/>
              </w:rPr>
              <w:t xml:space="preserve"> or </w:t>
            </w:r>
            <w:r w:rsidR="00A03BC5" w:rsidRPr="001626E8">
              <w:rPr>
                <w:rFonts w:ascii="Arial" w:hAnsi="Arial" w:cs="Arial"/>
                <w:sz w:val="24"/>
                <w:szCs w:val="24"/>
              </w:rPr>
              <w:t>to</w:t>
            </w:r>
            <w:r w:rsidR="006A0F6F" w:rsidRPr="001626E8">
              <w:rPr>
                <w:rFonts w:ascii="Arial" w:hAnsi="Arial" w:cs="Arial"/>
                <w:sz w:val="24"/>
                <w:szCs w:val="24"/>
              </w:rPr>
              <w:t xml:space="preserve"> a senior clinician</w:t>
            </w:r>
            <w:r w:rsidRPr="00E53664">
              <w:rPr>
                <w:rFonts w:ascii="Arial" w:hAnsi="Arial" w:cs="Arial"/>
                <w:sz w:val="24"/>
                <w:szCs w:val="24"/>
              </w:rPr>
              <w:t>. Balancing emotional support with task-oriented rehabilitation goals can therefore be professionally challenging.</w:t>
            </w:r>
          </w:p>
          <w:p w14:paraId="75B2316B" w14:textId="77777777" w:rsidR="00E53664" w:rsidRPr="00E53664" w:rsidRDefault="00E53664" w:rsidP="00BD7EFB">
            <w:pPr>
              <w:spacing w:line="360" w:lineRule="auto"/>
              <w:rPr>
                <w:rFonts w:ascii="Arial" w:hAnsi="Arial" w:cs="Arial"/>
                <w:sz w:val="24"/>
                <w:szCs w:val="24"/>
              </w:rPr>
            </w:pPr>
            <w:r w:rsidRPr="00E53664">
              <w:rPr>
                <w:rFonts w:ascii="Arial" w:hAnsi="Arial" w:cs="Arial"/>
                <w:sz w:val="24"/>
                <w:szCs w:val="24"/>
              </w:rPr>
              <w:t xml:space="preserve">Another potential challenge is maintaining appropriate professional boundaries. Compassion-focused approaches encourage empathy, validation, and emotional support, which may increase the risk of becoming too familiar with the individual. Over-familiarity can compromise objectivity, blur professional boundaries, or make it difficult to enforce safe or task-focused rehabilitation goals. TAPs must balance emotional support with professional distance to ensure compassion </w:t>
            </w:r>
            <w:r w:rsidRPr="00E53664">
              <w:rPr>
                <w:rFonts w:ascii="Arial" w:hAnsi="Arial" w:cs="Arial"/>
                <w:sz w:val="24"/>
                <w:szCs w:val="24"/>
              </w:rPr>
              <w:lastRenderedPageBreak/>
              <w:t>enhances engagement without creating dependency or undermining the therapeutic framework.</w:t>
            </w:r>
          </w:p>
          <w:p w14:paraId="501EBAB9" w14:textId="77777777" w:rsidR="00E53664" w:rsidRPr="00E53664" w:rsidRDefault="00E53664" w:rsidP="00BD7EFB">
            <w:pPr>
              <w:spacing w:line="360" w:lineRule="auto"/>
              <w:rPr>
                <w:rFonts w:ascii="Arial" w:hAnsi="Arial" w:cs="Arial"/>
                <w:sz w:val="24"/>
                <w:szCs w:val="24"/>
              </w:rPr>
            </w:pPr>
            <w:r w:rsidRPr="00E53664">
              <w:rPr>
                <w:rFonts w:ascii="Arial" w:hAnsi="Arial" w:cs="Arial"/>
                <w:sz w:val="24"/>
                <w:szCs w:val="24"/>
              </w:rPr>
              <w:t>Additionally, individuals with cognitive impairments, communication difficulties, or low emotional insight may require extra support to benefit from compassion-focused approaches. Regular review and careful management of the therapeutic relationship are necessary to ensure emotional guidance complements functional rehabilitation safely and effectively.</w:t>
            </w:r>
          </w:p>
          <w:p w14:paraId="25A302D7" w14:textId="4A726386" w:rsidR="00FF2113" w:rsidRPr="001626E8" w:rsidRDefault="00FF2113" w:rsidP="00BD7EFB">
            <w:pPr>
              <w:spacing w:line="360" w:lineRule="auto"/>
              <w:rPr>
                <w:rFonts w:ascii="Arial" w:hAnsi="Arial" w:cs="Arial"/>
                <w:sz w:val="24"/>
                <w:szCs w:val="24"/>
              </w:rPr>
            </w:pPr>
          </w:p>
        </w:tc>
      </w:tr>
      <w:tr w:rsidR="00FF2113" w14:paraId="6E23110E" w14:textId="77777777" w:rsidTr="000669EE">
        <w:tc>
          <w:tcPr>
            <w:tcW w:w="2127" w:type="dxa"/>
            <w:shd w:val="clear" w:color="auto" w:fill="E8E8E8" w:themeFill="background2"/>
          </w:tcPr>
          <w:p w14:paraId="6D90B5A3" w14:textId="77777777" w:rsidR="00FF2113" w:rsidRDefault="000669EE">
            <w:r>
              <w:lastRenderedPageBreak/>
              <w:t>Emotional intelligence</w:t>
            </w:r>
          </w:p>
          <w:p w14:paraId="0D84607D" w14:textId="4A503375" w:rsidR="000669EE" w:rsidRDefault="000669EE"/>
        </w:tc>
        <w:tc>
          <w:tcPr>
            <w:tcW w:w="3261" w:type="dxa"/>
          </w:tcPr>
          <w:p w14:paraId="2A764A18" w14:textId="112F97C4" w:rsidR="000669EE" w:rsidRPr="00BD7EFB" w:rsidRDefault="0052639C" w:rsidP="00BD7EFB">
            <w:pPr>
              <w:spacing w:line="360" w:lineRule="auto"/>
              <w:rPr>
                <w:rFonts w:ascii="Arial" w:hAnsi="Arial" w:cs="Arial"/>
                <w:sz w:val="24"/>
                <w:szCs w:val="24"/>
              </w:rPr>
            </w:pPr>
            <w:r w:rsidRPr="00BD7EFB">
              <w:rPr>
                <w:rFonts w:ascii="Arial" w:hAnsi="Arial" w:cs="Arial"/>
                <w:sz w:val="24"/>
                <w:szCs w:val="24"/>
              </w:rPr>
              <w:t xml:space="preserve">Emotional intelligence refers to the ability to recognise, understand, manage and respond effectively to one’s own emotions and the emotions of others. </w:t>
            </w:r>
            <w:r w:rsidRPr="001626E8">
              <w:rPr>
                <w:rFonts w:ascii="Arial" w:hAnsi="Arial" w:cs="Arial"/>
                <w:sz w:val="24"/>
                <w:szCs w:val="24"/>
              </w:rPr>
              <w:t>Goleman (199</w:t>
            </w:r>
            <w:r w:rsidR="00AC0381" w:rsidRPr="001626E8">
              <w:rPr>
                <w:rFonts w:ascii="Arial" w:hAnsi="Arial" w:cs="Arial"/>
                <w:sz w:val="24"/>
                <w:szCs w:val="24"/>
              </w:rPr>
              <w:t>6</w:t>
            </w:r>
            <w:r w:rsidRPr="001626E8">
              <w:rPr>
                <w:rFonts w:ascii="Arial" w:hAnsi="Arial" w:cs="Arial"/>
                <w:sz w:val="24"/>
                <w:szCs w:val="24"/>
              </w:rPr>
              <w:t>)</w:t>
            </w:r>
            <w:r w:rsidRPr="00BD7EFB">
              <w:rPr>
                <w:rFonts w:ascii="Arial" w:hAnsi="Arial" w:cs="Arial"/>
                <w:sz w:val="24"/>
                <w:szCs w:val="24"/>
              </w:rPr>
              <w:t xml:space="preserve"> identified key components in the </w:t>
            </w:r>
            <w:r w:rsidRPr="00BD7EFB">
              <w:rPr>
                <w:rFonts w:ascii="Arial" w:hAnsi="Arial" w:cs="Arial"/>
                <w:sz w:val="24"/>
                <w:szCs w:val="24"/>
              </w:rPr>
              <w:lastRenderedPageBreak/>
              <w:t xml:space="preserve">concept of emotional intelligence, including self-awareness, self-regulation, empathy, motivation and social skills. Within healthcare practice, emotional intelligence involves being attuned to verbal and non-verbal communication, responding with empathy, and maintaining professional composure in emotionally challenging situations. It supports the development of therapeutic relationships and enhances effective communication within person-centred care by enabling practitioners to respond appropriately to </w:t>
            </w:r>
            <w:r w:rsidRPr="00BD7EFB">
              <w:rPr>
                <w:rFonts w:ascii="Arial" w:hAnsi="Arial" w:cs="Arial"/>
                <w:sz w:val="24"/>
                <w:szCs w:val="24"/>
              </w:rPr>
              <w:lastRenderedPageBreak/>
              <w:t>individuals’ emotional and functional needs.</w:t>
            </w:r>
          </w:p>
        </w:tc>
        <w:tc>
          <w:tcPr>
            <w:tcW w:w="5244" w:type="dxa"/>
          </w:tcPr>
          <w:p w14:paraId="2C59EEDC" w14:textId="77777777" w:rsidR="000E1FB2" w:rsidRPr="000E1FB2" w:rsidRDefault="000E1FB2" w:rsidP="00BD7EFB">
            <w:pPr>
              <w:spacing w:line="360" w:lineRule="auto"/>
              <w:rPr>
                <w:rFonts w:ascii="Arial" w:hAnsi="Arial" w:cs="Arial"/>
                <w:sz w:val="24"/>
                <w:szCs w:val="24"/>
              </w:rPr>
            </w:pPr>
            <w:r w:rsidRPr="000E1FB2">
              <w:rPr>
                <w:rFonts w:ascii="Arial" w:hAnsi="Arial" w:cs="Arial"/>
                <w:sz w:val="24"/>
                <w:szCs w:val="24"/>
              </w:rPr>
              <w:lastRenderedPageBreak/>
              <w:t xml:space="preserve">A Therapy Assistant Practitioner may use emotional intelligence when working with an individual who appears withdrawn, frustrated, or anxious during a rehabilitation session. By recognising subtle cues such as changes in tone of voice, body language, or reduced engagement, the practitioner can adapt their communication style to meet the individual’s </w:t>
            </w:r>
            <w:r w:rsidRPr="000E1FB2">
              <w:rPr>
                <w:rFonts w:ascii="Arial" w:hAnsi="Arial" w:cs="Arial"/>
                <w:sz w:val="24"/>
                <w:szCs w:val="24"/>
              </w:rPr>
              <w:lastRenderedPageBreak/>
              <w:t>emotional needs. For example, if a patient becomes irritable or emotional due to pain, fatigue, or the slow pace of recovery, the TAP may respond calmly, acknowledge the emotional response, adjust the session to maintain engagement without escalating distress, and briefly remind the patient of recent achievements to reinforce progress and motivation. Demonstrating empathy while maintaining professional boundaries supports both emotional wellbeing and therapeutic progress.</w:t>
            </w:r>
          </w:p>
          <w:p w14:paraId="112D41FF" w14:textId="745A09BC" w:rsidR="000E1FB2" w:rsidRPr="000E1FB2" w:rsidRDefault="000E1FB2" w:rsidP="00BD7EFB">
            <w:pPr>
              <w:spacing w:line="360" w:lineRule="auto"/>
              <w:rPr>
                <w:rFonts w:ascii="Arial" w:hAnsi="Arial" w:cs="Arial"/>
                <w:sz w:val="24"/>
                <w:szCs w:val="24"/>
              </w:rPr>
            </w:pPr>
            <w:r w:rsidRPr="000E1FB2">
              <w:rPr>
                <w:rFonts w:ascii="Arial" w:hAnsi="Arial" w:cs="Arial"/>
                <w:sz w:val="24"/>
                <w:szCs w:val="24"/>
              </w:rPr>
              <w:t>Emotional intelligence is particularly important within this role as it strengthens therapeutic rapport and promotes trust between practitioner and individual. In community-based rehabilitation, individuals may be coping with loss of independence, chronic illness, or social isolation. The TAP’s ability to respond sensitively to emotional needs can improve engagement</w:t>
            </w:r>
            <w:r w:rsidR="00B73D20">
              <w:rPr>
                <w:rFonts w:ascii="Arial" w:hAnsi="Arial" w:cs="Arial"/>
                <w:sz w:val="24"/>
                <w:szCs w:val="24"/>
              </w:rPr>
              <w:t xml:space="preserve"> </w:t>
            </w:r>
            <w:r w:rsidRPr="000E1FB2">
              <w:rPr>
                <w:rFonts w:ascii="Arial" w:hAnsi="Arial" w:cs="Arial"/>
                <w:sz w:val="24"/>
                <w:szCs w:val="24"/>
              </w:rPr>
              <w:t xml:space="preserve">to therapy programmes, and </w:t>
            </w:r>
            <w:r w:rsidRPr="000E1FB2">
              <w:rPr>
                <w:rFonts w:ascii="Arial" w:hAnsi="Arial" w:cs="Arial"/>
                <w:sz w:val="24"/>
                <w:szCs w:val="24"/>
              </w:rPr>
              <w:lastRenderedPageBreak/>
              <w:t>overall satisfaction with care. Emotional intelligence also enhances communication with family members and the wider multidisciplinary team, contributing to more coordinated and holistic support. By effectively managing their own emotional responses, the TAP can maintain professionalism and resilience in challenging situations.</w:t>
            </w:r>
          </w:p>
          <w:p w14:paraId="1705346B" w14:textId="54B94912" w:rsidR="008F4311" w:rsidRPr="00BD7EFB" w:rsidRDefault="002341F3" w:rsidP="00BD7EFB">
            <w:pPr>
              <w:spacing w:line="360" w:lineRule="auto"/>
              <w:rPr>
                <w:rFonts w:ascii="Arial" w:hAnsi="Arial" w:cs="Arial"/>
                <w:sz w:val="24"/>
                <w:szCs w:val="24"/>
              </w:rPr>
            </w:pPr>
            <w:r w:rsidRPr="002341F3">
              <w:rPr>
                <w:rFonts w:ascii="Arial" w:hAnsi="Arial" w:cs="Arial"/>
                <w:sz w:val="24"/>
                <w:szCs w:val="24"/>
              </w:rPr>
              <w:t xml:space="preserve"> </w:t>
            </w:r>
          </w:p>
        </w:tc>
        <w:tc>
          <w:tcPr>
            <w:tcW w:w="5103" w:type="dxa"/>
          </w:tcPr>
          <w:p w14:paraId="109D52A1" w14:textId="77777777" w:rsidR="00813DF8" w:rsidRPr="00813DF8" w:rsidRDefault="00813DF8" w:rsidP="00BD7EFB">
            <w:pPr>
              <w:spacing w:line="360" w:lineRule="auto"/>
              <w:rPr>
                <w:rFonts w:ascii="Arial" w:hAnsi="Arial" w:cs="Arial"/>
                <w:sz w:val="24"/>
                <w:szCs w:val="24"/>
              </w:rPr>
            </w:pPr>
            <w:proofErr w:type="gramStart"/>
            <w:r w:rsidRPr="00813DF8">
              <w:rPr>
                <w:rFonts w:ascii="Arial" w:hAnsi="Arial" w:cs="Arial"/>
                <w:sz w:val="24"/>
                <w:szCs w:val="24"/>
              </w:rPr>
              <w:lastRenderedPageBreak/>
              <w:t>Similar to</w:t>
            </w:r>
            <w:proofErr w:type="gramEnd"/>
            <w:r w:rsidRPr="00813DF8">
              <w:rPr>
                <w:rFonts w:ascii="Arial" w:hAnsi="Arial" w:cs="Arial"/>
                <w:sz w:val="24"/>
                <w:szCs w:val="24"/>
              </w:rPr>
              <w:t xml:space="preserve"> compassion-focused approaches, the application of emotional intelligence requires the TAP to balance providing empathetic emotional support with maintaining professional boundaries and task-focused rehabilitation goals. Community practitioners may encounter emotionally complex situations, such as safeguarding </w:t>
            </w:r>
            <w:r w:rsidRPr="00813DF8">
              <w:rPr>
                <w:rFonts w:ascii="Arial" w:hAnsi="Arial" w:cs="Arial"/>
                <w:sz w:val="24"/>
                <w:szCs w:val="24"/>
              </w:rPr>
              <w:lastRenderedPageBreak/>
              <w:t xml:space="preserve">concerns, grief, or distress related to long-term conditions, which can be challenging to manage within the scope of a Therapy Assistant Practitioner role. Over-identification with individuals’ experiences may increase the risk of emotional fatigue or compassion fatigue, referred to as the “cost of caring,” which can gradually reduce a practitioner’s capacity for empathy and emotional engagement (Bhugra and </w:t>
            </w:r>
            <w:proofErr w:type="spellStart"/>
            <w:r w:rsidRPr="00813DF8">
              <w:rPr>
                <w:rFonts w:ascii="Arial" w:hAnsi="Arial" w:cs="Arial"/>
                <w:sz w:val="24"/>
                <w:szCs w:val="24"/>
              </w:rPr>
              <w:t>Ventriglio</w:t>
            </w:r>
            <w:proofErr w:type="spellEnd"/>
            <w:r w:rsidRPr="00813DF8">
              <w:rPr>
                <w:rFonts w:ascii="Arial" w:hAnsi="Arial" w:cs="Arial"/>
                <w:sz w:val="24"/>
                <w:szCs w:val="24"/>
              </w:rPr>
              <w:t>, 2024).</w:t>
            </w:r>
          </w:p>
          <w:p w14:paraId="7E779E2F" w14:textId="77777777" w:rsidR="00813DF8" w:rsidRPr="00813DF8" w:rsidRDefault="00813DF8" w:rsidP="00BD7EFB">
            <w:pPr>
              <w:spacing w:line="360" w:lineRule="auto"/>
              <w:rPr>
                <w:rFonts w:ascii="Arial" w:hAnsi="Arial" w:cs="Arial"/>
                <w:sz w:val="24"/>
                <w:szCs w:val="24"/>
              </w:rPr>
            </w:pPr>
            <w:r w:rsidRPr="00813DF8">
              <w:rPr>
                <w:rFonts w:ascii="Arial" w:hAnsi="Arial" w:cs="Arial"/>
                <w:sz w:val="24"/>
                <w:szCs w:val="24"/>
              </w:rPr>
              <w:t xml:space="preserve">Maintaining professional boundaries can also be difficult when developing rapport with individuals over time. Time pressures during home visits or scheduled sessions may limit opportunities for extended emotional support, requiring the TAP to exercise emotional regulation, self-awareness, and professional judgment. Practitioners must therefore recognise when it is appropriate to refer to senior clinicians or specialist services to </w:t>
            </w:r>
            <w:r w:rsidRPr="00813DF8">
              <w:rPr>
                <w:rFonts w:ascii="Arial" w:hAnsi="Arial" w:cs="Arial"/>
                <w:sz w:val="24"/>
                <w:szCs w:val="24"/>
              </w:rPr>
              <w:lastRenderedPageBreak/>
              <w:t>ensure safe, effective, and person-centred care.</w:t>
            </w:r>
          </w:p>
          <w:p w14:paraId="3DB89B1A" w14:textId="1F031883" w:rsidR="00FF2113" w:rsidRPr="00BD7EFB" w:rsidRDefault="00FF2113" w:rsidP="00BD7EFB">
            <w:pPr>
              <w:spacing w:line="360" w:lineRule="auto"/>
              <w:rPr>
                <w:rFonts w:ascii="Arial" w:hAnsi="Arial" w:cs="Arial"/>
                <w:sz w:val="24"/>
                <w:szCs w:val="24"/>
              </w:rPr>
            </w:pPr>
          </w:p>
        </w:tc>
      </w:tr>
      <w:tr w:rsidR="00FF2113" w14:paraId="4AFFC654" w14:textId="77777777" w:rsidTr="000669EE">
        <w:tc>
          <w:tcPr>
            <w:tcW w:w="2127" w:type="dxa"/>
            <w:shd w:val="clear" w:color="auto" w:fill="E8E8E8" w:themeFill="background2"/>
          </w:tcPr>
          <w:p w14:paraId="6B1D27E5" w14:textId="77777777" w:rsidR="000669EE" w:rsidRDefault="000669EE">
            <w:r>
              <w:lastRenderedPageBreak/>
              <w:t>Shared engagement</w:t>
            </w:r>
          </w:p>
          <w:p w14:paraId="3729C13C" w14:textId="77777777" w:rsidR="000669EE" w:rsidRDefault="000669EE"/>
          <w:p w14:paraId="52523368" w14:textId="58906970" w:rsidR="00FF2113" w:rsidRDefault="000669EE">
            <w:r>
              <w:t xml:space="preserve"> </w:t>
            </w:r>
          </w:p>
        </w:tc>
        <w:tc>
          <w:tcPr>
            <w:tcW w:w="3261" w:type="dxa"/>
          </w:tcPr>
          <w:p w14:paraId="72BFA74C" w14:textId="77777777" w:rsidR="00624FCA" w:rsidRPr="00624FCA" w:rsidRDefault="00624FCA" w:rsidP="00BD7EFB">
            <w:pPr>
              <w:spacing w:line="360" w:lineRule="auto"/>
              <w:rPr>
                <w:rFonts w:ascii="Arial" w:hAnsi="Arial" w:cs="Arial"/>
                <w:sz w:val="24"/>
                <w:szCs w:val="24"/>
              </w:rPr>
            </w:pPr>
            <w:r w:rsidRPr="00624FCA">
              <w:rPr>
                <w:rFonts w:ascii="Arial" w:hAnsi="Arial" w:cs="Arial"/>
                <w:sz w:val="24"/>
                <w:szCs w:val="24"/>
              </w:rPr>
              <w:t xml:space="preserve">Shared engagement refers to a collaborative approach in which the practitioner and the individual actively participate in the rehabilitation process together. It is grounded in partnership working, mutual respect, and shared responsibility for decision-making. Rather than directing care, the </w:t>
            </w:r>
            <w:r w:rsidRPr="00624FCA">
              <w:rPr>
                <w:rFonts w:ascii="Arial" w:hAnsi="Arial" w:cs="Arial"/>
                <w:sz w:val="24"/>
                <w:szCs w:val="24"/>
              </w:rPr>
              <w:lastRenderedPageBreak/>
              <w:t>practitioner works alongside the individual to co-produce goals, interventions, and strategies that reflect the person’s preferences, values, and lived experience. This approach aligns with person-centred principles and promotes active participation rather than passive receipt of care.</w:t>
            </w:r>
          </w:p>
          <w:p w14:paraId="3D820C7D" w14:textId="77777777" w:rsidR="00624FCA" w:rsidRPr="00624FCA" w:rsidRDefault="00624FCA" w:rsidP="00BD7EFB">
            <w:pPr>
              <w:spacing w:line="360" w:lineRule="auto"/>
              <w:rPr>
                <w:rFonts w:ascii="Arial" w:hAnsi="Arial" w:cs="Arial"/>
                <w:sz w:val="24"/>
                <w:szCs w:val="24"/>
              </w:rPr>
            </w:pPr>
            <w:r w:rsidRPr="00624FCA">
              <w:rPr>
                <w:rFonts w:ascii="Arial" w:hAnsi="Arial" w:cs="Arial"/>
                <w:sz w:val="24"/>
                <w:szCs w:val="24"/>
              </w:rPr>
              <w:t xml:space="preserve">Although shared engagement and goal setting are closely related, they are not interchangeable. Goal setting primarily focuses on identifying specific outcomes an individual wishes to achieve and establishing measurable </w:t>
            </w:r>
            <w:r w:rsidRPr="00624FCA">
              <w:rPr>
                <w:rFonts w:ascii="Arial" w:hAnsi="Arial" w:cs="Arial"/>
                <w:sz w:val="24"/>
                <w:szCs w:val="24"/>
              </w:rPr>
              <w:lastRenderedPageBreak/>
              <w:t xml:space="preserve">steps to reach them. In contrast, shared engagement is a broader collaborative process that underpins how goals are developed, implemented, and reviewed. Shared engagement emphasises partnership, dialogue, and mutual decision-making throughout the rehabilitation journey, whereas goal setting represents one structured component within that framework. Active participation and shared decision-making are central to rehabilitation, and research indicates that involving individuals in decisions about their care </w:t>
            </w:r>
            <w:r w:rsidRPr="00624FCA">
              <w:rPr>
                <w:rFonts w:ascii="Arial" w:hAnsi="Arial" w:cs="Arial"/>
                <w:sz w:val="24"/>
                <w:szCs w:val="24"/>
              </w:rPr>
              <w:lastRenderedPageBreak/>
              <w:t>enhances engagement, satisfaction, and functional outcomes (Elwyn et al., 2012).</w:t>
            </w:r>
          </w:p>
          <w:p w14:paraId="368AF738" w14:textId="20A43A01" w:rsidR="002728ED" w:rsidRPr="00BD7EFB" w:rsidRDefault="002728ED" w:rsidP="00BD7EFB">
            <w:pPr>
              <w:spacing w:line="360" w:lineRule="auto"/>
              <w:rPr>
                <w:rFonts w:ascii="Arial" w:hAnsi="Arial" w:cs="Arial"/>
                <w:sz w:val="24"/>
                <w:szCs w:val="24"/>
              </w:rPr>
            </w:pPr>
          </w:p>
        </w:tc>
        <w:tc>
          <w:tcPr>
            <w:tcW w:w="5244" w:type="dxa"/>
          </w:tcPr>
          <w:p w14:paraId="26656B1D" w14:textId="77777777" w:rsidR="00BD7EFB" w:rsidRPr="00BD7EFB" w:rsidRDefault="00BD7EFB" w:rsidP="00BD7EFB">
            <w:pPr>
              <w:spacing w:line="360" w:lineRule="auto"/>
              <w:rPr>
                <w:rFonts w:ascii="Arial" w:hAnsi="Arial" w:cs="Arial"/>
                <w:sz w:val="24"/>
                <w:szCs w:val="24"/>
              </w:rPr>
            </w:pPr>
            <w:r w:rsidRPr="00BD7EFB">
              <w:rPr>
                <w:rFonts w:ascii="Arial" w:hAnsi="Arial" w:cs="Arial"/>
                <w:sz w:val="24"/>
                <w:szCs w:val="24"/>
              </w:rPr>
              <w:lastRenderedPageBreak/>
              <w:t xml:space="preserve">In a community setting, a Therapy Assistant Practitioner may use shared engagement when planning a home exercise programme. Rather than prescribing exercises without discussion, the practitioner explores the individual’s daily routines, personal goals, and perceived barriers. For example, if an individual wishes to regain the ability to prepare their own meals, therapy activities may be structured around functional, kitchen-based tasks. The practitioner and individual jointly review progress and adjust interventions based </w:t>
            </w:r>
            <w:r w:rsidRPr="00BD7EFB">
              <w:rPr>
                <w:rFonts w:ascii="Arial" w:hAnsi="Arial" w:cs="Arial"/>
                <w:sz w:val="24"/>
                <w:szCs w:val="24"/>
              </w:rPr>
              <w:lastRenderedPageBreak/>
              <w:t>on feedback, ensuring the rehabilitation plan remains meaningful, achievable, and tailored to the individual’s priorities.</w:t>
            </w:r>
          </w:p>
          <w:p w14:paraId="1BCB0CA9" w14:textId="6C8AC0C0" w:rsidR="00BD7EFB" w:rsidRPr="00BD7EFB" w:rsidRDefault="00BD7EFB" w:rsidP="00BD7EFB">
            <w:pPr>
              <w:spacing w:line="360" w:lineRule="auto"/>
              <w:rPr>
                <w:rFonts w:ascii="Arial" w:hAnsi="Arial" w:cs="Arial"/>
                <w:sz w:val="24"/>
                <w:szCs w:val="24"/>
              </w:rPr>
            </w:pPr>
            <w:r w:rsidRPr="00BD7EFB">
              <w:rPr>
                <w:rFonts w:ascii="Arial" w:hAnsi="Arial" w:cs="Arial"/>
                <w:sz w:val="24"/>
                <w:szCs w:val="24"/>
              </w:rPr>
              <w:t xml:space="preserve">Shared engagement supports autonomy, empowerment, and sustained motivation. Individuals receiving care at home often manage long-term conditions or recovery from injury while adapting to changes in independence. By involving them actively in decision-making, the TAP enhances ownership of the rehabilitation process, which can improve adherence, engagement, and long-term functional outcomes. Shared engagement also strengthens the therapeutic relationship, builds trust, and reflects the principles of partnership and empowerment embedded within the Social Services and Well-being (Wales) Act 2014 (The National Archives, 2025). Furthermore, co-producing interventions around meaningful tasks can improve </w:t>
            </w:r>
            <w:r w:rsidRPr="00BD7EFB">
              <w:rPr>
                <w:rFonts w:ascii="Arial" w:hAnsi="Arial" w:cs="Arial"/>
                <w:sz w:val="24"/>
                <w:szCs w:val="24"/>
              </w:rPr>
              <w:lastRenderedPageBreak/>
              <w:t xml:space="preserve">functional outcomes, support self-management, and increase patient confidence. </w:t>
            </w:r>
          </w:p>
          <w:p w14:paraId="57B160B2" w14:textId="77777777" w:rsidR="00BD7EFB" w:rsidRPr="00BD7EFB" w:rsidRDefault="00BD7EFB" w:rsidP="00BD7EFB">
            <w:pPr>
              <w:spacing w:line="360" w:lineRule="auto"/>
              <w:rPr>
                <w:rFonts w:ascii="Arial" w:hAnsi="Arial" w:cs="Arial"/>
                <w:sz w:val="24"/>
                <w:szCs w:val="24"/>
              </w:rPr>
            </w:pPr>
            <w:proofErr w:type="gramStart"/>
            <w:r w:rsidRPr="00BD7EFB">
              <w:rPr>
                <w:rFonts w:ascii="Arial" w:hAnsi="Arial" w:cs="Arial"/>
                <w:sz w:val="24"/>
                <w:szCs w:val="24"/>
              </w:rPr>
              <w:t>Similar to</w:t>
            </w:r>
            <w:proofErr w:type="gramEnd"/>
            <w:r w:rsidRPr="00BD7EFB">
              <w:rPr>
                <w:rFonts w:ascii="Arial" w:hAnsi="Arial" w:cs="Arial"/>
                <w:sz w:val="24"/>
                <w:szCs w:val="24"/>
              </w:rPr>
              <w:t xml:space="preserve"> the other techniques, shared engagement emphasises collaboration, active involvement of the individual in decision-making, and promoting motivation, engagement, and ownership of the rehabilitation process.</w:t>
            </w:r>
          </w:p>
          <w:p w14:paraId="0C3B0267" w14:textId="2F3F1C71" w:rsidR="00640911" w:rsidRPr="00BD7EFB" w:rsidRDefault="00392690" w:rsidP="00BD7EFB">
            <w:pPr>
              <w:spacing w:line="360" w:lineRule="auto"/>
              <w:rPr>
                <w:rFonts w:ascii="Arial" w:hAnsi="Arial" w:cs="Arial"/>
                <w:sz w:val="24"/>
                <w:szCs w:val="24"/>
              </w:rPr>
            </w:pPr>
            <w:r w:rsidRPr="00BD7EFB">
              <w:rPr>
                <w:rFonts w:ascii="Arial" w:hAnsi="Arial" w:cs="Arial"/>
                <w:sz w:val="24"/>
                <w:szCs w:val="24"/>
              </w:rPr>
              <w:t xml:space="preserve"> </w:t>
            </w:r>
          </w:p>
        </w:tc>
        <w:tc>
          <w:tcPr>
            <w:tcW w:w="5103" w:type="dxa"/>
          </w:tcPr>
          <w:p w14:paraId="6F30748B" w14:textId="3C6BBA29" w:rsidR="00C26E48" w:rsidRPr="00C26E48" w:rsidRDefault="00A728AB" w:rsidP="00BD7EFB">
            <w:pPr>
              <w:spacing w:line="360" w:lineRule="auto"/>
              <w:rPr>
                <w:rFonts w:ascii="Arial" w:hAnsi="Arial" w:cs="Arial"/>
                <w:sz w:val="24"/>
                <w:szCs w:val="24"/>
              </w:rPr>
            </w:pPr>
            <w:r w:rsidRPr="00C26E48">
              <w:rPr>
                <w:rFonts w:ascii="Arial" w:hAnsi="Arial" w:cs="Arial"/>
                <w:sz w:val="24"/>
                <w:szCs w:val="24"/>
              </w:rPr>
              <w:lastRenderedPageBreak/>
              <w:t>Like</w:t>
            </w:r>
            <w:r w:rsidR="00C26E48" w:rsidRPr="00C26E48">
              <w:rPr>
                <w:rFonts w:ascii="Arial" w:hAnsi="Arial" w:cs="Arial"/>
                <w:sz w:val="24"/>
                <w:szCs w:val="24"/>
              </w:rPr>
              <w:t xml:space="preserve"> other techniques, applying shared engagement requires the TAP to balance providing empathetic support with maintaining professional boundaries and ensuring interventions are safe and effective.</w:t>
            </w:r>
          </w:p>
          <w:p w14:paraId="30F3FBD9" w14:textId="77777777" w:rsidR="00C26E48" w:rsidRPr="00C26E48" w:rsidRDefault="00C26E48" w:rsidP="00BD7EFB">
            <w:pPr>
              <w:spacing w:line="360" w:lineRule="auto"/>
              <w:rPr>
                <w:rFonts w:ascii="Arial" w:hAnsi="Arial" w:cs="Arial"/>
                <w:sz w:val="24"/>
                <w:szCs w:val="24"/>
              </w:rPr>
            </w:pPr>
            <w:r w:rsidRPr="00C26E48">
              <w:rPr>
                <w:rFonts w:ascii="Arial" w:hAnsi="Arial" w:cs="Arial"/>
                <w:sz w:val="24"/>
                <w:szCs w:val="24"/>
              </w:rPr>
              <w:t xml:space="preserve">Despite its benefits, implementing shared engagement in community rehabilitation can present several challenges for the TAP. Time constraints and limited session frequency may restrict opportunities for in-depth collaboration, making it difficult to explore an individual’s goals, preferences, and perceived </w:t>
            </w:r>
            <w:r w:rsidRPr="00C26E48">
              <w:rPr>
                <w:rFonts w:ascii="Arial" w:hAnsi="Arial" w:cs="Arial"/>
                <w:sz w:val="24"/>
                <w:szCs w:val="24"/>
              </w:rPr>
              <w:lastRenderedPageBreak/>
              <w:t>barriers fully. Some individuals may have difficulty articulating what is important to them due to cognitive impairment, communication difficulties, or low confidence, requiring additional prompting and support from the TAP to ensure genuine involvement in decision-making.</w:t>
            </w:r>
          </w:p>
          <w:p w14:paraId="1B117758" w14:textId="77777777" w:rsidR="00C26E48" w:rsidRPr="00C26E48" w:rsidRDefault="00C26E48" w:rsidP="00BD7EFB">
            <w:pPr>
              <w:spacing w:line="360" w:lineRule="auto"/>
              <w:rPr>
                <w:rFonts w:ascii="Arial" w:hAnsi="Arial" w:cs="Arial"/>
                <w:sz w:val="24"/>
                <w:szCs w:val="24"/>
              </w:rPr>
            </w:pPr>
            <w:r w:rsidRPr="00C26E48">
              <w:rPr>
                <w:rFonts w:ascii="Arial" w:hAnsi="Arial" w:cs="Arial"/>
                <w:sz w:val="24"/>
                <w:szCs w:val="24"/>
              </w:rPr>
              <w:t>Differences between practitioner recommendations and patient expectations can also create tension. For example, an individual may prioritise activities that are not clinically advisable, requiring the TAP to negotiate and balance safety, effectiveness, and the individual’s autonomy. Maintaining professional boundaries while encouraging active participation can be challenging, particularly when rapport develops over long-term rehabilitation.</w:t>
            </w:r>
          </w:p>
          <w:p w14:paraId="081C37B3" w14:textId="77777777" w:rsidR="00C26E48" w:rsidRPr="00C26E48" w:rsidRDefault="00C26E48" w:rsidP="00BD7EFB">
            <w:pPr>
              <w:spacing w:line="360" w:lineRule="auto"/>
              <w:rPr>
                <w:rFonts w:ascii="Arial" w:hAnsi="Arial" w:cs="Arial"/>
                <w:sz w:val="24"/>
                <w:szCs w:val="24"/>
              </w:rPr>
            </w:pPr>
            <w:r w:rsidRPr="00C26E48">
              <w:rPr>
                <w:rFonts w:ascii="Arial" w:hAnsi="Arial" w:cs="Arial"/>
                <w:sz w:val="24"/>
                <w:szCs w:val="24"/>
              </w:rPr>
              <w:t xml:space="preserve">Additionally, shared engagement may be limited by the TAP’s scope of practice and delegated responsibilities. While the </w:t>
            </w:r>
            <w:r w:rsidRPr="00C26E48">
              <w:rPr>
                <w:rFonts w:ascii="Arial" w:hAnsi="Arial" w:cs="Arial"/>
                <w:sz w:val="24"/>
                <w:szCs w:val="24"/>
              </w:rPr>
              <w:lastRenderedPageBreak/>
              <w:t>practitioner can facilitate collaborative decision-making, final clinical decisions or adjustments may require supervision or input from senior clinicians. Ensuring that shared engagement remains meaningful, safe, and person-centred under these constraints requires careful professional judgement, flexibility, and ongoing reflection.</w:t>
            </w:r>
          </w:p>
          <w:p w14:paraId="4ED7E1D7" w14:textId="77777777" w:rsidR="00FF2113" w:rsidRPr="00BD7EFB" w:rsidRDefault="00FF2113" w:rsidP="00BD7EFB">
            <w:pPr>
              <w:spacing w:line="360" w:lineRule="auto"/>
              <w:rPr>
                <w:rFonts w:ascii="Arial" w:hAnsi="Arial" w:cs="Arial"/>
                <w:sz w:val="24"/>
                <w:szCs w:val="24"/>
              </w:rPr>
            </w:pPr>
          </w:p>
        </w:tc>
      </w:tr>
    </w:tbl>
    <w:p w14:paraId="7C7CFB07" w14:textId="77777777" w:rsidR="000A5670" w:rsidRDefault="000A5670"/>
    <w:p w14:paraId="502298D2" w14:textId="77777777" w:rsidR="000669EE" w:rsidRDefault="000669EE"/>
    <w:tbl>
      <w:tblPr>
        <w:tblStyle w:val="TableGrid"/>
        <w:tblW w:w="0" w:type="auto"/>
        <w:tblInd w:w="562" w:type="dxa"/>
        <w:tblLook w:val="04A0" w:firstRow="1" w:lastRow="0" w:firstColumn="1" w:lastColumn="0" w:noHBand="0" w:noVBand="1"/>
      </w:tblPr>
      <w:tblGrid>
        <w:gridCol w:w="13386"/>
      </w:tblGrid>
      <w:tr w:rsidR="000669EE" w14:paraId="6EEAD1A8" w14:textId="77777777" w:rsidTr="000669EE">
        <w:tc>
          <w:tcPr>
            <w:tcW w:w="13386" w:type="dxa"/>
          </w:tcPr>
          <w:p w14:paraId="0AF79AAE" w14:textId="6C7E6C1E" w:rsidR="000669EE" w:rsidRDefault="000669EE">
            <w:r>
              <w:t>Reference list</w:t>
            </w:r>
            <w:r w:rsidR="001C7C34">
              <w:t xml:space="preserve"> (at least 3 references with corresponding citations</w:t>
            </w:r>
            <w:r w:rsidR="00B80729">
              <w:t xml:space="preserve"> within the table</w:t>
            </w:r>
            <w:r w:rsidR="001C7C34">
              <w:t>)</w:t>
            </w:r>
            <w:r>
              <w:t xml:space="preserve">: </w:t>
            </w:r>
          </w:p>
          <w:p w14:paraId="65984AF9" w14:textId="2F1A947D" w:rsidR="00592499" w:rsidRPr="00592499" w:rsidRDefault="00592499" w:rsidP="00210DAD"/>
          <w:p w14:paraId="4FCAE985" w14:textId="4906A406" w:rsidR="004A0A88" w:rsidRDefault="004A0A88" w:rsidP="004A0A88">
            <w:pPr>
              <w:spacing w:line="360" w:lineRule="auto"/>
              <w:rPr>
                <w:rFonts w:ascii="Arial" w:hAnsi="Arial" w:cs="Arial"/>
                <w:sz w:val="24"/>
                <w:szCs w:val="24"/>
              </w:rPr>
            </w:pPr>
            <w:r>
              <w:rPr>
                <w:rFonts w:ascii="Arial" w:hAnsi="Arial" w:cs="Arial"/>
                <w:sz w:val="24"/>
                <w:szCs w:val="24"/>
              </w:rPr>
              <w:t xml:space="preserve">Bhugra, D. and </w:t>
            </w:r>
            <w:proofErr w:type="spellStart"/>
            <w:r>
              <w:rPr>
                <w:rFonts w:ascii="Arial" w:hAnsi="Arial" w:cs="Arial"/>
                <w:sz w:val="24"/>
                <w:szCs w:val="24"/>
              </w:rPr>
              <w:t>Ventriglio</w:t>
            </w:r>
            <w:proofErr w:type="spellEnd"/>
            <w:r>
              <w:rPr>
                <w:rFonts w:ascii="Arial" w:hAnsi="Arial" w:cs="Arial"/>
                <w:sz w:val="24"/>
                <w:szCs w:val="24"/>
              </w:rPr>
              <w:t xml:space="preserve">, A. (2024, ‘Compassion fatigue and healthcare professionals: Challenges’, </w:t>
            </w:r>
            <w:r w:rsidRPr="006E1261">
              <w:rPr>
                <w:rFonts w:ascii="Arial" w:hAnsi="Arial" w:cs="Arial"/>
                <w:i/>
                <w:iCs/>
                <w:sz w:val="24"/>
                <w:szCs w:val="24"/>
              </w:rPr>
              <w:t>International Journal of Social Psychiatry</w:t>
            </w:r>
            <w:r>
              <w:rPr>
                <w:rFonts w:ascii="Arial" w:hAnsi="Arial" w:cs="Arial"/>
                <w:sz w:val="24"/>
                <w:szCs w:val="24"/>
              </w:rPr>
              <w:t xml:space="preserve">, 70(6), pp. 1009-1010. Available at </w:t>
            </w:r>
            <w:proofErr w:type="spellStart"/>
            <w:r>
              <w:rPr>
                <w:rFonts w:ascii="Arial" w:hAnsi="Arial" w:cs="Arial"/>
                <w:sz w:val="24"/>
                <w:szCs w:val="24"/>
              </w:rPr>
              <w:t>doi</w:t>
            </w:r>
            <w:proofErr w:type="spellEnd"/>
            <w:r>
              <w:rPr>
                <w:rFonts w:ascii="Arial" w:hAnsi="Arial" w:cs="Arial"/>
                <w:sz w:val="24"/>
                <w:szCs w:val="24"/>
              </w:rPr>
              <w:t xml:space="preserve">: 10.1177/00207640241283. </w:t>
            </w:r>
          </w:p>
          <w:p w14:paraId="11F11FD6" w14:textId="77777777" w:rsidR="004A0A88" w:rsidRDefault="004A0A88" w:rsidP="004A0A88">
            <w:pPr>
              <w:spacing w:line="360" w:lineRule="auto"/>
              <w:rPr>
                <w:rFonts w:ascii="Arial" w:hAnsi="Arial" w:cs="Arial"/>
                <w:sz w:val="24"/>
                <w:szCs w:val="24"/>
              </w:rPr>
            </w:pPr>
          </w:p>
          <w:p w14:paraId="366D70E7" w14:textId="77777777" w:rsidR="004A0A88" w:rsidRDefault="004A0A88" w:rsidP="004A0A88">
            <w:pPr>
              <w:spacing w:line="360" w:lineRule="auto"/>
              <w:rPr>
                <w:rFonts w:ascii="Arial" w:hAnsi="Arial" w:cs="Arial"/>
                <w:sz w:val="24"/>
                <w:szCs w:val="24"/>
              </w:rPr>
            </w:pPr>
            <w:r>
              <w:rPr>
                <w:rFonts w:ascii="Arial" w:hAnsi="Arial" w:cs="Arial"/>
                <w:sz w:val="24"/>
                <w:szCs w:val="24"/>
              </w:rPr>
              <w:t xml:space="preserve">Elwyn, G., Frosch, D., Thomson, R., Joseph-Williams, N., Lloyd, A., Kinnersley, P., Cording, E., Thomson, D., Dodd, C., Rollnick, S., Edwards, A. and Barry, M. (2012), ‘Shared Decision Making: A Model for Clinical Practice’, Journal of General Internal Medicine, 27(10), pp. 1361-1367. Available at </w:t>
            </w:r>
            <w:proofErr w:type="spellStart"/>
            <w:r>
              <w:rPr>
                <w:rFonts w:ascii="Arial" w:hAnsi="Arial" w:cs="Arial"/>
                <w:sz w:val="24"/>
                <w:szCs w:val="24"/>
              </w:rPr>
              <w:t>doi</w:t>
            </w:r>
            <w:proofErr w:type="spellEnd"/>
            <w:r>
              <w:rPr>
                <w:rFonts w:ascii="Arial" w:hAnsi="Arial" w:cs="Arial"/>
                <w:sz w:val="24"/>
                <w:szCs w:val="24"/>
              </w:rPr>
              <w:t>: 10.1007/s11606-012-2077-6.</w:t>
            </w:r>
          </w:p>
          <w:p w14:paraId="5E23B77A" w14:textId="77777777" w:rsidR="004A0A88" w:rsidRDefault="004A0A88" w:rsidP="004A0A88">
            <w:pPr>
              <w:spacing w:line="360" w:lineRule="auto"/>
              <w:rPr>
                <w:rFonts w:ascii="Arial" w:hAnsi="Arial" w:cs="Arial"/>
                <w:sz w:val="24"/>
                <w:szCs w:val="24"/>
              </w:rPr>
            </w:pPr>
          </w:p>
          <w:p w14:paraId="1F9122BD" w14:textId="77777777" w:rsidR="004A0A88" w:rsidRDefault="004A0A88" w:rsidP="004A0A88">
            <w:pPr>
              <w:spacing w:line="360" w:lineRule="auto"/>
              <w:rPr>
                <w:rFonts w:ascii="Arial" w:hAnsi="Arial" w:cs="Arial"/>
                <w:sz w:val="24"/>
                <w:szCs w:val="24"/>
              </w:rPr>
            </w:pPr>
            <w:r>
              <w:rPr>
                <w:rFonts w:ascii="Arial" w:hAnsi="Arial" w:cs="Arial"/>
                <w:sz w:val="24"/>
                <w:szCs w:val="24"/>
              </w:rPr>
              <w:t xml:space="preserve">Gilbert, P. (2009), ‘Introducing compassion-focused therapy’, </w:t>
            </w:r>
            <w:r w:rsidRPr="00E672C9">
              <w:rPr>
                <w:rFonts w:ascii="Arial" w:hAnsi="Arial" w:cs="Arial"/>
                <w:i/>
                <w:iCs/>
                <w:sz w:val="24"/>
                <w:szCs w:val="24"/>
              </w:rPr>
              <w:t>Advances in psychiatric treatment</w:t>
            </w:r>
            <w:r>
              <w:rPr>
                <w:rFonts w:ascii="Arial" w:hAnsi="Arial" w:cs="Arial"/>
                <w:sz w:val="24"/>
                <w:szCs w:val="24"/>
              </w:rPr>
              <w:t xml:space="preserve">, 15, pp. 199-208. </w:t>
            </w:r>
            <w:proofErr w:type="spellStart"/>
            <w:r>
              <w:rPr>
                <w:rFonts w:ascii="Arial" w:hAnsi="Arial" w:cs="Arial"/>
                <w:sz w:val="24"/>
                <w:szCs w:val="24"/>
              </w:rPr>
              <w:t>Avaliable</w:t>
            </w:r>
            <w:proofErr w:type="spellEnd"/>
            <w:r>
              <w:rPr>
                <w:rFonts w:ascii="Arial" w:hAnsi="Arial" w:cs="Arial"/>
                <w:sz w:val="24"/>
                <w:szCs w:val="24"/>
              </w:rPr>
              <w:t xml:space="preserve"> at </w:t>
            </w:r>
            <w:proofErr w:type="spellStart"/>
            <w:r>
              <w:rPr>
                <w:rFonts w:ascii="Arial" w:hAnsi="Arial" w:cs="Arial"/>
                <w:sz w:val="24"/>
                <w:szCs w:val="24"/>
              </w:rPr>
              <w:t>doi</w:t>
            </w:r>
            <w:proofErr w:type="spellEnd"/>
            <w:r>
              <w:rPr>
                <w:rFonts w:ascii="Arial" w:hAnsi="Arial" w:cs="Arial"/>
                <w:sz w:val="24"/>
                <w:szCs w:val="24"/>
              </w:rPr>
              <w:t>: 10.1192/apt.bp.107.005264.</w:t>
            </w:r>
          </w:p>
          <w:p w14:paraId="6571811E" w14:textId="77777777" w:rsidR="004A0A88" w:rsidRDefault="004A0A88" w:rsidP="004A0A88">
            <w:pPr>
              <w:spacing w:line="360" w:lineRule="auto"/>
              <w:rPr>
                <w:rFonts w:ascii="Arial" w:hAnsi="Arial" w:cs="Arial"/>
                <w:sz w:val="24"/>
                <w:szCs w:val="24"/>
              </w:rPr>
            </w:pPr>
          </w:p>
          <w:p w14:paraId="1DEE77D1" w14:textId="77777777" w:rsidR="004A0A88" w:rsidRPr="00E672C9" w:rsidRDefault="004A0A88" w:rsidP="004A0A88">
            <w:pPr>
              <w:spacing w:line="360" w:lineRule="auto"/>
              <w:rPr>
                <w:rFonts w:ascii="Arial" w:hAnsi="Arial" w:cs="Arial"/>
                <w:sz w:val="24"/>
                <w:szCs w:val="24"/>
              </w:rPr>
            </w:pPr>
            <w:r>
              <w:rPr>
                <w:rFonts w:ascii="Arial" w:hAnsi="Arial" w:cs="Arial"/>
                <w:sz w:val="24"/>
                <w:szCs w:val="24"/>
              </w:rPr>
              <w:t xml:space="preserve">Goleman, D. (1996) </w:t>
            </w:r>
            <w:r w:rsidRPr="00E672C9">
              <w:rPr>
                <w:rFonts w:ascii="Arial" w:hAnsi="Arial" w:cs="Arial"/>
                <w:i/>
                <w:iCs/>
                <w:sz w:val="24"/>
                <w:szCs w:val="24"/>
              </w:rPr>
              <w:t xml:space="preserve">Emotional </w:t>
            </w:r>
            <w:r>
              <w:rPr>
                <w:rFonts w:ascii="Arial" w:hAnsi="Arial" w:cs="Arial"/>
                <w:i/>
                <w:iCs/>
                <w:sz w:val="24"/>
                <w:szCs w:val="24"/>
              </w:rPr>
              <w:t>I</w:t>
            </w:r>
            <w:r w:rsidRPr="00E672C9">
              <w:rPr>
                <w:rFonts w:ascii="Arial" w:hAnsi="Arial" w:cs="Arial"/>
                <w:i/>
                <w:iCs/>
                <w:sz w:val="24"/>
                <w:szCs w:val="24"/>
              </w:rPr>
              <w:t>ntelligence why it can matter more than IQ</w:t>
            </w:r>
            <w:r>
              <w:rPr>
                <w:rFonts w:ascii="Arial" w:hAnsi="Arial" w:cs="Arial"/>
                <w:i/>
                <w:iCs/>
                <w:sz w:val="24"/>
                <w:szCs w:val="24"/>
              </w:rPr>
              <w:t xml:space="preserve">. </w:t>
            </w:r>
            <w:r w:rsidRPr="00E672C9">
              <w:rPr>
                <w:rFonts w:ascii="Arial" w:hAnsi="Arial" w:cs="Arial"/>
                <w:sz w:val="24"/>
                <w:szCs w:val="24"/>
              </w:rPr>
              <w:t>London: Bloomsbury</w:t>
            </w:r>
            <w:r>
              <w:rPr>
                <w:rFonts w:ascii="Arial" w:hAnsi="Arial" w:cs="Arial"/>
                <w:sz w:val="24"/>
                <w:szCs w:val="24"/>
              </w:rPr>
              <w:t>.</w:t>
            </w:r>
          </w:p>
          <w:p w14:paraId="60774785" w14:textId="77777777" w:rsidR="004A0A88" w:rsidRDefault="004A0A88" w:rsidP="004A0A88">
            <w:pPr>
              <w:spacing w:line="360" w:lineRule="auto"/>
              <w:rPr>
                <w:rFonts w:ascii="Arial" w:hAnsi="Arial" w:cs="Arial"/>
                <w:sz w:val="24"/>
                <w:szCs w:val="24"/>
                <w:shd w:val="clear" w:color="auto" w:fill="FFFFFF"/>
              </w:rPr>
            </w:pPr>
            <w:proofErr w:type="spellStart"/>
            <w:r w:rsidRPr="00045CAC">
              <w:rPr>
                <w:rFonts w:ascii="Arial" w:hAnsi="Arial" w:cs="Arial"/>
                <w:sz w:val="24"/>
                <w:szCs w:val="24"/>
              </w:rPr>
              <w:t>Hettema</w:t>
            </w:r>
            <w:proofErr w:type="spellEnd"/>
            <w:r w:rsidRPr="00045CAC">
              <w:rPr>
                <w:rFonts w:ascii="Arial" w:hAnsi="Arial" w:cs="Arial"/>
                <w:sz w:val="24"/>
                <w:szCs w:val="24"/>
              </w:rPr>
              <w:t xml:space="preserve">, J., Steele, J., and Miller, W. R. (2005). ‘Motivational interviewing’, </w:t>
            </w:r>
            <w:r w:rsidRPr="00045CAC">
              <w:rPr>
                <w:rStyle w:val="Emphasis"/>
                <w:rFonts w:ascii="Arial" w:hAnsi="Arial" w:cs="Arial"/>
                <w:sz w:val="24"/>
                <w:szCs w:val="24"/>
              </w:rPr>
              <w:t>Annual Review of Clinical Psychology</w:t>
            </w:r>
            <w:r w:rsidRPr="00045CAC">
              <w:rPr>
                <w:rFonts w:ascii="Arial" w:hAnsi="Arial" w:cs="Arial"/>
                <w:sz w:val="24"/>
                <w:szCs w:val="24"/>
              </w:rPr>
              <w:t>, 1, pp. 91–111. Available at</w:t>
            </w:r>
            <w:r>
              <w:rPr>
                <w:rFonts w:ascii="Arial" w:hAnsi="Arial" w:cs="Arial"/>
                <w:sz w:val="24"/>
                <w:szCs w:val="24"/>
              </w:rPr>
              <w:t xml:space="preserve"> </w:t>
            </w:r>
            <w:proofErr w:type="spellStart"/>
            <w:r w:rsidRPr="00045CAC">
              <w:rPr>
                <w:rFonts w:ascii="Arial" w:hAnsi="Arial" w:cs="Arial"/>
                <w:sz w:val="24"/>
                <w:szCs w:val="24"/>
                <w:shd w:val="clear" w:color="auto" w:fill="FFFFFF"/>
              </w:rPr>
              <w:t>doi</w:t>
            </w:r>
            <w:proofErr w:type="spellEnd"/>
            <w:r w:rsidRPr="00045CAC">
              <w:rPr>
                <w:rFonts w:ascii="Arial" w:hAnsi="Arial" w:cs="Arial"/>
                <w:sz w:val="24"/>
                <w:szCs w:val="24"/>
                <w:shd w:val="clear" w:color="auto" w:fill="FFFFFF"/>
              </w:rPr>
              <w:t>: 10.1146/annurev.clinpsy.1.102803.143833.</w:t>
            </w:r>
          </w:p>
          <w:p w14:paraId="367992F8" w14:textId="77777777" w:rsidR="004A0A88" w:rsidRDefault="004A0A88" w:rsidP="004A0A88">
            <w:pPr>
              <w:spacing w:line="360" w:lineRule="auto"/>
              <w:rPr>
                <w:rFonts w:ascii="Arial" w:hAnsi="Arial" w:cs="Arial"/>
                <w:sz w:val="24"/>
                <w:szCs w:val="24"/>
                <w:shd w:val="clear" w:color="auto" w:fill="FFFFFF"/>
              </w:rPr>
            </w:pPr>
          </w:p>
          <w:p w14:paraId="5AFF94CD" w14:textId="77777777" w:rsidR="004A0A88" w:rsidRDefault="004A0A88" w:rsidP="004A0A88">
            <w:pPr>
              <w:spacing w:line="360" w:lineRule="auto"/>
              <w:rPr>
                <w:rFonts w:ascii="Arial" w:hAnsi="Arial" w:cs="Arial"/>
                <w:sz w:val="24"/>
                <w:szCs w:val="24"/>
                <w:shd w:val="clear" w:color="auto" w:fill="FFFFFF"/>
              </w:rPr>
            </w:pPr>
            <w:r>
              <w:rPr>
                <w:rFonts w:ascii="Arial" w:hAnsi="Arial" w:cs="Arial"/>
                <w:sz w:val="24"/>
                <w:szCs w:val="24"/>
                <w:shd w:val="clear" w:color="auto" w:fill="FFFFFF"/>
              </w:rPr>
              <w:t>Melin, J., Nordin, A., Feldthusen, C. and Danielsson, L. (2019), ‘</w:t>
            </w:r>
            <w:proofErr w:type="gramStart"/>
            <w:r>
              <w:rPr>
                <w:rFonts w:ascii="Arial" w:hAnsi="Arial" w:cs="Arial"/>
                <w:sz w:val="24"/>
                <w:szCs w:val="24"/>
                <w:shd w:val="clear" w:color="auto" w:fill="FFFFFF"/>
              </w:rPr>
              <w:t>Goal-setting</w:t>
            </w:r>
            <w:proofErr w:type="gramEnd"/>
            <w:r>
              <w:rPr>
                <w:rFonts w:ascii="Arial" w:hAnsi="Arial" w:cs="Arial"/>
                <w:sz w:val="24"/>
                <w:szCs w:val="24"/>
                <w:shd w:val="clear" w:color="auto" w:fill="FFFFFF"/>
              </w:rPr>
              <w:t xml:space="preserve"> in physiotherapy: exploring a person-centred perspective’, </w:t>
            </w:r>
            <w:r w:rsidRPr="00647FEE">
              <w:rPr>
                <w:rFonts w:ascii="Arial" w:hAnsi="Arial" w:cs="Arial"/>
                <w:i/>
                <w:iCs/>
                <w:sz w:val="24"/>
                <w:szCs w:val="24"/>
                <w:shd w:val="clear" w:color="auto" w:fill="FFFFFF"/>
              </w:rPr>
              <w:t>Physiotherapy Theory and Practice</w:t>
            </w:r>
            <w:r>
              <w:rPr>
                <w:rFonts w:ascii="Arial" w:hAnsi="Arial" w:cs="Arial"/>
                <w:i/>
                <w:iCs/>
                <w:sz w:val="24"/>
                <w:szCs w:val="24"/>
                <w:shd w:val="clear" w:color="auto" w:fill="FFFFFF"/>
              </w:rPr>
              <w:t xml:space="preserve">, </w:t>
            </w:r>
            <w:r w:rsidRPr="00647FEE">
              <w:rPr>
                <w:rFonts w:ascii="Arial" w:hAnsi="Arial" w:cs="Arial"/>
                <w:sz w:val="24"/>
                <w:szCs w:val="24"/>
                <w:shd w:val="clear" w:color="auto" w:fill="FFFFFF"/>
              </w:rPr>
              <w:t>37(8), pp.863-880. Available at doi:10.1080/09593985.2019.1655822.</w:t>
            </w:r>
          </w:p>
          <w:p w14:paraId="5B846D15" w14:textId="77777777" w:rsidR="004A0A88" w:rsidRPr="00647FEE" w:rsidRDefault="004A0A88" w:rsidP="004A0A88">
            <w:pPr>
              <w:spacing w:line="360" w:lineRule="auto"/>
              <w:rPr>
                <w:rFonts w:ascii="Arial" w:hAnsi="Arial" w:cs="Arial"/>
                <w:i/>
                <w:iCs/>
                <w:sz w:val="24"/>
                <w:szCs w:val="24"/>
                <w:shd w:val="clear" w:color="auto" w:fill="FFFFFF"/>
              </w:rPr>
            </w:pPr>
          </w:p>
          <w:p w14:paraId="19FC745C" w14:textId="77777777" w:rsidR="004A0A88" w:rsidRDefault="004A0A88" w:rsidP="004A0A88">
            <w:pPr>
              <w:spacing w:line="360" w:lineRule="auto"/>
              <w:rPr>
                <w:rFonts w:ascii="Arial" w:hAnsi="Arial" w:cs="Arial"/>
                <w:sz w:val="24"/>
                <w:szCs w:val="24"/>
              </w:rPr>
            </w:pPr>
            <w:r w:rsidRPr="00045CAC">
              <w:rPr>
                <w:rFonts w:ascii="Arial" w:hAnsi="Arial" w:cs="Arial"/>
                <w:sz w:val="24"/>
                <w:szCs w:val="24"/>
              </w:rPr>
              <w:t xml:space="preserve">Rollnick, S., Miller, W. R. and Butler, C. C. (2010) </w:t>
            </w:r>
            <w:r w:rsidRPr="00045CAC">
              <w:rPr>
                <w:rStyle w:val="Emphasis"/>
                <w:rFonts w:ascii="Arial" w:hAnsi="Arial" w:cs="Arial"/>
                <w:sz w:val="24"/>
                <w:szCs w:val="24"/>
              </w:rPr>
              <w:t xml:space="preserve">Motivational interviewing in health care: Helping patients change </w:t>
            </w:r>
            <w:proofErr w:type="spellStart"/>
            <w:r w:rsidRPr="00045CAC">
              <w:rPr>
                <w:rStyle w:val="Emphasis"/>
                <w:rFonts w:ascii="Arial" w:hAnsi="Arial" w:cs="Arial"/>
                <w:sz w:val="24"/>
                <w:szCs w:val="24"/>
              </w:rPr>
              <w:t>behavior</w:t>
            </w:r>
            <w:proofErr w:type="spellEnd"/>
            <w:r w:rsidRPr="00045CAC">
              <w:rPr>
                <w:rFonts w:ascii="Arial" w:hAnsi="Arial" w:cs="Arial"/>
                <w:sz w:val="24"/>
                <w:szCs w:val="24"/>
              </w:rPr>
              <w:t>. New York: Guilford Press.</w:t>
            </w:r>
          </w:p>
          <w:p w14:paraId="45B05D6F" w14:textId="77777777" w:rsidR="004A0A88" w:rsidRPr="00045CAC" w:rsidRDefault="004A0A88" w:rsidP="004A0A88">
            <w:pPr>
              <w:spacing w:line="360" w:lineRule="auto"/>
              <w:rPr>
                <w:rFonts w:ascii="Arial" w:hAnsi="Arial" w:cs="Arial"/>
                <w:sz w:val="24"/>
                <w:szCs w:val="24"/>
              </w:rPr>
            </w:pPr>
          </w:p>
          <w:p w14:paraId="19033127" w14:textId="7632B49E" w:rsidR="00EF6413" w:rsidRDefault="004A0A88" w:rsidP="004A0A88">
            <w:pPr>
              <w:spacing w:line="360" w:lineRule="auto"/>
              <w:rPr>
                <w:rFonts w:ascii="Arial" w:hAnsi="Arial" w:cs="Arial"/>
                <w:sz w:val="24"/>
                <w:szCs w:val="24"/>
              </w:rPr>
            </w:pPr>
            <w:r w:rsidRPr="00045CAC">
              <w:rPr>
                <w:rFonts w:ascii="Arial" w:hAnsi="Arial" w:cs="Arial"/>
                <w:sz w:val="24"/>
                <w:szCs w:val="24"/>
              </w:rPr>
              <w:t xml:space="preserve">Rose, J., </w:t>
            </w:r>
            <w:proofErr w:type="spellStart"/>
            <w:r w:rsidRPr="00045CAC">
              <w:rPr>
                <w:rFonts w:ascii="Arial" w:hAnsi="Arial" w:cs="Arial"/>
                <w:sz w:val="24"/>
                <w:szCs w:val="24"/>
              </w:rPr>
              <w:t>Rosewilliam</w:t>
            </w:r>
            <w:proofErr w:type="spellEnd"/>
            <w:r w:rsidRPr="00045CAC">
              <w:rPr>
                <w:rFonts w:ascii="Arial" w:hAnsi="Arial" w:cs="Arial"/>
                <w:sz w:val="24"/>
                <w:szCs w:val="24"/>
              </w:rPr>
              <w:t xml:space="preserve">, S., &amp; Soundy, A. (2017). </w:t>
            </w:r>
            <w:proofErr w:type="gramStart"/>
            <w:r w:rsidRPr="00045CAC">
              <w:rPr>
                <w:rFonts w:ascii="Arial" w:hAnsi="Arial" w:cs="Arial"/>
                <w:sz w:val="24"/>
                <w:szCs w:val="24"/>
              </w:rPr>
              <w:t>Goal-setting</w:t>
            </w:r>
            <w:proofErr w:type="gramEnd"/>
            <w:r w:rsidRPr="00045CAC">
              <w:rPr>
                <w:rFonts w:ascii="Arial" w:hAnsi="Arial" w:cs="Arial"/>
                <w:sz w:val="24"/>
                <w:szCs w:val="24"/>
              </w:rPr>
              <w:t xml:space="preserve"> in rehabilitation: A critical review of the literature. </w:t>
            </w:r>
            <w:r w:rsidRPr="00045CAC">
              <w:rPr>
                <w:rFonts w:ascii="Arial" w:hAnsi="Arial" w:cs="Arial"/>
                <w:i/>
                <w:iCs/>
                <w:sz w:val="24"/>
                <w:szCs w:val="24"/>
              </w:rPr>
              <w:t>Clinical Rehabilitation</w:t>
            </w:r>
            <w:r w:rsidRPr="00045CAC">
              <w:rPr>
                <w:rFonts w:ascii="Arial" w:hAnsi="Arial" w:cs="Arial"/>
                <w:sz w:val="24"/>
                <w:szCs w:val="24"/>
              </w:rPr>
              <w:t>, 31(1),</w:t>
            </w:r>
            <w:r w:rsidR="00EF6413">
              <w:rPr>
                <w:rFonts w:ascii="Arial" w:hAnsi="Arial" w:cs="Arial"/>
                <w:sz w:val="24"/>
                <w:szCs w:val="24"/>
              </w:rPr>
              <w:t xml:space="preserve"> pp.</w:t>
            </w:r>
            <w:r w:rsidRPr="00045CAC">
              <w:rPr>
                <w:rFonts w:ascii="Arial" w:hAnsi="Arial" w:cs="Arial"/>
                <w:sz w:val="24"/>
                <w:szCs w:val="24"/>
              </w:rPr>
              <w:t xml:space="preserve"> 3–12.</w:t>
            </w:r>
            <w:r w:rsidR="00EF6413">
              <w:rPr>
                <w:rFonts w:ascii="Arial" w:hAnsi="Arial" w:cs="Arial"/>
                <w:sz w:val="24"/>
                <w:szCs w:val="24"/>
              </w:rPr>
              <w:t xml:space="preserve"> Available at </w:t>
            </w:r>
            <w:proofErr w:type="spellStart"/>
            <w:r w:rsidR="00EF6413">
              <w:rPr>
                <w:rFonts w:ascii="Arial" w:hAnsi="Arial" w:cs="Arial"/>
                <w:sz w:val="24"/>
                <w:szCs w:val="24"/>
              </w:rPr>
              <w:t>doi</w:t>
            </w:r>
            <w:proofErr w:type="spellEnd"/>
            <w:r w:rsidR="00EF6413">
              <w:rPr>
                <w:rFonts w:ascii="Arial" w:hAnsi="Arial" w:cs="Arial"/>
                <w:sz w:val="24"/>
                <w:szCs w:val="24"/>
              </w:rPr>
              <w:t>:</w:t>
            </w:r>
          </w:p>
          <w:p w14:paraId="11F6F14F" w14:textId="77777777" w:rsidR="00EF6413" w:rsidRDefault="00EF6413" w:rsidP="004A0A88">
            <w:pPr>
              <w:spacing w:line="360" w:lineRule="auto"/>
              <w:rPr>
                <w:rFonts w:ascii="Arial" w:hAnsi="Arial" w:cs="Arial"/>
                <w:sz w:val="24"/>
                <w:szCs w:val="24"/>
              </w:rPr>
            </w:pPr>
          </w:p>
          <w:p w14:paraId="3AA93FD8" w14:textId="77777777" w:rsidR="004A0A88" w:rsidRDefault="004A0A88" w:rsidP="004A0A88">
            <w:pPr>
              <w:spacing w:line="360" w:lineRule="auto"/>
              <w:rPr>
                <w:rFonts w:ascii="Arial" w:hAnsi="Arial" w:cs="Arial"/>
                <w:sz w:val="24"/>
                <w:szCs w:val="24"/>
              </w:rPr>
            </w:pPr>
            <w:r>
              <w:rPr>
                <w:rFonts w:ascii="Arial" w:hAnsi="Arial" w:cs="Arial"/>
                <w:sz w:val="24"/>
                <w:szCs w:val="24"/>
              </w:rPr>
              <w:t>Stevens, A., Moser, A., Koke, A., Van der Weijden, T. and Beurskens, A. (2016) ‘The patient’s p</w:t>
            </w:r>
            <w:r w:rsidRPr="00666303">
              <w:rPr>
                <w:rFonts w:ascii="Arial" w:hAnsi="Arial" w:cs="Arial"/>
                <w:sz w:val="24"/>
                <w:szCs w:val="24"/>
              </w:rPr>
              <w:t xml:space="preserve">erspective of the feasibility of </w:t>
            </w:r>
            <w:r>
              <w:rPr>
                <w:rFonts w:ascii="Arial" w:hAnsi="Arial" w:cs="Arial"/>
                <w:sz w:val="24"/>
                <w:szCs w:val="24"/>
              </w:rPr>
              <w:t xml:space="preserve">a </w:t>
            </w:r>
            <w:r w:rsidRPr="00666303">
              <w:rPr>
                <w:rFonts w:ascii="Arial" w:hAnsi="Arial" w:cs="Arial"/>
                <w:sz w:val="24"/>
                <w:szCs w:val="24"/>
              </w:rPr>
              <w:t>patient</w:t>
            </w:r>
            <w:r>
              <w:rPr>
                <w:rFonts w:ascii="Arial" w:hAnsi="Arial" w:cs="Arial"/>
                <w:sz w:val="24"/>
                <w:szCs w:val="24"/>
              </w:rPr>
              <w:t>-</w:t>
            </w:r>
            <w:r w:rsidRPr="00666303">
              <w:rPr>
                <w:rFonts w:ascii="Arial" w:hAnsi="Arial" w:cs="Arial"/>
                <w:sz w:val="24"/>
                <w:szCs w:val="24"/>
              </w:rPr>
              <w:t xml:space="preserve">specific instrument in physiotherapy </w:t>
            </w:r>
            <w:r>
              <w:rPr>
                <w:rFonts w:ascii="Arial" w:hAnsi="Arial" w:cs="Arial"/>
                <w:sz w:val="24"/>
                <w:szCs w:val="24"/>
              </w:rPr>
              <w:t xml:space="preserve">goal </w:t>
            </w:r>
            <w:r w:rsidRPr="00666303">
              <w:rPr>
                <w:rFonts w:ascii="Arial" w:hAnsi="Arial" w:cs="Arial"/>
                <w:sz w:val="24"/>
                <w:szCs w:val="24"/>
              </w:rPr>
              <w:t>setting</w:t>
            </w:r>
            <w:r>
              <w:rPr>
                <w:rFonts w:ascii="Arial" w:hAnsi="Arial" w:cs="Arial"/>
                <w:sz w:val="24"/>
                <w:szCs w:val="24"/>
              </w:rPr>
              <w:t xml:space="preserve">: </w:t>
            </w:r>
            <w:r w:rsidRPr="00666303">
              <w:rPr>
                <w:rFonts w:ascii="Arial" w:hAnsi="Arial" w:cs="Arial"/>
                <w:sz w:val="24"/>
                <w:szCs w:val="24"/>
              </w:rPr>
              <w:t xml:space="preserve"> a qualitative study</w:t>
            </w:r>
            <w:r>
              <w:rPr>
                <w:rFonts w:ascii="Arial" w:hAnsi="Arial" w:cs="Arial"/>
                <w:sz w:val="24"/>
                <w:szCs w:val="24"/>
              </w:rPr>
              <w:t xml:space="preserve">’, </w:t>
            </w:r>
            <w:r w:rsidRPr="00666303">
              <w:rPr>
                <w:rFonts w:ascii="Arial" w:hAnsi="Arial" w:cs="Arial"/>
                <w:i/>
                <w:iCs/>
                <w:sz w:val="24"/>
                <w:szCs w:val="24"/>
              </w:rPr>
              <w:t>Patient Preference and Adherenc</w:t>
            </w:r>
            <w:r>
              <w:rPr>
                <w:rFonts w:ascii="Arial" w:hAnsi="Arial" w:cs="Arial"/>
                <w:i/>
                <w:iCs/>
                <w:sz w:val="24"/>
                <w:szCs w:val="24"/>
              </w:rPr>
              <w:t xml:space="preserve">e, </w:t>
            </w:r>
            <w:r w:rsidRPr="00647FEE">
              <w:rPr>
                <w:rFonts w:ascii="Arial" w:hAnsi="Arial" w:cs="Arial"/>
                <w:sz w:val="24"/>
                <w:szCs w:val="24"/>
              </w:rPr>
              <w:t>10, pp. 425 – 434. Available at doi:10.2147/PPA.S97912</w:t>
            </w:r>
          </w:p>
          <w:p w14:paraId="70D83E46" w14:textId="77777777" w:rsidR="00EF6413" w:rsidRDefault="00EF6413" w:rsidP="004A0A88">
            <w:pPr>
              <w:spacing w:line="360" w:lineRule="auto"/>
              <w:rPr>
                <w:rFonts w:ascii="Arial" w:hAnsi="Arial" w:cs="Arial"/>
                <w:sz w:val="24"/>
                <w:szCs w:val="24"/>
              </w:rPr>
            </w:pPr>
          </w:p>
          <w:p w14:paraId="0A030C7A" w14:textId="77777777" w:rsidR="004A0A88" w:rsidRDefault="004A0A88" w:rsidP="004A0A88">
            <w:pPr>
              <w:spacing w:line="360" w:lineRule="auto"/>
              <w:rPr>
                <w:rFonts w:ascii="Arial" w:hAnsi="Arial" w:cs="Arial"/>
                <w:sz w:val="24"/>
                <w:szCs w:val="24"/>
                <w:shd w:val="clear" w:color="auto" w:fill="FFFFFF"/>
              </w:rPr>
            </w:pPr>
            <w:r w:rsidRPr="0034391C">
              <w:rPr>
                <w:rFonts w:ascii="Arial" w:hAnsi="Arial" w:cs="Arial"/>
                <w:sz w:val="24"/>
                <w:szCs w:val="24"/>
                <w:shd w:val="clear" w:color="auto" w:fill="FFFFFF"/>
              </w:rPr>
              <w:t>The National Archives (2024) </w:t>
            </w:r>
            <w:r w:rsidRPr="0034391C">
              <w:rPr>
                <w:rFonts w:ascii="Arial" w:hAnsi="Arial" w:cs="Arial"/>
                <w:i/>
                <w:iCs/>
                <w:sz w:val="24"/>
                <w:szCs w:val="24"/>
                <w:shd w:val="clear" w:color="auto" w:fill="FFFFFF"/>
              </w:rPr>
              <w:t>Social Services and Well-being (Wales) Act 2014.</w:t>
            </w:r>
            <w:r w:rsidRPr="0034391C">
              <w:rPr>
                <w:rFonts w:ascii="Arial" w:hAnsi="Arial" w:cs="Arial"/>
                <w:sz w:val="24"/>
                <w:szCs w:val="24"/>
                <w:shd w:val="clear" w:color="auto" w:fill="FFFFFF"/>
              </w:rPr>
              <w:t> Available at: </w:t>
            </w:r>
            <w:r w:rsidRPr="0034391C">
              <w:rPr>
                <w:rFonts w:ascii="Arial" w:hAnsi="Arial" w:cs="Arial"/>
                <w:sz w:val="24"/>
                <w:szCs w:val="24"/>
                <w:bdr w:val="none" w:sz="0" w:space="0" w:color="auto" w:frame="1"/>
                <w:shd w:val="clear" w:color="auto" w:fill="FFFFFF"/>
              </w:rPr>
              <w:t>https://www.legislation.gov.uk/anaw/2014/4/section/1</w:t>
            </w:r>
            <w:r w:rsidRPr="0034391C">
              <w:rPr>
                <w:rFonts w:ascii="Arial" w:hAnsi="Arial" w:cs="Arial"/>
                <w:sz w:val="24"/>
                <w:szCs w:val="24"/>
                <w:shd w:val="clear" w:color="auto" w:fill="FFFFFF"/>
              </w:rPr>
              <w:t xml:space="preserve"> (Accessed </w:t>
            </w:r>
            <w:r>
              <w:rPr>
                <w:rFonts w:ascii="Arial" w:hAnsi="Arial" w:cs="Arial"/>
                <w:sz w:val="24"/>
                <w:szCs w:val="24"/>
                <w:shd w:val="clear" w:color="auto" w:fill="FFFFFF"/>
              </w:rPr>
              <w:t xml:space="preserve">17th February </w:t>
            </w:r>
            <w:r w:rsidRPr="0034391C">
              <w:rPr>
                <w:rFonts w:ascii="Arial" w:hAnsi="Arial" w:cs="Arial"/>
                <w:sz w:val="24"/>
                <w:szCs w:val="24"/>
                <w:shd w:val="clear" w:color="auto" w:fill="FFFFFF"/>
              </w:rPr>
              <w:t>202</w:t>
            </w:r>
            <w:r>
              <w:rPr>
                <w:rFonts w:ascii="Arial" w:hAnsi="Arial" w:cs="Arial"/>
                <w:sz w:val="24"/>
                <w:szCs w:val="24"/>
                <w:shd w:val="clear" w:color="auto" w:fill="FFFFFF"/>
              </w:rPr>
              <w:t>6</w:t>
            </w:r>
            <w:r w:rsidRPr="0034391C">
              <w:rPr>
                <w:rFonts w:ascii="Arial" w:hAnsi="Arial" w:cs="Arial"/>
                <w:sz w:val="24"/>
                <w:szCs w:val="24"/>
                <w:shd w:val="clear" w:color="auto" w:fill="FFFFFF"/>
              </w:rPr>
              <w:t>).</w:t>
            </w:r>
          </w:p>
          <w:p w14:paraId="709B7C50" w14:textId="77777777" w:rsidR="009D5BA1" w:rsidRDefault="009D5BA1" w:rsidP="004A0A88">
            <w:pPr>
              <w:spacing w:line="360" w:lineRule="auto"/>
              <w:rPr>
                <w:rFonts w:ascii="Arial" w:hAnsi="Arial" w:cs="Arial"/>
                <w:sz w:val="24"/>
                <w:szCs w:val="24"/>
                <w:shd w:val="clear" w:color="auto" w:fill="FFFFFF"/>
              </w:rPr>
            </w:pPr>
          </w:p>
          <w:p w14:paraId="7AA2D13C" w14:textId="17FCFACE" w:rsidR="009D5BA1" w:rsidRPr="00045CAC" w:rsidRDefault="009D5BA1" w:rsidP="009D5BA1">
            <w:pPr>
              <w:spacing w:line="360" w:lineRule="auto"/>
              <w:rPr>
                <w:rFonts w:ascii="Arial" w:hAnsi="Arial" w:cs="Arial"/>
                <w:sz w:val="24"/>
                <w:szCs w:val="24"/>
              </w:rPr>
            </w:pPr>
            <w:r>
              <w:rPr>
                <w:rFonts w:ascii="Arial" w:hAnsi="Arial" w:cs="Arial"/>
                <w:sz w:val="24"/>
                <w:szCs w:val="24"/>
              </w:rPr>
              <w:t>Thiyagarajan, A. (2024) ‘</w:t>
            </w:r>
            <w:r w:rsidRPr="00045CAC">
              <w:rPr>
                <w:rFonts w:ascii="Arial" w:hAnsi="Arial" w:cs="Arial"/>
                <w:sz w:val="24"/>
                <w:szCs w:val="24"/>
              </w:rPr>
              <w:t>Empathy and emotional intelligence in physiotherapy</w:t>
            </w:r>
            <w:r>
              <w:rPr>
                <w:rFonts w:ascii="Arial" w:hAnsi="Arial" w:cs="Arial"/>
                <w:sz w:val="24"/>
                <w:szCs w:val="24"/>
              </w:rPr>
              <w:t>: E</w:t>
            </w:r>
            <w:r w:rsidRPr="00045CAC">
              <w:rPr>
                <w:rFonts w:ascii="Arial" w:hAnsi="Arial" w:cs="Arial"/>
                <w:sz w:val="24"/>
                <w:szCs w:val="24"/>
              </w:rPr>
              <w:t>nhancing patient care and outcomes</w:t>
            </w:r>
            <w:r>
              <w:rPr>
                <w:rFonts w:ascii="Arial" w:hAnsi="Arial" w:cs="Arial"/>
                <w:sz w:val="24"/>
                <w:szCs w:val="24"/>
              </w:rPr>
              <w:t xml:space="preserve">’, </w:t>
            </w:r>
            <w:r w:rsidRPr="00045CAC">
              <w:rPr>
                <w:rFonts w:ascii="Arial" w:hAnsi="Arial" w:cs="Arial"/>
                <w:i/>
                <w:iCs/>
                <w:sz w:val="24"/>
                <w:szCs w:val="24"/>
              </w:rPr>
              <w:t xml:space="preserve">IP Journal of </w:t>
            </w:r>
            <w:r>
              <w:rPr>
                <w:rFonts w:ascii="Arial" w:hAnsi="Arial" w:cs="Arial"/>
                <w:i/>
                <w:iCs/>
                <w:sz w:val="24"/>
                <w:szCs w:val="24"/>
              </w:rPr>
              <w:t>S</w:t>
            </w:r>
            <w:r w:rsidRPr="00045CAC">
              <w:rPr>
                <w:rFonts w:ascii="Arial" w:hAnsi="Arial" w:cs="Arial"/>
                <w:i/>
                <w:iCs/>
                <w:sz w:val="24"/>
                <w:szCs w:val="24"/>
              </w:rPr>
              <w:t xml:space="preserve">urgery and </w:t>
            </w:r>
            <w:r>
              <w:rPr>
                <w:rFonts w:ascii="Arial" w:hAnsi="Arial" w:cs="Arial"/>
                <w:i/>
                <w:iCs/>
                <w:sz w:val="24"/>
                <w:szCs w:val="24"/>
              </w:rPr>
              <w:t>A</w:t>
            </w:r>
            <w:r w:rsidRPr="00045CAC">
              <w:rPr>
                <w:rFonts w:ascii="Arial" w:hAnsi="Arial" w:cs="Arial"/>
                <w:i/>
                <w:iCs/>
                <w:sz w:val="24"/>
                <w:szCs w:val="24"/>
              </w:rPr>
              <w:t xml:space="preserve">llied </w:t>
            </w:r>
            <w:r>
              <w:rPr>
                <w:rFonts w:ascii="Arial" w:hAnsi="Arial" w:cs="Arial"/>
                <w:i/>
                <w:iCs/>
                <w:sz w:val="24"/>
                <w:szCs w:val="24"/>
              </w:rPr>
              <w:t>S</w:t>
            </w:r>
            <w:r w:rsidRPr="00045CAC">
              <w:rPr>
                <w:rFonts w:ascii="Arial" w:hAnsi="Arial" w:cs="Arial"/>
                <w:i/>
                <w:iCs/>
                <w:sz w:val="24"/>
                <w:szCs w:val="24"/>
              </w:rPr>
              <w:t>ciences</w:t>
            </w:r>
            <w:r>
              <w:rPr>
                <w:rFonts w:ascii="Arial" w:hAnsi="Arial" w:cs="Arial"/>
                <w:sz w:val="24"/>
                <w:szCs w:val="24"/>
              </w:rPr>
              <w:t xml:space="preserve">, 6(3), pp. 82-85. Available at </w:t>
            </w:r>
            <w:proofErr w:type="spellStart"/>
            <w:r>
              <w:rPr>
                <w:rFonts w:ascii="Arial" w:hAnsi="Arial" w:cs="Arial"/>
                <w:sz w:val="24"/>
                <w:szCs w:val="24"/>
              </w:rPr>
              <w:t>doi</w:t>
            </w:r>
            <w:proofErr w:type="spellEnd"/>
            <w:r>
              <w:rPr>
                <w:rFonts w:ascii="Arial" w:hAnsi="Arial" w:cs="Arial"/>
                <w:sz w:val="24"/>
                <w:szCs w:val="24"/>
              </w:rPr>
              <w:t>: 10.18231/j.jsas.2024.018</w:t>
            </w:r>
            <w:r>
              <w:rPr>
                <w:rFonts w:ascii="Arial" w:hAnsi="Arial" w:cs="Arial"/>
                <w:sz w:val="24"/>
                <w:szCs w:val="24"/>
              </w:rPr>
              <w:t>.</w:t>
            </w:r>
          </w:p>
          <w:p w14:paraId="5341E0BC" w14:textId="77777777" w:rsidR="009D5BA1" w:rsidRPr="00045CAC" w:rsidRDefault="009D5BA1" w:rsidP="009D5BA1">
            <w:pPr>
              <w:spacing w:after="160" w:line="360" w:lineRule="auto"/>
              <w:rPr>
                <w:rFonts w:ascii="Arial" w:hAnsi="Arial" w:cs="Arial"/>
                <w:sz w:val="24"/>
                <w:szCs w:val="24"/>
              </w:rPr>
            </w:pPr>
            <w:r w:rsidRPr="00045CAC">
              <w:rPr>
                <w:rFonts w:ascii="Arial" w:hAnsi="Arial" w:cs="Arial"/>
                <w:sz w:val="24"/>
                <w:szCs w:val="24"/>
              </w:rPr>
              <w:t>Zhu, S., Sinha, D., Kirk, M.,</w:t>
            </w:r>
            <w:r>
              <w:rPr>
                <w:rFonts w:ascii="Arial" w:hAnsi="Arial" w:cs="Arial"/>
                <w:sz w:val="24"/>
                <w:szCs w:val="24"/>
              </w:rPr>
              <w:t xml:space="preserve"> Michalopoulou, M., Hajizadeh, A., Wren, G., Doody, P., Mackillop, L., Smith, R., Jebb, S. A., and Astbury, N. M.</w:t>
            </w:r>
            <w:r w:rsidRPr="00045CAC">
              <w:rPr>
                <w:rFonts w:ascii="Arial" w:hAnsi="Arial" w:cs="Arial"/>
                <w:sz w:val="24"/>
                <w:szCs w:val="24"/>
              </w:rPr>
              <w:t xml:space="preserve"> (2024)</w:t>
            </w:r>
            <w:r>
              <w:rPr>
                <w:rFonts w:ascii="Arial" w:hAnsi="Arial" w:cs="Arial"/>
                <w:sz w:val="24"/>
                <w:szCs w:val="24"/>
              </w:rPr>
              <w:t>, ‘</w:t>
            </w:r>
            <w:r w:rsidRPr="00045CAC">
              <w:rPr>
                <w:rFonts w:ascii="Arial" w:hAnsi="Arial" w:cs="Arial"/>
                <w:sz w:val="24"/>
                <w:szCs w:val="24"/>
              </w:rPr>
              <w:t xml:space="preserve">Effectiveness of behavioural interventions with motivational interviewing on physical activity </w:t>
            </w:r>
            <w:r w:rsidRPr="00045CAC">
              <w:rPr>
                <w:rFonts w:ascii="Arial" w:hAnsi="Arial" w:cs="Arial"/>
                <w:sz w:val="24"/>
                <w:szCs w:val="24"/>
              </w:rPr>
              <w:lastRenderedPageBreak/>
              <w:t>outcomes in adults: systematic review and meta-analysis</w:t>
            </w:r>
            <w:r>
              <w:rPr>
                <w:rFonts w:ascii="Arial" w:hAnsi="Arial" w:cs="Arial"/>
                <w:sz w:val="24"/>
                <w:szCs w:val="24"/>
              </w:rPr>
              <w:t xml:space="preserve">’. </w:t>
            </w:r>
            <w:r w:rsidRPr="00045CAC">
              <w:rPr>
                <w:rFonts w:ascii="Arial" w:hAnsi="Arial" w:cs="Arial"/>
                <w:i/>
                <w:iCs/>
                <w:sz w:val="24"/>
                <w:szCs w:val="24"/>
              </w:rPr>
              <w:t>British Medical Journal</w:t>
            </w:r>
            <w:r>
              <w:rPr>
                <w:rFonts w:ascii="Arial" w:hAnsi="Arial" w:cs="Arial"/>
                <w:sz w:val="24"/>
                <w:szCs w:val="24"/>
              </w:rPr>
              <w:t xml:space="preserve">, pp. 1-13. </w:t>
            </w:r>
            <w:proofErr w:type="spellStart"/>
            <w:r>
              <w:rPr>
                <w:rFonts w:ascii="Arial" w:hAnsi="Arial" w:cs="Arial"/>
                <w:sz w:val="24"/>
                <w:szCs w:val="24"/>
              </w:rPr>
              <w:t>Availble</w:t>
            </w:r>
            <w:proofErr w:type="spellEnd"/>
            <w:r>
              <w:rPr>
                <w:rFonts w:ascii="Arial" w:hAnsi="Arial" w:cs="Arial"/>
                <w:sz w:val="24"/>
                <w:szCs w:val="24"/>
              </w:rPr>
              <w:t xml:space="preserve"> at</w:t>
            </w:r>
            <w:r w:rsidRPr="002C25C1">
              <w:rPr>
                <w:rFonts w:ascii="Arial" w:hAnsi="Arial" w:cs="Arial"/>
                <w:sz w:val="24"/>
                <w:szCs w:val="24"/>
              </w:rPr>
              <w:t xml:space="preserve"> </w:t>
            </w:r>
            <w:proofErr w:type="spellStart"/>
            <w:r w:rsidRPr="002C25C1">
              <w:rPr>
                <w:rFonts w:ascii="Arial" w:hAnsi="Arial" w:cs="Arial"/>
                <w:sz w:val="24"/>
                <w:szCs w:val="24"/>
              </w:rPr>
              <w:t>doi</w:t>
            </w:r>
            <w:proofErr w:type="spellEnd"/>
            <w:r w:rsidRPr="002C25C1">
              <w:rPr>
                <w:rFonts w:ascii="Arial" w:hAnsi="Arial" w:cs="Arial"/>
                <w:sz w:val="24"/>
                <w:szCs w:val="24"/>
              </w:rPr>
              <w:t>: 10.1136/bmj-2023-078713</w:t>
            </w:r>
          </w:p>
          <w:p w14:paraId="1B28787B" w14:textId="77777777" w:rsidR="009D5BA1" w:rsidRPr="0034391C" w:rsidRDefault="009D5BA1" w:rsidP="004A0A88">
            <w:pPr>
              <w:spacing w:line="360" w:lineRule="auto"/>
              <w:rPr>
                <w:rFonts w:ascii="Arial" w:hAnsi="Arial" w:cs="Arial"/>
                <w:sz w:val="24"/>
                <w:szCs w:val="24"/>
                <w:shd w:val="clear" w:color="auto" w:fill="FFFFFF"/>
              </w:rPr>
            </w:pPr>
          </w:p>
          <w:p w14:paraId="082B5014" w14:textId="77777777" w:rsidR="000669EE" w:rsidRDefault="000669EE"/>
          <w:p w14:paraId="5A6BACE6" w14:textId="77777777" w:rsidR="000669EE" w:rsidRDefault="000669EE"/>
          <w:p w14:paraId="53202A15" w14:textId="77777777" w:rsidR="000669EE" w:rsidRDefault="000669EE"/>
          <w:p w14:paraId="2C1F06D5" w14:textId="77777777" w:rsidR="000669EE" w:rsidRDefault="000669EE"/>
          <w:p w14:paraId="22D11A81" w14:textId="77777777" w:rsidR="000669EE" w:rsidRDefault="000669EE"/>
          <w:p w14:paraId="560F4D76" w14:textId="77777777" w:rsidR="000669EE" w:rsidRDefault="000669EE"/>
          <w:p w14:paraId="5187A92E" w14:textId="77777777" w:rsidR="000669EE" w:rsidRDefault="000669EE"/>
          <w:p w14:paraId="22156689" w14:textId="77777777" w:rsidR="000669EE" w:rsidRDefault="000669EE"/>
          <w:p w14:paraId="0F253AA1" w14:textId="77777777" w:rsidR="000669EE" w:rsidRDefault="000669EE"/>
          <w:p w14:paraId="181EC150" w14:textId="0E744E63" w:rsidR="000669EE" w:rsidRDefault="000669EE"/>
        </w:tc>
      </w:tr>
    </w:tbl>
    <w:p w14:paraId="4F8F220E" w14:textId="77777777" w:rsidR="000669EE" w:rsidRDefault="000669EE"/>
    <w:p w14:paraId="70D109CA" w14:textId="77777777" w:rsidR="000669EE" w:rsidRDefault="000669EE"/>
    <w:p w14:paraId="008E9FE7" w14:textId="4DE32624" w:rsidR="000669EE" w:rsidRDefault="000669EE">
      <w:r>
        <w:t xml:space="preserve">Completed by: </w:t>
      </w:r>
      <w:r w:rsidR="004D06BF">
        <w:t>Tesni Fakes</w:t>
      </w:r>
      <w:r w:rsidR="0026186B">
        <w:t xml:space="preserve"> </w:t>
      </w:r>
      <w:r>
        <w:tab/>
      </w:r>
      <w:r>
        <w:tab/>
      </w:r>
      <w:r>
        <w:tab/>
      </w:r>
      <w:r>
        <w:tab/>
        <w:t xml:space="preserve">Date: </w:t>
      </w:r>
      <w:r w:rsidR="001626E8">
        <w:t>24/02/2026</w:t>
      </w:r>
    </w:p>
    <w:sectPr w:rsidR="000669EE" w:rsidSect="00FF2113">
      <w:headerReference w:type="default" r:id="rId7"/>
      <w:footerReference w:type="default" r:id="rId8"/>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4DAAB7" w14:textId="77777777" w:rsidR="00F405E3" w:rsidRDefault="00F405E3" w:rsidP="00FF2113">
      <w:pPr>
        <w:spacing w:after="0" w:line="240" w:lineRule="auto"/>
      </w:pPr>
      <w:r>
        <w:separator/>
      </w:r>
    </w:p>
  </w:endnote>
  <w:endnote w:type="continuationSeparator" w:id="0">
    <w:p w14:paraId="3E24FD41" w14:textId="77777777" w:rsidR="00F405E3" w:rsidRDefault="00F405E3" w:rsidP="00FF21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8F5193" w14:textId="2E4544FE" w:rsidR="00FF2113" w:rsidRPr="00FF2113" w:rsidRDefault="00FF2113" w:rsidP="00FF2113">
    <w:pPr>
      <w:spacing w:after="77" w:line="247" w:lineRule="auto"/>
      <w:jc w:val="both"/>
      <w:rPr>
        <w:rFonts w:asciiTheme="majorHAnsi" w:eastAsia="Times New Roman" w:hAnsiTheme="majorHAnsi" w:cstheme="majorHAnsi"/>
        <w:color w:val="000000"/>
        <w:sz w:val="24"/>
        <w:szCs w:val="24"/>
        <w:lang w:eastAsia="en-GB"/>
      </w:rPr>
    </w:pPr>
    <w:r w:rsidRPr="00FF2113">
      <w:rPr>
        <w:rFonts w:asciiTheme="majorHAnsi" w:eastAsia="Times New Roman" w:hAnsiTheme="majorHAnsi" w:cstheme="majorHAnsi"/>
        <w:color w:val="000000"/>
        <w:sz w:val="24"/>
        <w:szCs w:val="24"/>
        <w:lang w:eastAsia="en-GB"/>
      </w:rPr>
      <w:t>Developing Therapeutic Relationships to Enhance Interventions</w:t>
    </w:r>
    <w:r>
      <w:rPr>
        <w:rFonts w:asciiTheme="majorHAnsi" w:eastAsia="Times New Roman" w:hAnsiTheme="majorHAnsi" w:cstheme="majorHAnsi"/>
        <w:color w:val="000000"/>
        <w:sz w:val="24"/>
        <w:szCs w:val="24"/>
        <w:lang w:eastAsia="en-GB"/>
      </w:rPr>
      <w:tab/>
    </w:r>
    <w:r>
      <w:rPr>
        <w:rFonts w:asciiTheme="majorHAnsi" w:eastAsia="Times New Roman" w:hAnsiTheme="majorHAnsi" w:cstheme="majorHAnsi"/>
        <w:color w:val="000000"/>
        <w:sz w:val="24"/>
        <w:szCs w:val="24"/>
        <w:lang w:eastAsia="en-GB"/>
      </w:rPr>
      <w:tab/>
    </w:r>
    <w:r>
      <w:rPr>
        <w:rFonts w:asciiTheme="majorHAnsi" w:eastAsia="Times New Roman" w:hAnsiTheme="majorHAnsi" w:cstheme="majorHAnsi"/>
        <w:color w:val="000000"/>
        <w:sz w:val="24"/>
        <w:szCs w:val="24"/>
        <w:lang w:eastAsia="en-GB"/>
      </w:rPr>
      <w:tab/>
    </w:r>
    <w:r>
      <w:rPr>
        <w:rFonts w:asciiTheme="majorHAnsi" w:eastAsia="Times New Roman" w:hAnsiTheme="majorHAnsi" w:cstheme="majorHAnsi"/>
        <w:color w:val="000000"/>
        <w:sz w:val="24"/>
        <w:szCs w:val="24"/>
        <w:lang w:eastAsia="en-GB"/>
      </w:rPr>
      <w:tab/>
    </w:r>
    <w:r>
      <w:rPr>
        <w:rFonts w:asciiTheme="majorHAnsi" w:eastAsia="Times New Roman" w:hAnsiTheme="majorHAnsi" w:cstheme="majorHAnsi"/>
        <w:color w:val="000000"/>
        <w:sz w:val="24"/>
        <w:szCs w:val="24"/>
        <w:lang w:eastAsia="en-GB"/>
      </w:rPr>
      <w:tab/>
    </w:r>
    <w:r>
      <w:rPr>
        <w:rFonts w:asciiTheme="majorHAnsi" w:eastAsia="Times New Roman" w:hAnsiTheme="majorHAnsi" w:cstheme="majorHAnsi"/>
        <w:color w:val="000000"/>
        <w:sz w:val="24"/>
        <w:szCs w:val="24"/>
        <w:lang w:eastAsia="en-GB"/>
      </w:rPr>
      <w:tab/>
    </w:r>
    <w:r>
      <w:rPr>
        <w:rFonts w:asciiTheme="majorHAnsi" w:eastAsia="Times New Roman" w:hAnsiTheme="majorHAnsi" w:cstheme="majorHAnsi"/>
        <w:color w:val="000000"/>
        <w:sz w:val="24"/>
        <w:szCs w:val="24"/>
        <w:lang w:eastAsia="en-GB"/>
      </w:rPr>
      <w:tab/>
    </w:r>
    <w:r>
      <w:rPr>
        <w:rFonts w:asciiTheme="majorHAnsi" w:eastAsia="Times New Roman" w:hAnsiTheme="majorHAnsi" w:cstheme="majorHAnsi"/>
        <w:color w:val="000000"/>
        <w:sz w:val="24"/>
        <w:szCs w:val="24"/>
        <w:lang w:eastAsia="en-GB"/>
      </w:rPr>
      <w:tab/>
    </w:r>
    <w:r w:rsidRPr="00FF2113">
      <w:rPr>
        <w:rFonts w:asciiTheme="majorHAnsi" w:eastAsia="Times New Roman" w:hAnsiTheme="majorHAnsi" w:cstheme="majorHAnsi"/>
        <w:color w:val="000000"/>
        <w:sz w:val="24"/>
        <w:szCs w:val="24"/>
        <w:lang w:eastAsia="en-GB"/>
      </w:rPr>
      <w:t>Unit Code: PJ14CY021</w:t>
    </w:r>
  </w:p>
  <w:p w14:paraId="41EE6FDC" w14:textId="77777777" w:rsidR="00FF2113" w:rsidRDefault="00FF211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7655C1" w14:textId="77777777" w:rsidR="00F405E3" w:rsidRDefault="00F405E3" w:rsidP="00FF2113">
      <w:pPr>
        <w:spacing w:after="0" w:line="240" w:lineRule="auto"/>
      </w:pPr>
      <w:r>
        <w:separator/>
      </w:r>
    </w:p>
  </w:footnote>
  <w:footnote w:type="continuationSeparator" w:id="0">
    <w:p w14:paraId="4B887B61" w14:textId="77777777" w:rsidR="00F405E3" w:rsidRDefault="00F405E3" w:rsidP="00FF211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D6B3DF" w14:textId="007FA019" w:rsidR="00FF2113" w:rsidRPr="000669EE" w:rsidRDefault="000669EE" w:rsidP="000669EE">
    <w:pPr>
      <w:pStyle w:val="Header"/>
    </w:pPr>
    <w:r>
      <w:rPr>
        <w:noProof/>
      </w:rPr>
      <w:drawing>
        <wp:anchor distT="0" distB="0" distL="114300" distR="114300" simplePos="0" relativeHeight="251658240" behindDoc="1" locked="0" layoutInCell="1" allowOverlap="1" wp14:anchorId="405F460E" wp14:editId="3F84AFAC">
          <wp:simplePos x="0" y="0"/>
          <wp:positionH relativeFrom="column">
            <wp:posOffset>7778750</wp:posOffset>
          </wp:positionH>
          <wp:positionV relativeFrom="paragraph">
            <wp:posOffset>-436880</wp:posOffset>
          </wp:positionV>
          <wp:extent cx="1853565" cy="975360"/>
          <wp:effectExtent l="0" t="0" r="0" b="0"/>
          <wp:wrapNone/>
          <wp:docPr id="431114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53565" cy="975360"/>
                  </a:xfrm>
                  <a:prstGeom prst="rect">
                    <a:avLst/>
                  </a:prstGeom>
                  <a:noFill/>
                </pic:spPr>
              </pic:pic>
            </a:graphicData>
          </a:graphic>
        </wp:anchor>
      </w:drawing>
    </w:r>
    <w:r>
      <w:rPr>
        <w:noProof/>
      </w:rPr>
      <w:drawing>
        <wp:anchor distT="0" distB="0" distL="114300" distR="114300" simplePos="0" relativeHeight="251660288" behindDoc="0" locked="0" layoutInCell="1" allowOverlap="1" wp14:anchorId="30C573BC" wp14:editId="6129D503">
          <wp:simplePos x="0" y="0"/>
          <wp:positionH relativeFrom="column">
            <wp:posOffset>-762000</wp:posOffset>
          </wp:positionH>
          <wp:positionV relativeFrom="paragraph">
            <wp:posOffset>-368935</wp:posOffset>
          </wp:positionV>
          <wp:extent cx="2510790" cy="885825"/>
          <wp:effectExtent l="0" t="0" r="3810" b="9525"/>
          <wp:wrapThrough wrapText="bothSides">
            <wp:wrapPolygon edited="0">
              <wp:start x="0" y="0"/>
              <wp:lineTo x="0" y="21368"/>
              <wp:lineTo x="21469" y="21368"/>
              <wp:lineTo x="21469" y="0"/>
              <wp:lineTo x="0" y="0"/>
            </wp:wrapPolygon>
          </wp:wrapThrough>
          <wp:docPr id="2" name="Picture 1" descr="We are an Agored Cymru recognised centre in Wa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We are an Agored Cymru recognised centre in Wales"/>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2510790" cy="885825"/>
                  </a:xfrm>
                  <a:prstGeom prst="rect">
                    <a:avLst/>
                  </a:prstGeom>
                  <a:noFill/>
                  <a:ln>
                    <a:noFill/>
                  </a:ln>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2113"/>
    <w:rsid w:val="000101BB"/>
    <w:rsid w:val="00016245"/>
    <w:rsid w:val="00024387"/>
    <w:rsid w:val="00030EDE"/>
    <w:rsid w:val="00031840"/>
    <w:rsid w:val="0004636B"/>
    <w:rsid w:val="00061464"/>
    <w:rsid w:val="000669EE"/>
    <w:rsid w:val="00076C69"/>
    <w:rsid w:val="00083572"/>
    <w:rsid w:val="000A5670"/>
    <w:rsid w:val="000B7831"/>
    <w:rsid w:val="000C0F08"/>
    <w:rsid w:val="000C7B0C"/>
    <w:rsid w:val="000D3935"/>
    <w:rsid w:val="000E1FB2"/>
    <w:rsid w:val="000F418E"/>
    <w:rsid w:val="0010135F"/>
    <w:rsid w:val="00120271"/>
    <w:rsid w:val="00135FF2"/>
    <w:rsid w:val="001626E8"/>
    <w:rsid w:val="001914B0"/>
    <w:rsid w:val="001A11D5"/>
    <w:rsid w:val="001C7C34"/>
    <w:rsid w:val="00210DAD"/>
    <w:rsid w:val="00215BE7"/>
    <w:rsid w:val="0021616E"/>
    <w:rsid w:val="00221176"/>
    <w:rsid w:val="00233296"/>
    <w:rsid w:val="002341F3"/>
    <w:rsid w:val="0024398A"/>
    <w:rsid w:val="002520A4"/>
    <w:rsid w:val="00252E14"/>
    <w:rsid w:val="0026186B"/>
    <w:rsid w:val="00261CC8"/>
    <w:rsid w:val="002728ED"/>
    <w:rsid w:val="00277FD4"/>
    <w:rsid w:val="002A3CBC"/>
    <w:rsid w:val="002A5B1C"/>
    <w:rsid w:val="002B272E"/>
    <w:rsid w:val="002C6F68"/>
    <w:rsid w:val="002F42D9"/>
    <w:rsid w:val="002F4FF0"/>
    <w:rsid w:val="00304666"/>
    <w:rsid w:val="00330164"/>
    <w:rsid w:val="00330C4E"/>
    <w:rsid w:val="00350272"/>
    <w:rsid w:val="00356A49"/>
    <w:rsid w:val="00392690"/>
    <w:rsid w:val="003A5A6E"/>
    <w:rsid w:val="003D0B7D"/>
    <w:rsid w:val="00400FB1"/>
    <w:rsid w:val="004240D1"/>
    <w:rsid w:val="00456BE5"/>
    <w:rsid w:val="00463E9A"/>
    <w:rsid w:val="0046620B"/>
    <w:rsid w:val="004934CC"/>
    <w:rsid w:val="004A0A88"/>
    <w:rsid w:val="004D06BF"/>
    <w:rsid w:val="004D3D8C"/>
    <w:rsid w:val="004D4408"/>
    <w:rsid w:val="004E607B"/>
    <w:rsid w:val="005060D0"/>
    <w:rsid w:val="0052639C"/>
    <w:rsid w:val="00534B9B"/>
    <w:rsid w:val="00565419"/>
    <w:rsid w:val="005865D8"/>
    <w:rsid w:val="00592499"/>
    <w:rsid w:val="005A50C0"/>
    <w:rsid w:val="005B0B6A"/>
    <w:rsid w:val="005E6955"/>
    <w:rsid w:val="006107C9"/>
    <w:rsid w:val="006168DC"/>
    <w:rsid w:val="00622858"/>
    <w:rsid w:val="00624FCA"/>
    <w:rsid w:val="00640911"/>
    <w:rsid w:val="006459A3"/>
    <w:rsid w:val="006A0F6F"/>
    <w:rsid w:val="006C1E03"/>
    <w:rsid w:val="006E1435"/>
    <w:rsid w:val="0071563A"/>
    <w:rsid w:val="007246F5"/>
    <w:rsid w:val="007324AC"/>
    <w:rsid w:val="0073540F"/>
    <w:rsid w:val="00754385"/>
    <w:rsid w:val="007828A6"/>
    <w:rsid w:val="00786550"/>
    <w:rsid w:val="00796849"/>
    <w:rsid w:val="007A6243"/>
    <w:rsid w:val="007D6D9B"/>
    <w:rsid w:val="00812DB4"/>
    <w:rsid w:val="00813DF8"/>
    <w:rsid w:val="008407EE"/>
    <w:rsid w:val="0085623B"/>
    <w:rsid w:val="008B22E1"/>
    <w:rsid w:val="008C5149"/>
    <w:rsid w:val="008F0BC5"/>
    <w:rsid w:val="008F4311"/>
    <w:rsid w:val="00923635"/>
    <w:rsid w:val="0096627A"/>
    <w:rsid w:val="00971B13"/>
    <w:rsid w:val="00975F8D"/>
    <w:rsid w:val="00983476"/>
    <w:rsid w:val="00983E63"/>
    <w:rsid w:val="009908F8"/>
    <w:rsid w:val="009D582A"/>
    <w:rsid w:val="009D5BA1"/>
    <w:rsid w:val="00A01680"/>
    <w:rsid w:val="00A03BC5"/>
    <w:rsid w:val="00A30A86"/>
    <w:rsid w:val="00A4049A"/>
    <w:rsid w:val="00A532D0"/>
    <w:rsid w:val="00A728AB"/>
    <w:rsid w:val="00A72D6C"/>
    <w:rsid w:val="00A81943"/>
    <w:rsid w:val="00A95DEE"/>
    <w:rsid w:val="00AC0381"/>
    <w:rsid w:val="00AE6433"/>
    <w:rsid w:val="00AF324A"/>
    <w:rsid w:val="00B10175"/>
    <w:rsid w:val="00B529A7"/>
    <w:rsid w:val="00B56E78"/>
    <w:rsid w:val="00B62470"/>
    <w:rsid w:val="00B6665D"/>
    <w:rsid w:val="00B73D20"/>
    <w:rsid w:val="00B80729"/>
    <w:rsid w:val="00B847D9"/>
    <w:rsid w:val="00BA0C58"/>
    <w:rsid w:val="00BA580F"/>
    <w:rsid w:val="00BC5EA1"/>
    <w:rsid w:val="00BD1D3D"/>
    <w:rsid w:val="00BD7EFB"/>
    <w:rsid w:val="00BE502A"/>
    <w:rsid w:val="00C26E48"/>
    <w:rsid w:val="00C30868"/>
    <w:rsid w:val="00C40F16"/>
    <w:rsid w:val="00C506DC"/>
    <w:rsid w:val="00C53073"/>
    <w:rsid w:val="00C9030A"/>
    <w:rsid w:val="00C92847"/>
    <w:rsid w:val="00CB507F"/>
    <w:rsid w:val="00CF342B"/>
    <w:rsid w:val="00CF4927"/>
    <w:rsid w:val="00D119AC"/>
    <w:rsid w:val="00D12579"/>
    <w:rsid w:val="00D14105"/>
    <w:rsid w:val="00D77647"/>
    <w:rsid w:val="00D85A7F"/>
    <w:rsid w:val="00D9680C"/>
    <w:rsid w:val="00E359A5"/>
    <w:rsid w:val="00E50104"/>
    <w:rsid w:val="00E53664"/>
    <w:rsid w:val="00E6130E"/>
    <w:rsid w:val="00E839DA"/>
    <w:rsid w:val="00EB081E"/>
    <w:rsid w:val="00EE5C01"/>
    <w:rsid w:val="00EF6413"/>
    <w:rsid w:val="00F14D5D"/>
    <w:rsid w:val="00F40159"/>
    <w:rsid w:val="00F405E3"/>
    <w:rsid w:val="00F75345"/>
    <w:rsid w:val="00FC5CBC"/>
    <w:rsid w:val="00FD3F1B"/>
    <w:rsid w:val="00FE4704"/>
    <w:rsid w:val="00FF0F87"/>
    <w:rsid w:val="00FF21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631F3B"/>
  <w15:chartTrackingRefBased/>
  <w15:docId w15:val="{5685B94D-49AC-4DEB-A991-5CE9305E1D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F211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F211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F211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F211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F211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F211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F211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F211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F211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F211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F211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F211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F211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F211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F211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F211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F211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F2113"/>
    <w:rPr>
      <w:rFonts w:eastAsiaTheme="majorEastAsia" w:cstheme="majorBidi"/>
      <w:color w:val="272727" w:themeColor="text1" w:themeTint="D8"/>
    </w:rPr>
  </w:style>
  <w:style w:type="paragraph" w:styleId="Title">
    <w:name w:val="Title"/>
    <w:basedOn w:val="Normal"/>
    <w:next w:val="Normal"/>
    <w:link w:val="TitleChar"/>
    <w:uiPriority w:val="10"/>
    <w:qFormat/>
    <w:rsid w:val="00FF211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F211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F211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F211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F2113"/>
    <w:pPr>
      <w:spacing w:before="160"/>
      <w:jc w:val="center"/>
    </w:pPr>
    <w:rPr>
      <w:i/>
      <w:iCs/>
      <w:color w:val="404040" w:themeColor="text1" w:themeTint="BF"/>
    </w:rPr>
  </w:style>
  <w:style w:type="character" w:customStyle="1" w:styleId="QuoteChar">
    <w:name w:val="Quote Char"/>
    <w:basedOn w:val="DefaultParagraphFont"/>
    <w:link w:val="Quote"/>
    <w:uiPriority w:val="29"/>
    <w:rsid w:val="00FF2113"/>
    <w:rPr>
      <w:i/>
      <w:iCs/>
      <w:color w:val="404040" w:themeColor="text1" w:themeTint="BF"/>
    </w:rPr>
  </w:style>
  <w:style w:type="paragraph" w:styleId="ListParagraph">
    <w:name w:val="List Paragraph"/>
    <w:basedOn w:val="Normal"/>
    <w:uiPriority w:val="34"/>
    <w:qFormat/>
    <w:rsid w:val="00FF2113"/>
    <w:pPr>
      <w:ind w:left="720"/>
      <w:contextualSpacing/>
    </w:pPr>
  </w:style>
  <w:style w:type="character" w:styleId="IntenseEmphasis">
    <w:name w:val="Intense Emphasis"/>
    <w:basedOn w:val="DefaultParagraphFont"/>
    <w:uiPriority w:val="21"/>
    <w:qFormat/>
    <w:rsid w:val="00FF2113"/>
    <w:rPr>
      <w:i/>
      <w:iCs/>
      <w:color w:val="0F4761" w:themeColor="accent1" w:themeShade="BF"/>
    </w:rPr>
  </w:style>
  <w:style w:type="paragraph" w:styleId="IntenseQuote">
    <w:name w:val="Intense Quote"/>
    <w:basedOn w:val="Normal"/>
    <w:next w:val="Normal"/>
    <w:link w:val="IntenseQuoteChar"/>
    <w:uiPriority w:val="30"/>
    <w:qFormat/>
    <w:rsid w:val="00FF211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F2113"/>
    <w:rPr>
      <w:i/>
      <w:iCs/>
      <w:color w:val="0F4761" w:themeColor="accent1" w:themeShade="BF"/>
    </w:rPr>
  </w:style>
  <w:style w:type="character" w:styleId="IntenseReference">
    <w:name w:val="Intense Reference"/>
    <w:basedOn w:val="DefaultParagraphFont"/>
    <w:uiPriority w:val="32"/>
    <w:qFormat/>
    <w:rsid w:val="00FF2113"/>
    <w:rPr>
      <w:b/>
      <w:bCs/>
      <w:smallCaps/>
      <w:color w:val="0F4761" w:themeColor="accent1" w:themeShade="BF"/>
      <w:spacing w:val="5"/>
    </w:rPr>
  </w:style>
  <w:style w:type="paragraph" w:styleId="Header">
    <w:name w:val="header"/>
    <w:basedOn w:val="Normal"/>
    <w:link w:val="HeaderChar"/>
    <w:uiPriority w:val="99"/>
    <w:unhideWhenUsed/>
    <w:rsid w:val="00FF2113"/>
    <w:pPr>
      <w:tabs>
        <w:tab w:val="center" w:pos="4513"/>
        <w:tab w:val="right" w:pos="9026"/>
      </w:tabs>
      <w:spacing w:after="0" w:line="240" w:lineRule="auto"/>
    </w:pPr>
  </w:style>
  <w:style w:type="character" w:customStyle="1" w:styleId="HeaderChar">
    <w:name w:val="Header Char"/>
    <w:basedOn w:val="DefaultParagraphFont"/>
    <w:link w:val="Header"/>
    <w:uiPriority w:val="99"/>
    <w:rsid w:val="00FF2113"/>
  </w:style>
  <w:style w:type="paragraph" w:styleId="Footer">
    <w:name w:val="footer"/>
    <w:basedOn w:val="Normal"/>
    <w:link w:val="FooterChar"/>
    <w:uiPriority w:val="99"/>
    <w:unhideWhenUsed/>
    <w:rsid w:val="00FF2113"/>
    <w:pPr>
      <w:tabs>
        <w:tab w:val="center" w:pos="4513"/>
        <w:tab w:val="right" w:pos="9026"/>
      </w:tabs>
      <w:spacing w:after="0" w:line="240" w:lineRule="auto"/>
    </w:pPr>
  </w:style>
  <w:style w:type="character" w:customStyle="1" w:styleId="FooterChar">
    <w:name w:val="Footer Char"/>
    <w:basedOn w:val="DefaultParagraphFont"/>
    <w:link w:val="Footer"/>
    <w:uiPriority w:val="99"/>
    <w:rsid w:val="00FF2113"/>
  </w:style>
  <w:style w:type="table" w:styleId="TableGrid">
    <w:name w:val="Table Grid"/>
    <w:basedOn w:val="TableNormal"/>
    <w:uiPriority w:val="39"/>
    <w:rsid w:val="00FF211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923635"/>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592499"/>
    <w:rPr>
      <w:color w:val="467886" w:themeColor="hyperlink"/>
      <w:u w:val="single"/>
    </w:rPr>
  </w:style>
  <w:style w:type="character" w:styleId="UnresolvedMention">
    <w:name w:val="Unresolved Mention"/>
    <w:basedOn w:val="DefaultParagraphFont"/>
    <w:uiPriority w:val="99"/>
    <w:semiHidden/>
    <w:unhideWhenUsed/>
    <w:rsid w:val="00592499"/>
    <w:rPr>
      <w:color w:val="605E5C"/>
      <w:shd w:val="clear" w:color="auto" w:fill="E1DFDD"/>
    </w:rPr>
  </w:style>
  <w:style w:type="character" w:styleId="Emphasis">
    <w:name w:val="Emphasis"/>
    <w:basedOn w:val="DefaultParagraphFont"/>
    <w:uiPriority w:val="20"/>
    <w:qFormat/>
    <w:rsid w:val="004A0A8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15</Pages>
  <Words>3797</Words>
  <Characters>21649</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collins</dc:creator>
  <cp:keywords/>
  <dc:description/>
  <cp:lastModifiedBy>Tesni Fakes</cp:lastModifiedBy>
  <cp:revision>2</cp:revision>
  <dcterms:created xsi:type="dcterms:W3CDTF">2026-02-24T14:39:00Z</dcterms:created>
  <dcterms:modified xsi:type="dcterms:W3CDTF">2026-02-24T14:39:00Z</dcterms:modified>
</cp:coreProperties>
</file>