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2F433" w14:textId="5B9CA790" w:rsidR="00B145B3" w:rsidRPr="00E62473" w:rsidRDefault="00B145B3" w:rsidP="00E62473">
      <w:pPr>
        <w:spacing w:line="360" w:lineRule="auto"/>
        <w:jc w:val="center"/>
        <w:rPr>
          <w:rFonts w:ascii="Arial" w:hAnsi="Arial" w:cs="Arial"/>
        </w:rPr>
      </w:pPr>
      <w:r w:rsidRPr="00E62473">
        <w:rPr>
          <w:rFonts w:ascii="Arial" w:hAnsi="Arial" w:cs="Arial"/>
        </w:rPr>
        <w:fldChar w:fldCharType="begin"/>
      </w:r>
      <w:r w:rsidRPr="00E62473">
        <w:rPr>
          <w:rFonts w:ascii="Arial" w:hAnsi="Arial" w:cs="Arial"/>
        </w:rPr>
        <w:instrText xml:space="preserve"> INCLUDEPICTURE "https://tukuz.com/wp-content/uploads/2021/06/university-of-wales-trinity-saint-david-logo-vector.png" \* MERGEFORMATINET </w:instrText>
      </w:r>
      <w:r w:rsidRPr="00E62473">
        <w:rPr>
          <w:rFonts w:ascii="Arial" w:hAnsi="Arial" w:cs="Arial"/>
        </w:rPr>
        <w:fldChar w:fldCharType="separate"/>
      </w:r>
      <w:r w:rsidRPr="00E62473">
        <w:rPr>
          <w:rFonts w:ascii="Arial" w:hAnsi="Arial" w:cs="Arial"/>
          <w:noProof/>
        </w:rPr>
        <w:drawing>
          <wp:inline distT="0" distB="0" distL="0" distR="0" wp14:anchorId="23D52F08" wp14:editId="447A1914">
            <wp:extent cx="3990814" cy="2218691"/>
            <wp:effectExtent l="0" t="0" r="0" b="3810"/>
            <wp:docPr id="450124134"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24134" name="Picture 1"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7026" cy="2233264"/>
                    </a:xfrm>
                    <a:prstGeom prst="rect">
                      <a:avLst/>
                    </a:prstGeom>
                    <a:noFill/>
                    <a:ln>
                      <a:noFill/>
                    </a:ln>
                  </pic:spPr>
                </pic:pic>
              </a:graphicData>
            </a:graphic>
          </wp:inline>
        </w:drawing>
      </w:r>
      <w:r w:rsidRPr="00E62473">
        <w:rPr>
          <w:rFonts w:ascii="Arial" w:hAnsi="Arial" w:cs="Arial"/>
        </w:rPr>
        <w:fldChar w:fldCharType="end"/>
      </w:r>
    </w:p>
    <w:p w14:paraId="7D8F8426" w14:textId="77777777" w:rsidR="00B145B3" w:rsidRPr="00E62473" w:rsidRDefault="00B145B3" w:rsidP="00E62473">
      <w:pPr>
        <w:spacing w:line="360" w:lineRule="auto"/>
        <w:jc w:val="both"/>
        <w:rPr>
          <w:rFonts w:ascii="Arial" w:hAnsi="Arial" w:cs="Arial"/>
        </w:rPr>
      </w:pPr>
    </w:p>
    <w:p w14:paraId="0726FD75" w14:textId="77777777" w:rsidR="003A53C4" w:rsidRPr="00E62473" w:rsidRDefault="003A53C4" w:rsidP="00E62473">
      <w:pPr>
        <w:spacing w:line="360" w:lineRule="auto"/>
        <w:jc w:val="center"/>
        <w:rPr>
          <w:rFonts w:ascii="Arial" w:hAnsi="Arial" w:cs="Arial"/>
          <w:b/>
          <w:bCs/>
        </w:rPr>
      </w:pPr>
      <w:r w:rsidRPr="00E62473">
        <w:rPr>
          <w:rFonts w:ascii="Arial" w:hAnsi="Arial" w:cs="Arial"/>
          <w:b/>
          <w:bCs/>
        </w:rPr>
        <w:t>Programme: BA (Hons) Leadership and Management Skills for the Workplace</w:t>
      </w:r>
    </w:p>
    <w:p w14:paraId="7DD62A72" w14:textId="77777777" w:rsidR="003A53C4" w:rsidRPr="00E62473" w:rsidRDefault="003A53C4" w:rsidP="00E62473">
      <w:pPr>
        <w:spacing w:line="360" w:lineRule="auto"/>
        <w:jc w:val="center"/>
        <w:rPr>
          <w:rFonts w:ascii="Arial" w:hAnsi="Arial" w:cs="Arial"/>
          <w:b/>
          <w:bCs/>
        </w:rPr>
      </w:pPr>
    </w:p>
    <w:p w14:paraId="1C27596B" w14:textId="77F39946" w:rsidR="003A53C4" w:rsidRPr="00E62473" w:rsidRDefault="003A53C4" w:rsidP="00E62473">
      <w:pPr>
        <w:spacing w:line="360" w:lineRule="auto"/>
        <w:jc w:val="center"/>
        <w:rPr>
          <w:rFonts w:ascii="Arial" w:hAnsi="Arial" w:cs="Arial"/>
          <w:b/>
          <w:bCs/>
        </w:rPr>
      </w:pPr>
      <w:r w:rsidRPr="00E62473">
        <w:rPr>
          <w:rFonts w:ascii="Arial" w:hAnsi="Arial" w:cs="Arial"/>
          <w:b/>
          <w:bCs/>
        </w:rPr>
        <w:t xml:space="preserve">Module: </w:t>
      </w:r>
      <w:r w:rsidR="0063092B" w:rsidRPr="00E62473">
        <w:rPr>
          <w:rFonts w:ascii="Arial" w:hAnsi="Arial" w:cs="Arial"/>
          <w:b/>
          <w:bCs/>
        </w:rPr>
        <w:t>Developing and Managing Individuals and Teams</w:t>
      </w:r>
    </w:p>
    <w:p w14:paraId="2C9E170B" w14:textId="77777777" w:rsidR="003A53C4" w:rsidRPr="00E62473" w:rsidRDefault="003A53C4" w:rsidP="00E62473">
      <w:pPr>
        <w:spacing w:line="360" w:lineRule="auto"/>
        <w:jc w:val="center"/>
        <w:rPr>
          <w:rFonts w:ascii="Arial" w:hAnsi="Arial" w:cs="Arial"/>
          <w:b/>
          <w:bCs/>
        </w:rPr>
      </w:pPr>
    </w:p>
    <w:p w14:paraId="47E6CB2D" w14:textId="0B970BBC" w:rsidR="003A53C4" w:rsidRPr="00E62473" w:rsidRDefault="003A53C4" w:rsidP="00E62473">
      <w:pPr>
        <w:spacing w:line="360" w:lineRule="auto"/>
        <w:jc w:val="center"/>
        <w:rPr>
          <w:rFonts w:ascii="Arial" w:hAnsi="Arial" w:cs="Arial"/>
          <w:b/>
          <w:bCs/>
        </w:rPr>
      </w:pPr>
      <w:r w:rsidRPr="00E62473">
        <w:rPr>
          <w:rFonts w:ascii="Arial" w:hAnsi="Arial" w:cs="Arial"/>
          <w:b/>
          <w:bCs/>
        </w:rPr>
        <w:t>Module code: LCLM500</w:t>
      </w:r>
      <w:r w:rsidRPr="00E62473">
        <w:rPr>
          <w:rFonts w:ascii="Arial" w:hAnsi="Arial" w:cs="Arial"/>
          <w:b/>
          <w:bCs/>
        </w:rPr>
        <w:t>2</w:t>
      </w:r>
    </w:p>
    <w:p w14:paraId="7C0D5071" w14:textId="77777777" w:rsidR="003A53C4" w:rsidRPr="00E62473" w:rsidRDefault="003A53C4" w:rsidP="00E62473">
      <w:pPr>
        <w:spacing w:line="360" w:lineRule="auto"/>
        <w:jc w:val="center"/>
        <w:rPr>
          <w:rFonts w:ascii="Arial" w:hAnsi="Arial" w:cs="Arial"/>
          <w:b/>
          <w:bCs/>
        </w:rPr>
      </w:pPr>
    </w:p>
    <w:p w14:paraId="25D3E9C0" w14:textId="31A6CAE1" w:rsidR="003A53C4" w:rsidRPr="00E62473" w:rsidRDefault="003A53C4" w:rsidP="00E62473">
      <w:pPr>
        <w:spacing w:line="360" w:lineRule="auto"/>
        <w:jc w:val="center"/>
        <w:rPr>
          <w:rFonts w:ascii="Arial" w:hAnsi="Arial" w:cs="Arial"/>
          <w:b/>
          <w:bCs/>
        </w:rPr>
      </w:pPr>
      <w:r w:rsidRPr="00E62473">
        <w:rPr>
          <w:rFonts w:ascii="Arial" w:hAnsi="Arial" w:cs="Arial"/>
          <w:b/>
          <w:bCs/>
        </w:rPr>
        <w:t xml:space="preserve">Module Lecturer: </w:t>
      </w:r>
      <w:proofErr w:type="spellStart"/>
      <w:r w:rsidR="00F70A4B">
        <w:rPr>
          <w:rFonts w:ascii="Arial" w:hAnsi="Arial" w:cs="Arial"/>
          <w:b/>
          <w:bCs/>
        </w:rPr>
        <w:t>Sukhpreet</w:t>
      </w:r>
      <w:proofErr w:type="spellEnd"/>
      <w:r w:rsidR="00F70A4B">
        <w:rPr>
          <w:rFonts w:ascii="Arial" w:hAnsi="Arial" w:cs="Arial"/>
          <w:b/>
          <w:bCs/>
        </w:rPr>
        <w:t xml:space="preserve"> Grewal</w:t>
      </w:r>
    </w:p>
    <w:p w14:paraId="4DBB3767" w14:textId="77777777" w:rsidR="003A53C4" w:rsidRPr="00E62473" w:rsidRDefault="003A53C4" w:rsidP="00E62473">
      <w:pPr>
        <w:spacing w:line="360" w:lineRule="auto"/>
        <w:jc w:val="center"/>
        <w:rPr>
          <w:rFonts w:ascii="Arial" w:hAnsi="Arial" w:cs="Arial"/>
          <w:b/>
          <w:bCs/>
        </w:rPr>
      </w:pPr>
    </w:p>
    <w:p w14:paraId="1C11E6FF" w14:textId="19089196" w:rsidR="0063092B" w:rsidRPr="00E62473" w:rsidRDefault="003A53C4" w:rsidP="00E62473">
      <w:pPr>
        <w:spacing w:line="360" w:lineRule="auto"/>
        <w:jc w:val="center"/>
        <w:rPr>
          <w:rFonts w:ascii="Arial" w:hAnsi="Arial" w:cs="Arial"/>
          <w:b/>
          <w:bCs/>
        </w:rPr>
      </w:pPr>
      <w:r w:rsidRPr="00E62473">
        <w:rPr>
          <w:rFonts w:ascii="Arial" w:hAnsi="Arial" w:cs="Arial"/>
          <w:b/>
          <w:bCs/>
        </w:rPr>
        <w:t xml:space="preserve">Assignment Title: </w:t>
      </w:r>
      <w:r w:rsidR="0063092B" w:rsidRPr="00E62473">
        <w:rPr>
          <w:rFonts w:ascii="Arial" w:hAnsi="Arial" w:cs="Arial"/>
          <w:b/>
          <w:bCs/>
        </w:rPr>
        <w:t>Individual Report</w:t>
      </w:r>
    </w:p>
    <w:p w14:paraId="6EC115AC" w14:textId="77777777" w:rsidR="003A53C4" w:rsidRPr="00E62473" w:rsidRDefault="003A53C4" w:rsidP="00E62473">
      <w:pPr>
        <w:spacing w:line="360" w:lineRule="auto"/>
        <w:jc w:val="center"/>
        <w:rPr>
          <w:rFonts w:ascii="Arial" w:hAnsi="Arial" w:cs="Arial"/>
          <w:b/>
          <w:bCs/>
        </w:rPr>
      </w:pPr>
    </w:p>
    <w:p w14:paraId="006966DE" w14:textId="015B744C" w:rsidR="003A53C4" w:rsidRPr="00E62473" w:rsidRDefault="003A53C4" w:rsidP="00E62473">
      <w:pPr>
        <w:spacing w:line="360" w:lineRule="auto"/>
        <w:jc w:val="center"/>
        <w:rPr>
          <w:rFonts w:ascii="Arial" w:hAnsi="Arial" w:cs="Arial"/>
          <w:b/>
          <w:bCs/>
        </w:rPr>
      </w:pPr>
      <w:r w:rsidRPr="00E62473">
        <w:rPr>
          <w:rFonts w:ascii="Arial" w:hAnsi="Arial" w:cs="Arial"/>
          <w:b/>
          <w:bCs/>
        </w:rPr>
        <w:t xml:space="preserve">Chosen Company: </w:t>
      </w:r>
      <w:r w:rsidR="002D32D6" w:rsidRPr="00E62473">
        <w:rPr>
          <w:rFonts w:ascii="Arial" w:hAnsi="Arial" w:cs="Arial"/>
          <w:b/>
          <w:bCs/>
        </w:rPr>
        <w:t xml:space="preserve">John Lewis </w:t>
      </w:r>
      <w:r w:rsidR="004015F8" w:rsidRPr="00E62473">
        <w:rPr>
          <w:rFonts w:ascii="Arial" w:hAnsi="Arial" w:cs="Arial"/>
          <w:b/>
          <w:bCs/>
        </w:rPr>
        <w:t>Partnership</w:t>
      </w:r>
      <w:r w:rsidR="004015F8" w:rsidRPr="00E62473">
        <w:rPr>
          <w:rFonts w:ascii="Arial" w:hAnsi="Arial" w:cs="Arial"/>
          <w:b/>
          <w:bCs/>
        </w:rPr>
        <w:t xml:space="preserve"> (JLP)</w:t>
      </w:r>
    </w:p>
    <w:p w14:paraId="669BFE08" w14:textId="77777777" w:rsidR="003A53C4" w:rsidRPr="00E62473" w:rsidRDefault="003A53C4" w:rsidP="00E62473">
      <w:pPr>
        <w:spacing w:line="360" w:lineRule="auto"/>
        <w:jc w:val="center"/>
        <w:rPr>
          <w:rFonts w:ascii="Arial" w:hAnsi="Arial" w:cs="Arial"/>
          <w:b/>
          <w:bCs/>
        </w:rPr>
      </w:pPr>
    </w:p>
    <w:p w14:paraId="096D5945" w14:textId="77777777" w:rsidR="003A53C4" w:rsidRPr="00E62473" w:rsidRDefault="003A53C4" w:rsidP="00E62473">
      <w:pPr>
        <w:spacing w:line="360" w:lineRule="auto"/>
        <w:jc w:val="center"/>
        <w:rPr>
          <w:rFonts w:ascii="Arial" w:hAnsi="Arial" w:cs="Arial"/>
          <w:b/>
          <w:bCs/>
        </w:rPr>
      </w:pPr>
      <w:r w:rsidRPr="00E62473">
        <w:rPr>
          <w:rFonts w:ascii="Arial" w:hAnsi="Arial" w:cs="Arial"/>
          <w:b/>
          <w:bCs/>
        </w:rPr>
        <w:t xml:space="preserve">Student Name: Nicola </w:t>
      </w:r>
      <w:proofErr w:type="spellStart"/>
      <w:r w:rsidRPr="00E62473">
        <w:rPr>
          <w:rFonts w:ascii="Arial" w:hAnsi="Arial" w:cs="Arial"/>
          <w:b/>
          <w:bCs/>
        </w:rPr>
        <w:t>Majasi</w:t>
      </w:r>
      <w:proofErr w:type="spellEnd"/>
    </w:p>
    <w:p w14:paraId="43065E32" w14:textId="77777777" w:rsidR="003A53C4" w:rsidRPr="00E62473" w:rsidRDefault="003A53C4" w:rsidP="00E62473">
      <w:pPr>
        <w:spacing w:line="360" w:lineRule="auto"/>
        <w:jc w:val="center"/>
        <w:rPr>
          <w:rFonts w:ascii="Arial" w:hAnsi="Arial" w:cs="Arial"/>
          <w:b/>
          <w:bCs/>
        </w:rPr>
      </w:pPr>
    </w:p>
    <w:p w14:paraId="66586B7E" w14:textId="77777777" w:rsidR="003A53C4" w:rsidRPr="00E62473" w:rsidRDefault="003A53C4" w:rsidP="00E62473">
      <w:pPr>
        <w:spacing w:line="360" w:lineRule="auto"/>
        <w:jc w:val="center"/>
        <w:rPr>
          <w:rFonts w:ascii="Arial" w:hAnsi="Arial" w:cs="Arial"/>
          <w:b/>
          <w:bCs/>
        </w:rPr>
      </w:pPr>
      <w:r w:rsidRPr="00E62473">
        <w:rPr>
          <w:rFonts w:ascii="Arial" w:hAnsi="Arial" w:cs="Arial"/>
          <w:b/>
          <w:bCs/>
        </w:rPr>
        <w:t>Student ID: 2119679</w:t>
      </w:r>
    </w:p>
    <w:p w14:paraId="6920BDFA" w14:textId="77777777" w:rsidR="003A53C4" w:rsidRPr="00E62473" w:rsidRDefault="003A53C4" w:rsidP="00E62473">
      <w:pPr>
        <w:spacing w:line="360" w:lineRule="auto"/>
        <w:jc w:val="center"/>
        <w:rPr>
          <w:rFonts w:ascii="Arial" w:hAnsi="Arial" w:cs="Arial"/>
          <w:b/>
          <w:bCs/>
        </w:rPr>
      </w:pPr>
    </w:p>
    <w:p w14:paraId="28250DAB" w14:textId="2B008C19" w:rsidR="003A53C4" w:rsidRPr="00E62473" w:rsidRDefault="003A53C4" w:rsidP="00E62473">
      <w:pPr>
        <w:spacing w:line="360" w:lineRule="auto"/>
        <w:jc w:val="center"/>
        <w:rPr>
          <w:rFonts w:ascii="Arial" w:hAnsi="Arial" w:cs="Arial"/>
          <w:b/>
          <w:bCs/>
        </w:rPr>
      </w:pPr>
      <w:r w:rsidRPr="00E62473">
        <w:rPr>
          <w:rFonts w:ascii="Arial" w:hAnsi="Arial" w:cs="Arial"/>
          <w:b/>
          <w:bCs/>
        </w:rPr>
        <w:t xml:space="preserve">Word Count: </w:t>
      </w:r>
      <w:r w:rsidR="005853B7">
        <w:rPr>
          <w:rFonts w:ascii="Arial" w:hAnsi="Arial" w:cs="Arial"/>
          <w:b/>
          <w:bCs/>
        </w:rPr>
        <w:t>2,147 (within 10% margin)</w:t>
      </w:r>
    </w:p>
    <w:p w14:paraId="308A178A" w14:textId="77777777" w:rsidR="003A53C4" w:rsidRPr="00E62473" w:rsidRDefault="003A53C4" w:rsidP="00E62473">
      <w:pPr>
        <w:spacing w:line="360" w:lineRule="auto"/>
        <w:jc w:val="center"/>
        <w:rPr>
          <w:rFonts w:ascii="Arial" w:hAnsi="Arial" w:cs="Arial"/>
          <w:b/>
          <w:bCs/>
        </w:rPr>
      </w:pPr>
    </w:p>
    <w:p w14:paraId="3CB5C85F" w14:textId="119CC8F4" w:rsidR="003A53C4" w:rsidRPr="00E62473" w:rsidRDefault="003A53C4" w:rsidP="00E62473">
      <w:pPr>
        <w:spacing w:line="360" w:lineRule="auto"/>
        <w:jc w:val="center"/>
        <w:rPr>
          <w:rFonts w:ascii="Arial" w:hAnsi="Arial" w:cs="Arial"/>
          <w:b/>
          <w:bCs/>
        </w:rPr>
      </w:pPr>
      <w:r w:rsidRPr="00E62473">
        <w:rPr>
          <w:rFonts w:ascii="Arial" w:hAnsi="Arial" w:cs="Arial"/>
          <w:b/>
          <w:bCs/>
        </w:rPr>
        <w:t>Submission Date: 1</w:t>
      </w:r>
      <w:r w:rsidR="0063092B" w:rsidRPr="00E62473">
        <w:rPr>
          <w:rFonts w:ascii="Arial" w:hAnsi="Arial" w:cs="Arial"/>
          <w:b/>
          <w:bCs/>
        </w:rPr>
        <w:t>8</w:t>
      </w:r>
      <w:r w:rsidRPr="00E62473">
        <w:rPr>
          <w:rFonts w:ascii="Arial" w:hAnsi="Arial" w:cs="Arial"/>
          <w:b/>
          <w:bCs/>
          <w:vertAlign w:val="superscript"/>
        </w:rPr>
        <w:t>th</w:t>
      </w:r>
      <w:r w:rsidRPr="00E62473">
        <w:rPr>
          <w:rFonts w:ascii="Arial" w:hAnsi="Arial" w:cs="Arial"/>
          <w:b/>
          <w:bCs/>
        </w:rPr>
        <w:t xml:space="preserve"> of August 2026</w:t>
      </w:r>
    </w:p>
    <w:p w14:paraId="0EB11586" w14:textId="77777777" w:rsidR="00B145B3" w:rsidRPr="00E62473" w:rsidRDefault="00B145B3" w:rsidP="00E62473">
      <w:pPr>
        <w:spacing w:line="360" w:lineRule="auto"/>
        <w:jc w:val="center"/>
        <w:rPr>
          <w:rFonts w:ascii="Arial" w:hAnsi="Arial" w:cs="Arial"/>
        </w:rPr>
      </w:pPr>
    </w:p>
    <w:p w14:paraId="6D3BA332" w14:textId="77777777" w:rsidR="00B145B3" w:rsidRPr="00E62473" w:rsidRDefault="00B145B3" w:rsidP="00E62473">
      <w:pPr>
        <w:spacing w:line="360" w:lineRule="auto"/>
        <w:jc w:val="both"/>
        <w:rPr>
          <w:rFonts w:ascii="Arial" w:hAnsi="Arial" w:cs="Arial"/>
        </w:rPr>
      </w:pPr>
    </w:p>
    <w:p w14:paraId="60379943" w14:textId="77777777" w:rsidR="00B145B3" w:rsidRPr="00E62473" w:rsidRDefault="00B145B3" w:rsidP="00E62473">
      <w:pPr>
        <w:spacing w:line="360" w:lineRule="auto"/>
        <w:jc w:val="both"/>
        <w:rPr>
          <w:rFonts w:ascii="Arial" w:hAnsi="Arial" w:cs="Arial"/>
        </w:rPr>
      </w:pPr>
    </w:p>
    <w:p w14:paraId="5BA75428" w14:textId="77777777" w:rsidR="0063092B" w:rsidRPr="00E62473" w:rsidRDefault="0063092B" w:rsidP="00E62473">
      <w:pPr>
        <w:spacing w:line="360" w:lineRule="auto"/>
        <w:jc w:val="both"/>
        <w:rPr>
          <w:rFonts w:ascii="Arial" w:hAnsi="Arial" w:cs="Arial"/>
        </w:rPr>
      </w:pPr>
    </w:p>
    <w:sdt>
      <w:sdtPr>
        <w:rPr>
          <w:rFonts w:ascii="Arial" w:hAnsi="Arial" w:cs="Arial"/>
          <w:sz w:val="24"/>
          <w:szCs w:val="24"/>
        </w:rPr>
        <w:id w:val="58920335"/>
        <w:docPartObj>
          <w:docPartGallery w:val="Table of Contents"/>
          <w:docPartUnique/>
        </w:docPartObj>
      </w:sdtPr>
      <w:sdtEndPr>
        <w:rPr>
          <w:rFonts w:eastAsiaTheme="minorHAnsi"/>
          <w:noProof/>
          <w:color w:val="auto"/>
          <w:kern w:val="2"/>
          <w:lang w:val="en-GB"/>
          <w14:ligatures w14:val="standardContextual"/>
        </w:rPr>
      </w:sdtEndPr>
      <w:sdtContent>
        <w:p w14:paraId="6DE748F7" w14:textId="60555964" w:rsidR="00E62473" w:rsidRPr="00EF06EE" w:rsidRDefault="00E62473" w:rsidP="00E62473">
          <w:pPr>
            <w:pStyle w:val="TOCHeading"/>
            <w:spacing w:line="360" w:lineRule="auto"/>
            <w:jc w:val="both"/>
            <w:rPr>
              <w:rFonts w:ascii="Arial" w:hAnsi="Arial" w:cs="Arial"/>
            </w:rPr>
          </w:pPr>
          <w:r w:rsidRPr="00EF06EE">
            <w:rPr>
              <w:rFonts w:ascii="Arial" w:hAnsi="Arial" w:cs="Arial"/>
            </w:rPr>
            <w:t>Table of Contents</w:t>
          </w:r>
        </w:p>
        <w:p w14:paraId="5935E519" w14:textId="3802545B" w:rsidR="00E62473" w:rsidRPr="00E62473" w:rsidRDefault="00E62473" w:rsidP="00E62473">
          <w:pPr>
            <w:pStyle w:val="TOC1"/>
            <w:tabs>
              <w:tab w:val="right" w:leader="dot" w:pos="9016"/>
            </w:tabs>
            <w:spacing w:line="360" w:lineRule="auto"/>
            <w:jc w:val="both"/>
            <w:rPr>
              <w:rFonts w:ascii="Arial" w:hAnsi="Arial" w:cs="Arial"/>
              <w:noProof/>
              <w:sz w:val="24"/>
              <w:szCs w:val="24"/>
            </w:rPr>
          </w:pPr>
          <w:r w:rsidRPr="00E62473">
            <w:rPr>
              <w:rFonts w:ascii="Arial" w:hAnsi="Arial" w:cs="Arial"/>
              <w:b w:val="0"/>
              <w:bCs w:val="0"/>
              <w:sz w:val="24"/>
              <w:szCs w:val="24"/>
            </w:rPr>
            <w:fldChar w:fldCharType="begin"/>
          </w:r>
          <w:r w:rsidRPr="00E62473">
            <w:rPr>
              <w:rFonts w:ascii="Arial" w:hAnsi="Arial" w:cs="Arial"/>
              <w:sz w:val="24"/>
              <w:szCs w:val="24"/>
            </w:rPr>
            <w:instrText xml:space="preserve"> TOC \o "1-3" \h \z \u </w:instrText>
          </w:r>
          <w:r w:rsidRPr="00E62473">
            <w:rPr>
              <w:rFonts w:ascii="Arial" w:hAnsi="Arial" w:cs="Arial"/>
              <w:b w:val="0"/>
              <w:bCs w:val="0"/>
              <w:sz w:val="24"/>
              <w:szCs w:val="24"/>
            </w:rPr>
            <w:fldChar w:fldCharType="separate"/>
          </w:r>
          <w:hyperlink w:anchor="_Toc237947664" w:history="1">
            <w:r w:rsidRPr="00E62473">
              <w:rPr>
                <w:rStyle w:val="Hyperlink"/>
                <w:rFonts w:ascii="Arial" w:hAnsi="Arial" w:cs="Arial"/>
                <w:noProof/>
                <w:sz w:val="24"/>
                <w:szCs w:val="24"/>
              </w:rPr>
              <w:t>1. Introduction</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_Toc237947664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3</w:t>
            </w:r>
            <w:r w:rsidRPr="00E62473">
              <w:rPr>
                <w:rFonts w:ascii="Arial" w:hAnsi="Arial" w:cs="Arial"/>
                <w:noProof/>
                <w:webHidden/>
                <w:sz w:val="24"/>
                <w:szCs w:val="24"/>
              </w:rPr>
              <w:fldChar w:fldCharType="end"/>
            </w:r>
          </w:hyperlink>
        </w:p>
        <w:p w14:paraId="03A2CAAD" w14:textId="3DD802B4" w:rsidR="00E62473" w:rsidRPr="00E62473" w:rsidRDefault="00E62473" w:rsidP="00E62473">
          <w:pPr>
            <w:pStyle w:val="TOC1"/>
            <w:tabs>
              <w:tab w:val="right" w:leader="dot" w:pos="9016"/>
            </w:tabs>
            <w:spacing w:line="360" w:lineRule="auto"/>
            <w:jc w:val="both"/>
            <w:rPr>
              <w:rFonts w:ascii="Arial" w:hAnsi="Arial" w:cs="Arial"/>
              <w:noProof/>
              <w:sz w:val="24"/>
              <w:szCs w:val="24"/>
            </w:rPr>
          </w:pPr>
          <w:hyperlink w:anchor="_Toc237947665" w:history="1">
            <w:r w:rsidRPr="00E62473">
              <w:rPr>
                <w:rStyle w:val="Hyperlink"/>
                <w:rFonts w:ascii="Arial" w:hAnsi="Arial" w:cs="Arial"/>
                <w:noProof/>
                <w:sz w:val="24"/>
                <w:szCs w:val="24"/>
              </w:rPr>
              <w:t>2. Explanation of Key Organisational Factors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_Toc237947665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3</w:t>
            </w:r>
            <w:r w:rsidRPr="00E62473">
              <w:rPr>
                <w:rFonts w:ascii="Arial" w:hAnsi="Arial" w:cs="Arial"/>
                <w:noProof/>
                <w:webHidden/>
                <w:sz w:val="24"/>
                <w:szCs w:val="24"/>
              </w:rPr>
              <w:fldChar w:fldCharType="end"/>
            </w:r>
          </w:hyperlink>
        </w:p>
        <w:p w14:paraId="1745F31E" w14:textId="68D03825"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66" w:history="1">
            <w:r w:rsidRPr="00E62473">
              <w:rPr>
                <w:rStyle w:val="Hyperlink"/>
                <w:rFonts w:ascii="Arial" w:hAnsi="Arial" w:cs="Arial"/>
                <w:b/>
                <w:bCs/>
                <w:noProof/>
                <w:sz w:val="24"/>
                <w:szCs w:val="24"/>
              </w:rPr>
              <w:t>2.1 Adapting to Technological Advancements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_Toc237947666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3</w:t>
            </w:r>
            <w:r w:rsidRPr="00E62473">
              <w:rPr>
                <w:rFonts w:ascii="Arial" w:hAnsi="Arial" w:cs="Arial"/>
                <w:noProof/>
                <w:webHidden/>
                <w:sz w:val="24"/>
                <w:szCs w:val="24"/>
              </w:rPr>
              <w:fldChar w:fldCharType="end"/>
            </w:r>
          </w:hyperlink>
        </w:p>
        <w:p w14:paraId="718C7613" w14:textId="7CB7355D"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67" w:history="1">
            <w:r w:rsidRPr="00E62473">
              <w:rPr>
                <w:rStyle w:val="Hyperlink"/>
                <w:rFonts w:ascii="Arial" w:hAnsi="Arial" w:cs="Arial"/>
                <w:b/>
                <w:bCs/>
                <w:noProof/>
                <w:sz w:val="24"/>
                <w:szCs w:val="24"/>
              </w:rPr>
              <w:t>2.2 Talent Acquisition and Retention</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_Toc237947667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4</w:t>
            </w:r>
            <w:r w:rsidRPr="00E62473">
              <w:rPr>
                <w:rFonts w:ascii="Arial" w:hAnsi="Arial" w:cs="Arial"/>
                <w:noProof/>
                <w:webHidden/>
                <w:sz w:val="24"/>
                <w:szCs w:val="24"/>
              </w:rPr>
              <w:fldChar w:fldCharType="end"/>
            </w:r>
          </w:hyperlink>
        </w:p>
        <w:p w14:paraId="349AAF3D" w14:textId="29EE286C"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68" w:history="1">
            <w:r w:rsidRPr="00E62473">
              <w:rPr>
                <w:rStyle w:val="Hyperlink"/>
                <w:rFonts w:ascii="Arial" w:hAnsi="Arial" w:cs="Arial"/>
                <w:b/>
                <w:bCs/>
                <w:noProof/>
                <w:sz w:val="24"/>
                <w:szCs w:val="24"/>
              </w:rPr>
              <w:t>2.3 Diversity, Equity and Inclusion</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_Toc237947668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4</w:t>
            </w:r>
            <w:r w:rsidRPr="00E62473">
              <w:rPr>
                <w:rFonts w:ascii="Arial" w:hAnsi="Arial" w:cs="Arial"/>
                <w:noProof/>
                <w:webHidden/>
                <w:sz w:val="24"/>
                <w:szCs w:val="24"/>
              </w:rPr>
              <w:fldChar w:fldCharType="end"/>
            </w:r>
          </w:hyperlink>
        </w:p>
        <w:p w14:paraId="2D418610" w14:textId="5B23FB53" w:rsidR="00E62473" w:rsidRPr="00E62473" w:rsidRDefault="00E62473" w:rsidP="00E62473">
          <w:pPr>
            <w:pStyle w:val="TOC1"/>
            <w:tabs>
              <w:tab w:val="right" w:leader="dot" w:pos="9016"/>
            </w:tabs>
            <w:spacing w:line="360" w:lineRule="auto"/>
            <w:jc w:val="both"/>
            <w:rPr>
              <w:rFonts w:ascii="Arial" w:hAnsi="Arial" w:cs="Arial"/>
              <w:noProof/>
              <w:sz w:val="24"/>
              <w:szCs w:val="24"/>
            </w:rPr>
          </w:pPr>
          <w:hyperlink w:anchor="_Toc237947669" w:history="1">
            <w:r w:rsidRPr="00E62473">
              <w:rPr>
                <w:rStyle w:val="Hyperlink"/>
                <w:rFonts w:ascii="Arial" w:hAnsi="Arial" w:cs="Arial"/>
                <w:noProof/>
                <w:sz w:val="24"/>
                <w:szCs w:val="24"/>
              </w:rPr>
              <w:t>3. Evaluation of Contemporary HR Practices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_Toc237947669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5</w:t>
            </w:r>
            <w:r w:rsidRPr="00E62473">
              <w:rPr>
                <w:rFonts w:ascii="Arial" w:hAnsi="Arial" w:cs="Arial"/>
                <w:noProof/>
                <w:webHidden/>
                <w:sz w:val="24"/>
                <w:szCs w:val="24"/>
              </w:rPr>
              <w:fldChar w:fldCharType="end"/>
            </w:r>
          </w:hyperlink>
        </w:p>
        <w:p w14:paraId="45C0D18E" w14:textId="195FD318"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70" w:history="1">
            <w:r w:rsidRPr="00E62473">
              <w:rPr>
                <w:rStyle w:val="Hyperlink"/>
                <w:rFonts w:ascii="Arial" w:hAnsi="Arial" w:cs="Arial"/>
                <w:b/>
                <w:bCs/>
                <w:noProof/>
                <w:sz w:val="24"/>
                <w:szCs w:val="24"/>
              </w:rPr>
              <w:t>3.1 Digital HR Systems and Workforce Analytics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_Toc237947670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5</w:t>
            </w:r>
            <w:r w:rsidRPr="00E62473">
              <w:rPr>
                <w:rFonts w:ascii="Arial" w:hAnsi="Arial" w:cs="Arial"/>
                <w:noProof/>
                <w:webHidden/>
                <w:sz w:val="24"/>
                <w:szCs w:val="24"/>
              </w:rPr>
              <w:fldChar w:fldCharType="end"/>
            </w:r>
          </w:hyperlink>
        </w:p>
        <w:p w14:paraId="113401D7" w14:textId="74FDA34E"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71" w:history="1">
            <w:r w:rsidRPr="00E62473">
              <w:rPr>
                <w:rStyle w:val="Hyperlink"/>
                <w:rFonts w:ascii="Arial" w:hAnsi="Arial" w:cs="Arial"/>
                <w:b/>
                <w:bCs/>
                <w:noProof/>
                <w:sz w:val="24"/>
                <w:szCs w:val="24"/>
              </w:rPr>
              <w:t>3.2 Employer Branding and Retention Strategies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_Toc237947671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6</w:t>
            </w:r>
            <w:r w:rsidRPr="00E62473">
              <w:rPr>
                <w:rFonts w:ascii="Arial" w:hAnsi="Arial" w:cs="Arial"/>
                <w:noProof/>
                <w:webHidden/>
                <w:sz w:val="24"/>
                <w:szCs w:val="24"/>
              </w:rPr>
              <w:fldChar w:fldCharType="end"/>
            </w:r>
          </w:hyperlink>
        </w:p>
        <w:p w14:paraId="13375300" w14:textId="555F5A32" w:rsidR="00E62473" w:rsidRPr="00E62473" w:rsidRDefault="00E62473" w:rsidP="00E62473">
          <w:pPr>
            <w:pStyle w:val="TOC2"/>
            <w:tabs>
              <w:tab w:val="right" w:leader="dot" w:pos="9016"/>
            </w:tabs>
            <w:spacing w:line="360" w:lineRule="auto"/>
            <w:jc w:val="both"/>
            <w:rPr>
              <w:rFonts w:ascii="Arial" w:hAnsi="Arial" w:cs="Arial"/>
              <w:noProof/>
              <w:sz w:val="24"/>
              <w:szCs w:val="24"/>
            </w:rPr>
          </w:pPr>
          <w:hyperlink w:anchor="_Toc237947672" w:history="1">
            <w:r w:rsidRPr="00E62473">
              <w:rPr>
                <w:rStyle w:val="Hyperlink"/>
                <w:rFonts w:ascii="Arial" w:hAnsi="Arial" w:cs="Arial"/>
                <w:b/>
                <w:bCs/>
                <w:noProof/>
                <w:sz w:val="24"/>
                <w:szCs w:val="24"/>
              </w:rPr>
              <w:t>3.3 Inclusive Recruitment and DEI Leadership Development</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_Toc237947672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6</w:t>
            </w:r>
            <w:r w:rsidRPr="00E62473">
              <w:rPr>
                <w:rFonts w:ascii="Arial" w:hAnsi="Arial" w:cs="Arial"/>
                <w:noProof/>
                <w:webHidden/>
                <w:sz w:val="24"/>
                <w:szCs w:val="24"/>
              </w:rPr>
              <w:fldChar w:fldCharType="end"/>
            </w:r>
          </w:hyperlink>
        </w:p>
        <w:p w14:paraId="4C77DBD3" w14:textId="0880492C" w:rsidR="00E62473" w:rsidRPr="00E62473" w:rsidRDefault="00E62473" w:rsidP="00E62473">
          <w:pPr>
            <w:pStyle w:val="TOC1"/>
            <w:tabs>
              <w:tab w:val="right" w:leader="dot" w:pos="9016"/>
            </w:tabs>
            <w:spacing w:line="360" w:lineRule="auto"/>
            <w:jc w:val="both"/>
            <w:rPr>
              <w:rFonts w:ascii="Arial" w:hAnsi="Arial" w:cs="Arial"/>
              <w:noProof/>
              <w:sz w:val="24"/>
              <w:szCs w:val="24"/>
            </w:rPr>
          </w:pPr>
          <w:hyperlink w:anchor="_Toc237947673" w:history="1">
            <w:r w:rsidRPr="00E62473">
              <w:rPr>
                <w:rStyle w:val="Hyperlink"/>
                <w:rFonts w:ascii="Arial" w:hAnsi="Arial" w:cs="Arial"/>
                <w:noProof/>
                <w:sz w:val="24"/>
                <w:szCs w:val="24"/>
              </w:rPr>
              <w:t>4. Critical Evaluation of Managerial Implementation</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_Toc237947673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7</w:t>
            </w:r>
            <w:r w:rsidRPr="00E62473">
              <w:rPr>
                <w:rFonts w:ascii="Arial" w:hAnsi="Arial" w:cs="Arial"/>
                <w:noProof/>
                <w:webHidden/>
                <w:sz w:val="24"/>
                <w:szCs w:val="24"/>
              </w:rPr>
              <w:fldChar w:fldCharType="end"/>
            </w:r>
          </w:hyperlink>
        </w:p>
        <w:p w14:paraId="2D3909AA" w14:textId="25548DE6" w:rsidR="00E62473" w:rsidRPr="00E62473" w:rsidRDefault="00E62473" w:rsidP="00E62473">
          <w:pPr>
            <w:pStyle w:val="TOC1"/>
            <w:tabs>
              <w:tab w:val="right" w:leader="dot" w:pos="9016"/>
            </w:tabs>
            <w:spacing w:line="360" w:lineRule="auto"/>
            <w:jc w:val="both"/>
            <w:rPr>
              <w:rFonts w:ascii="Arial" w:hAnsi="Arial" w:cs="Arial"/>
              <w:noProof/>
              <w:sz w:val="24"/>
              <w:szCs w:val="24"/>
            </w:rPr>
          </w:pPr>
          <w:hyperlink w:anchor="_Toc237947674" w:history="1">
            <w:r w:rsidRPr="00E62473">
              <w:rPr>
                <w:rStyle w:val="Hyperlink"/>
                <w:rFonts w:ascii="Arial" w:hAnsi="Arial" w:cs="Arial"/>
                <w:noProof/>
                <w:sz w:val="24"/>
                <w:szCs w:val="24"/>
              </w:rPr>
              <w:t>5. Conclusion and Recommendations</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_Toc237947674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8</w:t>
            </w:r>
            <w:r w:rsidRPr="00E62473">
              <w:rPr>
                <w:rFonts w:ascii="Arial" w:hAnsi="Arial" w:cs="Arial"/>
                <w:noProof/>
                <w:webHidden/>
                <w:sz w:val="24"/>
                <w:szCs w:val="24"/>
              </w:rPr>
              <w:fldChar w:fldCharType="end"/>
            </w:r>
          </w:hyperlink>
        </w:p>
        <w:p w14:paraId="00349AB3" w14:textId="6C335FE0" w:rsidR="00E62473" w:rsidRPr="00E62473" w:rsidRDefault="00E62473" w:rsidP="00E62473">
          <w:pPr>
            <w:pStyle w:val="TOC1"/>
            <w:tabs>
              <w:tab w:val="right" w:leader="dot" w:pos="9016"/>
            </w:tabs>
            <w:spacing w:line="360" w:lineRule="auto"/>
            <w:jc w:val="both"/>
            <w:rPr>
              <w:rFonts w:ascii="Arial" w:hAnsi="Arial" w:cs="Arial"/>
              <w:noProof/>
              <w:sz w:val="24"/>
              <w:szCs w:val="24"/>
            </w:rPr>
          </w:pPr>
          <w:hyperlink w:anchor="_Toc237947675" w:history="1">
            <w:r w:rsidRPr="00E62473">
              <w:rPr>
                <w:rStyle w:val="Hyperlink"/>
                <w:rFonts w:ascii="Arial" w:hAnsi="Arial" w:cs="Arial"/>
                <w:noProof/>
                <w:sz w:val="24"/>
                <w:szCs w:val="24"/>
              </w:rPr>
              <w:t>6. Reference List</w:t>
            </w:r>
            <w:r w:rsidRPr="00E62473">
              <w:rPr>
                <w:rFonts w:ascii="Arial" w:hAnsi="Arial" w:cs="Arial"/>
                <w:noProof/>
                <w:webHidden/>
                <w:sz w:val="24"/>
                <w:szCs w:val="24"/>
              </w:rPr>
              <w:tab/>
            </w:r>
            <w:r w:rsidRPr="00E62473">
              <w:rPr>
                <w:rFonts w:ascii="Arial" w:hAnsi="Arial" w:cs="Arial"/>
                <w:noProof/>
                <w:webHidden/>
                <w:sz w:val="24"/>
                <w:szCs w:val="24"/>
              </w:rPr>
              <w:fldChar w:fldCharType="begin"/>
            </w:r>
            <w:r w:rsidRPr="00E62473">
              <w:rPr>
                <w:rFonts w:ascii="Arial" w:hAnsi="Arial" w:cs="Arial"/>
                <w:noProof/>
                <w:webHidden/>
                <w:sz w:val="24"/>
                <w:szCs w:val="24"/>
              </w:rPr>
              <w:instrText xml:space="preserve"> PAGEREF _Toc237947675 \h </w:instrText>
            </w:r>
            <w:r w:rsidRPr="00E62473">
              <w:rPr>
                <w:rFonts w:ascii="Arial" w:hAnsi="Arial" w:cs="Arial"/>
                <w:noProof/>
                <w:webHidden/>
                <w:sz w:val="24"/>
                <w:szCs w:val="24"/>
              </w:rPr>
            </w:r>
            <w:r w:rsidRPr="00E62473">
              <w:rPr>
                <w:rFonts w:ascii="Arial" w:hAnsi="Arial" w:cs="Arial"/>
                <w:noProof/>
                <w:webHidden/>
                <w:sz w:val="24"/>
                <w:szCs w:val="24"/>
              </w:rPr>
              <w:fldChar w:fldCharType="separate"/>
            </w:r>
            <w:r w:rsidR="00A323DF">
              <w:rPr>
                <w:rFonts w:ascii="Arial" w:hAnsi="Arial" w:cs="Arial"/>
                <w:noProof/>
                <w:webHidden/>
                <w:sz w:val="24"/>
                <w:szCs w:val="24"/>
              </w:rPr>
              <w:t>10</w:t>
            </w:r>
            <w:r w:rsidRPr="00E62473">
              <w:rPr>
                <w:rFonts w:ascii="Arial" w:hAnsi="Arial" w:cs="Arial"/>
                <w:noProof/>
                <w:webHidden/>
                <w:sz w:val="24"/>
                <w:szCs w:val="24"/>
              </w:rPr>
              <w:fldChar w:fldCharType="end"/>
            </w:r>
          </w:hyperlink>
        </w:p>
        <w:p w14:paraId="5CE726E9" w14:textId="4850D703" w:rsidR="00E62473" w:rsidRPr="00E62473" w:rsidRDefault="00E62473" w:rsidP="00E62473">
          <w:pPr>
            <w:spacing w:line="360" w:lineRule="auto"/>
            <w:jc w:val="both"/>
            <w:rPr>
              <w:rFonts w:ascii="Arial" w:hAnsi="Arial" w:cs="Arial"/>
            </w:rPr>
          </w:pPr>
          <w:r w:rsidRPr="00E62473">
            <w:rPr>
              <w:rFonts w:ascii="Arial" w:hAnsi="Arial" w:cs="Arial"/>
              <w:b/>
              <w:bCs/>
              <w:noProof/>
            </w:rPr>
            <w:fldChar w:fldCharType="end"/>
          </w:r>
        </w:p>
      </w:sdtContent>
    </w:sdt>
    <w:p w14:paraId="6C8A4A97" w14:textId="77777777" w:rsidR="0063092B" w:rsidRPr="00E62473" w:rsidRDefault="0063092B" w:rsidP="00E62473">
      <w:pPr>
        <w:spacing w:line="360" w:lineRule="auto"/>
        <w:jc w:val="both"/>
        <w:rPr>
          <w:rFonts w:ascii="Arial" w:hAnsi="Arial" w:cs="Arial"/>
        </w:rPr>
      </w:pPr>
    </w:p>
    <w:p w14:paraId="44FD8C26" w14:textId="77777777" w:rsidR="0063092B" w:rsidRPr="00E62473" w:rsidRDefault="0063092B" w:rsidP="00E62473">
      <w:pPr>
        <w:spacing w:line="360" w:lineRule="auto"/>
        <w:jc w:val="both"/>
        <w:rPr>
          <w:rFonts w:ascii="Arial" w:hAnsi="Arial" w:cs="Arial"/>
        </w:rPr>
      </w:pPr>
    </w:p>
    <w:p w14:paraId="0123D46B" w14:textId="77777777" w:rsidR="0063092B" w:rsidRDefault="0063092B" w:rsidP="00E62473">
      <w:pPr>
        <w:spacing w:line="360" w:lineRule="auto"/>
        <w:jc w:val="both"/>
        <w:rPr>
          <w:rFonts w:ascii="Arial" w:hAnsi="Arial" w:cs="Arial"/>
        </w:rPr>
      </w:pPr>
    </w:p>
    <w:p w14:paraId="671B94DC" w14:textId="77777777" w:rsidR="00EF06EE" w:rsidRDefault="00EF06EE" w:rsidP="00E62473">
      <w:pPr>
        <w:spacing w:line="360" w:lineRule="auto"/>
        <w:jc w:val="both"/>
        <w:rPr>
          <w:rFonts w:ascii="Arial" w:hAnsi="Arial" w:cs="Arial"/>
        </w:rPr>
      </w:pPr>
    </w:p>
    <w:p w14:paraId="08945F6A" w14:textId="77777777" w:rsidR="00EF06EE" w:rsidRDefault="00EF06EE" w:rsidP="00E62473">
      <w:pPr>
        <w:spacing w:line="360" w:lineRule="auto"/>
        <w:jc w:val="both"/>
        <w:rPr>
          <w:rFonts w:ascii="Arial" w:hAnsi="Arial" w:cs="Arial"/>
        </w:rPr>
      </w:pPr>
    </w:p>
    <w:p w14:paraId="569D0CF5" w14:textId="77777777" w:rsidR="00EF06EE" w:rsidRDefault="00EF06EE" w:rsidP="00E62473">
      <w:pPr>
        <w:spacing w:line="360" w:lineRule="auto"/>
        <w:jc w:val="both"/>
        <w:rPr>
          <w:rFonts w:ascii="Arial" w:hAnsi="Arial" w:cs="Arial"/>
        </w:rPr>
      </w:pPr>
    </w:p>
    <w:p w14:paraId="541C52B9" w14:textId="77777777" w:rsidR="00EF06EE" w:rsidRDefault="00EF06EE" w:rsidP="00E62473">
      <w:pPr>
        <w:spacing w:line="360" w:lineRule="auto"/>
        <w:jc w:val="both"/>
        <w:rPr>
          <w:rFonts w:ascii="Arial" w:hAnsi="Arial" w:cs="Arial"/>
        </w:rPr>
      </w:pPr>
    </w:p>
    <w:p w14:paraId="7E3C66C4" w14:textId="77777777" w:rsidR="00EF06EE" w:rsidRDefault="00EF06EE" w:rsidP="00E62473">
      <w:pPr>
        <w:spacing w:line="360" w:lineRule="auto"/>
        <w:jc w:val="both"/>
        <w:rPr>
          <w:rFonts w:ascii="Arial" w:hAnsi="Arial" w:cs="Arial"/>
        </w:rPr>
      </w:pPr>
    </w:p>
    <w:p w14:paraId="336031B6" w14:textId="77777777" w:rsidR="00EF06EE" w:rsidRDefault="00EF06EE" w:rsidP="00E62473">
      <w:pPr>
        <w:spacing w:line="360" w:lineRule="auto"/>
        <w:jc w:val="both"/>
        <w:rPr>
          <w:rFonts w:ascii="Arial" w:hAnsi="Arial" w:cs="Arial"/>
        </w:rPr>
      </w:pPr>
    </w:p>
    <w:p w14:paraId="2C93CB60" w14:textId="77777777" w:rsidR="00EF06EE" w:rsidRDefault="00EF06EE" w:rsidP="00E62473">
      <w:pPr>
        <w:spacing w:line="360" w:lineRule="auto"/>
        <w:jc w:val="both"/>
        <w:rPr>
          <w:rFonts w:ascii="Arial" w:hAnsi="Arial" w:cs="Arial"/>
        </w:rPr>
      </w:pPr>
    </w:p>
    <w:p w14:paraId="0B92F5F7" w14:textId="77777777" w:rsidR="00EF06EE" w:rsidRPr="00E62473" w:rsidRDefault="00EF06EE" w:rsidP="00E62473">
      <w:pPr>
        <w:spacing w:line="360" w:lineRule="auto"/>
        <w:jc w:val="both"/>
        <w:rPr>
          <w:rFonts w:ascii="Arial" w:hAnsi="Arial" w:cs="Arial"/>
        </w:rPr>
      </w:pPr>
    </w:p>
    <w:p w14:paraId="07FF5BB2" w14:textId="4DF668EB" w:rsidR="009B300F" w:rsidRPr="00E62473" w:rsidRDefault="00AE1B3F" w:rsidP="00E62473">
      <w:pPr>
        <w:pStyle w:val="Heading1"/>
        <w:spacing w:line="360" w:lineRule="auto"/>
        <w:jc w:val="both"/>
        <w:rPr>
          <w:rFonts w:ascii="Arial" w:hAnsi="Arial" w:cs="Arial"/>
          <w:b/>
          <w:bCs/>
          <w:sz w:val="24"/>
          <w:szCs w:val="24"/>
        </w:rPr>
      </w:pPr>
      <w:bookmarkStart w:id="0" w:name="_Toc237947664"/>
      <w:r w:rsidRPr="00E62473">
        <w:rPr>
          <w:rFonts w:ascii="Arial" w:hAnsi="Arial" w:cs="Arial"/>
          <w:b/>
          <w:bCs/>
          <w:sz w:val="24"/>
          <w:szCs w:val="24"/>
        </w:rPr>
        <w:lastRenderedPageBreak/>
        <w:t>1. Introduction</w:t>
      </w:r>
      <w:bookmarkEnd w:id="0"/>
    </w:p>
    <w:p w14:paraId="462151B1" w14:textId="05EBF97F" w:rsidR="00AE1B3F" w:rsidRPr="00E62473" w:rsidRDefault="007744C5" w:rsidP="00E62473">
      <w:pPr>
        <w:spacing w:line="360" w:lineRule="auto"/>
        <w:jc w:val="both"/>
        <w:rPr>
          <w:rFonts w:ascii="Arial" w:hAnsi="Arial" w:cs="Arial"/>
        </w:rPr>
      </w:pPr>
      <w:r w:rsidRPr="00E62473">
        <w:rPr>
          <w:rFonts w:ascii="Arial" w:hAnsi="Arial" w:cs="Arial"/>
        </w:rPr>
        <w:t xml:space="preserve">The John Lewis Partnership (JLP), largest employee-owned company in the UK, trading as John Lewis and Waitrose, is currently implementing long-term transformation plans involving major investments in technologies, stores and Partner remuneration (John Lewis Partnership, 2026). The report addresses three related contemporary HR issues faced by the Partnership: how to adapt to technological progress, how to recruit and retain talent, and how to implement diversity, equity and inclusion (DEI) concepts. Each of the aspects related to the issues is covered with respect to organisational performance, employee engagement and sustainability, followed by a critical assessment of contemporary HR practices dealing with these issues to be presented in the report next. Subsequently, the report discusses how the departmental managers can ensure the success of the practices discussed, relying on Armstrong and Taylor (2023) and Boxall and Purcell (2022) </w:t>
      </w:r>
      <w:proofErr w:type="gramStart"/>
      <w:r w:rsidRPr="00E62473">
        <w:rPr>
          <w:rFonts w:ascii="Arial" w:hAnsi="Arial" w:cs="Arial"/>
        </w:rPr>
        <w:t>in the course of</w:t>
      </w:r>
      <w:proofErr w:type="gramEnd"/>
      <w:r w:rsidRPr="00E62473">
        <w:rPr>
          <w:rFonts w:ascii="Arial" w:hAnsi="Arial" w:cs="Arial"/>
        </w:rPr>
        <w:t xml:space="preserve"> the endeavours. It provides practical recommendations for the JLP HR leadership on the issues in question and cites both academic literature and the authentic statistics on the UK labour market as the basis of the report throughout.</w:t>
      </w:r>
    </w:p>
    <w:p w14:paraId="26FEA53C" w14:textId="77777777" w:rsidR="006B7E23" w:rsidRPr="00E62473" w:rsidRDefault="006B7E23" w:rsidP="00E62473">
      <w:pPr>
        <w:spacing w:line="360" w:lineRule="auto"/>
        <w:jc w:val="both"/>
        <w:rPr>
          <w:rFonts w:ascii="Arial" w:hAnsi="Arial" w:cs="Arial"/>
        </w:rPr>
      </w:pPr>
    </w:p>
    <w:p w14:paraId="7C4456CF" w14:textId="77777777" w:rsidR="001A321A" w:rsidRPr="00E62473" w:rsidRDefault="001A321A" w:rsidP="00E62473">
      <w:pPr>
        <w:pStyle w:val="Heading1"/>
        <w:spacing w:line="360" w:lineRule="auto"/>
        <w:jc w:val="both"/>
        <w:rPr>
          <w:rFonts w:ascii="Arial" w:hAnsi="Arial" w:cs="Arial"/>
          <w:b/>
          <w:bCs/>
          <w:sz w:val="24"/>
          <w:szCs w:val="24"/>
        </w:rPr>
      </w:pPr>
      <w:bookmarkStart w:id="1" w:name="_Toc237947665"/>
      <w:r w:rsidRPr="00E62473">
        <w:rPr>
          <w:rFonts w:ascii="Arial" w:hAnsi="Arial" w:cs="Arial"/>
          <w:b/>
          <w:bCs/>
          <w:sz w:val="24"/>
          <w:szCs w:val="24"/>
        </w:rPr>
        <w:t>2. Explanation of Key Organisational Factors</w:t>
      </w:r>
      <w:bookmarkEnd w:id="1"/>
    </w:p>
    <w:p w14:paraId="6729991F" w14:textId="2F5736B0" w:rsidR="006B7E23" w:rsidRPr="00E62473" w:rsidRDefault="001A321A" w:rsidP="00E62473">
      <w:pPr>
        <w:pStyle w:val="Heading2"/>
        <w:spacing w:line="360" w:lineRule="auto"/>
        <w:jc w:val="both"/>
        <w:rPr>
          <w:rFonts w:ascii="Arial" w:hAnsi="Arial" w:cs="Arial"/>
          <w:b/>
          <w:bCs/>
          <w:sz w:val="24"/>
          <w:szCs w:val="24"/>
        </w:rPr>
      </w:pPr>
      <w:bookmarkStart w:id="2" w:name="_Toc237947666"/>
      <w:r w:rsidRPr="00E62473">
        <w:rPr>
          <w:rFonts w:ascii="Arial" w:hAnsi="Arial" w:cs="Arial"/>
          <w:b/>
          <w:bCs/>
          <w:sz w:val="24"/>
          <w:szCs w:val="24"/>
        </w:rPr>
        <w:t>2.1 Adapting to Technological Advancements</w:t>
      </w:r>
      <w:bookmarkEnd w:id="2"/>
    </w:p>
    <w:p w14:paraId="4AFE28CF" w14:textId="5C0B5C47" w:rsidR="001A321A" w:rsidRPr="00E62473" w:rsidRDefault="00973A2A" w:rsidP="00E62473">
      <w:pPr>
        <w:spacing w:line="360" w:lineRule="auto"/>
        <w:jc w:val="both"/>
        <w:rPr>
          <w:rFonts w:ascii="Arial" w:hAnsi="Arial" w:cs="Arial"/>
        </w:rPr>
      </w:pPr>
      <w:r w:rsidRPr="00E62473">
        <w:rPr>
          <w:rFonts w:ascii="Arial" w:hAnsi="Arial" w:cs="Arial"/>
        </w:rPr>
        <w:t xml:space="preserve">The retail sector has been transformed by automation, AI, and workforce analytics. The World Economic Forum (2025) predicts that 39% of important workplace capabilities globally will be changed by 2030 and that technological literacy is becoming more important among the employer’s requirements. With the rise of automation, JLP has improved its HR and payroll system. Specifically, it has written off £120 million in obsolete systems and concentrated on high-tech transformation projects (John Lewis Partnership, 2026). </w:t>
      </w:r>
      <w:proofErr w:type="spellStart"/>
      <w:r w:rsidRPr="00E62473">
        <w:rPr>
          <w:rFonts w:ascii="Arial" w:hAnsi="Arial" w:cs="Arial"/>
        </w:rPr>
        <w:t>Meijerink</w:t>
      </w:r>
      <w:proofErr w:type="spellEnd"/>
      <w:r w:rsidRPr="00E62473">
        <w:rPr>
          <w:rFonts w:ascii="Arial" w:hAnsi="Arial" w:cs="Arial"/>
        </w:rPr>
        <w:t xml:space="preserve"> et al. (2021) argue that algorithmic digital HRM has changed not only the processes but also the contracts as the human decisions made by managers now turn into data solutions. It complicates the workforce planning since JLP must foresee what jobs are going to vanish and help to retrain its employees rather than to fire them. At the same time, </w:t>
      </w:r>
      <w:proofErr w:type="spellStart"/>
      <w:r w:rsidRPr="00E62473">
        <w:rPr>
          <w:rFonts w:ascii="Arial" w:hAnsi="Arial" w:cs="Arial"/>
        </w:rPr>
        <w:t>Tursunbayeva</w:t>
      </w:r>
      <w:proofErr w:type="spellEnd"/>
      <w:r w:rsidRPr="00E62473">
        <w:rPr>
          <w:rFonts w:ascii="Arial" w:hAnsi="Arial" w:cs="Arial"/>
        </w:rPr>
        <w:t xml:space="preserve"> et al. (2022) express the opinion that people analytics brings out some ethical problems concerning transparency, consent, and surveillance.</w:t>
      </w:r>
    </w:p>
    <w:p w14:paraId="4664E97C" w14:textId="77777777" w:rsidR="00E6521D" w:rsidRPr="00E62473" w:rsidRDefault="00E6521D" w:rsidP="00E62473">
      <w:pPr>
        <w:spacing w:line="360" w:lineRule="auto"/>
        <w:jc w:val="both"/>
        <w:rPr>
          <w:rFonts w:ascii="Arial" w:hAnsi="Arial" w:cs="Arial"/>
        </w:rPr>
      </w:pPr>
    </w:p>
    <w:p w14:paraId="3C309D02" w14:textId="39B96810" w:rsidR="00E6521D" w:rsidRPr="00E62473" w:rsidRDefault="002E7421" w:rsidP="00E62473">
      <w:pPr>
        <w:pStyle w:val="Heading2"/>
        <w:spacing w:line="360" w:lineRule="auto"/>
        <w:jc w:val="both"/>
        <w:rPr>
          <w:rFonts w:ascii="Arial" w:hAnsi="Arial" w:cs="Arial"/>
          <w:b/>
          <w:bCs/>
          <w:sz w:val="24"/>
          <w:szCs w:val="24"/>
        </w:rPr>
      </w:pPr>
      <w:bookmarkStart w:id="3" w:name="_Toc237947667"/>
      <w:r w:rsidRPr="00E62473">
        <w:rPr>
          <w:rFonts w:ascii="Arial" w:hAnsi="Arial" w:cs="Arial"/>
          <w:b/>
          <w:bCs/>
          <w:sz w:val="24"/>
          <w:szCs w:val="24"/>
        </w:rPr>
        <w:t>2.2 Talent Acquisition and Retention</w:t>
      </w:r>
      <w:bookmarkEnd w:id="3"/>
    </w:p>
    <w:p w14:paraId="47C289A9" w14:textId="301569D1" w:rsidR="002E7421" w:rsidRPr="00E62473" w:rsidRDefault="00B662DE" w:rsidP="00E62473">
      <w:pPr>
        <w:spacing w:line="360" w:lineRule="auto"/>
        <w:jc w:val="both"/>
        <w:rPr>
          <w:rFonts w:ascii="Arial" w:hAnsi="Arial" w:cs="Arial"/>
        </w:rPr>
      </w:pPr>
      <w:r w:rsidRPr="00E62473">
        <w:rPr>
          <w:rFonts w:ascii="Arial" w:hAnsi="Arial" w:cs="Arial"/>
        </w:rPr>
        <w:t xml:space="preserve">The UK retail labour market is highly competitive, and JLP is part of it. According to CIPD's (2024) Resourcing and Talent Planning Report, the year 2024 was characterized by an increase in rivalry among employers willing to hire skilled personnel, with 69% mentioning this problem in hiring their employees. Additionally, in accordance with the Office for National Statistics (2025a), although the number of job vacancies in the UK decreased since the pandemic times, it remained low enough in sectors that deal directly with consumers. The concept of employee-ownership practiced by JLP in the form of Partnership Bonus is one of the elements of company's identity that makes it different from competitors. As Alves et al. (2020) note, implementation of employer branding strategies has a positive effect on </w:t>
      </w:r>
      <w:r w:rsidR="00C46AE5">
        <w:rPr>
          <w:rFonts w:ascii="Arial" w:hAnsi="Arial" w:cs="Arial"/>
        </w:rPr>
        <w:t>organisation</w:t>
      </w:r>
      <w:r w:rsidRPr="00E62473">
        <w:rPr>
          <w:rFonts w:ascii="Arial" w:hAnsi="Arial" w:cs="Arial"/>
        </w:rPr>
        <w:t>al commitment and helps reduce turnover intention. Nevertheless, the Partnership Bonus was put on hold in 2024/25 and restored only by 2% for 2025/26, thus creating one of the risks for the company reflected in its governance report under the title "Partner Differentiation"</w:t>
      </w:r>
      <w:r w:rsidR="008F63D7">
        <w:rPr>
          <w:rFonts w:ascii="Arial" w:hAnsi="Arial" w:cs="Arial"/>
        </w:rPr>
        <w:t>,</w:t>
      </w:r>
      <w:r w:rsidRPr="00E62473">
        <w:rPr>
          <w:rFonts w:ascii="Arial" w:hAnsi="Arial" w:cs="Arial"/>
        </w:rPr>
        <w:t xml:space="preserve"> which means that employees (Partners) are not able to get all the benefits from being members (John Lewis Partnership, 2026). Moreover, it was observed that employee retention during periods of </w:t>
      </w:r>
      <w:r w:rsidR="00C46AE5">
        <w:rPr>
          <w:rFonts w:ascii="Arial" w:hAnsi="Arial" w:cs="Arial"/>
        </w:rPr>
        <w:t>organisation</w:t>
      </w:r>
      <w:r w:rsidRPr="00E62473">
        <w:rPr>
          <w:rFonts w:ascii="Arial" w:hAnsi="Arial" w:cs="Arial"/>
        </w:rPr>
        <w:t xml:space="preserve">al uncertainty is determined by perceived </w:t>
      </w:r>
      <w:r w:rsidR="00C46AE5">
        <w:rPr>
          <w:rFonts w:ascii="Arial" w:hAnsi="Arial" w:cs="Arial"/>
        </w:rPr>
        <w:t>organisation</w:t>
      </w:r>
      <w:r w:rsidRPr="00E62473">
        <w:rPr>
          <w:rFonts w:ascii="Arial" w:hAnsi="Arial" w:cs="Arial"/>
        </w:rPr>
        <w:t>al trust (</w:t>
      </w:r>
      <w:proofErr w:type="spellStart"/>
      <w:r w:rsidRPr="00E62473">
        <w:rPr>
          <w:rFonts w:ascii="Arial" w:hAnsi="Arial" w:cs="Arial"/>
        </w:rPr>
        <w:t>Ekhsan</w:t>
      </w:r>
      <w:proofErr w:type="spellEnd"/>
      <w:r w:rsidRPr="00E62473">
        <w:rPr>
          <w:rFonts w:ascii="Arial" w:hAnsi="Arial" w:cs="Arial"/>
        </w:rPr>
        <w:t xml:space="preserve"> et al., 2022). This is what Boxall and Purcell (2022) call a tension in strategic HRM characteri</w:t>
      </w:r>
      <w:r w:rsidR="008F63D7">
        <w:rPr>
          <w:rFonts w:ascii="Arial" w:hAnsi="Arial" w:cs="Arial"/>
        </w:rPr>
        <w:t>s</w:t>
      </w:r>
      <w:r w:rsidRPr="00E62473">
        <w:rPr>
          <w:rFonts w:ascii="Arial" w:hAnsi="Arial" w:cs="Arial"/>
        </w:rPr>
        <w:t>ed by the need to balance between short-term cost-cutting and long-term investment in human resources.</w:t>
      </w:r>
    </w:p>
    <w:p w14:paraId="772E1513" w14:textId="77777777" w:rsidR="00087670" w:rsidRPr="00E62473" w:rsidRDefault="00087670" w:rsidP="00E62473">
      <w:pPr>
        <w:spacing w:line="360" w:lineRule="auto"/>
        <w:jc w:val="both"/>
        <w:rPr>
          <w:rFonts w:ascii="Arial" w:hAnsi="Arial" w:cs="Arial"/>
        </w:rPr>
      </w:pPr>
    </w:p>
    <w:p w14:paraId="0AEF4FA2" w14:textId="62C28F68" w:rsidR="00087670" w:rsidRPr="00E62473" w:rsidRDefault="00FF5867" w:rsidP="00E62473">
      <w:pPr>
        <w:pStyle w:val="Heading2"/>
        <w:spacing w:line="360" w:lineRule="auto"/>
        <w:jc w:val="both"/>
        <w:rPr>
          <w:rFonts w:ascii="Arial" w:hAnsi="Arial" w:cs="Arial"/>
          <w:b/>
          <w:bCs/>
          <w:sz w:val="24"/>
          <w:szCs w:val="24"/>
        </w:rPr>
      </w:pPr>
      <w:bookmarkStart w:id="4" w:name="_Toc237947668"/>
      <w:r w:rsidRPr="00E62473">
        <w:rPr>
          <w:rFonts w:ascii="Arial" w:hAnsi="Arial" w:cs="Arial"/>
          <w:b/>
          <w:bCs/>
          <w:sz w:val="24"/>
          <w:szCs w:val="24"/>
        </w:rPr>
        <w:t>2.3 Diversity, Equity and Inclusion</w:t>
      </w:r>
      <w:bookmarkEnd w:id="4"/>
    </w:p>
    <w:p w14:paraId="78F02323" w14:textId="4C610210" w:rsidR="00FF5867" w:rsidRPr="00E62473" w:rsidRDefault="00751D31" w:rsidP="00E62473">
      <w:pPr>
        <w:spacing w:line="360" w:lineRule="auto"/>
        <w:jc w:val="both"/>
        <w:rPr>
          <w:rFonts w:ascii="Arial" w:hAnsi="Arial" w:cs="Arial"/>
        </w:rPr>
      </w:pPr>
      <w:r w:rsidRPr="00E62473">
        <w:rPr>
          <w:rFonts w:ascii="Arial" w:hAnsi="Arial" w:cs="Arial"/>
        </w:rPr>
        <w:t xml:space="preserve">John Lewis Partnership is aimed at achieving the status of "the most inclusive business in UK" through its attainment of the said title, which is assisted through having established seven diversity networks led by partners and through Board-level tracking of salaries of employees based on sex, ethnicity and age (John Lewis Partnership, 2026). On a national level, in the UK, the gender pay gap was recorded at 6.9 percent for full-time workers in April 2025, having decreased slightly in the last decade (Office for National Statistics, 2025b). Similarly, a study conducted by Park, Park and Kwon (2025) shows that despite the increase in the number of people from </w:t>
      </w:r>
      <w:r w:rsidRPr="00E62473">
        <w:rPr>
          <w:rFonts w:ascii="Arial" w:hAnsi="Arial" w:cs="Arial"/>
        </w:rPr>
        <w:lastRenderedPageBreak/>
        <w:t xml:space="preserve">minority backgrounds being hired, their representation at higher managerial levels still requires focused actions from leaders; the same applies to JLP, where only 37.5 percent of board members are female (John Lewis Partnership, 2026). Cunningham (2023) seems to agree with this approach, stating that employees often perceive DEI initiatives as just a “hype” if management accountability is not attached to them. Because of the scale of the </w:t>
      </w:r>
      <w:r w:rsidR="00C46AE5">
        <w:rPr>
          <w:rFonts w:ascii="Arial" w:hAnsi="Arial" w:cs="Arial"/>
        </w:rPr>
        <w:t>organisation</w:t>
      </w:r>
      <w:r w:rsidRPr="00E62473">
        <w:rPr>
          <w:rFonts w:ascii="Arial" w:hAnsi="Arial" w:cs="Arial"/>
        </w:rPr>
        <w:t xml:space="preserve"> and its geographical coverage, it would be difficult to implement DEI just </w:t>
      </w:r>
      <w:proofErr w:type="gramStart"/>
      <w:r w:rsidRPr="00E62473">
        <w:rPr>
          <w:rFonts w:ascii="Arial" w:hAnsi="Arial" w:cs="Arial"/>
        </w:rPr>
        <w:t>on the basis of</w:t>
      </w:r>
      <w:proofErr w:type="gramEnd"/>
      <w:r w:rsidRPr="00E62473">
        <w:rPr>
          <w:rFonts w:ascii="Arial" w:hAnsi="Arial" w:cs="Arial"/>
        </w:rPr>
        <w:t xml:space="preserve"> national policy, but it would still need to tackle this issue at local level to make sure that DEI is related to higher levels of employee engagement and retention as well as more effective </w:t>
      </w:r>
      <w:r w:rsidR="00C46AE5">
        <w:rPr>
          <w:rFonts w:ascii="Arial" w:hAnsi="Arial" w:cs="Arial"/>
        </w:rPr>
        <w:t>organisation</w:t>
      </w:r>
      <w:r w:rsidRPr="00E62473">
        <w:rPr>
          <w:rFonts w:ascii="Arial" w:hAnsi="Arial" w:cs="Arial"/>
        </w:rPr>
        <w:t>al performance as emphasized by Park, Park and Kwon (2025).</w:t>
      </w:r>
    </w:p>
    <w:p w14:paraId="1A05A037" w14:textId="77777777" w:rsidR="009135B1" w:rsidRPr="00E62473" w:rsidRDefault="009135B1" w:rsidP="00E62473">
      <w:pPr>
        <w:spacing w:line="360" w:lineRule="auto"/>
        <w:jc w:val="both"/>
        <w:rPr>
          <w:rFonts w:ascii="Arial" w:hAnsi="Arial" w:cs="Arial"/>
        </w:rPr>
      </w:pPr>
    </w:p>
    <w:p w14:paraId="0879FF47" w14:textId="77777777" w:rsidR="004D4F4A" w:rsidRPr="00E62473" w:rsidRDefault="004D4F4A" w:rsidP="00E62473">
      <w:pPr>
        <w:pStyle w:val="Heading1"/>
        <w:spacing w:line="360" w:lineRule="auto"/>
        <w:jc w:val="both"/>
        <w:rPr>
          <w:rFonts w:ascii="Arial" w:hAnsi="Arial" w:cs="Arial"/>
          <w:b/>
          <w:bCs/>
          <w:sz w:val="24"/>
          <w:szCs w:val="24"/>
        </w:rPr>
      </w:pPr>
      <w:bookmarkStart w:id="5" w:name="_Toc237947669"/>
      <w:r w:rsidRPr="00E62473">
        <w:rPr>
          <w:rFonts w:ascii="Arial" w:hAnsi="Arial" w:cs="Arial"/>
          <w:b/>
          <w:bCs/>
          <w:sz w:val="24"/>
          <w:szCs w:val="24"/>
        </w:rPr>
        <w:t>3. Evaluation of Contemporary HR Practices</w:t>
      </w:r>
      <w:bookmarkEnd w:id="5"/>
    </w:p>
    <w:p w14:paraId="076B94BE" w14:textId="65CF807C" w:rsidR="009135B1" w:rsidRPr="00E62473" w:rsidRDefault="004D4F4A" w:rsidP="00E62473">
      <w:pPr>
        <w:pStyle w:val="Heading2"/>
        <w:spacing w:line="360" w:lineRule="auto"/>
        <w:jc w:val="both"/>
        <w:rPr>
          <w:rFonts w:ascii="Arial" w:hAnsi="Arial" w:cs="Arial"/>
          <w:b/>
          <w:bCs/>
          <w:sz w:val="24"/>
          <w:szCs w:val="24"/>
        </w:rPr>
      </w:pPr>
      <w:bookmarkStart w:id="6" w:name="_Toc237947670"/>
      <w:r w:rsidRPr="00E62473">
        <w:rPr>
          <w:rFonts w:ascii="Arial" w:hAnsi="Arial" w:cs="Arial"/>
          <w:b/>
          <w:bCs/>
          <w:sz w:val="24"/>
          <w:szCs w:val="24"/>
        </w:rPr>
        <w:t>3.1 Digital HR Systems and Workforce Analytics</w:t>
      </w:r>
      <w:bookmarkEnd w:id="6"/>
    </w:p>
    <w:p w14:paraId="432560E4" w14:textId="1E37D61A" w:rsidR="004D4F4A" w:rsidRPr="00E62473" w:rsidRDefault="00A66736" w:rsidP="00E62473">
      <w:pPr>
        <w:spacing w:line="360" w:lineRule="auto"/>
        <w:jc w:val="both"/>
        <w:rPr>
          <w:rFonts w:ascii="Arial" w:hAnsi="Arial" w:cs="Arial"/>
        </w:rPr>
      </w:pPr>
      <w:r w:rsidRPr="00E62473">
        <w:rPr>
          <w:rFonts w:ascii="Arial" w:hAnsi="Arial" w:cs="Arial"/>
        </w:rPr>
        <w:t xml:space="preserve">According to </w:t>
      </w:r>
      <w:proofErr w:type="spellStart"/>
      <w:r w:rsidRPr="00E62473">
        <w:rPr>
          <w:rFonts w:ascii="Arial" w:hAnsi="Arial" w:cs="Arial"/>
        </w:rPr>
        <w:t>Ferrar</w:t>
      </w:r>
      <w:proofErr w:type="spellEnd"/>
      <w:r w:rsidRPr="00E62473">
        <w:rPr>
          <w:rFonts w:ascii="Arial" w:hAnsi="Arial" w:cs="Arial"/>
        </w:rPr>
        <w:t xml:space="preserve"> and Green (2021), JLP's investment in the digital HR infrastructure indicates a transition from HR as merely an administrative function to becoming a strategic partner of the business, based on data rather than human judgment. My review of literature shows that digitalization can bring about significant efficiency benefits to HRM, as noted by </w:t>
      </w:r>
      <w:proofErr w:type="spellStart"/>
      <w:r w:rsidRPr="00E62473">
        <w:rPr>
          <w:rFonts w:ascii="Arial" w:hAnsi="Arial" w:cs="Arial"/>
        </w:rPr>
        <w:t>Meijerink</w:t>
      </w:r>
      <w:proofErr w:type="spellEnd"/>
      <w:r w:rsidRPr="00E62473">
        <w:rPr>
          <w:rFonts w:ascii="Arial" w:hAnsi="Arial" w:cs="Arial"/>
        </w:rPr>
        <w:t xml:space="preserve"> et al. (2021) that algorithmic HRM is capable of presciently recognizing the risks of turnover and automating routine transactions, providing HR business partners with opportunities to engage in more constructive work with departmental managers. However, as </w:t>
      </w:r>
      <w:proofErr w:type="spellStart"/>
      <w:r w:rsidRPr="00E62473">
        <w:rPr>
          <w:rFonts w:ascii="Arial" w:hAnsi="Arial" w:cs="Arial"/>
        </w:rPr>
        <w:t>Tursunbayeva</w:t>
      </w:r>
      <w:proofErr w:type="spellEnd"/>
      <w:r w:rsidRPr="00E62473">
        <w:rPr>
          <w:rFonts w:ascii="Arial" w:hAnsi="Arial" w:cs="Arial"/>
        </w:rPr>
        <w:t xml:space="preserve"> et al. (2022) note, ethical governance of people analytics, especially transparency of data being gathered and its use in decision making still lacks behind technical capabilities</w:t>
      </w:r>
      <w:r w:rsidR="00A23A86">
        <w:rPr>
          <w:rFonts w:ascii="Arial" w:hAnsi="Arial" w:cs="Arial"/>
        </w:rPr>
        <w:t>,</w:t>
      </w:r>
      <w:r w:rsidRPr="00E62473">
        <w:rPr>
          <w:rFonts w:ascii="Arial" w:hAnsi="Arial" w:cs="Arial"/>
        </w:rPr>
        <w:t xml:space="preserve"> a problem that seems particularly relevant in the light of JLP's write-off of £120 million in obsolete systems (John Lewis Partnership, 2026). Moreover, </w:t>
      </w:r>
      <w:proofErr w:type="spellStart"/>
      <w:r w:rsidRPr="00E62473">
        <w:rPr>
          <w:rFonts w:ascii="Arial" w:hAnsi="Arial" w:cs="Arial"/>
        </w:rPr>
        <w:t>Köchling</w:t>
      </w:r>
      <w:proofErr w:type="spellEnd"/>
      <w:r w:rsidRPr="00E62473">
        <w:rPr>
          <w:rFonts w:ascii="Arial" w:hAnsi="Arial" w:cs="Arial"/>
        </w:rPr>
        <w:t xml:space="preserve"> et al. (2021) find that recruiting algorithmic tools can lead to replication and further amplification of bias if training data is not representative, which means that JLP's digital transformation will require active bias checking instead of assuming neutrality of the process. Thus, the success of JLP digital HR technology will depend more on investments in ethical governance than on technology itself.</w:t>
      </w:r>
    </w:p>
    <w:p w14:paraId="682D71EB" w14:textId="77777777" w:rsidR="00641771" w:rsidRPr="00E62473" w:rsidRDefault="00641771" w:rsidP="00E62473">
      <w:pPr>
        <w:spacing w:line="360" w:lineRule="auto"/>
        <w:jc w:val="both"/>
        <w:rPr>
          <w:rFonts w:ascii="Arial" w:hAnsi="Arial" w:cs="Arial"/>
        </w:rPr>
      </w:pPr>
    </w:p>
    <w:p w14:paraId="48847437" w14:textId="68002690" w:rsidR="00641771" w:rsidRPr="00E62473" w:rsidRDefault="00AE09D7" w:rsidP="00E62473">
      <w:pPr>
        <w:pStyle w:val="Heading2"/>
        <w:spacing w:line="360" w:lineRule="auto"/>
        <w:jc w:val="both"/>
        <w:rPr>
          <w:rFonts w:ascii="Arial" w:hAnsi="Arial" w:cs="Arial"/>
          <w:b/>
          <w:bCs/>
          <w:sz w:val="24"/>
          <w:szCs w:val="24"/>
        </w:rPr>
      </w:pPr>
      <w:bookmarkStart w:id="7" w:name="_Toc237947671"/>
      <w:r w:rsidRPr="00E62473">
        <w:rPr>
          <w:rFonts w:ascii="Arial" w:hAnsi="Arial" w:cs="Arial"/>
          <w:b/>
          <w:bCs/>
          <w:sz w:val="24"/>
          <w:szCs w:val="24"/>
        </w:rPr>
        <w:lastRenderedPageBreak/>
        <w:t>3.2 Employer Branding and Retention Strategies</w:t>
      </w:r>
      <w:bookmarkEnd w:id="7"/>
    </w:p>
    <w:p w14:paraId="7AFB9DF6" w14:textId="79096198" w:rsidR="00AE09D7" w:rsidRPr="00E62473" w:rsidRDefault="00790B05" w:rsidP="00E62473">
      <w:pPr>
        <w:spacing w:line="360" w:lineRule="auto"/>
        <w:jc w:val="both"/>
        <w:rPr>
          <w:rFonts w:ascii="Arial" w:hAnsi="Arial" w:cs="Arial"/>
        </w:rPr>
      </w:pPr>
      <w:r w:rsidRPr="00E62473">
        <w:rPr>
          <w:rFonts w:ascii="Arial" w:hAnsi="Arial" w:cs="Arial"/>
        </w:rPr>
        <w:t xml:space="preserve">Alves et al. (2020) present compelling empirical data showing that employer branding, applied through compensation, ethical values and career opportunities, is more effective than pay in increasing the commitment of workers. This supports JLP's strategy of using employee possession as a tool for wage fixes, while also confirming the findings of CIPD (2024) that enhancing non-financial well-being assistance is the current trend among British companies. Furthermore, flexible and hybrid working. In their experiment, Bloom, Han and Liang (2024) proved that hybrid models allow companies to reduce the turnover by 33 percent without weakening the productivity of employees. Shahzad et al. (2024) </w:t>
      </w:r>
      <w:proofErr w:type="gramStart"/>
      <w:r w:rsidRPr="00E62473">
        <w:rPr>
          <w:rFonts w:ascii="Arial" w:hAnsi="Arial" w:cs="Arial"/>
        </w:rPr>
        <w:t>note</w:t>
      </w:r>
      <w:proofErr w:type="gramEnd"/>
      <w:r w:rsidRPr="00E62473">
        <w:rPr>
          <w:rFonts w:ascii="Arial" w:hAnsi="Arial" w:cs="Arial"/>
        </w:rPr>
        <w:t xml:space="preserve"> the fact that strategy of effective HR practices does not lead to better retention rates unless the process of job satisfaction confirms the application of those practices. The issue that JLP needs to deal with is the credibility of its message. After the years of suspension of Bonuses and restructuring (John Lewis Partnership, 2026), it is understandable that Partners may not accept the messages of employer branding unless these actions are confirmed by experience.</w:t>
      </w:r>
    </w:p>
    <w:p w14:paraId="7A189903" w14:textId="77777777" w:rsidR="009D0CBA" w:rsidRPr="00E62473" w:rsidRDefault="009D0CBA" w:rsidP="00E62473">
      <w:pPr>
        <w:spacing w:line="360" w:lineRule="auto"/>
        <w:jc w:val="both"/>
        <w:rPr>
          <w:rFonts w:ascii="Arial" w:hAnsi="Arial" w:cs="Arial"/>
        </w:rPr>
      </w:pPr>
    </w:p>
    <w:p w14:paraId="1C493743" w14:textId="614553DF" w:rsidR="009D0CBA" w:rsidRPr="00E62473" w:rsidRDefault="00FA7C57" w:rsidP="00E62473">
      <w:pPr>
        <w:pStyle w:val="Heading2"/>
        <w:spacing w:line="360" w:lineRule="auto"/>
        <w:jc w:val="both"/>
        <w:rPr>
          <w:rFonts w:ascii="Arial" w:hAnsi="Arial" w:cs="Arial"/>
          <w:b/>
          <w:bCs/>
          <w:sz w:val="24"/>
          <w:szCs w:val="24"/>
        </w:rPr>
      </w:pPr>
      <w:bookmarkStart w:id="8" w:name="_Toc237947672"/>
      <w:r w:rsidRPr="00E62473">
        <w:rPr>
          <w:rFonts w:ascii="Arial" w:hAnsi="Arial" w:cs="Arial"/>
          <w:b/>
          <w:bCs/>
          <w:sz w:val="24"/>
          <w:szCs w:val="24"/>
        </w:rPr>
        <w:t>3.3 Inclusive Recruitment and DEI Leadership Development</w:t>
      </w:r>
      <w:bookmarkEnd w:id="8"/>
    </w:p>
    <w:p w14:paraId="5830292C" w14:textId="4A35103E" w:rsidR="00FA7C57" w:rsidRPr="00E62473" w:rsidRDefault="00D32D92" w:rsidP="00E62473">
      <w:pPr>
        <w:spacing w:line="360" w:lineRule="auto"/>
        <w:jc w:val="both"/>
        <w:rPr>
          <w:rFonts w:ascii="Arial" w:hAnsi="Arial" w:cs="Arial"/>
        </w:rPr>
      </w:pPr>
      <w:r w:rsidRPr="00E62473">
        <w:rPr>
          <w:rFonts w:ascii="Arial" w:hAnsi="Arial" w:cs="Arial"/>
        </w:rPr>
        <w:t>Al-</w:t>
      </w:r>
      <w:proofErr w:type="spellStart"/>
      <w:r w:rsidRPr="00E62473">
        <w:rPr>
          <w:rFonts w:ascii="Arial" w:hAnsi="Arial" w:cs="Arial"/>
        </w:rPr>
        <w:t>Atwi</w:t>
      </w:r>
      <w:proofErr w:type="spellEnd"/>
      <w:r w:rsidRPr="00E62473">
        <w:rPr>
          <w:rFonts w:ascii="Arial" w:hAnsi="Arial" w:cs="Arial"/>
        </w:rPr>
        <w:t xml:space="preserve"> and Al-</w:t>
      </w:r>
      <w:proofErr w:type="spellStart"/>
      <w:r w:rsidRPr="00E62473">
        <w:rPr>
          <w:rFonts w:ascii="Arial" w:hAnsi="Arial" w:cs="Arial"/>
        </w:rPr>
        <w:t>Hassani's</w:t>
      </w:r>
      <w:proofErr w:type="spellEnd"/>
      <w:r w:rsidRPr="00E62473">
        <w:rPr>
          <w:rFonts w:ascii="Arial" w:hAnsi="Arial" w:cs="Arial"/>
        </w:rPr>
        <w:t xml:space="preserve"> (2021) research demonstrates that inclusive leadership is an independent measurable construct, positively correlated to the employees’ sense of belonging and reduction in their intention to quit. The findings support the Seven-partner approach used by the John Lewis Partnership (JLP). McKinsey and Company (2023) discovered that the </w:t>
      </w:r>
      <w:r w:rsidR="00C46AE5">
        <w:rPr>
          <w:rFonts w:ascii="Arial" w:hAnsi="Arial" w:cs="Arial"/>
        </w:rPr>
        <w:t>organisation</w:t>
      </w:r>
      <w:r w:rsidRPr="00E62473">
        <w:rPr>
          <w:rFonts w:ascii="Arial" w:hAnsi="Arial" w:cs="Arial"/>
        </w:rPr>
        <w:t>s at the top with increased ethnic and gender diversity perform better financially. This is in line with the JLP practice of monitoring their pay gaps at the board level (John Lewis Partnership, 2026). Nevertheless, Cunningham (2023) warns that the presence of diversity at the entry level does not guarantee inclusion, as bias may still exist in promotions, sponsorships, and informal networking despite having systematic hiring practices. Supported by Park, Park and Kwon (2025), the notion of leadership development is one of the most undervalued yet powerful approaches linking DEI policies with the outcomes. The implication is that the inclusivity in the recruitment of new employees is not enough for JLP to succeed; hence it needs to implement the leadership development strategies and turn its diverse entry-level employees into a diverse leadership.</w:t>
      </w:r>
    </w:p>
    <w:p w14:paraId="6F2F28CB" w14:textId="77777777" w:rsidR="00753C08" w:rsidRPr="00E62473" w:rsidRDefault="00753C08" w:rsidP="00E62473">
      <w:pPr>
        <w:spacing w:line="360" w:lineRule="auto"/>
        <w:jc w:val="both"/>
        <w:rPr>
          <w:rFonts w:ascii="Arial" w:hAnsi="Arial" w:cs="Arial"/>
        </w:rPr>
      </w:pPr>
    </w:p>
    <w:p w14:paraId="5FC68A44" w14:textId="4A6B7D80" w:rsidR="00753C08" w:rsidRPr="00E62473" w:rsidRDefault="003F61DC" w:rsidP="00E62473">
      <w:pPr>
        <w:pStyle w:val="Heading1"/>
        <w:spacing w:line="360" w:lineRule="auto"/>
        <w:jc w:val="both"/>
        <w:rPr>
          <w:rFonts w:ascii="Arial" w:hAnsi="Arial" w:cs="Arial"/>
          <w:b/>
          <w:bCs/>
          <w:sz w:val="24"/>
          <w:szCs w:val="24"/>
        </w:rPr>
      </w:pPr>
      <w:bookmarkStart w:id="9" w:name="_Toc237947673"/>
      <w:r w:rsidRPr="00E62473">
        <w:rPr>
          <w:rFonts w:ascii="Arial" w:hAnsi="Arial" w:cs="Arial"/>
          <w:b/>
          <w:bCs/>
          <w:sz w:val="24"/>
          <w:szCs w:val="24"/>
        </w:rPr>
        <w:lastRenderedPageBreak/>
        <w:t>4. Critical Evaluation of Managerial Implementation</w:t>
      </w:r>
      <w:bookmarkEnd w:id="9"/>
    </w:p>
    <w:p w14:paraId="6E8C5E91" w14:textId="1AEC117D" w:rsidR="00BD19D1" w:rsidRPr="00E62473" w:rsidRDefault="00BD19D1" w:rsidP="00E62473">
      <w:pPr>
        <w:spacing w:line="360" w:lineRule="auto"/>
        <w:jc w:val="both"/>
        <w:rPr>
          <w:rFonts w:ascii="Arial" w:hAnsi="Arial" w:cs="Arial"/>
        </w:rPr>
      </w:pPr>
      <w:r w:rsidRPr="00E62473">
        <w:rPr>
          <w:rFonts w:ascii="Arial" w:hAnsi="Arial" w:cs="Arial"/>
        </w:rPr>
        <w:t xml:space="preserve">The effectiveness of HR practices in a company relies on their implementation by the relevant department and their effectiveness is determined by the </w:t>
      </w:r>
      <w:r w:rsidR="00C46AE5">
        <w:rPr>
          <w:rFonts w:ascii="Arial" w:hAnsi="Arial" w:cs="Arial"/>
        </w:rPr>
        <w:t>organisation</w:t>
      </w:r>
      <w:r w:rsidRPr="00E62473">
        <w:rPr>
          <w:rFonts w:ascii="Arial" w:hAnsi="Arial" w:cs="Arial"/>
        </w:rPr>
        <w:t xml:space="preserve">'s structure and problem set up. </w:t>
      </w:r>
    </w:p>
    <w:p w14:paraId="2CD616FE" w14:textId="77777777" w:rsidR="00BD19D1" w:rsidRPr="00E62473" w:rsidRDefault="00BD19D1" w:rsidP="00E62473">
      <w:pPr>
        <w:spacing w:line="360" w:lineRule="auto"/>
        <w:jc w:val="both"/>
        <w:rPr>
          <w:rFonts w:ascii="Arial" w:hAnsi="Arial" w:cs="Arial"/>
        </w:rPr>
      </w:pPr>
    </w:p>
    <w:p w14:paraId="1E9A4C59" w14:textId="6A1A7D01" w:rsidR="003F61DC" w:rsidRPr="00E62473" w:rsidRDefault="002D4F4A" w:rsidP="00E62473">
      <w:pPr>
        <w:spacing w:line="360" w:lineRule="auto"/>
        <w:jc w:val="both"/>
        <w:rPr>
          <w:rFonts w:ascii="Arial" w:hAnsi="Arial" w:cs="Arial"/>
        </w:rPr>
      </w:pPr>
      <w:r w:rsidRPr="00A23A86">
        <w:rPr>
          <w:rFonts w:ascii="Arial" w:hAnsi="Arial" w:cs="Arial"/>
          <w:b/>
          <w:bCs/>
          <w:u w:val="single"/>
        </w:rPr>
        <w:t>Leadership accountability:</w:t>
      </w:r>
      <w:r w:rsidRPr="00E62473">
        <w:rPr>
          <w:rFonts w:ascii="Arial" w:hAnsi="Arial" w:cs="Arial"/>
        </w:rPr>
        <w:t xml:space="preserve"> </w:t>
      </w:r>
      <w:r w:rsidR="00BD19D1" w:rsidRPr="00E62473">
        <w:rPr>
          <w:rFonts w:ascii="Arial" w:hAnsi="Arial" w:cs="Arial"/>
        </w:rPr>
        <w:t xml:space="preserve">According to Armstrong and Taylor (2023), accountability for HR performance of the </w:t>
      </w:r>
      <w:r w:rsidR="00C46AE5">
        <w:rPr>
          <w:rFonts w:ascii="Arial" w:hAnsi="Arial" w:cs="Arial"/>
        </w:rPr>
        <w:t>organisation</w:t>
      </w:r>
      <w:r w:rsidR="00BD19D1" w:rsidRPr="00E62473">
        <w:rPr>
          <w:rFonts w:ascii="Arial" w:hAnsi="Arial" w:cs="Arial"/>
        </w:rPr>
        <w:t xml:space="preserve"> makes it easier to achieve successful implementation of HR practices throughout the company. In the case of the John Lewis Partnership (JLP), the analysis of its </w:t>
      </w:r>
      <w:r w:rsidR="00C46AE5">
        <w:rPr>
          <w:rFonts w:ascii="Arial" w:hAnsi="Arial" w:cs="Arial"/>
        </w:rPr>
        <w:t>organisation</w:t>
      </w:r>
      <w:r w:rsidR="00BD19D1" w:rsidRPr="00E62473">
        <w:rPr>
          <w:rFonts w:ascii="Arial" w:hAnsi="Arial" w:cs="Arial"/>
        </w:rPr>
        <w:t xml:space="preserve"> structure indicates that scheduling, recognition, and inclusion procedures are executed at the departmental level while the members of the board get the reports that give them information about major HR issues such as turnover rate, employee engagement, and diversity, equity, and inclusion (DEI). In addition, the establishment of performance indicators relevant to the topic considered will make it possible for JLP's managers to be accountable for the effectiveness of their actions in the sphere of managing human resources </w:t>
      </w:r>
      <w:proofErr w:type="gramStart"/>
      <w:r w:rsidR="00BD19D1" w:rsidRPr="00E62473">
        <w:rPr>
          <w:rFonts w:ascii="Arial" w:hAnsi="Arial" w:cs="Arial"/>
        </w:rPr>
        <w:t>similar to</w:t>
      </w:r>
      <w:proofErr w:type="gramEnd"/>
      <w:r w:rsidR="00BD19D1" w:rsidRPr="00E62473">
        <w:rPr>
          <w:rFonts w:ascii="Arial" w:hAnsi="Arial" w:cs="Arial"/>
        </w:rPr>
        <w:t xml:space="preserve"> the way it is described in the works of Boxall and Purcell (2022).</w:t>
      </w:r>
    </w:p>
    <w:p w14:paraId="0D1A4270" w14:textId="77777777" w:rsidR="00A453C9" w:rsidRPr="00E62473" w:rsidRDefault="00A453C9" w:rsidP="00E62473">
      <w:pPr>
        <w:spacing w:line="360" w:lineRule="auto"/>
        <w:jc w:val="both"/>
        <w:rPr>
          <w:rFonts w:ascii="Arial" w:hAnsi="Arial" w:cs="Arial"/>
        </w:rPr>
      </w:pPr>
    </w:p>
    <w:p w14:paraId="40130039" w14:textId="6A0681E8" w:rsidR="00A453C9" w:rsidRPr="00E62473" w:rsidRDefault="002432B7" w:rsidP="00E62473">
      <w:pPr>
        <w:spacing w:line="360" w:lineRule="auto"/>
        <w:jc w:val="both"/>
        <w:rPr>
          <w:rFonts w:ascii="Arial" w:hAnsi="Arial" w:cs="Arial"/>
        </w:rPr>
      </w:pPr>
      <w:r w:rsidRPr="00A23A86">
        <w:rPr>
          <w:rFonts w:ascii="Arial" w:hAnsi="Arial" w:cs="Arial"/>
          <w:b/>
          <w:bCs/>
          <w:u w:val="single"/>
        </w:rPr>
        <w:t xml:space="preserve">Communication strategies: </w:t>
      </w:r>
      <w:r w:rsidR="001E10A1" w:rsidRPr="00E62473">
        <w:rPr>
          <w:rFonts w:ascii="Arial" w:hAnsi="Arial" w:cs="Arial"/>
        </w:rPr>
        <w:t xml:space="preserve">According to the research conducted by </w:t>
      </w:r>
      <w:proofErr w:type="spellStart"/>
      <w:r w:rsidR="001E10A1" w:rsidRPr="00E62473">
        <w:rPr>
          <w:rFonts w:ascii="Arial" w:hAnsi="Arial" w:cs="Arial"/>
        </w:rPr>
        <w:t>Ekhsan</w:t>
      </w:r>
      <w:proofErr w:type="spellEnd"/>
      <w:r w:rsidR="001E10A1" w:rsidRPr="00E62473">
        <w:rPr>
          <w:rFonts w:ascii="Arial" w:hAnsi="Arial" w:cs="Arial"/>
        </w:rPr>
        <w:t xml:space="preserve"> et al. (2022), the foundation for organisational trust lies in two-way communication. They have shown that two-way communication is key to establishing trust in organisations and retaining people even in times of uncertainty, whereas one-way messaging alone does not fill the need for trust among people. The existing consultative structures at JLP - Partnership Council and Forum allow JLP to deal with this challenge effectively because these consultative structures bring the people’s voice to the surface before the organisational changes rather than after the changes occur (John Lewis Partnership, 2026). Therefore, managers should not merely see communication as fulfilling compliance requirements.</w:t>
      </w:r>
    </w:p>
    <w:p w14:paraId="597BB29F" w14:textId="77777777" w:rsidR="00182DA3" w:rsidRPr="00E62473" w:rsidRDefault="00182DA3" w:rsidP="00E62473">
      <w:pPr>
        <w:spacing w:line="360" w:lineRule="auto"/>
        <w:jc w:val="both"/>
        <w:rPr>
          <w:rFonts w:ascii="Arial" w:hAnsi="Arial" w:cs="Arial"/>
        </w:rPr>
      </w:pPr>
    </w:p>
    <w:p w14:paraId="4D2066F0" w14:textId="1EADBB62" w:rsidR="00182DA3" w:rsidRPr="00E62473" w:rsidRDefault="005A37EE" w:rsidP="00E62473">
      <w:pPr>
        <w:spacing w:line="360" w:lineRule="auto"/>
        <w:jc w:val="both"/>
        <w:rPr>
          <w:rFonts w:ascii="Arial" w:hAnsi="Arial" w:cs="Arial"/>
        </w:rPr>
      </w:pPr>
      <w:r w:rsidRPr="00A23A86">
        <w:rPr>
          <w:rFonts w:ascii="Arial" w:hAnsi="Arial" w:cs="Arial"/>
          <w:b/>
          <w:bCs/>
          <w:u w:val="single"/>
        </w:rPr>
        <w:t>Monitoring and performance measurement:</w:t>
      </w:r>
      <w:r w:rsidRPr="00E62473">
        <w:rPr>
          <w:rFonts w:ascii="Arial" w:hAnsi="Arial" w:cs="Arial"/>
        </w:rPr>
        <w:t xml:space="preserve"> </w:t>
      </w:r>
      <w:r w:rsidR="00736E42" w:rsidRPr="00E62473">
        <w:rPr>
          <w:rFonts w:ascii="Arial" w:hAnsi="Arial" w:cs="Arial"/>
        </w:rPr>
        <w:t>Successful implementation requires continuous evaluation rather than just announcements of launches. According to Shahzad et al. (2024), the administration of HR processes is successful if employee satisfaction is evaluated and monitored regularly</w:t>
      </w:r>
      <w:r w:rsidR="00A23A86">
        <w:rPr>
          <w:rFonts w:ascii="Arial" w:hAnsi="Arial" w:cs="Arial"/>
        </w:rPr>
        <w:t>. T</w:t>
      </w:r>
      <w:r w:rsidR="00736E42" w:rsidRPr="00E62473">
        <w:rPr>
          <w:rFonts w:ascii="Arial" w:hAnsi="Arial" w:cs="Arial"/>
        </w:rPr>
        <w:t xml:space="preserve">hus, managers are obliged to have constant access to such information instead of having it once a year. </w:t>
      </w:r>
      <w:proofErr w:type="spellStart"/>
      <w:r w:rsidR="00736E42" w:rsidRPr="00E62473">
        <w:rPr>
          <w:rFonts w:ascii="Arial" w:hAnsi="Arial" w:cs="Arial"/>
        </w:rPr>
        <w:t>Tursunbayeva</w:t>
      </w:r>
      <w:proofErr w:type="spellEnd"/>
      <w:r w:rsidR="00736E42" w:rsidRPr="00E62473">
        <w:rPr>
          <w:rFonts w:ascii="Arial" w:hAnsi="Arial" w:cs="Arial"/>
        </w:rPr>
        <w:t xml:space="preserve"> et </w:t>
      </w:r>
      <w:r w:rsidR="00736E42" w:rsidRPr="00E62473">
        <w:rPr>
          <w:rFonts w:ascii="Arial" w:hAnsi="Arial" w:cs="Arial"/>
        </w:rPr>
        <w:lastRenderedPageBreak/>
        <w:t>al. (2022) adds that this measurement requires transparency because if the processes are not understood, they will fail to create the required trust among the stakeholders.</w:t>
      </w:r>
    </w:p>
    <w:p w14:paraId="1EA7295E" w14:textId="77777777" w:rsidR="002B2BB8" w:rsidRPr="00E62473" w:rsidRDefault="002B2BB8" w:rsidP="00E62473">
      <w:pPr>
        <w:spacing w:line="360" w:lineRule="auto"/>
        <w:jc w:val="both"/>
        <w:rPr>
          <w:rFonts w:ascii="Arial" w:hAnsi="Arial" w:cs="Arial"/>
        </w:rPr>
      </w:pPr>
    </w:p>
    <w:p w14:paraId="0081B30F" w14:textId="000D5D19" w:rsidR="002B2BB8" w:rsidRPr="00E62473" w:rsidRDefault="00F304A4" w:rsidP="00E62473">
      <w:pPr>
        <w:spacing w:line="360" w:lineRule="auto"/>
        <w:jc w:val="both"/>
        <w:rPr>
          <w:rFonts w:ascii="Arial" w:hAnsi="Arial" w:cs="Arial"/>
        </w:rPr>
      </w:pPr>
      <w:r w:rsidRPr="008A61A0">
        <w:rPr>
          <w:rFonts w:ascii="Arial" w:hAnsi="Arial" w:cs="Arial"/>
          <w:b/>
          <w:bCs/>
          <w:u w:val="single"/>
        </w:rPr>
        <w:t>Barriers and mitigation:</w:t>
      </w:r>
      <w:r w:rsidRPr="00E62473">
        <w:rPr>
          <w:rFonts w:ascii="Arial" w:hAnsi="Arial" w:cs="Arial"/>
        </w:rPr>
        <w:t xml:space="preserve"> </w:t>
      </w:r>
      <w:r w:rsidR="00481913" w:rsidRPr="00E62473">
        <w:rPr>
          <w:rFonts w:ascii="Arial" w:hAnsi="Arial" w:cs="Arial"/>
        </w:rPr>
        <w:t xml:space="preserve">One of the greatest impediments to the prompt implementation of digital HR services is the cost pressures that cut the timeframe of people-management activities. Additionally, there is a different level of confidence among managers in interpreting digital HR information that is inconsistent and Partner </w:t>
      </w:r>
      <w:proofErr w:type="spellStart"/>
      <w:r w:rsidR="00481913" w:rsidRPr="00E62473">
        <w:rPr>
          <w:rFonts w:ascii="Arial" w:hAnsi="Arial" w:cs="Arial"/>
        </w:rPr>
        <w:t>skepticism</w:t>
      </w:r>
      <w:proofErr w:type="spellEnd"/>
      <w:r w:rsidR="00481913" w:rsidRPr="00E62473">
        <w:rPr>
          <w:rFonts w:ascii="Arial" w:hAnsi="Arial" w:cs="Arial"/>
        </w:rPr>
        <w:t xml:space="preserve"> conditioned by numerous re</w:t>
      </w:r>
      <w:r w:rsidR="00C46AE5">
        <w:rPr>
          <w:rFonts w:ascii="Arial" w:hAnsi="Arial" w:cs="Arial"/>
        </w:rPr>
        <w:t>organisation</w:t>
      </w:r>
      <w:r w:rsidR="00481913" w:rsidRPr="00E62473">
        <w:rPr>
          <w:rFonts w:ascii="Arial" w:hAnsi="Arial" w:cs="Arial"/>
        </w:rPr>
        <w:t>s (John Lewis Partnership, 2026).</w:t>
      </w:r>
      <w:r w:rsidR="00112334" w:rsidRPr="00E62473">
        <w:rPr>
          <w:rFonts w:ascii="Arial" w:hAnsi="Arial" w:cs="Arial"/>
        </w:rPr>
        <w:t xml:space="preserve"> </w:t>
      </w:r>
      <w:r w:rsidR="00481913" w:rsidRPr="00E62473">
        <w:rPr>
          <w:rFonts w:ascii="Arial" w:hAnsi="Arial" w:cs="Arial"/>
        </w:rPr>
        <w:t>A</w:t>
      </w:r>
      <w:r w:rsidR="00112334" w:rsidRPr="00E62473">
        <w:rPr>
          <w:rFonts w:ascii="Arial" w:hAnsi="Arial" w:cs="Arial"/>
        </w:rPr>
        <w:t>ccording to</w:t>
      </w:r>
      <w:r w:rsidR="00481913" w:rsidRPr="00E62473">
        <w:rPr>
          <w:rFonts w:ascii="Arial" w:hAnsi="Arial" w:cs="Arial"/>
        </w:rPr>
        <w:t xml:space="preserve"> Al-</w:t>
      </w:r>
      <w:proofErr w:type="spellStart"/>
      <w:r w:rsidR="00481913" w:rsidRPr="00E62473">
        <w:rPr>
          <w:rFonts w:ascii="Arial" w:hAnsi="Arial" w:cs="Arial"/>
        </w:rPr>
        <w:t>Atwi</w:t>
      </w:r>
      <w:proofErr w:type="spellEnd"/>
      <w:r w:rsidR="00481913" w:rsidRPr="00E62473">
        <w:rPr>
          <w:rFonts w:ascii="Arial" w:hAnsi="Arial" w:cs="Arial"/>
        </w:rPr>
        <w:t xml:space="preserve"> and Al-</w:t>
      </w:r>
      <w:proofErr w:type="spellStart"/>
      <w:r w:rsidR="00481913" w:rsidRPr="00E62473">
        <w:rPr>
          <w:rFonts w:ascii="Arial" w:hAnsi="Arial" w:cs="Arial"/>
        </w:rPr>
        <w:t>Hassani</w:t>
      </w:r>
      <w:proofErr w:type="spellEnd"/>
      <w:r w:rsidR="00481913" w:rsidRPr="00E62473">
        <w:rPr>
          <w:rFonts w:ascii="Arial" w:hAnsi="Arial" w:cs="Arial"/>
        </w:rPr>
        <w:t xml:space="preserve"> (2021), inclusive leadership </w:t>
      </w:r>
      <w:r w:rsidR="008A61A0" w:rsidRPr="00E62473">
        <w:rPr>
          <w:rFonts w:ascii="Arial" w:hAnsi="Arial" w:cs="Arial"/>
        </w:rPr>
        <w:t>behaviour</w:t>
      </w:r>
      <w:r w:rsidR="00481913" w:rsidRPr="00E62473">
        <w:rPr>
          <w:rFonts w:ascii="Arial" w:hAnsi="Arial" w:cs="Arial"/>
        </w:rPr>
        <w:t xml:space="preserve"> may be developed </w:t>
      </w:r>
      <w:proofErr w:type="gramStart"/>
      <w:r w:rsidR="00481913" w:rsidRPr="00E62473">
        <w:rPr>
          <w:rFonts w:ascii="Arial" w:hAnsi="Arial" w:cs="Arial"/>
        </w:rPr>
        <w:t>as a result of</w:t>
      </w:r>
      <w:proofErr w:type="gramEnd"/>
      <w:r w:rsidR="00481913" w:rsidRPr="00E62473">
        <w:rPr>
          <w:rFonts w:ascii="Arial" w:hAnsi="Arial" w:cs="Arial"/>
        </w:rPr>
        <w:t xml:space="preserve"> some training rather than being considered a personality trait</w:t>
      </w:r>
      <w:r w:rsidR="008A61A0">
        <w:rPr>
          <w:rFonts w:ascii="Arial" w:hAnsi="Arial" w:cs="Arial"/>
        </w:rPr>
        <w:t>.</w:t>
      </w:r>
      <w:r w:rsidR="00481913" w:rsidRPr="00E62473">
        <w:rPr>
          <w:rFonts w:ascii="Arial" w:hAnsi="Arial" w:cs="Arial"/>
        </w:rPr>
        <w:t xml:space="preserve"> </w:t>
      </w:r>
      <w:r w:rsidR="008A61A0">
        <w:rPr>
          <w:rFonts w:ascii="Arial" w:hAnsi="Arial" w:cs="Arial"/>
        </w:rPr>
        <w:t>T</w:t>
      </w:r>
      <w:r w:rsidR="008A61A0" w:rsidRPr="00E62473">
        <w:rPr>
          <w:rFonts w:ascii="Arial" w:hAnsi="Arial" w:cs="Arial"/>
        </w:rPr>
        <w:t>herefore,</w:t>
      </w:r>
      <w:r w:rsidR="00481913" w:rsidRPr="00E62473">
        <w:rPr>
          <w:rFonts w:ascii="Arial" w:hAnsi="Arial" w:cs="Arial"/>
        </w:rPr>
        <w:t xml:space="preserve"> the methods of investing in manager capabilities and allowing for people-management undertaking time as well as communicating changes openly would be preferable over simple good and yet isolated policies.</w:t>
      </w:r>
    </w:p>
    <w:p w14:paraId="59F1287A" w14:textId="77777777" w:rsidR="00324B52" w:rsidRPr="00E62473" w:rsidRDefault="00324B52" w:rsidP="00E62473">
      <w:pPr>
        <w:spacing w:line="360" w:lineRule="auto"/>
        <w:jc w:val="both"/>
        <w:rPr>
          <w:rFonts w:ascii="Arial" w:hAnsi="Arial" w:cs="Arial"/>
        </w:rPr>
      </w:pPr>
    </w:p>
    <w:p w14:paraId="17B01D27" w14:textId="4B26E7BA" w:rsidR="00324B52" w:rsidRPr="00E62473" w:rsidRDefault="00FB33B4" w:rsidP="00E62473">
      <w:pPr>
        <w:pStyle w:val="Heading1"/>
        <w:spacing w:line="360" w:lineRule="auto"/>
        <w:jc w:val="both"/>
        <w:rPr>
          <w:rFonts w:ascii="Arial" w:hAnsi="Arial" w:cs="Arial"/>
          <w:b/>
          <w:bCs/>
          <w:sz w:val="24"/>
          <w:szCs w:val="24"/>
        </w:rPr>
      </w:pPr>
      <w:bookmarkStart w:id="10" w:name="_Toc237947674"/>
      <w:r w:rsidRPr="00E62473">
        <w:rPr>
          <w:rFonts w:ascii="Arial" w:hAnsi="Arial" w:cs="Arial"/>
          <w:b/>
          <w:bCs/>
          <w:sz w:val="24"/>
          <w:szCs w:val="24"/>
        </w:rPr>
        <w:t>5. Conclusion and Recommendations</w:t>
      </w:r>
      <w:bookmarkEnd w:id="10"/>
    </w:p>
    <w:p w14:paraId="272BFD2A" w14:textId="671C4DAE" w:rsidR="00074397" w:rsidRPr="00E62473" w:rsidRDefault="00074397" w:rsidP="00E62473">
      <w:pPr>
        <w:spacing w:line="360" w:lineRule="auto"/>
        <w:jc w:val="both"/>
        <w:rPr>
          <w:rFonts w:ascii="Arial" w:hAnsi="Arial" w:cs="Arial"/>
        </w:rPr>
      </w:pPr>
      <w:r w:rsidRPr="00E62473">
        <w:rPr>
          <w:rFonts w:ascii="Arial" w:hAnsi="Arial" w:cs="Arial"/>
        </w:rPr>
        <w:t>The report establishes that the human resources issues experienced by JLP in the areas of development, human resources and diversity and inclusion, are interrelated. The influence of technology on the transformation of competencies needs in the labour market, the consequences of cost-effectiveness on retention principles, and the degree of credibility afforded to the commitment of JLP to uphold the principles of diversity since the very establishment of the Partnership (Park, Park and Kwong, 2025</w:t>
      </w:r>
      <w:r w:rsidR="001B6D54">
        <w:rPr>
          <w:rFonts w:ascii="Arial" w:hAnsi="Arial" w:cs="Arial"/>
        </w:rPr>
        <w:t xml:space="preserve">; </w:t>
      </w:r>
      <w:r w:rsidR="001B6D54" w:rsidRPr="00E62473">
        <w:rPr>
          <w:rFonts w:ascii="Arial" w:hAnsi="Arial" w:cs="Arial"/>
        </w:rPr>
        <w:t>World Economic Forum, 2025</w:t>
      </w:r>
      <w:r w:rsidR="001B6D54">
        <w:rPr>
          <w:rFonts w:ascii="Arial" w:hAnsi="Arial" w:cs="Arial"/>
        </w:rPr>
        <w:t>; ONS, 2025</w:t>
      </w:r>
      <w:r w:rsidRPr="00E62473">
        <w:rPr>
          <w:rFonts w:ascii="Arial" w:hAnsi="Arial" w:cs="Arial"/>
        </w:rPr>
        <w:t>). Even though at first glance JLP possesses good practices in place, their final success relies significantly on the implementation of the plans at the level of management rather than simply having a great strategy (Armstrong and Taylor, 2023).</w:t>
      </w:r>
    </w:p>
    <w:p w14:paraId="5D9BEB1B" w14:textId="77777777" w:rsidR="00074397" w:rsidRPr="00E62473" w:rsidRDefault="00074397" w:rsidP="00E62473">
      <w:pPr>
        <w:spacing w:line="360" w:lineRule="auto"/>
        <w:jc w:val="both"/>
        <w:rPr>
          <w:rFonts w:ascii="Arial" w:hAnsi="Arial" w:cs="Arial"/>
        </w:rPr>
      </w:pPr>
    </w:p>
    <w:p w14:paraId="519F1493" w14:textId="2A6E42CD" w:rsidR="00132CE4" w:rsidRDefault="00074397" w:rsidP="00E62473">
      <w:pPr>
        <w:spacing w:line="360" w:lineRule="auto"/>
        <w:jc w:val="both"/>
        <w:rPr>
          <w:rFonts w:ascii="Arial" w:hAnsi="Arial" w:cs="Arial"/>
        </w:rPr>
      </w:pPr>
      <w:r w:rsidRPr="00E62473">
        <w:rPr>
          <w:rFonts w:ascii="Arial" w:hAnsi="Arial" w:cs="Arial"/>
        </w:rPr>
        <w:t xml:space="preserve">Among the proposals that can be offered to the leadership of the HR department of JPL, the most significant are to align the objectives of the managers (departmental and </w:t>
      </w:r>
      <w:r w:rsidR="00C46AE5">
        <w:rPr>
          <w:rFonts w:ascii="Arial" w:hAnsi="Arial" w:cs="Arial"/>
        </w:rPr>
        <w:t>organisation</w:t>
      </w:r>
      <w:r w:rsidRPr="00E62473">
        <w:rPr>
          <w:rFonts w:ascii="Arial" w:hAnsi="Arial" w:cs="Arial"/>
        </w:rPr>
        <w:t xml:space="preserve">al) with the outcomes of the work of the department </w:t>
      </w:r>
      <w:proofErr w:type="gramStart"/>
      <w:r w:rsidRPr="00E62473">
        <w:rPr>
          <w:rFonts w:ascii="Arial" w:hAnsi="Arial" w:cs="Arial"/>
        </w:rPr>
        <w:t>in the area of</w:t>
      </w:r>
      <w:proofErr w:type="gramEnd"/>
      <w:r w:rsidRPr="00E62473">
        <w:rPr>
          <w:rFonts w:ascii="Arial" w:hAnsi="Arial" w:cs="Arial"/>
        </w:rPr>
        <w:t xml:space="preserve"> human resources (not with business objectives)</w:t>
      </w:r>
      <w:r w:rsidR="00132CE4">
        <w:rPr>
          <w:rFonts w:ascii="Arial" w:hAnsi="Arial" w:cs="Arial"/>
        </w:rPr>
        <w:t xml:space="preserve"> are as follows:</w:t>
      </w:r>
      <w:r w:rsidRPr="00E62473">
        <w:rPr>
          <w:rFonts w:ascii="Arial" w:hAnsi="Arial" w:cs="Arial"/>
        </w:rPr>
        <w:t xml:space="preserve"> </w:t>
      </w:r>
    </w:p>
    <w:p w14:paraId="05B3A036" w14:textId="77777777" w:rsidR="00132CE4" w:rsidRPr="00132CE4" w:rsidRDefault="00074397" w:rsidP="00132CE4">
      <w:pPr>
        <w:pStyle w:val="ListParagraph"/>
        <w:numPr>
          <w:ilvl w:val="0"/>
          <w:numId w:val="1"/>
        </w:numPr>
        <w:spacing w:line="360" w:lineRule="auto"/>
        <w:jc w:val="both"/>
        <w:rPr>
          <w:rFonts w:ascii="Arial" w:hAnsi="Arial" w:cs="Arial"/>
        </w:rPr>
      </w:pPr>
      <w:r w:rsidRPr="00132CE4">
        <w:rPr>
          <w:rFonts w:ascii="Arial" w:hAnsi="Arial" w:cs="Arial"/>
        </w:rPr>
        <w:t>keep a transparent reward system which is financially sustainable (Alves et al., 2020)</w:t>
      </w:r>
    </w:p>
    <w:p w14:paraId="57DCE759" w14:textId="77777777" w:rsidR="00132CE4" w:rsidRPr="00132CE4" w:rsidRDefault="00074397" w:rsidP="00132CE4">
      <w:pPr>
        <w:pStyle w:val="ListParagraph"/>
        <w:numPr>
          <w:ilvl w:val="0"/>
          <w:numId w:val="1"/>
        </w:numPr>
        <w:spacing w:line="360" w:lineRule="auto"/>
        <w:jc w:val="both"/>
        <w:rPr>
          <w:rFonts w:ascii="Arial" w:hAnsi="Arial" w:cs="Arial"/>
        </w:rPr>
      </w:pPr>
      <w:r w:rsidRPr="00132CE4">
        <w:rPr>
          <w:rFonts w:ascii="Arial" w:hAnsi="Arial" w:cs="Arial"/>
        </w:rPr>
        <w:lastRenderedPageBreak/>
        <w:t>invest in training of the managers on the application of digital human resource management tools and inclusive leadership skills (Al-</w:t>
      </w:r>
      <w:proofErr w:type="spellStart"/>
      <w:r w:rsidRPr="00132CE4">
        <w:rPr>
          <w:rFonts w:ascii="Arial" w:hAnsi="Arial" w:cs="Arial"/>
        </w:rPr>
        <w:t>Atwi</w:t>
      </w:r>
      <w:proofErr w:type="spellEnd"/>
      <w:r w:rsidRPr="00132CE4">
        <w:rPr>
          <w:rFonts w:ascii="Arial" w:hAnsi="Arial" w:cs="Arial"/>
        </w:rPr>
        <w:t xml:space="preserve"> and Al-</w:t>
      </w:r>
      <w:proofErr w:type="spellStart"/>
      <w:r w:rsidRPr="00132CE4">
        <w:rPr>
          <w:rFonts w:ascii="Arial" w:hAnsi="Arial" w:cs="Arial"/>
        </w:rPr>
        <w:t>Hassani</w:t>
      </w:r>
      <w:proofErr w:type="spellEnd"/>
      <w:r w:rsidRPr="00132CE4">
        <w:rPr>
          <w:rFonts w:ascii="Arial" w:hAnsi="Arial" w:cs="Arial"/>
        </w:rPr>
        <w:t>, 2021)</w:t>
      </w:r>
    </w:p>
    <w:p w14:paraId="01C8C9A1" w14:textId="77777777" w:rsidR="00132CE4" w:rsidRPr="00132CE4" w:rsidRDefault="00074397" w:rsidP="00132CE4">
      <w:pPr>
        <w:pStyle w:val="ListParagraph"/>
        <w:numPr>
          <w:ilvl w:val="0"/>
          <w:numId w:val="1"/>
        </w:numPr>
        <w:spacing w:line="360" w:lineRule="auto"/>
        <w:jc w:val="both"/>
        <w:rPr>
          <w:rFonts w:ascii="Arial" w:hAnsi="Arial" w:cs="Arial"/>
        </w:rPr>
      </w:pPr>
      <w:r w:rsidRPr="00132CE4">
        <w:rPr>
          <w:rFonts w:ascii="Arial" w:hAnsi="Arial" w:cs="Arial"/>
        </w:rPr>
        <w:t>offer flexible working hours since this form has been proved efficient in terms of retention (Bloom, Han and Liang 2024)</w:t>
      </w:r>
    </w:p>
    <w:p w14:paraId="38107F63" w14:textId="5A8C518E" w:rsidR="00FB33B4" w:rsidRPr="00132CE4" w:rsidRDefault="00074397" w:rsidP="00132CE4">
      <w:pPr>
        <w:pStyle w:val="ListParagraph"/>
        <w:numPr>
          <w:ilvl w:val="0"/>
          <w:numId w:val="1"/>
        </w:numPr>
        <w:spacing w:line="360" w:lineRule="auto"/>
        <w:jc w:val="both"/>
        <w:rPr>
          <w:rFonts w:ascii="Arial" w:hAnsi="Arial" w:cs="Arial"/>
        </w:rPr>
      </w:pPr>
      <w:r w:rsidRPr="00132CE4">
        <w:rPr>
          <w:rFonts w:ascii="Arial" w:hAnsi="Arial" w:cs="Arial"/>
        </w:rPr>
        <w:t xml:space="preserve">publish separate analysis of the representation by the levels and departments of the </w:t>
      </w:r>
      <w:r w:rsidR="00C46AE5">
        <w:rPr>
          <w:rFonts w:ascii="Arial" w:hAnsi="Arial" w:cs="Arial"/>
        </w:rPr>
        <w:t>organisation</w:t>
      </w:r>
      <w:r w:rsidRPr="00132CE4">
        <w:rPr>
          <w:rFonts w:ascii="Arial" w:hAnsi="Arial" w:cs="Arial"/>
        </w:rPr>
        <w:t xml:space="preserve"> to enable an objective performance evaluation (John Lewis Partnership, 2026).</w:t>
      </w:r>
    </w:p>
    <w:p w14:paraId="0E949922" w14:textId="77777777" w:rsidR="00734B6C" w:rsidRDefault="00734B6C" w:rsidP="00E62473">
      <w:pPr>
        <w:spacing w:line="360" w:lineRule="auto"/>
        <w:jc w:val="both"/>
        <w:rPr>
          <w:rFonts w:ascii="Arial" w:hAnsi="Arial" w:cs="Arial"/>
        </w:rPr>
      </w:pPr>
    </w:p>
    <w:p w14:paraId="665A86E0" w14:textId="77777777" w:rsidR="008F63D7" w:rsidRDefault="008F63D7" w:rsidP="00E62473">
      <w:pPr>
        <w:spacing w:line="360" w:lineRule="auto"/>
        <w:jc w:val="both"/>
        <w:rPr>
          <w:rFonts w:ascii="Arial" w:hAnsi="Arial" w:cs="Arial"/>
        </w:rPr>
      </w:pPr>
    </w:p>
    <w:p w14:paraId="03D7D9F9" w14:textId="77777777" w:rsidR="008F63D7" w:rsidRDefault="008F63D7" w:rsidP="00E62473">
      <w:pPr>
        <w:spacing w:line="360" w:lineRule="auto"/>
        <w:jc w:val="both"/>
        <w:rPr>
          <w:rFonts w:ascii="Arial" w:hAnsi="Arial" w:cs="Arial"/>
        </w:rPr>
      </w:pPr>
    </w:p>
    <w:p w14:paraId="58EA8DD7" w14:textId="77777777" w:rsidR="008F63D7" w:rsidRDefault="008F63D7" w:rsidP="00E62473">
      <w:pPr>
        <w:spacing w:line="360" w:lineRule="auto"/>
        <w:jc w:val="both"/>
        <w:rPr>
          <w:rFonts w:ascii="Arial" w:hAnsi="Arial" w:cs="Arial"/>
        </w:rPr>
      </w:pPr>
    </w:p>
    <w:p w14:paraId="070A41E7" w14:textId="77777777" w:rsidR="001D60FA" w:rsidRDefault="001D60FA" w:rsidP="00E62473">
      <w:pPr>
        <w:spacing w:line="360" w:lineRule="auto"/>
        <w:jc w:val="both"/>
        <w:rPr>
          <w:rFonts w:ascii="Arial" w:hAnsi="Arial" w:cs="Arial"/>
        </w:rPr>
      </w:pPr>
    </w:p>
    <w:p w14:paraId="1BC0AED2" w14:textId="77777777" w:rsidR="001D60FA" w:rsidRDefault="001D60FA" w:rsidP="00E62473">
      <w:pPr>
        <w:spacing w:line="360" w:lineRule="auto"/>
        <w:jc w:val="both"/>
        <w:rPr>
          <w:rFonts w:ascii="Arial" w:hAnsi="Arial" w:cs="Arial"/>
        </w:rPr>
      </w:pPr>
    </w:p>
    <w:p w14:paraId="65F486C3" w14:textId="77777777" w:rsidR="001D60FA" w:rsidRDefault="001D60FA" w:rsidP="00E62473">
      <w:pPr>
        <w:spacing w:line="360" w:lineRule="auto"/>
        <w:jc w:val="both"/>
        <w:rPr>
          <w:rFonts w:ascii="Arial" w:hAnsi="Arial" w:cs="Arial"/>
        </w:rPr>
      </w:pPr>
    </w:p>
    <w:p w14:paraId="467C7F95" w14:textId="77777777" w:rsidR="001D60FA" w:rsidRDefault="001D60FA" w:rsidP="00E62473">
      <w:pPr>
        <w:spacing w:line="360" w:lineRule="auto"/>
        <w:jc w:val="both"/>
        <w:rPr>
          <w:rFonts w:ascii="Arial" w:hAnsi="Arial" w:cs="Arial"/>
        </w:rPr>
      </w:pPr>
    </w:p>
    <w:p w14:paraId="2FC8A72F" w14:textId="77777777" w:rsidR="001D60FA" w:rsidRDefault="001D60FA" w:rsidP="00E62473">
      <w:pPr>
        <w:spacing w:line="360" w:lineRule="auto"/>
        <w:jc w:val="both"/>
        <w:rPr>
          <w:rFonts w:ascii="Arial" w:hAnsi="Arial" w:cs="Arial"/>
        </w:rPr>
      </w:pPr>
    </w:p>
    <w:p w14:paraId="24B92576" w14:textId="77777777" w:rsidR="001D60FA" w:rsidRDefault="001D60FA" w:rsidP="00E62473">
      <w:pPr>
        <w:spacing w:line="360" w:lineRule="auto"/>
        <w:jc w:val="both"/>
        <w:rPr>
          <w:rFonts w:ascii="Arial" w:hAnsi="Arial" w:cs="Arial"/>
        </w:rPr>
      </w:pPr>
    </w:p>
    <w:p w14:paraId="18E8A270" w14:textId="77777777" w:rsidR="001D60FA" w:rsidRDefault="001D60FA" w:rsidP="00E62473">
      <w:pPr>
        <w:spacing w:line="360" w:lineRule="auto"/>
        <w:jc w:val="both"/>
        <w:rPr>
          <w:rFonts w:ascii="Arial" w:hAnsi="Arial" w:cs="Arial"/>
        </w:rPr>
      </w:pPr>
    </w:p>
    <w:p w14:paraId="007B260E" w14:textId="77777777" w:rsidR="001D60FA" w:rsidRDefault="001D60FA" w:rsidP="00E62473">
      <w:pPr>
        <w:spacing w:line="360" w:lineRule="auto"/>
        <w:jc w:val="both"/>
        <w:rPr>
          <w:rFonts w:ascii="Arial" w:hAnsi="Arial" w:cs="Arial"/>
        </w:rPr>
      </w:pPr>
    </w:p>
    <w:p w14:paraId="48D6C8FC" w14:textId="77777777" w:rsidR="001D60FA" w:rsidRDefault="001D60FA" w:rsidP="00E62473">
      <w:pPr>
        <w:spacing w:line="360" w:lineRule="auto"/>
        <w:jc w:val="both"/>
        <w:rPr>
          <w:rFonts w:ascii="Arial" w:hAnsi="Arial" w:cs="Arial"/>
        </w:rPr>
      </w:pPr>
    </w:p>
    <w:p w14:paraId="7919541E" w14:textId="77777777" w:rsidR="001D60FA" w:rsidRDefault="001D60FA" w:rsidP="00E62473">
      <w:pPr>
        <w:spacing w:line="360" w:lineRule="auto"/>
        <w:jc w:val="both"/>
        <w:rPr>
          <w:rFonts w:ascii="Arial" w:hAnsi="Arial" w:cs="Arial"/>
        </w:rPr>
      </w:pPr>
    </w:p>
    <w:p w14:paraId="7ACB699B" w14:textId="77777777" w:rsidR="001D60FA" w:rsidRDefault="001D60FA" w:rsidP="00E62473">
      <w:pPr>
        <w:spacing w:line="360" w:lineRule="auto"/>
        <w:jc w:val="both"/>
        <w:rPr>
          <w:rFonts w:ascii="Arial" w:hAnsi="Arial" w:cs="Arial"/>
        </w:rPr>
      </w:pPr>
    </w:p>
    <w:p w14:paraId="44CC9A03" w14:textId="77777777" w:rsidR="001D60FA" w:rsidRDefault="001D60FA" w:rsidP="00E62473">
      <w:pPr>
        <w:spacing w:line="360" w:lineRule="auto"/>
        <w:jc w:val="both"/>
        <w:rPr>
          <w:rFonts w:ascii="Arial" w:hAnsi="Arial" w:cs="Arial"/>
        </w:rPr>
      </w:pPr>
    </w:p>
    <w:p w14:paraId="613C5B47" w14:textId="77777777" w:rsidR="001D60FA" w:rsidRDefault="001D60FA" w:rsidP="00E62473">
      <w:pPr>
        <w:spacing w:line="360" w:lineRule="auto"/>
        <w:jc w:val="both"/>
        <w:rPr>
          <w:rFonts w:ascii="Arial" w:hAnsi="Arial" w:cs="Arial"/>
        </w:rPr>
      </w:pPr>
    </w:p>
    <w:p w14:paraId="3D82E0DE" w14:textId="77777777" w:rsidR="001D60FA" w:rsidRDefault="001D60FA" w:rsidP="00E62473">
      <w:pPr>
        <w:spacing w:line="360" w:lineRule="auto"/>
        <w:jc w:val="both"/>
        <w:rPr>
          <w:rFonts w:ascii="Arial" w:hAnsi="Arial" w:cs="Arial"/>
        </w:rPr>
      </w:pPr>
    </w:p>
    <w:p w14:paraId="5C822995" w14:textId="77777777" w:rsidR="001D60FA" w:rsidRDefault="001D60FA" w:rsidP="00E62473">
      <w:pPr>
        <w:spacing w:line="360" w:lineRule="auto"/>
        <w:jc w:val="both"/>
        <w:rPr>
          <w:rFonts w:ascii="Arial" w:hAnsi="Arial" w:cs="Arial"/>
        </w:rPr>
      </w:pPr>
    </w:p>
    <w:p w14:paraId="0506D8C4" w14:textId="77777777" w:rsidR="001D60FA" w:rsidRDefault="001D60FA" w:rsidP="00E62473">
      <w:pPr>
        <w:spacing w:line="360" w:lineRule="auto"/>
        <w:jc w:val="both"/>
        <w:rPr>
          <w:rFonts w:ascii="Arial" w:hAnsi="Arial" w:cs="Arial"/>
        </w:rPr>
      </w:pPr>
    </w:p>
    <w:p w14:paraId="5DAE6101" w14:textId="77777777" w:rsidR="001D60FA" w:rsidRDefault="001D60FA" w:rsidP="00E62473">
      <w:pPr>
        <w:spacing w:line="360" w:lineRule="auto"/>
        <w:jc w:val="both"/>
        <w:rPr>
          <w:rFonts w:ascii="Arial" w:hAnsi="Arial" w:cs="Arial"/>
        </w:rPr>
      </w:pPr>
    </w:p>
    <w:p w14:paraId="28DB0E9B" w14:textId="77777777" w:rsidR="008F63D7" w:rsidRPr="00E62473" w:rsidRDefault="008F63D7" w:rsidP="00E62473">
      <w:pPr>
        <w:spacing w:line="360" w:lineRule="auto"/>
        <w:jc w:val="both"/>
        <w:rPr>
          <w:rFonts w:ascii="Arial" w:hAnsi="Arial" w:cs="Arial"/>
        </w:rPr>
      </w:pPr>
    </w:p>
    <w:p w14:paraId="2898FD50" w14:textId="77777777" w:rsidR="00C973ED" w:rsidRPr="00E62473" w:rsidRDefault="00BD507A" w:rsidP="00E62473">
      <w:pPr>
        <w:pStyle w:val="Heading1"/>
        <w:spacing w:line="360" w:lineRule="auto"/>
        <w:jc w:val="both"/>
        <w:rPr>
          <w:rFonts w:ascii="Arial" w:hAnsi="Arial" w:cs="Arial"/>
          <w:b/>
          <w:bCs/>
          <w:sz w:val="24"/>
          <w:szCs w:val="24"/>
        </w:rPr>
      </w:pPr>
      <w:bookmarkStart w:id="11" w:name="_Toc237947675"/>
      <w:r w:rsidRPr="00E62473">
        <w:rPr>
          <w:rFonts w:ascii="Arial" w:hAnsi="Arial" w:cs="Arial"/>
          <w:b/>
          <w:bCs/>
          <w:sz w:val="24"/>
          <w:szCs w:val="24"/>
        </w:rPr>
        <w:lastRenderedPageBreak/>
        <w:t>6. Reference List</w:t>
      </w:r>
      <w:bookmarkEnd w:id="11"/>
    </w:p>
    <w:p w14:paraId="2CD2FA5B" w14:textId="29ABF761" w:rsidR="00C973ED" w:rsidRPr="00E62473" w:rsidRDefault="00C973ED" w:rsidP="00E62473">
      <w:pPr>
        <w:spacing w:line="360" w:lineRule="auto"/>
        <w:jc w:val="both"/>
        <w:rPr>
          <w:rFonts w:ascii="Arial" w:hAnsi="Arial" w:cs="Arial"/>
        </w:rPr>
      </w:pPr>
      <w:r w:rsidRPr="00E62473">
        <w:rPr>
          <w:rFonts w:ascii="Arial" w:hAnsi="Arial" w:cs="Arial"/>
        </w:rPr>
        <w:t>Al-</w:t>
      </w:r>
      <w:proofErr w:type="spellStart"/>
      <w:r w:rsidRPr="00E62473">
        <w:rPr>
          <w:rFonts w:ascii="Arial" w:hAnsi="Arial" w:cs="Arial"/>
        </w:rPr>
        <w:t>Atwi</w:t>
      </w:r>
      <w:proofErr w:type="spellEnd"/>
      <w:r w:rsidRPr="00E62473">
        <w:rPr>
          <w:rFonts w:ascii="Arial" w:hAnsi="Arial" w:cs="Arial"/>
        </w:rPr>
        <w:t>, A.A. and Al-</w:t>
      </w:r>
      <w:proofErr w:type="spellStart"/>
      <w:r w:rsidRPr="00E62473">
        <w:rPr>
          <w:rFonts w:ascii="Arial" w:hAnsi="Arial" w:cs="Arial"/>
        </w:rPr>
        <w:t>Hassani</w:t>
      </w:r>
      <w:proofErr w:type="spellEnd"/>
      <w:r w:rsidRPr="00E62473">
        <w:rPr>
          <w:rFonts w:ascii="Arial" w:hAnsi="Arial" w:cs="Arial"/>
        </w:rPr>
        <w:t xml:space="preserve">, K.K. (2021) 'Inclusive leadership: scale validation and potential consequences', Leadership &amp; </w:t>
      </w:r>
      <w:r w:rsidR="00C46AE5">
        <w:rPr>
          <w:rFonts w:ascii="Arial" w:hAnsi="Arial" w:cs="Arial"/>
        </w:rPr>
        <w:t>Organisation</w:t>
      </w:r>
      <w:r w:rsidRPr="00E62473">
        <w:rPr>
          <w:rFonts w:ascii="Arial" w:hAnsi="Arial" w:cs="Arial"/>
        </w:rPr>
        <w:t xml:space="preserve"> Development Journal, 42(8), pp. 1222–1240. Available at: </w:t>
      </w:r>
      <w:hyperlink r:id="rId9" w:history="1">
        <w:r w:rsidRPr="00E62473">
          <w:rPr>
            <w:rStyle w:val="Hyperlink"/>
            <w:rFonts w:ascii="Arial" w:hAnsi="Arial" w:cs="Arial"/>
          </w:rPr>
          <w:t>https://doi.org/10.1108/LODJ-08-2020-0327</w:t>
        </w:r>
      </w:hyperlink>
      <w:r w:rsidRPr="00E62473">
        <w:rPr>
          <w:rFonts w:ascii="Arial" w:hAnsi="Arial" w:cs="Arial"/>
        </w:rPr>
        <w:t xml:space="preserve"> (Accessed: 5 August 2026).</w:t>
      </w:r>
    </w:p>
    <w:p w14:paraId="34DB37D2"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Alves, P., Santos, V., Reis, I., </w:t>
      </w:r>
      <w:proofErr w:type="spellStart"/>
      <w:r w:rsidRPr="00E62473">
        <w:rPr>
          <w:rFonts w:ascii="Arial" w:hAnsi="Arial" w:cs="Arial"/>
        </w:rPr>
        <w:t>Martinho</w:t>
      </w:r>
      <w:proofErr w:type="spellEnd"/>
      <w:r w:rsidRPr="00E62473">
        <w:rPr>
          <w:rFonts w:ascii="Arial" w:hAnsi="Arial" w:cs="Arial"/>
        </w:rPr>
        <w:t xml:space="preserve">, F., </w:t>
      </w:r>
      <w:proofErr w:type="spellStart"/>
      <w:r w:rsidRPr="00E62473">
        <w:rPr>
          <w:rFonts w:ascii="Arial" w:hAnsi="Arial" w:cs="Arial"/>
        </w:rPr>
        <w:t>Martinho</w:t>
      </w:r>
      <w:proofErr w:type="spellEnd"/>
      <w:r w:rsidRPr="00E62473">
        <w:rPr>
          <w:rFonts w:ascii="Arial" w:hAnsi="Arial" w:cs="Arial"/>
        </w:rPr>
        <w:t xml:space="preserve">, D., Sampaio, M.C., Sousa, M.J. and Au-Yong-Oliveira, M. (2020) 'Strategic talent management: the impact of employer branding on the affective commitment of employees', Sustainability, 12(23), 9993. Available at: </w:t>
      </w:r>
      <w:hyperlink r:id="rId10" w:history="1">
        <w:r w:rsidRPr="00E62473">
          <w:rPr>
            <w:rStyle w:val="Hyperlink"/>
            <w:rFonts w:ascii="Arial" w:eastAsiaTheme="majorEastAsia" w:hAnsi="Arial" w:cs="Arial"/>
          </w:rPr>
          <w:t>https://doi.org/10.3390/su12239993</w:t>
        </w:r>
      </w:hyperlink>
      <w:r w:rsidRPr="00E62473">
        <w:rPr>
          <w:rFonts w:ascii="Arial" w:hAnsi="Arial" w:cs="Arial"/>
        </w:rPr>
        <w:t xml:space="preserve"> (Accessed: 5 August 2026).</w:t>
      </w:r>
    </w:p>
    <w:p w14:paraId="58F9470F"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Armstrong, M. and Taylor, S. (2023) Armstrong's Handbook of Human Resource Management Practice: A Guide to the Theory and Practice of People Management. 16th </w:t>
      </w:r>
      <w:proofErr w:type="spellStart"/>
      <w:r w:rsidRPr="00E62473">
        <w:rPr>
          <w:rFonts w:ascii="Arial" w:hAnsi="Arial" w:cs="Arial"/>
        </w:rPr>
        <w:t>edn</w:t>
      </w:r>
      <w:proofErr w:type="spellEnd"/>
      <w:r w:rsidRPr="00E62473">
        <w:rPr>
          <w:rFonts w:ascii="Arial" w:hAnsi="Arial" w:cs="Arial"/>
        </w:rPr>
        <w:t xml:space="preserve">. London: Kogan Page. Available at: </w:t>
      </w:r>
      <w:hyperlink r:id="rId11" w:history="1">
        <w:r w:rsidRPr="00E62473">
          <w:rPr>
            <w:rStyle w:val="Hyperlink"/>
            <w:rFonts w:ascii="Arial" w:eastAsiaTheme="majorEastAsia" w:hAnsi="Arial" w:cs="Arial"/>
          </w:rPr>
          <w:t>https://www.koganpage.com/hr-learning-development/armstrongs-handbook-of-human-resource-management-practice-9781398606647</w:t>
        </w:r>
      </w:hyperlink>
      <w:r w:rsidRPr="00E62473">
        <w:rPr>
          <w:rFonts w:ascii="Arial" w:hAnsi="Arial" w:cs="Arial"/>
        </w:rPr>
        <w:t xml:space="preserve"> (Accessed: 3 August 2026).</w:t>
      </w:r>
    </w:p>
    <w:p w14:paraId="6E27E722"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Bloom, N., Han, R. and Liang, J. (2024) 'Hybrid working from home improves retention without damaging performance', Nature, 630(8018), pp. 920–925. Available at: </w:t>
      </w:r>
      <w:hyperlink r:id="rId12" w:history="1">
        <w:r w:rsidRPr="00E62473">
          <w:rPr>
            <w:rStyle w:val="Hyperlink"/>
            <w:rFonts w:ascii="Arial" w:eastAsiaTheme="majorEastAsia" w:hAnsi="Arial" w:cs="Arial"/>
          </w:rPr>
          <w:t>https://doi.org/10.1038/s41586-024-07500-2</w:t>
        </w:r>
      </w:hyperlink>
      <w:r w:rsidRPr="00E62473">
        <w:rPr>
          <w:rFonts w:ascii="Arial" w:hAnsi="Arial" w:cs="Arial"/>
        </w:rPr>
        <w:t xml:space="preserve"> (Accessed: 6 August 2026).</w:t>
      </w:r>
    </w:p>
    <w:p w14:paraId="0BDAF7A5"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Boxall, P. and Purcell, J. (2022) Strategy and Human Resource Management. 5th </w:t>
      </w:r>
      <w:proofErr w:type="spellStart"/>
      <w:r w:rsidRPr="00E62473">
        <w:rPr>
          <w:rFonts w:ascii="Arial" w:hAnsi="Arial" w:cs="Arial"/>
        </w:rPr>
        <w:t>edn</w:t>
      </w:r>
      <w:proofErr w:type="spellEnd"/>
      <w:r w:rsidRPr="00E62473">
        <w:rPr>
          <w:rFonts w:ascii="Arial" w:hAnsi="Arial" w:cs="Arial"/>
        </w:rPr>
        <w:t xml:space="preserve">. London: Bloomsbury Academic. Available at: </w:t>
      </w:r>
      <w:hyperlink r:id="rId13" w:history="1">
        <w:r w:rsidRPr="00E62473">
          <w:rPr>
            <w:rStyle w:val="Hyperlink"/>
            <w:rFonts w:ascii="Arial" w:eastAsiaTheme="majorEastAsia" w:hAnsi="Arial" w:cs="Arial"/>
          </w:rPr>
          <w:t>https://www.bloomsbury.com/uk/strategy-and-human-resource-management-9781350309876/</w:t>
        </w:r>
      </w:hyperlink>
      <w:r w:rsidRPr="00E62473">
        <w:rPr>
          <w:rFonts w:ascii="Arial" w:hAnsi="Arial" w:cs="Arial"/>
        </w:rPr>
        <w:t xml:space="preserve"> (Accessed: 3 August 2026).</w:t>
      </w:r>
    </w:p>
    <w:p w14:paraId="6A5B24D1"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CIPD (2024a) Resourcing and Talent Planning Report 2024. London: Chartered Institute of Personnel and Development. Available at: </w:t>
      </w:r>
      <w:hyperlink r:id="rId14" w:history="1">
        <w:r w:rsidRPr="00E62473">
          <w:rPr>
            <w:rStyle w:val="Hyperlink"/>
            <w:rFonts w:ascii="Arial" w:eastAsiaTheme="majorEastAsia" w:hAnsi="Arial" w:cs="Arial"/>
          </w:rPr>
          <w:t>https://www.cipd.org/uk/knowledge/reports/resourcing-surveys/</w:t>
        </w:r>
      </w:hyperlink>
      <w:r w:rsidRPr="00E62473">
        <w:rPr>
          <w:rFonts w:ascii="Arial" w:hAnsi="Arial" w:cs="Arial"/>
        </w:rPr>
        <w:t xml:space="preserve"> (Accessed: 1 August 2026).</w:t>
      </w:r>
    </w:p>
    <w:p w14:paraId="45A068C0"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CIPD (2024b) Good Work Index 2024: Summary Report. London: Chartered Institute of Personnel and Development. Available at: </w:t>
      </w:r>
      <w:hyperlink r:id="rId15" w:history="1">
        <w:r w:rsidRPr="00E62473">
          <w:rPr>
            <w:rStyle w:val="Hyperlink"/>
            <w:rFonts w:ascii="Arial" w:eastAsiaTheme="majorEastAsia" w:hAnsi="Arial" w:cs="Arial"/>
          </w:rPr>
          <w:t>https://www.cipd.org/globalassets/media/knowledge/knowledge-hub/reports/2024-</w:t>
        </w:r>
        <w:r w:rsidRPr="00E62473">
          <w:rPr>
            <w:rStyle w:val="Hyperlink"/>
            <w:rFonts w:ascii="Arial" w:eastAsiaTheme="majorEastAsia" w:hAnsi="Arial" w:cs="Arial"/>
          </w:rPr>
          <w:lastRenderedPageBreak/>
          <w:t>pdfs/8625-good-work-index-2024-summary-report-1-web.pdf</w:t>
        </w:r>
      </w:hyperlink>
      <w:r w:rsidRPr="00E62473">
        <w:rPr>
          <w:rFonts w:ascii="Arial" w:hAnsi="Arial" w:cs="Arial"/>
        </w:rPr>
        <w:t xml:space="preserve"> (Accessed: 1 August 2026).</w:t>
      </w:r>
    </w:p>
    <w:p w14:paraId="35DF6D22"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Cunningham, G.B. (2023) Diversity, Equity, and Inclusion at Work. 1st </w:t>
      </w:r>
      <w:proofErr w:type="spellStart"/>
      <w:r w:rsidRPr="00E62473">
        <w:rPr>
          <w:rFonts w:ascii="Arial" w:hAnsi="Arial" w:cs="Arial"/>
        </w:rPr>
        <w:t>edn</w:t>
      </w:r>
      <w:proofErr w:type="spellEnd"/>
      <w:r w:rsidRPr="00E62473">
        <w:rPr>
          <w:rFonts w:ascii="Arial" w:hAnsi="Arial" w:cs="Arial"/>
        </w:rPr>
        <w:t xml:space="preserve">. Abingdon: Routledge. Available at: </w:t>
      </w:r>
      <w:hyperlink r:id="rId16" w:history="1">
        <w:r w:rsidRPr="00E62473">
          <w:rPr>
            <w:rStyle w:val="Hyperlink"/>
            <w:rFonts w:ascii="Arial" w:eastAsiaTheme="majorEastAsia" w:hAnsi="Arial" w:cs="Arial"/>
          </w:rPr>
          <w:t>https://doi.org/10.4324/9781003413110</w:t>
        </w:r>
      </w:hyperlink>
      <w:r w:rsidRPr="00E62473">
        <w:rPr>
          <w:rFonts w:ascii="Arial" w:hAnsi="Arial" w:cs="Arial"/>
        </w:rPr>
        <w:t xml:space="preserve"> (Accessed: 4 August 2026).</w:t>
      </w:r>
    </w:p>
    <w:p w14:paraId="576A93F5" w14:textId="77777777" w:rsidR="00C973ED" w:rsidRPr="00E62473" w:rsidRDefault="00C973ED" w:rsidP="00E62473">
      <w:pPr>
        <w:pStyle w:val="font-claude-response-body"/>
        <w:spacing w:line="360" w:lineRule="auto"/>
        <w:jc w:val="both"/>
        <w:rPr>
          <w:rFonts w:ascii="Arial" w:hAnsi="Arial" w:cs="Arial"/>
        </w:rPr>
      </w:pPr>
      <w:proofErr w:type="spellStart"/>
      <w:r w:rsidRPr="00E62473">
        <w:rPr>
          <w:rFonts w:ascii="Arial" w:hAnsi="Arial" w:cs="Arial"/>
        </w:rPr>
        <w:t>Ekhsan</w:t>
      </w:r>
      <w:proofErr w:type="spellEnd"/>
      <w:r w:rsidRPr="00E62473">
        <w:rPr>
          <w:rFonts w:ascii="Arial" w:hAnsi="Arial" w:cs="Arial"/>
        </w:rPr>
        <w:t xml:space="preserve">, M., </w:t>
      </w:r>
      <w:proofErr w:type="spellStart"/>
      <w:r w:rsidRPr="00E62473">
        <w:rPr>
          <w:rFonts w:ascii="Arial" w:hAnsi="Arial" w:cs="Arial"/>
        </w:rPr>
        <w:t>Sudiro</w:t>
      </w:r>
      <w:proofErr w:type="spellEnd"/>
      <w:r w:rsidRPr="00E62473">
        <w:rPr>
          <w:rFonts w:ascii="Arial" w:hAnsi="Arial" w:cs="Arial"/>
        </w:rPr>
        <w:t xml:space="preserve">, A., </w:t>
      </w:r>
      <w:proofErr w:type="spellStart"/>
      <w:r w:rsidRPr="00E62473">
        <w:rPr>
          <w:rFonts w:ascii="Arial" w:hAnsi="Arial" w:cs="Arial"/>
        </w:rPr>
        <w:t>Mugiono</w:t>
      </w:r>
      <w:proofErr w:type="spellEnd"/>
      <w:r w:rsidRPr="00E62473">
        <w:rPr>
          <w:rFonts w:ascii="Arial" w:hAnsi="Arial" w:cs="Arial"/>
        </w:rPr>
        <w:t xml:space="preserve">, M. and Hussein, A.S. (2022) 'Employee retention and change management during times of uncertainty', Frontiers in Psychology, 13, 916709. Available at: </w:t>
      </w:r>
      <w:hyperlink r:id="rId17" w:history="1">
        <w:r w:rsidRPr="00E62473">
          <w:rPr>
            <w:rStyle w:val="Hyperlink"/>
            <w:rFonts w:ascii="Arial" w:eastAsiaTheme="majorEastAsia" w:hAnsi="Arial" w:cs="Arial"/>
          </w:rPr>
          <w:t>https://doi.org/10.3389/fpsyg.2022.916709</w:t>
        </w:r>
      </w:hyperlink>
      <w:r w:rsidRPr="00E62473">
        <w:rPr>
          <w:rFonts w:ascii="Arial" w:hAnsi="Arial" w:cs="Arial"/>
        </w:rPr>
        <w:t xml:space="preserve"> (Accessed: 6 August 2026).</w:t>
      </w:r>
    </w:p>
    <w:p w14:paraId="2EBAF958" w14:textId="77777777" w:rsidR="00C973ED" w:rsidRPr="00E62473" w:rsidRDefault="00C973ED" w:rsidP="00E62473">
      <w:pPr>
        <w:pStyle w:val="font-claude-response-body"/>
        <w:spacing w:line="360" w:lineRule="auto"/>
        <w:jc w:val="both"/>
        <w:rPr>
          <w:rFonts w:ascii="Arial" w:hAnsi="Arial" w:cs="Arial"/>
        </w:rPr>
      </w:pPr>
      <w:proofErr w:type="spellStart"/>
      <w:r w:rsidRPr="00E62473">
        <w:rPr>
          <w:rFonts w:ascii="Arial" w:hAnsi="Arial" w:cs="Arial"/>
        </w:rPr>
        <w:t>Ferrar</w:t>
      </w:r>
      <w:proofErr w:type="spellEnd"/>
      <w:r w:rsidRPr="00E62473">
        <w:rPr>
          <w:rFonts w:ascii="Arial" w:hAnsi="Arial" w:cs="Arial"/>
        </w:rPr>
        <w:t xml:space="preserve">, J. and Green, D. (2021) Excellence in People Analytics: How to Use Workforce Data to Create Business Value. London: Kogan Page. Available at: </w:t>
      </w:r>
      <w:hyperlink r:id="rId18" w:history="1">
        <w:r w:rsidRPr="00E62473">
          <w:rPr>
            <w:rStyle w:val="Hyperlink"/>
            <w:rFonts w:ascii="Arial" w:eastAsiaTheme="majorEastAsia" w:hAnsi="Arial" w:cs="Arial"/>
          </w:rPr>
          <w:t>https://www.koganpage.com/hr-learning-development/excellence-in-people-analytics-9780749498290</w:t>
        </w:r>
      </w:hyperlink>
      <w:r w:rsidRPr="00E62473">
        <w:rPr>
          <w:rFonts w:ascii="Arial" w:hAnsi="Arial" w:cs="Arial"/>
        </w:rPr>
        <w:t xml:space="preserve"> (Accessed: 4 August 2026).</w:t>
      </w:r>
    </w:p>
    <w:p w14:paraId="55FC688E"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John Lewis Partnership (2026) John Lewis Partnership plc Annual Report and Accounts 2026. Available at: </w:t>
      </w:r>
      <w:hyperlink r:id="rId19" w:history="1">
        <w:r w:rsidRPr="00E62473">
          <w:rPr>
            <w:rStyle w:val="Hyperlink"/>
            <w:rFonts w:ascii="Arial" w:eastAsiaTheme="majorEastAsia" w:hAnsi="Arial" w:cs="Arial"/>
          </w:rPr>
          <w:t>https://www.johnlewispartnership.co.uk/~/media/Files/J/john-lewis/corp/results-and-presentations/JLP-plc-Annual-Report-and-Accounts-2025-26.pdf</w:t>
        </w:r>
      </w:hyperlink>
      <w:r w:rsidRPr="00E62473">
        <w:rPr>
          <w:rFonts w:ascii="Arial" w:hAnsi="Arial" w:cs="Arial"/>
        </w:rPr>
        <w:t xml:space="preserve"> (Accessed: 10 August 2026).</w:t>
      </w:r>
    </w:p>
    <w:p w14:paraId="4F43E348" w14:textId="77777777" w:rsidR="00C973ED" w:rsidRPr="00E62473" w:rsidRDefault="00C973ED" w:rsidP="00E62473">
      <w:pPr>
        <w:pStyle w:val="font-claude-response-body"/>
        <w:spacing w:line="360" w:lineRule="auto"/>
        <w:jc w:val="both"/>
        <w:rPr>
          <w:rFonts w:ascii="Arial" w:hAnsi="Arial" w:cs="Arial"/>
        </w:rPr>
      </w:pPr>
      <w:proofErr w:type="spellStart"/>
      <w:r w:rsidRPr="00E62473">
        <w:rPr>
          <w:rFonts w:ascii="Arial" w:hAnsi="Arial" w:cs="Arial"/>
        </w:rPr>
        <w:t>Köchling</w:t>
      </w:r>
      <w:proofErr w:type="spellEnd"/>
      <w:r w:rsidRPr="00E62473">
        <w:rPr>
          <w:rFonts w:ascii="Arial" w:hAnsi="Arial" w:cs="Arial"/>
        </w:rPr>
        <w:t xml:space="preserve">, A., </w:t>
      </w:r>
      <w:proofErr w:type="spellStart"/>
      <w:r w:rsidRPr="00E62473">
        <w:rPr>
          <w:rFonts w:ascii="Arial" w:hAnsi="Arial" w:cs="Arial"/>
        </w:rPr>
        <w:t>Riazy</w:t>
      </w:r>
      <w:proofErr w:type="spellEnd"/>
      <w:r w:rsidRPr="00E62473">
        <w:rPr>
          <w:rFonts w:ascii="Arial" w:hAnsi="Arial" w:cs="Arial"/>
        </w:rPr>
        <w:t xml:space="preserve">, S., </w:t>
      </w:r>
      <w:proofErr w:type="spellStart"/>
      <w:r w:rsidRPr="00E62473">
        <w:rPr>
          <w:rFonts w:ascii="Arial" w:hAnsi="Arial" w:cs="Arial"/>
        </w:rPr>
        <w:t>Wehner</w:t>
      </w:r>
      <w:proofErr w:type="spellEnd"/>
      <w:r w:rsidRPr="00E62473">
        <w:rPr>
          <w:rFonts w:ascii="Arial" w:hAnsi="Arial" w:cs="Arial"/>
        </w:rPr>
        <w:t xml:space="preserve">, M.C. and </w:t>
      </w:r>
      <w:proofErr w:type="spellStart"/>
      <w:r w:rsidRPr="00E62473">
        <w:rPr>
          <w:rFonts w:ascii="Arial" w:hAnsi="Arial" w:cs="Arial"/>
        </w:rPr>
        <w:t>Simbeck</w:t>
      </w:r>
      <w:proofErr w:type="spellEnd"/>
      <w:r w:rsidRPr="00E62473">
        <w:rPr>
          <w:rFonts w:ascii="Arial" w:hAnsi="Arial" w:cs="Arial"/>
        </w:rPr>
        <w:t xml:space="preserve">, K. (2021) 'Highly accurate, but still discriminatory: a fairness evaluation of algorithmic video analysis in the recruitment context', Business &amp; Information Systems Engineering, 63(1), pp. 39–54. Available at: </w:t>
      </w:r>
      <w:hyperlink r:id="rId20" w:history="1">
        <w:r w:rsidRPr="00E62473">
          <w:rPr>
            <w:rStyle w:val="Hyperlink"/>
            <w:rFonts w:ascii="Arial" w:eastAsiaTheme="majorEastAsia" w:hAnsi="Arial" w:cs="Arial"/>
          </w:rPr>
          <w:t>https://doi.org/10.1007/s12599-020-00673-w</w:t>
        </w:r>
      </w:hyperlink>
      <w:r w:rsidRPr="00E62473">
        <w:rPr>
          <w:rFonts w:ascii="Arial" w:hAnsi="Arial" w:cs="Arial"/>
        </w:rPr>
        <w:t xml:space="preserve"> (Accessed: 7 August 2026).</w:t>
      </w:r>
    </w:p>
    <w:p w14:paraId="7A7316DF"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McKinsey &amp; Company (2023) Diversity Matters Even More: The Case for Holistic Impact. Available at: </w:t>
      </w:r>
      <w:hyperlink r:id="rId21" w:history="1">
        <w:r w:rsidRPr="00E62473">
          <w:rPr>
            <w:rStyle w:val="Hyperlink"/>
            <w:rFonts w:ascii="Arial" w:eastAsiaTheme="majorEastAsia" w:hAnsi="Arial" w:cs="Arial"/>
          </w:rPr>
          <w:t>https://www.mckinsey.com/featured-insights/diversity-and-inclusion/diversity-matters-even-more-the-case-for-holistic-impact</w:t>
        </w:r>
      </w:hyperlink>
      <w:r w:rsidRPr="00E62473">
        <w:rPr>
          <w:rFonts w:ascii="Arial" w:hAnsi="Arial" w:cs="Arial"/>
        </w:rPr>
        <w:t xml:space="preserve"> (Accessed: 2 August 2026).</w:t>
      </w:r>
    </w:p>
    <w:p w14:paraId="2C41616C" w14:textId="77777777" w:rsidR="00C973ED" w:rsidRPr="00E62473" w:rsidRDefault="00C973ED" w:rsidP="00E62473">
      <w:pPr>
        <w:pStyle w:val="font-claude-response-body"/>
        <w:spacing w:line="360" w:lineRule="auto"/>
        <w:jc w:val="both"/>
        <w:rPr>
          <w:rFonts w:ascii="Arial" w:hAnsi="Arial" w:cs="Arial"/>
        </w:rPr>
      </w:pPr>
      <w:proofErr w:type="spellStart"/>
      <w:r w:rsidRPr="00E62473">
        <w:rPr>
          <w:rFonts w:ascii="Arial" w:hAnsi="Arial" w:cs="Arial"/>
        </w:rPr>
        <w:t>Meijerink</w:t>
      </w:r>
      <w:proofErr w:type="spellEnd"/>
      <w:r w:rsidRPr="00E62473">
        <w:rPr>
          <w:rFonts w:ascii="Arial" w:hAnsi="Arial" w:cs="Arial"/>
        </w:rPr>
        <w:t xml:space="preserve">, J., Boons, M., Keegan, A. and </w:t>
      </w:r>
      <w:proofErr w:type="spellStart"/>
      <w:r w:rsidRPr="00E62473">
        <w:rPr>
          <w:rFonts w:ascii="Arial" w:hAnsi="Arial" w:cs="Arial"/>
        </w:rPr>
        <w:t>Marler</w:t>
      </w:r>
      <w:proofErr w:type="spellEnd"/>
      <w:r w:rsidRPr="00E62473">
        <w:rPr>
          <w:rFonts w:ascii="Arial" w:hAnsi="Arial" w:cs="Arial"/>
        </w:rPr>
        <w:t>, J. (2021) 'Algorithmic human resource management: synthesizing developments and cross-disciplinary insights on digital HRM', International Journal of Human Resource Management, 32(12), pp. 2545–</w:t>
      </w:r>
      <w:r w:rsidRPr="00E62473">
        <w:rPr>
          <w:rFonts w:ascii="Arial" w:hAnsi="Arial" w:cs="Arial"/>
        </w:rPr>
        <w:lastRenderedPageBreak/>
        <w:t xml:space="preserve">2562. Available at: </w:t>
      </w:r>
      <w:hyperlink r:id="rId22" w:history="1">
        <w:r w:rsidRPr="00E62473">
          <w:rPr>
            <w:rStyle w:val="Hyperlink"/>
            <w:rFonts w:ascii="Arial" w:eastAsiaTheme="majorEastAsia" w:hAnsi="Arial" w:cs="Arial"/>
          </w:rPr>
          <w:t>https://doi.org/10.1080/09585192.2021.1925326</w:t>
        </w:r>
      </w:hyperlink>
      <w:r w:rsidRPr="00E62473">
        <w:rPr>
          <w:rFonts w:ascii="Arial" w:hAnsi="Arial" w:cs="Arial"/>
        </w:rPr>
        <w:t xml:space="preserve"> (Accessed: 7 August 2026).</w:t>
      </w:r>
    </w:p>
    <w:p w14:paraId="6343422D"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Office for National Statistics (2025a) Vacancies and Jobs in the UK: December 2025. Available at: </w:t>
      </w:r>
      <w:hyperlink r:id="rId23" w:history="1">
        <w:r w:rsidRPr="00E62473">
          <w:rPr>
            <w:rStyle w:val="Hyperlink"/>
            <w:rFonts w:ascii="Arial" w:eastAsiaTheme="majorEastAsia" w:hAnsi="Arial" w:cs="Arial"/>
          </w:rPr>
          <w:t>https://www.ons.gov.uk/employmentandlabourmarket/peopleinwork/employmentandemployeetypes/bulletins/jobsandvacanciesintheuk/december2025</w:t>
        </w:r>
      </w:hyperlink>
      <w:r w:rsidRPr="00E62473">
        <w:rPr>
          <w:rFonts w:ascii="Arial" w:hAnsi="Arial" w:cs="Arial"/>
        </w:rPr>
        <w:t xml:space="preserve"> (Accessed: 10 August 2026).</w:t>
      </w:r>
    </w:p>
    <w:p w14:paraId="264E9F4D"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Office for National Statistics (2025b) Gender Pay Gap in the UK: 2025. Available at: </w:t>
      </w:r>
      <w:hyperlink r:id="rId24" w:history="1">
        <w:r w:rsidRPr="00E62473">
          <w:rPr>
            <w:rStyle w:val="Hyperlink"/>
            <w:rFonts w:ascii="Arial" w:eastAsiaTheme="majorEastAsia" w:hAnsi="Arial" w:cs="Arial"/>
          </w:rPr>
          <w:t>https://www.ons.gov.uk/employmentandlabourmarket/peopleinwork/earningsandworkinghours/bulletins/genderpaygapintheuk/2025</w:t>
        </w:r>
      </w:hyperlink>
      <w:r w:rsidRPr="00E62473">
        <w:rPr>
          <w:rFonts w:ascii="Arial" w:hAnsi="Arial" w:cs="Arial"/>
        </w:rPr>
        <w:t xml:space="preserve"> (Accessed: 9 August 2026).</w:t>
      </w:r>
    </w:p>
    <w:p w14:paraId="3142167B"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Park, C.H., Park, S. and Kwon, B. (2025) 'Forty-five years of research on diversity, equity and inclusion in management', Management Decision, 63(13), pp. 66–95. Available at: </w:t>
      </w:r>
      <w:hyperlink r:id="rId25" w:history="1">
        <w:r w:rsidRPr="00E62473">
          <w:rPr>
            <w:rStyle w:val="Hyperlink"/>
            <w:rFonts w:ascii="Arial" w:eastAsiaTheme="majorEastAsia" w:hAnsi="Arial" w:cs="Arial"/>
          </w:rPr>
          <w:t>https://doi.org/10.1108/MD-11-2023-2181</w:t>
        </w:r>
      </w:hyperlink>
      <w:r w:rsidRPr="00E62473">
        <w:rPr>
          <w:rFonts w:ascii="Arial" w:hAnsi="Arial" w:cs="Arial"/>
        </w:rPr>
        <w:t xml:space="preserve"> (Accessed: 8 August 2026).</w:t>
      </w:r>
    </w:p>
    <w:p w14:paraId="4F65276D"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Shahzad, M.F., Martins, J.M., Rita, J., Xu, S. and Mushtaq, H.M. (2024) 'Assessing the impact of strategic HR practices on talent retention through job satisfaction and work engagement: moderating role of psychological empowerment', SAGE Open, 14(2). Available at: </w:t>
      </w:r>
      <w:hyperlink r:id="rId26" w:history="1">
        <w:r w:rsidRPr="00E62473">
          <w:rPr>
            <w:rStyle w:val="Hyperlink"/>
            <w:rFonts w:ascii="Arial" w:eastAsiaTheme="majorEastAsia" w:hAnsi="Arial" w:cs="Arial"/>
          </w:rPr>
          <w:t>https://doi.org/10.1177/21582440241281836</w:t>
        </w:r>
      </w:hyperlink>
      <w:r w:rsidRPr="00E62473">
        <w:rPr>
          <w:rFonts w:ascii="Arial" w:hAnsi="Arial" w:cs="Arial"/>
        </w:rPr>
        <w:t xml:space="preserve"> (Accessed: 8 August 2026).</w:t>
      </w:r>
    </w:p>
    <w:p w14:paraId="76A66A05" w14:textId="77777777" w:rsidR="00C973ED" w:rsidRPr="00E62473" w:rsidRDefault="00C973ED" w:rsidP="00E62473">
      <w:pPr>
        <w:pStyle w:val="font-claude-response-body"/>
        <w:spacing w:line="360" w:lineRule="auto"/>
        <w:jc w:val="both"/>
        <w:rPr>
          <w:rFonts w:ascii="Arial" w:hAnsi="Arial" w:cs="Arial"/>
        </w:rPr>
      </w:pPr>
      <w:proofErr w:type="spellStart"/>
      <w:r w:rsidRPr="00E62473">
        <w:rPr>
          <w:rFonts w:ascii="Arial" w:hAnsi="Arial" w:cs="Arial"/>
        </w:rPr>
        <w:t>Tursunbayeva</w:t>
      </w:r>
      <w:proofErr w:type="spellEnd"/>
      <w:r w:rsidRPr="00E62473">
        <w:rPr>
          <w:rFonts w:ascii="Arial" w:hAnsi="Arial" w:cs="Arial"/>
        </w:rPr>
        <w:t xml:space="preserve">, A., </w:t>
      </w:r>
      <w:proofErr w:type="spellStart"/>
      <w:r w:rsidRPr="00E62473">
        <w:rPr>
          <w:rFonts w:ascii="Arial" w:hAnsi="Arial" w:cs="Arial"/>
        </w:rPr>
        <w:t>Pagliari</w:t>
      </w:r>
      <w:proofErr w:type="spellEnd"/>
      <w:r w:rsidRPr="00E62473">
        <w:rPr>
          <w:rFonts w:ascii="Arial" w:hAnsi="Arial" w:cs="Arial"/>
        </w:rPr>
        <w:t xml:space="preserve">, C., Di Lauro, S. and Antonelli, G. (2022) 'The ethics of people analytics: risks, opportunities and recommendations', Personnel Review, 51(3), pp. 900–921. Available at: </w:t>
      </w:r>
      <w:hyperlink r:id="rId27" w:history="1">
        <w:r w:rsidRPr="00E62473">
          <w:rPr>
            <w:rStyle w:val="Hyperlink"/>
            <w:rFonts w:ascii="Arial" w:eastAsiaTheme="majorEastAsia" w:hAnsi="Arial" w:cs="Arial"/>
          </w:rPr>
          <w:t>https://doi.org/10.1108/PR-12-2019-0680</w:t>
        </w:r>
      </w:hyperlink>
      <w:r w:rsidRPr="00E62473">
        <w:rPr>
          <w:rFonts w:ascii="Arial" w:hAnsi="Arial" w:cs="Arial"/>
        </w:rPr>
        <w:t xml:space="preserve"> (Accessed: 9 August 2026).</w:t>
      </w:r>
    </w:p>
    <w:p w14:paraId="693E3175" w14:textId="77777777" w:rsidR="00C973ED" w:rsidRPr="00E62473" w:rsidRDefault="00C973ED" w:rsidP="00E62473">
      <w:pPr>
        <w:pStyle w:val="font-claude-response-body"/>
        <w:spacing w:line="360" w:lineRule="auto"/>
        <w:jc w:val="both"/>
        <w:rPr>
          <w:rFonts w:ascii="Arial" w:hAnsi="Arial" w:cs="Arial"/>
        </w:rPr>
      </w:pPr>
      <w:r w:rsidRPr="00E62473">
        <w:rPr>
          <w:rFonts w:ascii="Arial" w:hAnsi="Arial" w:cs="Arial"/>
        </w:rPr>
        <w:t xml:space="preserve">World Economic Forum (2025) The Future of Jobs Report 2025. Geneva: World Economic Forum. Available at: </w:t>
      </w:r>
      <w:hyperlink r:id="rId28" w:history="1">
        <w:r w:rsidRPr="00E62473">
          <w:rPr>
            <w:rStyle w:val="Hyperlink"/>
            <w:rFonts w:ascii="Arial" w:eastAsiaTheme="majorEastAsia" w:hAnsi="Arial" w:cs="Arial"/>
          </w:rPr>
          <w:t>https://reports.weforum.org/docs/WEF_Future_of_Jobs_Report_2025.pdf</w:t>
        </w:r>
      </w:hyperlink>
      <w:r w:rsidRPr="00E62473">
        <w:rPr>
          <w:rFonts w:ascii="Arial" w:hAnsi="Arial" w:cs="Arial"/>
        </w:rPr>
        <w:t xml:space="preserve"> (Accessed: 10 August 2026).</w:t>
      </w:r>
    </w:p>
    <w:p w14:paraId="0BE75B91" w14:textId="77777777" w:rsidR="00BD507A" w:rsidRPr="00E62473" w:rsidRDefault="00BD507A" w:rsidP="00E62473">
      <w:pPr>
        <w:spacing w:line="360" w:lineRule="auto"/>
        <w:jc w:val="both"/>
        <w:rPr>
          <w:rFonts w:ascii="Arial" w:hAnsi="Arial" w:cs="Arial"/>
        </w:rPr>
      </w:pPr>
    </w:p>
    <w:sectPr w:rsidR="00BD507A" w:rsidRPr="00E62473">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93A74D" w14:textId="77777777" w:rsidR="00CC5427" w:rsidRDefault="00CC5427" w:rsidP="002D4F4A">
      <w:r>
        <w:separator/>
      </w:r>
    </w:p>
  </w:endnote>
  <w:endnote w:type="continuationSeparator" w:id="0">
    <w:p w14:paraId="6E4BACC5" w14:textId="77777777" w:rsidR="00CC5427" w:rsidRDefault="00CC5427" w:rsidP="002D4F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26468130"/>
      <w:docPartObj>
        <w:docPartGallery w:val="Page Numbers (Bottom of Page)"/>
        <w:docPartUnique/>
      </w:docPartObj>
    </w:sdtPr>
    <w:sdtContent>
      <w:p w14:paraId="6E7F7FD4" w14:textId="3FEB06C1" w:rsidR="002D4F4A" w:rsidRDefault="002D4F4A" w:rsidP="00BC5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8341C8" w14:textId="77777777" w:rsidR="002D4F4A" w:rsidRDefault="002D4F4A" w:rsidP="002D4F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54194886"/>
      <w:docPartObj>
        <w:docPartGallery w:val="Page Numbers (Bottom of Page)"/>
        <w:docPartUnique/>
      </w:docPartObj>
    </w:sdtPr>
    <w:sdtContent>
      <w:p w14:paraId="3FA5C523" w14:textId="57805130" w:rsidR="002D4F4A" w:rsidRDefault="002D4F4A" w:rsidP="00BC572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82BD51" w14:textId="77777777" w:rsidR="002D4F4A" w:rsidRDefault="002D4F4A" w:rsidP="002D4F4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6B5092" w14:textId="77777777" w:rsidR="00CC5427" w:rsidRDefault="00CC5427" w:rsidP="002D4F4A">
      <w:r>
        <w:separator/>
      </w:r>
    </w:p>
  </w:footnote>
  <w:footnote w:type="continuationSeparator" w:id="0">
    <w:p w14:paraId="1CEB4BBE" w14:textId="77777777" w:rsidR="00CC5427" w:rsidRDefault="00CC5427" w:rsidP="002D4F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C700AA"/>
    <w:multiLevelType w:val="hybridMultilevel"/>
    <w:tmpl w:val="3DD6B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284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2C8"/>
    <w:rsid w:val="00052AD0"/>
    <w:rsid w:val="00074397"/>
    <w:rsid w:val="00087670"/>
    <w:rsid w:val="00112334"/>
    <w:rsid w:val="00132977"/>
    <w:rsid w:val="00132CE4"/>
    <w:rsid w:val="00182DA3"/>
    <w:rsid w:val="001A321A"/>
    <w:rsid w:val="001B6D54"/>
    <w:rsid w:val="001D60FA"/>
    <w:rsid w:val="001E10A1"/>
    <w:rsid w:val="002432B7"/>
    <w:rsid w:val="002B2BB8"/>
    <w:rsid w:val="002D32D6"/>
    <w:rsid w:val="002D4F4A"/>
    <w:rsid w:val="002E7421"/>
    <w:rsid w:val="00324B52"/>
    <w:rsid w:val="003A53C4"/>
    <w:rsid w:val="003F61DC"/>
    <w:rsid w:val="004015F8"/>
    <w:rsid w:val="00481913"/>
    <w:rsid w:val="004A6812"/>
    <w:rsid w:val="004D4F4A"/>
    <w:rsid w:val="005573EF"/>
    <w:rsid w:val="005853B7"/>
    <w:rsid w:val="005A37EE"/>
    <w:rsid w:val="0063092B"/>
    <w:rsid w:val="00641771"/>
    <w:rsid w:val="006A4065"/>
    <w:rsid w:val="006B7E23"/>
    <w:rsid w:val="00734B6C"/>
    <w:rsid w:val="00736E42"/>
    <w:rsid w:val="00751D31"/>
    <w:rsid w:val="00753C08"/>
    <w:rsid w:val="007744C5"/>
    <w:rsid w:val="00790B05"/>
    <w:rsid w:val="0088355C"/>
    <w:rsid w:val="008A61A0"/>
    <w:rsid w:val="008C3E7C"/>
    <w:rsid w:val="008F63D7"/>
    <w:rsid w:val="009135B1"/>
    <w:rsid w:val="00973A2A"/>
    <w:rsid w:val="009B300F"/>
    <w:rsid w:val="009D0CBA"/>
    <w:rsid w:val="00A23A86"/>
    <w:rsid w:val="00A323DF"/>
    <w:rsid w:val="00A3576E"/>
    <w:rsid w:val="00A453C9"/>
    <w:rsid w:val="00A66736"/>
    <w:rsid w:val="00AE09D7"/>
    <w:rsid w:val="00AE1B3F"/>
    <w:rsid w:val="00AE4C5A"/>
    <w:rsid w:val="00B13CC5"/>
    <w:rsid w:val="00B145B3"/>
    <w:rsid w:val="00B1566D"/>
    <w:rsid w:val="00B65292"/>
    <w:rsid w:val="00B662DE"/>
    <w:rsid w:val="00BD19D1"/>
    <w:rsid w:val="00BD507A"/>
    <w:rsid w:val="00C46AE5"/>
    <w:rsid w:val="00C83EA3"/>
    <w:rsid w:val="00C973ED"/>
    <w:rsid w:val="00CC5427"/>
    <w:rsid w:val="00D32D92"/>
    <w:rsid w:val="00E402C8"/>
    <w:rsid w:val="00E62473"/>
    <w:rsid w:val="00E6521D"/>
    <w:rsid w:val="00EF06EE"/>
    <w:rsid w:val="00F304A4"/>
    <w:rsid w:val="00F70A4B"/>
    <w:rsid w:val="00FA7C57"/>
    <w:rsid w:val="00FB33B4"/>
    <w:rsid w:val="00FF5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C268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0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0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0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0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0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02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02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02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02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0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0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0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0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2C8"/>
    <w:rPr>
      <w:rFonts w:eastAsiaTheme="majorEastAsia" w:cstheme="majorBidi"/>
      <w:color w:val="272727" w:themeColor="text1" w:themeTint="D8"/>
    </w:rPr>
  </w:style>
  <w:style w:type="paragraph" w:styleId="Title">
    <w:name w:val="Title"/>
    <w:basedOn w:val="Normal"/>
    <w:next w:val="Normal"/>
    <w:link w:val="TitleChar"/>
    <w:uiPriority w:val="10"/>
    <w:qFormat/>
    <w:rsid w:val="00E402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2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2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02C8"/>
    <w:rPr>
      <w:i/>
      <w:iCs/>
      <w:color w:val="404040" w:themeColor="text1" w:themeTint="BF"/>
    </w:rPr>
  </w:style>
  <w:style w:type="paragraph" w:styleId="ListParagraph">
    <w:name w:val="List Paragraph"/>
    <w:basedOn w:val="Normal"/>
    <w:uiPriority w:val="34"/>
    <w:qFormat/>
    <w:rsid w:val="00E402C8"/>
    <w:pPr>
      <w:ind w:left="720"/>
      <w:contextualSpacing/>
    </w:pPr>
  </w:style>
  <w:style w:type="character" w:styleId="IntenseEmphasis">
    <w:name w:val="Intense Emphasis"/>
    <w:basedOn w:val="DefaultParagraphFont"/>
    <w:uiPriority w:val="21"/>
    <w:qFormat/>
    <w:rsid w:val="00E402C8"/>
    <w:rPr>
      <w:i/>
      <w:iCs/>
      <w:color w:val="0F4761" w:themeColor="accent1" w:themeShade="BF"/>
    </w:rPr>
  </w:style>
  <w:style w:type="paragraph" w:styleId="IntenseQuote">
    <w:name w:val="Intense Quote"/>
    <w:basedOn w:val="Normal"/>
    <w:next w:val="Normal"/>
    <w:link w:val="IntenseQuoteChar"/>
    <w:uiPriority w:val="30"/>
    <w:qFormat/>
    <w:rsid w:val="00E40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2C8"/>
    <w:rPr>
      <w:i/>
      <w:iCs/>
      <w:color w:val="0F4761" w:themeColor="accent1" w:themeShade="BF"/>
    </w:rPr>
  </w:style>
  <w:style w:type="character" w:styleId="IntenseReference">
    <w:name w:val="Intense Reference"/>
    <w:basedOn w:val="DefaultParagraphFont"/>
    <w:uiPriority w:val="32"/>
    <w:qFormat/>
    <w:rsid w:val="00E402C8"/>
    <w:rPr>
      <w:b/>
      <w:bCs/>
      <w:smallCaps/>
      <w:color w:val="0F4761" w:themeColor="accent1" w:themeShade="BF"/>
      <w:spacing w:val="5"/>
    </w:rPr>
  </w:style>
  <w:style w:type="paragraph" w:styleId="Footer">
    <w:name w:val="footer"/>
    <w:basedOn w:val="Normal"/>
    <w:link w:val="FooterChar"/>
    <w:uiPriority w:val="99"/>
    <w:unhideWhenUsed/>
    <w:rsid w:val="002D4F4A"/>
    <w:pPr>
      <w:tabs>
        <w:tab w:val="center" w:pos="4513"/>
        <w:tab w:val="right" w:pos="9026"/>
      </w:tabs>
    </w:pPr>
  </w:style>
  <w:style w:type="character" w:customStyle="1" w:styleId="FooterChar">
    <w:name w:val="Footer Char"/>
    <w:basedOn w:val="DefaultParagraphFont"/>
    <w:link w:val="Footer"/>
    <w:uiPriority w:val="99"/>
    <w:rsid w:val="002D4F4A"/>
  </w:style>
  <w:style w:type="character" w:styleId="PageNumber">
    <w:name w:val="page number"/>
    <w:basedOn w:val="DefaultParagraphFont"/>
    <w:uiPriority w:val="99"/>
    <w:semiHidden/>
    <w:unhideWhenUsed/>
    <w:rsid w:val="002D4F4A"/>
  </w:style>
  <w:style w:type="paragraph" w:customStyle="1" w:styleId="font-claude-response-body">
    <w:name w:val="font-claude-response-body"/>
    <w:basedOn w:val="Normal"/>
    <w:rsid w:val="00C973E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973ED"/>
    <w:rPr>
      <w:color w:val="0000FF"/>
      <w:u w:val="single"/>
    </w:rPr>
  </w:style>
  <w:style w:type="paragraph" w:styleId="TOCHeading">
    <w:name w:val="TOC Heading"/>
    <w:basedOn w:val="Heading1"/>
    <w:next w:val="Normal"/>
    <w:uiPriority w:val="39"/>
    <w:unhideWhenUsed/>
    <w:qFormat/>
    <w:rsid w:val="00E6247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62473"/>
    <w:pPr>
      <w:spacing w:before="240" w:after="120"/>
    </w:pPr>
    <w:rPr>
      <w:b/>
      <w:bCs/>
      <w:sz w:val="20"/>
      <w:szCs w:val="20"/>
    </w:rPr>
  </w:style>
  <w:style w:type="paragraph" w:styleId="TOC2">
    <w:name w:val="toc 2"/>
    <w:basedOn w:val="Normal"/>
    <w:next w:val="Normal"/>
    <w:autoRedefine/>
    <w:uiPriority w:val="39"/>
    <w:unhideWhenUsed/>
    <w:rsid w:val="00E62473"/>
    <w:pPr>
      <w:spacing w:before="120"/>
      <w:ind w:left="240"/>
    </w:pPr>
    <w:rPr>
      <w:i/>
      <w:iCs/>
      <w:sz w:val="20"/>
      <w:szCs w:val="20"/>
    </w:rPr>
  </w:style>
  <w:style w:type="paragraph" w:styleId="TOC3">
    <w:name w:val="toc 3"/>
    <w:basedOn w:val="Normal"/>
    <w:next w:val="Normal"/>
    <w:autoRedefine/>
    <w:uiPriority w:val="39"/>
    <w:semiHidden/>
    <w:unhideWhenUsed/>
    <w:rsid w:val="00E62473"/>
    <w:pPr>
      <w:ind w:left="480"/>
    </w:pPr>
    <w:rPr>
      <w:sz w:val="20"/>
      <w:szCs w:val="20"/>
    </w:rPr>
  </w:style>
  <w:style w:type="paragraph" w:styleId="TOC4">
    <w:name w:val="toc 4"/>
    <w:basedOn w:val="Normal"/>
    <w:next w:val="Normal"/>
    <w:autoRedefine/>
    <w:uiPriority w:val="39"/>
    <w:semiHidden/>
    <w:unhideWhenUsed/>
    <w:rsid w:val="00E62473"/>
    <w:pPr>
      <w:ind w:left="720"/>
    </w:pPr>
    <w:rPr>
      <w:sz w:val="20"/>
      <w:szCs w:val="20"/>
    </w:rPr>
  </w:style>
  <w:style w:type="paragraph" w:styleId="TOC5">
    <w:name w:val="toc 5"/>
    <w:basedOn w:val="Normal"/>
    <w:next w:val="Normal"/>
    <w:autoRedefine/>
    <w:uiPriority w:val="39"/>
    <w:semiHidden/>
    <w:unhideWhenUsed/>
    <w:rsid w:val="00E62473"/>
    <w:pPr>
      <w:ind w:left="960"/>
    </w:pPr>
    <w:rPr>
      <w:sz w:val="20"/>
      <w:szCs w:val="20"/>
    </w:rPr>
  </w:style>
  <w:style w:type="paragraph" w:styleId="TOC6">
    <w:name w:val="toc 6"/>
    <w:basedOn w:val="Normal"/>
    <w:next w:val="Normal"/>
    <w:autoRedefine/>
    <w:uiPriority w:val="39"/>
    <w:semiHidden/>
    <w:unhideWhenUsed/>
    <w:rsid w:val="00E62473"/>
    <w:pPr>
      <w:ind w:left="1200"/>
    </w:pPr>
    <w:rPr>
      <w:sz w:val="20"/>
      <w:szCs w:val="20"/>
    </w:rPr>
  </w:style>
  <w:style w:type="paragraph" w:styleId="TOC7">
    <w:name w:val="toc 7"/>
    <w:basedOn w:val="Normal"/>
    <w:next w:val="Normal"/>
    <w:autoRedefine/>
    <w:uiPriority w:val="39"/>
    <w:semiHidden/>
    <w:unhideWhenUsed/>
    <w:rsid w:val="00E62473"/>
    <w:pPr>
      <w:ind w:left="1440"/>
    </w:pPr>
    <w:rPr>
      <w:sz w:val="20"/>
      <w:szCs w:val="20"/>
    </w:rPr>
  </w:style>
  <w:style w:type="paragraph" w:styleId="TOC8">
    <w:name w:val="toc 8"/>
    <w:basedOn w:val="Normal"/>
    <w:next w:val="Normal"/>
    <w:autoRedefine/>
    <w:uiPriority w:val="39"/>
    <w:semiHidden/>
    <w:unhideWhenUsed/>
    <w:rsid w:val="00E62473"/>
    <w:pPr>
      <w:ind w:left="1680"/>
    </w:pPr>
    <w:rPr>
      <w:sz w:val="20"/>
      <w:szCs w:val="20"/>
    </w:rPr>
  </w:style>
  <w:style w:type="paragraph" w:styleId="TOC9">
    <w:name w:val="toc 9"/>
    <w:basedOn w:val="Normal"/>
    <w:next w:val="Normal"/>
    <w:autoRedefine/>
    <w:uiPriority w:val="39"/>
    <w:semiHidden/>
    <w:unhideWhenUsed/>
    <w:rsid w:val="00E62473"/>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4455202">
      <w:bodyDiv w:val="1"/>
      <w:marLeft w:val="0"/>
      <w:marRight w:val="0"/>
      <w:marTop w:val="0"/>
      <w:marBottom w:val="0"/>
      <w:divBdr>
        <w:top w:val="none" w:sz="0" w:space="0" w:color="auto"/>
        <w:left w:val="none" w:sz="0" w:space="0" w:color="auto"/>
        <w:bottom w:val="none" w:sz="0" w:space="0" w:color="auto"/>
        <w:right w:val="none" w:sz="0" w:space="0" w:color="auto"/>
      </w:divBdr>
    </w:div>
    <w:div w:id="854150224">
      <w:bodyDiv w:val="1"/>
      <w:marLeft w:val="0"/>
      <w:marRight w:val="0"/>
      <w:marTop w:val="0"/>
      <w:marBottom w:val="0"/>
      <w:divBdr>
        <w:top w:val="none" w:sz="0" w:space="0" w:color="auto"/>
        <w:left w:val="none" w:sz="0" w:space="0" w:color="auto"/>
        <w:bottom w:val="none" w:sz="0" w:space="0" w:color="auto"/>
        <w:right w:val="none" w:sz="0" w:space="0" w:color="auto"/>
      </w:divBdr>
    </w:div>
    <w:div w:id="883754176">
      <w:bodyDiv w:val="1"/>
      <w:marLeft w:val="0"/>
      <w:marRight w:val="0"/>
      <w:marTop w:val="0"/>
      <w:marBottom w:val="0"/>
      <w:divBdr>
        <w:top w:val="none" w:sz="0" w:space="0" w:color="auto"/>
        <w:left w:val="none" w:sz="0" w:space="0" w:color="auto"/>
        <w:bottom w:val="none" w:sz="0" w:space="0" w:color="auto"/>
        <w:right w:val="none" w:sz="0" w:space="0" w:color="auto"/>
      </w:divBdr>
    </w:div>
    <w:div w:id="1500121766">
      <w:bodyDiv w:val="1"/>
      <w:marLeft w:val="0"/>
      <w:marRight w:val="0"/>
      <w:marTop w:val="0"/>
      <w:marBottom w:val="0"/>
      <w:divBdr>
        <w:top w:val="none" w:sz="0" w:space="0" w:color="auto"/>
        <w:left w:val="none" w:sz="0" w:space="0" w:color="auto"/>
        <w:bottom w:val="none" w:sz="0" w:space="0" w:color="auto"/>
        <w:right w:val="none" w:sz="0" w:space="0" w:color="auto"/>
      </w:divBdr>
    </w:div>
    <w:div w:id="1684478217">
      <w:bodyDiv w:val="1"/>
      <w:marLeft w:val="0"/>
      <w:marRight w:val="0"/>
      <w:marTop w:val="0"/>
      <w:marBottom w:val="0"/>
      <w:divBdr>
        <w:top w:val="none" w:sz="0" w:space="0" w:color="auto"/>
        <w:left w:val="none" w:sz="0" w:space="0" w:color="auto"/>
        <w:bottom w:val="none" w:sz="0" w:space="0" w:color="auto"/>
        <w:right w:val="none" w:sz="0" w:space="0" w:color="auto"/>
      </w:divBdr>
    </w:div>
    <w:div w:id="1976522752">
      <w:bodyDiv w:val="1"/>
      <w:marLeft w:val="0"/>
      <w:marRight w:val="0"/>
      <w:marTop w:val="0"/>
      <w:marBottom w:val="0"/>
      <w:divBdr>
        <w:top w:val="none" w:sz="0" w:space="0" w:color="auto"/>
        <w:left w:val="none" w:sz="0" w:space="0" w:color="auto"/>
        <w:bottom w:val="none" w:sz="0" w:space="0" w:color="auto"/>
        <w:right w:val="none" w:sz="0" w:space="0" w:color="auto"/>
      </w:divBdr>
    </w:div>
    <w:div w:id="1990282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oomsbury.com/uk/strategy-and-human-resource-management-9781350309876/" TargetMode="External"/><Relationship Id="rId18" Type="http://schemas.openxmlformats.org/officeDocument/2006/relationships/hyperlink" Target="https://www.koganpage.com/hr-learning-development/excellence-in-people-analytics-9780749498290" TargetMode="External"/><Relationship Id="rId26" Type="http://schemas.openxmlformats.org/officeDocument/2006/relationships/hyperlink" Target="https://doi.org/10.1177/21582440241281836" TargetMode="External"/><Relationship Id="rId3" Type="http://schemas.openxmlformats.org/officeDocument/2006/relationships/styles" Target="styles.xml"/><Relationship Id="rId21" Type="http://schemas.openxmlformats.org/officeDocument/2006/relationships/hyperlink" Target="https://www.mckinsey.com/featured-insights/diversity-and-inclusion/diversity-matters-even-more-the-case-for-holistic-impact" TargetMode="External"/><Relationship Id="rId7" Type="http://schemas.openxmlformats.org/officeDocument/2006/relationships/endnotes" Target="endnotes.xml"/><Relationship Id="rId12" Type="http://schemas.openxmlformats.org/officeDocument/2006/relationships/hyperlink" Target="https://doi.org/10.1038/s41586-024-07500-2" TargetMode="External"/><Relationship Id="rId17" Type="http://schemas.openxmlformats.org/officeDocument/2006/relationships/hyperlink" Target="https://doi.org/10.3389/fpsyg.2022.916709" TargetMode="External"/><Relationship Id="rId25" Type="http://schemas.openxmlformats.org/officeDocument/2006/relationships/hyperlink" Target="https://doi.org/10.1108/MD-11-2023-2181" TargetMode="External"/><Relationship Id="rId2" Type="http://schemas.openxmlformats.org/officeDocument/2006/relationships/numbering" Target="numbering.xml"/><Relationship Id="rId16" Type="http://schemas.openxmlformats.org/officeDocument/2006/relationships/hyperlink" Target="https://doi.org/10.4324/9781003413110" TargetMode="External"/><Relationship Id="rId20" Type="http://schemas.openxmlformats.org/officeDocument/2006/relationships/hyperlink" Target="https://doi.org/10.1007/s12599-020-00673-w"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oganpage.com/hr-learning-development/armstrongs-handbook-of-human-resource-management-practice-9781398606647" TargetMode="External"/><Relationship Id="rId24" Type="http://schemas.openxmlformats.org/officeDocument/2006/relationships/hyperlink" Target="https://www.ons.gov.uk/employmentandlabourmarket/peopleinwork/earningsandworkinghours/bulletins/genderpaygapintheuk/202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globalassets/media/knowledge/knowledge-hub/reports/2024-pdfs/8625-good-work-index-2024-summary-report-1-web.pdf" TargetMode="External"/><Relationship Id="rId23" Type="http://schemas.openxmlformats.org/officeDocument/2006/relationships/hyperlink" Target="https://www.ons.gov.uk/employmentandlabourmarket/peopleinwork/employmentandemployeetypes/bulletins/jobsandvacanciesintheuk/december2025" TargetMode="External"/><Relationship Id="rId28" Type="http://schemas.openxmlformats.org/officeDocument/2006/relationships/hyperlink" Target="https://reports.weforum.org/docs/WEF_Future_of_Jobs_Report_2025.pdf" TargetMode="External"/><Relationship Id="rId10" Type="http://schemas.openxmlformats.org/officeDocument/2006/relationships/hyperlink" Target="https://doi.org/10.3390/su12239993" TargetMode="External"/><Relationship Id="rId19" Type="http://schemas.openxmlformats.org/officeDocument/2006/relationships/hyperlink" Target="https://www.johnlewispartnership.co.uk/~/media/Files/J/john-lewis/corp/results-and-presentations/JLP-plc-Annual-Report-and-Accounts-2025-26.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08/LODJ-08-2020-0327" TargetMode="External"/><Relationship Id="rId14" Type="http://schemas.openxmlformats.org/officeDocument/2006/relationships/hyperlink" Target="https://www.cipd.org/uk/knowledge/reports/resourcing-surveys/" TargetMode="External"/><Relationship Id="rId22" Type="http://schemas.openxmlformats.org/officeDocument/2006/relationships/hyperlink" Target="https://doi.org/10.1080/09585192.2021.1925326" TargetMode="External"/><Relationship Id="rId27" Type="http://schemas.openxmlformats.org/officeDocument/2006/relationships/hyperlink" Target="https://doi.org/10.1108/PR-12-2019-0680"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A37DB-8CF1-704E-A7F8-00BA3DFBE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3508</Words>
  <Characters>19999</Characters>
  <Application>Microsoft Office Word</Application>
  <DocSecurity>0</DocSecurity>
  <Lines>166</Lines>
  <Paragraphs>46</Paragraphs>
  <ScaleCrop>false</ScaleCrop>
  <Company/>
  <LinksUpToDate>false</LinksUpToDate>
  <CharactersWithSpaces>23461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2026-08-17T11:01:00Z</dcterms:created>
  <dcterms:modified xsi:type="dcterms:W3CDTF">2026-08-18T11:35:00Z</dcterms:modified>
</cp:coreProperties>
</file>