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11AAAF4" w14:textId="77777777" w:rsidR="007F3941" w:rsidRDefault="007F3941">
      <w:pPr>
        <w:pStyle w:val="Title"/>
        <w:spacing w:after="0" w:line="360" w:lineRule="auto"/>
        <w:rPr>
          <w:rFonts w:ascii="Times New Roman" w:eastAsia="Times New Roman" w:hAnsi="Times New Roman" w:cs="Times New Roman"/>
          <w:b/>
          <w:sz w:val="50"/>
          <w:szCs w:val="50"/>
        </w:rPr>
      </w:pPr>
      <w:bookmarkStart w:id="0" w:name="_x1j96apgso8j" w:colFirst="0" w:colLast="0"/>
      <w:bookmarkEnd w:id="0"/>
    </w:p>
    <w:p w14:paraId="071D266A" w14:textId="77777777" w:rsidR="007F3941" w:rsidRDefault="007F3941">
      <w:pPr>
        <w:pStyle w:val="Title"/>
        <w:spacing w:after="0" w:line="360" w:lineRule="auto"/>
        <w:rPr>
          <w:rFonts w:ascii="Times New Roman" w:eastAsia="Times New Roman" w:hAnsi="Times New Roman" w:cs="Times New Roman"/>
          <w:b/>
          <w:sz w:val="50"/>
          <w:szCs w:val="50"/>
        </w:rPr>
      </w:pPr>
      <w:bookmarkStart w:id="1" w:name="_etzpnx142fxe" w:colFirst="0" w:colLast="0"/>
      <w:bookmarkEnd w:id="1"/>
    </w:p>
    <w:p w14:paraId="0EBE50E3" w14:textId="77777777" w:rsidR="007F3941" w:rsidRDefault="00000000">
      <w:pPr>
        <w:pStyle w:val="Title"/>
        <w:spacing w:after="0" w:line="360" w:lineRule="auto"/>
        <w:jc w:val="center"/>
        <w:rPr>
          <w:rFonts w:ascii="Times New Roman" w:eastAsia="Times New Roman" w:hAnsi="Times New Roman" w:cs="Times New Roman"/>
          <w:sz w:val="50"/>
          <w:szCs w:val="50"/>
          <w:u w:val="single"/>
        </w:rPr>
      </w:pPr>
      <w:bookmarkStart w:id="2" w:name="_23qttmmrq6r8" w:colFirst="0" w:colLast="0"/>
      <w:bookmarkEnd w:id="2"/>
      <w:r>
        <w:rPr>
          <w:rFonts w:ascii="Times New Roman" w:eastAsia="Times New Roman" w:hAnsi="Times New Roman" w:cs="Times New Roman"/>
          <w:sz w:val="50"/>
          <w:szCs w:val="50"/>
          <w:u w:val="single"/>
        </w:rPr>
        <w:t>Assignment 1: E-portfolio</w:t>
      </w:r>
    </w:p>
    <w:p w14:paraId="2D82C93A" w14:textId="77777777" w:rsidR="00A70DFA" w:rsidRDefault="00A70DFA" w:rsidP="00A70DFA"/>
    <w:p w14:paraId="626913C9" w14:textId="77777777" w:rsidR="00A70DFA" w:rsidRDefault="00A70DFA" w:rsidP="00A70DFA"/>
    <w:p w14:paraId="2810C74E" w14:textId="134A4024" w:rsidR="007F3941" w:rsidRDefault="00A70DFA" w:rsidP="00A70DFA">
      <w:pPr>
        <w:pStyle w:val="Title"/>
        <w:spacing w:after="0" w:line="360" w:lineRule="auto"/>
        <w:ind w:left="720" w:firstLine="720"/>
      </w:pPr>
      <w:hyperlink r:id="rId6" w:history="1">
        <w:r w:rsidRPr="00A70DFA">
          <w:rPr>
            <w:rStyle w:val="Hyperlink"/>
          </w:rPr>
          <w:t>URL WEB</w:t>
        </w:r>
        <w:r w:rsidRPr="00A70DFA">
          <w:rPr>
            <w:rStyle w:val="Hyperlink"/>
          </w:rPr>
          <w:t>S</w:t>
        </w:r>
        <w:r w:rsidRPr="00A70DFA">
          <w:rPr>
            <w:rStyle w:val="Hyperlink"/>
          </w:rPr>
          <w:t>ITE</w:t>
        </w:r>
        <w:bookmarkStart w:id="3" w:name="_sljjodjole4" w:colFirst="0" w:colLast="0"/>
        <w:bookmarkEnd w:id="3"/>
      </w:hyperlink>
    </w:p>
    <w:p w14:paraId="228B6EA9" w14:textId="5A210B1B" w:rsidR="00A70DFA" w:rsidRDefault="00A70DFA" w:rsidP="00A70DFA"/>
    <w:p w14:paraId="40B3F01D" w14:textId="520F5230" w:rsidR="00A70DFA" w:rsidRDefault="00A70DFA" w:rsidP="00A70DFA"/>
    <w:p w14:paraId="30D0EA7C" w14:textId="59C051DD" w:rsidR="00A70DFA" w:rsidRDefault="00A70DFA" w:rsidP="00A70DFA"/>
    <w:p w14:paraId="42117BAE" w14:textId="33C2875F" w:rsidR="00A70DFA" w:rsidRDefault="00A70DFA" w:rsidP="00A70DFA"/>
    <w:p w14:paraId="48D01417" w14:textId="719F8241" w:rsidR="00A70DFA" w:rsidRDefault="00A70DFA" w:rsidP="00A70DFA"/>
    <w:p w14:paraId="0F54F7E5" w14:textId="49B6BE78" w:rsidR="00A70DFA" w:rsidRDefault="00A70DFA" w:rsidP="00A70DFA"/>
    <w:p w14:paraId="02B5D6DE" w14:textId="1500AAE3" w:rsidR="00A70DFA" w:rsidRDefault="00A70DFA" w:rsidP="00A70DFA"/>
    <w:p w14:paraId="55A88EB2" w14:textId="3E773767" w:rsidR="00A70DFA" w:rsidRDefault="00A70DFA" w:rsidP="00A70DFA"/>
    <w:p w14:paraId="7E95441B" w14:textId="3F62A9E8" w:rsidR="00A70DFA" w:rsidRDefault="00A70DFA" w:rsidP="00A70DFA"/>
    <w:p w14:paraId="471D0AEA" w14:textId="4038807C" w:rsidR="00A70DFA" w:rsidRDefault="00A70DFA" w:rsidP="00A70DFA"/>
    <w:p w14:paraId="52A5E7D8" w14:textId="41BC184B" w:rsidR="00A70DFA" w:rsidRDefault="00A70DFA" w:rsidP="00A70DFA"/>
    <w:p w14:paraId="67FCD261" w14:textId="77777777" w:rsidR="00A70DFA" w:rsidRPr="00A70DFA" w:rsidRDefault="00A70DFA" w:rsidP="00A70DFA"/>
    <w:sdt>
      <w:sdtPr>
        <w:id w:val="-2073495073"/>
        <w:docPartObj>
          <w:docPartGallery w:val="Table of Contents"/>
          <w:docPartUnique/>
        </w:docPartObj>
      </w:sdtPr>
      <w:sdtContent>
        <w:p w14:paraId="26BAD195" w14:textId="77777777" w:rsidR="007F3941" w:rsidRDefault="00000000">
          <w:pPr>
            <w:spacing w:before="80" w:line="240" w:lineRule="auto"/>
            <w:rPr>
              <w:color w:val="1155CC"/>
              <w:u w:val="single"/>
            </w:rPr>
          </w:pPr>
          <w:r>
            <w:fldChar w:fldCharType="begin"/>
          </w:r>
          <w:r>
            <w:instrText xml:space="preserve"> TOC \h \u \z \n </w:instrText>
          </w:r>
          <w:r>
            <w:fldChar w:fldCharType="separate"/>
          </w:r>
          <w:hyperlink w:anchor="_9pzjodva1ot8">
            <w:r>
              <w:rPr>
                <w:color w:val="1155CC"/>
                <w:u w:val="single"/>
              </w:rPr>
              <w:t>Task 1: Mind map</w:t>
            </w:r>
          </w:hyperlink>
        </w:p>
        <w:p w14:paraId="6806F73A" w14:textId="77777777" w:rsidR="007F3941" w:rsidRDefault="00000000">
          <w:pPr>
            <w:spacing w:before="200" w:line="240" w:lineRule="auto"/>
            <w:rPr>
              <w:color w:val="1155CC"/>
              <w:u w:val="single"/>
            </w:rPr>
          </w:pPr>
          <w:hyperlink w:anchor="_vrifoq5s8sfu">
            <w:r>
              <w:rPr>
                <w:color w:val="1155CC"/>
                <w:u w:val="single"/>
              </w:rPr>
              <w:t>Task 2: Ideation</w:t>
            </w:r>
          </w:hyperlink>
        </w:p>
        <w:p w14:paraId="6E474B74" w14:textId="77777777" w:rsidR="007F3941" w:rsidRDefault="00000000">
          <w:pPr>
            <w:spacing w:before="200" w:line="240" w:lineRule="auto"/>
            <w:rPr>
              <w:color w:val="1155CC"/>
              <w:u w:val="single"/>
            </w:rPr>
          </w:pPr>
          <w:hyperlink w:anchor="_yw88mw6z624v">
            <w:r>
              <w:rPr>
                <w:color w:val="1155CC"/>
                <w:u w:val="single"/>
              </w:rPr>
              <w:t>Task 3: Project Planning</w:t>
            </w:r>
          </w:hyperlink>
        </w:p>
        <w:p w14:paraId="402683BF" w14:textId="77777777" w:rsidR="007F3941" w:rsidRDefault="00000000">
          <w:pPr>
            <w:spacing w:before="200" w:line="240" w:lineRule="auto"/>
            <w:rPr>
              <w:color w:val="1155CC"/>
              <w:u w:val="single"/>
            </w:rPr>
          </w:pPr>
          <w:hyperlink w:anchor="_hmi0ka302bxe">
            <w:r>
              <w:rPr>
                <w:color w:val="1155CC"/>
                <w:u w:val="single"/>
              </w:rPr>
              <w:t>Task 4: Project Management</w:t>
            </w:r>
          </w:hyperlink>
        </w:p>
        <w:p w14:paraId="209911BA" w14:textId="77777777" w:rsidR="007F3941" w:rsidRDefault="00000000">
          <w:pPr>
            <w:spacing w:before="200" w:line="240" w:lineRule="auto"/>
            <w:rPr>
              <w:color w:val="1155CC"/>
              <w:u w:val="single"/>
            </w:rPr>
          </w:pPr>
          <w:hyperlink w:anchor="_5zno4p31ta0h">
            <w:r>
              <w:rPr>
                <w:color w:val="1155CC"/>
                <w:u w:val="single"/>
              </w:rPr>
              <w:t>E-portfolio link</w:t>
            </w:r>
          </w:hyperlink>
        </w:p>
        <w:p w14:paraId="2B49D028" w14:textId="77777777" w:rsidR="007F3941" w:rsidRDefault="00000000">
          <w:pPr>
            <w:spacing w:before="200" w:after="80" w:line="240" w:lineRule="auto"/>
            <w:rPr>
              <w:color w:val="1155CC"/>
              <w:u w:val="single"/>
            </w:rPr>
          </w:pPr>
          <w:hyperlink w:anchor="_jalwh2komku2">
            <w:r>
              <w:rPr>
                <w:color w:val="1155CC"/>
                <w:u w:val="single"/>
              </w:rPr>
              <w:t>References</w:t>
            </w:r>
          </w:hyperlink>
          <w:r>
            <w:fldChar w:fldCharType="end"/>
          </w:r>
        </w:p>
      </w:sdtContent>
    </w:sdt>
    <w:p w14:paraId="49C3623A" w14:textId="77777777" w:rsidR="007F3941" w:rsidRDefault="007F3941">
      <w:pPr>
        <w:spacing w:line="360" w:lineRule="auto"/>
        <w:sectPr w:rsidR="007F3941">
          <w:headerReference w:type="default" r:id="rId7"/>
          <w:pgSz w:w="11906" w:h="16838"/>
          <w:pgMar w:top="1133" w:right="1133" w:bottom="1133" w:left="1133" w:header="720" w:footer="720" w:gutter="0"/>
          <w:cols w:space="720"/>
        </w:sectPr>
      </w:pPr>
    </w:p>
    <w:p w14:paraId="679C20C9" w14:textId="77777777" w:rsidR="007F3941" w:rsidRDefault="00000000">
      <w:pPr>
        <w:pStyle w:val="Heading1"/>
        <w:spacing w:before="200" w:after="200" w:line="360" w:lineRule="auto"/>
        <w:jc w:val="center"/>
        <w:rPr>
          <w:rFonts w:ascii="Times New Roman" w:eastAsia="Times New Roman" w:hAnsi="Times New Roman" w:cs="Times New Roman"/>
          <w:u w:val="single"/>
        </w:rPr>
      </w:pPr>
      <w:bookmarkStart w:id="4" w:name="_9pzjodva1ot8" w:colFirst="0" w:colLast="0"/>
      <w:bookmarkEnd w:id="4"/>
      <w:r>
        <w:rPr>
          <w:rFonts w:ascii="Times New Roman" w:eastAsia="Times New Roman" w:hAnsi="Times New Roman" w:cs="Times New Roman"/>
          <w:u w:val="single"/>
        </w:rPr>
        <w:lastRenderedPageBreak/>
        <w:t>Task 1: Mind map</w:t>
      </w:r>
    </w:p>
    <w:p w14:paraId="6BA2B76D" w14:textId="77777777" w:rsidR="007F3941" w:rsidRDefault="00000000">
      <w:pPr>
        <w:spacing w:before="200" w:after="200" w:line="360" w:lineRule="auto"/>
        <w:ind w:firstLine="720"/>
        <w:jc w:val="both"/>
        <w:rPr>
          <w:sz w:val="24"/>
          <w:szCs w:val="24"/>
        </w:rPr>
      </w:pPr>
      <w:r>
        <w:rPr>
          <w:sz w:val="24"/>
          <w:szCs w:val="24"/>
        </w:rPr>
        <w:t>A mind map is a tool used to visually organise information. A mind map typically includes a central topic, with various branching topics radiating out from the centre. The branches can be organised in any manner. However, they are often arranged hierarchically, with the most relevant topics at the centre and less relevant topics branching out from the sides [1].</w:t>
      </w:r>
    </w:p>
    <w:p w14:paraId="5C63CCD4" w14:textId="77777777" w:rsidR="007F3941" w:rsidRDefault="00000000">
      <w:pPr>
        <w:spacing w:before="200" w:after="200" w:line="360" w:lineRule="auto"/>
        <w:ind w:firstLine="720"/>
        <w:jc w:val="both"/>
        <w:rPr>
          <w:sz w:val="24"/>
          <w:szCs w:val="24"/>
        </w:rPr>
      </w:pPr>
      <w:r>
        <w:rPr>
          <w:sz w:val="24"/>
          <w:szCs w:val="24"/>
        </w:rPr>
        <w:t>Mind maps can be used for any type of information, but are particularly useful for brainstorming, organising thoughts, and taking notes. They can also be used to create presentations, project plans, and other visual aids. Mind maps are flexible tools that can be used in many ways. There is no “right” way to create a mind map, and it can be customised to fit the needs of the user [1], [2].</w:t>
      </w:r>
    </w:p>
    <w:p w14:paraId="7BB5C125" w14:textId="77777777" w:rsidR="007F3941" w:rsidRDefault="00000000">
      <w:pPr>
        <w:spacing w:before="200" w:after="200" w:line="360" w:lineRule="auto"/>
        <w:ind w:firstLine="720"/>
        <w:jc w:val="both"/>
        <w:rPr>
          <w:sz w:val="24"/>
          <w:szCs w:val="24"/>
        </w:rPr>
      </w:pPr>
      <w:r>
        <w:rPr>
          <w:sz w:val="24"/>
          <w:szCs w:val="24"/>
        </w:rPr>
        <w:t>The most critical part of creating a mind map is to start with a central topic. From there, other ideas and details can be added to the map as needed. Using colours and images to organise further, and highlight information is typically helpful. Mind maps can be created by hand or with specialised software. There are many mind-mapping software programs available, and each has its features and capabilities [2], [3].</w:t>
      </w:r>
    </w:p>
    <w:p w14:paraId="06BFAA5F" w14:textId="77777777" w:rsidR="007F3941" w:rsidRDefault="00000000">
      <w:pPr>
        <w:spacing w:before="200" w:after="200" w:line="240" w:lineRule="auto"/>
        <w:jc w:val="both"/>
        <w:rPr>
          <w:sz w:val="24"/>
          <w:szCs w:val="24"/>
        </w:rPr>
      </w:pPr>
      <w:r>
        <w:rPr>
          <w:noProof/>
          <w:sz w:val="24"/>
          <w:szCs w:val="24"/>
        </w:rPr>
        <w:drawing>
          <wp:inline distT="114300" distB="114300" distL="114300" distR="114300" wp14:anchorId="08CEC488" wp14:editId="7F5648A7">
            <wp:extent cx="6120000" cy="3987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6120000" cy="3987800"/>
                    </a:xfrm>
                    <a:prstGeom prst="rect">
                      <a:avLst/>
                    </a:prstGeom>
                    <a:ln/>
                  </pic:spPr>
                </pic:pic>
              </a:graphicData>
            </a:graphic>
          </wp:inline>
        </w:drawing>
      </w:r>
    </w:p>
    <w:p w14:paraId="01F7B0CB" w14:textId="77777777" w:rsidR="007F3941" w:rsidRDefault="00000000">
      <w:pPr>
        <w:spacing w:before="200" w:after="200" w:line="360" w:lineRule="auto"/>
        <w:jc w:val="center"/>
        <w:rPr>
          <w:sz w:val="24"/>
          <w:szCs w:val="24"/>
        </w:rPr>
      </w:pPr>
      <w:r>
        <w:rPr>
          <w:sz w:val="24"/>
          <w:szCs w:val="24"/>
        </w:rPr>
        <w:lastRenderedPageBreak/>
        <w:t>Figure 1: B2B Sales Process</w:t>
      </w:r>
    </w:p>
    <w:p w14:paraId="16460AA7" w14:textId="77777777" w:rsidR="007F3941" w:rsidRDefault="00000000">
      <w:pPr>
        <w:pStyle w:val="Heading1"/>
        <w:spacing w:before="200" w:after="200" w:line="360" w:lineRule="auto"/>
        <w:jc w:val="center"/>
        <w:rPr>
          <w:sz w:val="24"/>
          <w:szCs w:val="24"/>
        </w:rPr>
      </w:pPr>
      <w:bookmarkStart w:id="5" w:name="_vrifoq5s8sfu" w:colFirst="0" w:colLast="0"/>
      <w:bookmarkEnd w:id="5"/>
      <w:r>
        <w:rPr>
          <w:rFonts w:ascii="Times New Roman" w:eastAsia="Times New Roman" w:hAnsi="Times New Roman" w:cs="Times New Roman"/>
          <w:u w:val="single"/>
        </w:rPr>
        <w:t>Task 2: Ideation</w:t>
      </w:r>
    </w:p>
    <w:p w14:paraId="18137746" w14:textId="77777777" w:rsidR="007F3941" w:rsidRDefault="00000000">
      <w:pPr>
        <w:spacing w:before="200" w:after="200" w:line="360" w:lineRule="auto"/>
        <w:ind w:firstLine="720"/>
        <w:jc w:val="both"/>
        <w:rPr>
          <w:sz w:val="24"/>
          <w:szCs w:val="24"/>
        </w:rPr>
      </w:pPr>
      <w:r>
        <w:rPr>
          <w:sz w:val="24"/>
          <w:szCs w:val="24"/>
        </w:rPr>
        <w:t>The case, I chose to discuss, is about B2B Sales Processes. When it comes to business-to-business (B2B) sales, there is no one-size-fits-all process. However, certain steps are typically followed in most B2B sales processes [5].</w:t>
      </w:r>
    </w:p>
    <w:p w14:paraId="3DD3714D" w14:textId="77777777" w:rsidR="007F3941" w:rsidRDefault="00000000">
      <w:pPr>
        <w:spacing w:before="200" w:after="200" w:line="360" w:lineRule="auto"/>
        <w:ind w:firstLine="720"/>
        <w:jc w:val="both"/>
        <w:rPr>
          <w:sz w:val="24"/>
          <w:szCs w:val="24"/>
        </w:rPr>
      </w:pPr>
      <w:r>
        <w:rPr>
          <w:sz w:val="24"/>
          <w:szCs w:val="24"/>
        </w:rPr>
        <w:t>The first step is usually to identify potential customers. This can be done through market research or by using data from previous customers. Once potential customers have been identified, the next step is to contact them and attempt to generate interest in the product or service being sold [4], [5].</w:t>
      </w:r>
    </w:p>
    <w:p w14:paraId="73AE6BA4" w14:textId="77777777" w:rsidR="007F3941" w:rsidRDefault="00000000">
      <w:pPr>
        <w:spacing w:before="200" w:after="200" w:line="360" w:lineRule="auto"/>
        <w:ind w:firstLine="720"/>
        <w:jc w:val="both"/>
        <w:rPr>
          <w:sz w:val="24"/>
          <w:szCs w:val="24"/>
        </w:rPr>
      </w:pPr>
      <w:r>
        <w:rPr>
          <w:sz w:val="24"/>
          <w:szCs w:val="24"/>
        </w:rPr>
        <w:t>If interest is generated, the next step is to provide more information about the product or service. This can be done through presentations, product demonstrations, or other means. Once the potential customer has been given sufficient information, the next step is to try to close the sale [6].</w:t>
      </w:r>
    </w:p>
    <w:p w14:paraId="05645629" w14:textId="77777777" w:rsidR="007F3941" w:rsidRDefault="00000000">
      <w:pPr>
        <w:spacing w:before="200" w:after="200" w:line="360" w:lineRule="auto"/>
        <w:ind w:firstLine="720"/>
        <w:jc w:val="both"/>
        <w:rPr>
          <w:sz w:val="24"/>
          <w:szCs w:val="24"/>
        </w:rPr>
      </w:pPr>
      <w:r>
        <w:rPr>
          <w:sz w:val="24"/>
          <w:szCs w:val="24"/>
        </w:rPr>
        <w:t>This is typically done by negotiating a price or terms of sale. If a sale is not possible, the process may end here or the salesperson may try to generate interest in a future purchase [5], [6].</w:t>
      </w:r>
    </w:p>
    <w:p w14:paraId="754A25CD" w14:textId="77777777" w:rsidR="007F3941" w:rsidRDefault="00000000">
      <w:pPr>
        <w:spacing w:before="200" w:after="200" w:line="360" w:lineRule="auto"/>
        <w:ind w:firstLine="720"/>
        <w:jc w:val="both"/>
        <w:rPr>
          <w:sz w:val="24"/>
          <w:szCs w:val="24"/>
        </w:rPr>
      </w:pPr>
      <w:r>
        <w:rPr>
          <w:sz w:val="24"/>
          <w:szCs w:val="24"/>
        </w:rPr>
        <w:t>The steps in a B2B sales process can vary depending on the industry, the products, or services being sold, and the salesperson's approach. However, the above steps are generally followed in most B2B sales processes [4], [6].</w:t>
      </w:r>
    </w:p>
    <w:p w14:paraId="3899318B" w14:textId="77777777" w:rsidR="007F3941" w:rsidRDefault="00000000">
      <w:pPr>
        <w:pStyle w:val="Heading1"/>
        <w:spacing w:before="200" w:after="200" w:line="360" w:lineRule="auto"/>
        <w:jc w:val="center"/>
        <w:rPr>
          <w:rFonts w:ascii="Times New Roman" w:eastAsia="Times New Roman" w:hAnsi="Times New Roman" w:cs="Times New Roman"/>
          <w:u w:val="single"/>
        </w:rPr>
      </w:pPr>
      <w:bookmarkStart w:id="6" w:name="_yw88mw6z624v" w:colFirst="0" w:colLast="0"/>
      <w:bookmarkEnd w:id="6"/>
      <w:r>
        <w:rPr>
          <w:rFonts w:ascii="Times New Roman" w:eastAsia="Times New Roman" w:hAnsi="Times New Roman" w:cs="Times New Roman"/>
          <w:u w:val="single"/>
        </w:rPr>
        <w:t>Task 3: Project Planning</w:t>
      </w:r>
    </w:p>
    <w:p w14:paraId="680E75F0" w14:textId="77777777" w:rsidR="007F3941" w:rsidRDefault="00000000">
      <w:pPr>
        <w:spacing w:before="200" w:after="200" w:line="360" w:lineRule="auto"/>
        <w:ind w:firstLine="720"/>
        <w:jc w:val="both"/>
        <w:rPr>
          <w:sz w:val="24"/>
          <w:szCs w:val="24"/>
        </w:rPr>
      </w:pPr>
      <w:r>
        <w:rPr>
          <w:sz w:val="24"/>
          <w:szCs w:val="24"/>
        </w:rPr>
        <w:t>Sales representatives working in a business-to-business (B2B) environment are typically tasked with several objectives. The specific objectives will vary depending on the company, products, and services being sold. However, there are a few objectives that are common to most B2B sales processes [6], [7].</w:t>
      </w:r>
    </w:p>
    <w:p w14:paraId="0DCF6D3B" w14:textId="77777777" w:rsidR="007F3941" w:rsidRDefault="00000000">
      <w:pPr>
        <w:spacing w:before="200" w:after="200" w:line="360" w:lineRule="auto"/>
        <w:ind w:firstLine="720"/>
        <w:jc w:val="both"/>
        <w:rPr>
          <w:sz w:val="24"/>
          <w:szCs w:val="24"/>
        </w:rPr>
      </w:pPr>
      <w:r>
        <w:rPr>
          <w:sz w:val="24"/>
          <w:szCs w:val="24"/>
        </w:rPr>
        <w:t>The first objective is usually to establish relationships with potential customers. This involves building trust and demonstrating that the sales representative is knowledgeable about the products and services being sold. The second objective is to identify the needs of the potential customer and determine how the products and services being sold can meet those needs [7].</w:t>
      </w:r>
    </w:p>
    <w:p w14:paraId="699E1944" w14:textId="77777777" w:rsidR="007F3941" w:rsidRDefault="00000000">
      <w:pPr>
        <w:spacing w:before="200" w:after="200" w:line="360" w:lineRule="auto"/>
        <w:ind w:firstLine="720"/>
        <w:jc w:val="both"/>
        <w:rPr>
          <w:sz w:val="24"/>
          <w:szCs w:val="24"/>
        </w:rPr>
      </w:pPr>
      <w:r>
        <w:rPr>
          <w:sz w:val="24"/>
          <w:szCs w:val="24"/>
        </w:rPr>
        <w:lastRenderedPageBreak/>
        <w:t>The third objective is to generate interest in the products and services being sold. This can be done through a variety of means, such as providing potential customers with information about the benefits of products and services. Furthermore, products and services can be used to solve specific problems [8].</w:t>
      </w:r>
    </w:p>
    <w:p w14:paraId="713C45AE" w14:textId="77777777" w:rsidR="007F3941" w:rsidRDefault="00000000">
      <w:pPr>
        <w:spacing w:before="200" w:after="200" w:line="360" w:lineRule="auto"/>
        <w:ind w:firstLine="720"/>
        <w:jc w:val="both"/>
        <w:rPr>
          <w:sz w:val="24"/>
          <w:szCs w:val="24"/>
        </w:rPr>
      </w:pPr>
      <w:r>
        <w:rPr>
          <w:sz w:val="24"/>
          <w:szCs w:val="24"/>
        </w:rPr>
        <w:t>The fourth objective is to close the sale, which typically involves negotiating a price and terms of service that are acceptable to both the customer and the company. Once the sale is closed, the fifth objective is to provide customer service and support, which may include answering questions, providing replacement parts or products, or troubleshooting problems [7], [8].</w:t>
      </w:r>
    </w:p>
    <w:p w14:paraId="304A0758" w14:textId="77777777" w:rsidR="007F3941" w:rsidRDefault="00000000">
      <w:pPr>
        <w:spacing w:before="200" w:after="200" w:line="360" w:lineRule="auto"/>
        <w:ind w:firstLine="720"/>
        <w:jc w:val="both"/>
        <w:rPr>
          <w:sz w:val="24"/>
          <w:szCs w:val="24"/>
        </w:rPr>
      </w:pPr>
      <w:r>
        <w:rPr>
          <w:sz w:val="24"/>
          <w:szCs w:val="24"/>
        </w:rPr>
        <w:t>The objectives of a B2B sales process can vary depending on the products and services being sold, the size and type of customer, and the specific industry. However, the five objectives outlined above are common to most B2B sales processes [6].</w:t>
      </w:r>
    </w:p>
    <w:p w14:paraId="23087A6F" w14:textId="77777777" w:rsidR="007F3941" w:rsidRDefault="00000000">
      <w:r>
        <w:rPr>
          <w:noProof/>
        </w:rPr>
        <w:lastRenderedPageBreak/>
        <w:drawing>
          <wp:inline distT="114300" distB="114300" distL="114300" distR="114300" wp14:anchorId="2C2E382A" wp14:editId="042D62BA">
            <wp:extent cx="6120000" cy="86614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6120000" cy="8661400"/>
                    </a:xfrm>
                    <a:prstGeom prst="rect">
                      <a:avLst/>
                    </a:prstGeom>
                    <a:ln/>
                  </pic:spPr>
                </pic:pic>
              </a:graphicData>
            </a:graphic>
          </wp:inline>
        </w:drawing>
      </w:r>
    </w:p>
    <w:p w14:paraId="174DC866" w14:textId="77777777" w:rsidR="007F3941" w:rsidRDefault="00000000">
      <w:pPr>
        <w:spacing w:before="200" w:after="200" w:line="360" w:lineRule="auto"/>
        <w:jc w:val="center"/>
        <w:rPr>
          <w:sz w:val="24"/>
          <w:szCs w:val="24"/>
        </w:rPr>
      </w:pPr>
      <w:r>
        <w:rPr>
          <w:sz w:val="24"/>
          <w:szCs w:val="24"/>
        </w:rPr>
        <w:t>Figure 2: A3 Digital Poster</w:t>
      </w:r>
    </w:p>
    <w:p w14:paraId="1E0D9CE4" w14:textId="77777777" w:rsidR="007F3941" w:rsidRDefault="00000000">
      <w:pPr>
        <w:pStyle w:val="Heading1"/>
        <w:spacing w:before="200" w:after="200" w:line="360" w:lineRule="auto"/>
        <w:jc w:val="center"/>
        <w:rPr>
          <w:rFonts w:ascii="Times New Roman" w:eastAsia="Times New Roman" w:hAnsi="Times New Roman" w:cs="Times New Roman"/>
          <w:u w:val="single"/>
        </w:rPr>
      </w:pPr>
      <w:bookmarkStart w:id="7" w:name="_hmi0ka302bxe" w:colFirst="0" w:colLast="0"/>
      <w:bookmarkEnd w:id="7"/>
      <w:r>
        <w:rPr>
          <w:rFonts w:ascii="Times New Roman" w:eastAsia="Times New Roman" w:hAnsi="Times New Roman" w:cs="Times New Roman"/>
          <w:u w:val="single"/>
        </w:rPr>
        <w:lastRenderedPageBreak/>
        <w:t>Task 4: Project Management</w:t>
      </w:r>
    </w:p>
    <w:p w14:paraId="0B489446" w14:textId="77777777" w:rsidR="007F3941" w:rsidRDefault="00000000">
      <w:pPr>
        <w:spacing w:line="240" w:lineRule="auto"/>
      </w:pPr>
      <w:r>
        <w:rPr>
          <w:noProof/>
        </w:rPr>
        <w:drawing>
          <wp:inline distT="114300" distB="114300" distL="114300" distR="114300" wp14:anchorId="5C312746" wp14:editId="64BCA0FD">
            <wp:extent cx="6120000" cy="45847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6120000" cy="4584700"/>
                    </a:xfrm>
                    <a:prstGeom prst="rect">
                      <a:avLst/>
                    </a:prstGeom>
                    <a:ln/>
                  </pic:spPr>
                </pic:pic>
              </a:graphicData>
            </a:graphic>
          </wp:inline>
        </w:drawing>
      </w:r>
    </w:p>
    <w:p w14:paraId="7A6CF2CE" w14:textId="77777777" w:rsidR="007F3941" w:rsidRDefault="00000000">
      <w:pPr>
        <w:spacing w:line="360" w:lineRule="auto"/>
        <w:jc w:val="center"/>
        <w:rPr>
          <w:sz w:val="24"/>
          <w:szCs w:val="24"/>
        </w:rPr>
      </w:pPr>
      <w:r>
        <w:rPr>
          <w:sz w:val="24"/>
          <w:szCs w:val="24"/>
        </w:rPr>
        <w:t>Figure 3: Project Management</w:t>
      </w:r>
    </w:p>
    <w:p w14:paraId="40ABBD93" w14:textId="77777777" w:rsidR="007F3941" w:rsidRDefault="00000000">
      <w:pPr>
        <w:pStyle w:val="Heading1"/>
        <w:spacing w:before="200" w:after="200" w:line="360" w:lineRule="auto"/>
        <w:jc w:val="center"/>
        <w:rPr>
          <w:rFonts w:ascii="Times New Roman" w:eastAsia="Times New Roman" w:hAnsi="Times New Roman" w:cs="Times New Roman"/>
          <w:b/>
          <w:u w:val="single"/>
        </w:rPr>
      </w:pPr>
      <w:bookmarkStart w:id="8" w:name="_5zno4p31ta0h" w:colFirst="0" w:colLast="0"/>
      <w:bookmarkEnd w:id="8"/>
      <w:r>
        <w:rPr>
          <w:rFonts w:ascii="Times New Roman" w:eastAsia="Times New Roman" w:hAnsi="Times New Roman" w:cs="Times New Roman"/>
          <w:b/>
          <w:u w:val="single"/>
        </w:rPr>
        <w:t>E-portfolio link</w:t>
      </w:r>
    </w:p>
    <w:bookmarkStart w:id="9" w:name="_rrgbhjh63hl4" w:colFirst="0" w:colLast="0"/>
    <w:bookmarkEnd w:id="9"/>
    <w:p w14:paraId="17948A3F" w14:textId="77777777" w:rsidR="007F3941" w:rsidRDefault="00000000">
      <w:pPr>
        <w:pStyle w:val="Title"/>
        <w:spacing w:before="200" w:after="200" w:line="360" w:lineRule="auto"/>
        <w:jc w:val="center"/>
      </w:pPr>
      <w:r>
        <w:fldChar w:fldCharType="begin"/>
      </w:r>
      <w:r>
        <w:instrText xml:space="preserve"> HYPERLINK "https://sites.google.com/view/robert-mihaita-radu/home" \h </w:instrText>
      </w:r>
      <w:r>
        <w:fldChar w:fldCharType="separate"/>
      </w:r>
      <w:r>
        <w:rPr>
          <w:color w:val="1155CC"/>
          <w:sz w:val="50"/>
          <w:szCs w:val="50"/>
          <w:u w:val="single"/>
        </w:rPr>
        <w:t>https://sites.google.com/view/robert-mihaita-radu/home</w:t>
      </w:r>
      <w:r>
        <w:rPr>
          <w:color w:val="1155CC"/>
          <w:sz w:val="50"/>
          <w:szCs w:val="50"/>
          <w:u w:val="single"/>
        </w:rPr>
        <w:fldChar w:fldCharType="end"/>
      </w:r>
    </w:p>
    <w:p w14:paraId="38883E32" w14:textId="77777777" w:rsidR="007F3941" w:rsidRDefault="00000000">
      <w:pPr>
        <w:pStyle w:val="Heading1"/>
        <w:spacing w:before="200" w:after="200" w:line="360" w:lineRule="auto"/>
        <w:jc w:val="center"/>
      </w:pPr>
      <w:bookmarkStart w:id="10" w:name="_jalwh2komku2" w:colFirst="0" w:colLast="0"/>
      <w:bookmarkEnd w:id="10"/>
      <w:r>
        <w:rPr>
          <w:rFonts w:ascii="Times New Roman" w:eastAsia="Times New Roman" w:hAnsi="Times New Roman" w:cs="Times New Roman"/>
          <w:b/>
          <w:u w:val="single"/>
        </w:rPr>
        <w:t>References</w:t>
      </w:r>
    </w:p>
    <w:tbl>
      <w:tblPr>
        <w:tblStyle w:val="a"/>
        <w:tblW w:w="9445" w:type="dxa"/>
        <w:tblLayout w:type="fixed"/>
        <w:tblLook w:val="0600" w:firstRow="0" w:lastRow="0" w:firstColumn="0" w:lastColumn="0" w:noHBand="1" w:noVBand="1"/>
      </w:tblPr>
      <w:tblGrid>
        <w:gridCol w:w="770"/>
        <w:gridCol w:w="8675"/>
      </w:tblGrid>
      <w:tr w:rsidR="007F3941" w14:paraId="5AF81D50" w14:textId="77777777">
        <w:trPr>
          <w:trHeight w:val="785"/>
        </w:trPr>
        <w:tc>
          <w:tcPr>
            <w:tcW w:w="770" w:type="dxa"/>
            <w:tcMar>
              <w:top w:w="100" w:type="dxa"/>
              <w:left w:w="100" w:type="dxa"/>
              <w:bottom w:w="100" w:type="dxa"/>
              <w:right w:w="100" w:type="dxa"/>
            </w:tcMar>
          </w:tcPr>
          <w:p w14:paraId="5DC6DD8D" w14:textId="77777777" w:rsidR="007F3941" w:rsidRDefault="00000000">
            <w:pPr>
              <w:rPr>
                <w:sz w:val="24"/>
                <w:szCs w:val="24"/>
              </w:rPr>
            </w:pPr>
            <w:r>
              <w:rPr>
                <w:sz w:val="24"/>
                <w:szCs w:val="24"/>
              </w:rPr>
              <w:t>[1]</w:t>
            </w:r>
          </w:p>
        </w:tc>
        <w:tc>
          <w:tcPr>
            <w:tcW w:w="8675" w:type="dxa"/>
            <w:tcMar>
              <w:top w:w="100" w:type="dxa"/>
              <w:left w:w="100" w:type="dxa"/>
              <w:bottom w:w="100" w:type="dxa"/>
              <w:right w:w="100" w:type="dxa"/>
            </w:tcMar>
          </w:tcPr>
          <w:p w14:paraId="312E5ED0" w14:textId="77777777" w:rsidR="007F3941" w:rsidRDefault="00000000">
            <w:pPr>
              <w:rPr>
                <w:sz w:val="24"/>
                <w:szCs w:val="24"/>
              </w:rPr>
            </w:pPr>
            <w:r>
              <w:rPr>
                <w:sz w:val="24"/>
                <w:szCs w:val="24"/>
              </w:rPr>
              <w:t xml:space="preserve">T. Buzan and B. Buzan, </w:t>
            </w:r>
            <w:r>
              <w:rPr>
                <w:i/>
                <w:sz w:val="24"/>
                <w:szCs w:val="24"/>
              </w:rPr>
              <w:t>The Mind Map Book (new edition)</w:t>
            </w:r>
            <w:r>
              <w:rPr>
                <w:sz w:val="24"/>
                <w:szCs w:val="24"/>
              </w:rPr>
              <w:t>. Harlow, England: BBC Active, 2006.</w:t>
            </w:r>
          </w:p>
        </w:tc>
      </w:tr>
      <w:tr w:rsidR="007F3941" w14:paraId="2CC8A691" w14:textId="77777777">
        <w:trPr>
          <w:trHeight w:val="785"/>
        </w:trPr>
        <w:tc>
          <w:tcPr>
            <w:tcW w:w="770" w:type="dxa"/>
            <w:tcMar>
              <w:top w:w="100" w:type="dxa"/>
              <w:left w:w="100" w:type="dxa"/>
              <w:bottom w:w="100" w:type="dxa"/>
              <w:right w:w="100" w:type="dxa"/>
            </w:tcMar>
          </w:tcPr>
          <w:p w14:paraId="7B897866" w14:textId="77777777" w:rsidR="007F3941" w:rsidRDefault="00000000">
            <w:pPr>
              <w:rPr>
                <w:sz w:val="24"/>
                <w:szCs w:val="24"/>
              </w:rPr>
            </w:pPr>
            <w:r>
              <w:rPr>
                <w:sz w:val="24"/>
                <w:szCs w:val="24"/>
              </w:rPr>
              <w:t>[2]</w:t>
            </w:r>
          </w:p>
        </w:tc>
        <w:tc>
          <w:tcPr>
            <w:tcW w:w="8675" w:type="dxa"/>
            <w:tcMar>
              <w:top w:w="100" w:type="dxa"/>
              <w:left w:w="100" w:type="dxa"/>
              <w:bottom w:w="100" w:type="dxa"/>
              <w:right w:w="100" w:type="dxa"/>
            </w:tcMar>
          </w:tcPr>
          <w:p w14:paraId="63DCE84C" w14:textId="77777777" w:rsidR="007F3941" w:rsidRDefault="00000000">
            <w:pPr>
              <w:rPr>
                <w:sz w:val="24"/>
                <w:szCs w:val="24"/>
              </w:rPr>
            </w:pPr>
            <w:r>
              <w:rPr>
                <w:sz w:val="24"/>
                <w:szCs w:val="24"/>
              </w:rPr>
              <w:t xml:space="preserve">T. Buzan, </w:t>
            </w:r>
            <w:r>
              <w:rPr>
                <w:i/>
                <w:sz w:val="24"/>
                <w:szCs w:val="24"/>
              </w:rPr>
              <w:t>Mind Map Mastery: The complete guide to learning and using the most powerful thinking tool in the universe</w:t>
            </w:r>
            <w:r>
              <w:rPr>
                <w:sz w:val="24"/>
                <w:szCs w:val="24"/>
              </w:rPr>
              <w:t>. Watkins, 2018.</w:t>
            </w:r>
          </w:p>
        </w:tc>
      </w:tr>
      <w:tr w:rsidR="007F3941" w14:paraId="71E52877" w14:textId="77777777">
        <w:trPr>
          <w:trHeight w:val="785"/>
        </w:trPr>
        <w:tc>
          <w:tcPr>
            <w:tcW w:w="770" w:type="dxa"/>
            <w:tcMar>
              <w:top w:w="100" w:type="dxa"/>
              <w:left w:w="100" w:type="dxa"/>
              <w:bottom w:w="100" w:type="dxa"/>
              <w:right w:w="100" w:type="dxa"/>
            </w:tcMar>
          </w:tcPr>
          <w:p w14:paraId="28AAE54A" w14:textId="77777777" w:rsidR="007F3941" w:rsidRDefault="00000000">
            <w:pPr>
              <w:rPr>
                <w:sz w:val="24"/>
                <w:szCs w:val="24"/>
              </w:rPr>
            </w:pPr>
            <w:r>
              <w:rPr>
                <w:sz w:val="24"/>
                <w:szCs w:val="24"/>
              </w:rPr>
              <w:lastRenderedPageBreak/>
              <w:t>[3]</w:t>
            </w:r>
          </w:p>
        </w:tc>
        <w:tc>
          <w:tcPr>
            <w:tcW w:w="8675" w:type="dxa"/>
            <w:tcMar>
              <w:top w:w="100" w:type="dxa"/>
              <w:left w:w="100" w:type="dxa"/>
              <w:bottom w:w="100" w:type="dxa"/>
              <w:right w:w="100" w:type="dxa"/>
            </w:tcMar>
          </w:tcPr>
          <w:p w14:paraId="3F2B0ED7" w14:textId="77777777" w:rsidR="007F3941" w:rsidRDefault="00000000">
            <w:pPr>
              <w:rPr>
                <w:sz w:val="24"/>
                <w:szCs w:val="24"/>
              </w:rPr>
            </w:pPr>
            <w:r>
              <w:rPr>
                <w:sz w:val="24"/>
                <w:szCs w:val="24"/>
              </w:rPr>
              <w:t xml:space="preserve">“What is a Mind </w:t>
            </w:r>
            <w:proofErr w:type="gramStart"/>
            <w:r>
              <w:rPr>
                <w:sz w:val="24"/>
                <w:szCs w:val="24"/>
              </w:rPr>
              <w:t>Map?,</w:t>
            </w:r>
            <w:proofErr w:type="gramEnd"/>
            <w:r>
              <w:rPr>
                <w:sz w:val="24"/>
                <w:szCs w:val="24"/>
              </w:rPr>
              <w:t xml:space="preserve">” </w:t>
            </w:r>
            <w:r>
              <w:rPr>
                <w:i/>
                <w:sz w:val="24"/>
                <w:szCs w:val="24"/>
              </w:rPr>
              <w:t>Mindmapping.com</w:t>
            </w:r>
            <w:r>
              <w:rPr>
                <w:sz w:val="24"/>
                <w:szCs w:val="24"/>
              </w:rPr>
              <w:t>. [Online]. Available: https://www.mindmapping.com/mind-map. [Accessed: 14-Nov-2022].</w:t>
            </w:r>
          </w:p>
        </w:tc>
      </w:tr>
      <w:tr w:rsidR="007F3941" w14:paraId="726B24B0" w14:textId="77777777">
        <w:trPr>
          <w:trHeight w:val="785"/>
        </w:trPr>
        <w:tc>
          <w:tcPr>
            <w:tcW w:w="770" w:type="dxa"/>
            <w:tcMar>
              <w:top w:w="100" w:type="dxa"/>
              <w:left w:w="100" w:type="dxa"/>
              <w:bottom w:w="100" w:type="dxa"/>
              <w:right w:w="100" w:type="dxa"/>
            </w:tcMar>
          </w:tcPr>
          <w:p w14:paraId="7F4E5FAD" w14:textId="77777777" w:rsidR="007F3941" w:rsidRDefault="00000000">
            <w:pPr>
              <w:rPr>
                <w:sz w:val="24"/>
                <w:szCs w:val="24"/>
              </w:rPr>
            </w:pPr>
            <w:r>
              <w:rPr>
                <w:sz w:val="24"/>
                <w:szCs w:val="24"/>
              </w:rPr>
              <w:t>[4]</w:t>
            </w:r>
          </w:p>
        </w:tc>
        <w:tc>
          <w:tcPr>
            <w:tcW w:w="8675" w:type="dxa"/>
            <w:tcMar>
              <w:top w:w="100" w:type="dxa"/>
              <w:left w:w="100" w:type="dxa"/>
              <w:bottom w:w="100" w:type="dxa"/>
              <w:right w:w="100" w:type="dxa"/>
            </w:tcMar>
          </w:tcPr>
          <w:p w14:paraId="7CB97930" w14:textId="77777777" w:rsidR="007F3941" w:rsidRDefault="00000000">
            <w:pPr>
              <w:rPr>
                <w:sz w:val="24"/>
                <w:szCs w:val="24"/>
              </w:rPr>
            </w:pPr>
            <w:r>
              <w:rPr>
                <w:sz w:val="24"/>
                <w:szCs w:val="24"/>
              </w:rPr>
              <w:t xml:space="preserve">A. Liu, M. Leach, and R. </w:t>
            </w:r>
            <w:proofErr w:type="spellStart"/>
            <w:r>
              <w:rPr>
                <w:sz w:val="24"/>
                <w:szCs w:val="24"/>
              </w:rPr>
              <w:t>Chugh</w:t>
            </w:r>
            <w:proofErr w:type="spellEnd"/>
            <w:r>
              <w:rPr>
                <w:sz w:val="24"/>
                <w:szCs w:val="24"/>
              </w:rPr>
              <w:t xml:space="preserve">, “A sales process framework to regain B2B customers,” </w:t>
            </w:r>
            <w:r>
              <w:rPr>
                <w:i/>
                <w:sz w:val="24"/>
                <w:szCs w:val="24"/>
              </w:rPr>
              <w:t>J. bus. ind. mark.</w:t>
            </w:r>
            <w:r>
              <w:rPr>
                <w:sz w:val="24"/>
                <w:szCs w:val="24"/>
              </w:rPr>
              <w:t>, vol. 30, no. 8, pp. 906–914, 2015.</w:t>
            </w:r>
          </w:p>
        </w:tc>
      </w:tr>
      <w:tr w:rsidR="007F3941" w14:paraId="6A2A414A" w14:textId="77777777">
        <w:trPr>
          <w:trHeight w:val="1055"/>
        </w:trPr>
        <w:tc>
          <w:tcPr>
            <w:tcW w:w="770" w:type="dxa"/>
            <w:tcMar>
              <w:top w:w="100" w:type="dxa"/>
              <w:left w:w="100" w:type="dxa"/>
              <w:bottom w:w="100" w:type="dxa"/>
              <w:right w:w="100" w:type="dxa"/>
            </w:tcMar>
          </w:tcPr>
          <w:p w14:paraId="136B76B1" w14:textId="77777777" w:rsidR="007F3941" w:rsidRDefault="00000000">
            <w:pPr>
              <w:rPr>
                <w:sz w:val="24"/>
                <w:szCs w:val="24"/>
              </w:rPr>
            </w:pPr>
            <w:r>
              <w:rPr>
                <w:sz w:val="24"/>
                <w:szCs w:val="24"/>
              </w:rPr>
              <w:t>[5]</w:t>
            </w:r>
          </w:p>
        </w:tc>
        <w:tc>
          <w:tcPr>
            <w:tcW w:w="8675" w:type="dxa"/>
            <w:tcMar>
              <w:top w:w="100" w:type="dxa"/>
              <w:left w:w="100" w:type="dxa"/>
              <w:bottom w:w="100" w:type="dxa"/>
              <w:right w:w="100" w:type="dxa"/>
            </w:tcMar>
          </w:tcPr>
          <w:p w14:paraId="1CB5166E" w14:textId="77777777" w:rsidR="007F3941" w:rsidRDefault="00000000">
            <w:pPr>
              <w:rPr>
                <w:sz w:val="24"/>
                <w:szCs w:val="24"/>
              </w:rPr>
            </w:pPr>
            <w:r>
              <w:rPr>
                <w:sz w:val="24"/>
                <w:szCs w:val="24"/>
              </w:rPr>
              <w:t xml:space="preserve">“5 steps to developing and refining your B2B sales process,” </w:t>
            </w:r>
            <w:proofErr w:type="spellStart"/>
            <w:r>
              <w:rPr>
                <w:i/>
                <w:sz w:val="24"/>
                <w:szCs w:val="24"/>
              </w:rPr>
              <w:t>Lucidchart</w:t>
            </w:r>
            <w:proofErr w:type="spellEnd"/>
            <w:r>
              <w:rPr>
                <w:sz w:val="24"/>
                <w:szCs w:val="24"/>
              </w:rPr>
              <w:t>, 26-Sep-2017. [Online]. Available: https://www.lucidchart.com/blog/b2b-sales-process-steps. [Accessed: 14-Nov-2022].</w:t>
            </w:r>
          </w:p>
        </w:tc>
      </w:tr>
      <w:tr w:rsidR="007F3941" w14:paraId="79CEA4AB" w14:textId="77777777">
        <w:trPr>
          <w:trHeight w:val="500"/>
        </w:trPr>
        <w:tc>
          <w:tcPr>
            <w:tcW w:w="770" w:type="dxa"/>
            <w:tcMar>
              <w:top w:w="100" w:type="dxa"/>
              <w:left w:w="100" w:type="dxa"/>
              <w:bottom w:w="100" w:type="dxa"/>
              <w:right w:w="100" w:type="dxa"/>
            </w:tcMar>
          </w:tcPr>
          <w:p w14:paraId="7217B116" w14:textId="77777777" w:rsidR="007F3941" w:rsidRDefault="00000000">
            <w:pPr>
              <w:rPr>
                <w:sz w:val="24"/>
                <w:szCs w:val="24"/>
              </w:rPr>
            </w:pPr>
            <w:r>
              <w:rPr>
                <w:sz w:val="24"/>
                <w:szCs w:val="24"/>
              </w:rPr>
              <w:t>[6]</w:t>
            </w:r>
          </w:p>
        </w:tc>
        <w:tc>
          <w:tcPr>
            <w:tcW w:w="8675" w:type="dxa"/>
            <w:tcMar>
              <w:top w:w="100" w:type="dxa"/>
              <w:left w:w="100" w:type="dxa"/>
              <w:bottom w:w="100" w:type="dxa"/>
              <w:right w:w="100" w:type="dxa"/>
            </w:tcMar>
          </w:tcPr>
          <w:p w14:paraId="11F186D7" w14:textId="77777777" w:rsidR="007F3941" w:rsidRDefault="00000000">
            <w:pPr>
              <w:rPr>
                <w:sz w:val="24"/>
                <w:szCs w:val="24"/>
              </w:rPr>
            </w:pPr>
            <w:r>
              <w:rPr>
                <w:sz w:val="24"/>
                <w:szCs w:val="24"/>
              </w:rPr>
              <w:t xml:space="preserve">O. Frost, “B2B sales process,” </w:t>
            </w:r>
            <w:r>
              <w:rPr>
                <w:i/>
                <w:sz w:val="24"/>
                <w:szCs w:val="24"/>
              </w:rPr>
              <w:t>Cognism.com</w:t>
            </w:r>
            <w:r>
              <w:rPr>
                <w:sz w:val="24"/>
                <w:szCs w:val="24"/>
              </w:rPr>
              <w:t>, 16-Jul-2020. .</w:t>
            </w:r>
          </w:p>
        </w:tc>
      </w:tr>
      <w:tr w:rsidR="007F3941" w14:paraId="1925C144" w14:textId="77777777">
        <w:trPr>
          <w:trHeight w:val="1055"/>
        </w:trPr>
        <w:tc>
          <w:tcPr>
            <w:tcW w:w="770" w:type="dxa"/>
            <w:tcMar>
              <w:top w:w="100" w:type="dxa"/>
              <w:left w:w="100" w:type="dxa"/>
              <w:bottom w:w="100" w:type="dxa"/>
              <w:right w:w="100" w:type="dxa"/>
            </w:tcMar>
          </w:tcPr>
          <w:p w14:paraId="079027AA" w14:textId="77777777" w:rsidR="007F3941" w:rsidRDefault="00000000">
            <w:pPr>
              <w:rPr>
                <w:sz w:val="24"/>
                <w:szCs w:val="24"/>
              </w:rPr>
            </w:pPr>
            <w:r>
              <w:rPr>
                <w:sz w:val="24"/>
                <w:szCs w:val="24"/>
              </w:rPr>
              <w:t>[7]</w:t>
            </w:r>
          </w:p>
        </w:tc>
        <w:tc>
          <w:tcPr>
            <w:tcW w:w="8675" w:type="dxa"/>
            <w:tcMar>
              <w:top w:w="100" w:type="dxa"/>
              <w:left w:w="100" w:type="dxa"/>
              <w:bottom w:w="100" w:type="dxa"/>
              <w:right w:w="100" w:type="dxa"/>
            </w:tcMar>
          </w:tcPr>
          <w:p w14:paraId="404E5BD5" w14:textId="77777777" w:rsidR="007F3941" w:rsidRDefault="00000000">
            <w:pPr>
              <w:rPr>
                <w:sz w:val="24"/>
                <w:szCs w:val="24"/>
              </w:rPr>
            </w:pPr>
            <w:r>
              <w:rPr>
                <w:sz w:val="24"/>
                <w:szCs w:val="24"/>
              </w:rPr>
              <w:t xml:space="preserve">S. Leek and G. Christodoulides, “A literature review and future agenda for B2B branding: Challenges of branding in a B2B context,” </w:t>
            </w:r>
            <w:r>
              <w:rPr>
                <w:i/>
                <w:sz w:val="24"/>
                <w:szCs w:val="24"/>
              </w:rPr>
              <w:t xml:space="preserve">Ind. Mark. </w:t>
            </w:r>
            <w:proofErr w:type="spellStart"/>
            <w:r>
              <w:rPr>
                <w:i/>
                <w:sz w:val="24"/>
                <w:szCs w:val="24"/>
              </w:rPr>
              <w:t>Manag</w:t>
            </w:r>
            <w:proofErr w:type="spellEnd"/>
            <w:r>
              <w:rPr>
                <w:i/>
                <w:sz w:val="24"/>
                <w:szCs w:val="24"/>
              </w:rPr>
              <w:t>.</w:t>
            </w:r>
            <w:r>
              <w:rPr>
                <w:sz w:val="24"/>
                <w:szCs w:val="24"/>
              </w:rPr>
              <w:t>, vol. 40, no. 6, pp. 830–837, 2011.</w:t>
            </w:r>
          </w:p>
        </w:tc>
      </w:tr>
      <w:tr w:rsidR="007F3941" w14:paraId="2972DD65" w14:textId="77777777">
        <w:trPr>
          <w:trHeight w:val="785"/>
        </w:trPr>
        <w:tc>
          <w:tcPr>
            <w:tcW w:w="770" w:type="dxa"/>
            <w:tcMar>
              <w:top w:w="100" w:type="dxa"/>
              <w:left w:w="100" w:type="dxa"/>
              <w:bottom w:w="100" w:type="dxa"/>
              <w:right w:w="100" w:type="dxa"/>
            </w:tcMar>
          </w:tcPr>
          <w:p w14:paraId="5873FABC" w14:textId="77777777" w:rsidR="007F3941" w:rsidRDefault="00000000">
            <w:pPr>
              <w:rPr>
                <w:sz w:val="24"/>
                <w:szCs w:val="24"/>
              </w:rPr>
            </w:pPr>
            <w:r>
              <w:rPr>
                <w:sz w:val="24"/>
                <w:szCs w:val="24"/>
              </w:rPr>
              <w:t>[8]</w:t>
            </w:r>
          </w:p>
        </w:tc>
        <w:tc>
          <w:tcPr>
            <w:tcW w:w="8675" w:type="dxa"/>
            <w:tcMar>
              <w:top w:w="100" w:type="dxa"/>
              <w:left w:w="100" w:type="dxa"/>
              <w:bottom w:w="100" w:type="dxa"/>
              <w:right w:w="100" w:type="dxa"/>
            </w:tcMar>
          </w:tcPr>
          <w:p w14:paraId="7466DE80" w14:textId="77777777" w:rsidR="007F3941" w:rsidRDefault="00000000">
            <w:pPr>
              <w:rPr>
                <w:sz w:val="24"/>
                <w:szCs w:val="24"/>
              </w:rPr>
            </w:pPr>
            <w:r>
              <w:rPr>
                <w:sz w:val="24"/>
                <w:szCs w:val="24"/>
              </w:rPr>
              <w:t xml:space="preserve">G. L. </w:t>
            </w:r>
            <w:proofErr w:type="spellStart"/>
            <w:r>
              <w:rPr>
                <w:sz w:val="24"/>
                <w:szCs w:val="24"/>
              </w:rPr>
              <w:t>Lilien</w:t>
            </w:r>
            <w:proofErr w:type="spellEnd"/>
            <w:r>
              <w:rPr>
                <w:sz w:val="24"/>
                <w:szCs w:val="24"/>
              </w:rPr>
              <w:t xml:space="preserve">, “The B2B Knowledge Gap,” </w:t>
            </w:r>
            <w:r>
              <w:rPr>
                <w:i/>
                <w:sz w:val="24"/>
                <w:szCs w:val="24"/>
              </w:rPr>
              <w:t>Int. J. Res. Mark.</w:t>
            </w:r>
            <w:r>
              <w:rPr>
                <w:sz w:val="24"/>
                <w:szCs w:val="24"/>
              </w:rPr>
              <w:t>, vol. 33, no. 3, pp. 543–556, 2016.</w:t>
            </w:r>
          </w:p>
        </w:tc>
      </w:tr>
    </w:tbl>
    <w:p w14:paraId="36A44023" w14:textId="77777777" w:rsidR="007F3941" w:rsidRDefault="007F3941">
      <w:pPr>
        <w:spacing w:after="240"/>
      </w:pPr>
    </w:p>
    <w:p w14:paraId="563D4D63" w14:textId="77777777" w:rsidR="007F3941" w:rsidRDefault="007F3941"/>
    <w:sectPr w:rsidR="007F3941">
      <w:pgSz w:w="11906" w:h="16838"/>
      <w:pgMar w:top="1133" w:right="1133" w:bottom="1133" w:left="1133"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6D9CB" w14:textId="77777777" w:rsidR="000301C4" w:rsidRDefault="000301C4">
      <w:pPr>
        <w:spacing w:line="240" w:lineRule="auto"/>
      </w:pPr>
      <w:r>
        <w:separator/>
      </w:r>
    </w:p>
  </w:endnote>
  <w:endnote w:type="continuationSeparator" w:id="0">
    <w:p w14:paraId="2016A569" w14:textId="77777777" w:rsidR="000301C4" w:rsidRDefault="000301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6ACD3" w14:textId="77777777" w:rsidR="000301C4" w:rsidRDefault="000301C4">
      <w:pPr>
        <w:spacing w:line="240" w:lineRule="auto"/>
      </w:pPr>
      <w:r>
        <w:separator/>
      </w:r>
    </w:p>
  </w:footnote>
  <w:footnote w:type="continuationSeparator" w:id="0">
    <w:p w14:paraId="55BDBE57" w14:textId="77777777" w:rsidR="000301C4" w:rsidRDefault="000301C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756126" w14:textId="77777777" w:rsidR="007F3941" w:rsidRDefault="007F3941"/>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3941"/>
    <w:rsid w:val="000301C4"/>
    <w:rsid w:val="007F3941"/>
    <w:rsid w:val="00A70D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6FDEE"/>
  <w15:docId w15:val="{3A6F00A4-E823-4922-961F-CEDEBE43F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70DFA"/>
    <w:pPr>
      <w:tabs>
        <w:tab w:val="center" w:pos="4513"/>
        <w:tab w:val="right" w:pos="9026"/>
      </w:tabs>
      <w:spacing w:line="240" w:lineRule="auto"/>
    </w:pPr>
  </w:style>
  <w:style w:type="character" w:customStyle="1" w:styleId="HeaderChar">
    <w:name w:val="Header Char"/>
    <w:basedOn w:val="DefaultParagraphFont"/>
    <w:link w:val="Header"/>
    <w:uiPriority w:val="99"/>
    <w:rsid w:val="00A70DFA"/>
  </w:style>
  <w:style w:type="paragraph" w:styleId="Footer">
    <w:name w:val="footer"/>
    <w:basedOn w:val="Normal"/>
    <w:link w:val="FooterChar"/>
    <w:uiPriority w:val="99"/>
    <w:unhideWhenUsed/>
    <w:rsid w:val="00A70DFA"/>
    <w:pPr>
      <w:tabs>
        <w:tab w:val="center" w:pos="4513"/>
        <w:tab w:val="right" w:pos="9026"/>
      </w:tabs>
      <w:spacing w:line="240" w:lineRule="auto"/>
    </w:pPr>
  </w:style>
  <w:style w:type="character" w:customStyle="1" w:styleId="FooterChar">
    <w:name w:val="Footer Char"/>
    <w:basedOn w:val="DefaultParagraphFont"/>
    <w:link w:val="Footer"/>
    <w:uiPriority w:val="99"/>
    <w:rsid w:val="00A70DFA"/>
  </w:style>
  <w:style w:type="character" w:styleId="Hyperlink">
    <w:name w:val="Hyperlink"/>
    <w:basedOn w:val="DefaultParagraphFont"/>
    <w:uiPriority w:val="99"/>
    <w:unhideWhenUsed/>
    <w:rsid w:val="00A70DFA"/>
    <w:rPr>
      <w:color w:val="0000FF" w:themeColor="hyperlink"/>
      <w:u w:val="single"/>
    </w:rPr>
  </w:style>
  <w:style w:type="character" w:styleId="UnresolvedMention">
    <w:name w:val="Unresolved Mention"/>
    <w:basedOn w:val="DefaultParagraphFont"/>
    <w:uiPriority w:val="99"/>
    <w:semiHidden/>
    <w:unhideWhenUsed/>
    <w:rsid w:val="00A70DFA"/>
    <w:rPr>
      <w:color w:val="605E5C"/>
      <w:shd w:val="clear" w:color="auto" w:fill="E1DFDD"/>
    </w:rPr>
  </w:style>
  <w:style w:type="character" w:styleId="FollowedHyperlink">
    <w:name w:val="FollowedHyperlink"/>
    <w:basedOn w:val="DefaultParagraphFont"/>
    <w:uiPriority w:val="99"/>
    <w:semiHidden/>
    <w:unhideWhenUsed/>
    <w:rsid w:val="00A70DF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ites.google.com/view/robert-mihaita-radu/home"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7</Pages>
  <Words>880</Words>
  <Characters>5018</Characters>
  <Application>Microsoft Office Word</Application>
  <DocSecurity>0</DocSecurity>
  <Lines>41</Lines>
  <Paragraphs>11</Paragraphs>
  <ScaleCrop>false</ScaleCrop>
  <Company/>
  <LinksUpToDate>false</LinksUpToDate>
  <CharactersWithSpaces>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Robert Radu (2029778)</cp:lastModifiedBy>
  <cp:revision>2</cp:revision>
  <dcterms:created xsi:type="dcterms:W3CDTF">2022-11-15T11:47:00Z</dcterms:created>
  <dcterms:modified xsi:type="dcterms:W3CDTF">2022-11-15T11:56:00Z</dcterms:modified>
</cp:coreProperties>
</file>