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D8B22" w14:textId="77777777" w:rsidR="00F02F73" w:rsidRDefault="00F02F73" w:rsidP="00F02F73">
      <w:pPr>
        <w:spacing w:after="120"/>
        <w:ind w:left="720"/>
        <w:jc w:val="center"/>
        <w:rPr>
          <w:rFonts w:ascii="Arial" w:hAnsi="Arial" w:cs="Arial"/>
        </w:rPr>
      </w:pPr>
      <w:bookmarkStart w:id="0" w:name="_Toc68699585"/>
    </w:p>
    <w:p w14:paraId="3152D1AD" w14:textId="6A001DC1" w:rsidR="00F02F73" w:rsidRDefault="00F02F73" w:rsidP="00F02F73">
      <w:pPr>
        <w:pStyle w:val="Title"/>
        <w:jc w:val="center"/>
      </w:pPr>
      <w:r w:rsidRPr="00F02F73">
        <w:t>Hellenistic Astrology, Whole Sign Houses,</w:t>
      </w:r>
    </w:p>
    <w:p w14:paraId="5AF30A0F" w14:textId="174E48FD" w:rsidR="00F02F73" w:rsidRDefault="00F02F73" w:rsidP="00F02F73">
      <w:pPr>
        <w:pStyle w:val="Title"/>
        <w:jc w:val="center"/>
      </w:pPr>
      <w:r w:rsidRPr="00F02F73">
        <w:t>and Invented Tradition</w:t>
      </w:r>
    </w:p>
    <w:p w14:paraId="21C082EC" w14:textId="716B5138" w:rsidR="00F02F73" w:rsidRDefault="00F02F73" w:rsidP="00F02F73">
      <w:pPr>
        <w:jc w:val="center"/>
      </w:pPr>
    </w:p>
    <w:p w14:paraId="687CCFC9" w14:textId="173C420A" w:rsidR="00F02F73" w:rsidRDefault="00F02F73" w:rsidP="00F02F73"/>
    <w:p w14:paraId="6BB73246" w14:textId="747AF9BB" w:rsidR="00F02F73" w:rsidRDefault="00F02F73" w:rsidP="00F02F73">
      <w:pPr>
        <w:jc w:val="center"/>
        <w:rPr>
          <w:sz w:val="32"/>
          <w:szCs w:val="32"/>
        </w:rPr>
      </w:pPr>
      <w:r w:rsidRPr="00F02F73">
        <w:rPr>
          <w:sz w:val="32"/>
          <w:szCs w:val="32"/>
        </w:rPr>
        <w:t>MA in Cultural Astronomy and Astrology</w:t>
      </w:r>
    </w:p>
    <w:p w14:paraId="2CCB73A5" w14:textId="74AA10E5" w:rsidR="00BF2BAB" w:rsidRPr="00BF2BAB" w:rsidRDefault="00BF2BAB" w:rsidP="00F02F73">
      <w:pPr>
        <w:jc w:val="center"/>
      </w:pPr>
      <w:r w:rsidRPr="00BF2BAB">
        <w:t>University of Wales Trinity Saint David</w:t>
      </w:r>
    </w:p>
    <w:p w14:paraId="7DBE424F" w14:textId="0702D840" w:rsidR="00F02F73" w:rsidRDefault="00F02F73" w:rsidP="00F02F73"/>
    <w:p w14:paraId="1548A6A0" w14:textId="77777777" w:rsidR="00F02F73" w:rsidRDefault="00F02F73" w:rsidP="00F02F73"/>
    <w:p w14:paraId="1BFF31A5" w14:textId="77777777" w:rsidR="00F02F73" w:rsidRDefault="00F02F73" w:rsidP="00F02F73"/>
    <w:p w14:paraId="7A67AA45" w14:textId="77777777" w:rsidR="00F02F73" w:rsidRDefault="00F02F73" w:rsidP="00F02F73"/>
    <w:p w14:paraId="60A1FD92" w14:textId="77777777" w:rsidR="00F02F73" w:rsidRDefault="00F02F73" w:rsidP="00F02F73"/>
    <w:p w14:paraId="5C3D93EC" w14:textId="77777777" w:rsidR="00F02F73" w:rsidRDefault="00F02F73" w:rsidP="00F02F73"/>
    <w:p w14:paraId="6B79D01E" w14:textId="77777777" w:rsidR="00F02F73" w:rsidRDefault="00F02F73" w:rsidP="00F02F73"/>
    <w:p w14:paraId="0A632B3B" w14:textId="77777777" w:rsidR="00F02F73" w:rsidRDefault="00F02F73" w:rsidP="00F02F73"/>
    <w:p w14:paraId="1845BF61" w14:textId="77777777" w:rsidR="00F02F73" w:rsidRDefault="00F02F73" w:rsidP="00F02F73"/>
    <w:p w14:paraId="0EE5C832" w14:textId="77777777" w:rsidR="00F02F73" w:rsidRDefault="00F02F73" w:rsidP="00F02F73"/>
    <w:p w14:paraId="014BC950" w14:textId="77777777" w:rsidR="00F02F73" w:rsidRDefault="00F02F73" w:rsidP="00F02F73"/>
    <w:p w14:paraId="0BA3A65F" w14:textId="77777777" w:rsidR="00F02F73" w:rsidRDefault="00F02F73" w:rsidP="00F02F73"/>
    <w:p w14:paraId="41F6EACA" w14:textId="77777777" w:rsidR="00F02F73" w:rsidRDefault="00F02F73" w:rsidP="00F02F73"/>
    <w:p w14:paraId="0CCE0FD0" w14:textId="77777777" w:rsidR="00F02F73" w:rsidRDefault="00F02F73" w:rsidP="00F02F73"/>
    <w:p w14:paraId="5D2E98B7" w14:textId="77777777" w:rsidR="00F02F73" w:rsidRDefault="00F02F73" w:rsidP="00F02F73"/>
    <w:p w14:paraId="6FBFE9D9" w14:textId="77777777" w:rsidR="00F02F73" w:rsidRDefault="00F02F73" w:rsidP="00F02F73"/>
    <w:p w14:paraId="7EDD7A76" w14:textId="77777777" w:rsidR="00F02F73" w:rsidRDefault="00F02F73" w:rsidP="00F02F73"/>
    <w:p w14:paraId="2A1CEABB" w14:textId="77777777" w:rsidR="00F02F73" w:rsidRDefault="00F02F73" w:rsidP="00F02F73"/>
    <w:p w14:paraId="0700F839" w14:textId="77777777" w:rsidR="00F02F73" w:rsidRDefault="00F02F73" w:rsidP="00F02F73"/>
    <w:p w14:paraId="557B9608" w14:textId="77777777" w:rsidR="00F02F73" w:rsidRDefault="00F02F73" w:rsidP="00F02F73"/>
    <w:p w14:paraId="4E9587BC" w14:textId="77777777" w:rsidR="00F02F73" w:rsidRDefault="00F02F73" w:rsidP="00F02F73"/>
    <w:p w14:paraId="0CD1823D" w14:textId="59851136" w:rsidR="00F02F73" w:rsidRDefault="00F02F73" w:rsidP="00F02F73">
      <w:r>
        <w:t>Paul Kiernan,</w:t>
      </w:r>
      <w:r w:rsidRPr="00F02F73">
        <w:t>1704194</w:t>
      </w:r>
    </w:p>
    <w:p w14:paraId="03105AF2" w14:textId="4BBDF062" w:rsidR="00F02F73" w:rsidRPr="00F02F73" w:rsidRDefault="00F02F73" w:rsidP="00F02F73">
      <w:r>
        <w:t xml:space="preserve">Submitted: </w:t>
      </w:r>
      <w:r w:rsidR="00031C3C">
        <w:t>27</w:t>
      </w:r>
      <w:r w:rsidR="00031C3C" w:rsidRPr="00031C3C">
        <w:rPr>
          <w:vertAlign w:val="superscript"/>
        </w:rPr>
        <w:t>th</w:t>
      </w:r>
      <w:r w:rsidR="00031C3C">
        <w:t xml:space="preserve"> </w:t>
      </w:r>
      <w:r>
        <w:t>September 2021</w:t>
      </w:r>
    </w:p>
    <w:p w14:paraId="6C791448" w14:textId="044FC39F" w:rsidR="00F02F73" w:rsidRPr="00951BBF" w:rsidRDefault="00F02F73" w:rsidP="00F02F73">
      <w:pPr>
        <w:spacing w:after="120"/>
        <w:ind w:left="720"/>
        <w:rPr>
          <w:rFonts w:ascii="Arial" w:hAnsi="Arial" w:cs="Arial"/>
        </w:rPr>
      </w:pPr>
      <w:r>
        <w:rPr>
          <w:rFonts w:ascii="Arial" w:hAnsi="Arial" w:cs="Arial"/>
          <w:noProof/>
        </w:rPr>
        <w:lastRenderedPageBreak/>
        <w:drawing>
          <wp:inline distT="0" distB="0" distL="0" distR="0" wp14:anchorId="748F8704" wp14:editId="413B9A51">
            <wp:extent cx="1857375" cy="762000"/>
            <wp:effectExtent l="0" t="0" r="0" b="0"/>
            <wp:docPr id="11" name="Picture 1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C0BF9D3"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727C149A"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D2F4904"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3A10D5AD" w14:textId="0B26EFC1" w:rsidR="00F02F73" w:rsidRPr="00F02F73"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i/>
          <w:iCs/>
        </w:rPr>
      </w:pPr>
      <w:r w:rsidRPr="00951BBF">
        <w:rPr>
          <w:rFonts w:ascii="Arial" w:hAnsi="Arial" w:cs="Arial"/>
        </w:rPr>
        <w:t>Name</w:t>
      </w:r>
      <w:r>
        <w:rPr>
          <w:rFonts w:ascii="Arial" w:hAnsi="Arial" w:cs="Arial"/>
        </w:rPr>
        <w:t xml:space="preserve">: </w:t>
      </w:r>
      <w:r w:rsidRPr="00F02F73">
        <w:rPr>
          <w:rFonts w:ascii="Arial" w:hAnsi="Arial" w:cs="Arial"/>
          <w:i/>
          <w:iCs/>
        </w:rPr>
        <w:t>Paul Kiernan</w:t>
      </w:r>
    </w:p>
    <w:p w14:paraId="32E222AB" w14:textId="52B6F1DD"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Date</w:t>
      </w:r>
      <w:r>
        <w:rPr>
          <w:rFonts w:ascii="Arial" w:hAnsi="Arial" w:cs="Arial"/>
        </w:rPr>
        <w:t xml:space="preserve">: </w:t>
      </w:r>
      <w:r w:rsidRPr="00F02F73">
        <w:rPr>
          <w:rFonts w:ascii="Arial" w:hAnsi="Arial" w:cs="Arial"/>
          <w:i/>
          <w:iCs/>
        </w:rPr>
        <w:t>28</w:t>
      </w:r>
      <w:r w:rsidRPr="00F02F73">
        <w:rPr>
          <w:rFonts w:ascii="Arial" w:hAnsi="Arial" w:cs="Arial"/>
          <w:i/>
          <w:iCs/>
          <w:vertAlign w:val="superscript"/>
        </w:rPr>
        <w:t>th</w:t>
      </w:r>
      <w:r w:rsidRPr="00F02F73">
        <w:rPr>
          <w:rFonts w:ascii="Arial" w:hAnsi="Arial" w:cs="Arial"/>
          <w:i/>
          <w:iCs/>
        </w:rPr>
        <w:t xml:space="preserve"> September 2021</w:t>
      </w:r>
    </w:p>
    <w:p w14:paraId="2858C547"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p>
    <w:p w14:paraId="00724591" w14:textId="77777777" w:rsidR="00F02F73"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 xml:space="preserve">2. This dissertation is being submitted in partial fulfilment of the requirements for the degree of </w:t>
      </w:r>
    </w:p>
    <w:p w14:paraId="7094EF62" w14:textId="4E933558" w:rsidR="00F02F73" w:rsidRPr="00F02F73"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i/>
          <w:iCs/>
        </w:rPr>
      </w:pPr>
      <w:r w:rsidRPr="00F02F73">
        <w:rPr>
          <w:rFonts w:ascii="Arial" w:hAnsi="Arial" w:cs="Arial"/>
          <w:i/>
          <w:iCs/>
        </w:rPr>
        <w:t>MA in Cultural Astronomy and Astrology</w:t>
      </w:r>
    </w:p>
    <w:p w14:paraId="1CB08474" w14:textId="02E3F8A2" w:rsidR="00F02F73" w:rsidRPr="00F02F73"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i/>
          <w:iCs/>
        </w:rPr>
      </w:pPr>
      <w:r w:rsidRPr="00951BBF">
        <w:rPr>
          <w:rFonts w:ascii="Arial" w:hAnsi="Arial" w:cs="Arial"/>
        </w:rPr>
        <w:t>Name</w:t>
      </w:r>
      <w:r>
        <w:rPr>
          <w:rFonts w:ascii="Arial" w:hAnsi="Arial" w:cs="Arial"/>
        </w:rPr>
        <w:t xml:space="preserve">: </w:t>
      </w:r>
      <w:r w:rsidRPr="00F02F73">
        <w:rPr>
          <w:rFonts w:ascii="Arial" w:hAnsi="Arial" w:cs="Arial"/>
          <w:i/>
          <w:iCs/>
        </w:rPr>
        <w:t>Paul Kiernan</w:t>
      </w:r>
    </w:p>
    <w:p w14:paraId="44BF5015" w14:textId="115A2274" w:rsidR="00F02F73" w:rsidRPr="00F02F73"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i/>
          <w:iCs/>
        </w:rPr>
      </w:pPr>
      <w:r w:rsidRPr="00951BBF">
        <w:rPr>
          <w:rFonts w:ascii="Arial" w:hAnsi="Arial" w:cs="Arial"/>
        </w:rPr>
        <w:t>Date</w:t>
      </w:r>
      <w:r>
        <w:rPr>
          <w:rFonts w:ascii="Arial" w:hAnsi="Arial" w:cs="Arial"/>
        </w:rPr>
        <w:t xml:space="preserve">: </w:t>
      </w:r>
      <w:r w:rsidRPr="00F02F73">
        <w:rPr>
          <w:rFonts w:ascii="Arial" w:hAnsi="Arial" w:cs="Arial"/>
          <w:i/>
          <w:iCs/>
        </w:rPr>
        <w:t>28</w:t>
      </w:r>
      <w:r w:rsidRPr="00F02F73">
        <w:rPr>
          <w:rFonts w:ascii="Arial" w:hAnsi="Arial" w:cs="Arial"/>
          <w:i/>
          <w:iCs/>
          <w:vertAlign w:val="superscript"/>
        </w:rPr>
        <w:t>th</w:t>
      </w:r>
      <w:r w:rsidRPr="00F02F73">
        <w:rPr>
          <w:rFonts w:ascii="Arial" w:hAnsi="Arial" w:cs="Arial"/>
          <w:i/>
          <w:iCs/>
        </w:rPr>
        <w:t xml:space="preserve"> September 2021</w:t>
      </w:r>
    </w:p>
    <w:p w14:paraId="49E86CEB"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p>
    <w:p w14:paraId="7A7007F9"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3. This dissertation is the result of my own independent work/investigation, except where otherwise stated.</w:t>
      </w:r>
    </w:p>
    <w:p w14:paraId="36EECD33"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 xml:space="preserve">Other sources are acknowledged by footnotes giving explicit references. </w:t>
      </w:r>
    </w:p>
    <w:p w14:paraId="0242ED2E"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A bibliography is appended.</w:t>
      </w:r>
    </w:p>
    <w:p w14:paraId="5C91B468" w14:textId="0D726C72"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Name</w:t>
      </w:r>
      <w:r>
        <w:rPr>
          <w:rFonts w:ascii="Arial" w:hAnsi="Arial" w:cs="Arial"/>
        </w:rPr>
        <w:t xml:space="preserve">: </w:t>
      </w:r>
      <w:r w:rsidRPr="00F02F73">
        <w:rPr>
          <w:rFonts w:ascii="Arial" w:hAnsi="Arial" w:cs="Arial"/>
          <w:i/>
          <w:iCs/>
        </w:rPr>
        <w:t>Paul Kiernan</w:t>
      </w:r>
    </w:p>
    <w:p w14:paraId="5CC2EA8D" w14:textId="222F8632"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Date</w:t>
      </w:r>
      <w:r>
        <w:rPr>
          <w:rFonts w:ascii="Arial" w:hAnsi="Arial" w:cs="Arial"/>
        </w:rPr>
        <w:t xml:space="preserve">: </w:t>
      </w:r>
      <w:r w:rsidRPr="00F02F73">
        <w:rPr>
          <w:rFonts w:ascii="Arial" w:hAnsi="Arial" w:cs="Arial"/>
          <w:i/>
          <w:iCs/>
        </w:rPr>
        <w:t>28</w:t>
      </w:r>
      <w:r w:rsidRPr="00F02F73">
        <w:rPr>
          <w:rFonts w:ascii="Arial" w:hAnsi="Arial" w:cs="Arial"/>
          <w:i/>
          <w:iCs/>
          <w:vertAlign w:val="superscript"/>
        </w:rPr>
        <w:t>th</w:t>
      </w:r>
      <w:r w:rsidRPr="00F02F73">
        <w:rPr>
          <w:rFonts w:ascii="Arial" w:hAnsi="Arial" w:cs="Arial"/>
          <w:i/>
          <w:iCs/>
        </w:rPr>
        <w:t xml:space="preserve"> September 2021</w:t>
      </w:r>
    </w:p>
    <w:p w14:paraId="3CACFBDD"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 xml:space="preserve">  </w:t>
      </w:r>
    </w:p>
    <w:p w14:paraId="5347228D"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6B05702F" w14:textId="7F88165F"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Name</w:t>
      </w:r>
      <w:r>
        <w:rPr>
          <w:rFonts w:ascii="Arial" w:hAnsi="Arial" w:cs="Arial"/>
        </w:rPr>
        <w:t xml:space="preserve">: </w:t>
      </w:r>
      <w:r w:rsidRPr="00F02F73">
        <w:rPr>
          <w:rFonts w:ascii="Arial" w:hAnsi="Arial" w:cs="Arial"/>
          <w:i/>
          <w:iCs/>
        </w:rPr>
        <w:t>Paul Kiernan</w:t>
      </w:r>
    </w:p>
    <w:p w14:paraId="4AADA9AB" w14:textId="36B054EC"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Date</w:t>
      </w:r>
      <w:r>
        <w:rPr>
          <w:rFonts w:ascii="Arial" w:hAnsi="Arial" w:cs="Arial"/>
        </w:rPr>
        <w:t xml:space="preserve">: </w:t>
      </w:r>
      <w:r w:rsidRPr="00F02F73">
        <w:rPr>
          <w:rFonts w:ascii="Arial" w:hAnsi="Arial" w:cs="Arial"/>
          <w:i/>
          <w:iCs/>
        </w:rPr>
        <w:t>28</w:t>
      </w:r>
      <w:r w:rsidRPr="00F02F73">
        <w:rPr>
          <w:rFonts w:ascii="Arial" w:hAnsi="Arial" w:cs="Arial"/>
          <w:i/>
          <w:iCs/>
          <w:vertAlign w:val="superscript"/>
        </w:rPr>
        <w:t>th</w:t>
      </w:r>
      <w:r w:rsidRPr="00F02F73">
        <w:rPr>
          <w:rFonts w:ascii="Arial" w:hAnsi="Arial" w:cs="Arial"/>
          <w:i/>
          <w:iCs/>
        </w:rPr>
        <w:t xml:space="preserve"> September 2021</w:t>
      </w:r>
    </w:p>
    <w:p w14:paraId="0352E2DC"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b/>
        </w:rPr>
        <w:t>Supervisor’s Declaration</w:t>
      </w:r>
      <w:r w:rsidRPr="00951BBF">
        <w:rPr>
          <w:rFonts w:ascii="Arial" w:hAnsi="Arial" w:cs="Arial"/>
        </w:rPr>
        <w:t>.</w:t>
      </w:r>
    </w:p>
    <w:p w14:paraId="1DD5CE51"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I am satisfied that this work is the result of the student’s own efforts.</w:t>
      </w:r>
    </w:p>
    <w:p w14:paraId="2E58BC57" w14:textId="77777777" w:rsidR="00F02F73" w:rsidRPr="00951BBF" w:rsidRDefault="00F02F73" w:rsidP="00F02F73">
      <w:pPr>
        <w:pBdr>
          <w:top w:val="single" w:sz="4" w:space="1" w:color="auto"/>
          <w:left w:val="single" w:sz="4" w:space="4" w:color="auto"/>
          <w:bottom w:val="single" w:sz="4" w:space="1" w:color="auto"/>
          <w:right w:val="single" w:sz="4" w:space="4" w:color="auto"/>
        </w:pBdr>
        <w:spacing w:after="120" w:line="240" w:lineRule="auto"/>
        <w:rPr>
          <w:rFonts w:ascii="Arial" w:hAnsi="Arial" w:cs="Arial"/>
        </w:rPr>
      </w:pPr>
      <w:r w:rsidRPr="00951BBF">
        <w:rPr>
          <w:rFonts w:ascii="Arial" w:hAnsi="Arial" w:cs="Arial"/>
        </w:rPr>
        <w:t>Signed:  …………………………………………………………………………...</w:t>
      </w:r>
    </w:p>
    <w:p w14:paraId="1D3E27F4" w14:textId="77777777" w:rsidR="00F02F73" w:rsidRDefault="00F02F73" w:rsidP="00F02F73">
      <w:pPr>
        <w:pBdr>
          <w:top w:val="single" w:sz="4" w:space="1" w:color="auto"/>
          <w:left w:val="single" w:sz="4" w:space="4" w:color="auto"/>
          <w:bottom w:val="single" w:sz="4" w:space="1" w:color="auto"/>
          <w:right w:val="single" w:sz="4" w:space="4" w:color="auto"/>
        </w:pBdr>
        <w:spacing w:after="120" w:line="240" w:lineRule="auto"/>
        <w:jc w:val="both"/>
        <w:rPr>
          <w:rFonts w:ascii="Arial" w:hAnsi="Arial" w:cs="Arial"/>
        </w:rPr>
      </w:pPr>
      <w:r>
        <w:rPr>
          <w:rFonts w:ascii="Arial" w:hAnsi="Arial" w:cs="Arial"/>
        </w:rPr>
        <w:t>Date: …………………………………………………………………………..</w:t>
      </w:r>
    </w:p>
    <w:p w14:paraId="0B673CFC" w14:textId="431A5C75" w:rsidR="00F02F73" w:rsidRDefault="00F02F73">
      <w:pPr>
        <w:pStyle w:val="TOCHeading"/>
        <w:rPr>
          <w:rFonts w:ascii="Helvetica Neue Light" w:eastAsiaTheme="minorHAnsi" w:hAnsi="Helvetica Neue Light" w:cstheme="minorBidi"/>
          <w:b w:val="0"/>
          <w:bCs w:val="0"/>
          <w:color w:val="auto"/>
          <w:sz w:val="24"/>
          <w:szCs w:val="24"/>
          <w:lang w:val="en-GB"/>
        </w:rPr>
      </w:pPr>
    </w:p>
    <w:p w14:paraId="6559C221" w14:textId="3F794CB9" w:rsidR="00F02F73" w:rsidRDefault="00F02F73" w:rsidP="00F02F73"/>
    <w:p w14:paraId="2B811BCB" w14:textId="1313F245" w:rsidR="00F02F73" w:rsidRDefault="00F02F73" w:rsidP="00F02F73"/>
    <w:sdt>
      <w:sdtPr>
        <w:rPr>
          <w:rFonts w:ascii="Helvetica Neue Light" w:eastAsiaTheme="minorHAnsi" w:hAnsi="Helvetica Neue Light" w:cstheme="minorBidi"/>
          <w:b w:val="0"/>
          <w:bCs w:val="0"/>
          <w:color w:val="auto"/>
          <w:sz w:val="24"/>
          <w:szCs w:val="24"/>
          <w:lang w:val="en-GB"/>
        </w:rPr>
        <w:id w:val="-1899740530"/>
        <w:docPartObj>
          <w:docPartGallery w:val="Table of Contents"/>
          <w:docPartUnique/>
        </w:docPartObj>
      </w:sdtPr>
      <w:sdtEndPr>
        <w:rPr>
          <w:noProof/>
        </w:rPr>
      </w:sdtEndPr>
      <w:sdtContent>
        <w:p w14:paraId="1946D185" w14:textId="524017C0" w:rsidR="0003541A" w:rsidRDefault="0003541A">
          <w:pPr>
            <w:pStyle w:val="TOCHeading"/>
            <w:rPr>
              <w:rStyle w:val="Heading1Char"/>
            </w:rPr>
          </w:pPr>
          <w:r w:rsidRPr="00CE22AC">
            <w:rPr>
              <w:rStyle w:val="Heading1Char"/>
            </w:rPr>
            <w:t>Table of Contents</w:t>
          </w:r>
        </w:p>
        <w:p w14:paraId="7FDC042D" w14:textId="77777777" w:rsidR="0030627C" w:rsidRPr="0030627C" w:rsidRDefault="0030627C" w:rsidP="0030627C">
          <w:pPr>
            <w:rPr>
              <w:lang w:val="en-US"/>
            </w:rPr>
          </w:pPr>
        </w:p>
        <w:p w14:paraId="0A510729" w14:textId="4B38AFDD" w:rsidR="0030627C" w:rsidRDefault="0003541A">
          <w:pPr>
            <w:pStyle w:val="TOC1"/>
            <w:tabs>
              <w:tab w:val="right" w:leader="dot" w:pos="9010"/>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83646403" w:history="1">
            <w:r w:rsidR="0030627C" w:rsidRPr="00D037A3">
              <w:rPr>
                <w:rStyle w:val="Hyperlink"/>
                <w:noProof/>
              </w:rPr>
              <w:t>Table of Figures</w:t>
            </w:r>
            <w:r w:rsidR="0030627C">
              <w:rPr>
                <w:noProof/>
                <w:webHidden/>
              </w:rPr>
              <w:tab/>
            </w:r>
            <w:r w:rsidR="0030627C">
              <w:rPr>
                <w:noProof/>
                <w:webHidden/>
              </w:rPr>
              <w:fldChar w:fldCharType="begin"/>
            </w:r>
            <w:r w:rsidR="0030627C">
              <w:rPr>
                <w:noProof/>
                <w:webHidden/>
              </w:rPr>
              <w:instrText xml:space="preserve"> PAGEREF _Toc83646403 \h </w:instrText>
            </w:r>
            <w:r w:rsidR="0030627C">
              <w:rPr>
                <w:noProof/>
                <w:webHidden/>
              </w:rPr>
            </w:r>
            <w:r w:rsidR="0030627C">
              <w:rPr>
                <w:noProof/>
                <w:webHidden/>
              </w:rPr>
              <w:fldChar w:fldCharType="separate"/>
            </w:r>
            <w:r w:rsidR="0030627C">
              <w:rPr>
                <w:noProof/>
                <w:webHidden/>
              </w:rPr>
              <w:t>6</w:t>
            </w:r>
            <w:r w:rsidR="0030627C">
              <w:rPr>
                <w:noProof/>
                <w:webHidden/>
              </w:rPr>
              <w:fldChar w:fldCharType="end"/>
            </w:r>
          </w:hyperlink>
        </w:p>
        <w:p w14:paraId="618C7247" w14:textId="23B20163" w:rsidR="0030627C" w:rsidRDefault="0030627C">
          <w:pPr>
            <w:pStyle w:val="TOC1"/>
            <w:tabs>
              <w:tab w:val="right" w:leader="dot" w:pos="9010"/>
            </w:tabs>
            <w:rPr>
              <w:rFonts w:eastAsiaTheme="minorEastAsia"/>
              <w:b w:val="0"/>
              <w:bCs w:val="0"/>
              <w:caps w:val="0"/>
              <w:noProof/>
              <w:sz w:val="24"/>
              <w:szCs w:val="24"/>
              <w:lang w:eastAsia="en-GB"/>
            </w:rPr>
          </w:pPr>
          <w:hyperlink w:anchor="_Toc83646404" w:history="1">
            <w:r w:rsidRPr="00D037A3">
              <w:rPr>
                <w:rStyle w:val="Hyperlink"/>
                <w:noProof/>
              </w:rPr>
              <w:t>Table of Abbreviations</w:t>
            </w:r>
            <w:r>
              <w:rPr>
                <w:noProof/>
                <w:webHidden/>
              </w:rPr>
              <w:tab/>
            </w:r>
            <w:r>
              <w:rPr>
                <w:noProof/>
                <w:webHidden/>
              </w:rPr>
              <w:fldChar w:fldCharType="begin"/>
            </w:r>
            <w:r>
              <w:rPr>
                <w:noProof/>
                <w:webHidden/>
              </w:rPr>
              <w:instrText xml:space="preserve"> PAGEREF _Toc83646404 \h </w:instrText>
            </w:r>
            <w:r>
              <w:rPr>
                <w:noProof/>
                <w:webHidden/>
              </w:rPr>
            </w:r>
            <w:r>
              <w:rPr>
                <w:noProof/>
                <w:webHidden/>
              </w:rPr>
              <w:fldChar w:fldCharType="separate"/>
            </w:r>
            <w:r>
              <w:rPr>
                <w:noProof/>
                <w:webHidden/>
              </w:rPr>
              <w:t>6</w:t>
            </w:r>
            <w:r>
              <w:rPr>
                <w:noProof/>
                <w:webHidden/>
              </w:rPr>
              <w:fldChar w:fldCharType="end"/>
            </w:r>
          </w:hyperlink>
        </w:p>
        <w:p w14:paraId="64090B72" w14:textId="78D7475A" w:rsidR="0030627C" w:rsidRDefault="0030627C">
          <w:pPr>
            <w:pStyle w:val="TOC1"/>
            <w:tabs>
              <w:tab w:val="right" w:leader="dot" w:pos="9010"/>
            </w:tabs>
            <w:rPr>
              <w:rFonts w:eastAsiaTheme="minorEastAsia"/>
              <w:b w:val="0"/>
              <w:bCs w:val="0"/>
              <w:caps w:val="0"/>
              <w:noProof/>
              <w:sz w:val="24"/>
              <w:szCs w:val="24"/>
              <w:lang w:eastAsia="en-GB"/>
            </w:rPr>
          </w:pPr>
          <w:hyperlink w:anchor="_Toc83646405" w:history="1">
            <w:r w:rsidRPr="00D037A3">
              <w:rPr>
                <w:rStyle w:val="Hyperlink"/>
                <w:noProof/>
              </w:rPr>
              <w:t>Acknowledgements</w:t>
            </w:r>
            <w:r>
              <w:rPr>
                <w:noProof/>
                <w:webHidden/>
              </w:rPr>
              <w:tab/>
            </w:r>
            <w:r>
              <w:rPr>
                <w:noProof/>
                <w:webHidden/>
              </w:rPr>
              <w:fldChar w:fldCharType="begin"/>
            </w:r>
            <w:r>
              <w:rPr>
                <w:noProof/>
                <w:webHidden/>
              </w:rPr>
              <w:instrText xml:space="preserve"> PAGEREF _Toc83646405 \h </w:instrText>
            </w:r>
            <w:r>
              <w:rPr>
                <w:noProof/>
                <w:webHidden/>
              </w:rPr>
            </w:r>
            <w:r>
              <w:rPr>
                <w:noProof/>
                <w:webHidden/>
              </w:rPr>
              <w:fldChar w:fldCharType="separate"/>
            </w:r>
            <w:r>
              <w:rPr>
                <w:noProof/>
                <w:webHidden/>
              </w:rPr>
              <w:t>6</w:t>
            </w:r>
            <w:r>
              <w:rPr>
                <w:noProof/>
                <w:webHidden/>
              </w:rPr>
              <w:fldChar w:fldCharType="end"/>
            </w:r>
          </w:hyperlink>
        </w:p>
        <w:p w14:paraId="4A0905B5" w14:textId="4E7BA30A" w:rsidR="0030627C" w:rsidRDefault="0030627C">
          <w:pPr>
            <w:pStyle w:val="TOC1"/>
            <w:tabs>
              <w:tab w:val="right" w:leader="dot" w:pos="9010"/>
            </w:tabs>
            <w:rPr>
              <w:rFonts w:eastAsiaTheme="minorEastAsia"/>
              <w:b w:val="0"/>
              <w:bCs w:val="0"/>
              <w:caps w:val="0"/>
              <w:noProof/>
              <w:sz w:val="24"/>
              <w:szCs w:val="24"/>
              <w:lang w:eastAsia="en-GB"/>
            </w:rPr>
          </w:pPr>
          <w:hyperlink w:anchor="_Toc83646406" w:history="1">
            <w:r w:rsidRPr="00D037A3">
              <w:rPr>
                <w:rStyle w:val="Hyperlink"/>
                <w:noProof/>
              </w:rPr>
              <w:t>Abstract</w:t>
            </w:r>
            <w:r>
              <w:rPr>
                <w:noProof/>
                <w:webHidden/>
              </w:rPr>
              <w:tab/>
            </w:r>
            <w:r>
              <w:rPr>
                <w:noProof/>
                <w:webHidden/>
              </w:rPr>
              <w:fldChar w:fldCharType="begin"/>
            </w:r>
            <w:r>
              <w:rPr>
                <w:noProof/>
                <w:webHidden/>
              </w:rPr>
              <w:instrText xml:space="preserve"> PAGEREF _Toc83646406 \h </w:instrText>
            </w:r>
            <w:r>
              <w:rPr>
                <w:noProof/>
                <w:webHidden/>
              </w:rPr>
            </w:r>
            <w:r>
              <w:rPr>
                <w:noProof/>
                <w:webHidden/>
              </w:rPr>
              <w:fldChar w:fldCharType="separate"/>
            </w:r>
            <w:r>
              <w:rPr>
                <w:noProof/>
                <w:webHidden/>
              </w:rPr>
              <w:t>7</w:t>
            </w:r>
            <w:r>
              <w:rPr>
                <w:noProof/>
                <w:webHidden/>
              </w:rPr>
              <w:fldChar w:fldCharType="end"/>
            </w:r>
          </w:hyperlink>
        </w:p>
        <w:p w14:paraId="572CBCCE" w14:textId="566B2E7E" w:rsidR="0030627C" w:rsidRDefault="0030627C">
          <w:pPr>
            <w:pStyle w:val="TOC1"/>
            <w:tabs>
              <w:tab w:val="right" w:leader="dot" w:pos="9010"/>
            </w:tabs>
            <w:rPr>
              <w:rFonts w:eastAsiaTheme="minorEastAsia"/>
              <w:b w:val="0"/>
              <w:bCs w:val="0"/>
              <w:caps w:val="0"/>
              <w:noProof/>
              <w:sz w:val="24"/>
              <w:szCs w:val="24"/>
              <w:lang w:eastAsia="en-GB"/>
            </w:rPr>
          </w:pPr>
          <w:hyperlink w:anchor="_Toc83646407" w:history="1">
            <w:r w:rsidRPr="00D037A3">
              <w:rPr>
                <w:rStyle w:val="Hyperlink"/>
                <w:noProof/>
              </w:rPr>
              <w:t>Chapter 1: Introduction</w:t>
            </w:r>
            <w:r>
              <w:rPr>
                <w:noProof/>
                <w:webHidden/>
              </w:rPr>
              <w:tab/>
            </w:r>
            <w:r>
              <w:rPr>
                <w:noProof/>
                <w:webHidden/>
              </w:rPr>
              <w:fldChar w:fldCharType="begin"/>
            </w:r>
            <w:r>
              <w:rPr>
                <w:noProof/>
                <w:webHidden/>
              </w:rPr>
              <w:instrText xml:space="preserve"> PAGEREF _Toc83646407 \h </w:instrText>
            </w:r>
            <w:r>
              <w:rPr>
                <w:noProof/>
                <w:webHidden/>
              </w:rPr>
            </w:r>
            <w:r>
              <w:rPr>
                <w:noProof/>
                <w:webHidden/>
              </w:rPr>
              <w:fldChar w:fldCharType="separate"/>
            </w:r>
            <w:r>
              <w:rPr>
                <w:noProof/>
                <w:webHidden/>
              </w:rPr>
              <w:t>8</w:t>
            </w:r>
            <w:r>
              <w:rPr>
                <w:noProof/>
                <w:webHidden/>
              </w:rPr>
              <w:fldChar w:fldCharType="end"/>
            </w:r>
          </w:hyperlink>
        </w:p>
        <w:p w14:paraId="6A5412AF" w14:textId="332913C9" w:rsidR="0030627C" w:rsidRDefault="0030627C">
          <w:pPr>
            <w:pStyle w:val="TOC1"/>
            <w:tabs>
              <w:tab w:val="right" w:leader="dot" w:pos="9010"/>
            </w:tabs>
            <w:rPr>
              <w:rFonts w:eastAsiaTheme="minorEastAsia"/>
              <w:b w:val="0"/>
              <w:bCs w:val="0"/>
              <w:caps w:val="0"/>
              <w:noProof/>
              <w:sz w:val="24"/>
              <w:szCs w:val="24"/>
              <w:lang w:eastAsia="en-GB"/>
            </w:rPr>
          </w:pPr>
          <w:hyperlink w:anchor="_Toc83646408" w:history="1">
            <w:r w:rsidRPr="00D037A3">
              <w:rPr>
                <w:rStyle w:val="Hyperlink"/>
                <w:noProof/>
              </w:rPr>
              <w:t>Chapter 2: Methodology and Ethics</w:t>
            </w:r>
            <w:r>
              <w:rPr>
                <w:noProof/>
                <w:webHidden/>
              </w:rPr>
              <w:tab/>
            </w:r>
            <w:r>
              <w:rPr>
                <w:noProof/>
                <w:webHidden/>
              </w:rPr>
              <w:fldChar w:fldCharType="begin"/>
            </w:r>
            <w:r>
              <w:rPr>
                <w:noProof/>
                <w:webHidden/>
              </w:rPr>
              <w:instrText xml:space="preserve"> PAGEREF _Toc83646408 \h </w:instrText>
            </w:r>
            <w:r>
              <w:rPr>
                <w:noProof/>
                <w:webHidden/>
              </w:rPr>
            </w:r>
            <w:r>
              <w:rPr>
                <w:noProof/>
                <w:webHidden/>
              </w:rPr>
              <w:fldChar w:fldCharType="separate"/>
            </w:r>
            <w:r>
              <w:rPr>
                <w:noProof/>
                <w:webHidden/>
              </w:rPr>
              <w:t>9</w:t>
            </w:r>
            <w:r>
              <w:rPr>
                <w:noProof/>
                <w:webHidden/>
              </w:rPr>
              <w:fldChar w:fldCharType="end"/>
            </w:r>
          </w:hyperlink>
        </w:p>
        <w:p w14:paraId="365DBA56" w14:textId="1ADE2935" w:rsidR="0030627C" w:rsidRDefault="0030627C">
          <w:pPr>
            <w:pStyle w:val="TOC2"/>
            <w:tabs>
              <w:tab w:val="right" w:leader="dot" w:pos="9010"/>
            </w:tabs>
            <w:rPr>
              <w:rFonts w:eastAsiaTheme="minorEastAsia"/>
              <w:smallCaps w:val="0"/>
              <w:noProof/>
              <w:sz w:val="24"/>
              <w:szCs w:val="24"/>
              <w:lang w:eastAsia="en-GB"/>
            </w:rPr>
          </w:pPr>
          <w:hyperlink w:anchor="_Toc83646409" w:history="1">
            <w:r w:rsidRPr="00D037A3">
              <w:rPr>
                <w:rStyle w:val="Hyperlink"/>
                <w:noProof/>
              </w:rPr>
              <w:t>2.1: Reflexivity</w:t>
            </w:r>
            <w:r>
              <w:rPr>
                <w:noProof/>
                <w:webHidden/>
              </w:rPr>
              <w:tab/>
            </w:r>
            <w:r>
              <w:rPr>
                <w:noProof/>
                <w:webHidden/>
              </w:rPr>
              <w:fldChar w:fldCharType="begin"/>
            </w:r>
            <w:r>
              <w:rPr>
                <w:noProof/>
                <w:webHidden/>
              </w:rPr>
              <w:instrText xml:space="preserve"> PAGEREF _Toc83646409 \h </w:instrText>
            </w:r>
            <w:r>
              <w:rPr>
                <w:noProof/>
                <w:webHidden/>
              </w:rPr>
            </w:r>
            <w:r>
              <w:rPr>
                <w:noProof/>
                <w:webHidden/>
              </w:rPr>
              <w:fldChar w:fldCharType="separate"/>
            </w:r>
            <w:r>
              <w:rPr>
                <w:noProof/>
                <w:webHidden/>
              </w:rPr>
              <w:t>10</w:t>
            </w:r>
            <w:r>
              <w:rPr>
                <w:noProof/>
                <w:webHidden/>
              </w:rPr>
              <w:fldChar w:fldCharType="end"/>
            </w:r>
          </w:hyperlink>
        </w:p>
        <w:p w14:paraId="44C24B43" w14:textId="7DB2874A" w:rsidR="0030627C" w:rsidRDefault="0030627C">
          <w:pPr>
            <w:pStyle w:val="TOC2"/>
            <w:tabs>
              <w:tab w:val="right" w:leader="dot" w:pos="9010"/>
            </w:tabs>
            <w:rPr>
              <w:rFonts w:eastAsiaTheme="minorEastAsia"/>
              <w:smallCaps w:val="0"/>
              <w:noProof/>
              <w:sz w:val="24"/>
              <w:szCs w:val="24"/>
              <w:lang w:eastAsia="en-GB"/>
            </w:rPr>
          </w:pPr>
          <w:hyperlink w:anchor="_Toc83646410" w:history="1">
            <w:r w:rsidRPr="00D037A3">
              <w:rPr>
                <w:rStyle w:val="Hyperlink"/>
                <w:noProof/>
              </w:rPr>
              <w:t>2.2: Translation Issues</w:t>
            </w:r>
            <w:r>
              <w:rPr>
                <w:noProof/>
                <w:webHidden/>
              </w:rPr>
              <w:tab/>
            </w:r>
            <w:r>
              <w:rPr>
                <w:noProof/>
                <w:webHidden/>
              </w:rPr>
              <w:fldChar w:fldCharType="begin"/>
            </w:r>
            <w:r>
              <w:rPr>
                <w:noProof/>
                <w:webHidden/>
              </w:rPr>
              <w:instrText xml:space="preserve"> PAGEREF _Toc83646410 \h </w:instrText>
            </w:r>
            <w:r>
              <w:rPr>
                <w:noProof/>
                <w:webHidden/>
              </w:rPr>
            </w:r>
            <w:r>
              <w:rPr>
                <w:noProof/>
                <w:webHidden/>
              </w:rPr>
              <w:fldChar w:fldCharType="separate"/>
            </w:r>
            <w:r>
              <w:rPr>
                <w:noProof/>
                <w:webHidden/>
              </w:rPr>
              <w:t>11</w:t>
            </w:r>
            <w:r>
              <w:rPr>
                <w:noProof/>
                <w:webHidden/>
              </w:rPr>
              <w:fldChar w:fldCharType="end"/>
            </w:r>
          </w:hyperlink>
        </w:p>
        <w:p w14:paraId="6CCE10E5" w14:textId="4A821B83" w:rsidR="0030627C" w:rsidRDefault="0030627C">
          <w:pPr>
            <w:pStyle w:val="TOC1"/>
            <w:tabs>
              <w:tab w:val="right" w:leader="dot" w:pos="9010"/>
            </w:tabs>
            <w:rPr>
              <w:rFonts w:eastAsiaTheme="minorEastAsia"/>
              <w:b w:val="0"/>
              <w:bCs w:val="0"/>
              <w:caps w:val="0"/>
              <w:noProof/>
              <w:sz w:val="24"/>
              <w:szCs w:val="24"/>
              <w:lang w:eastAsia="en-GB"/>
            </w:rPr>
          </w:pPr>
          <w:hyperlink w:anchor="_Toc83646411" w:history="1">
            <w:r w:rsidRPr="00D037A3">
              <w:rPr>
                <w:rStyle w:val="Hyperlink"/>
                <w:noProof/>
              </w:rPr>
              <w:t>Chapter 3: Astrology</w:t>
            </w:r>
            <w:r>
              <w:rPr>
                <w:noProof/>
                <w:webHidden/>
              </w:rPr>
              <w:tab/>
            </w:r>
            <w:r>
              <w:rPr>
                <w:noProof/>
                <w:webHidden/>
              </w:rPr>
              <w:fldChar w:fldCharType="begin"/>
            </w:r>
            <w:r>
              <w:rPr>
                <w:noProof/>
                <w:webHidden/>
              </w:rPr>
              <w:instrText xml:space="preserve"> PAGEREF _Toc83646411 \h </w:instrText>
            </w:r>
            <w:r>
              <w:rPr>
                <w:noProof/>
                <w:webHidden/>
              </w:rPr>
            </w:r>
            <w:r>
              <w:rPr>
                <w:noProof/>
                <w:webHidden/>
              </w:rPr>
              <w:fldChar w:fldCharType="separate"/>
            </w:r>
            <w:r>
              <w:rPr>
                <w:noProof/>
                <w:webHidden/>
              </w:rPr>
              <w:t>12</w:t>
            </w:r>
            <w:r>
              <w:rPr>
                <w:noProof/>
                <w:webHidden/>
              </w:rPr>
              <w:fldChar w:fldCharType="end"/>
            </w:r>
          </w:hyperlink>
        </w:p>
        <w:p w14:paraId="386B0CF0" w14:textId="2CFCFFC7" w:rsidR="0030627C" w:rsidRDefault="0030627C">
          <w:pPr>
            <w:pStyle w:val="TOC2"/>
            <w:tabs>
              <w:tab w:val="right" w:leader="dot" w:pos="9010"/>
            </w:tabs>
            <w:rPr>
              <w:rFonts w:eastAsiaTheme="minorEastAsia"/>
              <w:smallCaps w:val="0"/>
              <w:noProof/>
              <w:sz w:val="24"/>
              <w:szCs w:val="24"/>
              <w:lang w:eastAsia="en-GB"/>
            </w:rPr>
          </w:pPr>
          <w:hyperlink w:anchor="_Toc83646412" w:history="1">
            <w:r w:rsidRPr="00D037A3">
              <w:rPr>
                <w:rStyle w:val="Hyperlink"/>
                <w:noProof/>
              </w:rPr>
              <w:t>3.1: What is Astrology</w:t>
            </w:r>
            <w:r>
              <w:rPr>
                <w:noProof/>
                <w:webHidden/>
              </w:rPr>
              <w:tab/>
            </w:r>
            <w:r>
              <w:rPr>
                <w:noProof/>
                <w:webHidden/>
              </w:rPr>
              <w:fldChar w:fldCharType="begin"/>
            </w:r>
            <w:r>
              <w:rPr>
                <w:noProof/>
                <w:webHidden/>
              </w:rPr>
              <w:instrText xml:space="preserve"> PAGEREF _Toc83646412 \h </w:instrText>
            </w:r>
            <w:r>
              <w:rPr>
                <w:noProof/>
                <w:webHidden/>
              </w:rPr>
            </w:r>
            <w:r>
              <w:rPr>
                <w:noProof/>
                <w:webHidden/>
              </w:rPr>
              <w:fldChar w:fldCharType="separate"/>
            </w:r>
            <w:r>
              <w:rPr>
                <w:noProof/>
                <w:webHidden/>
              </w:rPr>
              <w:t>12</w:t>
            </w:r>
            <w:r>
              <w:rPr>
                <w:noProof/>
                <w:webHidden/>
              </w:rPr>
              <w:fldChar w:fldCharType="end"/>
            </w:r>
          </w:hyperlink>
        </w:p>
        <w:p w14:paraId="7DDC34D1" w14:textId="5557FAF7" w:rsidR="0030627C" w:rsidRDefault="0030627C">
          <w:pPr>
            <w:pStyle w:val="TOC2"/>
            <w:tabs>
              <w:tab w:val="right" w:leader="dot" w:pos="9010"/>
            </w:tabs>
            <w:rPr>
              <w:rFonts w:eastAsiaTheme="minorEastAsia"/>
              <w:smallCaps w:val="0"/>
              <w:noProof/>
              <w:sz w:val="24"/>
              <w:szCs w:val="24"/>
              <w:lang w:eastAsia="en-GB"/>
            </w:rPr>
          </w:pPr>
          <w:hyperlink w:anchor="_Toc83646413" w:history="1">
            <w:r w:rsidRPr="00D037A3">
              <w:rPr>
                <w:rStyle w:val="Hyperlink"/>
                <w:noProof/>
              </w:rPr>
              <w:t>3.2: Astronomical Considerations</w:t>
            </w:r>
            <w:r>
              <w:rPr>
                <w:noProof/>
                <w:webHidden/>
              </w:rPr>
              <w:tab/>
            </w:r>
            <w:r>
              <w:rPr>
                <w:noProof/>
                <w:webHidden/>
              </w:rPr>
              <w:fldChar w:fldCharType="begin"/>
            </w:r>
            <w:r>
              <w:rPr>
                <w:noProof/>
                <w:webHidden/>
              </w:rPr>
              <w:instrText xml:space="preserve"> PAGEREF _Toc83646413 \h </w:instrText>
            </w:r>
            <w:r>
              <w:rPr>
                <w:noProof/>
                <w:webHidden/>
              </w:rPr>
            </w:r>
            <w:r>
              <w:rPr>
                <w:noProof/>
                <w:webHidden/>
              </w:rPr>
              <w:fldChar w:fldCharType="separate"/>
            </w:r>
            <w:r>
              <w:rPr>
                <w:noProof/>
                <w:webHidden/>
              </w:rPr>
              <w:t>12</w:t>
            </w:r>
            <w:r>
              <w:rPr>
                <w:noProof/>
                <w:webHidden/>
              </w:rPr>
              <w:fldChar w:fldCharType="end"/>
            </w:r>
          </w:hyperlink>
        </w:p>
        <w:p w14:paraId="03E329C5" w14:textId="4D9F870B" w:rsidR="0030627C" w:rsidRDefault="0030627C">
          <w:pPr>
            <w:pStyle w:val="TOC2"/>
            <w:tabs>
              <w:tab w:val="right" w:leader="dot" w:pos="9010"/>
            </w:tabs>
            <w:rPr>
              <w:rFonts w:eastAsiaTheme="minorEastAsia"/>
              <w:smallCaps w:val="0"/>
              <w:noProof/>
              <w:sz w:val="24"/>
              <w:szCs w:val="24"/>
              <w:lang w:eastAsia="en-GB"/>
            </w:rPr>
          </w:pPr>
          <w:hyperlink w:anchor="_Toc83646414" w:history="1">
            <w:r w:rsidRPr="00D037A3">
              <w:rPr>
                <w:rStyle w:val="Hyperlink"/>
                <w:noProof/>
              </w:rPr>
              <w:t>3.3: Defining ‘Horoscope’</w:t>
            </w:r>
            <w:r>
              <w:rPr>
                <w:noProof/>
                <w:webHidden/>
              </w:rPr>
              <w:tab/>
            </w:r>
            <w:r>
              <w:rPr>
                <w:noProof/>
                <w:webHidden/>
              </w:rPr>
              <w:fldChar w:fldCharType="begin"/>
            </w:r>
            <w:r>
              <w:rPr>
                <w:noProof/>
                <w:webHidden/>
              </w:rPr>
              <w:instrText xml:space="preserve"> PAGEREF _Toc83646414 \h </w:instrText>
            </w:r>
            <w:r>
              <w:rPr>
                <w:noProof/>
                <w:webHidden/>
              </w:rPr>
            </w:r>
            <w:r>
              <w:rPr>
                <w:noProof/>
                <w:webHidden/>
              </w:rPr>
              <w:fldChar w:fldCharType="separate"/>
            </w:r>
            <w:r>
              <w:rPr>
                <w:noProof/>
                <w:webHidden/>
              </w:rPr>
              <w:t>13</w:t>
            </w:r>
            <w:r>
              <w:rPr>
                <w:noProof/>
                <w:webHidden/>
              </w:rPr>
              <w:fldChar w:fldCharType="end"/>
            </w:r>
          </w:hyperlink>
        </w:p>
        <w:p w14:paraId="3CC61726" w14:textId="06BBE584" w:rsidR="0030627C" w:rsidRDefault="0030627C">
          <w:pPr>
            <w:pStyle w:val="TOC2"/>
            <w:tabs>
              <w:tab w:val="right" w:leader="dot" w:pos="9010"/>
            </w:tabs>
            <w:rPr>
              <w:rFonts w:eastAsiaTheme="minorEastAsia"/>
              <w:smallCaps w:val="0"/>
              <w:noProof/>
              <w:sz w:val="24"/>
              <w:szCs w:val="24"/>
              <w:lang w:eastAsia="en-GB"/>
            </w:rPr>
          </w:pPr>
          <w:hyperlink w:anchor="_Toc83646415" w:history="1">
            <w:r w:rsidRPr="00D037A3">
              <w:rPr>
                <w:rStyle w:val="Hyperlink"/>
                <w:noProof/>
              </w:rPr>
              <w:t>3.4: The Four Angles</w:t>
            </w:r>
            <w:r>
              <w:rPr>
                <w:noProof/>
                <w:webHidden/>
              </w:rPr>
              <w:tab/>
            </w:r>
            <w:r>
              <w:rPr>
                <w:noProof/>
                <w:webHidden/>
              </w:rPr>
              <w:fldChar w:fldCharType="begin"/>
            </w:r>
            <w:r>
              <w:rPr>
                <w:noProof/>
                <w:webHidden/>
              </w:rPr>
              <w:instrText xml:space="preserve"> PAGEREF _Toc83646415 \h </w:instrText>
            </w:r>
            <w:r>
              <w:rPr>
                <w:noProof/>
                <w:webHidden/>
              </w:rPr>
            </w:r>
            <w:r>
              <w:rPr>
                <w:noProof/>
                <w:webHidden/>
              </w:rPr>
              <w:fldChar w:fldCharType="separate"/>
            </w:r>
            <w:r>
              <w:rPr>
                <w:noProof/>
                <w:webHidden/>
              </w:rPr>
              <w:t>13</w:t>
            </w:r>
            <w:r>
              <w:rPr>
                <w:noProof/>
                <w:webHidden/>
              </w:rPr>
              <w:fldChar w:fldCharType="end"/>
            </w:r>
          </w:hyperlink>
        </w:p>
        <w:p w14:paraId="1672E992" w14:textId="4F4DB3EF" w:rsidR="0030627C" w:rsidRDefault="0030627C">
          <w:pPr>
            <w:pStyle w:val="TOC2"/>
            <w:tabs>
              <w:tab w:val="right" w:leader="dot" w:pos="9010"/>
            </w:tabs>
            <w:rPr>
              <w:rFonts w:eastAsiaTheme="minorEastAsia"/>
              <w:smallCaps w:val="0"/>
              <w:noProof/>
              <w:sz w:val="24"/>
              <w:szCs w:val="24"/>
              <w:lang w:eastAsia="en-GB"/>
            </w:rPr>
          </w:pPr>
          <w:hyperlink w:anchor="_Toc83646416" w:history="1">
            <w:r w:rsidRPr="00D037A3">
              <w:rPr>
                <w:rStyle w:val="Hyperlink"/>
                <w:noProof/>
              </w:rPr>
              <w:t>3.5: House Systems</w:t>
            </w:r>
            <w:r>
              <w:rPr>
                <w:noProof/>
                <w:webHidden/>
              </w:rPr>
              <w:tab/>
            </w:r>
            <w:r>
              <w:rPr>
                <w:noProof/>
                <w:webHidden/>
              </w:rPr>
              <w:fldChar w:fldCharType="begin"/>
            </w:r>
            <w:r>
              <w:rPr>
                <w:noProof/>
                <w:webHidden/>
              </w:rPr>
              <w:instrText xml:space="preserve"> PAGEREF _Toc83646416 \h </w:instrText>
            </w:r>
            <w:r>
              <w:rPr>
                <w:noProof/>
                <w:webHidden/>
              </w:rPr>
            </w:r>
            <w:r>
              <w:rPr>
                <w:noProof/>
                <w:webHidden/>
              </w:rPr>
              <w:fldChar w:fldCharType="separate"/>
            </w:r>
            <w:r>
              <w:rPr>
                <w:noProof/>
                <w:webHidden/>
              </w:rPr>
              <w:t>14</w:t>
            </w:r>
            <w:r>
              <w:rPr>
                <w:noProof/>
                <w:webHidden/>
              </w:rPr>
              <w:fldChar w:fldCharType="end"/>
            </w:r>
          </w:hyperlink>
        </w:p>
        <w:p w14:paraId="51773492" w14:textId="2DED11A9" w:rsidR="0030627C" w:rsidRDefault="0030627C">
          <w:pPr>
            <w:pStyle w:val="TOC3"/>
            <w:tabs>
              <w:tab w:val="right" w:leader="dot" w:pos="9010"/>
            </w:tabs>
            <w:rPr>
              <w:rFonts w:eastAsiaTheme="minorEastAsia"/>
              <w:i w:val="0"/>
              <w:iCs w:val="0"/>
              <w:noProof/>
              <w:sz w:val="24"/>
              <w:szCs w:val="24"/>
              <w:lang w:eastAsia="en-GB"/>
            </w:rPr>
          </w:pPr>
          <w:hyperlink w:anchor="_Toc83646417" w:history="1">
            <w:r w:rsidRPr="00D037A3">
              <w:rPr>
                <w:rStyle w:val="Hyperlink"/>
                <w:noProof/>
              </w:rPr>
              <w:t>3.5.1: Whole Sign Houses</w:t>
            </w:r>
            <w:r>
              <w:rPr>
                <w:noProof/>
                <w:webHidden/>
              </w:rPr>
              <w:tab/>
            </w:r>
            <w:r>
              <w:rPr>
                <w:noProof/>
                <w:webHidden/>
              </w:rPr>
              <w:fldChar w:fldCharType="begin"/>
            </w:r>
            <w:r>
              <w:rPr>
                <w:noProof/>
                <w:webHidden/>
              </w:rPr>
              <w:instrText xml:space="preserve"> PAGEREF _Toc83646417 \h </w:instrText>
            </w:r>
            <w:r>
              <w:rPr>
                <w:noProof/>
                <w:webHidden/>
              </w:rPr>
            </w:r>
            <w:r>
              <w:rPr>
                <w:noProof/>
                <w:webHidden/>
              </w:rPr>
              <w:fldChar w:fldCharType="separate"/>
            </w:r>
            <w:r>
              <w:rPr>
                <w:noProof/>
                <w:webHidden/>
              </w:rPr>
              <w:t>14</w:t>
            </w:r>
            <w:r>
              <w:rPr>
                <w:noProof/>
                <w:webHidden/>
              </w:rPr>
              <w:fldChar w:fldCharType="end"/>
            </w:r>
          </w:hyperlink>
        </w:p>
        <w:p w14:paraId="65289729" w14:textId="7A79FFAF" w:rsidR="0030627C" w:rsidRDefault="0030627C">
          <w:pPr>
            <w:pStyle w:val="TOC3"/>
            <w:tabs>
              <w:tab w:val="right" w:leader="dot" w:pos="9010"/>
            </w:tabs>
            <w:rPr>
              <w:rFonts w:eastAsiaTheme="minorEastAsia"/>
              <w:i w:val="0"/>
              <w:iCs w:val="0"/>
              <w:noProof/>
              <w:sz w:val="24"/>
              <w:szCs w:val="24"/>
              <w:lang w:eastAsia="en-GB"/>
            </w:rPr>
          </w:pPr>
          <w:hyperlink w:anchor="_Toc83646418" w:history="1">
            <w:r w:rsidRPr="00D037A3">
              <w:rPr>
                <w:rStyle w:val="Hyperlink"/>
                <w:noProof/>
              </w:rPr>
              <w:t>3.5.2: Equal Houses</w:t>
            </w:r>
            <w:r>
              <w:rPr>
                <w:noProof/>
                <w:webHidden/>
              </w:rPr>
              <w:tab/>
            </w:r>
            <w:r>
              <w:rPr>
                <w:noProof/>
                <w:webHidden/>
              </w:rPr>
              <w:fldChar w:fldCharType="begin"/>
            </w:r>
            <w:r>
              <w:rPr>
                <w:noProof/>
                <w:webHidden/>
              </w:rPr>
              <w:instrText xml:space="preserve"> PAGEREF _Toc83646418 \h </w:instrText>
            </w:r>
            <w:r>
              <w:rPr>
                <w:noProof/>
                <w:webHidden/>
              </w:rPr>
            </w:r>
            <w:r>
              <w:rPr>
                <w:noProof/>
                <w:webHidden/>
              </w:rPr>
              <w:fldChar w:fldCharType="separate"/>
            </w:r>
            <w:r>
              <w:rPr>
                <w:noProof/>
                <w:webHidden/>
              </w:rPr>
              <w:t>14</w:t>
            </w:r>
            <w:r>
              <w:rPr>
                <w:noProof/>
                <w:webHidden/>
              </w:rPr>
              <w:fldChar w:fldCharType="end"/>
            </w:r>
          </w:hyperlink>
        </w:p>
        <w:p w14:paraId="613BDCBB" w14:textId="175583DE" w:rsidR="0030627C" w:rsidRDefault="0030627C">
          <w:pPr>
            <w:pStyle w:val="TOC3"/>
            <w:tabs>
              <w:tab w:val="right" w:leader="dot" w:pos="9010"/>
            </w:tabs>
            <w:rPr>
              <w:rFonts w:eastAsiaTheme="minorEastAsia"/>
              <w:i w:val="0"/>
              <w:iCs w:val="0"/>
              <w:noProof/>
              <w:sz w:val="24"/>
              <w:szCs w:val="24"/>
              <w:lang w:eastAsia="en-GB"/>
            </w:rPr>
          </w:pPr>
          <w:hyperlink w:anchor="_Toc83646419" w:history="1">
            <w:r w:rsidRPr="00D037A3">
              <w:rPr>
                <w:rStyle w:val="Hyperlink"/>
                <w:noProof/>
              </w:rPr>
              <w:t>3.5.3: Porphyry Houses</w:t>
            </w:r>
            <w:r>
              <w:rPr>
                <w:noProof/>
                <w:webHidden/>
              </w:rPr>
              <w:tab/>
            </w:r>
            <w:r>
              <w:rPr>
                <w:noProof/>
                <w:webHidden/>
              </w:rPr>
              <w:fldChar w:fldCharType="begin"/>
            </w:r>
            <w:r>
              <w:rPr>
                <w:noProof/>
                <w:webHidden/>
              </w:rPr>
              <w:instrText xml:space="preserve"> PAGEREF _Toc83646419 \h </w:instrText>
            </w:r>
            <w:r>
              <w:rPr>
                <w:noProof/>
                <w:webHidden/>
              </w:rPr>
            </w:r>
            <w:r>
              <w:rPr>
                <w:noProof/>
                <w:webHidden/>
              </w:rPr>
              <w:fldChar w:fldCharType="separate"/>
            </w:r>
            <w:r>
              <w:rPr>
                <w:noProof/>
                <w:webHidden/>
              </w:rPr>
              <w:t>15</w:t>
            </w:r>
            <w:r>
              <w:rPr>
                <w:noProof/>
                <w:webHidden/>
              </w:rPr>
              <w:fldChar w:fldCharType="end"/>
            </w:r>
          </w:hyperlink>
        </w:p>
        <w:p w14:paraId="508FCDCC" w14:textId="306CE375" w:rsidR="0030627C" w:rsidRDefault="0030627C">
          <w:pPr>
            <w:pStyle w:val="TOC3"/>
            <w:tabs>
              <w:tab w:val="right" w:leader="dot" w:pos="9010"/>
            </w:tabs>
            <w:rPr>
              <w:rFonts w:eastAsiaTheme="minorEastAsia"/>
              <w:i w:val="0"/>
              <w:iCs w:val="0"/>
              <w:noProof/>
              <w:sz w:val="24"/>
              <w:szCs w:val="24"/>
              <w:lang w:eastAsia="en-GB"/>
            </w:rPr>
          </w:pPr>
          <w:hyperlink w:anchor="_Toc83646420" w:history="1">
            <w:r w:rsidRPr="00D037A3">
              <w:rPr>
                <w:rStyle w:val="Hyperlink"/>
                <w:noProof/>
              </w:rPr>
              <w:t>3.5.4: Campanus Houses</w:t>
            </w:r>
            <w:r>
              <w:rPr>
                <w:noProof/>
                <w:webHidden/>
              </w:rPr>
              <w:tab/>
            </w:r>
            <w:r>
              <w:rPr>
                <w:noProof/>
                <w:webHidden/>
              </w:rPr>
              <w:fldChar w:fldCharType="begin"/>
            </w:r>
            <w:r>
              <w:rPr>
                <w:noProof/>
                <w:webHidden/>
              </w:rPr>
              <w:instrText xml:space="preserve"> PAGEREF _Toc83646420 \h </w:instrText>
            </w:r>
            <w:r>
              <w:rPr>
                <w:noProof/>
                <w:webHidden/>
              </w:rPr>
            </w:r>
            <w:r>
              <w:rPr>
                <w:noProof/>
                <w:webHidden/>
              </w:rPr>
              <w:fldChar w:fldCharType="separate"/>
            </w:r>
            <w:r>
              <w:rPr>
                <w:noProof/>
                <w:webHidden/>
              </w:rPr>
              <w:t>15</w:t>
            </w:r>
            <w:r>
              <w:rPr>
                <w:noProof/>
                <w:webHidden/>
              </w:rPr>
              <w:fldChar w:fldCharType="end"/>
            </w:r>
          </w:hyperlink>
        </w:p>
        <w:p w14:paraId="37D6D91C" w14:textId="76FCD289" w:rsidR="0030627C" w:rsidRDefault="0030627C">
          <w:pPr>
            <w:pStyle w:val="TOC1"/>
            <w:tabs>
              <w:tab w:val="right" w:leader="dot" w:pos="9010"/>
            </w:tabs>
            <w:rPr>
              <w:rFonts w:eastAsiaTheme="minorEastAsia"/>
              <w:b w:val="0"/>
              <w:bCs w:val="0"/>
              <w:caps w:val="0"/>
              <w:noProof/>
              <w:sz w:val="24"/>
              <w:szCs w:val="24"/>
              <w:lang w:eastAsia="en-GB"/>
            </w:rPr>
          </w:pPr>
          <w:hyperlink w:anchor="_Toc83646421" w:history="1">
            <w:r w:rsidRPr="00D037A3">
              <w:rPr>
                <w:rStyle w:val="Hyperlink"/>
                <w:noProof/>
              </w:rPr>
              <w:t>Chapter 4: Literary Review</w:t>
            </w:r>
            <w:r>
              <w:rPr>
                <w:noProof/>
                <w:webHidden/>
              </w:rPr>
              <w:tab/>
            </w:r>
            <w:r>
              <w:rPr>
                <w:noProof/>
                <w:webHidden/>
              </w:rPr>
              <w:fldChar w:fldCharType="begin"/>
            </w:r>
            <w:r>
              <w:rPr>
                <w:noProof/>
                <w:webHidden/>
              </w:rPr>
              <w:instrText xml:space="preserve"> PAGEREF _Toc83646421 \h </w:instrText>
            </w:r>
            <w:r>
              <w:rPr>
                <w:noProof/>
                <w:webHidden/>
              </w:rPr>
            </w:r>
            <w:r>
              <w:rPr>
                <w:noProof/>
                <w:webHidden/>
              </w:rPr>
              <w:fldChar w:fldCharType="separate"/>
            </w:r>
            <w:r>
              <w:rPr>
                <w:noProof/>
                <w:webHidden/>
              </w:rPr>
              <w:t>15</w:t>
            </w:r>
            <w:r>
              <w:rPr>
                <w:noProof/>
                <w:webHidden/>
              </w:rPr>
              <w:fldChar w:fldCharType="end"/>
            </w:r>
          </w:hyperlink>
        </w:p>
        <w:p w14:paraId="4853E462" w14:textId="54FA6CFC" w:rsidR="0030627C" w:rsidRDefault="0030627C">
          <w:pPr>
            <w:pStyle w:val="TOC2"/>
            <w:tabs>
              <w:tab w:val="right" w:leader="dot" w:pos="9010"/>
            </w:tabs>
            <w:rPr>
              <w:rFonts w:eastAsiaTheme="minorEastAsia"/>
              <w:smallCaps w:val="0"/>
              <w:noProof/>
              <w:sz w:val="24"/>
              <w:szCs w:val="24"/>
              <w:lang w:eastAsia="en-GB"/>
            </w:rPr>
          </w:pPr>
          <w:hyperlink w:anchor="_Toc83646422" w:history="1">
            <w:r w:rsidRPr="00D037A3">
              <w:rPr>
                <w:rStyle w:val="Hyperlink"/>
                <w:noProof/>
              </w:rPr>
              <w:t>4.1: Historiography</w:t>
            </w:r>
            <w:r>
              <w:rPr>
                <w:noProof/>
                <w:webHidden/>
              </w:rPr>
              <w:tab/>
            </w:r>
            <w:r>
              <w:rPr>
                <w:noProof/>
                <w:webHidden/>
              </w:rPr>
              <w:fldChar w:fldCharType="begin"/>
            </w:r>
            <w:r>
              <w:rPr>
                <w:noProof/>
                <w:webHidden/>
              </w:rPr>
              <w:instrText xml:space="preserve"> PAGEREF _Toc83646422 \h </w:instrText>
            </w:r>
            <w:r>
              <w:rPr>
                <w:noProof/>
                <w:webHidden/>
              </w:rPr>
            </w:r>
            <w:r>
              <w:rPr>
                <w:noProof/>
                <w:webHidden/>
              </w:rPr>
              <w:fldChar w:fldCharType="separate"/>
            </w:r>
            <w:r>
              <w:rPr>
                <w:noProof/>
                <w:webHidden/>
              </w:rPr>
              <w:t>15</w:t>
            </w:r>
            <w:r>
              <w:rPr>
                <w:noProof/>
                <w:webHidden/>
              </w:rPr>
              <w:fldChar w:fldCharType="end"/>
            </w:r>
          </w:hyperlink>
        </w:p>
        <w:p w14:paraId="556D5BF1" w14:textId="7213CE60" w:rsidR="0030627C" w:rsidRDefault="0030627C">
          <w:pPr>
            <w:pStyle w:val="TOC3"/>
            <w:tabs>
              <w:tab w:val="right" w:leader="dot" w:pos="9010"/>
            </w:tabs>
            <w:rPr>
              <w:rFonts w:eastAsiaTheme="minorEastAsia"/>
              <w:i w:val="0"/>
              <w:iCs w:val="0"/>
              <w:noProof/>
              <w:sz w:val="24"/>
              <w:szCs w:val="24"/>
              <w:lang w:eastAsia="en-GB"/>
            </w:rPr>
          </w:pPr>
          <w:hyperlink w:anchor="_Toc83646423" w:history="1">
            <w:r w:rsidRPr="00D037A3">
              <w:rPr>
                <w:rStyle w:val="Hyperlink"/>
                <w:noProof/>
              </w:rPr>
              <w:t>4.1.1: Modernism and Postmodernism</w:t>
            </w:r>
            <w:r>
              <w:rPr>
                <w:noProof/>
                <w:webHidden/>
              </w:rPr>
              <w:tab/>
            </w:r>
            <w:r>
              <w:rPr>
                <w:noProof/>
                <w:webHidden/>
              </w:rPr>
              <w:fldChar w:fldCharType="begin"/>
            </w:r>
            <w:r>
              <w:rPr>
                <w:noProof/>
                <w:webHidden/>
              </w:rPr>
              <w:instrText xml:space="preserve"> PAGEREF _Toc83646423 \h </w:instrText>
            </w:r>
            <w:r>
              <w:rPr>
                <w:noProof/>
                <w:webHidden/>
              </w:rPr>
            </w:r>
            <w:r>
              <w:rPr>
                <w:noProof/>
                <w:webHidden/>
              </w:rPr>
              <w:fldChar w:fldCharType="separate"/>
            </w:r>
            <w:r>
              <w:rPr>
                <w:noProof/>
                <w:webHidden/>
              </w:rPr>
              <w:t>15</w:t>
            </w:r>
            <w:r>
              <w:rPr>
                <w:noProof/>
                <w:webHidden/>
              </w:rPr>
              <w:fldChar w:fldCharType="end"/>
            </w:r>
          </w:hyperlink>
        </w:p>
        <w:p w14:paraId="5F6D0C4F" w14:textId="5C7D77B8" w:rsidR="0030627C" w:rsidRDefault="0030627C">
          <w:pPr>
            <w:pStyle w:val="TOC3"/>
            <w:tabs>
              <w:tab w:val="right" w:leader="dot" w:pos="9010"/>
            </w:tabs>
            <w:rPr>
              <w:rFonts w:eastAsiaTheme="minorEastAsia"/>
              <w:i w:val="0"/>
              <w:iCs w:val="0"/>
              <w:noProof/>
              <w:sz w:val="24"/>
              <w:szCs w:val="24"/>
              <w:lang w:eastAsia="en-GB"/>
            </w:rPr>
          </w:pPr>
          <w:hyperlink w:anchor="_Toc83646424" w:history="1">
            <w:r w:rsidRPr="00D037A3">
              <w:rPr>
                <w:rStyle w:val="Hyperlink"/>
                <w:noProof/>
              </w:rPr>
              <w:t>4.1.2: Invention vs Evolution</w:t>
            </w:r>
            <w:r>
              <w:rPr>
                <w:noProof/>
                <w:webHidden/>
              </w:rPr>
              <w:tab/>
            </w:r>
            <w:r>
              <w:rPr>
                <w:noProof/>
                <w:webHidden/>
              </w:rPr>
              <w:fldChar w:fldCharType="begin"/>
            </w:r>
            <w:r>
              <w:rPr>
                <w:noProof/>
                <w:webHidden/>
              </w:rPr>
              <w:instrText xml:space="preserve"> PAGEREF _Toc83646424 \h </w:instrText>
            </w:r>
            <w:r>
              <w:rPr>
                <w:noProof/>
                <w:webHidden/>
              </w:rPr>
            </w:r>
            <w:r>
              <w:rPr>
                <w:noProof/>
                <w:webHidden/>
              </w:rPr>
              <w:fldChar w:fldCharType="separate"/>
            </w:r>
            <w:r>
              <w:rPr>
                <w:noProof/>
                <w:webHidden/>
              </w:rPr>
              <w:t>16</w:t>
            </w:r>
            <w:r>
              <w:rPr>
                <w:noProof/>
                <w:webHidden/>
              </w:rPr>
              <w:fldChar w:fldCharType="end"/>
            </w:r>
          </w:hyperlink>
        </w:p>
        <w:p w14:paraId="757E11C8" w14:textId="02DE82A3" w:rsidR="0030627C" w:rsidRDefault="0030627C">
          <w:pPr>
            <w:pStyle w:val="TOC3"/>
            <w:tabs>
              <w:tab w:val="right" w:leader="dot" w:pos="9010"/>
            </w:tabs>
            <w:rPr>
              <w:rFonts w:eastAsiaTheme="minorEastAsia"/>
              <w:i w:val="0"/>
              <w:iCs w:val="0"/>
              <w:noProof/>
              <w:sz w:val="24"/>
              <w:szCs w:val="24"/>
              <w:lang w:eastAsia="en-GB"/>
            </w:rPr>
          </w:pPr>
          <w:hyperlink w:anchor="_Toc83646425" w:history="1">
            <w:r w:rsidRPr="00D037A3">
              <w:rPr>
                <w:rStyle w:val="Hyperlink"/>
                <w:noProof/>
              </w:rPr>
              <w:t>4.1.3: Interpreting Surviving Texts</w:t>
            </w:r>
            <w:r>
              <w:rPr>
                <w:noProof/>
                <w:webHidden/>
              </w:rPr>
              <w:tab/>
            </w:r>
            <w:r>
              <w:rPr>
                <w:noProof/>
                <w:webHidden/>
              </w:rPr>
              <w:fldChar w:fldCharType="begin"/>
            </w:r>
            <w:r>
              <w:rPr>
                <w:noProof/>
                <w:webHidden/>
              </w:rPr>
              <w:instrText xml:space="preserve"> PAGEREF _Toc83646425 \h </w:instrText>
            </w:r>
            <w:r>
              <w:rPr>
                <w:noProof/>
                <w:webHidden/>
              </w:rPr>
            </w:r>
            <w:r>
              <w:rPr>
                <w:noProof/>
                <w:webHidden/>
              </w:rPr>
              <w:fldChar w:fldCharType="separate"/>
            </w:r>
            <w:r>
              <w:rPr>
                <w:noProof/>
                <w:webHidden/>
              </w:rPr>
              <w:t>17</w:t>
            </w:r>
            <w:r>
              <w:rPr>
                <w:noProof/>
                <w:webHidden/>
              </w:rPr>
              <w:fldChar w:fldCharType="end"/>
            </w:r>
          </w:hyperlink>
        </w:p>
        <w:p w14:paraId="007D12C2" w14:textId="72929C97" w:rsidR="0030627C" w:rsidRDefault="0030627C">
          <w:pPr>
            <w:pStyle w:val="TOC3"/>
            <w:tabs>
              <w:tab w:val="right" w:leader="dot" w:pos="9010"/>
            </w:tabs>
            <w:rPr>
              <w:rFonts w:eastAsiaTheme="minorEastAsia"/>
              <w:i w:val="0"/>
              <w:iCs w:val="0"/>
              <w:noProof/>
              <w:sz w:val="24"/>
              <w:szCs w:val="24"/>
              <w:lang w:eastAsia="en-GB"/>
            </w:rPr>
          </w:pPr>
          <w:hyperlink w:anchor="_Toc83646426" w:history="1">
            <w:r w:rsidRPr="00D037A3">
              <w:rPr>
                <w:rStyle w:val="Hyperlink"/>
                <w:noProof/>
              </w:rPr>
              <w:t>4.1.4: Invented Tradition</w:t>
            </w:r>
            <w:r>
              <w:rPr>
                <w:noProof/>
                <w:webHidden/>
              </w:rPr>
              <w:tab/>
            </w:r>
            <w:r>
              <w:rPr>
                <w:noProof/>
                <w:webHidden/>
              </w:rPr>
              <w:fldChar w:fldCharType="begin"/>
            </w:r>
            <w:r>
              <w:rPr>
                <w:noProof/>
                <w:webHidden/>
              </w:rPr>
              <w:instrText xml:space="preserve"> PAGEREF _Toc83646426 \h </w:instrText>
            </w:r>
            <w:r>
              <w:rPr>
                <w:noProof/>
                <w:webHidden/>
              </w:rPr>
            </w:r>
            <w:r>
              <w:rPr>
                <w:noProof/>
                <w:webHidden/>
              </w:rPr>
              <w:fldChar w:fldCharType="separate"/>
            </w:r>
            <w:r>
              <w:rPr>
                <w:noProof/>
                <w:webHidden/>
              </w:rPr>
              <w:t>18</w:t>
            </w:r>
            <w:r>
              <w:rPr>
                <w:noProof/>
                <w:webHidden/>
              </w:rPr>
              <w:fldChar w:fldCharType="end"/>
            </w:r>
          </w:hyperlink>
        </w:p>
        <w:p w14:paraId="59453B92" w14:textId="32CB1A76" w:rsidR="0030627C" w:rsidRDefault="0030627C">
          <w:pPr>
            <w:pStyle w:val="TOC2"/>
            <w:tabs>
              <w:tab w:val="right" w:leader="dot" w:pos="9010"/>
            </w:tabs>
            <w:rPr>
              <w:rFonts w:eastAsiaTheme="minorEastAsia"/>
              <w:smallCaps w:val="0"/>
              <w:noProof/>
              <w:sz w:val="24"/>
              <w:szCs w:val="24"/>
              <w:lang w:eastAsia="en-GB"/>
            </w:rPr>
          </w:pPr>
          <w:hyperlink w:anchor="_Toc83646427" w:history="1">
            <w:r w:rsidRPr="00D037A3">
              <w:rPr>
                <w:rStyle w:val="Hyperlink"/>
                <w:noProof/>
              </w:rPr>
              <w:t>4.2: (Re)Discovering Whole Sign Houses</w:t>
            </w:r>
            <w:r>
              <w:rPr>
                <w:noProof/>
                <w:webHidden/>
              </w:rPr>
              <w:tab/>
            </w:r>
            <w:r>
              <w:rPr>
                <w:noProof/>
                <w:webHidden/>
              </w:rPr>
              <w:fldChar w:fldCharType="begin"/>
            </w:r>
            <w:r>
              <w:rPr>
                <w:noProof/>
                <w:webHidden/>
              </w:rPr>
              <w:instrText xml:space="preserve"> PAGEREF _Toc83646427 \h </w:instrText>
            </w:r>
            <w:r>
              <w:rPr>
                <w:noProof/>
                <w:webHidden/>
              </w:rPr>
            </w:r>
            <w:r>
              <w:rPr>
                <w:noProof/>
                <w:webHidden/>
              </w:rPr>
              <w:fldChar w:fldCharType="separate"/>
            </w:r>
            <w:r>
              <w:rPr>
                <w:noProof/>
                <w:webHidden/>
              </w:rPr>
              <w:t>19</w:t>
            </w:r>
            <w:r>
              <w:rPr>
                <w:noProof/>
                <w:webHidden/>
              </w:rPr>
              <w:fldChar w:fldCharType="end"/>
            </w:r>
          </w:hyperlink>
        </w:p>
        <w:p w14:paraId="500B387D" w14:textId="4174190E" w:rsidR="0030627C" w:rsidRDefault="0030627C">
          <w:pPr>
            <w:pStyle w:val="TOC3"/>
            <w:tabs>
              <w:tab w:val="right" w:leader="dot" w:pos="9010"/>
            </w:tabs>
            <w:rPr>
              <w:rFonts w:eastAsiaTheme="minorEastAsia"/>
              <w:i w:val="0"/>
              <w:iCs w:val="0"/>
              <w:noProof/>
              <w:sz w:val="24"/>
              <w:szCs w:val="24"/>
              <w:lang w:eastAsia="en-GB"/>
            </w:rPr>
          </w:pPr>
          <w:hyperlink w:anchor="_Toc83646428" w:history="1">
            <w:r w:rsidRPr="00D037A3">
              <w:rPr>
                <w:rStyle w:val="Hyperlink"/>
                <w:noProof/>
              </w:rPr>
              <w:t>4.2.1: A Forgotten System</w:t>
            </w:r>
            <w:r>
              <w:rPr>
                <w:noProof/>
                <w:webHidden/>
              </w:rPr>
              <w:tab/>
            </w:r>
            <w:r>
              <w:rPr>
                <w:noProof/>
                <w:webHidden/>
              </w:rPr>
              <w:fldChar w:fldCharType="begin"/>
            </w:r>
            <w:r>
              <w:rPr>
                <w:noProof/>
                <w:webHidden/>
              </w:rPr>
              <w:instrText xml:space="preserve"> PAGEREF _Toc83646428 \h </w:instrText>
            </w:r>
            <w:r>
              <w:rPr>
                <w:noProof/>
                <w:webHidden/>
              </w:rPr>
            </w:r>
            <w:r>
              <w:rPr>
                <w:noProof/>
                <w:webHidden/>
              </w:rPr>
              <w:fldChar w:fldCharType="separate"/>
            </w:r>
            <w:r>
              <w:rPr>
                <w:noProof/>
                <w:webHidden/>
              </w:rPr>
              <w:t>19</w:t>
            </w:r>
            <w:r>
              <w:rPr>
                <w:noProof/>
                <w:webHidden/>
              </w:rPr>
              <w:fldChar w:fldCharType="end"/>
            </w:r>
          </w:hyperlink>
        </w:p>
        <w:p w14:paraId="598300A8" w14:textId="1A0D1639" w:rsidR="0030627C" w:rsidRDefault="0030627C">
          <w:pPr>
            <w:pStyle w:val="TOC3"/>
            <w:tabs>
              <w:tab w:val="right" w:leader="dot" w:pos="9010"/>
            </w:tabs>
            <w:rPr>
              <w:rFonts w:eastAsiaTheme="minorEastAsia"/>
              <w:i w:val="0"/>
              <w:iCs w:val="0"/>
              <w:noProof/>
              <w:sz w:val="24"/>
              <w:szCs w:val="24"/>
              <w:lang w:eastAsia="en-GB"/>
            </w:rPr>
          </w:pPr>
          <w:hyperlink w:anchor="_Toc83646429" w:history="1">
            <w:r w:rsidRPr="00D037A3">
              <w:rPr>
                <w:rStyle w:val="Hyperlink"/>
                <w:noProof/>
              </w:rPr>
              <w:t>4.2.2: In Academia</w:t>
            </w:r>
            <w:r>
              <w:rPr>
                <w:noProof/>
                <w:webHidden/>
              </w:rPr>
              <w:tab/>
            </w:r>
            <w:r>
              <w:rPr>
                <w:noProof/>
                <w:webHidden/>
              </w:rPr>
              <w:fldChar w:fldCharType="begin"/>
            </w:r>
            <w:r>
              <w:rPr>
                <w:noProof/>
                <w:webHidden/>
              </w:rPr>
              <w:instrText xml:space="preserve"> PAGEREF _Toc83646429 \h </w:instrText>
            </w:r>
            <w:r>
              <w:rPr>
                <w:noProof/>
                <w:webHidden/>
              </w:rPr>
            </w:r>
            <w:r>
              <w:rPr>
                <w:noProof/>
                <w:webHidden/>
              </w:rPr>
              <w:fldChar w:fldCharType="separate"/>
            </w:r>
            <w:r>
              <w:rPr>
                <w:noProof/>
                <w:webHidden/>
              </w:rPr>
              <w:t>20</w:t>
            </w:r>
            <w:r>
              <w:rPr>
                <w:noProof/>
                <w:webHidden/>
              </w:rPr>
              <w:fldChar w:fldCharType="end"/>
            </w:r>
          </w:hyperlink>
        </w:p>
        <w:p w14:paraId="11BD006E" w14:textId="0F52EACC" w:rsidR="0030627C" w:rsidRDefault="0030627C">
          <w:pPr>
            <w:pStyle w:val="TOC3"/>
            <w:tabs>
              <w:tab w:val="right" w:leader="dot" w:pos="9010"/>
            </w:tabs>
            <w:rPr>
              <w:rFonts w:eastAsiaTheme="minorEastAsia"/>
              <w:i w:val="0"/>
              <w:iCs w:val="0"/>
              <w:noProof/>
              <w:sz w:val="24"/>
              <w:szCs w:val="24"/>
              <w:lang w:eastAsia="en-GB"/>
            </w:rPr>
          </w:pPr>
          <w:hyperlink w:anchor="_Toc83646430" w:history="1">
            <w:r w:rsidRPr="00D037A3">
              <w:rPr>
                <w:rStyle w:val="Hyperlink"/>
                <w:noProof/>
              </w:rPr>
              <w:t>4.2.3: Rediscovery</w:t>
            </w:r>
            <w:r>
              <w:rPr>
                <w:noProof/>
                <w:webHidden/>
              </w:rPr>
              <w:tab/>
            </w:r>
            <w:r>
              <w:rPr>
                <w:noProof/>
                <w:webHidden/>
              </w:rPr>
              <w:fldChar w:fldCharType="begin"/>
            </w:r>
            <w:r>
              <w:rPr>
                <w:noProof/>
                <w:webHidden/>
              </w:rPr>
              <w:instrText xml:space="preserve"> PAGEREF _Toc83646430 \h </w:instrText>
            </w:r>
            <w:r>
              <w:rPr>
                <w:noProof/>
                <w:webHidden/>
              </w:rPr>
            </w:r>
            <w:r>
              <w:rPr>
                <w:noProof/>
                <w:webHidden/>
              </w:rPr>
              <w:fldChar w:fldCharType="separate"/>
            </w:r>
            <w:r>
              <w:rPr>
                <w:noProof/>
                <w:webHidden/>
              </w:rPr>
              <w:t>20</w:t>
            </w:r>
            <w:r>
              <w:rPr>
                <w:noProof/>
                <w:webHidden/>
              </w:rPr>
              <w:fldChar w:fldCharType="end"/>
            </w:r>
          </w:hyperlink>
        </w:p>
        <w:p w14:paraId="1AC635CF" w14:textId="3E1EA4C0" w:rsidR="0030627C" w:rsidRDefault="0030627C">
          <w:pPr>
            <w:pStyle w:val="TOC3"/>
            <w:tabs>
              <w:tab w:val="right" w:leader="dot" w:pos="9010"/>
            </w:tabs>
            <w:rPr>
              <w:rFonts w:eastAsiaTheme="minorEastAsia"/>
              <w:i w:val="0"/>
              <w:iCs w:val="0"/>
              <w:noProof/>
              <w:sz w:val="24"/>
              <w:szCs w:val="24"/>
              <w:lang w:eastAsia="en-GB"/>
            </w:rPr>
          </w:pPr>
          <w:hyperlink w:anchor="_Toc83646431" w:history="1">
            <w:r w:rsidRPr="00D037A3">
              <w:rPr>
                <w:rStyle w:val="Hyperlink"/>
                <w:noProof/>
              </w:rPr>
              <w:t>4.2.4: Topics and Strength</w:t>
            </w:r>
            <w:r>
              <w:rPr>
                <w:noProof/>
                <w:webHidden/>
              </w:rPr>
              <w:tab/>
            </w:r>
            <w:r>
              <w:rPr>
                <w:noProof/>
                <w:webHidden/>
              </w:rPr>
              <w:fldChar w:fldCharType="begin"/>
            </w:r>
            <w:r>
              <w:rPr>
                <w:noProof/>
                <w:webHidden/>
              </w:rPr>
              <w:instrText xml:space="preserve"> PAGEREF _Toc83646431 \h </w:instrText>
            </w:r>
            <w:r>
              <w:rPr>
                <w:noProof/>
                <w:webHidden/>
              </w:rPr>
            </w:r>
            <w:r>
              <w:rPr>
                <w:noProof/>
                <w:webHidden/>
              </w:rPr>
              <w:fldChar w:fldCharType="separate"/>
            </w:r>
            <w:r>
              <w:rPr>
                <w:noProof/>
                <w:webHidden/>
              </w:rPr>
              <w:t>21</w:t>
            </w:r>
            <w:r>
              <w:rPr>
                <w:noProof/>
                <w:webHidden/>
              </w:rPr>
              <w:fldChar w:fldCharType="end"/>
            </w:r>
          </w:hyperlink>
        </w:p>
        <w:p w14:paraId="410B025E" w14:textId="0D14354B" w:rsidR="0030627C" w:rsidRDefault="0030627C">
          <w:pPr>
            <w:pStyle w:val="TOC3"/>
            <w:tabs>
              <w:tab w:val="right" w:leader="dot" w:pos="9010"/>
            </w:tabs>
            <w:rPr>
              <w:rFonts w:eastAsiaTheme="minorEastAsia"/>
              <w:i w:val="0"/>
              <w:iCs w:val="0"/>
              <w:noProof/>
              <w:sz w:val="24"/>
              <w:szCs w:val="24"/>
              <w:lang w:eastAsia="en-GB"/>
            </w:rPr>
          </w:pPr>
          <w:hyperlink w:anchor="_Toc83646432" w:history="1">
            <w:r w:rsidRPr="00D037A3">
              <w:rPr>
                <w:rStyle w:val="Hyperlink"/>
                <w:noProof/>
              </w:rPr>
              <w:t>4.2.5: Recent Debate</w:t>
            </w:r>
            <w:r>
              <w:rPr>
                <w:noProof/>
                <w:webHidden/>
              </w:rPr>
              <w:tab/>
            </w:r>
            <w:r>
              <w:rPr>
                <w:noProof/>
                <w:webHidden/>
              </w:rPr>
              <w:fldChar w:fldCharType="begin"/>
            </w:r>
            <w:r>
              <w:rPr>
                <w:noProof/>
                <w:webHidden/>
              </w:rPr>
              <w:instrText xml:space="preserve"> PAGEREF _Toc83646432 \h </w:instrText>
            </w:r>
            <w:r>
              <w:rPr>
                <w:noProof/>
                <w:webHidden/>
              </w:rPr>
            </w:r>
            <w:r>
              <w:rPr>
                <w:noProof/>
                <w:webHidden/>
              </w:rPr>
              <w:fldChar w:fldCharType="separate"/>
            </w:r>
            <w:r>
              <w:rPr>
                <w:noProof/>
                <w:webHidden/>
              </w:rPr>
              <w:t>22</w:t>
            </w:r>
            <w:r>
              <w:rPr>
                <w:noProof/>
                <w:webHidden/>
              </w:rPr>
              <w:fldChar w:fldCharType="end"/>
            </w:r>
          </w:hyperlink>
        </w:p>
        <w:p w14:paraId="5E66A484" w14:textId="40AD2065" w:rsidR="0030627C" w:rsidRDefault="0030627C">
          <w:pPr>
            <w:pStyle w:val="TOC2"/>
            <w:tabs>
              <w:tab w:val="right" w:leader="dot" w:pos="9010"/>
            </w:tabs>
            <w:rPr>
              <w:rFonts w:eastAsiaTheme="minorEastAsia"/>
              <w:smallCaps w:val="0"/>
              <w:noProof/>
              <w:sz w:val="24"/>
              <w:szCs w:val="24"/>
              <w:lang w:eastAsia="en-GB"/>
            </w:rPr>
          </w:pPr>
          <w:hyperlink w:anchor="_Toc83646433" w:history="1">
            <w:r w:rsidRPr="00D037A3">
              <w:rPr>
                <w:rStyle w:val="Hyperlink"/>
                <w:noProof/>
              </w:rPr>
              <w:t>4.3: House System Debate</w:t>
            </w:r>
            <w:r>
              <w:rPr>
                <w:noProof/>
                <w:webHidden/>
              </w:rPr>
              <w:tab/>
            </w:r>
            <w:r>
              <w:rPr>
                <w:noProof/>
                <w:webHidden/>
              </w:rPr>
              <w:fldChar w:fldCharType="begin"/>
            </w:r>
            <w:r>
              <w:rPr>
                <w:noProof/>
                <w:webHidden/>
              </w:rPr>
              <w:instrText xml:space="preserve"> PAGEREF _Toc83646433 \h </w:instrText>
            </w:r>
            <w:r>
              <w:rPr>
                <w:noProof/>
                <w:webHidden/>
              </w:rPr>
            </w:r>
            <w:r>
              <w:rPr>
                <w:noProof/>
                <w:webHidden/>
              </w:rPr>
              <w:fldChar w:fldCharType="separate"/>
            </w:r>
            <w:r>
              <w:rPr>
                <w:noProof/>
                <w:webHidden/>
              </w:rPr>
              <w:t>22</w:t>
            </w:r>
            <w:r>
              <w:rPr>
                <w:noProof/>
                <w:webHidden/>
              </w:rPr>
              <w:fldChar w:fldCharType="end"/>
            </w:r>
          </w:hyperlink>
        </w:p>
        <w:p w14:paraId="22C24A06" w14:textId="5D8ED1BA" w:rsidR="0030627C" w:rsidRDefault="0030627C">
          <w:pPr>
            <w:pStyle w:val="TOC2"/>
            <w:tabs>
              <w:tab w:val="right" w:leader="dot" w:pos="9010"/>
            </w:tabs>
            <w:rPr>
              <w:rFonts w:eastAsiaTheme="minorEastAsia"/>
              <w:smallCaps w:val="0"/>
              <w:noProof/>
              <w:sz w:val="24"/>
              <w:szCs w:val="24"/>
              <w:lang w:eastAsia="en-GB"/>
            </w:rPr>
          </w:pPr>
          <w:hyperlink w:anchor="_Toc83646434" w:history="1">
            <w:r w:rsidRPr="00D037A3">
              <w:rPr>
                <w:rStyle w:val="Hyperlink"/>
                <w:noProof/>
              </w:rPr>
              <w:t>4.4 Summation</w:t>
            </w:r>
            <w:r>
              <w:rPr>
                <w:noProof/>
                <w:webHidden/>
              </w:rPr>
              <w:tab/>
            </w:r>
            <w:r>
              <w:rPr>
                <w:noProof/>
                <w:webHidden/>
              </w:rPr>
              <w:fldChar w:fldCharType="begin"/>
            </w:r>
            <w:r>
              <w:rPr>
                <w:noProof/>
                <w:webHidden/>
              </w:rPr>
              <w:instrText xml:space="preserve"> PAGEREF _Toc83646434 \h </w:instrText>
            </w:r>
            <w:r>
              <w:rPr>
                <w:noProof/>
                <w:webHidden/>
              </w:rPr>
            </w:r>
            <w:r>
              <w:rPr>
                <w:noProof/>
                <w:webHidden/>
              </w:rPr>
              <w:fldChar w:fldCharType="separate"/>
            </w:r>
            <w:r>
              <w:rPr>
                <w:noProof/>
                <w:webHidden/>
              </w:rPr>
              <w:t>23</w:t>
            </w:r>
            <w:r>
              <w:rPr>
                <w:noProof/>
                <w:webHidden/>
              </w:rPr>
              <w:fldChar w:fldCharType="end"/>
            </w:r>
          </w:hyperlink>
        </w:p>
        <w:p w14:paraId="129E9B81" w14:textId="6CF38314" w:rsidR="0030627C" w:rsidRDefault="0030627C">
          <w:pPr>
            <w:pStyle w:val="TOC1"/>
            <w:tabs>
              <w:tab w:val="right" w:leader="dot" w:pos="9010"/>
            </w:tabs>
            <w:rPr>
              <w:rFonts w:eastAsiaTheme="minorEastAsia"/>
              <w:b w:val="0"/>
              <w:bCs w:val="0"/>
              <w:caps w:val="0"/>
              <w:noProof/>
              <w:sz w:val="24"/>
              <w:szCs w:val="24"/>
              <w:lang w:eastAsia="en-GB"/>
            </w:rPr>
          </w:pPr>
          <w:hyperlink w:anchor="_Toc83646435" w:history="1">
            <w:r w:rsidRPr="00D037A3">
              <w:rPr>
                <w:rStyle w:val="Hyperlink"/>
                <w:noProof/>
              </w:rPr>
              <w:t>Chapter 5: Ancient Astrological Calculation</w:t>
            </w:r>
            <w:r>
              <w:rPr>
                <w:noProof/>
                <w:webHidden/>
              </w:rPr>
              <w:tab/>
            </w:r>
            <w:r>
              <w:rPr>
                <w:noProof/>
                <w:webHidden/>
              </w:rPr>
              <w:fldChar w:fldCharType="begin"/>
            </w:r>
            <w:r>
              <w:rPr>
                <w:noProof/>
                <w:webHidden/>
              </w:rPr>
              <w:instrText xml:space="preserve"> PAGEREF _Toc83646435 \h </w:instrText>
            </w:r>
            <w:r>
              <w:rPr>
                <w:noProof/>
                <w:webHidden/>
              </w:rPr>
            </w:r>
            <w:r>
              <w:rPr>
                <w:noProof/>
                <w:webHidden/>
              </w:rPr>
              <w:fldChar w:fldCharType="separate"/>
            </w:r>
            <w:r>
              <w:rPr>
                <w:noProof/>
                <w:webHidden/>
              </w:rPr>
              <w:t>23</w:t>
            </w:r>
            <w:r>
              <w:rPr>
                <w:noProof/>
                <w:webHidden/>
              </w:rPr>
              <w:fldChar w:fldCharType="end"/>
            </w:r>
          </w:hyperlink>
        </w:p>
        <w:p w14:paraId="69C056BD" w14:textId="5F5F6D9B" w:rsidR="0030627C" w:rsidRDefault="0030627C">
          <w:pPr>
            <w:pStyle w:val="TOC2"/>
            <w:tabs>
              <w:tab w:val="right" w:leader="dot" w:pos="9010"/>
            </w:tabs>
            <w:rPr>
              <w:rFonts w:eastAsiaTheme="minorEastAsia"/>
              <w:smallCaps w:val="0"/>
              <w:noProof/>
              <w:sz w:val="24"/>
              <w:szCs w:val="24"/>
              <w:lang w:eastAsia="en-GB"/>
            </w:rPr>
          </w:pPr>
          <w:hyperlink w:anchor="_Toc83646436" w:history="1">
            <w:r w:rsidRPr="00D037A3">
              <w:rPr>
                <w:rStyle w:val="Hyperlink"/>
                <w:noProof/>
              </w:rPr>
              <w:t>5.1: Ascensional Times</w:t>
            </w:r>
            <w:r>
              <w:rPr>
                <w:noProof/>
                <w:webHidden/>
              </w:rPr>
              <w:tab/>
            </w:r>
            <w:r>
              <w:rPr>
                <w:noProof/>
                <w:webHidden/>
              </w:rPr>
              <w:fldChar w:fldCharType="begin"/>
            </w:r>
            <w:r>
              <w:rPr>
                <w:noProof/>
                <w:webHidden/>
              </w:rPr>
              <w:instrText xml:space="preserve"> PAGEREF _Toc83646436 \h </w:instrText>
            </w:r>
            <w:r>
              <w:rPr>
                <w:noProof/>
                <w:webHidden/>
              </w:rPr>
            </w:r>
            <w:r>
              <w:rPr>
                <w:noProof/>
                <w:webHidden/>
              </w:rPr>
              <w:fldChar w:fldCharType="separate"/>
            </w:r>
            <w:r>
              <w:rPr>
                <w:noProof/>
                <w:webHidden/>
              </w:rPr>
              <w:t>24</w:t>
            </w:r>
            <w:r>
              <w:rPr>
                <w:noProof/>
                <w:webHidden/>
              </w:rPr>
              <w:fldChar w:fldCharType="end"/>
            </w:r>
          </w:hyperlink>
        </w:p>
        <w:p w14:paraId="12CC7751" w14:textId="2E166BE4" w:rsidR="0030627C" w:rsidRDefault="0030627C">
          <w:pPr>
            <w:pStyle w:val="TOC2"/>
            <w:tabs>
              <w:tab w:val="right" w:leader="dot" w:pos="9010"/>
            </w:tabs>
            <w:rPr>
              <w:rFonts w:eastAsiaTheme="minorEastAsia"/>
              <w:smallCaps w:val="0"/>
              <w:noProof/>
              <w:sz w:val="24"/>
              <w:szCs w:val="24"/>
              <w:lang w:eastAsia="en-GB"/>
            </w:rPr>
          </w:pPr>
          <w:hyperlink w:anchor="_Toc83646437" w:history="1">
            <w:r w:rsidRPr="00D037A3">
              <w:rPr>
                <w:rStyle w:val="Hyperlink"/>
                <w:noProof/>
              </w:rPr>
              <w:t>5.2: Calculation</w:t>
            </w:r>
            <w:r>
              <w:rPr>
                <w:noProof/>
                <w:webHidden/>
              </w:rPr>
              <w:tab/>
            </w:r>
            <w:r>
              <w:rPr>
                <w:noProof/>
                <w:webHidden/>
              </w:rPr>
              <w:fldChar w:fldCharType="begin"/>
            </w:r>
            <w:r>
              <w:rPr>
                <w:noProof/>
                <w:webHidden/>
              </w:rPr>
              <w:instrText xml:space="preserve"> PAGEREF _Toc83646437 \h </w:instrText>
            </w:r>
            <w:r>
              <w:rPr>
                <w:noProof/>
                <w:webHidden/>
              </w:rPr>
            </w:r>
            <w:r>
              <w:rPr>
                <w:noProof/>
                <w:webHidden/>
              </w:rPr>
              <w:fldChar w:fldCharType="separate"/>
            </w:r>
            <w:r>
              <w:rPr>
                <w:noProof/>
                <w:webHidden/>
              </w:rPr>
              <w:t>25</w:t>
            </w:r>
            <w:r>
              <w:rPr>
                <w:noProof/>
                <w:webHidden/>
              </w:rPr>
              <w:fldChar w:fldCharType="end"/>
            </w:r>
          </w:hyperlink>
        </w:p>
        <w:p w14:paraId="490A0C0F" w14:textId="238D2A2D" w:rsidR="0030627C" w:rsidRDefault="0030627C">
          <w:pPr>
            <w:pStyle w:val="TOC3"/>
            <w:tabs>
              <w:tab w:val="right" w:leader="dot" w:pos="9010"/>
            </w:tabs>
            <w:rPr>
              <w:rFonts w:eastAsiaTheme="minorEastAsia"/>
              <w:i w:val="0"/>
              <w:iCs w:val="0"/>
              <w:noProof/>
              <w:sz w:val="24"/>
              <w:szCs w:val="24"/>
              <w:lang w:eastAsia="en-GB"/>
            </w:rPr>
          </w:pPr>
          <w:hyperlink w:anchor="_Toc83646438" w:history="1">
            <w:r w:rsidRPr="00D037A3">
              <w:rPr>
                <w:rStyle w:val="Hyperlink"/>
                <w:noProof/>
              </w:rPr>
              <w:t>5.2.1: Ascendant</w:t>
            </w:r>
            <w:r>
              <w:rPr>
                <w:noProof/>
                <w:webHidden/>
              </w:rPr>
              <w:tab/>
            </w:r>
            <w:r>
              <w:rPr>
                <w:noProof/>
                <w:webHidden/>
              </w:rPr>
              <w:fldChar w:fldCharType="begin"/>
            </w:r>
            <w:r>
              <w:rPr>
                <w:noProof/>
                <w:webHidden/>
              </w:rPr>
              <w:instrText xml:space="preserve"> PAGEREF _Toc83646438 \h </w:instrText>
            </w:r>
            <w:r>
              <w:rPr>
                <w:noProof/>
                <w:webHidden/>
              </w:rPr>
            </w:r>
            <w:r>
              <w:rPr>
                <w:noProof/>
                <w:webHidden/>
              </w:rPr>
              <w:fldChar w:fldCharType="separate"/>
            </w:r>
            <w:r>
              <w:rPr>
                <w:noProof/>
                <w:webHidden/>
              </w:rPr>
              <w:t>25</w:t>
            </w:r>
            <w:r>
              <w:rPr>
                <w:noProof/>
                <w:webHidden/>
              </w:rPr>
              <w:fldChar w:fldCharType="end"/>
            </w:r>
          </w:hyperlink>
        </w:p>
        <w:p w14:paraId="217D66AE" w14:textId="5AB954AB" w:rsidR="0030627C" w:rsidRDefault="0030627C">
          <w:pPr>
            <w:pStyle w:val="TOC3"/>
            <w:tabs>
              <w:tab w:val="right" w:leader="dot" w:pos="9010"/>
            </w:tabs>
            <w:rPr>
              <w:rFonts w:eastAsiaTheme="minorEastAsia"/>
              <w:i w:val="0"/>
              <w:iCs w:val="0"/>
              <w:noProof/>
              <w:sz w:val="24"/>
              <w:szCs w:val="24"/>
              <w:lang w:eastAsia="en-GB"/>
            </w:rPr>
          </w:pPr>
          <w:hyperlink w:anchor="_Toc83646439" w:history="1">
            <w:r w:rsidRPr="00D037A3">
              <w:rPr>
                <w:rStyle w:val="Hyperlink"/>
                <w:noProof/>
              </w:rPr>
              <w:t>5.2.2: Midheaven</w:t>
            </w:r>
            <w:r>
              <w:rPr>
                <w:noProof/>
                <w:webHidden/>
              </w:rPr>
              <w:tab/>
            </w:r>
            <w:r>
              <w:rPr>
                <w:noProof/>
                <w:webHidden/>
              </w:rPr>
              <w:fldChar w:fldCharType="begin"/>
            </w:r>
            <w:r>
              <w:rPr>
                <w:noProof/>
                <w:webHidden/>
              </w:rPr>
              <w:instrText xml:space="preserve"> PAGEREF _Toc83646439 \h </w:instrText>
            </w:r>
            <w:r>
              <w:rPr>
                <w:noProof/>
                <w:webHidden/>
              </w:rPr>
            </w:r>
            <w:r>
              <w:rPr>
                <w:noProof/>
                <w:webHidden/>
              </w:rPr>
              <w:fldChar w:fldCharType="separate"/>
            </w:r>
            <w:r>
              <w:rPr>
                <w:noProof/>
                <w:webHidden/>
              </w:rPr>
              <w:t>25</w:t>
            </w:r>
            <w:r>
              <w:rPr>
                <w:noProof/>
                <w:webHidden/>
              </w:rPr>
              <w:fldChar w:fldCharType="end"/>
            </w:r>
          </w:hyperlink>
        </w:p>
        <w:p w14:paraId="62D8E2C5" w14:textId="29C1AB3F" w:rsidR="0030627C" w:rsidRDefault="0030627C">
          <w:pPr>
            <w:pStyle w:val="TOC2"/>
            <w:tabs>
              <w:tab w:val="right" w:leader="dot" w:pos="9010"/>
            </w:tabs>
            <w:rPr>
              <w:rFonts w:eastAsiaTheme="minorEastAsia"/>
              <w:smallCaps w:val="0"/>
              <w:noProof/>
              <w:sz w:val="24"/>
              <w:szCs w:val="24"/>
              <w:lang w:eastAsia="en-GB"/>
            </w:rPr>
          </w:pPr>
          <w:hyperlink w:anchor="_Toc83646440" w:history="1">
            <w:r w:rsidRPr="00D037A3">
              <w:rPr>
                <w:rStyle w:val="Hyperlink"/>
                <w:noProof/>
              </w:rPr>
              <w:t>5.3: House System Calculation</w:t>
            </w:r>
            <w:r>
              <w:rPr>
                <w:noProof/>
                <w:webHidden/>
              </w:rPr>
              <w:tab/>
            </w:r>
            <w:r>
              <w:rPr>
                <w:noProof/>
                <w:webHidden/>
              </w:rPr>
              <w:fldChar w:fldCharType="begin"/>
            </w:r>
            <w:r>
              <w:rPr>
                <w:noProof/>
                <w:webHidden/>
              </w:rPr>
              <w:instrText xml:space="preserve"> PAGEREF _Toc83646440 \h </w:instrText>
            </w:r>
            <w:r>
              <w:rPr>
                <w:noProof/>
                <w:webHidden/>
              </w:rPr>
            </w:r>
            <w:r>
              <w:rPr>
                <w:noProof/>
                <w:webHidden/>
              </w:rPr>
              <w:fldChar w:fldCharType="separate"/>
            </w:r>
            <w:r>
              <w:rPr>
                <w:noProof/>
                <w:webHidden/>
              </w:rPr>
              <w:t>27</w:t>
            </w:r>
            <w:r>
              <w:rPr>
                <w:noProof/>
                <w:webHidden/>
              </w:rPr>
              <w:fldChar w:fldCharType="end"/>
            </w:r>
          </w:hyperlink>
        </w:p>
        <w:p w14:paraId="35809D4C" w14:textId="355B1AD4" w:rsidR="0030627C" w:rsidRDefault="0030627C">
          <w:pPr>
            <w:pStyle w:val="TOC1"/>
            <w:tabs>
              <w:tab w:val="right" w:leader="dot" w:pos="9010"/>
            </w:tabs>
            <w:rPr>
              <w:rFonts w:eastAsiaTheme="minorEastAsia"/>
              <w:b w:val="0"/>
              <w:bCs w:val="0"/>
              <w:caps w:val="0"/>
              <w:noProof/>
              <w:sz w:val="24"/>
              <w:szCs w:val="24"/>
              <w:lang w:eastAsia="en-GB"/>
            </w:rPr>
          </w:pPr>
          <w:hyperlink w:anchor="_Toc83646441" w:history="1">
            <w:r w:rsidRPr="00D037A3">
              <w:rPr>
                <w:rStyle w:val="Hyperlink"/>
                <w:noProof/>
              </w:rPr>
              <w:t>Chapter 6: Loci in Greek Horoscopes</w:t>
            </w:r>
            <w:r>
              <w:rPr>
                <w:noProof/>
                <w:webHidden/>
              </w:rPr>
              <w:tab/>
            </w:r>
            <w:r>
              <w:rPr>
                <w:noProof/>
                <w:webHidden/>
              </w:rPr>
              <w:fldChar w:fldCharType="begin"/>
            </w:r>
            <w:r>
              <w:rPr>
                <w:noProof/>
                <w:webHidden/>
              </w:rPr>
              <w:instrText xml:space="preserve"> PAGEREF _Toc83646441 \h </w:instrText>
            </w:r>
            <w:r>
              <w:rPr>
                <w:noProof/>
                <w:webHidden/>
              </w:rPr>
            </w:r>
            <w:r>
              <w:rPr>
                <w:noProof/>
                <w:webHidden/>
              </w:rPr>
              <w:fldChar w:fldCharType="separate"/>
            </w:r>
            <w:r>
              <w:rPr>
                <w:noProof/>
                <w:webHidden/>
              </w:rPr>
              <w:t>27</w:t>
            </w:r>
            <w:r>
              <w:rPr>
                <w:noProof/>
                <w:webHidden/>
              </w:rPr>
              <w:fldChar w:fldCharType="end"/>
            </w:r>
          </w:hyperlink>
        </w:p>
        <w:p w14:paraId="221F3E82" w14:textId="78DBE41A" w:rsidR="0030627C" w:rsidRDefault="0030627C">
          <w:pPr>
            <w:pStyle w:val="TOC2"/>
            <w:tabs>
              <w:tab w:val="right" w:leader="dot" w:pos="9010"/>
            </w:tabs>
            <w:rPr>
              <w:rFonts w:eastAsiaTheme="minorEastAsia"/>
              <w:smallCaps w:val="0"/>
              <w:noProof/>
              <w:sz w:val="24"/>
              <w:szCs w:val="24"/>
              <w:lang w:eastAsia="en-GB"/>
            </w:rPr>
          </w:pPr>
          <w:hyperlink w:anchor="_Toc83646442" w:history="1">
            <w:r w:rsidRPr="00D037A3">
              <w:rPr>
                <w:rStyle w:val="Hyperlink"/>
                <w:noProof/>
              </w:rPr>
              <w:t>6.1: Survey</w:t>
            </w:r>
            <w:r>
              <w:rPr>
                <w:noProof/>
                <w:webHidden/>
              </w:rPr>
              <w:tab/>
            </w:r>
            <w:r>
              <w:rPr>
                <w:noProof/>
                <w:webHidden/>
              </w:rPr>
              <w:fldChar w:fldCharType="begin"/>
            </w:r>
            <w:r>
              <w:rPr>
                <w:noProof/>
                <w:webHidden/>
              </w:rPr>
              <w:instrText xml:space="preserve"> PAGEREF _Toc83646442 \h </w:instrText>
            </w:r>
            <w:r>
              <w:rPr>
                <w:noProof/>
                <w:webHidden/>
              </w:rPr>
            </w:r>
            <w:r>
              <w:rPr>
                <w:noProof/>
                <w:webHidden/>
              </w:rPr>
              <w:fldChar w:fldCharType="separate"/>
            </w:r>
            <w:r>
              <w:rPr>
                <w:noProof/>
                <w:webHidden/>
              </w:rPr>
              <w:t>28</w:t>
            </w:r>
            <w:r>
              <w:rPr>
                <w:noProof/>
                <w:webHidden/>
              </w:rPr>
              <w:fldChar w:fldCharType="end"/>
            </w:r>
          </w:hyperlink>
        </w:p>
        <w:p w14:paraId="23ADC929" w14:textId="1F42EFA6" w:rsidR="0030627C" w:rsidRDefault="0030627C">
          <w:pPr>
            <w:pStyle w:val="TOC2"/>
            <w:tabs>
              <w:tab w:val="right" w:leader="dot" w:pos="9010"/>
            </w:tabs>
            <w:rPr>
              <w:rFonts w:eastAsiaTheme="minorEastAsia"/>
              <w:smallCaps w:val="0"/>
              <w:noProof/>
              <w:sz w:val="24"/>
              <w:szCs w:val="24"/>
              <w:lang w:eastAsia="en-GB"/>
            </w:rPr>
          </w:pPr>
          <w:hyperlink w:anchor="_Toc83646443" w:history="1">
            <w:r w:rsidRPr="00D037A3">
              <w:rPr>
                <w:rStyle w:val="Hyperlink"/>
                <w:noProof/>
              </w:rPr>
              <w:t>6.2: Referencing Houses</w:t>
            </w:r>
            <w:r>
              <w:rPr>
                <w:noProof/>
                <w:webHidden/>
              </w:rPr>
              <w:tab/>
            </w:r>
            <w:r>
              <w:rPr>
                <w:noProof/>
                <w:webHidden/>
              </w:rPr>
              <w:fldChar w:fldCharType="begin"/>
            </w:r>
            <w:r>
              <w:rPr>
                <w:noProof/>
                <w:webHidden/>
              </w:rPr>
              <w:instrText xml:space="preserve"> PAGEREF _Toc83646443 \h </w:instrText>
            </w:r>
            <w:r>
              <w:rPr>
                <w:noProof/>
                <w:webHidden/>
              </w:rPr>
            </w:r>
            <w:r>
              <w:rPr>
                <w:noProof/>
                <w:webHidden/>
              </w:rPr>
              <w:fldChar w:fldCharType="separate"/>
            </w:r>
            <w:r>
              <w:rPr>
                <w:noProof/>
                <w:webHidden/>
              </w:rPr>
              <w:t>29</w:t>
            </w:r>
            <w:r>
              <w:rPr>
                <w:noProof/>
                <w:webHidden/>
              </w:rPr>
              <w:fldChar w:fldCharType="end"/>
            </w:r>
          </w:hyperlink>
        </w:p>
        <w:p w14:paraId="5D0AEBC1" w14:textId="7BC3537D" w:rsidR="0030627C" w:rsidRDefault="0030627C">
          <w:pPr>
            <w:pStyle w:val="TOC3"/>
            <w:tabs>
              <w:tab w:val="right" w:leader="dot" w:pos="9010"/>
            </w:tabs>
            <w:rPr>
              <w:rFonts w:eastAsiaTheme="minorEastAsia"/>
              <w:i w:val="0"/>
              <w:iCs w:val="0"/>
              <w:noProof/>
              <w:sz w:val="24"/>
              <w:szCs w:val="24"/>
              <w:lang w:eastAsia="en-GB"/>
            </w:rPr>
          </w:pPr>
          <w:hyperlink w:anchor="_Toc83646444" w:history="1">
            <w:r w:rsidRPr="00D037A3">
              <w:rPr>
                <w:rStyle w:val="Hyperlink"/>
                <w:noProof/>
              </w:rPr>
              <w:t>6.2.1: No. 95</w:t>
            </w:r>
            <w:r>
              <w:rPr>
                <w:noProof/>
                <w:webHidden/>
              </w:rPr>
              <w:tab/>
            </w:r>
            <w:r>
              <w:rPr>
                <w:noProof/>
                <w:webHidden/>
              </w:rPr>
              <w:fldChar w:fldCharType="begin"/>
            </w:r>
            <w:r>
              <w:rPr>
                <w:noProof/>
                <w:webHidden/>
              </w:rPr>
              <w:instrText xml:space="preserve"> PAGEREF _Toc83646444 \h </w:instrText>
            </w:r>
            <w:r>
              <w:rPr>
                <w:noProof/>
                <w:webHidden/>
              </w:rPr>
            </w:r>
            <w:r>
              <w:rPr>
                <w:noProof/>
                <w:webHidden/>
              </w:rPr>
              <w:fldChar w:fldCharType="separate"/>
            </w:r>
            <w:r>
              <w:rPr>
                <w:noProof/>
                <w:webHidden/>
              </w:rPr>
              <w:t>29</w:t>
            </w:r>
            <w:r>
              <w:rPr>
                <w:noProof/>
                <w:webHidden/>
              </w:rPr>
              <w:fldChar w:fldCharType="end"/>
            </w:r>
          </w:hyperlink>
        </w:p>
        <w:p w14:paraId="07033E5B" w14:textId="010041A0" w:rsidR="0030627C" w:rsidRDefault="0030627C">
          <w:pPr>
            <w:pStyle w:val="TOC3"/>
            <w:tabs>
              <w:tab w:val="right" w:leader="dot" w:pos="9010"/>
            </w:tabs>
            <w:rPr>
              <w:rFonts w:eastAsiaTheme="minorEastAsia"/>
              <w:i w:val="0"/>
              <w:iCs w:val="0"/>
              <w:noProof/>
              <w:sz w:val="24"/>
              <w:szCs w:val="24"/>
              <w:lang w:eastAsia="en-GB"/>
            </w:rPr>
          </w:pPr>
          <w:hyperlink w:anchor="_Toc83646445" w:history="1">
            <w:r w:rsidRPr="00D037A3">
              <w:rPr>
                <w:rStyle w:val="Hyperlink"/>
                <w:noProof/>
              </w:rPr>
              <w:t>6.2.2: No. 250.1</w:t>
            </w:r>
            <w:r>
              <w:rPr>
                <w:noProof/>
                <w:webHidden/>
              </w:rPr>
              <w:tab/>
            </w:r>
            <w:r>
              <w:rPr>
                <w:noProof/>
                <w:webHidden/>
              </w:rPr>
              <w:fldChar w:fldCharType="begin"/>
            </w:r>
            <w:r>
              <w:rPr>
                <w:noProof/>
                <w:webHidden/>
              </w:rPr>
              <w:instrText xml:space="preserve"> PAGEREF _Toc83646445 \h </w:instrText>
            </w:r>
            <w:r>
              <w:rPr>
                <w:noProof/>
                <w:webHidden/>
              </w:rPr>
            </w:r>
            <w:r>
              <w:rPr>
                <w:noProof/>
                <w:webHidden/>
              </w:rPr>
              <w:fldChar w:fldCharType="separate"/>
            </w:r>
            <w:r>
              <w:rPr>
                <w:noProof/>
                <w:webHidden/>
              </w:rPr>
              <w:t>29</w:t>
            </w:r>
            <w:r>
              <w:rPr>
                <w:noProof/>
                <w:webHidden/>
              </w:rPr>
              <w:fldChar w:fldCharType="end"/>
            </w:r>
          </w:hyperlink>
        </w:p>
        <w:p w14:paraId="227BEA79" w14:textId="0CD5494A" w:rsidR="0030627C" w:rsidRDefault="0030627C">
          <w:pPr>
            <w:pStyle w:val="TOC2"/>
            <w:tabs>
              <w:tab w:val="right" w:leader="dot" w:pos="9010"/>
            </w:tabs>
            <w:rPr>
              <w:rFonts w:eastAsiaTheme="minorEastAsia"/>
              <w:smallCaps w:val="0"/>
              <w:noProof/>
              <w:sz w:val="24"/>
              <w:szCs w:val="24"/>
              <w:lang w:eastAsia="en-GB"/>
            </w:rPr>
          </w:pPr>
          <w:hyperlink w:anchor="_Toc83646446" w:history="1">
            <w:r w:rsidRPr="00D037A3">
              <w:rPr>
                <w:rStyle w:val="Hyperlink"/>
                <w:noProof/>
              </w:rPr>
              <w:t>6.4: House System in Greek Horoscopes</w:t>
            </w:r>
            <w:r>
              <w:rPr>
                <w:noProof/>
                <w:webHidden/>
              </w:rPr>
              <w:tab/>
            </w:r>
            <w:r>
              <w:rPr>
                <w:noProof/>
                <w:webHidden/>
              </w:rPr>
              <w:fldChar w:fldCharType="begin"/>
            </w:r>
            <w:r>
              <w:rPr>
                <w:noProof/>
                <w:webHidden/>
              </w:rPr>
              <w:instrText xml:space="preserve"> PAGEREF _Toc83646446 \h </w:instrText>
            </w:r>
            <w:r>
              <w:rPr>
                <w:noProof/>
                <w:webHidden/>
              </w:rPr>
            </w:r>
            <w:r>
              <w:rPr>
                <w:noProof/>
                <w:webHidden/>
              </w:rPr>
              <w:fldChar w:fldCharType="separate"/>
            </w:r>
            <w:r>
              <w:rPr>
                <w:noProof/>
                <w:webHidden/>
              </w:rPr>
              <w:t>30</w:t>
            </w:r>
            <w:r>
              <w:rPr>
                <w:noProof/>
                <w:webHidden/>
              </w:rPr>
              <w:fldChar w:fldCharType="end"/>
            </w:r>
          </w:hyperlink>
        </w:p>
        <w:p w14:paraId="06DEED64" w14:textId="294CE108" w:rsidR="0030627C" w:rsidRDefault="0030627C">
          <w:pPr>
            <w:pStyle w:val="TOC1"/>
            <w:tabs>
              <w:tab w:val="right" w:leader="dot" w:pos="9010"/>
            </w:tabs>
            <w:rPr>
              <w:rFonts w:eastAsiaTheme="minorEastAsia"/>
              <w:b w:val="0"/>
              <w:bCs w:val="0"/>
              <w:caps w:val="0"/>
              <w:noProof/>
              <w:sz w:val="24"/>
              <w:szCs w:val="24"/>
              <w:lang w:eastAsia="en-GB"/>
            </w:rPr>
          </w:pPr>
          <w:hyperlink w:anchor="_Toc83646447" w:history="1">
            <w:r w:rsidRPr="00D037A3">
              <w:rPr>
                <w:rStyle w:val="Hyperlink"/>
                <w:noProof/>
              </w:rPr>
              <w:t>Chapter 7: Literary Sources</w:t>
            </w:r>
            <w:r>
              <w:rPr>
                <w:noProof/>
                <w:webHidden/>
              </w:rPr>
              <w:tab/>
            </w:r>
            <w:r>
              <w:rPr>
                <w:noProof/>
                <w:webHidden/>
              </w:rPr>
              <w:fldChar w:fldCharType="begin"/>
            </w:r>
            <w:r>
              <w:rPr>
                <w:noProof/>
                <w:webHidden/>
              </w:rPr>
              <w:instrText xml:space="preserve"> PAGEREF _Toc83646447 \h </w:instrText>
            </w:r>
            <w:r>
              <w:rPr>
                <w:noProof/>
                <w:webHidden/>
              </w:rPr>
            </w:r>
            <w:r>
              <w:rPr>
                <w:noProof/>
                <w:webHidden/>
              </w:rPr>
              <w:fldChar w:fldCharType="separate"/>
            </w:r>
            <w:r>
              <w:rPr>
                <w:noProof/>
                <w:webHidden/>
              </w:rPr>
              <w:t>31</w:t>
            </w:r>
            <w:r>
              <w:rPr>
                <w:noProof/>
                <w:webHidden/>
              </w:rPr>
              <w:fldChar w:fldCharType="end"/>
            </w:r>
          </w:hyperlink>
        </w:p>
        <w:p w14:paraId="3145C91B" w14:textId="54C2A30E" w:rsidR="0030627C" w:rsidRDefault="0030627C">
          <w:pPr>
            <w:pStyle w:val="TOC2"/>
            <w:tabs>
              <w:tab w:val="right" w:leader="dot" w:pos="9010"/>
            </w:tabs>
            <w:rPr>
              <w:rFonts w:eastAsiaTheme="minorEastAsia"/>
              <w:smallCaps w:val="0"/>
              <w:noProof/>
              <w:sz w:val="24"/>
              <w:szCs w:val="24"/>
              <w:lang w:eastAsia="en-GB"/>
            </w:rPr>
          </w:pPr>
          <w:hyperlink w:anchor="_Toc83646448" w:history="1">
            <w:r w:rsidRPr="00D037A3">
              <w:rPr>
                <w:rStyle w:val="Hyperlink"/>
                <w:noProof/>
              </w:rPr>
              <w:t>7.1: Marcus Manilius</w:t>
            </w:r>
            <w:r>
              <w:rPr>
                <w:noProof/>
                <w:webHidden/>
              </w:rPr>
              <w:tab/>
            </w:r>
            <w:r>
              <w:rPr>
                <w:noProof/>
                <w:webHidden/>
              </w:rPr>
              <w:fldChar w:fldCharType="begin"/>
            </w:r>
            <w:r>
              <w:rPr>
                <w:noProof/>
                <w:webHidden/>
              </w:rPr>
              <w:instrText xml:space="preserve"> PAGEREF _Toc83646448 \h </w:instrText>
            </w:r>
            <w:r>
              <w:rPr>
                <w:noProof/>
                <w:webHidden/>
              </w:rPr>
            </w:r>
            <w:r>
              <w:rPr>
                <w:noProof/>
                <w:webHidden/>
              </w:rPr>
              <w:fldChar w:fldCharType="separate"/>
            </w:r>
            <w:r>
              <w:rPr>
                <w:noProof/>
                <w:webHidden/>
              </w:rPr>
              <w:t>31</w:t>
            </w:r>
            <w:r>
              <w:rPr>
                <w:noProof/>
                <w:webHidden/>
              </w:rPr>
              <w:fldChar w:fldCharType="end"/>
            </w:r>
          </w:hyperlink>
        </w:p>
        <w:p w14:paraId="5D40D7FD" w14:textId="5CDB77BD" w:rsidR="0030627C" w:rsidRDefault="0030627C">
          <w:pPr>
            <w:pStyle w:val="TOC3"/>
            <w:tabs>
              <w:tab w:val="right" w:leader="dot" w:pos="9010"/>
            </w:tabs>
            <w:rPr>
              <w:rFonts w:eastAsiaTheme="minorEastAsia"/>
              <w:i w:val="0"/>
              <w:iCs w:val="0"/>
              <w:noProof/>
              <w:sz w:val="24"/>
              <w:szCs w:val="24"/>
              <w:lang w:eastAsia="en-GB"/>
            </w:rPr>
          </w:pPr>
          <w:hyperlink w:anchor="_Toc83646449" w:history="1">
            <w:r w:rsidRPr="00D037A3">
              <w:rPr>
                <w:rStyle w:val="Hyperlink"/>
                <w:noProof/>
              </w:rPr>
              <w:t>7.1.1: Manilius and Angles/Cardines</w:t>
            </w:r>
            <w:r>
              <w:rPr>
                <w:noProof/>
                <w:webHidden/>
              </w:rPr>
              <w:tab/>
            </w:r>
            <w:r>
              <w:rPr>
                <w:noProof/>
                <w:webHidden/>
              </w:rPr>
              <w:fldChar w:fldCharType="begin"/>
            </w:r>
            <w:r>
              <w:rPr>
                <w:noProof/>
                <w:webHidden/>
              </w:rPr>
              <w:instrText xml:space="preserve"> PAGEREF _Toc83646449 \h </w:instrText>
            </w:r>
            <w:r>
              <w:rPr>
                <w:noProof/>
                <w:webHidden/>
              </w:rPr>
            </w:r>
            <w:r>
              <w:rPr>
                <w:noProof/>
                <w:webHidden/>
              </w:rPr>
              <w:fldChar w:fldCharType="separate"/>
            </w:r>
            <w:r>
              <w:rPr>
                <w:noProof/>
                <w:webHidden/>
              </w:rPr>
              <w:t>31</w:t>
            </w:r>
            <w:r>
              <w:rPr>
                <w:noProof/>
                <w:webHidden/>
              </w:rPr>
              <w:fldChar w:fldCharType="end"/>
            </w:r>
          </w:hyperlink>
        </w:p>
        <w:p w14:paraId="1BAAF42E" w14:textId="60F426CC" w:rsidR="0030627C" w:rsidRDefault="0030627C">
          <w:pPr>
            <w:pStyle w:val="TOC3"/>
            <w:tabs>
              <w:tab w:val="right" w:leader="dot" w:pos="9010"/>
            </w:tabs>
            <w:rPr>
              <w:rFonts w:eastAsiaTheme="minorEastAsia"/>
              <w:i w:val="0"/>
              <w:iCs w:val="0"/>
              <w:noProof/>
              <w:sz w:val="24"/>
              <w:szCs w:val="24"/>
              <w:lang w:eastAsia="en-GB"/>
            </w:rPr>
          </w:pPr>
          <w:hyperlink w:anchor="_Toc83646450" w:history="1">
            <w:r w:rsidRPr="00D037A3">
              <w:rPr>
                <w:rStyle w:val="Hyperlink"/>
                <w:noProof/>
              </w:rPr>
              <w:t>7.1.2: Manilius and Quadrant Houses</w:t>
            </w:r>
            <w:r>
              <w:rPr>
                <w:noProof/>
                <w:webHidden/>
              </w:rPr>
              <w:tab/>
            </w:r>
            <w:r>
              <w:rPr>
                <w:noProof/>
                <w:webHidden/>
              </w:rPr>
              <w:fldChar w:fldCharType="begin"/>
            </w:r>
            <w:r>
              <w:rPr>
                <w:noProof/>
                <w:webHidden/>
              </w:rPr>
              <w:instrText xml:space="preserve"> PAGEREF _Toc83646450 \h </w:instrText>
            </w:r>
            <w:r>
              <w:rPr>
                <w:noProof/>
                <w:webHidden/>
              </w:rPr>
            </w:r>
            <w:r>
              <w:rPr>
                <w:noProof/>
                <w:webHidden/>
              </w:rPr>
              <w:fldChar w:fldCharType="separate"/>
            </w:r>
            <w:r>
              <w:rPr>
                <w:noProof/>
                <w:webHidden/>
              </w:rPr>
              <w:t>33</w:t>
            </w:r>
            <w:r>
              <w:rPr>
                <w:noProof/>
                <w:webHidden/>
              </w:rPr>
              <w:fldChar w:fldCharType="end"/>
            </w:r>
          </w:hyperlink>
        </w:p>
        <w:p w14:paraId="08665870" w14:textId="006E4469" w:rsidR="0030627C" w:rsidRDefault="0030627C">
          <w:pPr>
            <w:pStyle w:val="TOC3"/>
            <w:tabs>
              <w:tab w:val="right" w:leader="dot" w:pos="9010"/>
            </w:tabs>
            <w:rPr>
              <w:rFonts w:eastAsiaTheme="minorEastAsia"/>
              <w:i w:val="0"/>
              <w:iCs w:val="0"/>
              <w:noProof/>
              <w:sz w:val="24"/>
              <w:szCs w:val="24"/>
              <w:lang w:eastAsia="en-GB"/>
            </w:rPr>
          </w:pPr>
          <w:hyperlink w:anchor="_Toc83646451" w:history="1">
            <w:r w:rsidRPr="00D037A3">
              <w:rPr>
                <w:rStyle w:val="Hyperlink"/>
                <w:noProof/>
              </w:rPr>
              <w:t>7.1.3: Manilius, Signs and Houses</w:t>
            </w:r>
            <w:r>
              <w:rPr>
                <w:noProof/>
                <w:webHidden/>
              </w:rPr>
              <w:tab/>
            </w:r>
            <w:r>
              <w:rPr>
                <w:noProof/>
                <w:webHidden/>
              </w:rPr>
              <w:fldChar w:fldCharType="begin"/>
            </w:r>
            <w:r>
              <w:rPr>
                <w:noProof/>
                <w:webHidden/>
              </w:rPr>
              <w:instrText xml:space="preserve"> PAGEREF _Toc83646451 \h </w:instrText>
            </w:r>
            <w:r>
              <w:rPr>
                <w:noProof/>
                <w:webHidden/>
              </w:rPr>
            </w:r>
            <w:r>
              <w:rPr>
                <w:noProof/>
                <w:webHidden/>
              </w:rPr>
              <w:fldChar w:fldCharType="separate"/>
            </w:r>
            <w:r>
              <w:rPr>
                <w:noProof/>
                <w:webHidden/>
              </w:rPr>
              <w:t>34</w:t>
            </w:r>
            <w:r>
              <w:rPr>
                <w:noProof/>
                <w:webHidden/>
              </w:rPr>
              <w:fldChar w:fldCharType="end"/>
            </w:r>
          </w:hyperlink>
        </w:p>
        <w:p w14:paraId="595B7E5A" w14:textId="0C7F689A" w:rsidR="0030627C" w:rsidRDefault="0030627C">
          <w:pPr>
            <w:pStyle w:val="TOC3"/>
            <w:tabs>
              <w:tab w:val="right" w:leader="dot" w:pos="9010"/>
            </w:tabs>
            <w:rPr>
              <w:rFonts w:eastAsiaTheme="minorEastAsia"/>
              <w:i w:val="0"/>
              <w:iCs w:val="0"/>
              <w:noProof/>
              <w:sz w:val="24"/>
              <w:szCs w:val="24"/>
              <w:lang w:eastAsia="en-GB"/>
            </w:rPr>
          </w:pPr>
          <w:hyperlink w:anchor="_Toc83646452" w:history="1">
            <w:r w:rsidRPr="00D037A3">
              <w:rPr>
                <w:rStyle w:val="Hyperlink"/>
                <w:noProof/>
              </w:rPr>
              <w:t>7.1.3: Manilius and ‘Zenith’</w:t>
            </w:r>
            <w:r>
              <w:rPr>
                <w:noProof/>
                <w:webHidden/>
              </w:rPr>
              <w:tab/>
            </w:r>
            <w:r>
              <w:rPr>
                <w:noProof/>
                <w:webHidden/>
              </w:rPr>
              <w:fldChar w:fldCharType="begin"/>
            </w:r>
            <w:r>
              <w:rPr>
                <w:noProof/>
                <w:webHidden/>
              </w:rPr>
              <w:instrText xml:space="preserve"> PAGEREF _Toc83646452 \h </w:instrText>
            </w:r>
            <w:r>
              <w:rPr>
                <w:noProof/>
                <w:webHidden/>
              </w:rPr>
            </w:r>
            <w:r>
              <w:rPr>
                <w:noProof/>
                <w:webHidden/>
              </w:rPr>
              <w:fldChar w:fldCharType="separate"/>
            </w:r>
            <w:r>
              <w:rPr>
                <w:noProof/>
                <w:webHidden/>
              </w:rPr>
              <w:t>34</w:t>
            </w:r>
            <w:r>
              <w:rPr>
                <w:noProof/>
                <w:webHidden/>
              </w:rPr>
              <w:fldChar w:fldCharType="end"/>
            </w:r>
          </w:hyperlink>
        </w:p>
        <w:p w14:paraId="260B2F58" w14:textId="21B8033E" w:rsidR="0030627C" w:rsidRDefault="0030627C">
          <w:pPr>
            <w:pStyle w:val="TOC3"/>
            <w:tabs>
              <w:tab w:val="right" w:leader="dot" w:pos="9010"/>
            </w:tabs>
            <w:rPr>
              <w:rFonts w:eastAsiaTheme="minorEastAsia"/>
              <w:i w:val="0"/>
              <w:iCs w:val="0"/>
              <w:noProof/>
              <w:sz w:val="24"/>
              <w:szCs w:val="24"/>
              <w:lang w:eastAsia="en-GB"/>
            </w:rPr>
          </w:pPr>
          <w:hyperlink w:anchor="_Toc83646453" w:history="1">
            <w:r w:rsidRPr="00D037A3">
              <w:rPr>
                <w:rStyle w:val="Hyperlink"/>
                <w:noProof/>
              </w:rPr>
              <w:t>7.1.4: Manilius’s House System</w:t>
            </w:r>
            <w:r>
              <w:rPr>
                <w:noProof/>
                <w:webHidden/>
              </w:rPr>
              <w:tab/>
            </w:r>
            <w:r>
              <w:rPr>
                <w:noProof/>
                <w:webHidden/>
              </w:rPr>
              <w:fldChar w:fldCharType="begin"/>
            </w:r>
            <w:r>
              <w:rPr>
                <w:noProof/>
                <w:webHidden/>
              </w:rPr>
              <w:instrText xml:space="preserve"> PAGEREF _Toc83646453 \h </w:instrText>
            </w:r>
            <w:r>
              <w:rPr>
                <w:noProof/>
                <w:webHidden/>
              </w:rPr>
            </w:r>
            <w:r>
              <w:rPr>
                <w:noProof/>
                <w:webHidden/>
              </w:rPr>
              <w:fldChar w:fldCharType="separate"/>
            </w:r>
            <w:r>
              <w:rPr>
                <w:noProof/>
                <w:webHidden/>
              </w:rPr>
              <w:t>36</w:t>
            </w:r>
            <w:r>
              <w:rPr>
                <w:noProof/>
                <w:webHidden/>
              </w:rPr>
              <w:fldChar w:fldCharType="end"/>
            </w:r>
          </w:hyperlink>
        </w:p>
        <w:p w14:paraId="162404FC" w14:textId="0106A5CB" w:rsidR="0030627C" w:rsidRDefault="0030627C">
          <w:pPr>
            <w:pStyle w:val="TOC2"/>
            <w:tabs>
              <w:tab w:val="right" w:leader="dot" w:pos="9010"/>
            </w:tabs>
            <w:rPr>
              <w:rFonts w:eastAsiaTheme="minorEastAsia"/>
              <w:smallCaps w:val="0"/>
              <w:noProof/>
              <w:sz w:val="24"/>
              <w:szCs w:val="24"/>
              <w:lang w:eastAsia="en-GB"/>
            </w:rPr>
          </w:pPr>
          <w:hyperlink w:anchor="_Toc83646454" w:history="1">
            <w:r w:rsidRPr="00D037A3">
              <w:rPr>
                <w:rStyle w:val="Hyperlink"/>
                <w:noProof/>
              </w:rPr>
              <w:t>7.2: Vettius Valens</w:t>
            </w:r>
            <w:r>
              <w:rPr>
                <w:noProof/>
                <w:webHidden/>
              </w:rPr>
              <w:tab/>
            </w:r>
            <w:r>
              <w:rPr>
                <w:noProof/>
                <w:webHidden/>
              </w:rPr>
              <w:fldChar w:fldCharType="begin"/>
            </w:r>
            <w:r>
              <w:rPr>
                <w:noProof/>
                <w:webHidden/>
              </w:rPr>
              <w:instrText xml:space="preserve"> PAGEREF _Toc83646454 \h </w:instrText>
            </w:r>
            <w:r>
              <w:rPr>
                <w:noProof/>
                <w:webHidden/>
              </w:rPr>
            </w:r>
            <w:r>
              <w:rPr>
                <w:noProof/>
                <w:webHidden/>
              </w:rPr>
              <w:fldChar w:fldCharType="separate"/>
            </w:r>
            <w:r>
              <w:rPr>
                <w:noProof/>
                <w:webHidden/>
              </w:rPr>
              <w:t>37</w:t>
            </w:r>
            <w:r>
              <w:rPr>
                <w:noProof/>
                <w:webHidden/>
              </w:rPr>
              <w:fldChar w:fldCharType="end"/>
            </w:r>
          </w:hyperlink>
        </w:p>
        <w:p w14:paraId="7EDFEBFE" w14:textId="7A690E00" w:rsidR="0030627C" w:rsidRDefault="0030627C">
          <w:pPr>
            <w:pStyle w:val="TOC3"/>
            <w:tabs>
              <w:tab w:val="right" w:leader="dot" w:pos="9010"/>
            </w:tabs>
            <w:rPr>
              <w:rFonts w:eastAsiaTheme="minorEastAsia"/>
              <w:i w:val="0"/>
              <w:iCs w:val="0"/>
              <w:noProof/>
              <w:sz w:val="24"/>
              <w:szCs w:val="24"/>
              <w:lang w:eastAsia="en-GB"/>
            </w:rPr>
          </w:pPr>
          <w:hyperlink w:anchor="_Toc83646455" w:history="1">
            <w:r w:rsidRPr="00D037A3">
              <w:rPr>
                <w:rStyle w:val="Hyperlink"/>
                <w:noProof/>
              </w:rPr>
              <w:t>7.2.1: Valens and Whole Sign Houses</w:t>
            </w:r>
            <w:r>
              <w:rPr>
                <w:noProof/>
                <w:webHidden/>
              </w:rPr>
              <w:tab/>
            </w:r>
            <w:r>
              <w:rPr>
                <w:noProof/>
                <w:webHidden/>
              </w:rPr>
              <w:fldChar w:fldCharType="begin"/>
            </w:r>
            <w:r>
              <w:rPr>
                <w:noProof/>
                <w:webHidden/>
              </w:rPr>
              <w:instrText xml:space="preserve"> PAGEREF _Toc83646455 \h </w:instrText>
            </w:r>
            <w:r>
              <w:rPr>
                <w:noProof/>
                <w:webHidden/>
              </w:rPr>
            </w:r>
            <w:r>
              <w:rPr>
                <w:noProof/>
                <w:webHidden/>
              </w:rPr>
              <w:fldChar w:fldCharType="separate"/>
            </w:r>
            <w:r>
              <w:rPr>
                <w:noProof/>
                <w:webHidden/>
              </w:rPr>
              <w:t>37</w:t>
            </w:r>
            <w:r>
              <w:rPr>
                <w:noProof/>
                <w:webHidden/>
              </w:rPr>
              <w:fldChar w:fldCharType="end"/>
            </w:r>
          </w:hyperlink>
        </w:p>
        <w:p w14:paraId="6F6D752B" w14:textId="3843FB5F" w:rsidR="0030627C" w:rsidRDefault="0030627C">
          <w:pPr>
            <w:pStyle w:val="TOC3"/>
            <w:tabs>
              <w:tab w:val="right" w:leader="dot" w:pos="9010"/>
            </w:tabs>
            <w:rPr>
              <w:rFonts w:eastAsiaTheme="minorEastAsia"/>
              <w:i w:val="0"/>
              <w:iCs w:val="0"/>
              <w:noProof/>
              <w:sz w:val="24"/>
              <w:szCs w:val="24"/>
              <w:lang w:eastAsia="en-GB"/>
            </w:rPr>
          </w:pPr>
          <w:hyperlink w:anchor="_Toc83646456" w:history="1">
            <w:r w:rsidRPr="00D037A3">
              <w:rPr>
                <w:rStyle w:val="Hyperlink"/>
                <w:noProof/>
              </w:rPr>
              <w:t>7.2.2: Valens and Equal Houses</w:t>
            </w:r>
            <w:r>
              <w:rPr>
                <w:noProof/>
                <w:webHidden/>
              </w:rPr>
              <w:tab/>
            </w:r>
            <w:r>
              <w:rPr>
                <w:noProof/>
                <w:webHidden/>
              </w:rPr>
              <w:fldChar w:fldCharType="begin"/>
            </w:r>
            <w:r>
              <w:rPr>
                <w:noProof/>
                <w:webHidden/>
              </w:rPr>
              <w:instrText xml:space="preserve"> PAGEREF _Toc83646456 \h </w:instrText>
            </w:r>
            <w:r>
              <w:rPr>
                <w:noProof/>
                <w:webHidden/>
              </w:rPr>
            </w:r>
            <w:r>
              <w:rPr>
                <w:noProof/>
                <w:webHidden/>
              </w:rPr>
              <w:fldChar w:fldCharType="separate"/>
            </w:r>
            <w:r>
              <w:rPr>
                <w:noProof/>
                <w:webHidden/>
              </w:rPr>
              <w:t>37</w:t>
            </w:r>
            <w:r>
              <w:rPr>
                <w:noProof/>
                <w:webHidden/>
              </w:rPr>
              <w:fldChar w:fldCharType="end"/>
            </w:r>
          </w:hyperlink>
        </w:p>
        <w:p w14:paraId="5534E33D" w14:textId="7B2AD965" w:rsidR="0030627C" w:rsidRDefault="0030627C">
          <w:pPr>
            <w:pStyle w:val="TOC3"/>
            <w:tabs>
              <w:tab w:val="right" w:leader="dot" w:pos="9010"/>
            </w:tabs>
            <w:rPr>
              <w:rFonts w:eastAsiaTheme="minorEastAsia"/>
              <w:i w:val="0"/>
              <w:iCs w:val="0"/>
              <w:noProof/>
              <w:sz w:val="24"/>
              <w:szCs w:val="24"/>
              <w:lang w:eastAsia="en-GB"/>
            </w:rPr>
          </w:pPr>
          <w:hyperlink w:anchor="_Toc83646457" w:history="1">
            <w:r w:rsidRPr="00D037A3">
              <w:rPr>
                <w:rStyle w:val="Hyperlink"/>
                <w:noProof/>
              </w:rPr>
              <w:t>7.2.3: Valens and Quadrant Houses</w:t>
            </w:r>
            <w:r>
              <w:rPr>
                <w:noProof/>
                <w:webHidden/>
              </w:rPr>
              <w:tab/>
            </w:r>
            <w:r>
              <w:rPr>
                <w:noProof/>
                <w:webHidden/>
              </w:rPr>
              <w:fldChar w:fldCharType="begin"/>
            </w:r>
            <w:r>
              <w:rPr>
                <w:noProof/>
                <w:webHidden/>
              </w:rPr>
              <w:instrText xml:space="preserve"> PAGEREF _Toc83646457 \h </w:instrText>
            </w:r>
            <w:r>
              <w:rPr>
                <w:noProof/>
                <w:webHidden/>
              </w:rPr>
            </w:r>
            <w:r>
              <w:rPr>
                <w:noProof/>
                <w:webHidden/>
              </w:rPr>
              <w:fldChar w:fldCharType="separate"/>
            </w:r>
            <w:r>
              <w:rPr>
                <w:noProof/>
                <w:webHidden/>
              </w:rPr>
              <w:t>38</w:t>
            </w:r>
            <w:r>
              <w:rPr>
                <w:noProof/>
                <w:webHidden/>
              </w:rPr>
              <w:fldChar w:fldCharType="end"/>
            </w:r>
          </w:hyperlink>
        </w:p>
        <w:p w14:paraId="68FE754C" w14:textId="35073C9B" w:rsidR="0030627C" w:rsidRDefault="0030627C">
          <w:pPr>
            <w:pStyle w:val="TOC3"/>
            <w:tabs>
              <w:tab w:val="right" w:leader="dot" w:pos="9010"/>
            </w:tabs>
            <w:rPr>
              <w:rFonts w:eastAsiaTheme="minorEastAsia"/>
              <w:i w:val="0"/>
              <w:iCs w:val="0"/>
              <w:noProof/>
              <w:sz w:val="24"/>
              <w:szCs w:val="24"/>
              <w:lang w:eastAsia="en-GB"/>
            </w:rPr>
          </w:pPr>
          <w:hyperlink w:anchor="_Toc83646458" w:history="1">
            <w:r w:rsidRPr="00D037A3">
              <w:rPr>
                <w:rStyle w:val="Hyperlink"/>
                <w:noProof/>
              </w:rPr>
              <w:t>7.2.4: Valens and Preferring Precision</w:t>
            </w:r>
            <w:r>
              <w:rPr>
                <w:noProof/>
                <w:webHidden/>
              </w:rPr>
              <w:tab/>
            </w:r>
            <w:r>
              <w:rPr>
                <w:noProof/>
                <w:webHidden/>
              </w:rPr>
              <w:fldChar w:fldCharType="begin"/>
            </w:r>
            <w:r>
              <w:rPr>
                <w:noProof/>
                <w:webHidden/>
              </w:rPr>
              <w:instrText xml:space="preserve"> PAGEREF _Toc83646458 \h </w:instrText>
            </w:r>
            <w:r>
              <w:rPr>
                <w:noProof/>
                <w:webHidden/>
              </w:rPr>
            </w:r>
            <w:r>
              <w:rPr>
                <w:noProof/>
                <w:webHidden/>
              </w:rPr>
              <w:fldChar w:fldCharType="separate"/>
            </w:r>
            <w:r>
              <w:rPr>
                <w:noProof/>
                <w:webHidden/>
              </w:rPr>
              <w:t>42</w:t>
            </w:r>
            <w:r>
              <w:rPr>
                <w:noProof/>
                <w:webHidden/>
              </w:rPr>
              <w:fldChar w:fldCharType="end"/>
            </w:r>
          </w:hyperlink>
        </w:p>
        <w:p w14:paraId="04E6D229" w14:textId="1A953254" w:rsidR="0030627C" w:rsidRDefault="0030627C">
          <w:pPr>
            <w:pStyle w:val="TOC3"/>
            <w:tabs>
              <w:tab w:val="right" w:leader="dot" w:pos="9010"/>
            </w:tabs>
            <w:rPr>
              <w:rFonts w:eastAsiaTheme="minorEastAsia"/>
              <w:i w:val="0"/>
              <w:iCs w:val="0"/>
              <w:noProof/>
              <w:sz w:val="24"/>
              <w:szCs w:val="24"/>
              <w:lang w:eastAsia="en-GB"/>
            </w:rPr>
          </w:pPr>
          <w:hyperlink w:anchor="_Toc83646459" w:history="1">
            <w:r w:rsidRPr="00D037A3">
              <w:rPr>
                <w:rStyle w:val="Hyperlink"/>
                <w:noProof/>
              </w:rPr>
              <w:t>7.2.5: Valens’s House System</w:t>
            </w:r>
            <w:r>
              <w:rPr>
                <w:noProof/>
                <w:webHidden/>
              </w:rPr>
              <w:tab/>
            </w:r>
            <w:r>
              <w:rPr>
                <w:noProof/>
                <w:webHidden/>
              </w:rPr>
              <w:fldChar w:fldCharType="begin"/>
            </w:r>
            <w:r>
              <w:rPr>
                <w:noProof/>
                <w:webHidden/>
              </w:rPr>
              <w:instrText xml:space="preserve"> PAGEREF _Toc83646459 \h </w:instrText>
            </w:r>
            <w:r>
              <w:rPr>
                <w:noProof/>
                <w:webHidden/>
              </w:rPr>
            </w:r>
            <w:r>
              <w:rPr>
                <w:noProof/>
                <w:webHidden/>
              </w:rPr>
              <w:fldChar w:fldCharType="separate"/>
            </w:r>
            <w:r>
              <w:rPr>
                <w:noProof/>
                <w:webHidden/>
              </w:rPr>
              <w:t>43</w:t>
            </w:r>
            <w:r>
              <w:rPr>
                <w:noProof/>
                <w:webHidden/>
              </w:rPr>
              <w:fldChar w:fldCharType="end"/>
            </w:r>
          </w:hyperlink>
        </w:p>
        <w:p w14:paraId="26191170" w14:textId="7F82C1B7" w:rsidR="0030627C" w:rsidRDefault="0030627C">
          <w:pPr>
            <w:pStyle w:val="TOC2"/>
            <w:tabs>
              <w:tab w:val="right" w:leader="dot" w:pos="9010"/>
            </w:tabs>
            <w:rPr>
              <w:rFonts w:eastAsiaTheme="minorEastAsia"/>
              <w:smallCaps w:val="0"/>
              <w:noProof/>
              <w:sz w:val="24"/>
              <w:szCs w:val="24"/>
              <w:lang w:eastAsia="en-GB"/>
            </w:rPr>
          </w:pPr>
          <w:hyperlink w:anchor="_Toc83646460" w:history="1">
            <w:r w:rsidRPr="00D037A3">
              <w:rPr>
                <w:rStyle w:val="Hyperlink"/>
                <w:noProof/>
              </w:rPr>
              <w:t>7.3 Ptolemy</w:t>
            </w:r>
            <w:r>
              <w:rPr>
                <w:noProof/>
                <w:webHidden/>
              </w:rPr>
              <w:tab/>
            </w:r>
            <w:r>
              <w:rPr>
                <w:noProof/>
                <w:webHidden/>
              </w:rPr>
              <w:fldChar w:fldCharType="begin"/>
            </w:r>
            <w:r>
              <w:rPr>
                <w:noProof/>
                <w:webHidden/>
              </w:rPr>
              <w:instrText xml:space="preserve"> PAGEREF _Toc83646460 \h </w:instrText>
            </w:r>
            <w:r>
              <w:rPr>
                <w:noProof/>
                <w:webHidden/>
              </w:rPr>
            </w:r>
            <w:r>
              <w:rPr>
                <w:noProof/>
                <w:webHidden/>
              </w:rPr>
              <w:fldChar w:fldCharType="separate"/>
            </w:r>
            <w:r>
              <w:rPr>
                <w:noProof/>
                <w:webHidden/>
              </w:rPr>
              <w:t>43</w:t>
            </w:r>
            <w:r>
              <w:rPr>
                <w:noProof/>
                <w:webHidden/>
              </w:rPr>
              <w:fldChar w:fldCharType="end"/>
            </w:r>
          </w:hyperlink>
        </w:p>
        <w:p w14:paraId="2ABEC56A" w14:textId="6B985A45" w:rsidR="0030627C" w:rsidRDefault="0030627C">
          <w:pPr>
            <w:pStyle w:val="TOC2"/>
            <w:tabs>
              <w:tab w:val="right" w:leader="dot" w:pos="9010"/>
            </w:tabs>
            <w:rPr>
              <w:rFonts w:eastAsiaTheme="minorEastAsia"/>
              <w:smallCaps w:val="0"/>
              <w:noProof/>
              <w:sz w:val="24"/>
              <w:szCs w:val="24"/>
              <w:lang w:eastAsia="en-GB"/>
            </w:rPr>
          </w:pPr>
          <w:hyperlink w:anchor="_Toc83646461" w:history="1">
            <w:r w:rsidRPr="00D037A3">
              <w:rPr>
                <w:rStyle w:val="Hyperlink"/>
                <w:noProof/>
              </w:rPr>
              <w:t>7.4 Firmicus Maternus</w:t>
            </w:r>
            <w:r>
              <w:rPr>
                <w:noProof/>
                <w:webHidden/>
              </w:rPr>
              <w:tab/>
            </w:r>
            <w:r>
              <w:rPr>
                <w:noProof/>
                <w:webHidden/>
              </w:rPr>
              <w:fldChar w:fldCharType="begin"/>
            </w:r>
            <w:r>
              <w:rPr>
                <w:noProof/>
                <w:webHidden/>
              </w:rPr>
              <w:instrText xml:space="preserve"> PAGEREF _Toc83646461 \h </w:instrText>
            </w:r>
            <w:r>
              <w:rPr>
                <w:noProof/>
                <w:webHidden/>
              </w:rPr>
            </w:r>
            <w:r>
              <w:rPr>
                <w:noProof/>
                <w:webHidden/>
              </w:rPr>
              <w:fldChar w:fldCharType="separate"/>
            </w:r>
            <w:r>
              <w:rPr>
                <w:noProof/>
                <w:webHidden/>
              </w:rPr>
              <w:t>44</w:t>
            </w:r>
            <w:r>
              <w:rPr>
                <w:noProof/>
                <w:webHidden/>
              </w:rPr>
              <w:fldChar w:fldCharType="end"/>
            </w:r>
          </w:hyperlink>
        </w:p>
        <w:p w14:paraId="73A8312C" w14:textId="3D1C6936" w:rsidR="0030627C" w:rsidRDefault="0030627C">
          <w:pPr>
            <w:pStyle w:val="TOC2"/>
            <w:tabs>
              <w:tab w:val="right" w:leader="dot" w:pos="9010"/>
            </w:tabs>
            <w:rPr>
              <w:rFonts w:eastAsiaTheme="minorEastAsia"/>
              <w:smallCaps w:val="0"/>
              <w:noProof/>
              <w:sz w:val="24"/>
              <w:szCs w:val="24"/>
              <w:lang w:eastAsia="en-GB"/>
            </w:rPr>
          </w:pPr>
          <w:hyperlink w:anchor="_Toc83646462" w:history="1">
            <w:r w:rsidRPr="00D037A3">
              <w:rPr>
                <w:rStyle w:val="Hyperlink"/>
                <w:noProof/>
              </w:rPr>
              <w:t>7.5 An excerpt from Olympiodorus</w:t>
            </w:r>
            <w:r>
              <w:rPr>
                <w:noProof/>
                <w:webHidden/>
              </w:rPr>
              <w:tab/>
            </w:r>
            <w:r>
              <w:rPr>
                <w:noProof/>
                <w:webHidden/>
              </w:rPr>
              <w:fldChar w:fldCharType="begin"/>
            </w:r>
            <w:r>
              <w:rPr>
                <w:noProof/>
                <w:webHidden/>
              </w:rPr>
              <w:instrText xml:space="preserve"> PAGEREF _Toc83646462 \h </w:instrText>
            </w:r>
            <w:r>
              <w:rPr>
                <w:noProof/>
                <w:webHidden/>
              </w:rPr>
            </w:r>
            <w:r>
              <w:rPr>
                <w:noProof/>
                <w:webHidden/>
              </w:rPr>
              <w:fldChar w:fldCharType="separate"/>
            </w:r>
            <w:r>
              <w:rPr>
                <w:noProof/>
                <w:webHidden/>
              </w:rPr>
              <w:t>46</w:t>
            </w:r>
            <w:r>
              <w:rPr>
                <w:noProof/>
                <w:webHidden/>
              </w:rPr>
              <w:fldChar w:fldCharType="end"/>
            </w:r>
          </w:hyperlink>
        </w:p>
        <w:p w14:paraId="167351A2" w14:textId="2276C3AE" w:rsidR="0030627C" w:rsidRDefault="0030627C">
          <w:pPr>
            <w:pStyle w:val="TOC2"/>
            <w:tabs>
              <w:tab w:val="right" w:leader="dot" w:pos="9010"/>
            </w:tabs>
            <w:rPr>
              <w:rFonts w:eastAsiaTheme="minorEastAsia"/>
              <w:smallCaps w:val="0"/>
              <w:noProof/>
              <w:sz w:val="24"/>
              <w:szCs w:val="24"/>
              <w:lang w:eastAsia="en-GB"/>
            </w:rPr>
          </w:pPr>
          <w:hyperlink w:anchor="_Toc83646463" w:history="1">
            <w:r w:rsidRPr="00D037A3">
              <w:rPr>
                <w:rStyle w:val="Hyperlink"/>
                <w:noProof/>
              </w:rPr>
              <w:t>7.6 House Systems in Literary Sources</w:t>
            </w:r>
            <w:r>
              <w:rPr>
                <w:noProof/>
                <w:webHidden/>
              </w:rPr>
              <w:tab/>
            </w:r>
            <w:r>
              <w:rPr>
                <w:noProof/>
                <w:webHidden/>
              </w:rPr>
              <w:fldChar w:fldCharType="begin"/>
            </w:r>
            <w:r>
              <w:rPr>
                <w:noProof/>
                <w:webHidden/>
              </w:rPr>
              <w:instrText xml:space="preserve"> PAGEREF _Toc83646463 \h </w:instrText>
            </w:r>
            <w:r>
              <w:rPr>
                <w:noProof/>
                <w:webHidden/>
              </w:rPr>
            </w:r>
            <w:r>
              <w:rPr>
                <w:noProof/>
                <w:webHidden/>
              </w:rPr>
              <w:fldChar w:fldCharType="separate"/>
            </w:r>
            <w:r>
              <w:rPr>
                <w:noProof/>
                <w:webHidden/>
              </w:rPr>
              <w:t>46</w:t>
            </w:r>
            <w:r>
              <w:rPr>
                <w:noProof/>
                <w:webHidden/>
              </w:rPr>
              <w:fldChar w:fldCharType="end"/>
            </w:r>
          </w:hyperlink>
        </w:p>
        <w:p w14:paraId="610F7603" w14:textId="660FC07A" w:rsidR="0030627C" w:rsidRDefault="0030627C">
          <w:pPr>
            <w:pStyle w:val="TOC1"/>
            <w:tabs>
              <w:tab w:val="right" w:leader="dot" w:pos="9010"/>
            </w:tabs>
            <w:rPr>
              <w:rFonts w:eastAsiaTheme="minorEastAsia"/>
              <w:b w:val="0"/>
              <w:bCs w:val="0"/>
              <w:caps w:val="0"/>
              <w:noProof/>
              <w:sz w:val="24"/>
              <w:szCs w:val="24"/>
              <w:lang w:eastAsia="en-GB"/>
            </w:rPr>
          </w:pPr>
          <w:hyperlink w:anchor="_Toc83646464" w:history="1">
            <w:r w:rsidRPr="00D037A3">
              <w:rPr>
                <w:rStyle w:val="Hyperlink"/>
                <w:noProof/>
              </w:rPr>
              <w:t>Chapter 8: Contemporary Discussion</w:t>
            </w:r>
            <w:r>
              <w:rPr>
                <w:noProof/>
                <w:webHidden/>
              </w:rPr>
              <w:tab/>
            </w:r>
            <w:r>
              <w:rPr>
                <w:noProof/>
                <w:webHidden/>
              </w:rPr>
              <w:fldChar w:fldCharType="begin"/>
            </w:r>
            <w:r>
              <w:rPr>
                <w:noProof/>
                <w:webHidden/>
              </w:rPr>
              <w:instrText xml:space="preserve"> PAGEREF _Toc83646464 \h </w:instrText>
            </w:r>
            <w:r>
              <w:rPr>
                <w:noProof/>
                <w:webHidden/>
              </w:rPr>
            </w:r>
            <w:r>
              <w:rPr>
                <w:noProof/>
                <w:webHidden/>
              </w:rPr>
              <w:fldChar w:fldCharType="separate"/>
            </w:r>
            <w:r>
              <w:rPr>
                <w:noProof/>
                <w:webHidden/>
              </w:rPr>
              <w:t>47</w:t>
            </w:r>
            <w:r>
              <w:rPr>
                <w:noProof/>
                <w:webHidden/>
              </w:rPr>
              <w:fldChar w:fldCharType="end"/>
            </w:r>
          </w:hyperlink>
        </w:p>
        <w:p w14:paraId="292F39D7" w14:textId="4A9E007D" w:rsidR="0030627C" w:rsidRDefault="0030627C">
          <w:pPr>
            <w:pStyle w:val="TOC2"/>
            <w:tabs>
              <w:tab w:val="right" w:leader="dot" w:pos="9010"/>
            </w:tabs>
            <w:rPr>
              <w:rFonts w:eastAsiaTheme="minorEastAsia"/>
              <w:smallCaps w:val="0"/>
              <w:noProof/>
              <w:sz w:val="24"/>
              <w:szCs w:val="24"/>
              <w:lang w:eastAsia="en-GB"/>
            </w:rPr>
          </w:pPr>
          <w:hyperlink w:anchor="_Toc83646465" w:history="1">
            <w:r w:rsidRPr="00D037A3">
              <w:rPr>
                <w:rStyle w:val="Hyperlink"/>
                <w:noProof/>
              </w:rPr>
              <w:t>8.1: WSH on Twitter</w:t>
            </w:r>
            <w:r>
              <w:rPr>
                <w:noProof/>
                <w:webHidden/>
              </w:rPr>
              <w:tab/>
            </w:r>
            <w:r>
              <w:rPr>
                <w:noProof/>
                <w:webHidden/>
              </w:rPr>
              <w:fldChar w:fldCharType="begin"/>
            </w:r>
            <w:r>
              <w:rPr>
                <w:noProof/>
                <w:webHidden/>
              </w:rPr>
              <w:instrText xml:space="preserve"> PAGEREF _Toc83646465 \h </w:instrText>
            </w:r>
            <w:r>
              <w:rPr>
                <w:noProof/>
                <w:webHidden/>
              </w:rPr>
            </w:r>
            <w:r>
              <w:rPr>
                <w:noProof/>
                <w:webHidden/>
              </w:rPr>
              <w:fldChar w:fldCharType="separate"/>
            </w:r>
            <w:r>
              <w:rPr>
                <w:noProof/>
                <w:webHidden/>
              </w:rPr>
              <w:t>47</w:t>
            </w:r>
            <w:r>
              <w:rPr>
                <w:noProof/>
                <w:webHidden/>
              </w:rPr>
              <w:fldChar w:fldCharType="end"/>
            </w:r>
          </w:hyperlink>
        </w:p>
        <w:p w14:paraId="13CAC466" w14:textId="283ABFD0" w:rsidR="0030627C" w:rsidRDefault="0030627C">
          <w:pPr>
            <w:pStyle w:val="TOC3"/>
            <w:tabs>
              <w:tab w:val="right" w:leader="dot" w:pos="9010"/>
            </w:tabs>
            <w:rPr>
              <w:rFonts w:eastAsiaTheme="minorEastAsia"/>
              <w:i w:val="0"/>
              <w:iCs w:val="0"/>
              <w:noProof/>
              <w:sz w:val="24"/>
              <w:szCs w:val="24"/>
              <w:lang w:eastAsia="en-GB"/>
            </w:rPr>
          </w:pPr>
          <w:hyperlink w:anchor="_Toc83646466" w:history="1">
            <w:r w:rsidRPr="00D037A3">
              <w:rPr>
                <w:rStyle w:val="Hyperlink"/>
                <w:noProof/>
              </w:rPr>
              <w:t>8.1.1: WSH: A Recognised House System</w:t>
            </w:r>
            <w:r>
              <w:rPr>
                <w:noProof/>
                <w:webHidden/>
              </w:rPr>
              <w:tab/>
            </w:r>
            <w:r>
              <w:rPr>
                <w:noProof/>
                <w:webHidden/>
              </w:rPr>
              <w:fldChar w:fldCharType="begin"/>
            </w:r>
            <w:r>
              <w:rPr>
                <w:noProof/>
                <w:webHidden/>
              </w:rPr>
              <w:instrText xml:space="preserve"> PAGEREF _Toc83646466 \h </w:instrText>
            </w:r>
            <w:r>
              <w:rPr>
                <w:noProof/>
                <w:webHidden/>
              </w:rPr>
            </w:r>
            <w:r>
              <w:rPr>
                <w:noProof/>
                <w:webHidden/>
              </w:rPr>
              <w:fldChar w:fldCharType="separate"/>
            </w:r>
            <w:r>
              <w:rPr>
                <w:noProof/>
                <w:webHidden/>
              </w:rPr>
              <w:t>47</w:t>
            </w:r>
            <w:r>
              <w:rPr>
                <w:noProof/>
                <w:webHidden/>
              </w:rPr>
              <w:fldChar w:fldCharType="end"/>
            </w:r>
          </w:hyperlink>
        </w:p>
        <w:p w14:paraId="64DD47FB" w14:textId="25C3852D" w:rsidR="0030627C" w:rsidRDefault="0030627C">
          <w:pPr>
            <w:pStyle w:val="TOC3"/>
            <w:tabs>
              <w:tab w:val="right" w:leader="dot" w:pos="9010"/>
            </w:tabs>
            <w:rPr>
              <w:rFonts w:eastAsiaTheme="minorEastAsia"/>
              <w:i w:val="0"/>
              <w:iCs w:val="0"/>
              <w:noProof/>
              <w:sz w:val="24"/>
              <w:szCs w:val="24"/>
              <w:lang w:eastAsia="en-GB"/>
            </w:rPr>
          </w:pPr>
          <w:hyperlink w:anchor="_Toc83646467" w:history="1">
            <w:r w:rsidRPr="00D037A3">
              <w:rPr>
                <w:rStyle w:val="Hyperlink"/>
                <w:noProof/>
              </w:rPr>
              <w:t>8.1.2: WSH and Originality</w:t>
            </w:r>
            <w:r>
              <w:rPr>
                <w:noProof/>
                <w:webHidden/>
              </w:rPr>
              <w:tab/>
            </w:r>
            <w:r>
              <w:rPr>
                <w:noProof/>
                <w:webHidden/>
              </w:rPr>
              <w:fldChar w:fldCharType="begin"/>
            </w:r>
            <w:r>
              <w:rPr>
                <w:noProof/>
                <w:webHidden/>
              </w:rPr>
              <w:instrText xml:space="preserve"> PAGEREF _Toc83646467 \h </w:instrText>
            </w:r>
            <w:r>
              <w:rPr>
                <w:noProof/>
                <w:webHidden/>
              </w:rPr>
            </w:r>
            <w:r>
              <w:rPr>
                <w:noProof/>
                <w:webHidden/>
              </w:rPr>
              <w:fldChar w:fldCharType="separate"/>
            </w:r>
            <w:r>
              <w:rPr>
                <w:noProof/>
                <w:webHidden/>
              </w:rPr>
              <w:t>49</w:t>
            </w:r>
            <w:r>
              <w:rPr>
                <w:noProof/>
                <w:webHidden/>
              </w:rPr>
              <w:fldChar w:fldCharType="end"/>
            </w:r>
          </w:hyperlink>
        </w:p>
        <w:p w14:paraId="181F5A9A" w14:textId="458C6381" w:rsidR="0030627C" w:rsidRDefault="0030627C">
          <w:pPr>
            <w:pStyle w:val="TOC3"/>
            <w:tabs>
              <w:tab w:val="right" w:leader="dot" w:pos="9010"/>
            </w:tabs>
            <w:rPr>
              <w:rFonts w:eastAsiaTheme="minorEastAsia"/>
              <w:i w:val="0"/>
              <w:iCs w:val="0"/>
              <w:noProof/>
              <w:sz w:val="24"/>
              <w:szCs w:val="24"/>
              <w:lang w:eastAsia="en-GB"/>
            </w:rPr>
          </w:pPr>
          <w:hyperlink w:anchor="_Toc83646468" w:history="1">
            <w:r w:rsidRPr="00D037A3">
              <w:rPr>
                <w:rStyle w:val="Hyperlink"/>
                <w:noProof/>
              </w:rPr>
              <w:t>8.1.3: Twitter Summation</w:t>
            </w:r>
            <w:r>
              <w:rPr>
                <w:noProof/>
                <w:webHidden/>
              </w:rPr>
              <w:tab/>
            </w:r>
            <w:r>
              <w:rPr>
                <w:noProof/>
                <w:webHidden/>
              </w:rPr>
              <w:fldChar w:fldCharType="begin"/>
            </w:r>
            <w:r>
              <w:rPr>
                <w:noProof/>
                <w:webHidden/>
              </w:rPr>
              <w:instrText xml:space="preserve"> PAGEREF _Toc83646468 \h </w:instrText>
            </w:r>
            <w:r>
              <w:rPr>
                <w:noProof/>
                <w:webHidden/>
              </w:rPr>
            </w:r>
            <w:r>
              <w:rPr>
                <w:noProof/>
                <w:webHidden/>
              </w:rPr>
              <w:fldChar w:fldCharType="separate"/>
            </w:r>
            <w:r>
              <w:rPr>
                <w:noProof/>
                <w:webHidden/>
              </w:rPr>
              <w:t>50</w:t>
            </w:r>
            <w:r>
              <w:rPr>
                <w:noProof/>
                <w:webHidden/>
              </w:rPr>
              <w:fldChar w:fldCharType="end"/>
            </w:r>
          </w:hyperlink>
        </w:p>
        <w:p w14:paraId="05E38770" w14:textId="74CAC6F5" w:rsidR="0030627C" w:rsidRDefault="0030627C">
          <w:pPr>
            <w:pStyle w:val="TOC2"/>
            <w:tabs>
              <w:tab w:val="right" w:leader="dot" w:pos="9010"/>
            </w:tabs>
            <w:rPr>
              <w:rFonts w:eastAsiaTheme="minorEastAsia"/>
              <w:smallCaps w:val="0"/>
              <w:noProof/>
              <w:sz w:val="24"/>
              <w:szCs w:val="24"/>
              <w:lang w:eastAsia="en-GB"/>
            </w:rPr>
          </w:pPr>
          <w:hyperlink w:anchor="_Toc83646469" w:history="1">
            <w:r w:rsidRPr="00D037A3">
              <w:rPr>
                <w:rStyle w:val="Hyperlink"/>
                <w:noProof/>
              </w:rPr>
              <w:t>8.2: WSH on Facebook</w:t>
            </w:r>
            <w:r>
              <w:rPr>
                <w:noProof/>
                <w:webHidden/>
              </w:rPr>
              <w:tab/>
            </w:r>
            <w:r>
              <w:rPr>
                <w:noProof/>
                <w:webHidden/>
              </w:rPr>
              <w:fldChar w:fldCharType="begin"/>
            </w:r>
            <w:r>
              <w:rPr>
                <w:noProof/>
                <w:webHidden/>
              </w:rPr>
              <w:instrText xml:space="preserve"> PAGEREF _Toc83646469 \h </w:instrText>
            </w:r>
            <w:r>
              <w:rPr>
                <w:noProof/>
                <w:webHidden/>
              </w:rPr>
            </w:r>
            <w:r>
              <w:rPr>
                <w:noProof/>
                <w:webHidden/>
              </w:rPr>
              <w:fldChar w:fldCharType="separate"/>
            </w:r>
            <w:r>
              <w:rPr>
                <w:noProof/>
                <w:webHidden/>
              </w:rPr>
              <w:t>50</w:t>
            </w:r>
            <w:r>
              <w:rPr>
                <w:noProof/>
                <w:webHidden/>
              </w:rPr>
              <w:fldChar w:fldCharType="end"/>
            </w:r>
          </w:hyperlink>
        </w:p>
        <w:p w14:paraId="04CF7DBA" w14:textId="2101941E" w:rsidR="0030627C" w:rsidRDefault="0030627C">
          <w:pPr>
            <w:pStyle w:val="TOC3"/>
            <w:tabs>
              <w:tab w:val="right" w:leader="dot" w:pos="9010"/>
            </w:tabs>
            <w:rPr>
              <w:rFonts w:eastAsiaTheme="minorEastAsia"/>
              <w:i w:val="0"/>
              <w:iCs w:val="0"/>
              <w:noProof/>
              <w:sz w:val="24"/>
              <w:szCs w:val="24"/>
              <w:lang w:eastAsia="en-GB"/>
            </w:rPr>
          </w:pPr>
          <w:hyperlink w:anchor="_Toc83646470" w:history="1">
            <w:r w:rsidRPr="00D037A3">
              <w:rPr>
                <w:rStyle w:val="Hyperlink"/>
                <w:noProof/>
              </w:rPr>
              <w:t>8.2.1: Tradition and Gatekeeping</w:t>
            </w:r>
            <w:r>
              <w:rPr>
                <w:noProof/>
                <w:webHidden/>
              </w:rPr>
              <w:tab/>
            </w:r>
            <w:r>
              <w:rPr>
                <w:noProof/>
                <w:webHidden/>
              </w:rPr>
              <w:fldChar w:fldCharType="begin"/>
            </w:r>
            <w:r>
              <w:rPr>
                <w:noProof/>
                <w:webHidden/>
              </w:rPr>
              <w:instrText xml:space="preserve"> PAGEREF _Toc83646470 \h </w:instrText>
            </w:r>
            <w:r>
              <w:rPr>
                <w:noProof/>
                <w:webHidden/>
              </w:rPr>
            </w:r>
            <w:r>
              <w:rPr>
                <w:noProof/>
                <w:webHidden/>
              </w:rPr>
              <w:fldChar w:fldCharType="separate"/>
            </w:r>
            <w:r>
              <w:rPr>
                <w:noProof/>
                <w:webHidden/>
              </w:rPr>
              <w:t>51</w:t>
            </w:r>
            <w:r>
              <w:rPr>
                <w:noProof/>
                <w:webHidden/>
              </w:rPr>
              <w:fldChar w:fldCharType="end"/>
            </w:r>
          </w:hyperlink>
        </w:p>
        <w:p w14:paraId="2716F83A" w14:textId="1790FF29" w:rsidR="0030627C" w:rsidRDefault="0030627C">
          <w:pPr>
            <w:pStyle w:val="TOC3"/>
            <w:tabs>
              <w:tab w:val="right" w:leader="dot" w:pos="9010"/>
            </w:tabs>
            <w:rPr>
              <w:rFonts w:eastAsiaTheme="minorEastAsia"/>
              <w:i w:val="0"/>
              <w:iCs w:val="0"/>
              <w:noProof/>
              <w:sz w:val="24"/>
              <w:szCs w:val="24"/>
              <w:lang w:eastAsia="en-GB"/>
            </w:rPr>
          </w:pPr>
          <w:hyperlink w:anchor="_Toc83646471" w:history="1">
            <w:r w:rsidRPr="00D037A3">
              <w:rPr>
                <w:rStyle w:val="Hyperlink"/>
                <w:noProof/>
              </w:rPr>
              <w:t>8.2.2: Defining a House System</w:t>
            </w:r>
            <w:r>
              <w:rPr>
                <w:noProof/>
                <w:webHidden/>
              </w:rPr>
              <w:tab/>
            </w:r>
            <w:r>
              <w:rPr>
                <w:noProof/>
                <w:webHidden/>
              </w:rPr>
              <w:fldChar w:fldCharType="begin"/>
            </w:r>
            <w:r>
              <w:rPr>
                <w:noProof/>
                <w:webHidden/>
              </w:rPr>
              <w:instrText xml:space="preserve"> PAGEREF _Toc83646471 \h </w:instrText>
            </w:r>
            <w:r>
              <w:rPr>
                <w:noProof/>
                <w:webHidden/>
              </w:rPr>
            </w:r>
            <w:r>
              <w:rPr>
                <w:noProof/>
                <w:webHidden/>
              </w:rPr>
              <w:fldChar w:fldCharType="separate"/>
            </w:r>
            <w:r>
              <w:rPr>
                <w:noProof/>
                <w:webHidden/>
              </w:rPr>
              <w:t>52</w:t>
            </w:r>
            <w:r>
              <w:rPr>
                <w:noProof/>
                <w:webHidden/>
              </w:rPr>
              <w:fldChar w:fldCharType="end"/>
            </w:r>
          </w:hyperlink>
        </w:p>
        <w:p w14:paraId="373D90A1" w14:textId="362BDB4C" w:rsidR="0030627C" w:rsidRDefault="0030627C">
          <w:pPr>
            <w:pStyle w:val="TOC3"/>
            <w:tabs>
              <w:tab w:val="right" w:leader="dot" w:pos="9010"/>
            </w:tabs>
            <w:rPr>
              <w:rFonts w:eastAsiaTheme="minorEastAsia"/>
              <w:i w:val="0"/>
              <w:iCs w:val="0"/>
              <w:noProof/>
              <w:sz w:val="24"/>
              <w:szCs w:val="24"/>
              <w:lang w:eastAsia="en-GB"/>
            </w:rPr>
          </w:pPr>
          <w:hyperlink w:anchor="_Toc83646472" w:history="1">
            <w:r w:rsidRPr="00D037A3">
              <w:rPr>
                <w:rStyle w:val="Hyperlink"/>
                <w:noProof/>
              </w:rPr>
              <w:t>8.2.3: Facebook Summation</w:t>
            </w:r>
            <w:r>
              <w:rPr>
                <w:noProof/>
                <w:webHidden/>
              </w:rPr>
              <w:tab/>
            </w:r>
            <w:r>
              <w:rPr>
                <w:noProof/>
                <w:webHidden/>
              </w:rPr>
              <w:fldChar w:fldCharType="begin"/>
            </w:r>
            <w:r>
              <w:rPr>
                <w:noProof/>
                <w:webHidden/>
              </w:rPr>
              <w:instrText xml:space="preserve"> PAGEREF _Toc83646472 \h </w:instrText>
            </w:r>
            <w:r>
              <w:rPr>
                <w:noProof/>
                <w:webHidden/>
              </w:rPr>
            </w:r>
            <w:r>
              <w:rPr>
                <w:noProof/>
                <w:webHidden/>
              </w:rPr>
              <w:fldChar w:fldCharType="separate"/>
            </w:r>
            <w:r>
              <w:rPr>
                <w:noProof/>
                <w:webHidden/>
              </w:rPr>
              <w:t>53</w:t>
            </w:r>
            <w:r>
              <w:rPr>
                <w:noProof/>
                <w:webHidden/>
              </w:rPr>
              <w:fldChar w:fldCharType="end"/>
            </w:r>
          </w:hyperlink>
        </w:p>
        <w:p w14:paraId="4FE235DF" w14:textId="6F04C620" w:rsidR="0030627C" w:rsidRDefault="0030627C">
          <w:pPr>
            <w:pStyle w:val="TOC2"/>
            <w:tabs>
              <w:tab w:val="right" w:leader="dot" w:pos="9010"/>
            </w:tabs>
            <w:rPr>
              <w:rFonts w:eastAsiaTheme="minorEastAsia"/>
              <w:smallCaps w:val="0"/>
              <w:noProof/>
              <w:sz w:val="24"/>
              <w:szCs w:val="24"/>
              <w:lang w:eastAsia="en-GB"/>
            </w:rPr>
          </w:pPr>
          <w:hyperlink w:anchor="_Toc83646473" w:history="1">
            <w:r w:rsidRPr="00D037A3">
              <w:rPr>
                <w:rStyle w:val="Hyperlink"/>
                <w:noProof/>
              </w:rPr>
              <w:t>8.3 Summation, WSH &amp; Social Media</w:t>
            </w:r>
            <w:r>
              <w:rPr>
                <w:noProof/>
                <w:webHidden/>
              </w:rPr>
              <w:tab/>
            </w:r>
            <w:r>
              <w:rPr>
                <w:noProof/>
                <w:webHidden/>
              </w:rPr>
              <w:fldChar w:fldCharType="begin"/>
            </w:r>
            <w:r>
              <w:rPr>
                <w:noProof/>
                <w:webHidden/>
              </w:rPr>
              <w:instrText xml:space="preserve"> PAGEREF _Toc83646473 \h </w:instrText>
            </w:r>
            <w:r>
              <w:rPr>
                <w:noProof/>
                <w:webHidden/>
              </w:rPr>
            </w:r>
            <w:r>
              <w:rPr>
                <w:noProof/>
                <w:webHidden/>
              </w:rPr>
              <w:fldChar w:fldCharType="separate"/>
            </w:r>
            <w:r>
              <w:rPr>
                <w:noProof/>
                <w:webHidden/>
              </w:rPr>
              <w:t>54</w:t>
            </w:r>
            <w:r>
              <w:rPr>
                <w:noProof/>
                <w:webHidden/>
              </w:rPr>
              <w:fldChar w:fldCharType="end"/>
            </w:r>
          </w:hyperlink>
        </w:p>
        <w:p w14:paraId="34398D7F" w14:textId="186E8C4C" w:rsidR="0030627C" w:rsidRDefault="0030627C">
          <w:pPr>
            <w:pStyle w:val="TOC1"/>
            <w:tabs>
              <w:tab w:val="right" w:leader="dot" w:pos="9010"/>
            </w:tabs>
            <w:rPr>
              <w:rFonts w:eastAsiaTheme="minorEastAsia"/>
              <w:b w:val="0"/>
              <w:bCs w:val="0"/>
              <w:caps w:val="0"/>
              <w:noProof/>
              <w:sz w:val="24"/>
              <w:szCs w:val="24"/>
              <w:lang w:eastAsia="en-GB"/>
            </w:rPr>
          </w:pPr>
          <w:hyperlink w:anchor="_Toc83646474" w:history="1">
            <w:r w:rsidRPr="00D037A3">
              <w:rPr>
                <w:rStyle w:val="Hyperlink"/>
                <w:noProof/>
              </w:rPr>
              <w:t>9: WSH: An Invented Tradition?</w:t>
            </w:r>
            <w:r>
              <w:rPr>
                <w:noProof/>
                <w:webHidden/>
              </w:rPr>
              <w:tab/>
            </w:r>
            <w:r>
              <w:rPr>
                <w:noProof/>
                <w:webHidden/>
              </w:rPr>
              <w:fldChar w:fldCharType="begin"/>
            </w:r>
            <w:r>
              <w:rPr>
                <w:noProof/>
                <w:webHidden/>
              </w:rPr>
              <w:instrText xml:space="preserve"> PAGEREF _Toc83646474 \h </w:instrText>
            </w:r>
            <w:r>
              <w:rPr>
                <w:noProof/>
                <w:webHidden/>
              </w:rPr>
            </w:r>
            <w:r>
              <w:rPr>
                <w:noProof/>
                <w:webHidden/>
              </w:rPr>
              <w:fldChar w:fldCharType="separate"/>
            </w:r>
            <w:r>
              <w:rPr>
                <w:noProof/>
                <w:webHidden/>
              </w:rPr>
              <w:t>54</w:t>
            </w:r>
            <w:r>
              <w:rPr>
                <w:noProof/>
                <w:webHidden/>
              </w:rPr>
              <w:fldChar w:fldCharType="end"/>
            </w:r>
          </w:hyperlink>
        </w:p>
        <w:p w14:paraId="1EF600AE" w14:textId="5A7FC24D" w:rsidR="0030627C" w:rsidRDefault="0030627C">
          <w:pPr>
            <w:pStyle w:val="TOC2"/>
            <w:tabs>
              <w:tab w:val="right" w:leader="dot" w:pos="9010"/>
            </w:tabs>
            <w:rPr>
              <w:rFonts w:eastAsiaTheme="minorEastAsia"/>
              <w:smallCaps w:val="0"/>
              <w:noProof/>
              <w:sz w:val="24"/>
              <w:szCs w:val="24"/>
              <w:lang w:eastAsia="en-GB"/>
            </w:rPr>
          </w:pPr>
          <w:hyperlink w:anchor="_Toc83646475" w:history="1">
            <w:r w:rsidRPr="00D037A3">
              <w:rPr>
                <w:rStyle w:val="Hyperlink"/>
                <w:noProof/>
              </w:rPr>
              <w:t>9.1: WSH, the Original House System?</w:t>
            </w:r>
            <w:r>
              <w:rPr>
                <w:noProof/>
                <w:webHidden/>
              </w:rPr>
              <w:tab/>
            </w:r>
            <w:r>
              <w:rPr>
                <w:noProof/>
                <w:webHidden/>
              </w:rPr>
              <w:fldChar w:fldCharType="begin"/>
            </w:r>
            <w:r>
              <w:rPr>
                <w:noProof/>
                <w:webHidden/>
              </w:rPr>
              <w:instrText xml:space="preserve"> PAGEREF _Toc83646475 \h </w:instrText>
            </w:r>
            <w:r>
              <w:rPr>
                <w:noProof/>
                <w:webHidden/>
              </w:rPr>
            </w:r>
            <w:r>
              <w:rPr>
                <w:noProof/>
                <w:webHidden/>
              </w:rPr>
              <w:fldChar w:fldCharType="separate"/>
            </w:r>
            <w:r>
              <w:rPr>
                <w:noProof/>
                <w:webHidden/>
              </w:rPr>
              <w:t>55</w:t>
            </w:r>
            <w:r>
              <w:rPr>
                <w:noProof/>
                <w:webHidden/>
              </w:rPr>
              <w:fldChar w:fldCharType="end"/>
            </w:r>
          </w:hyperlink>
        </w:p>
        <w:p w14:paraId="5E84C7E2" w14:textId="72FEE0DD" w:rsidR="0030627C" w:rsidRDefault="0030627C">
          <w:pPr>
            <w:pStyle w:val="TOC2"/>
            <w:tabs>
              <w:tab w:val="right" w:leader="dot" w:pos="9010"/>
            </w:tabs>
            <w:rPr>
              <w:rFonts w:eastAsiaTheme="minorEastAsia"/>
              <w:smallCaps w:val="0"/>
              <w:noProof/>
              <w:sz w:val="24"/>
              <w:szCs w:val="24"/>
              <w:lang w:eastAsia="en-GB"/>
            </w:rPr>
          </w:pPr>
          <w:hyperlink w:anchor="_Toc83646476" w:history="1">
            <w:r w:rsidRPr="00D037A3">
              <w:rPr>
                <w:rStyle w:val="Hyperlink"/>
                <w:noProof/>
              </w:rPr>
              <w:t>9.2: WSH, the Preferred House System?</w:t>
            </w:r>
            <w:r>
              <w:rPr>
                <w:noProof/>
                <w:webHidden/>
              </w:rPr>
              <w:tab/>
            </w:r>
            <w:r>
              <w:rPr>
                <w:noProof/>
                <w:webHidden/>
              </w:rPr>
              <w:fldChar w:fldCharType="begin"/>
            </w:r>
            <w:r>
              <w:rPr>
                <w:noProof/>
                <w:webHidden/>
              </w:rPr>
              <w:instrText xml:space="preserve"> PAGEREF _Toc83646476 \h </w:instrText>
            </w:r>
            <w:r>
              <w:rPr>
                <w:noProof/>
                <w:webHidden/>
              </w:rPr>
            </w:r>
            <w:r>
              <w:rPr>
                <w:noProof/>
                <w:webHidden/>
              </w:rPr>
              <w:fldChar w:fldCharType="separate"/>
            </w:r>
            <w:r>
              <w:rPr>
                <w:noProof/>
                <w:webHidden/>
              </w:rPr>
              <w:t>55</w:t>
            </w:r>
            <w:r>
              <w:rPr>
                <w:noProof/>
                <w:webHidden/>
              </w:rPr>
              <w:fldChar w:fldCharType="end"/>
            </w:r>
          </w:hyperlink>
        </w:p>
        <w:p w14:paraId="26F51D8B" w14:textId="1EF5D508" w:rsidR="0030627C" w:rsidRDefault="0030627C">
          <w:pPr>
            <w:pStyle w:val="TOC2"/>
            <w:tabs>
              <w:tab w:val="right" w:leader="dot" w:pos="9010"/>
            </w:tabs>
            <w:rPr>
              <w:rFonts w:eastAsiaTheme="minorEastAsia"/>
              <w:smallCaps w:val="0"/>
              <w:noProof/>
              <w:sz w:val="24"/>
              <w:szCs w:val="24"/>
              <w:lang w:eastAsia="en-GB"/>
            </w:rPr>
          </w:pPr>
          <w:hyperlink w:anchor="_Toc83646477" w:history="1">
            <w:r w:rsidRPr="00D037A3">
              <w:rPr>
                <w:rStyle w:val="Hyperlink"/>
                <w:noProof/>
              </w:rPr>
              <w:t>9.2: WSH: An Invented Tradition</w:t>
            </w:r>
            <w:r>
              <w:rPr>
                <w:noProof/>
                <w:webHidden/>
              </w:rPr>
              <w:tab/>
            </w:r>
            <w:r>
              <w:rPr>
                <w:noProof/>
                <w:webHidden/>
              </w:rPr>
              <w:fldChar w:fldCharType="begin"/>
            </w:r>
            <w:r>
              <w:rPr>
                <w:noProof/>
                <w:webHidden/>
              </w:rPr>
              <w:instrText xml:space="preserve"> PAGEREF _Toc83646477 \h </w:instrText>
            </w:r>
            <w:r>
              <w:rPr>
                <w:noProof/>
                <w:webHidden/>
              </w:rPr>
            </w:r>
            <w:r>
              <w:rPr>
                <w:noProof/>
                <w:webHidden/>
              </w:rPr>
              <w:fldChar w:fldCharType="separate"/>
            </w:r>
            <w:r>
              <w:rPr>
                <w:noProof/>
                <w:webHidden/>
              </w:rPr>
              <w:t>56</w:t>
            </w:r>
            <w:r>
              <w:rPr>
                <w:noProof/>
                <w:webHidden/>
              </w:rPr>
              <w:fldChar w:fldCharType="end"/>
            </w:r>
          </w:hyperlink>
        </w:p>
        <w:p w14:paraId="247B1B50" w14:textId="4A60B3EC" w:rsidR="0030627C" w:rsidRDefault="0030627C">
          <w:pPr>
            <w:pStyle w:val="TOC1"/>
            <w:tabs>
              <w:tab w:val="right" w:leader="dot" w:pos="9010"/>
            </w:tabs>
            <w:rPr>
              <w:rFonts w:eastAsiaTheme="minorEastAsia"/>
              <w:b w:val="0"/>
              <w:bCs w:val="0"/>
              <w:caps w:val="0"/>
              <w:noProof/>
              <w:sz w:val="24"/>
              <w:szCs w:val="24"/>
              <w:lang w:eastAsia="en-GB"/>
            </w:rPr>
          </w:pPr>
          <w:hyperlink w:anchor="_Toc83646478" w:history="1">
            <w:r w:rsidRPr="00D037A3">
              <w:rPr>
                <w:rStyle w:val="Hyperlink"/>
                <w:noProof/>
              </w:rPr>
              <w:t>10: Conclusion</w:t>
            </w:r>
            <w:r>
              <w:rPr>
                <w:noProof/>
                <w:webHidden/>
              </w:rPr>
              <w:tab/>
            </w:r>
            <w:r>
              <w:rPr>
                <w:noProof/>
                <w:webHidden/>
              </w:rPr>
              <w:fldChar w:fldCharType="begin"/>
            </w:r>
            <w:r>
              <w:rPr>
                <w:noProof/>
                <w:webHidden/>
              </w:rPr>
              <w:instrText xml:space="preserve"> PAGEREF _Toc83646478 \h </w:instrText>
            </w:r>
            <w:r>
              <w:rPr>
                <w:noProof/>
                <w:webHidden/>
              </w:rPr>
            </w:r>
            <w:r>
              <w:rPr>
                <w:noProof/>
                <w:webHidden/>
              </w:rPr>
              <w:fldChar w:fldCharType="separate"/>
            </w:r>
            <w:r>
              <w:rPr>
                <w:noProof/>
                <w:webHidden/>
              </w:rPr>
              <w:t>56</w:t>
            </w:r>
            <w:r>
              <w:rPr>
                <w:noProof/>
                <w:webHidden/>
              </w:rPr>
              <w:fldChar w:fldCharType="end"/>
            </w:r>
          </w:hyperlink>
        </w:p>
        <w:p w14:paraId="21D3A049" w14:textId="52F82DF2" w:rsidR="0030627C" w:rsidRDefault="0030627C">
          <w:pPr>
            <w:pStyle w:val="TOC1"/>
            <w:tabs>
              <w:tab w:val="right" w:leader="dot" w:pos="9010"/>
            </w:tabs>
            <w:rPr>
              <w:rFonts w:eastAsiaTheme="minorEastAsia"/>
              <w:b w:val="0"/>
              <w:bCs w:val="0"/>
              <w:caps w:val="0"/>
              <w:noProof/>
              <w:sz w:val="24"/>
              <w:szCs w:val="24"/>
              <w:lang w:eastAsia="en-GB"/>
            </w:rPr>
          </w:pPr>
          <w:hyperlink w:anchor="_Toc83646479" w:history="1">
            <w:r w:rsidRPr="00D037A3">
              <w:rPr>
                <w:rStyle w:val="Hyperlink"/>
                <w:noProof/>
              </w:rPr>
              <w:t>Bibliography</w:t>
            </w:r>
            <w:r>
              <w:rPr>
                <w:noProof/>
                <w:webHidden/>
              </w:rPr>
              <w:tab/>
            </w:r>
            <w:r>
              <w:rPr>
                <w:noProof/>
                <w:webHidden/>
              </w:rPr>
              <w:fldChar w:fldCharType="begin"/>
            </w:r>
            <w:r>
              <w:rPr>
                <w:noProof/>
                <w:webHidden/>
              </w:rPr>
              <w:instrText xml:space="preserve"> PAGEREF _Toc83646479 \h </w:instrText>
            </w:r>
            <w:r>
              <w:rPr>
                <w:noProof/>
                <w:webHidden/>
              </w:rPr>
            </w:r>
            <w:r>
              <w:rPr>
                <w:noProof/>
                <w:webHidden/>
              </w:rPr>
              <w:fldChar w:fldCharType="separate"/>
            </w:r>
            <w:r>
              <w:rPr>
                <w:noProof/>
                <w:webHidden/>
              </w:rPr>
              <w:t>60</w:t>
            </w:r>
            <w:r>
              <w:rPr>
                <w:noProof/>
                <w:webHidden/>
              </w:rPr>
              <w:fldChar w:fldCharType="end"/>
            </w:r>
          </w:hyperlink>
        </w:p>
        <w:p w14:paraId="4EB8CA4A" w14:textId="410D3E45" w:rsidR="0030627C" w:rsidRDefault="0030627C">
          <w:pPr>
            <w:pStyle w:val="TOC2"/>
            <w:tabs>
              <w:tab w:val="right" w:leader="dot" w:pos="9010"/>
            </w:tabs>
            <w:rPr>
              <w:rFonts w:eastAsiaTheme="minorEastAsia"/>
              <w:smallCaps w:val="0"/>
              <w:noProof/>
              <w:sz w:val="24"/>
              <w:szCs w:val="24"/>
              <w:lang w:eastAsia="en-GB"/>
            </w:rPr>
          </w:pPr>
          <w:hyperlink w:anchor="_Toc83646480" w:history="1">
            <w:r w:rsidRPr="00D037A3">
              <w:rPr>
                <w:rStyle w:val="Hyperlink"/>
                <w:noProof/>
              </w:rPr>
              <w:t>Primary Sources</w:t>
            </w:r>
            <w:r>
              <w:rPr>
                <w:noProof/>
                <w:webHidden/>
              </w:rPr>
              <w:tab/>
            </w:r>
            <w:r>
              <w:rPr>
                <w:noProof/>
                <w:webHidden/>
              </w:rPr>
              <w:fldChar w:fldCharType="begin"/>
            </w:r>
            <w:r>
              <w:rPr>
                <w:noProof/>
                <w:webHidden/>
              </w:rPr>
              <w:instrText xml:space="preserve"> PAGEREF _Toc83646480 \h </w:instrText>
            </w:r>
            <w:r>
              <w:rPr>
                <w:noProof/>
                <w:webHidden/>
              </w:rPr>
            </w:r>
            <w:r>
              <w:rPr>
                <w:noProof/>
                <w:webHidden/>
              </w:rPr>
              <w:fldChar w:fldCharType="separate"/>
            </w:r>
            <w:r>
              <w:rPr>
                <w:noProof/>
                <w:webHidden/>
              </w:rPr>
              <w:t>60</w:t>
            </w:r>
            <w:r>
              <w:rPr>
                <w:noProof/>
                <w:webHidden/>
              </w:rPr>
              <w:fldChar w:fldCharType="end"/>
            </w:r>
          </w:hyperlink>
        </w:p>
        <w:p w14:paraId="22355473" w14:textId="44D58838" w:rsidR="0030627C" w:rsidRDefault="0030627C">
          <w:pPr>
            <w:pStyle w:val="TOC2"/>
            <w:tabs>
              <w:tab w:val="right" w:leader="dot" w:pos="9010"/>
            </w:tabs>
            <w:rPr>
              <w:rFonts w:eastAsiaTheme="minorEastAsia"/>
              <w:smallCaps w:val="0"/>
              <w:noProof/>
              <w:sz w:val="24"/>
              <w:szCs w:val="24"/>
              <w:lang w:eastAsia="en-GB"/>
            </w:rPr>
          </w:pPr>
          <w:hyperlink w:anchor="_Toc83646481" w:history="1">
            <w:r w:rsidRPr="00D037A3">
              <w:rPr>
                <w:rStyle w:val="Hyperlink"/>
                <w:noProof/>
              </w:rPr>
              <w:t>Secondary Sources</w:t>
            </w:r>
            <w:r>
              <w:rPr>
                <w:noProof/>
                <w:webHidden/>
              </w:rPr>
              <w:tab/>
            </w:r>
            <w:r>
              <w:rPr>
                <w:noProof/>
                <w:webHidden/>
              </w:rPr>
              <w:fldChar w:fldCharType="begin"/>
            </w:r>
            <w:r>
              <w:rPr>
                <w:noProof/>
                <w:webHidden/>
              </w:rPr>
              <w:instrText xml:space="preserve"> PAGEREF _Toc83646481 \h </w:instrText>
            </w:r>
            <w:r>
              <w:rPr>
                <w:noProof/>
                <w:webHidden/>
              </w:rPr>
            </w:r>
            <w:r>
              <w:rPr>
                <w:noProof/>
                <w:webHidden/>
              </w:rPr>
              <w:fldChar w:fldCharType="separate"/>
            </w:r>
            <w:r>
              <w:rPr>
                <w:noProof/>
                <w:webHidden/>
              </w:rPr>
              <w:t>64</w:t>
            </w:r>
            <w:r>
              <w:rPr>
                <w:noProof/>
                <w:webHidden/>
              </w:rPr>
              <w:fldChar w:fldCharType="end"/>
            </w:r>
          </w:hyperlink>
        </w:p>
        <w:p w14:paraId="58ABD400" w14:textId="72F571E7" w:rsidR="0003541A" w:rsidRDefault="0003541A" w:rsidP="0003541A">
          <w:r>
            <w:rPr>
              <w:b/>
              <w:bCs/>
              <w:noProof/>
            </w:rPr>
            <w:fldChar w:fldCharType="end"/>
          </w:r>
        </w:p>
      </w:sdtContent>
    </w:sdt>
    <w:p w14:paraId="3F21B921" w14:textId="1C09718C" w:rsidR="001A6100" w:rsidRDefault="001A6100" w:rsidP="001A6100"/>
    <w:p w14:paraId="3155D064" w14:textId="44285F93" w:rsidR="001A6100" w:rsidRDefault="001A6100" w:rsidP="001A6100"/>
    <w:p w14:paraId="5BE75CAC" w14:textId="3BAB4F42" w:rsidR="001A6100" w:rsidRDefault="001A6100" w:rsidP="001A6100"/>
    <w:p w14:paraId="360C75D6" w14:textId="17116AF0" w:rsidR="001A6100" w:rsidRDefault="001A6100" w:rsidP="001A6100"/>
    <w:p w14:paraId="124024A6" w14:textId="41CAB545" w:rsidR="001A6100" w:rsidRDefault="001A6100" w:rsidP="001A6100"/>
    <w:p w14:paraId="1898DE0D" w14:textId="3B8B653A" w:rsidR="001A6100" w:rsidRDefault="001A6100" w:rsidP="001A6100"/>
    <w:p w14:paraId="6DB72700" w14:textId="26602F66" w:rsidR="001A6100" w:rsidRDefault="001A6100" w:rsidP="001A6100"/>
    <w:p w14:paraId="53073465" w14:textId="5671E673" w:rsidR="001A6100" w:rsidRDefault="001A6100" w:rsidP="001A6100"/>
    <w:p w14:paraId="6AA2A8DC" w14:textId="7D34ED04" w:rsidR="001A6100" w:rsidRDefault="001A6100" w:rsidP="001A6100"/>
    <w:p w14:paraId="72759E46" w14:textId="2545CBF5" w:rsidR="001A6100" w:rsidRDefault="001A6100" w:rsidP="001A6100"/>
    <w:p w14:paraId="01AE3878" w14:textId="13B90B7E" w:rsidR="001A6100" w:rsidRDefault="001A6100" w:rsidP="001A6100"/>
    <w:p w14:paraId="3CFAA795" w14:textId="76FBE28E" w:rsidR="001A6100" w:rsidRDefault="001A6100" w:rsidP="001A6100"/>
    <w:p w14:paraId="382F6336" w14:textId="0CFDF1C0" w:rsidR="001A6100" w:rsidRDefault="001A6100" w:rsidP="001A6100"/>
    <w:p w14:paraId="05301225" w14:textId="2034BC2E" w:rsidR="001A6100" w:rsidRDefault="001A6100" w:rsidP="001A6100"/>
    <w:p w14:paraId="22240708" w14:textId="5B2E7AF9" w:rsidR="001A6100" w:rsidRDefault="001A6100" w:rsidP="001A6100"/>
    <w:p w14:paraId="21307DB9" w14:textId="5C53DED3" w:rsidR="001A6100" w:rsidRDefault="001A6100" w:rsidP="001A6100"/>
    <w:p w14:paraId="18981C79" w14:textId="1E88FCF0" w:rsidR="001A6100" w:rsidRDefault="001A6100" w:rsidP="001A6100"/>
    <w:p w14:paraId="085C58C2" w14:textId="59C5CE96" w:rsidR="001A6100" w:rsidRDefault="001A6100" w:rsidP="001A6100"/>
    <w:p w14:paraId="14932E9B" w14:textId="6D6FA92D" w:rsidR="001A6100" w:rsidRDefault="001A6100" w:rsidP="001A6100"/>
    <w:p w14:paraId="573E0DA5" w14:textId="77777777" w:rsidR="001A6100" w:rsidRPr="00BD1D0C" w:rsidRDefault="001A6100" w:rsidP="001A6100"/>
    <w:p w14:paraId="0BC80D45" w14:textId="77777777" w:rsidR="001A6100" w:rsidRDefault="001A6100" w:rsidP="001A6100">
      <w:pPr>
        <w:pStyle w:val="Heading1"/>
      </w:pPr>
      <w:bookmarkStart w:id="1" w:name="_Toc83646403"/>
      <w:r>
        <w:t>Table of Figures</w:t>
      </w:r>
      <w:bookmarkEnd w:id="1"/>
    </w:p>
    <w:p w14:paraId="6A0E3028" w14:textId="22726F36" w:rsidR="0030627C" w:rsidRDefault="001A6100">
      <w:pPr>
        <w:pStyle w:val="TableofFigures"/>
        <w:tabs>
          <w:tab w:val="right" w:leader="dot" w:pos="9010"/>
        </w:tabs>
        <w:rPr>
          <w:rFonts w:eastAsiaTheme="minorEastAsia"/>
          <w:caps w:val="0"/>
          <w:noProof/>
          <w:sz w:val="24"/>
          <w:szCs w:val="24"/>
          <w:lang w:eastAsia="en-GB"/>
        </w:rPr>
      </w:pPr>
      <w:r>
        <w:fldChar w:fldCharType="begin"/>
      </w:r>
      <w:r>
        <w:instrText xml:space="preserve"> TOC \h \z \c "Figure" </w:instrText>
      </w:r>
      <w:r>
        <w:fldChar w:fldCharType="separate"/>
      </w:r>
      <w:hyperlink r:id="rId9" w:anchor="_Toc83646482" w:history="1">
        <w:r w:rsidR="0030627C" w:rsidRPr="009B6739">
          <w:rPr>
            <w:rStyle w:val="Hyperlink"/>
            <w:noProof/>
          </w:rPr>
          <w:t>Figure 1. Sample of opinions on Whole Sign Houses on Twitter.</w:t>
        </w:r>
        <w:r w:rsidR="0030627C">
          <w:rPr>
            <w:noProof/>
            <w:webHidden/>
          </w:rPr>
          <w:tab/>
        </w:r>
        <w:r w:rsidR="0030627C">
          <w:rPr>
            <w:noProof/>
            <w:webHidden/>
          </w:rPr>
          <w:fldChar w:fldCharType="begin"/>
        </w:r>
        <w:r w:rsidR="0030627C">
          <w:rPr>
            <w:noProof/>
            <w:webHidden/>
          </w:rPr>
          <w:instrText xml:space="preserve"> PAGEREF _Toc83646482 \h </w:instrText>
        </w:r>
        <w:r w:rsidR="0030627C">
          <w:rPr>
            <w:noProof/>
            <w:webHidden/>
          </w:rPr>
        </w:r>
        <w:r w:rsidR="0030627C">
          <w:rPr>
            <w:noProof/>
            <w:webHidden/>
          </w:rPr>
          <w:fldChar w:fldCharType="separate"/>
        </w:r>
        <w:r w:rsidR="0030627C">
          <w:rPr>
            <w:noProof/>
            <w:webHidden/>
          </w:rPr>
          <w:t>48</w:t>
        </w:r>
        <w:r w:rsidR="0030627C">
          <w:rPr>
            <w:noProof/>
            <w:webHidden/>
          </w:rPr>
          <w:fldChar w:fldCharType="end"/>
        </w:r>
      </w:hyperlink>
    </w:p>
    <w:p w14:paraId="3D5A6A3D" w14:textId="0AB7B9A5" w:rsidR="0030627C" w:rsidRDefault="0030627C">
      <w:pPr>
        <w:pStyle w:val="TableofFigures"/>
        <w:tabs>
          <w:tab w:val="right" w:leader="dot" w:pos="9010"/>
        </w:tabs>
        <w:rPr>
          <w:rFonts w:eastAsiaTheme="minorEastAsia"/>
          <w:caps w:val="0"/>
          <w:noProof/>
          <w:sz w:val="24"/>
          <w:szCs w:val="24"/>
          <w:lang w:eastAsia="en-GB"/>
        </w:rPr>
      </w:pPr>
      <w:hyperlink w:anchor="_Toc83646483" w:history="1">
        <w:r w:rsidRPr="009B6739">
          <w:rPr>
            <w:rStyle w:val="Hyperlink"/>
            <w:noProof/>
          </w:rPr>
          <w:t>Figure 2. Sample of opinions on originality or primacy of Whole Sign Houses on Twitter.</w:t>
        </w:r>
        <w:r>
          <w:rPr>
            <w:noProof/>
            <w:webHidden/>
          </w:rPr>
          <w:tab/>
        </w:r>
        <w:r>
          <w:rPr>
            <w:noProof/>
            <w:webHidden/>
          </w:rPr>
          <w:fldChar w:fldCharType="begin"/>
        </w:r>
        <w:r>
          <w:rPr>
            <w:noProof/>
            <w:webHidden/>
          </w:rPr>
          <w:instrText xml:space="preserve"> PAGEREF _Toc83646483 \h </w:instrText>
        </w:r>
        <w:r>
          <w:rPr>
            <w:noProof/>
            <w:webHidden/>
          </w:rPr>
        </w:r>
        <w:r>
          <w:rPr>
            <w:noProof/>
            <w:webHidden/>
          </w:rPr>
          <w:fldChar w:fldCharType="separate"/>
        </w:r>
        <w:r>
          <w:rPr>
            <w:noProof/>
            <w:webHidden/>
          </w:rPr>
          <w:t>49</w:t>
        </w:r>
        <w:r>
          <w:rPr>
            <w:noProof/>
            <w:webHidden/>
          </w:rPr>
          <w:fldChar w:fldCharType="end"/>
        </w:r>
      </w:hyperlink>
    </w:p>
    <w:p w14:paraId="42E1F077" w14:textId="77777777" w:rsidR="0030627C" w:rsidRDefault="001A6100" w:rsidP="009211EB">
      <w:pPr>
        <w:pStyle w:val="TableofFigures"/>
        <w:ind w:left="0" w:firstLine="0"/>
        <w:rPr>
          <w:noProof/>
        </w:rPr>
      </w:pPr>
      <w:r>
        <w:fldChar w:fldCharType="end"/>
      </w:r>
      <w:r w:rsidR="00060BA9">
        <w:fldChar w:fldCharType="begin"/>
      </w:r>
      <w:r w:rsidR="00060BA9">
        <w:instrText xml:space="preserve"> TOC \h \z \c "Table" </w:instrText>
      </w:r>
      <w:r w:rsidR="00060BA9">
        <w:fldChar w:fldCharType="separate"/>
      </w:r>
    </w:p>
    <w:p w14:paraId="70D2CFEE" w14:textId="5EB4956A" w:rsidR="0030627C" w:rsidRDefault="0030627C">
      <w:pPr>
        <w:pStyle w:val="TableofFigures"/>
        <w:tabs>
          <w:tab w:val="right" w:leader="dot" w:pos="9010"/>
        </w:tabs>
        <w:rPr>
          <w:rFonts w:eastAsiaTheme="minorEastAsia"/>
          <w:caps w:val="0"/>
          <w:noProof/>
          <w:sz w:val="24"/>
          <w:szCs w:val="24"/>
          <w:lang w:eastAsia="en-GB"/>
        </w:rPr>
      </w:pPr>
      <w:hyperlink w:anchor="_Toc83646484" w:history="1">
        <w:r w:rsidRPr="00201409">
          <w:rPr>
            <w:rStyle w:val="Hyperlink"/>
            <w:noProof/>
          </w:rPr>
          <w:t>Table 1. Table of abbreviations used through this paper.</w:t>
        </w:r>
        <w:r>
          <w:rPr>
            <w:noProof/>
            <w:webHidden/>
          </w:rPr>
          <w:tab/>
        </w:r>
        <w:r>
          <w:rPr>
            <w:noProof/>
            <w:webHidden/>
          </w:rPr>
          <w:fldChar w:fldCharType="begin"/>
        </w:r>
        <w:r>
          <w:rPr>
            <w:noProof/>
            <w:webHidden/>
          </w:rPr>
          <w:instrText xml:space="preserve"> PAGEREF _Toc83646484 \h </w:instrText>
        </w:r>
        <w:r>
          <w:rPr>
            <w:noProof/>
            <w:webHidden/>
          </w:rPr>
        </w:r>
        <w:r>
          <w:rPr>
            <w:noProof/>
            <w:webHidden/>
          </w:rPr>
          <w:fldChar w:fldCharType="separate"/>
        </w:r>
        <w:r>
          <w:rPr>
            <w:noProof/>
            <w:webHidden/>
          </w:rPr>
          <w:t>6</w:t>
        </w:r>
        <w:r>
          <w:rPr>
            <w:noProof/>
            <w:webHidden/>
          </w:rPr>
          <w:fldChar w:fldCharType="end"/>
        </w:r>
      </w:hyperlink>
    </w:p>
    <w:p w14:paraId="627FE155" w14:textId="5E2BAB77" w:rsidR="0030627C" w:rsidRDefault="0030627C">
      <w:pPr>
        <w:pStyle w:val="TableofFigures"/>
        <w:tabs>
          <w:tab w:val="right" w:leader="dot" w:pos="9010"/>
        </w:tabs>
        <w:rPr>
          <w:rFonts w:eastAsiaTheme="minorEastAsia"/>
          <w:caps w:val="0"/>
          <w:noProof/>
          <w:sz w:val="24"/>
          <w:szCs w:val="24"/>
          <w:lang w:eastAsia="en-GB"/>
        </w:rPr>
      </w:pPr>
      <w:hyperlink w:anchor="_Toc83646485" w:history="1">
        <w:r w:rsidRPr="00201409">
          <w:rPr>
            <w:rStyle w:val="Hyperlink"/>
            <w:noProof/>
          </w:rPr>
          <w:t>Table 2. Ascensional times of Klima 2, using System A, according to Valens.</w:t>
        </w:r>
        <w:r>
          <w:rPr>
            <w:noProof/>
            <w:webHidden/>
          </w:rPr>
          <w:tab/>
        </w:r>
        <w:r>
          <w:rPr>
            <w:noProof/>
            <w:webHidden/>
          </w:rPr>
          <w:fldChar w:fldCharType="begin"/>
        </w:r>
        <w:r>
          <w:rPr>
            <w:noProof/>
            <w:webHidden/>
          </w:rPr>
          <w:instrText xml:space="preserve"> PAGEREF _Toc83646485 \h </w:instrText>
        </w:r>
        <w:r>
          <w:rPr>
            <w:noProof/>
            <w:webHidden/>
          </w:rPr>
        </w:r>
        <w:r>
          <w:rPr>
            <w:noProof/>
            <w:webHidden/>
          </w:rPr>
          <w:fldChar w:fldCharType="separate"/>
        </w:r>
        <w:r>
          <w:rPr>
            <w:noProof/>
            <w:webHidden/>
          </w:rPr>
          <w:t>26</w:t>
        </w:r>
        <w:r>
          <w:rPr>
            <w:noProof/>
            <w:webHidden/>
          </w:rPr>
          <w:fldChar w:fldCharType="end"/>
        </w:r>
      </w:hyperlink>
    </w:p>
    <w:p w14:paraId="5EF46E17" w14:textId="7D300375" w:rsidR="0030627C" w:rsidRDefault="0030627C">
      <w:pPr>
        <w:pStyle w:val="TableofFigures"/>
        <w:tabs>
          <w:tab w:val="right" w:leader="dot" w:pos="9010"/>
        </w:tabs>
        <w:rPr>
          <w:rFonts w:eastAsiaTheme="minorEastAsia"/>
          <w:caps w:val="0"/>
          <w:noProof/>
          <w:sz w:val="24"/>
          <w:szCs w:val="24"/>
          <w:lang w:eastAsia="en-GB"/>
        </w:rPr>
      </w:pPr>
      <w:hyperlink w:anchor="_Toc83646486" w:history="1">
        <w:r w:rsidRPr="00201409">
          <w:rPr>
            <w:rStyle w:val="Hyperlink"/>
            <w:noProof/>
          </w:rPr>
          <w:t>Table 3. Survey of Greek Horoscopes, pp.16-75.</w:t>
        </w:r>
        <w:r>
          <w:rPr>
            <w:noProof/>
            <w:webHidden/>
          </w:rPr>
          <w:tab/>
        </w:r>
        <w:r>
          <w:rPr>
            <w:noProof/>
            <w:webHidden/>
          </w:rPr>
          <w:fldChar w:fldCharType="begin"/>
        </w:r>
        <w:r>
          <w:rPr>
            <w:noProof/>
            <w:webHidden/>
          </w:rPr>
          <w:instrText xml:space="preserve"> PAGEREF _Toc83646486 \h </w:instrText>
        </w:r>
        <w:r>
          <w:rPr>
            <w:noProof/>
            <w:webHidden/>
          </w:rPr>
        </w:r>
        <w:r>
          <w:rPr>
            <w:noProof/>
            <w:webHidden/>
          </w:rPr>
          <w:fldChar w:fldCharType="separate"/>
        </w:r>
        <w:r>
          <w:rPr>
            <w:noProof/>
            <w:webHidden/>
          </w:rPr>
          <w:t>28</w:t>
        </w:r>
        <w:r>
          <w:rPr>
            <w:noProof/>
            <w:webHidden/>
          </w:rPr>
          <w:fldChar w:fldCharType="end"/>
        </w:r>
      </w:hyperlink>
    </w:p>
    <w:p w14:paraId="2549CCBC" w14:textId="595B74BB" w:rsidR="001575CC" w:rsidRDefault="00060BA9" w:rsidP="00852B82">
      <w:pPr>
        <w:pStyle w:val="TableofFigures"/>
        <w:ind w:left="0" w:firstLine="0"/>
      </w:pPr>
      <w:r>
        <w:fldChar w:fldCharType="end"/>
      </w:r>
    </w:p>
    <w:p w14:paraId="04F79B13" w14:textId="77777777" w:rsidR="001575CC" w:rsidRDefault="001575CC" w:rsidP="004839D4">
      <w:pPr>
        <w:pStyle w:val="Heading1"/>
      </w:pPr>
    </w:p>
    <w:p w14:paraId="610142E8" w14:textId="1B401879" w:rsidR="001A6100" w:rsidRDefault="001A6100" w:rsidP="004839D4">
      <w:pPr>
        <w:pStyle w:val="Heading1"/>
      </w:pPr>
      <w:bookmarkStart w:id="2" w:name="_Toc83646404"/>
      <w:r>
        <w:t>Table of Abbreviations</w:t>
      </w:r>
      <w:bookmarkEnd w:id="2"/>
    </w:p>
    <w:p w14:paraId="4FD28E85" w14:textId="77777777" w:rsidR="004839D4" w:rsidRPr="004839D4" w:rsidRDefault="004839D4" w:rsidP="004839D4"/>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3"/>
        <w:gridCol w:w="3003"/>
        <w:gridCol w:w="3004"/>
      </w:tblGrid>
      <w:tr w:rsidR="001A6100" w14:paraId="28F2F939" w14:textId="77777777" w:rsidTr="00AA68F4">
        <w:tc>
          <w:tcPr>
            <w:tcW w:w="3003" w:type="dxa"/>
          </w:tcPr>
          <w:p w14:paraId="0870A8C2" w14:textId="77777777" w:rsidR="001A6100" w:rsidRPr="009211EB" w:rsidRDefault="001A6100" w:rsidP="004839D4">
            <w:pPr>
              <w:rPr>
                <w:b/>
                <w:bCs/>
                <w:sz w:val="20"/>
                <w:szCs w:val="20"/>
              </w:rPr>
            </w:pPr>
            <w:r w:rsidRPr="009211EB">
              <w:rPr>
                <w:b/>
                <w:bCs/>
                <w:sz w:val="20"/>
                <w:szCs w:val="20"/>
              </w:rPr>
              <w:t>Abbreviation</w:t>
            </w:r>
          </w:p>
        </w:tc>
        <w:tc>
          <w:tcPr>
            <w:tcW w:w="3003" w:type="dxa"/>
          </w:tcPr>
          <w:p w14:paraId="6506D239" w14:textId="77777777" w:rsidR="001A6100" w:rsidRPr="009211EB" w:rsidRDefault="001A6100" w:rsidP="004839D4">
            <w:pPr>
              <w:rPr>
                <w:b/>
                <w:bCs/>
                <w:sz w:val="20"/>
                <w:szCs w:val="20"/>
              </w:rPr>
            </w:pPr>
            <w:r w:rsidRPr="009211EB">
              <w:rPr>
                <w:b/>
                <w:bCs/>
                <w:sz w:val="20"/>
                <w:szCs w:val="20"/>
              </w:rPr>
              <w:t>Definition</w:t>
            </w:r>
          </w:p>
        </w:tc>
        <w:tc>
          <w:tcPr>
            <w:tcW w:w="3004" w:type="dxa"/>
          </w:tcPr>
          <w:p w14:paraId="51BBB3F1" w14:textId="77777777" w:rsidR="001A6100" w:rsidRPr="009211EB" w:rsidRDefault="001A6100" w:rsidP="004839D4">
            <w:pPr>
              <w:rPr>
                <w:b/>
                <w:bCs/>
                <w:sz w:val="20"/>
                <w:szCs w:val="20"/>
              </w:rPr>
            </w:pPr>
            <w:r w:rsidRPr="009211EB">
              <w:rPr>
                <w:b/>
                <w:bCs/>
                <w:sz w:val="20"/>
                <w:szCs w:val="20"/>
              </w:rPr>
              <w:t>Page Number</w:t>
            </w:r>
          </w:p>
        </w:tc>
      </w:tr>
      <w:tr w:rsidR="001A6100" w14:paraId="68362DE0" w14:textId="77777777" w:rsidTr="00AA68F4">
        <w:tc>
          <w:tcPr>
            <w:tcW w:w="3003" w:type="dxa"/>
          </w:tcPr>
          <w:p w14:paraId="0C4FBCED" w14:textId="77777777" w:rsidR="001A6100" w:rsidRPr="009211EB" w:rsidRDefault="001A6100" w:rsidP="004839D4">
            <w:pPr>
              <w:rPr>
                <w:sz w:val="20"/>
                <w:szCs w:val="20"/>
              </w:rPr>
            </w:pPr>
            <w:r w:rsidRPr="009211EB">
              <w:rPr>
                <w:sz w:val="20"/>
                <w:szCs w:val="20"/>
              </w:rPr>
              <w:t>BLC</w:t>
            </w:r>
          </w:p>
        </w:tc>
        <w:tc>
          <w:tcPr>
            <w:tcW w:w="3003" w:type="dxa"/>
          </w:tcPr>
          <w:p w14:paraId="6A0F92EE" w14:textId="77777777" w:rsidR="001A6100" w:rsidRPr="009211EB" w:rsidRDefault="001A6100" w:rsidP="004839D4">
            <w:pPr>
              <w:rPr>
                <w:sz w:val="20"/>
                <w:szCs w:val="20"/>
              </w:rPr>
            </w:pPr>
            <w:r w:rsidRPr="009211EB">
              <w:rPr>
                <w:sz w:val="20"/>
                <w:szCs w:val="20"/>
              </w:rPr>
              <w:t>Bouché-Leclerq</w:t>
            </w:r>
          </w:p>
        </w:tc>
        <w:tc>
          <w:tcPr>
            <w:tcW w:w="3004" w:type="dxa"/>
          </w:tcPr>
          <w:p w14:paraId="7284B58F" w14:textId="3FFAEAB6" w:rsidR="001A6100" w:rsidRPr="009211EB" w:rsidRDefault="009211EB" w:rsidP="004839D4">
            <w:pPr>
              <w:rPr>
                <w:sz w:val="20"/>
                <w:szCs w:val="20"/>
              </w:rPr>
            </w:pPr>
            <w:r>
              <w:rPr>
                <w:sz w:val="20"/>
                <w:szCs w:val="20"/>
              </w:rPr>
              <w:t>p.</w:t>
            </w:r>
            <w:r w:rsidR="00C30C1D">
              <w:rPr>
                <w:sz w:val="20"/>
                <w:szCs w:val="20"/>
              </w:rPr>
              <w:t>20</w:t>
            </w:r>
          </w:p>
        </w:tc>
      </w:tr>
      <w:tr w:rsidR="001A6100" w14:paraId="37D3DD23" w14:textId="77777777" w:rsidTr="00AA68F4">
        <w:tc>
          <w:tcPr>
            <w:tcW w:w="3003" w:type="dxa"/>
          </w:tcPr>
          <w:p w14:paraId="018ADF31" w14:textId="77777777" w:rsidR="001A6100" w:rsidRPr="009211EB" w:rsidRDefault="001A6100" w:rsidP="004839D4">
            <w:pPr>
              <w:rPr>
                <w:sz w:val="20"/>
                <w:szCs w:val="20"/>
              </w:rPr>
            </w:pPr>
            <w:r w:rsidRPr="009211EB">
              <w:rPr>
                <w:sz w:val="20"/>
                <w:szCs w:val="20"/>
              </w:rPr>
              <w:t>EH</w:t>
            </w:r>
          </w:p>
        </w:tc>
        <w:tc>
          <w:tcPr>
            <w:tcW w:w="3003" w:type="dxa"/>
          </w:tcPr>
          <w:p w14:paraId="47A11518" w14:textId="77777777" w:rsidR="001A6100" w:rsidRPr="009211EB" w:rsidRDefault="001A6100" w:rsidP="004839D4">
            <w:pPr>
              <w:rPr>
                <w:sz w:val="20"/>
                <w:szCs w:val="20"/>
              </w:rPr>
            </w:pPr>
            <w:r w:rsidRPr="009211EB">
              <w:rPr>
                <w:sz w:val="20"/>
                <w:szCs w:val="20"/>
              </w:rPr>
              <w:t>Equal Houses</w:t>
            </w:r>
          </w:p>
        </w:tc>
        <w:tc>
          <w:tcPr>
            <w:tcW w:w="3004" w:type="dxa"/>
          </w:tcPr>
          <w:p w14:paraId="09B31FB3" w14:textId="4E741DAE" w:rsidR="001A6100" w:rsidRPr="009211EB" w:rsidRDefault="009211EB" w:rsidP="004839D4">
            <w:pPr>
              <w:rPr>
                <w:sz w:val="20"/>
                <w:szCs w:val="20"/>
              </w:rPr>
            </w:pPr>
            <w:r>
              <w:rPr>
                <w:sz w:val="20"/>
                <w:szCs w:val="20"/>
              </w:rPr>
              <w:t>p.</w:t>
            </w:r>
            <w:r w:rsidR="001A6100" w:rsidRPr="009211EB">
              <w:rPr>
                <w:sz w:val="20"/>
                <w:szCs w:val="20"/>
              </w:rPr>
              <w:t>1</w:t>
            </w:r>
            <w:r w:rsidR="00E94456">
              <w:rPr>
                <w:sz w:val="20"/>
                <w:szCs w:val="20"/>
              </w:rPr>
              <w:t>4</w:t>
            </w:r>
          </w:p>
        </w:tc>
      </w:tr>
      <w:tr w:rsidR="001A6100" w14:paraId="3B8B22B1" w14:textId="77777777" w:rsidTr="00AA68F4">
        <w:tc>
          <w:tcPr>
            <w:tcW w:w="3003" w:type="dxa"/>
          </w:tcPr>
          <w:p w14:paraId="55D749A7" w14:textId="77777777" w:rsidR="001A6100" w:rsidRPr="009211EB" w:rsidRDefault="001A6100" w:rsidP="004839D4">
            <w:pPr>
              <w:rPr>
                <w:sz w:val="20"/>
                <w:szCs w:val="20"/>
              </w:rPr>
            </w:pPr>
            <w:r w:rsidRPr="009211EB">
              <w:rPr>
                <w:sz w:val="20"/>
                <w:szCs w:val="20"/>
              </w:rPr>
              <w:t>GH</w:t>
            </w:r>
          </w:p>
        </w:tc>
        <w:tc>
          <w:tcPr>
            <w:tcW w:w="3003" w:type="dxa"/>
          </w:tcPr>
          <w:p w14:paraId="3F315F83" w14:textId="77777777" w:rsidR="001A6100" w:rsidRPr="009211EB" w:rsidRDefault="001A6100" w:rsidP="004839D4">
            <w:pPr>
              <w:rPr>
                <w:sz w:val="20"/>
                <w:szCs w:val="20"/>
              </w:rPr>
            </w:pPr>
            <w:r w:rsidRPr="009211EB">
              <w:rPr>
                <w:sz w:val="20"/>
                <w:szCs w:val="20"/>
              </w:rPr>
              <w:t>Greek Horoscopes</w:t>
            </w:r>
          </w:p>
        </w:tc>
        <w:tc>
          <w:tcPr>
            <w:tcW w:w="3004" w:type="dxa"/>
          </w:tcPr>
          <w:p w14:paraId="642A083E" w14:textId="31430E9B" w:rsidR="001A6100" w:rsidRPr="009211EB" w:rsidRDefault="009211EB" w:rsidP="004839D4">
            <w:pPr>
              <w:rPr>
                <w:sz w:val="20"/>
                <w:szCs w:val="20"/>
              </w:rPr>
            </w:pPr>
            <w:r>
              <w:rPr>
                <w:sz w:val="20"/>
                <w:szCs w:val="20"/>
              </w:rPr>
              <w:t>p.</w:t>
            </w:r>
            <w:r w:rsidR="001A6100" w:rsidRPr="009211EB">
              <w:rPr>
                <w:sz w:val="20"/>
                <w:szCs w:val="20"/>
              </w:rPr>
              <w:t>1</w:t>
            </w:r>
            <w:r w:rsidR="001E3E98">
              <w:rPr>
                <w:sz w:val="20"/>
                <w:szCs w:val="20"/>
              </w:rPr>
              <w:t>9</w:t>
            </w:r>
          </w:p>
        </w:tc>
      </w:tr>
      <w:tr w:rsidR="001A6100" w14:paraId="582D8595" w14:textId="77777777" w:rsidTr="00AA68F4">
        <w:tc>
          <w:tcPr>
            <w:tcW w:w="3003" w:type="dxa"/>
          </w:tcPr>
          <w:p w14:paraId="63BEB6EB" w14:textId="77777777" w:rsidR="001A6100" w:rsidRPr="009211EB" w:rsidRDefault="001A6100" w:rsidP="004839D4">
            <w:pPr>
              <w:rPr>
                <w:sz w:val="20"/>
                <w:szCs w:val="20"/>
              </w:rPr>
            </w:pPr>
            <w:r w:rsidRPr="009211EB">
              <w:rPr>
                <w:sz w:val="20"/>
                <w:szCs w:val="20"/>
              </w:rPr>
              <w:t>IC</w:t>
            </w:r>
          </w:p>
        </w:tc>
        <w:tc>
          <w:tcPr>
            <w:tcW w:w="3003" w:type="dxa"/>
          </w:tcPr>
          <w:p w14:paraId="267C2E50" w14:textId="77777777" w:rsidR="001A6100" w:rsidRPr="009211EB" w:rsidRDefault="001A6100" w:rsidP="004839D4">
            <w:pPr>
              <w:rPr>
                <w:sz w:val="20"/>
                <w:szCs w:val="20"/>
              </w:rPr>
            </w:pPr>
            <w:r w:rsidRPr="009211EB">
              <w:rPr>
                <w:sz w:val="20"/>
                <w:szCs w:val="20"/>
              </w:rPr>
              <w:t>Imum Coeli</w:t>
            </w:r>
          </w:p>
        </w:tc>
        <w:tc>
          <w:tcPr>
            <w:tcW w:w="3004" w:type="dxa"/>
          </w:tcPr>
          <w:p w14:paraId="05097DD8" w14:textId="1C93704A" w:rsidR="001A6100" w:rsidRPr="009211EB" w:rsidRDefault="009211EB" w:rsidP="004839D4">
            <w:pPr>
              <w:rPr>
                <w:sz w:val="20"/>
                <w:szCs w:val="20"/>
              </w:rPr>
            </w:pPr>
            <w:r>
              <w:rPr>
                <w:sz w:val="20"/>
                <w:szCs w:val="20"/>
              </w:rPr>
              <w:t>p.</w:t>
            </w:r>
            <w:r w:rsidR="001A6100" w:rsidRPr="009211EB">
              <w:rPr>
                <w:sz w:val="20"/>
                <w:szCs w:val="20"/>
              </w:rPr>
              <w:t>1</w:t>
            </w:r>
            <w:r w:rsidR="00E94456">
              <w:rPr>
                <w:sz w:val="20"/>
                <w:szCs w:val="20"/>
              </w:rPr>
              <w:t>3</w:t>
            </w:r>
          </w:p>
        </w:tc>
      </w:tr>
      <w:tr w:rsidR="001A6100" w14:paraId="1E6482AB" w14:textId="77777777" w:rsidTr="00AA68F4">
        <w:tc>
          <w:tcPr>
            <w:tcW w:w="3003" w:type="dxa"/>
          </w:tcPr>
          <w:p w14:paraId="656A9538" w14:textId="77777777" w:rsidR="001A6100" w:rsidRPr="009211EB" w:rsidRDefault="001A6100" w:rsidP="004839D4">
            <w:pPr>
              <w:rPr>
                <w:sz w:val="20"/>
                <w:szCs w:val="20"/>
              </w:rPr>
            </w:pPr>
            <w:r w:rsidRPr="009211EB">
              <w:rPr>
                <w:sz w:val="20"/>
                <w:szCs w:val="20"/>
              </w:rPr>
              <w:t>MC</w:t>
            </w:r>
          </w:p>
        </w:tc>
        <w:tc>
          <w:tcPr>
            <w:tcW w:w="3003" w:type="dxa"/>
          </w:tcPr>
          <w:p w14:paraId="44EB7B5B" w14:textId="77777777" w:rsidR="001A6100" w:rsidRPr="009211EB" w:rsidRDefault="001A6100" w:rsidP="004839D4">
            <w:pPr>
              <w:rPr>
                <w:sz w:val="20"/>
                <w:szCs w:val="20"/>
              </w:rPr>
            </w:pPr>
            <w:r w:rsidRPr="009211EB">
              <w:rPr>
                <w:sz w:val="20"/>
                <w:szCs w:val="20"/>
              </w:rPr>
              <w:t>Medium Coeli</w:t>
            </w:r>
          </w:p>
        </w:tc>
        <w:tc>
          <w:tcPr>
            <w:tcW w:w="3004" w:type="dxa"/>
          </w:tcPr>
          <w:p w14:paraId="18E82F1F" w14:textId="57B1A49D" w:rsidR="001A6100" w:rsidRPr="009211EB" w:rsidRDefault="009211EB" w:rsidP="004839D4">
            <w:pPr>
              <w:rPr>
                <w:sz w:val="20"/>
                <w:szCs w:val="20"/>
              </w:rPr>
            </w:pPr>
            <w:r>
              <w:rPr>
                <w:sz w:val="20"/>
                <w:szCs w:val="20"/>
              </w:rPr>
              <w:t>p.</w:t>
            </w:r>
            <w:r w:rsidR="001A6100" w:rsidRPr="009211EB">
              <w:rPr>
                <w:sz w:val="20"/>
                <w:szCs w:val="20"/>
              </w:rPr>
              <w:t>1</w:t>
            </w:r>
            <w:r w:rsidR="00E94456">
              <w:rPr>
                <w:sz w:val="20"/>
                <w:szCs w:val="20"/>
              </w:rPr>
              <w:t>3</w:t>
            </w:r>
          </w:p>
        </w:tc>
      </w:tr>
      <w:tr w:rsidR="001A6100" w14:paraId="520ABDE9" w14:textId="77777777" w:rsidTr="009211EB">
        <w:trPr>
          <w:trHeight w:val="68"/>
        </w:trPr>
        <w:tc>
          <w:tcPr>
            <w:tcW w:w="3003" w:type="dxa"/>
          </w:tcPr>
          <w:p w14:paraId="10F59BC3" w14:textId="77777777" w:rsidR="001A6100" w:rsidRPr="009211EB" w:rsidRDefault="001A6100" w:rsidP="004839D4">
            <w:pPr>
              <w:rPr>
                <w:sz w:val="20"/>
                <w:szCs w:val="20"/>
              </w:rPr>
            </w:pPr>
            <w:r w:rsidRPr="009211EB">
              <w:rPr>
                <w:sz w:val="20"/>
                <w:szCs w:val="20"/>
              </w:rPr>
              <w:t>WSH</w:t>
            </w:r>
          </w:p>
        </w:tc>
        <w:tc>
          <w:tcPr>
            <w:tcW w:w="3003" w:type="dxa"/>
          </w:tcPr>
          <w:p w14:paraId="39653FD0" w14:textId="77777777" w:rsidR="001A6100" w:rsidRPr="009211EB" w:rsidRDefault="001A6100" w:rsidP="004839D4">
            <w:pPr>
              <w:rPr>
                <w:sz w:val="20"/>
                <w:szCs w:val="20"/>
              </w:rPr>
            </w:pPr>
            <w:r w:rsidRPr="009211EB">
              <w:rPr>
                <w:sz w:val="20"/>
                <w:szCs w:val="20"/>
              </w:rPr>
              <w:t>Whole Sign Houses</w:t>
            </w:r>
          </w:p>
        </w:tc>
        <w:tc>
          <w:tcPr>
            <w:tcW w:w="3004" w:type="dxa"/>
          </w:tcPr>
          <w:p w14:paraId="7C4DDC56" w14:textId="3C4C8EDD" w:rsidR="001A6100" w:rsidRPr="009211EB" w:rsidRDefault="009211EB" w:rsidP="004839D4">
            <w:pPr>
              <w:rPr>
                <w:sz w:val="20"/>
                <w:szCs w:val="20"/>
              </w:rPr>
            </w:pPr>
            <w:r>
              <w:rPr>
                <w:sz w:val="20"/>
                <w:szCs w:val="20"/>
              </w:rPr>
              <w:t>p.</w:t>
            </w:r>
            <w:r w:rsidR="001A6100" w:rsidRPr="009211EB">
              <w:rPr>
                <w:sz w:val="20"/>
                <w:szCs w:val="20"/>
              </w:rPr>
              <w:t>1</w:t>
            </w:r>
            <w:r w:rsidR="00E94456">
              <w:rPr>
                <w:sz w:val="20"/>
                <w:szCs w:val="20"/>
              </w:rPr>
              <w:t>4</w:t>
            </w:r>
          </w:p>
        </w:tc>
      </w:tr>
    </w:tbl>
    <w:p w14:paraId="65EDCCD7" w14:textId="63095271" w:rsidR="008B027D" w:rsidRDefault="004839D4" w:rsidP="001575CC">
      <w:pPr>
        <w:pStyle w:val="Caption"/>
        <w:spacing w:line="360" w:lineRule="auto"/>
        <w:jc w:val="center"/>
      </w:pPr>
      <w:r>
        <w:br/>
      </w:r>
      <w:bookmarkStart w:id="3" w:name="_Toc83646484"/>
      <w:r w:rsidR="002E3D54">
        <w:t xml:space="preserve">Table </w:t>
      </w:r>
      <w:r w:rsidR="002E3D54">
        <w:fldChar w:fldCharType="begin"/>
      </w:r>
      <w:r w:rsidR="002E3D54">
        <w:instrText xml:space="preserve"> SEQ Table \* ARABIC </w:instrText>
      </w:r>
      <w:r w:rsidR="002E3D54">
        <w:fldChar w:fldCharType="separate"/>
      </w:r>
      <w:r w:rsidR="002E3D54">
        <w:rPr>
          <w:noProof/>
        </w:rPr>
        <w:t>1</w:t>
      </w:r>
      <w:r w:rsidR="002E3D54">
        <w:fldChar w:fldCharType="end"/>
      </w:r>
      <w:r w:rsidR="002E3D54">
        <w:t>. Table of abbreviations used through this paper.</w:t>
      </w:r>
      <w:bookmarkEnd w:id="3"/>
    </w:p>
    <w:p w14:paraId="1F012924" w14:textId="0A941F93" w:rsidR="009211EB" w:rsidRDefault="009211EB" w:rsidP="001A6100"/>
    <w:p w14:paraId="4DB9D046" w14:textId="61B5A49C" w:rsidR="00AA68F4" w:rsidRDefault="00AA68F4" w:rsidP="00AA68F4">
      <w:pPr>
        <w:pStyle w:val="Heading1"/>
      </w:pPr>
      <w:bookmarkStart w:id="4" w:name="_Toc83646405"/>
      <w:r>
        <w:t>Acknowledgements</w:t>
      </w:r>
      <w:bookmarkEnd w:id="4"/>
    </w:p>
    <w:p w14:paraId="1078D64F" w14:textId="4B9939E4" w:rsidR="00AA68F4" w:rsidRDefault="00CC5F43" w:rsidP="00AA68F4">
      <w:r>
        <w:t xml:space="preserve">I want to thank the entire faculty of the MA in Cultural Astronomy and Astrology for all their inspiration, support and teaching. I’m especially grateful for the </w:t>
      </w:r>
      <w:r w:rsidR="00B61092">
        <w:t xml:space="preserve">continued </w:t>
      </w:r>
      <w:r>
        <w:t xml:space="preserve">guidance and support of </w:t>
      </w:r>
      <w:r w:rsidR="00B56661">
        <w:t>Dr. Nicholas Campion</w:t>
      </w:r>
      <w:r w:rsidR="00B56661">
        <w:t xml:space="preserve">, and </w:t>
      </w:r>
      <w:r>
        <w:t>Dr. Dorian</w:t>
      </w:r>
      <w:r w:rsidR="00F44C83">
        <w:t xml:space="preserve"> </w:t>
      </w:r>
      <w:r>
        <w:t>Gies</w:t>
      </w:r>
      <w:r w:rsidR="00F44C83">
        <w:t>e</w:t>
      </w:r>
      <w:r>
        <w:t>ler</w:t>
      </w:r>
      <w:r w:rsidR="00F44C83">
        <w:t xml:space="preserve"> </w:t>
      </w:r>
      <w:r>
        <w:t>Greenbau</w:t>
      </w:r>
      <w:r w:rsidR="000B1894">
        <w:t>m</w:t>
      </w:r>
      <w:r w:rsidR="00B56661">
        <w:t xml:space="preserve"> for</w:t>
      </w:r>
      <w:r w:rsidR="006602F6">
        <w:t xml:space="preserve"> helping clarify my thinking on this dissertation</w:t>
      </w:r>
      <w:r w:rsidR="000B1894">
        <w:t xml:space="preserve">. I would also like to thank Maria Farrell, Wade Caves and Dilson Pouplin for their support, interest and continued cheer-leading. </w:t>
      </w:r>
    </w:p>
    <w:p w14:paraId="167DD421" w14:textId="743FBBAB" w:rsidR="001575CC" w:rsidRDefault="001575CC" w:rsidP="00AA68F4"/>
    <w:p w14:paraId="4C0F8C7A" w14:textId="0B8CF9D1" w:rsidR="001575CC" w:rsidRDefault="001575CC" w:rsidP="00AA68F4"/>
    <w:p w14:paraId="5EFF0EA4" w14:textId="79E181EA" w:rsidR="001575CC" w:rsidRDefault="001575CC" w:rsidP="00AA68F4"/>
    <w:p w14:paraId="6D5FB729" w14:textId="6C665274" w:rsidR="00AE6C06" w:rsidRPr="00355F59" w:rsidRDefault="00AE6C06" w:rsidP="00355F59">
      <w:pPr>
        <w:pStyle w:val="Heading1"/>
      </w:pPr>
      <w:bookmarkStart w:id="5" w:name="_Toc83646406"/>
      <w:r w:rsidRPr="00355F59">
        <w:t>Abstract</w:t>
      </w:r>
      <w:bookmarkEnd w:id="5"/>
    </w:p>
    <w:p w14:paraId="18FABB53" w14:textId="7C85E3ED" w:rsidR="00AE6C06" w:rsidRDefault="00AE6C06" w:rsidP="0003541A">
      <w:r>
        <w:t>Contemporary astrological practice records dozens of different approaches to astrological house systems, which are twelve-fold division of the mundane sphere. One approach to this division, called Whole Sign Houses, is calculated by having each house correspond to an entire Zodiac sign. Whole Sign Houses was essentially non-existent in astrological literature in the mid to late 20</w:t>
      </w:r>
      <w:r w:rsidRPr="006B424E">
        <w:rPr>
          <w:vertAlign w:val="superscript"/>
        </w:rPr>
        <w:t>th</w:t>
      </w:r>
      <w:r>
        <w:t xml:space="preserve"> century, but saw a sudden emergence in the very late 20</w:t>
      </w:r>
      <w:r w:rsidRPr="006B424E">
        <w:rPr>
          <w:vertAlign w:val="superscript"/>
        </w:rPr>
        <w:t>th</w:t>
      </w:r>
      <w:r>
        <w:t xml:space="preserve"> century and early 21</w:t>
      </w:r>
      <w:r w:rsidRPr="006B424E">
        <w:rPr>
          <w:vertAlign w:val="superscript"/>
        </w:rPr>
        <w:t>st</w:t>
      </w:r>
      <w:r>
        <w:t xml:space="preserve"> century. The historian James Holden cited </w:t>
      </w:r>
      <w:r w:rsidRPr="002A43FD">
        <w:rPr>
          <w:i/>
          <w:iCs/>
        </w:rPr>
        <w:t>Greek Horoscopes</w:t>
      </w:r>
      <w:r>
        <w:t xml:space="preserve"> by Neugebauer and Van Hoesen as evidence of the early existence of Whole Sign Houses, and, in the late 20</w:t>
      </w:r>
      <w:r w:rsidRPr="00AB3DA3">
        <w:rPr>
          <w:vertAlign w:val="superscript"/>
        </w:rPr>
        <w:t>th</w:t>
      </w:r>
      <w:r>
        <w:t xml:space="preserve"> century, a translation project known as Project Hindsight began to release translated works from ancient astrological practice, also promoting the view that Whole Sign Houses was the oldest, and preferred, system of house division. Today, contemporary discussion, particularly across social media, echo</w:t>
      </w:r>
      <w:r w:rsidR="00804352">
        <w:t>es</w:t>
      </w:r>
      <w:r>
        <w:t xml:space="preserve"> this </w:t>
      </w:r>
      <w:r w:rsidR="00804352">
        <w:t xml:space="preserve">view that </w:t>
      </w:r>
      <w:r>
        <w:t xml:space="preserve">Whole Sign Houses was the oldest, and most preferred system of house division employed by ancient astrologers. The historian Eric Hobsbawm described how novel ideas, which may appear to be quite old, could arise either deliberately or accidentally to give way to ‘invented’ tradition.  This paper examines the English translations of ancient astrologers, as well as non-literary examples of the kind examined by Holden, and argues that whilst Whole Sign Houses was a legitimate form of house division employed by ancient astrologers, that this system was chiefly a matter of convenience rather than preference, </w:t>
      </w:r>
      <w:r w:rsidR="00782083">
        <w:t xml:space="preserve">and </w:t>
      </w:r>
      <w:r>
        <w:t xml:space="preserve">that contemporary discussion of Whole Sign Houses as the </w:t>
      </w:r>
      <w:r w:rsidR="00A93215">
        <w:t xml:space="preserve">original and </w:t>
      </w:r>
      <w:r>
        <w:t xml:space="preserve">preferred system is an invented tradition of the kind Hobsbawm described. </w:t>
      </w:r>
    </w:p>
    <w:p w14:paraId="1436AF6B" w14:textId="663B4C1A" w:rsidR="00AA68F4" w:rsidRDefault="00AA68F4" w:rsidP="0003541A"/>
    <w:p w14:paraId="0BE36FD1" w14:textId="1BE9484C" w:rsidR="00AA68F4" w:rsidRDefault="00AA68F4" w:rsidP="0003541A"/>
    <w:p w14:paraId="5F874F58" w14:textId="0B8AE164" w:rsidR="00AA68F4" w:rsidRDefault="00AA68F4" w:rsidP="0003541A"/>
    <w:p w14:paraId="69F578A4" w14:textId="32D0EB89" w:rsidR="00AA68F4" w:rsidRDefault="00AA68F4" w:rsidP="0003541A"/>
    <w:p w14:paraId="13E8A962" w14:textId="2C33F4AA" w:rsidR="00AA68F4" w:rsidRDefault="00AA68F4" w:rsidP="0003541A"/>
    <w:p w14:paraId="603DDAE6" w14:textId="69C2A55C" w:rsidR="00AA68F4" w:rsidRDefault="00AA68F4" w:rsidP="0003541A"/>
    <w:p w14:paraId="6B4E9708" w14:textId="59BDBBF5" w:rsidR="00AA68F4" w:rsidRDefault="00AA68F4" w:rsidP="0003541A"/>
    <w:p w14:paraId="5EE081F0" w14:textId="43A66546" w:rsidR="00AA68F4" w:rsidRDefault="00AA68F4" w:rsidP="0003541A"/>
    <w:p w14:paraId="61881275" w14:textId="77777777" w:rsidR="00AA68F4" w:rsidRPr="00D67A7C" w:rsidRDefault="00AA68F4" w:rsidP="0003541A">
      <w:pPr>
        <w:rPr>
          <w:b/>
          <w:bCs/>
        </w:rPr>
      </w:pPr>
    </w:p>
    <w:p w14:paraId="3F8403A1" w14:textId="221C3E61" w:rsidR="00745046" w:rsidRDefault="00450C7B" w:rsidP="00450C7B">
      <w:pPr>
        <w:pStyle w:val="Heading1"/>
      </w:pPr>
      <w:bookmarkStart w:id="6" w:name="_Toc83646407"/>
      <w:r>
        <w:t xml:space="preserve">Chapter 1: </w:t>
      </w:r>
      <w:r w:rsidR="00745046" w:rsidRPr="00B83202">
        <w:t>Introduction</w:t>
      </w:r>
      <w:bookmarkEnd w:id="0"/>
      <w:bookmarkEnd w:id="6"/>
    </w:p>
    <w:p w14:paraId="172B3C9A" w14:textId="1F4F76F8" w:rsidR="00FA494D" w:rsidRDefault="005535D3" w:rsidP="00FA494D">
      <w:bookmarkStart w:id="7" w:name="_Toc68699586"/>
      <w:r w:rsidRPr="005535D3">
        <w:t>T</w:t>
      </w:r>
      <w:r>
        <w:t xml:space="preserve">he aim of this dissertation is to </w:t>
      </w:r>
      <w:r w:rsidRPr="005535D3">
        <w:t xml:space="preserve">examine the contemporary discussion of the history, and origins, of astrological house systems, within the boundaries of the available translations of ancient astrological works, and consider these discussions in light of ideas around historiography, tradition, and </w:t>
      </w:r>
      <w:r w:rsidR="00851C4E">
        <w:t>‘</w:t>
      </w:r>
      <w:r w:rsidRPr="005535D3">
        <w:t>invented</w:t>
      </w:r>
      <w:r w:rsidR="00851C4E">
        <w:t>’</w:t>
      </w:r>
      <w:r w:rsidRPr="005535D3">
        <w:t xml:space="preserve"> tradition.</w:t>
      </w:r>
      <w:r w:rsidR="00257DDC">
        <w:t xml:space="preserve"> Whole Sign Houses are one of many approaches to create a twelve-fold division of the Zodiac for astrological purposes. </w:t>
      </w:r>
      <w:r w:rsidR="00032837">
        <w:t xml:space="preserve">Holden cited the ‘original documents’ in </w:t>
      </w:r>
      <w:r w:rsidR="00032837" w:rsidRPr="003A7F03">
        <w:rPr>
          <w:i/>
          <w:iCs/>
        </w:rPr>
        <w:t>Greek Horoscopes</w:t>
      </w:r>
      <w:r w:rsidR="00032837">
        <w:t xml:space="preserve"> by Neugebauer and Van Hoesen as evidence </w:t>
      </w:r>
      <w:r w:rsidR="00851C4E">
        <w:t>that</w:t>
      </w:r>
      <w:r w:rsidR="00032837">
        <w:t xml:space="preserve"> Whole Sign Houses</w:t>
      </w:r>
      <w:r w:rsidR="00851C4E">
        <w:t xml:space="preserve"> was the original form of house division</w:t>
      </w:r>
      <w:r w:rsidR="005529C4">
        <w:rPr>
          <w:rStyle w:val="FootnoteReference"/>
        </w:rPr>
        <w:footnoteReference w:id="1"/>
      </w:r>
      <w:r w:rsidR="00032837">
        <w:t xml:space="preserve">. </w:t>
      </w:r>
      <w:r w:rsidRPr="005535D3">
        <w:t>Dorian Greenbaum reference</w:t>
      </w:r>
      <w:r w:rsidR="00257DDC">
        <w:t>d</w:t>
      </w:r>
      <w:r w:rsidRPr="005535D3">
        <w:t xml:space="preserve"> Robert Hand as stating that Whole Sign Houses was used </w:t>
      </w:r>
      <w:r w:rsidR="00257DDC">
        <w:t>exclusively by ancient astrologers like Vettius Valens</w:t>
      </w:r>
      <w:r w:rsidR="00F21CBA">
        <w:rPr>
          <w:rStyle w:val="FootnoteReference"/>
        </w:rPr>
        <w:footnoteReference w:id="2"/>
      </w:r>
      <w:r w:rsidR="00257DDC">
        <w:t>.</w:t>
      </w:r>
      <w:r w:rsidR="00FA494D">
        <w:t xml:space="preserve"> Others, such as Robert Schmidt</w:t>
      </w:r>
      <w:r w:rsidR="005B7D0A">
        <w:t xml:space="preserve"> also</w:t>
      </w:r>
      <w:r w:rsidR="00FA494D">
        <w:t xml:space="preserve"> argued that Whole Sign Houses are the original form of house divisions, and this</w:t>
      </w:r>
      <w:r w:rsidRPr="005535D3">
        <w:t xml:space="preserve"> suggestion of the originality of Whole Sign Houses has been subsequently taken up by contemporary </w:t>
      </w:r>
      <w:r w:rsidR="009E37AD">
        <w:t>astrologers, commentators</w:t>
      </w:r>
      <w:r w:rsidRPr="005535D3">
        <w:t xml:space="preserve"> of astrological history, as well as countless astrologers or astrology enthusiasts on social media</w:t>
      </w:r>
      <w:r w:rsidR="00F8091F">
        <w:rPr>
          <w:rStyle w:val="FootnoteReference"/>
        </w:rPr>
        <w:footnoteReference w:id="3"/>
      </w:r>
      <w:r w:rsidRPr="005535D3">
        <w:t xml:space="preserve">. </w:t>
      </w:r>
    </w:p>
    <w:p w14:paraId="1F36E3A8" w14:textId="6163367E" w:rsidR="00984025" w:rsidRDefault="00FA494D" w:rsidP="00A355EF">
      <w:r>
        <w:t>In this dissertation</w:t>
      </w:r>
      <w:r w:rsidR="005535D3" w:rsidRPr="005535D3">
        <w:t xml:space="preserve"> </w:t>
      </w:r>
      <w:r>
        <w:t>I will examine these</w:t>
      </w:r>
      <w:r w:rsidR="005535D3" w:rsidRPr="005535D3">
        <w:t xml:space="preserve"> arguments in light of the translated works available in English, and explore the historiography of these arguments in light of scholarship on invented tradition, such as Hobsbawm and Ranger have described</w:t>
      </w:r>
      <w:r w:rsidR="00F35AC8">
        <w:rPr>
          <w:rStyle w:val="FootnoteReference"/>
        </w:rPr>
        <w:footnoteReference w:id="4"/>
      </w:r>
      <w:r w:rsidR="005535D3" w:rsidRPr="005535D3">
        <w:t>. With notions of power-knowledge of the kind that Michel Foucault described, and with the importance of definition</w:t>
      </w:r>
      <w:r w:rsidR="00601FBC">
        <w:t>,</w:t>
      </w:r>
      <w:r w:rsidR="005535D3" w:rsidRPr="005535D3">
        <w:t xml:space="preserve"> and the de-structuring definition</w:t>
      </w:r>
      <w:r w:rsidR="00601FBC">
        <w:t>,</w:t>
      </w:r>
      <w:r w:rsidR="005535D3" w:rsidRPr="005535D3">
        <w:t xml:space="preserve"> that postmodernists such as Jacques Derrida argue</w:t>
      </w:r>
      <w:r w:rsidR="00601FBC">
        <w:t>d</w:t>
      </w:r>
      <w:r w:rsidR="005535D3" w:rsidRPr="005535D3">
        <w:t xml:space="preserve"> for, I will examine how </w:t>
      </w:r>
      <w:r w:rsidR="00A355EF" w:rsidRPr="005535D3">
        <w:t>defin</w:t>
      </w:r>
      <w:r w:rsidR="00A355EF">
        <w:t>ing</w:t>
      </w:r>
      <w:r w:rsidR="00601FBC">
        <w:t xml:space="preserve"> what constitutes</w:t>
      </w:r>
      <w:r w:rsidR="005535D3" w:rsidRPr="005535D3">
        <w:t xml:space="preserve"> an astrological house system</w:t>
      </w:r>
      <w:r w:rsidR="00A355EF">
        <w:t xml:space="preserve"> may be evocative of this power-knowledge</w:t>
      </w:r>
      <w:r w:rsidR="005535D3" w:rsidRPr="005535D3">
        <w:t xml:space="preserve">, and whether the ‘power’ conferred by that definition is </w:t>
      </w:r>
      <w:r w:rsidR="00A355EF">
        <w:t>evoked</w:t>
      </w:r>
      <w:r w:rsidR="005535D3" w:rsidRPr="005535D3">
        <w:t xml:space="preserve"> by contemporary astrologers to appropriate discussion of</w:t>
      </w:r>
      <w:r w:rsidR="00A355EF">
        <w:t xml:space="preserve"> ancient house systems, in order to support an invented tradition</w:t>
      </w:r>
      <w:r w:rsidR="00E538A5">
        <w:rPr>
          <w:rStyle w:val="FootnoteReference"/>
        </w:rPr>
        <w:footnoteReference w:id="5"/>
      </w:r>
      <w:r w:rsidR="00A355EF">
        <w:t xml:space="preserve">. </w:t>
      </w:r>
    </w:p>
    <w:p w14:paraId="6E0AA3F3" w14:textId="5B5810FA" w:rsidR="00984025" w:rsidRDefault="00687380" w:rsidP="005535D3">
      <w:r>
        <w:t>To determine if Whole Sign Houses are an invented tradition, of the kind that Hobsbawm describ</w:t>
      </w:r>
      <w:r w:rsidR="001E4285">
        <w:t>e</w:t>
      </w:r>
      <w:r>
        <w:t xml:space="preserve">d, I will examine the English translations of the primary material. In particular, I will examine </w:t>
      </w:r>
      <w:r w:rsidR="005535D3" w:rsidRPr="005535D3">
        <w:t>Holden</w:t>
      </w:r>
      <w:r w:rsidR="00984025">
        <w:t>’s</w:t>
      </w:r>
      <w:r w:rsidR="005535D3" w:rsidRPr="005535D3">
        <w:t xml:space="preserve"> cit</w:t>
      </w:r>
      <w:r>
        <w:t xml:space="preserve">ations of </w:t>
      </w:r>
      <w:r w:rsidRPr="003A7F03">
        <w:rPr>
          <w:i/>
          <w:iCs/>
        </w:rPr>
        <w:t>Greek Horoscopes</w:t>
      </w:r>
      <w:r>
        <w:t xml:space="preserve"> for the ‘original documents’</w:t>
      </w:r>
      <w:r w:rsidR="00984025">
        <w:t>, and the translated works by ancient astrologers such as Marcus Manilius, who is the source for the earliest intact treatment of houses, and also Vettius Valens who is the largest literary source of house usage</w:t>
      </w:r>
      <w:r w:rsidR="00FF7EE3">
        <w:t>, as well as briefly touching on several others</w:t>
      </w:r>
      <w:r w:rsidR="00984025">
        <w:t>.</w:t>
      </w:r>
      <w:r w:rsidR="003A7F03">
        <w:t xml:space="preserve"> I will also explore ways in which understanding, or mis-understanding, ancient arithmetic means of calculation may alter the conclusions that have been made about ancient house division both within the academic, as well as astrological, communities.</w:t>
      </w:r>
    </w:p>
    <w:p w14:paraId="68F090AA" w14:textId="21435919" w:rsidR="005535D3" w:rsidRPr="005535D3" w:rsidRDefault="00984025" w:rsidP="005535D3">
      <w:r>
        <w:t>I</w:t>
      </w:r>
      <w:r w:rsidR="005535D3" w:rsidRPr="005535D3">
        <w:t xml:space="preserve"> will examine how </w:t>
      </w:r>
      <w:r w:rsidR="00EC29F7">
        <w:t xml:space="preserve">understanding of house system history within the astrological community has emerged in the past few decades, and how quickly the tradition which has been articulated by, principally, </w:t>
      </w:r>
      <w:r w:rsidR="00E22BCA">
        <w:t>Holden, Hand and Schmidt</w:t>
      </w:r>
      <w:r w:rsidR="00EC29F7">
        <w:t xml:space="preserve">, has penetrated astrological discussion online across social media. </w:t>
      </w:r>
      <w:r w:rsidR="00920BB2">
        <w:t xml:space="preserve">I will </w:t>
      </w:r>
      <w:r w:rsidR="006C18C2">
        <w:t xml:space="preserve">then </w:t>
      </w:r>
      <w:r w:rsidR="00920BB2">
        <w:t xml:space="preserve">examine whether this contemporary discussion of Whole Sign Houses </w:t>
      </w:r>
      <w:r w:rsidR="003649F6">
        <w:t>is descriptive</w:t>
      </w:r>
      <w:r w:rsidR="007D7E25">
        <w:t xml:space="preserve"> of </w:t>
      </w:r>
      <w:r w:rsidR="00920BB2">
        <w:t xml:space="preserve">an invented tradition of the kind that Hobsbawm described. </w:t>
      </w:r>
      <w:r w:rsidR="00EC29F7">
        <w:t xml:space="preserve"> </w:t>
      </w:r>
    </w:p>
    <w:p w14:paraId="0792BFE9" w14:textId="0693A368" w:rsidR="00745046" w:rsidRDefault="00450C7B" w:rsidP="00745046">
      <w:pPr>
        <w:pStyle w:val="Heading1"/>
      </w:pPr>
      <w:bookmarkStart w:id="8" w:name="_Toc83646408"/>
      <w:r>
        <w:t xml:space="preserve">Chapter 2: </w:t>
      </w:r>
      <w:r w:rsidR="00745046" w:rsidRPr="006B336F">
        <w:t>Methodology</w:t>
      </w:r>
      <w:bookmarkEnd w:id="7"/>
      <w:r w:rsidR="00951A88">
        <w:t xml:space="preserve"> and Ethics</w:t>
      </w:r>
      <w:bookmarkEnd w:id="8"/>
    </w:p>
    <w:p w14:paraId="6C9041A0" w14:textId="77777777" w:rsidR="00724501" w:rsidRDefault="007B0C88" w:rsidP="00745046">
      <w:r>
        <w:t>This dissertation</w:t>
      </w:r>
      <w:r w:rsidR="0014599C">
        <w:t xml:space="preserve"> is </w:t>
      </w:r>
      <w:r w:rsidR="00062DB6">
        <w:t>primarily</w:t>
      </w:r>
      <w:r w:rsidR="0014599C">
        <w:t xml:space="preserve"> literary in </w:t>
      </w:r>
      <w:r w:rsidR="000165AF">
        <w:t>nature;</w:t>
      </w:r>
      <w:r w:rsidR="0014599C">
        <w:t xml:space="preserve"> </w:t>
      </w:r>
      <w:r w:rsidR="00062DB6">
        <w:t>however,</w:t>
      </w:r>
      <w:r w:rsidR="00230684">
        <w:t xml:space="preserve"> I will</w:t>
      </w:r>
      <w:r w:rsidR="00062DB6">
        <w:t xml:space="preserve"> be</w:t>
      </w:r>
      <w:r w:rsidR="0014599C">
        <w:t xml:space="preserve"> captur</w:t>
      </w:r>
      <w:r w:rsidR="00062DB6">
        <w:t>ing some</w:t>
      </w:r>
      <w:r w:rsidR="0014599C">
        <w:t xml:space="preserve"> qualitative opinion</w:t>
      </w:r>
      <w:r w:rsidR="000165AF">
        <w:t xml:space="preserve"> by contemporary astrologers</w:t>
      </w:r>
      <w:r w:rsidR="0014599C">
        <w:t xml:space="preserve"> </w:t>
      </w:r>
      <w:r w:rsidR="00062DB6">
        <w:t>by</w:t>
      </w:r>
      <w:r w:rsidR="0014599C">
        <w:t xml:space="preserve"> </w:t>
      </w:r>
      <w:r w:rsidR="00062DB6">
        <w:t xml:space="preserve">examining </w:t>
      </w:r>
      <w:r w:rsidR="00D570BC">
        <w:t>postings across social media, specifically Twitter and Facebook</w:t>
      </w:r>
      <w:r w:rsidR="00062DB6">
        <w:t>. I will not be conducting more detailed qualitative research via interviews</w:t>
      </w:r>
      <w:r w:rsidR="0014599C">
        <w:t xml:space="preserve"> or surveys. </w:t>
      </w:r>
      <w:r w:rsidR="00B34372">
        <w:t xml:space="preserve">This </w:t>
      </w:r>
      <w:r w:rsidR="00000E17">
        <w:t>is in part because my focus is chiefly in examining</w:t>
      </w:r>
      <w:r w:rsidR="00DA2A0E">
        <w:t xml:space="preserve"> the cultural impact of the imagined rediscovery of ancient astrological house systems </w:t>
      </w:r>
      <w:r w:rsidR="006B0221">
        <w:t>in terms of historiography</w:t>
      </w:r>
      <w:r w:rsidR="00DA2A0E">
        <w:t>, considering to</w:t>
      </w:r>
      <w:r w:rsidR="006B0221">
        <w:t xml:space="preserve"> what degree the rediscovered tradition</w:t>
      </w:r>
      <w:r w:rsidR="00FC4072">
        <w:t xml:space="preserve"> of an ancient astrological technique</w:t>
      </w:r>
      <w:r w:rsidR="006B0221">
        <w:t xml:space="preserve"> may be argued as an invented tradition</w:t>
      </w:r>
      <w:r w:rsidR="00FC4072">
        <w:t>, contrasting contemporary views with the English translations available of ancient astrological practice</w:t>
      </w:r>
      <w:r w:rsidR="00AE0B4C">
        <w:t xml:space="preserve">. Interviewing and surveying astrologers to understand their awareness of astrological history or tradition therefore goes beyond the limits of what I can </w:t>
      </w:r>
      <w:r w:rsidR="00CA7578">
        <w:t xml:space="preserve">reasonably </w:t>
      </w:r>
      <w:r w:rsidR="00AE0B4C">
        <w:t xml:space="preserve">achieve </w:t>
      </w:r>
      <w:r w:rsidR="00CA7578">
        <w:t>given</w:t>
      </w:r>
      <w:r w:rsidR="00AE0B4C">
        <w:t xml:space="preserve"> the confines of th</w:t>
      </w:r>
      <w:r w:rsidR="00CA7578">
        <w:t>e</w:t>
      </w:r>
      <w:r w:rsidR="00AE0B4C">
        <w:t xml:space="preserve"> dissertation. </w:t>
      </w:r>
    </w:p>
    <w:p w14:paraId="12F16172" w14:textId="05496ABB" w:rsidR="009B0244" w:rsidRDefault="00951A88" w:rsidP="00745046">
      <w:r>
        <w:t xml:space="preserve">Markham and Buchanan described how, for certain communities, identifying an individual may </w:t>
      </w:r>
      <w:r w:rsidR="00EF6128">
        <w:t>lead to</w:t>
      </w:r>
      <w:r>
        <w:t xml:space="preserve"> negative consequences for t</w:t>
      </w:r>
      <w:r w:rsidR="00EF6128">
        <w:t>hem</w:t>
      </w:r>
      <w:r>
        <w:rPr>
          <w:rStyle w:val="FootnoteReference"/>
        </w:rPr>
        <w:footnoteReference w:id="6"/>
      </w:r>
      <w:r>
        <w:t xml:space="preserve">. </w:t>
      </w:r>
      <w:r w:rsidR="003129FF">
        <w:t xml:space="preserve">With this in mind, </w:t>
      </w:r>
      <w:r w:rsidR="00AE225B">
        <w:t>inspired by the approach of Frances Clynes,</w:t>
      </w:r>
      <w:r w:rsidR="00E37BA1">
        <w:t xml:space="preserve"> </w:t>
      </w:r>
      <w:r w:rsidR="00D570BC">
        <w:t>when</w:t>
      </w:r>
      <w:r w:rsidR="006F1CBF">
        <w:t xml:space="preserve"> capturing opinions and information from social media</w:t>
      </w:r>
      <w:r w:rsidR="00102FB8">
        <w:t>, I wil</w:t>
      </w:r>
      <w:r w:rsidR="00B82358">
        <w:t>l treat all Facebook groups as private,</w:t>
      </w:r>
      <w:r w:rsidR="00102FB8">
        <w:t xml:space="preserve"> and will anonymise all posters, and I will only use tweets which are publicly available, </w:t>
      </w:r>
      <w:r w:rsidR="009B0244">
        <w:t xml:space="preserve">especially as, for some, astrology may not be a subject they wish to be publicly associated with or identified has having </w:t>
      </w:r>
      <w:r w:rsidR="004F1063">
        <w:t>involvement with</w:t>
      </w:r>
      <w:r w:rsidR="009B0244">
        <w:rPr>
          <w:rStyle w:val="FootnoteReference"/>
        </w:rPr>
        <w:footnoteReference w:id="7"/>
      </w:r>
      <w:r w:rsidR="009B0244">
        <w:t xml:space="preserve">. </w:t>
      </w:r>
    </w:p>
    <w:p w14:paraId="35083C49" w14:textId="1E21F544" w:rsidR="006B1DC2" w:rsidRDefault="00450C7B" w:rsidP="006B1DC2">
      <w:pPr>
        <w:pStyle w:val="Heading2"/>
      </w:pPr>
      <w:bookmarkStart w:id="9" w:name="_Toc68699588"/>
      <w:bookmarkStart w:id="10" w:name="_Toc83646409"/>
      <w:r>
        <w:t xml:space="preserve">2.1: </w:t>
      </w:r>
      <w:r w:rsidR="00745046">
        <w:t>Reflexivity</w:t>
      </w:r>
      <w:bookmarkEnd w:id="9"/>
      <w:bookmarkEnd w:id="10"/>
    </w:p>
    <w:p w14:paraId="2476665A" w14:textId="716299E3" w:rsidR="008B16C5" w:rsidRPr="00745046" w:rsidRDefault="006B1DC2" w:rsidP="006B1DC2">
      <w:r>
        <w:t>Hennink, Hutter and Bailey recognised the need for self-reflection, so that the researcher’s influence on the research is made explicit</w:t>
      </w:r>
      <w:r>
        <w:rPr>
          <w:rStyle w:val="FootnoteReference"/>
        </w:rPr>
        <w:footnoteReference w:id="8"/>
      </w:r>
      <w:r>
        <w:t>. With this in mind, I am a semi-professional astrologer, born in Ireland but living in the UK, and have been studying or practicing astrology for almost 15 years. Hennink, Hutter and Bailey recognised the distinction between the ‘insider’s point of view’ and an ‘outsider’s point of view’, referred to as ‘emic’ and ‘etic’ respectively</w:t>
      </w:r>
      <w:r>
        <w:rPr>
          <w:rStyle w:val="FootnoteReference"/>
        </w:rPr>
        <w:footnoteReference w:id="9"/>
      </w:r>
      <w:r>
        <w:t xml:space="preserve">. </w:t>
      </w:r>
      <w:r w:rsidR="00802ABD">
        <w:t>Kenneth Pike</w:t>
      </w:r>
      <w:r w:rsidR="00314635">
        <w:t>, who coined these terms,</w:t>
      </w:r>
      <w:r w:rsidR="00802ABD">
        <w:t xml:space="preserve"> argued that the emic point of view allows for a more holistic understanding of a subject matter, whilst the etic point of view recognises the constituent parts which make up the whole</w:t>
      </w:r>
      <w:r w:rsidR="00802ABD">
        <w:rPr>
          <w:rStyle w:val="FootnoteReference"/>
        </w:rPr>
        <w:footnoteReference w:id="10"/>
      </w:r>
      <w:r w:rsidR="00802ABD">
        <w:t xml:space="preserve">. </w:t>
      </w:r>
      <w:r w:rsidR="0097278A">
        <w:t>Nicholas Campion argued that ‘</w:t>
      </w:r>
      <w:r w:rsidR="0097278A" w:rsidRPr="0097278A">
        <w:t>individuals may adopt emic or etic stances at different times and in distinct situations, particularly in relation to a diverse discipline such as astrology</w:t>
      </w:r>
      <w:r w:rsidR="0097278A">
        <w:t xml:space="preserve">’, and so I recognise myself to </w:t>
      </w:r>
      <w:r>
        <w:t>adopt an emic perspective in regards astrological language and feel confident in understanding ‘thick descriptions’ of astrological</w:t>
      </w:r>
      <w:r w:rsidR="00AF145E">
        <w:t xml:space="preserve"> language</w:t>
      </w:r>
      <w:r w:rsidR="00363EEA">
        <w:t>, of the kind</w:t>
      </w:r>
      <w:r>
        <w:t xml:space="preserve"> that Clifford Geertz described</w:t>
      </w:r>
      <w:r w:rsidR="00000E17">
        <w:t>, whilst adopting</w:t>
      </w:r>
      <w:r w:rsidR="00102FB8">
        <w:t xml:space="preserve"> more of</w:t>
      </w:r>
      <w:r w:rsidR="00000E17">
        <w:t xml:space="preserve"> an etic perspective when it comes to </w:t>
      </w:r>
      <w:r w:rsidR="003B4F6B">
        <w:t xml:space="preserve">certain </w:t>
      </w:r>
      <w:r w:rsidR="00000E17">
        <w:t>astrological groups and organisations, of which I almost never participate</w:t>
      </w:r>
      <w:r>
        <w:rPr>
          <w:rStyle w:val="FootnoteReference"/>
        </w:rPr>
        <w:footnoteReference w:id="11"/>
      </w:r>
      <w:r>
        <w:t xml:space="preserve">. </w:t>
      </w:r>
      <w:r w:rsidR="003058C0">
        <w:t xml:space="preserve">In 2015 I completed a MSc. Computer Science, and my final project was </w:t>
      </w:r>
      <w:r w:rsidR="00724501">
        <w:t>centred</w:t>
      </w:r>
      <w:r w:rsidR="003058C0">
        <w:t xml:space="preserve"> around astrological computation, particularly calculation of over a dozen popular house systems. </w:t>
      </w:r>
      <w:r w:rsidR="00D11C0D">
        <w:t>Although I’ve had a long interest in house systems, m</w:t>
      </w:r>
      <w:r>
        <w:t>y interest in this</w:t>
      </w:r>
      <w:r w:rsidR="00773FE0">
        <w:t xml:space="preserve"> particular</w:t>
      </w:r>
      <w:r>
        <w:t xml:space="preserve"> topic was chiefly </w:t>
      </w:r>
      <w:r w:rsidR="009A41D9">
        <w:t>incited</w:t>
      </w:r>
      <w:r>
        <w:t xml:space="preserve"> by</w:t>
      </w:r>
      <w:r w:rsidR="00A62E7A">
        <w:t xml:space="preserve"> broad claims made within</w:t>
      </w:r>
      <w:r>
        <w:t xml:space="preserve"> a series of </w:t>
      </w:r>
      <w:r w:rsidR="001B4534">
        <w:t xml:space="preserve">astrological </w:t>
      </w:r>
      <w:r>
        <w:t xml:space="preserve">podcasts, described below (see </w:t>
      </w:r>
      <w:r w:rsidRPr="006B1DC2">
        <w:rPr>
          <w:i/>
          <w:iCs/>
        </w:rPr>
        <w:t>4.2.5</w:t>
      </w:r>
      <w:r w:rsidR="00A11C83">
        <w:rPr>
          <w:i/>
          <w:iCs/>
        </w:rPr>
        <w:t>:</w:t>
      </w:r>
      <w:r w:rsidRPr="006B1DC2">
        <w:rPr>
          <w:i/>
          <w:iCs/>
        </w:rPr>
        <w:t xml:space="preserve"> Recent Debate</w:t>
      </w:r>
      <w:r>
        <w:t>), and</w:t>
      </w:r>
      <w:r w:rsidR="00670D27">
        <w:t xml:space="preserve">, in order to understand the various arguments more fully, </w:t>
      </w:r>
      <w:r>
        <w:t xml:space="preserve">I have </w:t>
      </w:r>
      <w:r w:rsidR="00670D27">
        <w:t>occasionally</w:t>
      </w:r>
      <w:r w:rsidR="002B363B">
        <w:t xml:space="preserve"> </w:t>
      </w:r>
      <w:r>
        <w:t xml:space="preserve">engaged with the </w:t>
      </w:r>
      <w:r w:rsidR="00E02237">
        <w:t xml:space="preserve">discussions </w:t>
      </w:r>
      <w:r>
        <w:t>that have subsequently emerged across social media since</w:t>
      </w:r>
      <w:r w:rsidR="00670D27">
        <w:t xml:space="preserve"> </w:t>
      </w:r>
      <w:r w:rsidR="00F6566E">
        <w:t>that time</w:t>
      </w:r>
      <w:r>
        <w:t>.</w:t>
      </w:r>
    </w:p>
    <w:p w14:paraId="4D8E8466" w14:textId="30392C09" w:rsidR="00745046" w:rsidRDefault="00450C7B" w:rsidP="00745046">
      <w:pPr>
        <w:pStyle w:val="Heading2"/>
      </w:pPr>
      <w:bookmarkStart w:id="11" w:name="_Toc68699589"/>
      <w:bookmarkStart w:id="12" w:name="_Toc83646410"/>
      <w:r>
        <w:t xml:space="preserve">2.2: </w:t>
      </w:r>
      <w:r w:rsidR="00745046">
        <w:t>Translation Issues</w:t>
      </w:r>
      <w:bookmarkEnd w:id="11"/>
      <w:bookmarkEnd w:id="12"/>
    </w:p>
    <w:p w14:paraId="27AD6371" w14:textId="61A5734A" w:rsidR="00C85E13" w:rsidRDefault="00805286" w:rsidP="00C85E13">
      <w:bookmarkStart w:id="13" w:name="_Toc68699590"/>
      <w:r>
        <w:t>Most of the Hellenistic material which is cited in this essay is originally in Greek, or less frequently Latin. As I have no expertise in either language,</w:t>
      </w:r>
      <w:r w:rsidR="000D7EA2">
        <w:t xml:space="preserve"> </w:t>
      </w:r>
      <w:r>
        <w:t>I recognise the limits of what I can offer in terms of what the</w:t>
      </w:r>
      <w:r w:rsidR="000D7EA2">
        <w:t xml:space="preserve"> ancient</w:t>
      </w:r>
      <w:r>
        <w:t xml:space="preserve"> astrologers in question are actually stating in their texts</w:t>
      </w:r>
      <w:r w:rsidR="00207FB5">
        <w:t>. This is particularly prevalent, because, as Evans noted when it comes to the surviving texts, ‘</w:t>
      </w:r>
      <w:r w:rsidR="00207FB5" w:rsidRPr="00207FB5">
        <w:t>The record left us by the past is fragmentary, and the process of selection has not always been arbitrary</w:t>
      </w:r>
      <w:r w:rsidR="00207FB5">
        <w:t xml:space="preserve">’, </w:t>
      </w:r>
      <w:r w:rsidR="00CD5CEA">
        <w:t xml:space="preserve">whilst the surviving traces do not necessarily provide even coverage of it, </w:t>
      </w:r>
      <w:r w:rsidR="00207FB5">
        <w:t>meaning some texts have survived more intact than others</w:t>
      </w:r>
      <w:r w:rsidR="00CD5CEA">
        <w:t>, and many haven’t survived at all</w:t>
      </w:r>
      <w:r w:rsidR="00207FB5">
        <w:t>, making it difficult to ascertain if what survived is representative of the past</w:t>
      </w:r>
      <w:r w:rsidR="00CD5CEA">
        <w:t xml:space="preserve"> as a whole</w:t>
      </w:r>
      <w:r w:rsidR="00207FB5">
        <w:t xml:space="preserve">, </w:t>
      </w:r>
      <w:r w:rsidR="00CD5CEA">
        <w:t>or</w:t>
      </w:r>
      <w:r w:rsidR="00207FB5">
        <w:t xml:space="preserve"> indeed representative of </w:t>
      </w:r>
      <w:r w:rsidR="003B2E9B">
        <w:t>any individual</w:t>
      </w:r>
      <w:r w:rsidR="00207FB5">
        <w:t xml:space="preserve"> author’s view</w:t>
      </w:r>
      <w:r w:rsidR="00207FB5">
        <w:rPr>
          <w:rStyle w:val="FootnoteReference"/>
        </w:rPr>
        <w:footnoteReference w:id="12"/>
      </w:r>
      <w:r w:rsidR="00207FB5">
        <w:t>.</w:t>
      </w:r>
      <w:r w:rsidR="003523D0">
        <w:t xml:space="preserve"> As the focus of this dissertation centres on contemporary tradition around astrological technique within the English language, </w:t>
      </w:r>
      <w:r w:rsidR="006812D5">
        <w:t xml:space="preserve">my lack of Latin and Greek is typical of other contemporary astrologers who discuss traditional forms of astrology. </w:t>
      </w:r>
      <w:r w:rsidR="00F30B73">
        <w:t>My focus</w:t>
      </w:r>
      <w:r w:rsidR="000248B3">
        <w:t>,</w:t>
      </w:r>
      <w:r w:rsidR="00F30B73">
        <w:t xml:space="preserve"> then</w:t>
      </w:r>
      <w:r w:rsidR="000248B3">
        <w:t>,</w:t>
      </w:r>
      <w:r w:rsidR="00F30B73">
        <w:t xml:space="preserve"> is not on restoring</w:t>
      </w:r>
      <w:r w:rsidR="006812D5">
        <w:t xml:space="preserve"> any</w:t>
      </w:r>
      <w:r w:rsidR="00F30B73">
        <w:t xml:space="preserve"> author</w:t>
      </w:r>
      <w:r w:rsidR="006812D5">
        <w:t>’s</w:t>
      </w:r>
      <w:r w:rsidR="00F30B73">
        <w:t xml:space="preserve"> </w:t>
      </w:r>
      <w:r w:rsidR="006812D5">
        <w:t xml:space="preserve">true </w:t>
      </w:r>
      <w:r w:rsidR="00F30B73">
        <w:t>intent</w:t>
      </w:r>
      <w:r w:rsidR="006812D5">
        <w:t xml:space="preserve">, </w:t>
      </w:r>
      <w:r w:rsidR="00F30B73">
        <w:t>which may be impossible anyway</w:t>
      </w:r>
      <w:r w:rsidR="006812D5">
        <w:t>, nor on pretence to recovering an ancient tradition, which equally may be impossible given the texts available may not provide an even coverage of</w:t>
      </w:r>
      <w:r w:rsidR="000248B3">
        <w:t xml:space="preserve"> it</w:t>
      </w:r>
      <w:r w:rsidR="006812D5">
        <w:t xml:space="preserve">, </w:t>
      </w:r>
      <w:r w:rsidR="00F30B73">
        <w:t>but</w:t>
      </w:r>
      <w:r w:rsidR="006812D5">
        <w:t xml:space="preserve"> instead </w:t>
      </w:r>
      <w:r w:rsidR="00337B89">
        <w:t>examine only the</w:t>
      </w:r>
      <w:r w:rsidR="00F30B73">
        <w:t xml:space="preserve"> English </w:t>
      </w:r>
      <w:r w:rsidR="0079408E">
        <w:t>translations</w:t>
      </w:r>
      <w:r w:rsidR="00F30B73">
        <w:t xml:space="preserve"> </w:t>
      </w:r>
      <w:r w:rsidR="00337B89">
        <w:t>as</w:t>
      </w:r>
      <w:r w:rsidR="00F30B73">
        <w:t xml:space="preserve"> vehicles for subsequent contemporary discussion.</w:t>
      </w:r>
      <w:r>
        <w:t xml:space="preserve"> </w:t>
      </w:r>
      <w:r w:rsidR="006812D5">
        <w:t xml:space="preserve">Nevertheless, for convenience, I will cite </w:t>
      </w:r>
      <w:r w:rsidR="009A586E">
        <w:t xml:space="preserve">the relevant </w:t>
      </w:r>
      <w:r w:rsidR="006812D5">
        <w:t>authors based on the available translations.</w:t>
      </w:r>
    </w:p>
    <w:p w14:paraId="6F7A207B" w14:textId="59B51BCE" w:rsidR="00745046" w:rsidRDefault="00450C7B" w:rsidP="00C85E13">
      <w:pPr>
        <w:pStyle w:val="Heading1"/>
      </w:pPr>
      <w:bookmarkStart w:id="14" w:name="_Toc83646411"/>
      <w:r>
        <w:t xml:space="preserve">Chapter 3: </w:t>
      </w:r>
      <w:r w:rsidR="00745046">
        <w:t>Astrolog</w:t>
      </w:r>
      <w:r w:rsidR="00C85E13">
        <w:t>y</w:t>
      </w:r>
      <w:bookmarkEnd w:id="14"/>
      <w:r w:rsidR="00745046">
        <w:t xml:space="preserve"> </w:t>
      </w:r>
      <w:bookmarkEnd w:id="13"/>
    </w:p>
    <w:p w14:paraId="3B3D104F" w14:textId="13F892C4" w:rsidR="00745046" w:rsidRDefault="00450C7B" w:rsidP="00745046">
      <w:pPr>
        <w:pStyle w:val="Heading2"/>
      </w:pPr>
      <w:bookmarkStart w:id="15" w:name="_Toc68699591"/>
      <w:bookmarkStart w:id="16" w:name="_Toc83646412"/>
      <w:r>
        <w:t xml:space="preserve">3.1: </w:t>
      </w:r>
      <w:r w:rsidR="00745046">
        <w:t>What is Astrology</w:t>
      </w:r>
      <w:bookmarkEnd w:id="15"/>
      <w:bookmarkEnd w:id="16"/>
    </w:p>
    <w:p w14:paraId="5685D0E3" w14:textId="498A840E" w:rsidR="00F45019" w:rsidRPr="00C85E13" w:rsidRDefault="0023071F" w:rsidP="00F45019">
      <w:r>
        <w:t xml:space="preserve">Lawrence Jerome, </w:t>
      </w:r>
      <w:r w:rsidR="00386898">
        <w:t xml:space="preserve">described astrology from </w:t>
      </w:r>
      <w:r w:rsidR="0062598A">
        <w:t>an etic perspective,</w:t>
      </w:r>
      <w:r>
        <w:t xml:space="preserve"> as ‘</w:t>
      </w:r>
      <w:r w:rsidRPr="0080434A">
        <w:t>a system of magic</w:t>
      </w:r>
      <w:r>
        <w:t>al divination’</w:t>
      </w:r>
      <w:r>
        <w:rPr>
          <w:rStyle w:val="FootnoteReference"/>
        </w:rPr>
        <w:footnoteReference w:id="13"/>
      </w:r>
      <w:r>
        <w:t>.</w:t>
      </w:r>
      <w:r w:rsidR="008B16C5">
        <w:t xml:space="preserve"> </w:t>
      </w:r>
      <w:r w:rsidR="0064365F">
        <w:t xml:space="preserve">From an emic </w:t>
      </w:r>
      <w:r w:rsidR="00400ABA">
        <w:t xml:space="preserve">perspective, astrologers have described astrology very differently from one another, such as </w:t>
      </w:r>
      <w:r>
        <w:t xml:space="preserve">Geoffrey Cornelius </w:t>
      </w:r>
      <w:r w:rsidR="00400ABA">
        <w:t xml:space="preserve">who </w:t>
      </w:r>
      <w:r w:rsidR="006455E0">
        <w:t>described</w:t>
      </w:r>
      <w:r>
        <w:t xml:space="preserve"> astrology as ‘divination</w:t>
      </w:r>
      <w:r w:rsidR="00970D54">
        <w:t>’</w:t>
      </w:r>
      <w:r>
        <w:t xml:space="preserve">, Isabel Hickey </w:t>
      </w:r>
      <w:r w:rsidR="00400ABA">
        <w:t xml:space="preserve">who </w:t>
      </w:r>
      <w:r>
        <w:t xml:space="preserve">described astrology as a ‘cosmic science’, Sue Tompkins </w:t>
      </w:r>
      <w:r w:rsidR="00400ABA">
        <w:t xml:space="preserve">who described astrology </w:t>
      </w:r>
      <w:r>
        <w:t xml:space="preserve">as an art, and </w:t>
      </w:r>
      <w:r w:rsidR="00301C65">
        <w:t xml:space="preserve">still </w:t>
      </w:r>
      <w:r>
        <w:t xml:space="preserve">others </w:t>
      </w:r>
      <w:r w:rsidR="00301C65">
        <w:t xml:space="preserve">who described astrology </w:t>
      </w:r>
      <w:r>
        <w:t xml:space="preserve">as </w:t>
      </w:r>
      <w:r w:rsidRPr="006938B5">
        <w:rPr>
          <w:i/>
          <w:iCs/>
        </w:rPr>
        <w:t>both</w:t>
      </w:r>
      <w:r>
        <w:t xml:space="preserve"> a science </w:t>
      </w:r>
      <w:r w:rsidR="006A082D" w:rsidRPr="0099009E">
        <w:rPr>
          <w:i/>
          <w:iCs/>
        </w:rPr>
        <w:t>and</w:t>
      </w:r>
      <w:r w:rsidR="006A082D">
        <w:t xml:space="preserve"> </w:t>
      </w:r>
      <w:r>
        <w:t>an art</w:t>
      </w:r>
      <w:r>
        <w:rPr>
          <w:rStyle w:val="FootnoteReference"/>
        </w:rPr>
        <w:footnoteReference w:id="14"/>
      </w:r>
      <w:r>
        <w:t xml:space="preserve">. </w:t>
      </w:r>
      <w:r w:rsidR="00A74B1F">
        <w:t>Nicholas Campion and Liz Greene</w:t>
      </w:r>
      <w:r w:rsidR="00CB345D">
        <w:t>,</w:t>
      </w:r>
      <w:r w:rsidR="0064365F">
        <w:t xml:space="preserve"> recognising the variety of definitions</w:t>
      </w:r>
      <w:r w:rsidR="00CB345D">
        <w:t xml:space="preserve"> for astrology such as these</w:t>
      </w:r>
      <w:r w:rsidR="0064365F">
        <w:t>, referred</w:t>
      </w:r>
      <w:r w:rsidR="00A74B1F">
        <w:t xml:space="preserve"> instead to ‘astrologies’, </w:t>
      </w:r>
      <w:r w:rsidR="0035604E">
        <w:t>and argued</w:t>
      </w:r>
      <w:r w:rsidR="00A74B1F">
        <w:t xml:space="preserve"> that it is ‘impossible to talk about astrology as a monolithic entity</w:t>
      </w:r>
      <w:r w:rsidR="002D0074">
        <w:t>’</w:t>
      </w:r>
      <w:r w:rsidR="00342E40">
        <w:t xml:space="preserve">, </w:t>
      </w:r>
      <w:r w:rsidR="00775FBE">
        <w:t>because</w:t>
      </w:r>
      <w:r w:rsidR="00073C89">
        <w:t xml:space="preserve"> astrology is</w:t>
      </w:r>
      <w:r w:rsidR="00A74B1F">
        <w:t xml:space="preserve"> inherently pluralistic</w:t>
      </w:r>
      <w:r w:rsidR="00A74B1F">
        <w:rPr>
          <w:rStyle w:val="FootnoteReference"/>
        </w:rPr>
        <w:footnoteReference w:id="15"/>
      </w:r>
      <w:r w:rsidR="00A74B1F">
        <w:t xml:space="preserve">. </w:t>
      </w:r>
      <w:r w:rsidR="00B44FB9">
        <w:t>Patrick Curry define</w:t>
      </w:r>
      <w:r w:rsidR="00DF5A08">
        <w:t>d</w:t>
      </w:r>
      <w:r w:rsidR="00B44FB9">
        <w:t xml:space="preserve"> astrology as ‘</w:t>
      </w:r>
      <w:r w:rsidR="00B44FB9" w:rsidRPr="00EF35E7">
        <w:t>the practice of relating the heavenly bodies to lives and events on earth, and the tradition that has thus been generated</w:t>
      </w:r>
      <w:r w:rsidR="004938AA">
        <w:t>’, which is sufficiently broad to encapsulate the former definitions</w:t>
      </w:r>
      <w:r w:rsidR="00B44FB9">
        <w:rPr>
          <w:rStyle w:val="FootnoteReference"/>
        </w:rPr>
        <w:footnoteReference w:id="16"/>
      </w:r>
      <w:r w:rsidR="00B44FB9">
        <w:t xml:space="preserve">. </w:t>
      </w:r>
      <w:r w:rsidR="004938AA">
        <w:t>Given</w:t>
      </w:r>
      <w:r w:rsidR="004B7AE7">
        <w:t xml:space="preserve"> Campion and Greene’s</w:t>
      </w:r>
      <w:r w:rsidR="004938AA">
        <w:t xml:space="preserve"> </w:t>
      </w:r>
      <w:r w:rsidR="00E22FA1">
        <w:t xml:space="preserve">focus on </w:t>
      </w:r>
      <w:r w:rsidR="00962AC5" w:rsidRPr="00C033D2">
        <w:rPr>
          <w:i/>
          <w:iCs/>
        </w:rPr>
        <w:t>astrologies</w:t>
      </w:r>
      <w:r w:rsidR="00962AC5">
        <w:t xml:space="preserve"> over </w:t>
      </w:r>
      <w:r w:rsidR="00962AC5" w:rsidRPr="00C033D2">
        <w:rPr>
          <w:i/>
          <w:iCs/>
        </w:rPr>
        <w:t>astrology</w:t>
      </w:r>
      <w:r w:rsidR="00962AC5">
        <w:t>,</w:t>
      </w:r>
      <w:r w:rsidR="00D94B69">
        <w:t xml:space="preserve"> however,</w:t>
      </w:r>
      <w:r w:rsidR="00962AC5">
        <w:t xml:space="preserve"> </w:t>
      </w:r>
      <w:r w:rsidR="00E22FA1">
        <w:t xml:space="preserve">perhaps </w:t>
      </w:r>
      <w:r w:rsidR="004B7AE7">
        <w:t xml:space="preserve">it is better to refer to the </w:t>
      </w:r>
      <w:r w:rsidR="00962AC5" w:rsidRPr="00962AC5">
        <w:rPr>
          <w:i/>
          <w:iCs/>
        </w:rPr>
        <w:t>traditions</w:t>
      </w:r>
      <w:r w:rsidR="00962AC5">
        <w:t xml:space="preserve"> that have thus been</w:t>
      </w:r>
      <w:r w:rsidR="004B7AE7">
        <w:t xml:space="preserve"> generated, rather than the tradition</w:t>
      </w:r>
      <w:r w:rsidR="00962AC5">
        <w:t>.</w:t>
      </w:r>
    </w:p>
    <w:p w14:paraId="66AB7F29" w14:textId="7BEA6490" w:rsidR="00F45019" w:rsidRDefault="00F45019" w:rsidP="00F45019">
      <w:pPr>
        <w:pStyle w:val="Heading2"/>
      </w:pPr>
      <w:bookmarkStart w:id="17" w:name="_Toc68699592"/>
      <w:bookmarkStart w:id="18" w:name="_Toc83646413"/>
      <w:r>
        <w:t>3.</w:t>
      </w:r>
      <w:r w:rsidR="00B133CE">
        <w:t>2</w:t>
      </w:r>
      <w:r>
        <w:t>: Astronomical Considerations</w:t>
      </w:r>
      <w:bookmarkEnd w:id="17"/>
      <w:bookmarkEnd w:id="18"/>
    </w:p>
    <w:p w14:paraId="3BA9604C" w14:textId="77777777" w:rsidR="003E0693" w:rsidRDefault="00F45019" w:rsidP="0023071F">
      <w:r>
        <w:t xml:space="preserve">Astrologers make use of astronomical ‘great circles’ to define or extrapolate astrological information. </w:t>
      </w:r>
      <w:r w:rsidR="0099009E">
        <w:t xml:space="preserve">Understanding some of these terms will be important in recognising or describing how ancient astrologers may have calculated their house systems. </w:t>
      </w:r>
    </w:p>
    <w:p w14:paraId="1B2F70E5" w14:textId="42309BC5" w:rsidR="00F45019" w:rsidRDefault="00F45019" w:rsidP="0023071F">
      <w:r>
        <w:t>The ecliptic is a great circle which is demarcated by the apparent path of the Sun around the Earth in a given year. The Zodiac is the band, centred on the ecliptic</w:t>
      </w:r>
      <w:r w:rsidR="005E37DB">
        <w:t>, composed of twelve Zodiac signs</w:t>
      </w:r>
      <w:r>
        <w:t>. The horizon divides the visible celestial sphere from the invisible. The zenith is the point directly above an observer</w:t>
      </w:r>
      <w:r w:rsidR="004E3A11">
        <w:t>, whilst t</w:t>
      </w:r>
      <w:r>
        <w:t xml:space="preserve">he nadir is the point </w:t>
      </w:r>
      <w:r w:rsidR="004E3A11">
        <w:t>180º opposite</w:t>
      </w:r>
      <w:r>
        <w:t>. The meridian is the great circle which runs along the North-South axis passing through the zenith and nadir. The prime vertical is the great circle which runs along the East-West axis, perpendicular to the meridian</w:t>
      </w:r>
      <w:r>
        <w:rPr>
          <w:rStyle w:val="FootnoteReference"/>
        </w:rPr>
        <w:footnoteReference w:id="17"/>
      </w:r>
      <w:r>
        <w:t xml:space="preserve">. </w:t>
      </w:r>
      <w:r w:rsidR="003E0693">
        <w:t>These terms will be referred to throughout this essay.</w:t>
      </w:r>
    </w:p>
    <w:p w14:paraId="075EE0FF" w14:textId="3F49985E" w:rsidR="00C85E13" w:rsidRDefault="00450C7B" w:rsidP="00C85E13">
      <w:pPr>
        <w:pStyle w:val="Heading2"/>
      </w:pPr>
      <w:bookmarkStart w:id="19" w:name="_Toc83646414"/>
      <w:r>
        <w:t>3.</w:t>
      </w:r>
      <w:r w:rsidR="00EB483B">
        <w:t>3</w:t>
      </w:r>
      <w:r>
        <w:t xml:space="preserve">: </w:t>
      </w:r>
      <w:r w:rsidR="00E755AF">
        <w:t xml:space="preserve">Defining </w:t>
      </w:r>
      <w:r w:rsidR="004F1CFF">
        <w:t>‘</w:t>
      </w:r>
      <w:r w:rsidR="00C85E13">
        <w:t>Horoscope</w:t>
      </w:r>
      <w:r w:rsidR="004F1CFF">
        <w:t>’</w:t>
      </w:r>
      <w:bookmarkEnd w:id="19"/>
    </w:p>
    <w:p w14:paraId="1C33A1C3" w14:textId="263A07E7" w:rsidR="005B0FC0" w:rsidRDefault="00C41966" w:rsidP="00F45019">
      <w:r>
        <w:t>Dorian Greenbaum and Micah Ross describe</w:t>
      </w:r>
      <w:r w:rsidR="008534F7">
        <w:t>d</w:t>
      </w:r>
      <w:r w:rsidR="00107319">
        <w:t xml:space="preserve"> the term ‘horoscope’</w:t>
      </w:r>
      <w:r>
        <w:t xml:space="preserve"> as having ‘</w:t>
      </w:r>
      <w:r w:rsidRPr="00C41966">
        <w:t>several related, but divergent, meanings</w:t>
      </w:r>
      <w:r>
        <w:t>’</w:t>
      </w:r>
      <w:r>
        <w:rPr>
          <w:rStyle w:val="FootnoteReference"/>
        </w:rPr>
        <w:footnoteReference w:id="18"/>
      </w:r>
      <w:r>
        <w:t>.</w:t>
      </w:r>
      <w:r w:rsidR="0058190E">
        <w:t xml:space="preserve"> Francesca Rochberg</w:t>
      </w:r>
      <w:r w:rsidR="008A39A8">
        <w:t xml:space="preserve"> recognised </w:t>
      </w:r>
      <w:r w:rsidR="008534F7">
        <w:t>the term to</w:t>
      </w:r>
      <w:r w:rsidR="00266D55">
        <w:t xml:space="preserve"> refer </w:t>
      </w:r>
      <w:r w:rsidR="00A00EC1">
        <w:t xml:space="preserve">both </w:t>
      </w:r>
      <w:r w:rsidR="00266D55">
        <w:t>to</w:t>
      </w:r>
      <w:r w:rsidR="001E22D6">
        <w:t xml:space="preserve"> artefacts which </w:t>
      </w:r>
      <w:r w:rsidR="0058190E">
        <w:t>‘</w:t>
      </w:r>
      <w:r w:rsidR="0058190E" w:rsidRPr="0058190E">
        <w:t>record a particular</w:t>
      </w:r>
      <w:r w:rsidR="0058190E">
        <w:t xml:space="preserve"> </w:t>
      </w:r>
      <w:r w:rsidR="0058190E" w:rsidRPr="0058190E">
        <w:t>series of astronomical data</w:t>
      </w:r>
      <w:r w:rsidR="0058190E">
        <w:t>’</w:t>
      </w:r>
      <w:r w:rsidR="008534F7">
        <w:t xml:space="preserve">, </w:t>
      </w:r>
      <w:r w:rsidR="001E22D6">
        <w:t>as well as</w:t>
      </w:r>
      <w:r w:rsidR="00B0281E">
        <w:t xml:space="preserve"> </w:t>
      </w:r>
      <w:r w:rsidR="008534F7">
        <w:t>‘</w:t>
      </w:r>
      <w:r w:rsidR="00B0281E" w:rsidRPr="00B0281E">
        <w:t>the point of the ecliptic (the ascendant)</w:t>
      </w:r>
      <w:r w:rsidR="00B0281E">
        <w:t xml:space="preserve"> </w:t>
      </w:r>
      <w:r w:rsidR="00B0281E" w:rsidRPr="00B0281E">
        <w:t>rising at the moment of birth</w:t>
      </w:r>
      <w:r w:rsidR="00B0281E">
        <w:t>’</w:t>
      </w:r>
      <w:r w:rsidR="00EE5629">
        <w:t>, in other words</w:t>
      </w:r>
      <w:r w:rsidR="007E406E">
        <w:t>, a horoscope could be</w:t>
      </w:r>
      <w:r w:rsidR="00EE5629">
        <w:t xml:space="preserve"> any astronomical data used for astrological </w:t>
      </w:r>
      <w:r w:rsidR="00A35809">
        <w:t>purposes</w:t>
      </w:r>
      <w:r w:rsidR="007E406E">
        <w:t xml:space="preserve">, or could </w:t>
      </w:r>
      <w:r w:rsidR="00EE5629">
        <w:t>denote the intersection of the ecliptic and horizon</w:t>
      </w:r>
      <w:r w:rsidR="00B0281E">
        <w:rPr>
          <w:rStyle w:val="FootnoteReference"/>
        </w:rPr>
        <w:footnoteReference w:id="19"/>
      </w:r>
      <w:r w:rsidR="00B0281E">
        <w:t>.</w:t>
      </w:r>
      <w:r w:rsidR="00576A7F">
        <w:t xml:space="preserve"> Greenbaum and Ross </w:t>
      </w:r>
      <w:r w:rsidR="00EE5629">
        <w:t>noted that</w:t>
      </w:r>
      <w:r w:rsidR="00916F41">
        <w:t>,</w:t>
      </w:r>
      <w:r w:rsidR="00EE5629">
        <w:t xml:space="preserve"> for the latter usage, modern astrologers</w:t>
      </w:r>
      <w:r w:rsidR="00576A7F">
        <w:t xml:space="preserve"> </w:t>
      </w:r>
      <w:r w:rsidR="00984479">
        <w:t>‘</w:t>
      </w:r>
      <w:r w:rsidR="00984479" w:rsidRPr="00984479">
        <w:t>favour the term “ascendant”</w:t>
      </w:r>
      <w:r w:rsidR="00EE5629">
        <w:t>’</w:t>
      </w:r>
      <w:r w:rsidR="00576A7F">
        <w:rPr>
          <w:rStyle w:val="FootnoteReference"/>
        </w:rPr>
        <w:footnoteReference w:id="20"/>
      </w:r>
      <w:r w:rsidR="008B0C23">
        <w:t>.</w:t>
      </w:r>
      <w:r w:rsidR="00916F41">
        <w:t xml:space="preserve"> For convenience I will adopt the term ‘ascendant’ when referring to this latter definition, and will retain horoscope to mean a set of astronomical data for astrological purposes.</w:t>
      </w:r>
    </w:p>
    <w:p w14:paraId="364FA5AB" w14:textId="4C227946" w:rsidR="00745046" w:rsidRDefault="00450C7B" w:rsidP="00EC4B9F">
      <w:pPr>
        <w:pStyle w:val="Heading2"/>
      </w:pPr>
      <w:bookmarkStart w:id="20" w:name="_Toc83646415"/>
      <w:r>
        <w:t>3.</w:t>
      </w:r>
      <w:r w:rsidR="00EB483B">
        <w:t>4</w:t>
      </w:r>
      <w:r>
        <w:t xml:space="preserve">: </w:t>
      </w:r>
      <w:r w:rsidR="000F5DBA">
        <w:t>The Four Angles</w:t>
      </w:r>
      <w:bookmarkEnd w:id="20"/>
    </w:p>
    <w:p w14:paraId="6A5A1440" w14:textId="4865D4BC" w:rsidR="00747A1E" w:rsidRPr="00747A1E" w:rsidRDefault="00F94E11" w:rsidP="00552281">
      <w:r>
        <w:t xml:space="preserve">In addition to planets, horoscopes may reference one of four angles. </w:t>
      </w:r>
      <w:r w:rsidR="00682028">
        <w:t>The Ascendant</w:t>
      </w:r>
      <w:r w:rsidR="00EC37CB">
        <w:t xml:space="preserve"> (sometimes Horoscope, or Horoskopos)</w:t>
      </w:r>
      <w:r w:rsidR="00682028">
        <w:t xml:space="preserve"> is derived from the intersection of the ecliptic and horizon</w:t>
      </w:r>
      <w:r w:rsidR="00552281">
        <w:t xml:space="preserve"> toward the eas</w:t>
      </w:r>
      <w:r>
        <w:t>t</w:t>
      </w:r>
      <w:r w:rsidR="00552281">
        <w:t>. The point opposite it is the Descendant (sometimes ‘occident’), and is the intersection</w:t>
      </w:r>
      <w:r w:rsidR="00A6076B">
        <w:t xml:space="preserve"> of </w:t>
      </w:r>
      <w:r w:rsidR="00E7227C">
        <w:t xml:space="preserve">the </w:t>
      </w:r>
      <w:r w:rsidR="00A6076B">
        <w:t>horizon and ecliptic</w:t>
      </w:r>
      <w:r w:rsidR="00552281">
        <w:t xml:space="preserve"> toward the west</w:t>
      </w:r>
      <w:r w:rsidR="00E214D1">
        <w:rPr>
          <w:rStyle w:val="FootnoteReference"/>
        </w:rPr>
        <w:footnoteReference w:id="21"/>
      </w:r>
      <w:r w:rsidR="00E214D1">
        <w:t>.</w:t>
      </w:r>
      <w:r w:rsidR="00552281">
        <w:t xml:space="preserve"> </w:t>
      </w:r>
      <w:r w:rsidR="00AD00FF">
        <w:t>The</w:t>
      </w:r>
      <w:r w:rsidR="00950AE5">
        <w:t xml:space="preserve"> Midheaven, </w:t>
      </w:r>
      <w:r w:rsidR="008C0227">
        <w:t>also referred to as the</w:t>
      </w:r>
      <w:r w:rsidR="00CF081A">
        <w:t xml:space="preserve"> </w:t>
      </w:r>
      <w:r w:rsidR="00950AE5" w:rsidRPr="00950AE5">
        <w:rPr>
          <w:i/>
          <w:iCs/>
        </w:rPr>
        <w:t>Medium Coeli</w:t>
      </w:r>
      <w:r w:rsidR="00950AE5">
        <w:t xml:space="preserve"> </w:t>
      </w:r>
      <w:r w:rsidR="00E10C36">
        <w:t>(</w:t>
      </w:r>
      <w:r w:rsidR="00E10C36" w:rsidRPr="001051D4">
        <w:t>MC</w:t>
      </w:r>
      <w:r w:rsidR="00E10C36">
        <w:t>)</w:t>
      </w:r>
      <w:r w:rsidR="008C0227">
        <w:t>,</w:t>
      </w:r>
      <w:r w:rsidR="00E10C36">
        <w:t xml:space="preserve"> </w:t>
      </w:r>
      <w:r w:rsidR="00950AE5">
        <w:t>is the intersection between meridian and ecliptic</w:t>
      </w:r>
      <w:r w:rsidR="00AD00FF">
        <w:t xml:space="preserve"> above the horizon</w:t>
      </w:r>
      <w:r w:rsidR="00950AE5">
        <w:t xml:space="preserve">, </w:t>
      </w:r>
      <w:r w:rsidR="00AD00FF">
        <w:t>whilst</w:t>
      </w:r>
      <w:r w:rsidR="00950AE5">
        <w:t xml:space="preserve"> the point opposite it is the </w:t>
      </w:r>
      <w:r w:rsidR="00950AE5" w:rsidRPr="00950AE5">
        <w:rPr>
          <w:i/>
          <w:iCs/>
        </w:rPr>
        <w:t>Imum Coeli</w:t>
      </w:r>
      <w:r w:rsidR="00E10C36">
        <w:t xml:space="preserve"> (IC).</w:t>
      </w:r>
      <w:r w:rsidR="00552281">
        <w:t xml:space="preserve"> </w:t>
      </w:r>
      <w:r w:rsidR="00950AE5">
        <w:t>The Ascendant, Descendant, MC and IC are</w:t>
      </w:r>
      <w:r w:rsidR="000E461E">
        <w:t xml:space="preserve"> the four </w:t>
      </w:r>
      <w:r w:rsidR="000F5DBA">
        <w:t>‘centres’</w:t>
      </w:r>
      <w:r w:rsidR="000E461E">
        <w:t xml:space="preserve">, or ‘cardines’, but </w:t>
      </w:r>
      <w:r w:rsidR="00747778">
        <w:t xml:space="preserve">are </w:t>
      </w:r>
      <w:r w:rsidR="000E461E">
        <w:t>more commonly referred to as ‘angles’ in contemporary astrology</w:t>
      </w:r>
      <w:r w:rsidR="000E461E">
        <w:rPr>
          <w:rStyle w:val="FootnoteReference"/>
        </w:rPr>
        <w:footnoteReference w:id="22"/>
      </w:r>
      <w:r w:rsidR="000E461E">
        <w:t xml:space="preserve">. </w:t>
      </w:r>
      <w:r w:rsidR="00552281">
        <w:t>The four angles may refer to specific degree</w:t>
      </w:r>
      <w:r w:rsidR="009E422A">
        <w:t>s</w:t>
      </w:r>
      <w:r w:rsidR="00552281">
        <w:t>, the</w:t>
      </w:r>
      <w:r w:rsidR="009E422A">
        <w:t xml:space="preserve"> Zodiac</w:t>
      </w:r>
      <w:r w:rsidR="00552281">
        <w:t xml:space="preserve"> sign in which the degree is found, or else the </w:t>
      </w:r>
      <w:r w:rsidR="000350E8">
        <w:t>‘</w:t>
      </w:r>
      <w:r w:rsidR="00552281">
        <w:t>house</w:t>
      </w:r>
      <w:r w:rsidR="000350E8">
        <w:t>’</w:t>
      </w:r>
      <w:r w:rsidR="00552281">
        <w:t xml:space="preserve"> in which it is found</w:t>
      </w:r>
      <w:r w:rsidR="00021CF9">
        <w:t>. As such, t</w:t>
      </w:r>
      <w:r w:rsidR="009E422A">
        <w:t>he</w:t>
      </w:r>
      <w:r w:rsidR="005601F4">
        <w:t xml:space="preserve"> Ascendant</w:t>
      </w:r>
      <w:r w:rsidR="009E422A">
        <w:t xml:space="preserve"> is related to the</w:t>
      </w:r>
      <w:r w:rsidR="005601F4">
        <w:t xml:space="preserve"> 1</w:t>
      </w:r>
      <w:r w:rsidR="005601F4" w:rsidRPr="005601F4">
        <w:rPr>
          <w:vertAlign w:val="superscript"/>
        </w:rPr>
        <w:t>st</w:t>
      </w:r>
      <w:r w:rsidR="005601F4">
        <w:t xml:space="preserve"> House, </w:t>
      </w:r>
      <w:r w:rsidR="009E422A">
        <w:t xml:space="preserve">the </w:t>
      </w:r>
      <w:r w:rsidR="005601F4">
        <w:t>IC</w:t>
      </w:r>
      <w:r w:rsidR="009E422A">
        <w:t xml:space="preserve"> with</w:t>
      </w:r>
      <w:r w:rsidR="005601F4">
        <w:t xml:space="preserve"> </w:t>
      </w:r>
      <w:r w:rsidR="00EF5D35">
        <w:t xml:space="preserve">the </w:t>
      </w:r>
      <w:r w:rsidR="005601F4">
        <w:t>4</w:t>
      </w:r>
      <w:r w:rsidR="005601F4" w:rsidRPr="005601F4">
        <w:rPr>
          <w:vertAlign w:val="superscript"/>
        </w:rPr>
        <w:t>th</w:t>
      </w:r>
      <w:r w:rsidR="005601F4">
        <w:t xml:space="preserve"> House,</w:t>
      </w:r>
      <w:r w:rsidR="009E422A">
        <w:t xml:space="preserve"> the</w:t>
      </w:r>
      <w:r w:rsidR="005601F4">
        <w:t xml:space="preserve"> Descendant</w:t>
      </w:r>
      <w:r w:rsidR="009E422A">
        <w:t xml:space="preserve"> with the 7</w:t>
      </w:r>
      <w:r w:rsidR="009E422A" w:rsidRPr="009E422A">
        <w:rPr>
          <w:vertAlign w:val="superscript"/>
        </w:rPr>
        <w:t>th</w:t>
      </w:r>
      <w:r w:rsidR="009E422A">
        <w:t xml:space="preserve"> House, </w:t>
      </w:r>
      <w:r w:rsidR="007B41D6">
        <w:t xml:space="preserve">and </w:t>
      </w:r>
      <w:r w:rsidR="009E422A">
        <w:t xml:space="preserve">the </w:t>
      </w:r>
      <w:r w:rsidR="005601F4">
        <w:t>MC</w:t>
      </w:r>
      <w:r w:rsidR="009E422A">
        <w:t xml:space="preserve"> with the</w:t>
      </w:r>
      <w:r w:rsidR="005601F4">
        <w:t xml:space="preserve"> 10</w:t>
      </w:r>
      <w:r w:rsidR="005601F4" w:rsidRPr="005601F4">
        <w:rPr>
          <w:vertAlign w:val="superscript"/>
        </w:rPr>
        <w:t>th</w:t>
      </w:r>
      <w:r w:rsidR="005601F4">
        <w:t xml:space="preserve"> House</w:t>
      </w:r>
      <w:r w:rsidR="000350E8">
        <w:t>.</w:t>
      </w:r>
      <w:r w:rsidR="00CD7A77">
        <w:t xml:space="preserve"> </w:t>
      </w:r>
      <w:r w:rsidR="00CD7A77">
        <w:t>Greenbaum and Ross suggested a temporal Egyptian origin for the angles, likely calculated via spatial divisions, which were a precursor to their usage in houses</w:t>
      </w:r>
      <w:r w:rsidR="00CD7A77">
        <w:rPr>
          <w:rStyle w:val="FootnoteReference"/>
        </w:rPr>
        <w:footnoteReference w:id="23"/>
      </w:r>
      <w:r w:rsidR="00CD7A77">
        <w:t>.</w:t>
      </w:r>
    </w:p>
    <w:p w14:paraId="39F4171E" w14:textId="77E556D7" w:rsidR="00745046" w:rsidRDefault="00D725A0" w:rsidP="00B43AA1">
      <w:pPr>
        <w:pStyle w:val="Heading2"/>
      </w:pPr>
      <w:bookmarkStart w:id="21" w:name="_Toc83646416"/>
      <w:r>
        <w:t>3.</w:t>
      </w:r>
      <w:r w:rsidR="00E27AF5">
        <w:t>5</w:t>
      </w:r>
      <w:r>
        <w:t>:</w:t>
      </w:r>
      <w:r w:rsidR="00450C7B">
        <w:t xml:space="preserve"> </w:t>
      </w:r>
      <w:r w:rsidR="00745046">
        <w:t>House</w:t>
      </w:r>
      <w:r w:rsidR="00057E24">
        <w:t xml:space="preserve"> Systems</w:t>
      </w:r>
      <w:bookmarkEnd w:id="21"/>
    </w:p>
    <w:p w14:paraId="39B93BB7" w14:textId="3970A6FE" w:rsidR="00747A1E" w:rsidRPr="00747A1E" w:rsidRDefault="00435FE0" w:rsidP="00747A1E">
      <w:r>
        <w:t xml:space="preserve">Houses are a 12-fold division of the mundane </w:t>
      </w:r>
      <w:r w:rsidR="00057E24">
        <w:t xml:space="preserve">sphere, with </w:t>
      </w:r>
      <w:r w:rsidR="004650F9">
        <w:t xml:space="preserve">contemporary astrological practice recording </w:t>
      </w:r>
      <w:r w:rsidR="004A429F">
        <w:t xml:space="preserve">dozens of </w:t>
      </w:r>
      <w:r w:rsidR="00240B25">
        <w:t>methods of</w:t>
      </w:r>
      <w:r w:rsidR="004A429F">
        <w:t xml:space="preserve"> division</w:t>
      </w:r>
      <w:r w:rsidR="00057E24">
        <w:t xml:space="preserve">, typically involving </w:t>
      </w:r>
      <w:r w:rsidR="00D34F56">
        <w:t xml:space="preserve">at least </w:t>
      </w:r>
      <w:r w:rsidR="00057E24">
        <w:t>one of the four angles as their basis</w:t>
      </w:r>
      <w:r w:rsidR="004650F9">
        <w:rPr>
          <w:rStyle w:val="FootnoteReference"/>
        </w:rPr>
        <w:footnoteReference w:id="24"/>
      </w:r>
      <w:r>
        <w:t>.</w:t>
      </w:r>
      <w:r w:rsidR="00057E24">
        <w:t xml:space="preserve"> </w:t>
      </w:r>
      <w:r w:rsidR="008A6289">
        <w:t>Each</w:t>
      </w:r>
      <w:r w:rsidR="00006BAB">
        <w:t xml:space="preserve"> of the twelve houses </w:t>
      </w:r>
      <w:r w:rsidR="0052733D">
        <w:t xml:space="preserve">were </w:t>
      </w:r>
      <w:r w:rsidR="00791024">
        <w:t>given names</w:t>
      </w:r>
      <w:r w:rsidR="00654BFD">
        <w:t xml:space="preserve">, </w:t>
      </w:r>
      <w:r w:rsidR="00AF51CD">
        <w:t>signified topics</w:t>
      </w:r>
      <w:r w:rsidR="00006BAB">
        <w:t xml:space="preserve">, </w:t>
      </w:r>
      <w:r w:rsidR="008A6289">
        <w:t>and</w:t>
      </w:r>
      <w:r w:rsidR="00006BAB">
        <w:t xml:space="preserve"> </w:t>
      </w:r>
      <w:r w:rsidR="008A6289">
        <w:t xml:space="preserve">possibly </w:t>
      </w:r>
      <w:r w:rsidR="00AF51CD">
        <w:t>determined strength or power</w:t>
      </w:r>
      <w:r w:rsidR="00006BAB">
        <w:rPr>
          <w:rStyle w:val="FootnoteReference"/>
        </w:rPr>
        <w:footnoteReference w:id="25"/>
      </w:r>
      <w:r w:rsidR="00006BAB">
        <w:t>.</w:t>
      </w:r>
      <w:r w:rsidR="001B0FC7">
        <w:t xml:space="preserve"> </w:t>
      </w:r>
      <w:r w:rsidR="007D6094">
        <w:t xml:space="preserve">The arc of degrees formed between </w:t>
      </w:r>
      <w:r w:rsidR="004125AD">
        <w:t xml:space="preserve">each of the four angles </w:t>
      </w:r>
      <w:r w:rsidR="007D6094">
        <w:t>is considered a ‘quadrant’, and house systems which trisect the four quadrants in some manner are</w:t>
      </w:r>
      <w:r w:rsidR="00197BB4">
        <w:t xml:space="preserve"> referred to as</w:t>
      </w:r>
      <w:r w:rsidR="007D6094">
        <w:t xml:space="preserve"> quadrant houses. </w:t>
      </w:r>
      <w:r w:rsidR="008614E3">
        <w:t>Although there are dozens of house systems in contemporary astrology, this dissertation will focus principally on four house systems</w:t>
      </w:r>
      <w:r w:rsidR="001F2CD8">
        <w:t>: Whole Sign Houses, Equal Houses, Porphyry Houses, and Campanus Houses.</w:t>
      </w:r>
    </w:p>
    <w:p w14:paraId="6427B529" w14:textId="4FDFF560" w:rsidR="00745046" w:rsidRDefault="00D725A0" w:rsidP="00D520C7">
      <w:pPr>
        <w:pStyle w:val="Heading3"/>
      </w:pPr>
      <w:bookmarkStart w:id="22" w:name="_Toc83646417"/>
      <w:r>
        <w:t>3.</w:t>
      </w:r>
      <w:r w:rsidR="00E27AF5">
        <w:t>5</w:t>
      </w:r>
      <w:r>
        <w:t xml:space="preserve">.1: </w:t>
      </w:r>
      <w:r w:rsidR="00745046">
        <w:t>Whole Sign Houses</w:t>
      </w:r>
      <w:bookmarkEnd w:id="22"/>
    </w:p>
    <w:p w14:paraId="34F686D0" w14:textId="21D04959" w:rsidR="00747A1E" w:rsidRPr="00747A1E" w:rsidRDefault="00360E03" w:rsidP="00747A1E">
      <w:r>
        <w:t xml:space="preserve">In </w:t>
      </w:r>
      <w:r w:rsidR="008B1BB7">
        <w:t>the Whole Sign House (WSH)</w:t>
      </w:r>
      <w:r>
        <w:t xml:space="preserve"> system, each house </w:t>
      </w:r>
      <w:r w:rsidR="00855E0A">
        <w:t>consists of a full</w:t>
      </w:r>
      <w:r>
        <w:t xml:space="preserve"> Zodiac sign, starting from the </w:t>
      </w:r>
      <w:r w:rsidR="00573E84">
        <w:t xml:space="preserve">sign of the </w:t>
      </w:r>
      <w:r>
        <w:t>Ascendant</w:t>
      </w:r>
      <w:r w:rsidR="00FC70F3">
        <w:t>; t</w:t>
      </w:r>
      <w:r w:rsidR="007234EF">
        <w:t xml:space="preserve">he </w:t>
      </w:r>
      <w:r w:rsidR="00573E84">
        <w:t>1</w:t>
      </w:r>
      <w:r w:rsidR="000838D3">
        <w:t>0</w:t>
      </w:r>
      <w:r w:rsidR="000838D3" w:rsidRPr="000838D3">
        <w:rPr>
          <w:vertAlign w:val="superscript"/>
        </w:rPr>
        <w:t>th</w:t>
      </w:r>
      <w:r w:rsidR="000838D3">
        <w:t xml:space="preserve"> </w:t>
      </w:r>
      <w:r w:rsidR="00BF653A">
        <w:t>House</w:t>
      </w:r>
      <w:r w:rsidR="000838D3">
        <w:t xml:space="preserve"> may or may not contain the Midheaven </w:t>
      </w:r>
      <w:r w:rsidR="00BF653A">
        <w:t>degree</w:t>
      </w:r>
      <w:r w:rsidR="00312B73">
        <w:rPr>
          <w:rStyle w:val="FootnoteReference"/>
        </w:rPr>
        <w:footnoteReference w:id="26"/>
      </w:r>
      <w:r w:rsidR="00573E84">
        <w:t>.</w:t>
      </w:r>
    </w:p>
    <w:p w14:paraId="625DC8DF" w14:textId="589F07CC" w:rsidR="00745046" w:rsidRDefault="00D725A0" w:rsidP="00D520C7">
      <w:pPr>
        <w:pStyle w:val="Heading3"/>
      </w:pPr>
      <w:bookmarkStart w:id="23" w:name="_Toc83646418"/>
      <w:r>
        <w:t>3.</w:t>
      </w:r>
      <w:r w:rsidR="00E27AF5">
        <w:t>5</w:t>
      </w:r>
      <w:r>
        <w:t xml:space="preserve">.2: </w:t>
      </w:r>
      <w:r w:rsidR="00745046">
        <w:t>Equal Houses</w:t>
      </w:r>
      <w:bookmarkEnd w:id="23"/>
    </w:p>
    <w:p w14:paraId="640BDC4B" w14:textId="27CF5185" w:rsidR="008B1BB7" w:rsidRPr="00747A1E" w:rsidRDefault="008B1BB7" w:rsidP="00747A1E">
      <w:r>
        <w:t>In the Equal House (EH) system, each house is 30º in arc, beginning from the degree of the Ascendant</w:t>
      </w:r>
      <w:r w:rsidR="00FC70F3">
        <w:t>; t</w:t>
      </w:r>
      <w:r w:rsidR="00BF653A">
        <w:t>he 10</w:t>
      </w:r>
      <w:r w:rsidR="00BF653A" w:rsidRPr="00BF653A">
        <w:rPr>
          <w:vertAlign w:val="superscript"/>
        </w:rPr>
        <w:t>th</w:t>
      </w:r>
      <w:r w:rsidR="00BF653A">
        <w:t xml:space="preserve"> House may or may not contain the Midheaven degree</w:t>
      </w:r>
      <w:r w:rsidR="009F73B3">
        <w:rPr>
          <w:rStyle w:val="FootnoteReference"/>
        </w:rPr>
        <w:footnoteReference w:id="27"/>
      </w:r>
      <w:r w:rsidR="00BF653A">
        <w:t>.</w:t>
      </w:r>
    </w:p>
    <w:p w14:paraId="42F01131" w14:textId="24E5D72A" w:rsidR="00745046" w:rsidRDefault="00D725A0" w:rsidP="00D520C7">
      <w:pPr>
        <w:pStyle w:val="Heading3"/>
      </w:pPr>
      <w:bookmarkStart w:id="24" w:name="_Toc83646419"/>
      <w:r>
        <w:t>3.</w:t>
      </w:r>
      <w:r w:rsidR="00E27AF5">
        <w:t>5</w:t>
      </w:r>
      <w:r>
        <w:t xml:space="preserve">.3: </w:t>
      </w:r>
      <w:r w:rsidR="00745046">
        <w:t>Porphyry Houses</w:t>
      </w:r>
      <w:bookmarkEnd w:id="24"/>
    </w:p>
    <w:p w14:paraId="15320949" w14:textId="58B43373" w:rsidR="00BB508A" w:rsidRDefault="009F73B3" w:rsidP="009F73B3">
      <w:r>
        <w:t xml:space="preserve">The Porphyry House system is </w:t>
      </w:r>
      <w:r w:rsidR="00DF1DD4">
        <w:t xml:space="preserve">a quadrant house system, </w:t>
      </w:r>
      <w:r>
        <w:t xml:space="preserve">where the </w:t>
      </w:r>
      <w:r w:rsidR="00154D30">
        <w:t xml:space="preserve">span of </w:t>
      </w:r>
      <w:r>
        <w:t xml:space="preserve">degrees of each </w:t>
      </w:r>
      <w:r w:rsidR="00DF1DD4">
        <w:t xml:space="preserve">quadrant </w:t>
      </w:r>
      <w:r>
        <w:t>is</w:t>
      </w:r>
      <w:r w:rsidR="00154D30">
        <w:t xml:space="preserve"> trisected to determine the arc allocated to each house within that quadrant</w:t>
      </w:r>
      <w:r>
        <w:rPr>
          <w:rStyle w:val="FootnoteReference"/>
        </w:rPr>
        <w:footnoteReference w:id="28"/>
      </w:r>
      <w:r>
        <w:t>.</w:t>
      </w:r>
      <w:r w:rsidR="00E645AC">
        <w:t xml:space="preserve"> </w:t>
      </w:r>
      <w:r w:rsidR="00FC70F3">
        <w:t>The 10</w:t>
      </w:r>
      <w:r w:rsidR="00FC70F3" w:rsidRPr="00FC70F3">
        <w:rPr>
          <w:vertAlign w:val="superscript"/>
        </w:rPr>
        <w:t>th</w:t>
      </w:r>
      <w:r w:rsidR="00FC70F3">
        <w:t xml:space="preserve"> House begins from the Midheaven degree.</w:t>
      </w:r>
    </w:p>
    <w:p w14:paraId="0ED05A26" w14:textId="547B2CE4" w:rsidR="00745046" w:rsidRDefault="00D725A0" w:rsidP="00D520C7">
      <w:pPr>
        <w:pStyle w:val="Heading3"/>
      </w:pPr>
      <w:bookmarkStart w:id="25" w:name="_Toc83646420"/>
      <w:r>
        <w:t>3.</w:t>
      </w:r>
      <w:r w:rsidR="00E27AF5">
        <w:t>5</w:t>
      </w:r>
      <w:r>
        <w:t xml:space="preserve">.4: </w:t>
      </w:r>
      <w:r w:rsidR="00745046">
        <w:t>Campanus Houses</w:t>
      </w:r>
      <w:bookmarkEnd w:id="25"/>
    </w:p>
    <w:p w14:paraId="0BBE7DB9" w14:textId="0C8D84C6" w:rsidR="00386898" w:rsidRPr="00747A1E" w:rsidRDefault="003A2B8D" w:rsidP="00747A1E">
      <w:r>
        <w:t>Like Porphyry, Campanus is a quadrant</w:t>
      </w:r>
      <w:r w:rsidR="003F358D">
        <w:t>-based system, but unlike Porphry it is not chiefly a division of the Zodiac. Instead, it is a 3D division of the entire mundane sphere, where the prime vertical is divided into twelve</w:t>
      </w:r>
      <w:r w:rsidR="00666A5A">
        <w:t xml:space="preserve"> equal</w:t>
      </w:r>
      <w:r w:rsidR="003F358D">
        <w:t xml:space="preserve"> sections, and projected through </w:t>
      </w:r>
      <w:r w:rsidR="00911472">
        <w:t>its</w:t>
      </w:r>
      <w:r w:rsidR="003F358D">
        <w:t xml:space="preserve"> pol</w:t>
      </w:r>
      <w:r w:rsidR="00911472">
        <w:t>e</w:t>
      </w:r>
      <w:r w:rsidR="003F358D">
        <w:t>,</w:t>
      </w:r>
      <w:r w:rsidR="00911472">
        <w:t xml:space="preserve"> </w:t>
      </w:r>
      <w:r w:rsidR="003F358D">
        <w:t xml:space="preserve">with each house being the intersection </w:t>
      </w:r>
      <w:r w:rsidR="00911472">
        <w:t>these</w:t>
      </w:r>
      <w:r w:rsidR="003F358D">
        <w:t xml:space="preserve"> projections</w:t>
      </w:r>
      <w:r w:rsidR="00911472">
        <w:t xml:space="preserve"> make</w:t>
      </w:r>
      <w:r w:rsidR="003F358D">
        <w:t xml:space="preserve"> with the Zodiac</w:t>
      </w:r>
      <w:r w:rsidR="00911472">
        <w:rPr>
          <w:rStyle w:val="FootnoteReference"/>
        </w:rPr>
        <w:footnoteReference w:id="29"/>
      </w:r>
      <w:r w:rsidR="003F358D">
        <w:t xml:space="preserve">. </w:t>
      </w:r>
      <w:r w:rsidR="00820D72">
        <w:t>The 10</w:t>
      </w:r>
      <w:r w:rsidR="00820D72" w:rsidRPr="00FC70F3">
        <w:rPr>
          <w:vertAlign w:val="superscript"/>
        </w:rPr>
        <w:t>th</w:t>
      </w:r>
      <w:r w:rsidR="00820D72">
        <w:t xml:space="preserve"> House </w:t>
      </w:r>
      <w:r w:rsidR="00BA7E6E">
        <w:t xml:space="preserve">therefore </w:t>
      </w:r>
      <w:r w:rsidR="00820D72">
        <w:t>begins from the Midheaven degree.</w:t>
      </w:r>
    </w:p>
    <w:p w14:paraId="49A570AA" w14:textId="18605C21" w:rsidR="00745046" w:rsidRDefault="00D725A0" w:rsidP="00C85E13">
      <w:pPr>
        <w:pStyle w:val="Heading1"/>
      </w:pPr>
      <w:bookmarkStart w:id="26" w:name="_Toc83646421"/>
      <w:r>
        <w:t xml:space="preserve">Chapter 4: </w:t>
      </w:r>
      <w:r w:rsidR="00C85E13">
        <w:t>Literary Review</w:t>
      </w:r>
      <w:bookmarkEnd w:id="26"/>
    </w:p>
    <w:p w14:paraId="334C655D" w14:textId="3D0AFF62" w:rsidR="006A4BCA" w:rsidRDefault="006A4BCA" w:rsidP="006A4BCA">
      <w:pPr>
        <w:pStyle w:val="Heading2"/>
      </w:pPr>
      <w:bookmarkStart w:id="27" w:name="_Toc83646422"/>
      <w:r>
        <w:t>4.1</w:t>
      </w:r>
      <w:r w:rsidR="004A5C9A">
        <w:t>:</w:t>
      </w:r>
      <w:r>
        <w:t xml:space="preserve"> Historiography</w:t>
      </w:r>
      <w:bookmarkEnd w:id="27"/>
    </w:p>
    <w:p w14:paraId="5C48E511" w14:textId="6A5CE038" w:rsidR="006A4BCA" w:rsidRDefault="00C656B5" w:rsidP="00690F69">
      <w:r>
        <w:t>Focusing on the history of astrology raises questions of historiography</w:t>
      </w:r>
      <w:r w:rsidR="004477D4">
        <w:t xml:space="preserve">, especially within the context of astrology being </w:t>
      </w:r>
      <w:r w:rsidR="0097578D">
        <w:t>defined as t</w:t>
      </w:r>
      <w:r w:rsidR="004477D4">
        <w:t>he tradition</w:t>
      </w:r>
      <w:r w:rsidR="0097578D">
        <w:t>(s)</w:t>
      </w:r>
      <w:r w:rsidR="004477D4">
        <w:t xml:space="preserve"> which have been generated over time</w:t>
      </w:r>
      <w:r w:rsidR="00933255">
        <w:t>.</w:t>
      </w:r>
    </w:p>
    <w:p w14:paraId="7EC0C501" w14:textId="55C33667" w:rsidR="00571420" w:rsidRDefault="00571420" w:rsidP="00571420">
      <w:pPr>
        <w:pStyle w:val="Heading3"/>
      </w:pPr>
      <w:bookmarkStart w:id="28" w:name="_Toc83646423"/>
      <w:r w:rsidRPr="00571420">
        <w:t>4.1.1</w:t>
      </w:r>
      <w:r w:rsidR="004A5C9A">
        <w:t>:</w:t>
      </w:r>
      <w:r w:rsidRPr="00571420">
        <w:t xml:space="preserve"> Modern</w:t>
      </w:r>
      <w:r w:rsidR="003D44CA">
        <w:t>ism</w:t>
      </w:r>
      <w:r w:rsidRPr="00571420">
        <w:t xml:space="preserve"> </w:t>
      </w:r>
      <w:r w:rsidR="00093D33">
        <w:t>and</w:t>
      </w:r>
      <w:r w:rsidRPr="00571420">
        <w:t xml:space="preserve"> Postmodernism</w:t>
      </w:r>
      <w:bookmarkEnd w:id="28"/>
    </w:p>
    <w:p w14:paraId="42F61FCF" w14:textId="5CB663E1" w:rsidR="0055526C" w:rsidRDefault="00D6312C" w:rsidP="00A55776">
      <w:r>
        <w:t>Jerome, in his critique of astrology, suggested that astrology is a ‘protoscience’ which led to the science of astronomy</w:t>
      </w:r>
      <w:r w:rsidR="00EB1AAD">
        <w:t xml:space="preserve"> and </w:t>
      </w:r>
      <w:r w:rsidRPr="00CA73D4">
        <w:t xml:space="preserve">relegated </w:t>
      </w:r>
      <w:r>
        <w:t>astrology ‘</w:t>
      </w:r>
      <w:r w:rsidRPr="00CA73D4">
        <w:t>to the role of an ancient, unscientific superstiti</w:t>
      </w:r>
      <w:r>
        <w:t>on’</w:t>
      </w:r>
      <w:r w:rsidR="00725DE2">
        <w:t xml:space="preserve"> of the pas</w:t>
      </w:r>
      <w:r w:rsidR="00E040EF">
        <w:t>t</w:t>
      </w:r>
      <w:r>
        <w:rPr>
          <w:rStyle w:val="FootnoteReference"/>
        </w:rPr>
        <w:footnoteReference w:id="30"/>
      </w:r>
      <w:r>
        <w:t>.</w:t>
      </w:r>
      <w:r w:rsidR="00650546">
        <w:t xml:space="preserve"> </w:t>
      </w:r>
      <w:r w:rsidR="00F7114C">
        <w:t>Jerome’s argument is in line with Jevons</w:t>
      </w:r>
      <w:r w:rsidR="00E040EF">
        <w:t>’s</w:t>
      </w:r>
      <w:r w:rsidR="00F7114C">
        <w:t xml:space="preserve"> </w:t>
      </w:r>
      <w:r w:rsidR="00167D1B">
        <w:t>description of</w:t>
      </w:r>
      <w:r w:rsidR="00F7114C">
        <w:t xml:space="preserve"> ‘good</w:t>
      </w:r>
      <w:r w:rsidR="00167D1B">
        <w:t>’</w:t>
      </w:r>
      <w:r w:rsidR="00F7114C">
        <w:t xml:space="preserve"> and ‘bad</w:t>
      </w:r>
      <w:r w:rsidR="00167D1B">
        <w:t>’</w:t>
      </w:r>
      <w:r w:rsidR="00F7114C">
        <w:t xml:space="preserve"> belief, </w:t>
      </w:r>
      <w:r w:rsidR="00100C18">
        <w:t>where</w:t>
      </w:r>
      <w:r w:rsidR="00167D1B">
        <w:t xml:space="preserve"> beliefs evolve such that ‘the fit survived’</w:t>
      </w:r>
      <w:r w:rsidR="003B4EEE">
        <w:t xml:space="preserve"> via </w:t>
      </w:r>
      <w:r w:rsidR="00167D1B">
        <w:t>‘</w:t>
      </w:r>
      <w:r w:rsidR="00167D1B" w:rsidRPr="00167D1B">
        <w:t>the correction of intellectual errors by the intellect’</w:t>
      </w:r>
      <w:r w:rsidR="005F1A65">
        <w:t xml:space="preserve">, which </w:t>
      </w:r>
      <w:r w:rsidR="00100C18">
        <w:t>gives way to ‘progress’</w:t>
      </w:r>
      <w:r w:rsidR="00100C18">
        <w:rPr>
          <w:rStyle w:val="FootnoteReference"/>
        </w:rPr>
        <w:footnoteReference w:id="31"/>
      </w:r>
      <w:r w:rsidR="00100C18">
        <w:t>.</w:t>
      </w:r>
      <w:r w:rsidR="001C1E29">
        <w:t xml:space="preserve"> </w:t>
      </w:r>
      <w:r w:rsidR="00E93C65">
        <w:t>Jerome’s view, echoing Jevon’s</w:t>
      </w:r>
      <w:r w:rsidR="00C64C9A">
        <w:t xml:space="preserve"> evolution of belief</w:t>
      </w:r>
      <w:r w:rsidR="00E93C65">
        <w:t>, is an example of a modernis</w:t>
      </w:r>
      <w:r w:rsidR="00C64C9A">
        <w:t xml:space="preserve">m, which </w:t>
      </w:r>
      <w:r w:rsidR="00052320">
        <w:t>George</w:t>
      </w:r>
      <w:r w:rsidR="00C64C9A">
        <w:t xml:space="preserve"> Iggers described as</w:t>
      </w:r>
      <w:r w:rsidR="005536E6">
        <w:t xml:space="preserve"> </w:t>
      </w:r>
      <w:r w:rsidR="00E13E79">
        <w:t xml:space="preserve">the idea that </w:t>
      </w:r>
      <w:r w:rsidR="005536E6">
        <w:t>history</w:t>
      </w:r>
      <w:r w:rsidR="00C64C9A">
        <w:t xml:space="preserve"> </w:t>
      </w:r>
      <w:r w:rsidR="00E13E79">
        <w:t xml:space="preserve">‘moved in a clear direction’ </w:t>
      </w:r>
      <w:r w:rsidR="00AB4958">
        <w:t>with a progressive expansion of knowledge</w:t>
      </w:r>
      <w:r w:rsidR="00933255">
        <w:t xml:space="preserve">, </w:t>
      </w:r>
      <w:r w:rsidR="00336799">
        <w:t xml:space="preserve">and </w:t>
      </w:r>
      <w:r w:rsidR="00933255">
        <w:t xml:space="preserve">where </w:t>
      </w:r>
      <w:r w:rsidR="00870BE1">
        <w:t xml:space="preserve">there was </w:t>
      </w:r>
      <w:r w:rsidR="000713F9">
        <w:t xml:space="preserve">an objective </w:t>
      </w:r>
      <w:r w:rsidR="005823F7">
        <w:t>‘</w:t>
      </w:r>
      <w:r w:rsidR="005823F7" w:rsidRPr="005E7FD7">
        <w:rPr>
          <w:i/>
          <w:iCs/>
        </w:rPr>
        <w:t>history</w:t>
      </w:r>
      <w:r w:rsidR="005823F7">
        <w:t xml:space="preserve"> in contrast to a multitude of histories’, </w:t>
      </w:r>
      <w:r w:rsidR="002455A4">
        <w:t xml:space="preserve">and </w:t>
      </w:r>
      <w:r w:rsidR="004E3116">
        <w:t>where documents and texts are used as evidence to discover the past</w:t>
      </w:r>
      <w:r w:rsidR="00C76668">
        <w:t xml:space="preserve"> ‘as it had actually occurred’</w:t>
      </w:r>
      <w:r w:rsidR="004E3116">
        <w:rPr>
          <w:rStyle w:val="FootnoteReference"/>
        </w:rPr>
        <w:footnoteReference w:id="32"/>
      </w:r>
      <w:r w:rsidR="004E3116">
        <w:t>.</w:t>
      </w:r>
      <w:r w:rsidR="005823F7">
        <w:t xml:space="preserve"> </w:t>
      </w:r>
      <w:r w:rsidR="000F70DB">
        <w:t>In contrast Jacques Derrida argued that nothing objective can be discerned from the texts, as it ‘is impossible to separate the signified from the signifier’, that is to say, it’s impossible to remove the reader from what is being read</w:t>
      </w:r>
      <w:r w:rsidR="000256FB">
        <w:t xml:space="preserve">, </w:t>
      </w:r>
      <w:r w:rsidR="00DA24EB">
        <w:t>whilst</w:t>
      </w:r>
      <w:r w:rsidR="000256FB">
        <w:t xml:space="preserve"> Michel Foucault argued that </w:t>
      </w:r>
      <w:r w:rsidR="000256FB" w:rsidRPr="0025066A">
        <w:t>‘The historian's history…pretends to base its judgments on an apocalyptic objectivity’</w:t>
      </w:r>
      <w:r w:rsidR="00FB4D9B">
        <w:t>, which it cannot achieve</w:t>
      </w:r>
      <w:r w:rsidR="000256FB">
        <w:rPr>
          <w:rStyle w:val="FootnoteReference"/>
        </w:rPr>
        <w:footnoteReference w:id="33"/>
      </w:r>
      <w:r w:rsidR="000256FB">
        <w:t xml:space="preserve">. Derrida and Foucault typified the postmodern approach which </w:t>
      </w:r>
      <w:r w:rsidR="00EA2691">
        <w:t xml:space="preserve">rejects grand narratives, </w:t>
      </w:r>
      <w:r w:rsidR="000256FB">
        <w:t xml:space="preserve">embraces pluralities, and </w:t>
      </w:r>
      <w:r w:rsidR="00441B1C">
        <w:t xml:space="preserve">where it is ‘not history, but histories’, </w:t>
      </w:r>
      <w:r w:rsidR="00B30411">
        <w:t xml:space="preserve">and not an objective history, but </w:t>
      </w:r>
      <w:r w:rsidR="00441B1C">
        <w:t>a ‘mass of local histories’</w:t>
      </w:r>
      <w:r w:rsidR="00441B1C">
        <w:rPr>
          <w:rStyle w:val="FootnoteReference"/>
        </w:rPr>
        <w:footnoteReference w:id="34"/>
      </w:r>
      <w:r w:rsidR="00441B1C">
        <w:t xml:space="preserve">. </w:t>
      </w:r>
      <w:r w:rsidR="00A55776">
        <w:t>Roy Willis and Patrick Curry argued that any interpretation of a horoscope is essentially ‘divinatory’, rather than ‘objective’, and astrology subverts attempts to separate the ‘subject’ from the ‘object’, echo</w:t>
      </w:r>
      <w:r w:rsidR="00AF350F">
        <w:t>ing</w:t>
      </w:r>
      <w:r w:rsidR="00A55776">
        <w:t xml:space="preserve"> </w:t>
      </w:r>
      <w:r w:rsidR="006A2184">
        <w:t xml:space="preserve">a similar idea to </w:t>
      </w:r>
      <w:r w:rsidR="00A55776">
        <w:t xml:space="preserve">Derrida’s </w:t>
      </w:r>
      <w:r w:rsidR="0021057C">
        <w:t xml:space="preserve">distinction of </w:t>
      </w:r>
      <w:r w:rsidR="00A55776">
        <w:t>signifier and signified</w:t>
      </w:r>
      <w:r w:rsidR="0065228E">
        <w:t xml:space="preserve">, which suggests </w:t>
      </w:r>
      <w:r w:rsidR="007943BC">
        <w:t>Curry held a</w:t>
      </w:r>
      <w:r w:rsidR="0065228E">
        <w:t xml:space="preserve"> postmodern perspective for astrology</w:t>
      </w:r>
      <w:r w:rsidR="002C4623">
        <w:t xml:space="preserve">, which Campion and Greene’s focus on plurality </w:t>
      </w:r>
      <w:r w:rsidR="007943BC">
        <w:t>(</w:t>
      </w:r>
      <w:r w:rsidR="002C4623">
        <w:t>‘astrologies’</w:t>
      </w:r>
      <w:r w:rsidR="007943BC">
        <w:t>)</w:t>
      </w:r>
      <w:r w:rsidR="002C4623">
        <w:t xml:space="preserve"> might </w:t>
      </w:r>
      <w:r w:rsidR="007943BC">
        <w:t>support</w:t>
      </w:r>
      <w:r w:rsidR="00A55776">
        <w:rPr>
          <w:rStyle w:val="FootnoteReference"/>
        </w:rPr>
        <w:footnoteReference w:id="35"/>
      </w:r>
      <w:r w:rsidR="00A55776">
        <w:t xml:space="preserve">. </w:t>
      </w:r>
      <w:r w:rsidR="00E16AB4">
        <w:t xml:space="preserve">Whereas postmodernism is typically understood to follow after modernism, Campion describes the viewpoint of Curry, following Zygmunt Bauman, as being one which rejects </w:t>
      </w:r>
      <w:r w:rsidR="005E173C">
        <w:t>this notion</w:t>
      </w:r>
      <w:r w:rsidR="00E16AB4">
        <w:t>, and</w:t>
      </w:r>
      <w:r w:rsidR="009344F7">
        <w:t xml:space="preserve"> which</w:t>
      </w:r>
      <w:r w:rsidR="00E16AB4">
        <w:t xml:space="preserve"> </w:t>
      </w:r>
      <w:r w:rsidR="005E173C">
        <w:t>are</w:t>
      </w:r>
      <w:r w:rsidR="00E16AB4">
        <w:t xml:space="preserve"> instead state</w:t>
      </w:r>
      <w:r w:rsidR="005E173C">
        <w:t>s</w:t>
      </w:r>
      <w:r w:rsidR="00E16AB4">
        <w:t xml:space="preserve"> of mind</w:t>
      </w:r>
      <w:r w:rsidR="007C36A5">
        <w:t>, adoptable at any time period</w:t>
      </w:r>
      <w:r w:rsidR="00E16AB4">
        <w:rPr>
          <w:rStyle w:val="FootnoteReference"/>
        </w:rPr>
        <w:footnoteReference w:id="36"/>
      </w:r>
      <w:r w:rsidR="00E16AB4">
        <w:t xml:space="preserve">. </w:t>
      </w:r>
    </w:p>
    <w:p w14:paraId="7840413C" w14:textId="4527EB41" w:rsidR="00C64C9A" w:rsidRDefault="00E16AB4" w:rsidP="00F7114C">
      <w:r>
        <w:t>Jerome</w:t>
      </w:r>
      <w:r w:rsidR="0068433D">
        <w:t>, therefore</w:t>
      </w:r>
      <w:r>
        <w:t xml:space="preserve"> </w:t>
      </w:r>
      <w:r w:rsidR="00DB194A">
        <w:t xml:space="preserve">assumed </w:t>
      </w:r>
      <w:r>
        <w:t xml:space="preserve">a modernist position </w:t>
      </w:r>
      <w:r w:rsidR="00CE32A4">
        <w:t>by</w:t>
      </w:r>
      <w:r>
        <w:t xml:space="preserve"> rejecting astrology as a bad belief of the kind Jevons described, Campion and Greene’s focus on ‘astrologies’ over astrology, and Willis and Curry’s echoing of Derrida, </w:t>
      </w:r>
      <w:r w:rsidR="00EA6234">
        <w:t xml:space="preserve">is suggestive of astrology seen in a postmodern mindset, </w:t>
      </w:r>
      <w:r w:rsidR="0071518F">
        <w:t xml:space="preserve">but one in which </w:t>
      </w:r>
      <w:r w:rsidR="0055526C">
        <w:t xml:space="preserve">astrologers throughout </w:t>
      </w:r>
      <w:r w:rsidR="00D31610">
        <w:t xml:space="preserve">any </w:t>
      </w:r>
      <w:r w:rsidR="0055526C">
        <w:t xml:space="preserve">time </w:t>
      </w:r>
      <w:r w:rsidR="00E6308D">
        <w:t xml:space="preserve">period </w:t>
      </w:r>
      <w:r w:rsidR="0055526C">
        <w:t xml:space="preserve">may </w:t>
      </w:r>
      <w:r w:rsidR="00EA6234">
        <w:t>adopt either modernist or postmodernist viewpoints</w:t>
      </w:r>
    </w:p>
    <w:p w14:paraId="4A178EC6" w14:textId="2762536F" w:rsidR="007372D6" w:rsidRDefault="007372D6" w:rsidP="00F10E86">
      <w:pPr>
        <w:pStyle w:val="Heading3"/>
      </w:pPr>
      <w:bookmarkStart w:id="29" w:name="_Toc83646424"/>
      <w:r>
        <w:t>4.</w:t>
      </w:r>
      <w:r w:rsidR="00F10E86">
        <w:t>1.2</w:t>
      </w:r>
      <w:r w:rsidR="005D7DF8">
        <w:t>:</w:t>
      </w:r>
      <w:r>
        <w:t xml:space="preserve"> </w:t>
      </w:r>
      <w:r w:rsidR="00BC4C5D">
        <w:t>Invent</w:t>
      </w:r>
      <w:r w:rsidR="00235333">
        <w:t>ion</w:t>
      </w:r>
      <w:r w:rsidR="00BC4C5D">
        <w:t xml:space="preserve"> </w:t>
      </w:r>
      <w:r w:rsidR="00235333">
        <w:t>vs</w:t>
      </w:r>
      <w:r w:rsidR="00BC4C5D">
        <w:t xml:space="preserve"> Evol</w:t>
      </w:r>
      <w:r w:rsidR="00235333">
        <w:t>ution</w:t>
      </w:r>
      <w:bookmarkEnd w:id="29"/>
    </w:p>
    <w:p w14:paraId="0E9C6432" w14:textId="19F1C1FB" w:rsidR="00440A59" w:rsidRDefault="000C03E3" w:rsidP="00571420">
      <w:r>
        <w:t>Hellenistic astrology is</w:t>
      </w:r>
      <w:r w:rsidRPr="00497743">
        <w:t xml:space="preserve"> the </w:t>
      </w:r>
      <w:r>
        <w:t xml:space="preserve">broad tradition of </w:t>
      </w:r>
      <w:r w:rsidRPr="00497743">
        <w:t>astrology</w:t>
      </w:r>
      <w:r w:rsidR="00743A0F">
        <w:t xml:space="preserve">, principally </w:t>
      </w:r>
      <w:r w:rsidRPr="00497743">
        <w:t>practiced in the</w:t>
      </w:r>
      <w:r>
        <w:t xml:space="preserve"> </w:t>
      </w:r>
      <w:r w:rsidRPr="00497743">
        <w:t>Greek-speaking world from the first century BCE</w:t>
      </w:r>
      <w:r w:rsidR="00743A0F">
        <w:t>,</w:t>
      </w:r>
      <w:r w:rsidRPr="00497743">
        <w:t xml:space="preserve"> and lasting for several centuries afterward</w:t>
      </w:r>
      <w:r>
        <w:rPr>
          <w:rStyle w:val="FootnoteReference"/>
        </w:rPr>
        <w:footnoteReference w:id="37"/>
      </w:r>
      <w:r>
        <w:t xml:space="preserve">. Project Hindsight, </w:t>
      </w:r>
      <w:r w:rsidR="00392DD5">
        <w:t>beginning</w:t>
      </w:r>
      <w:r>
        <w:t xml:space="preserve"> in 1993, proposed to ‘</w:t>
      </w:r>
      <w:r w:rsidRPr="00C53ACB">
        <w:t>translate and interpret the surviving texts</w:t>
      </w:r>
      <w:r>
        <w:t>’ of the Hellenistic period, and included the Greek translator Robert Schmidt, and the historian and astrologer Robert Hand</w:t>
      </w:r>
      <w:r>
        <w:rPr>
          <w:rStyle w:val="FootnoteReference"/>
        </w:rPr>
        <w:footnoteReference w:id="38"/>
      </w:r>
      <w:r>
        <w:t>. Project Hindsight</w:t>
      </w:r>
      <w:r w:rsidR="009F614E">
        <w:t xml:space="preserve"> defined their</w:t>
      </w:r>
      <w:r w:rsidR="00563A11">
        <w:t xml:space="preserve"> mission</w:t>
      </w:r>
      <w:r w:rsidR="00F10E86">
        <w:t xml:space="preserve"> </w:t>
      </w:r>
      <w:r w:rsidR="009F614E">
        <w:t>as being</w:t>
      </w:r>
      <w:r w:rsidR="00F10E86">
        <w:t xml:space="preserve"> to reconstruct </w:t>
      </w:r>
      <w:r>
        <w:t xml:space="preserve">the </w:t>
      </w:r>
      <w:r w:rsidRPr="009E71B2">
        <w:rPr>
          <w:i/>
          <w:iCs/>
        </w:rPr>
        <w:t>actual</w:t>
      </w:r>
      <w:r>
        <w:t xml:space="preserve"> practice</w:t>
      </w:r>
      <w:r w:rsidR="00673D55">
        <w:t xml:space="preserve"> and</w:t>
      </w:r>
      <w:r>
        <w:t xml:space="preserve"> </w:t>
      </w:r>
      <w:r w:rsidRPr="007209D7">
        <w:rPr>
          <w:i/>
          <w:iCs/>
        </w:rPr>
        <w:t xml:space="preserve">original </w:t>
      </w:r>
      <w:r w:rsidR="002B6C63">
        <w:t xml:space="preserve">theory and </w:t>
      </w:r>
      <w:r w:rsidR="00124C91">
        <w:t>d</w:t>
      </w:r>
      <w:r w:rsidRPr="002B6C63">
        <w:t>octrine</w:t>
      </w:r>
      <w:r>
        <w:t xml:space="preserve"> of Hellenistic astrology</w:t>
      </w:r>
      <w:r w:rsidR="004B46E5">
        <w:t>, emphasis mine</w:t>
      </w:r>
      <w:r w:rsidR="00861ADF">
        <w:rPr>
          <w:rStyle w:val="FootnoteReference"/>
        </w:rPr>
        <w:footnoteReference w:id="39"/>
      </w:r>
      <w:r w:rsidR="00861ADF">
        <w:t xml:space="preserve">. </w:t>
      </w:r>
      <w:r w:rsidR="00101008">
        <w:t xml:space="preserve">James Holden referred to the ‘the inventors’ of Hellenistic astrology, </w:t>
      </w:r>
      <w:r w:rsidR="00177BFB">
        <w:t xml:space="preserve">but </w:t>
      </w:r>
      <w:r w:rsidR="00101008">
        <w:t>Schmidt claimed to identify a single inventor</w:t>
      </w:r>
      <w:r w:rsidR="0006495B">
        <w:t xml:space="preserve">, suggesting </w:t>
      </w:r>
      <w:r w:rsidR="00697046">
        <w:t xml:space="preserve">that Holden, and especially Schmidt, imagined </w:t>
      </w:r>
      <w:r w:rsidR="0006495B">
        <w:t>a unified intelligence behind astrological doctrine</w:t>
      </w:r>
      <w:r w:rsidR="007859D0">
        <w:rPr>
          <w:rStyle w:val="FootnoteReference"/>
        </w:rPr>
        <w:footnoteReference w:id="40"/>
      </w:r>
      <w:r>
        <w:t>.</w:t>
      </w:r>
      <w:r w:rsidR="002B6C63">
        <w:t xml:space="preserve"> </w:t>
      </w:r>
      <w:r w:rsidR="00861ADF">
        <w:t>In contrast</w:t>
      </w:r>
      <w:r w:rsidR="008C2AE7">
        <w:t xml:space="preserve">, Campion argued that there ‘were multiple points of creation’ for astrology, </w:t>
      </w:r>
      <w:r w:rsidR="00A76351">
        <w:t>and</w:t>
      </w:r>
      <w:r w:rsidR="006A0138">
        <w:t xml:space="preserve"> Greenbaum and Ross argued for a ‘gradual development’ hypothesis</w:t>
      </w:r>
      <w:r w:rsidR="008C2AE7">
        <w:t xml:space="preserve"> from multiple sources</w:t>
      </w:r>
      <w:r w:rsidR="006A0138">
        <w:rPr>
          <w:rStyle w:val="FootnoteReference"/>
        </w:rPr>
        <w:footnoteReference w:id="41"/>
      </w:r>
      <w:r w:rsidR="006A0138">
        <w:t>.</w:t>
      </w:r>
      <w:r w:rsidR="008C2AE7">
        <w:t xml:space="preserve"> </w:t>
      </w:r>
      <w:r w:rsidR="005C3635">
        <w:t xml:space="preserve">This is an important distinction, </w:t>
      </w:r>
      <w:r w:rsidR="00D034D5">
        <w:t>because</w:t>
      </w:r>
      <w:r w:rsidR="005C3635">
        <w:t xml:space="preserve"> a</w:t>
      </w:r>
      <w:r w:rsidR="00640042">
        <w:t xml:space="preserve">ssumptions of </w:t>
      </w:r>
      <w:r w:rsidR="005C3635">
        <w:t>an ‘inventor’, vs an ‘evolution’, ma</w:t>
      </w:r>
      <w:r w:rsidR="00D034D5">
        <w:t>y encourage</w:t>
      </w:r>
      <w:r w:rsidR="005C3635">
        <w:t xml:space="preserve"> </w:t>
      </w:r>
      <w:r w:rsidR="00640042">
        <w:t>different conclusions when analysing the history of astrology</w:t>
      </w:r>
      <w:r w:rsidR="00D034D5">
        <w:t xml:space="preserve">, especially as the former would expect more cohesive doctrine with fewer competing or contradictory ideas, whilst the latter would expect or acknowledge </w:t>
      </w:r>
      <w:r w:rsidR="00BC3B88">
        <w:t>variety</w:t>
      </w:r>
      <w:r w:rsidR="00640042">
        <w:t>.</w:t>
      </w:r>
      <w:r w:rsidR="00992791">
        <w:t xml:space="preserve"> </w:t>
      </w:r>
      <w:r w:rsidR="00823776">
        <w:t xml:space="preserve">Therefore, assumptions </w:t>
      </w:r>
      <w:r w:rsidR="002D4092">
        <w:t>about</w:t>
      </w:r>
      <w:r w:rsidR="00823776">
        <w:t xml:space="preserve"> astrological history may encourage conclusions which </w:t>
      </w:r>
      <w:r w:rsidR="00E1697A">
        <w:t>are</w:t>
      </w:r>
      <w:r w:rsidR="00823776">
        <w:t xml:space="preserve"> </w:t>
      </w:r>
      <w:r w:rsidR="00E1697A">
        <w:t xml:space="preserve">not </w:t>
      </w:r>
      <w:r w:rsidR="00823776">
        <w:t>evidenced from the surviving texts alone</w:t>
      </w:r>
      <w:r w:rsidR="00E1697A">
        <w:t>, and shape contemporary discussion as a result of those</w:t>
      </w:r>
      <w:r w:rsidR="00FB4B72">
        <w:t xml:space="preserve"> </w:t>
      </w:r>
      <w:r w:rsidR="00E1697A">
        <w:t>conclusions.</w:t>
      </w:r>
    </w:p>
    <w:p w14:paraId="645555ED" w14:textId="04030241" w:rsidR="00C23C83" w:rsidRPr="00C23C83" w:rsidRDefault="00C23C83" w:rsidP="00C23C83">
      <w:pPr>
        <w:pStyle w:val="Heading3"/>
      </w:pPr>
      <w:bookmarkStart w:id="30" w:name="_Toc83646425"/>
      <w:r w:rsidRPr="00C23C83">
        <w:t>4.1.</w:t>
      </w:r>
      <w:r w:rsidR="006B5E3F">
        <w:t>3</w:t>
      </w:r>
      <w:r w:rsidR="00BD5782">
        <w:t>:</w:t>
      </w:r>
      <w:r w:rsidRPr="00C23C83">
        <w:t xml:space="preserve"> </w:t>
      </w:r>
      <w:r w:rsidR="00E43FF7">
        <w:t xml:space="preserve">Interpreting </w:t>
      </w:r>
      <w:r w:rsidRPr="00C23C83">
        <w:t>Surviving Texts</w:t>
      </w:r>
      <w:bookmarkEnd w:id="30"/>
    </w:p>
    <w:p w14:paraId="08825AAB" w14:textId="1E1B00BC" w:rsidR="00732A14" w:rsidRDefault="00823776" w:rsidP="00571420">
      <w:r>
        <w:t>As</w:t>
      </w:r>
      <w:r w:rsidR="006B5E3F">
        <w:t xml:space="preserve"> Richard Evans</w:t>
      </w:r>
      <w:r w:rsidR="00E42DDC">
        <w:t xml:space="preserve"> noted</w:t>
      </w:r>
      <w:r>
        <w:t>,</w:t>
      </w:r>
      <w:r w:rsidR="006B5E3F">
        <w:t xml:space="preserve"> </w:t>
      </w:r>
      <w:r w:rsidR="00C23C83" w:rsidRPr="005122A3">
        <w:t>the ‘chance survival of some documents’ and ‘deliberate destruction of others’</w:t>
      </w:r>
      <w:r w:rsidR="00836BDD">
        <w:t xml:space="preserve">, </w:t>
      </w:r>
      <w:r>
        <w:t xml:space="preserve">itself an article of history, </w:t>
      </w:r>
      <w:r w:rsidR="00836BDD">
        <w:t xml:space="preserve">suggests that the </w:t>
      </w:r>
      <w:r w:rsidR="00477A46">
        <w:t>available</w:t>
      </w:r>
      <w:r w:rsidR="00836BDD">
        <w:t xml:space="preserve"> texts may not necessarily be reflective of the broader corpus of Hellenistic astrology</w:t>
      </w:r>
      <w:r w:rsidR="00836BDD">
        <w:rPr>
          <w:rStyle w:val="FootnoteReference"/>
        </w:rPr>
        <w:footnoteReference w:id="42"/>
      </w:r>
      <w:r w:rsidR="00836BDD">
        <w:t>.</w:t>
      </w:r>
      <w:r>
        <w:t xml:space="preserve"> In contrast to Evans’s warning that surviving texts do not provide an even coverage of history (see </w:t>
      </w:r>
      <w:r w:rsidRPr="00823776">
        <w:rPr>
          <w:i/>
          <w:iCs/>
        </w:rPr>
        <w:t>2.2: Translation Issues</w:t>
      </w:r>
      <w:r>
        <w:t xml:space="preserve">), Project Hindsight’s claim to reconstruct the </w:t>
      </w:r>
      <w:r w:rsidRPr="00992791">
        <w:rPr>
          <w:i/>
          <w:iCs/>
        </w:rPr>
        <w:t>original</w:t>
      </w:r>
      <w:r>
        <w:t xml:space="preserve"> doctrine of Hellenistic astrology not only assumes an inventor hypothesis, but may not</w:t>
      </w:r>
      <w:r w:rsidR="00B25E76">
        <w:t xml:space="preserve">, therefore, be </w:t>
      </w:r>
      <w:r>
        <w:t>actually possible</w:t>
      </w:r>
      <w:r w:rsidR="001A4B03">
        <w:t xml:space="preserve"> as what is currently available may not be representative of an original even if such an original existed</w:t>
      </w:r>
      <w:r>
        <w:t>.</w:t>
      </w:r>
      <w:r w:rsidR="00E43FF7">
        <w:t xml:space="preserve"> </w:t>
      </w:r>
      <w:r w:rsidR="00E43FF7" w:rsidRPr="005122A3">
        <w:t>Evans also note</w:t>
      </w:r>
      <w:r w:rsidR="00E43FF7">
        <w:t>d</w:t>
      </w:r>
      <w:r w:rsidR="00E43FF7" w:rsidRPr="005122A3">
        <w:t xml:space="preserve"> that issues of translation across ancient languages may </w:t>
      </w:r>
      <w:r w:rsidR="00F71EE2">
        <w:t xml:space="preserve">also </w:t>
      </w:r>
      <w:r w:rsidR="00E43FF7" w:rsidRPr="005122A3">
        <w:t xml:space="preserve">pose problems, </w:t>
      </w:r>
      <w:r w:rsidR="001C527D">
        <w:t xml:space="preserve">and </w:t>
      </w:r>
      <w:r w:rsidR="00E43FF7" w:rsidRPr="005122A3">
        <w:t xml:space="preserve">rhetorically </w:t>
      </w:r>
      <w:r w:rsidR="001C527D">
        <w:t>asked</w:t>
      </w:r>
      <w:r w:rsidR="00E43FF7" w:rsidRPr="005122A3">
        <w:t xml:space="preserve"> ‘How can we convey to today’s readers the meaning such words had for historical contemporaries?’</w:t>
      </w:r>
      <w:r w:rsidR="001C527D">
        <w:t>, and noted</w:t>
      </w:r>
      <w:r w:rsidR="00E43FF7" w:rsidRPr="005122A3">
        <w:t xml:space="preserve"> that whilst some words have ‘clear meanings’ others, such as philosophical terms, may be continually reinterpreted</w:t>
      </w:r>
      <w:r w:rsidR="00E43FF7">
        <w:rPr>
          <w:rStyle w:val="FootnoteReference"/>
        </w:rPr>
        <w:footnoteReference w:id="43"/>
      </w:r>
      <w:r w:rsidR="00E43FF7" w:rsidRPr="005122A3">
        <w:t>.</w:t>
      </w:r>
      <w:r w:rsidR="00E43FF7">
        <w:t xml:space="preserve"> Schmidt acknowledge</w:t>
      </w:r>
      <w:r w:rsidR="001C527D">
        <w:t>d</w:t>
      </w:r>
      <w:r w:rsidR="00E43FF7">
        <w:t xml:space="preserve"> this problem, </w:t>
      </w:r>
      <w:r w:rsidR="001C527D">
        <w:t xml:space="preserve">and </w:t>
      </w:r>
      <w:r w:rsidR="00E43FF7">
        <w:t>argu</w:t>
      </w:r>
      <w:r w:rsidR="001C527D">
        <w:t>ed</w:t>
      </w:r>
      <w:r w:rsidR="00E43FF7">
        <w:t xml:space="preserve"> that the </w:t>
      </w:r>
      <w:r w:rsidR="00E43FF7" w:rsidRPr="001835A1">
        <w:t>‘original astrological conceptualization of some astronomical phenomena becomes obscured’</w:t>
      </w:r>
      <w:r w:rsidR="008347D3">
        <w:t xml:space="preserve"> in some translations</w:t>
      </w:r>
      <w:r w:rsidR="00E43FF7">
        <w:t xml:space="preserve">, </w:t>
      </w:r>
      <w:r w:rsidR="0084693F">
        <w:t xml:space="preserve">though imagined that it was obscured principally </w:t>
      </w:r>
      <w:r w:rsidR="00E43FF7">
        <w:t>to others and</w:t>
      </w:r>
      <w:r w:rsidR="0047546F">
        <w:t xml:space="preserve"> </w:t>
      </w:r>
      <w:r w:rsidR="00E43FF7">
        <w:t>not himself</w:t>
      </w:r>
      <w:r w:rsidR="00E43FF7">
        <w:rPr>
          <w:rStyle w:val="FootnoteReference"/>
        </w:rPr>
        <w:footnoteReference w:id="44"/>
      </w:r>
      <w:r w:rsidR="00E43FF7">
        <w:t xml:space="preserve">. </w:t>
      </w:r>
      <w:r w:rsidR="003F2D3E">
        <w:t xml:space="preserve">Instead, </w:t>
      </w:r>
      <w:r w:rsidR="00934AC8">
        <w:t>Schmidt</w:t>
      </w:r>
      <w:r w:rsidR="002050E5">
        <w:t xml:space="preserve"> </w:t>
      </w:r>
      <w:r w:rsidR="00934AC8">
        <w:t>argued that he had a ‘longer continuous involvement with Hellenistic astrology than any person alive’, and argued that unlike himself, the conclusions of others were ‘merely opinions’</w:t>
      </w:r>
      <w:r w:rsidR="00934AC8">
        <w:rPr>
          <w:rStyle w:val="FootnoteReference"/>
        </w:rPr>
        <w:footnoteReference w:id="45"/>
      </w:r>
      <w:r w:rsidR="00934AC8">
        <w:t xml:space="preserve">. </w:t>
      </w:r>
    </w:p>
    <w:p w14:paraId="5F64BFEA" w14:textId="0C29BECD" w:rsidR="00C23C83" w:rsidRDefault="00732A14" w:rsidP="00571420">
      <w:r>
        <w:t xml:space="preserve">The uneven survival of documents, and the problems posed by translation from ancient languages, means that recovering ancient astrological practice may never be truly possible. Indeed, it is arguable that even recovering the view of a </w:t>
      </w:r>
      <w:r w:rsidRPr="00DA49D5">
        <w:rPr>
          <w:i/>
          <w:iCs/>
        </w:rPr>
        <w:t>single</w:t>
      </w:r>
      <w:r>
        <w:t xml:space="preserve"> author may not be possible, even putting aside Derrida’s distinction of signifier and signified.</w:t>
      </w:r>
      <w:r w:rsidR="009F7FB6">
        <w:t xml:space="preserve"> Nevertheless, Schmidt </w:t>
      </w:r>
      <w:r w:rsidR="00AA12B0">
        <w:t>argued not only that reconstructing the ancient history of astrology was possible, but that he was uniquely qualified to do so.</w:t>
      </w:r>
    </w:p>
    <w:p w14:paraId="2C3FCCCE" w14:textId="76D27C99" w:rsidR="00C85E13" w:rsidRDefault="00E61A8E" w:rsidP="00E61A8E">
      <w:pPr>
        <w:pStyle w:val="Heading3"/>
      </w:pPr>
      <w:bookmarkStart w:id="31" w:name="_Toc83646426"/>
      <w:r>
        <w:t>4.1.</w:t>
      </w:r>
      <w:r w:rsidR="00D82C79">
        <w:t>4</w:t>
      </w:r>
      <w:r w:rsidR="00BD5782">
        <w:t>:</w:t>
      </w:r>
      <w:r>
        <w:t xml:space="preserve"> Invented Tradition</w:t>
      </w:r>
      <w:bookmarkEnd w:id="31"/>
    </w:p>
    <w:p w14:paraId="3F747A93" w14:textId="2D5138B3" w:rsidR="007237DC" w:rsidRDefault="00C62211" w:rsidP="007237DC">
      <w:r>
        <w:t xml:space="preserve">Project Hindsight’s inventor hypothesis, and mission to </w:t>
      </w:r>
      <w:r w:rsidR="00C73B85">
        <w:t xml:space="preserve">recover long-lost ‘original’ </w:t>
      </w:r>
      <w:r>
        <w:t>technique</w:t>
      </w:r>
      <w:r w:rsidR="00C73B85">
        <w:t>s</w:t>
      </w:r>
      <w:r w:rsidR="00463CFD">
        <w:t xml:space="preserve"> may appeal to the romantic senses, and</w:t>
      </w:r>
      <w:r w:rsidR="00C73B85">
        <w:t xml:space="preserve">, given Evans’s warning that surviving texts do not provide an even coverage of history, </w:t>
      </w:r>
      <w:r>
        <w:t xml:space="preserve">could </w:t>
      </w:r>
      <w:r w:rsidR="00463CFD">
        <w:t xml:space="preserve">be prone to invented tradition. </w:t>
      </w:r>
      <w:r w:rsidR="0067742A">
        <w:t xml:space="preserve">Eric Hobsbawm noted that some traditions, which may appear to be quite old, </w:t>
      </w:r>
      <w:r w:rsidR="003C3CBD">
        <w:t>might in fact</w:t>
      </w:r>
      <w:r w:rsidR="0067742A">
        <w:t xml:space="preserve"> be relatively new, and include</w:t>
      </w:r>
      <w:r w:rsidR="00D5793F">
        <w:t>d</w:t>
      </w:r>
      <w:r w:rsidR="0067742A">
        <w:t xml:space="preserve"> traditions deliberately invented, as well as those ‘</w:t>
      </w:r>
      <w:r w:rsidR="0067742A">
        <w:rPr>
          <w:rFonts w:ascii="Calibri Light" w:hAnsi="Calibri Light" w:cs="Calibri Light"/>
        </w:rPr>
        <w:t>﻿</w:t>
      </w:r>
      <w:r w:rsidR="0067742A">
        <w:t>emerging in a less easily traceable manner within a brief and dateable period – a matter of a few years perhaps – and establishing themselves with great rapidity’</w:t>
      </w:r>
      <w:r w:rsidR="0067742A">
        <w:rPr>
          <w:rStyle w:val="FootnoteReference"/>
        </w:rPr>
        <w:footnoteReference w:id="46"/>
      </w:r>
      <w:r w:rsidR="0067742A">
        <w:t>.</w:t>
      </w:r>
      <w:r w:rsidR="007237DC">
        <w:t xml:space="preserve"> Hobsbawm identified one utility of invented tradition as that which gives ‘</w:t>
      </w:r>
      <w:r w:rsidR="007237DC" w:rsidRPr="00CB2EA5">
        <w:t>any desired change (or resistance to innovation) the sanction of precedent, social continuity and natural law as expressed in history</w:t>
      </w:r>
      <w:r w:rsidR="007237DC">
        <w:t>’, which itself might be seen through a lens of power dynamics within historiography of the sort that Foucault described, and opposed</w:t>
      </w:r>
      <w:r w:rsidR="007237DC">
        <w:rPr>
          <w:rStyle w:val="FootnoteReference"/>
        </w:rPr>
        <w:footnoteReference w:id="47"/>
      </w:r>
      <w:r w:rsidR="007237DC">
        <w:t xml:space="preserve">. </w:t>
      </w:r>
      <w:r w:rsidR="00002E9D">
        <w:t>Nicholas Campion identified two motivations behind astrologers’ interest in their past:  the rediscovery of lost techniques, and understanding the present via understanding the past</w:t>
      </w:r>
      <w:r w:rsidR="00002E9D">
        <w:rPr>
          <w:rStyle w:val="FootnoteReference"/>
        </w:rPr>
        <w:footnoteReference w:id="48"/>
      </w:r>
      <w:r w:rsidR="00002E9D">
        <w:t>.</w:t>
      </w:r>
      <w:r w:rsidR="008868D2">
        <w:t xml:space="preserve"> But the power connotations provided by gatekeeping an ‘invented’ tradition</w:t>
      </w:r>
      <w:r w:rsidR="005268DF">
        <w:t>, of the kind Hobsbawm described,</w:t>
      </w:r>
      <w:r w:rsidR="008868D2">
        <w:t xml:space="preserve"> may </w:t>
      </w:r>
      <w:r w:rsidR="005268DF">
        <w:t xml:space="preserve">yet </w:t>
      </w:r>
      <w:r w:rsidR="008868D2">
        <w:t xml:space="preserve">be </w:t>
      </w:r>
      <w:r w:rsidR="00D72C19">
        <w:t xml:space="preserve">a </w:t>
      </w:r>
      <w:r w:rsidR="008868D2">
        <w:t>third.</w:t>
      </w:r>
      <w:r w:rsidR="00002E9D">
        <w:t xml:space="preserve"> </w:t>
      </w:r>
      <w:r w:rsidR="0047546F">
        <w:t xml:space="preserve">Schmidt’s arguments for a single inventor, </w:t>
      </w:r>
      <w:r w:rsidR="008868D2">
        <w:t xml:space="preserve">and </w:t>
      </w:r>
      <w:r w:rsidR="0047546F">
        <w:t xml:space="preserve">seeing himself as </w:t>
      </w:r>
      <w:r w:rsidR="005528AD">
        <w:t>uniquely qualified</w:t>
      </w:r>
      <w:r w:rsidR="00CF61CD">
        <w:t xml:space="preserve"> to translate</w:t>
      </w:r>
      <w:r w:rsidR="005528AD">
        <w:t xml:space="preserve"> the relevant</w:t>
      </w:r>
      <w:r w:rsidR="00CF61CD">
        <w:t xml:space="preserve"> philosophical concepts</w:t>
      </w:r>
      <w:r w:rsidR="008868D2">
        <w:t xml:space="preserve">, </w:t>
      </w:r>
      <w:r w:rsidR="00CF61CD">
        <w:t>may suggest the kind of invented tradition Hobsbawm described, particularly as it can include those which are not necessarily deliberately</w:t>
      </w:r>
      <w:r w:rsidR="00B223A2">
        <w:t xml:space="preserve"> or consciously</w:t>
      </w:r>
      <w:r w:rsidR="00CF61CD">
        <w:t xml:space="preserve"> invented.</w:t>
      </w:r>
      <w:r w:rsidR="00006DFA">
        <w:t xml:space="preserve"> </w:t>
      </w:r>
    </w:p>
    <w:p w14:paraId="1FF90013" w14:textId="114BA8A6" w:rsidR="0013630D" w:rsidRDefault="0013630D" w:rsidP="007237DC">
      <w:r>
        <w:t>Therefore, discussion from Project Hindsight around the original doctrine of astrology may contain some of the hallmarks of invented tradition of the kind that Hobsbawm described</w:t>
      </w:r>
      <w:r w:rsidR="008D5578">
        <w:t>, and provide utility, consciously or not, to Schmidt, the chief translator</w:t>
      </w:r>
      <w:r>
        <w:t>.</w:t>
      </w:r>
    </w:p>
    <w:p w14:paraId="41FDBFDF" w14:textId="36690ADC" w:rsidR="009D3BAB" w:rsidRDefault="00096E7E" w:rsidP="009D3BAB">
      <w:pPr>
        <w:pStyle w:val="Heading2"/>
      </w:pPr>
      <w:bookmarkStart w:id="32" w:name="_Toc83646427"/>
      <w:r>
        <w:t>4.2</w:t>
      </w:r>
      <w:r w:rsidR="00BD5782">
        <w:t>:</w:t>
      </w:r>
      <w:r>
        <w:t xml:space="preserve"> </w:t>
      </w:r>
      <w:r w:rsidR="00A55A74">
        <w:t xml:space="preserve">(Re)Discovering </w:t>
      </w:r>
      <w:r>
        <w:t>Whole Sign Houses</w:t>
      </w:r>
      <w:bookmarkEnd w:id="32"/>
    </w:p>
    <w:p w14:paraId="26016B5D" w14:textId="58FE3A07" w:rsidR="009D3BAB" w:rsidRPr="009D3BAB" w:rsidRDefault="009D3BAB" w:rsidP="009D3BAB">
      <w:r>
        <w:t xml:space="preserve">James Holden, in 1982, argued that early astrologers </w:t>
      </w:r>
      <w:r w:rsidR="00315870">
        <w:t>used</w:t>
      </w:r>
      <w:r>
        <w:t xml:space="preserve"> WSH, </w:t>
      </w:r>
      <w:r w:rsidR="00315870">
        <w:t>and cited</w:t>
      </w:r>
      <w:r w:rsidR="00B41AA7">
        <w:t xml:space="preserve"> the ‘original documents</w:t>
      </w:r>
      <w:r w:rsidR="00471F85">
        <w:t>’</w:t>
      </w:r>
      <w:r>
        <w:t xml:space="preserve"> </w:t>
      </w:r>
      <w:r w:rsidR="00315870">
        <w:t xml:space="preserve">of </w:t>
      </w:r>
      <w:r w:rsidRPr="00106FC4">
        <w:rPr>
          <w:i/>
          <w:iCs/>
        </w:rPr>
        <w:t>Greek Horoscopes</w:t>
      </w:r>
      <w:r>
        <w:t xml:space="preserve"> (GH) by Neugebauer and Van Hoesen</w:t>
      </w:r>
      <w:r w:rsidR="00315870">
        <w:t xml:space="preserve"> as evidence</w:t>
      </w:r>
      <w:r>
        <w:t xml:space="preserve">, </w:t>
      </w:r>
      <w:r w:rsidR="00B41AA7">
        <w:t>that is to say, the documents existing outside of literary sources, which may range from scraps of papyri to graffiti</w:t>
      </w:r>
      <w:r>
        <w:rPr>
          <w:rStyle w:val="FootnoteReference"/>
        </w:rPr>
        <w:footnoteReference w:id="49"/>
      </w:r>
      <w:r>
        <w:t>.</w:t>
      </w:r>
      <w:r w:rsidR="00C56581">
        <w:t xml:space="preserve"> WSH’s resurgence amongst astrologers in the late 20</w:t>
      </w:r>
      <w:r w:rsidR="00C56581" w:rsidRPr="00C56581">
        <w:rPr>
          <w:vertAlign w:val="superscript"/>
        </w:rPr>
        <w:t>th</w:t>
      </w:r>
      <w:r w:rsidR="00C56581">
        <w:t xml:space="preserve"> century possibly stems from this findin</w:t>
      </w:r>
      <w:r w:rsidR="004477EA">
        <w:t>g, as it was not a system mentioned much in literature prior to this publication.</w:t>
      </w:r>
    </w:p>
    <w:p w14:paraId="407FCF61" w14:textId="2821DEB2" w:rsidR="009D3BAB" w:rsidRDefault="009D3BAB" w:rsidP="009D3BAB">
      <w:pPr>
        <w:pStyle w:val="Heading3"/>
      </w:pPr>
      <w:bookmarkStart w:id="33" w:name="_Toc83646428"/>
      <w:r>
        <w:t>4.2.1</w:t>
      </w:r>
      <w:r w:rsidR="00BD5782">
        <w:t>:</w:t>
      </w:r>
      <w:r>
        <w:t xml:space="preserve"> A Forgotten System</w:t>
      </w:r>
      <w:bookmarkEnd w:id="33"/>
    </w:p>
    <w:p w14:paraId="2025F3C8" w14:textId="0119A0BF" w:rsidR="00C61968" w:rsidRDefault="00D72644" w:rsidP="00B83202">
      <w:r>
        <w:t>In 1986, J.D. North surveyed horoscopic information ranging from the first through to the seventh centuries and analysed the house information that they contained</w:t>
      </w:r>
      <w:r>
        <w:rPr>
          <w:rStyle w:val="FootnoteReference"/>
        </w:rPr>
        <w:footnoteReference w:id="50"/>
      </w:r>
      <w:r>
        <w:t>. Whilst North identified other house systems</w:t>
      </w:r>
      <w:r w:rsidR="00AA12B0">
        <w:t xml:space="preserve"> such as EH</w:t>
      </w:r>
      <w:r>
        <w:t xml:space="preserve">, </w:t>
      </w:r>
      <w:r w:rsidR="00A4033D">
        <w:t xml:space="preserve">the </w:t>
      </w:r>
      <w:r>
        <w:t xml:space="preserve">WSH </w:t>
      </w:r>
      <w:r w:rsidR="00A4033D">
        <w:t>system is</w:t>
      </w:r>
      <w:r>
        <w:t xml:space="preserve"> </w:t>
      </w:r>
      <w:r w:rsidR="00D05036">
        <w:t xml:space="preserve">most </w:t>
      </w:r>
      <w:r>
        <w:t xml:space="preserve">notable by </w:t>
      </w:r>
      <w:r w:rsidR="0018449B">
        <w:t>its</w:t>
      </w:r>
      <w:r>
        <w:t xml:space="preserve"> absence.</w:t>
      </w:r>
      <w:r w:rsidR="0018449B">
        <w:t xml:space="preserve"> </w:t>
      </w:r>
      <w:r>
        <w:t xml:space="preserve">Additionally, other late twentieth century texts, such as the </w:t>
      </w:r>
      <w:r w:rsidRPr="00E86CAC">
        <w:rPr>
          <w:i/>
          <w:iCs/>
        </w:rPr>
        <w:t>Larousse Encylopedia of Astrology</w:t>
      </w:r>
      <w:r>
        <w:t xml:space="preserve">, </w:t>
      </w:r>
      <w:r w:rsidR="00EA5669">
        <w:t>and</w:t>
      </w:r>
      <w:r>
        <w:t xml:space="preserve"> Ralph Holden’s </w:t>
      </w:r>
      <w:r w:rsidRPr="00E86CAC">
        <w:rPr>
          <w:i/>
          <w:iCs/>
        </w:rPr>
        <w:t>The Elements of House Division</w:t>
      </w:r>
      <w:r>
        <w:t xml:space="preserve">, all fail to mention or describe </w:t>
      </w:r>
      <w:r w:rsidR="006F62E8">
        <w:t>WSH</w:t>
      </w:r>
      <w:r w:rsidR="00E702AF">
        <w:t xml:space="preserve"> all whilst </w:t>
      </w:r>
      <w:r w:rsidR="004350F5">
        <w:t>acknowledging</w:t>
      </w:r>
      <w:r w:rsidR="00E702AF">
        <w:t xml:space="preserve"> </w:t>
      </w:r>
      <w:r w:rsidR="004350F5">
        <w:t>a wide variety of</w:t>
      </w:r>
      <w:r w:rsidR="00E702AF">
        <w:t xml:space="preserve"> house systems, </w:t>
      </w:r>
      <w:r w:rsidR="004350F5">
        <w:t>many of which were considered quite obscure</w:t>
      </w:r>
      <w:r>
        <w:rPr>
          <w:rStyle w:val="FootnoteReference"/>
        </w:rPr>
        <w:footnoteReference w:id="51"/>
      </w:r>
      <w:r>
        <w:t xml:space="preserve">. This suggests that </w:t>
      </w:r>
      <w:r w:rsidR="00297F8A">
        <w:t>WSH</w:t>
      </w:r>
      <w:r>
        <w:t xml:space="preserve"> was not recognised as a</w:t>
      </w:r>
      <w:r w:rsidR="00C10FF8">
        <w:t xml:space="preserve"> notable</w:t>
      </w:r>
      <w:r>
        <w:t xml:space="preserve"> house syste</w:t>
      </w:r>
      <w:r w:rsidR="00C10FF8">
        <w:t>m by the mid to late 20</w:t>
      </w:r>
      <w:r w:rsidR="00C10FF8" w:rsidRPr="00C10FF8">
        <w:rPr>
          <w:vertAlign w:val="superscript"/>
        </w:rPr>
        <w:t>th</w:t>
      </w:r>
      <w:r w:rsidR="00C10FF8">
        <w:t xml:space="preserve"> century</w:t>
      </w:r>
      <w:r w:rsidR="00297F8A">
        <w:t>.</w:t>
      </w:r>
    </w:p>
    <w:p w14:paraId="5C83CC2D" w14:textId="3C15B732" w:rsidR="00571C1D" w:rsidRDefault="00571C1D" w:rsidP="00571C1D">
      <w:pPr>
        <w:pStyle w:val="Heading3"/>
      </w:pPr>
      <w:bookmarkStart w:id="34" w:name="_Toc83646429"/>
      <w:r>
        <w:t>4.2.2</w:t>
      </w:r>
      <w:r w:rsidR="00BD5782">
        <w:t>:</w:t>
      </w:r>
      <w:r>
        <w:t xml:space="preserve"> </w:t>
      </w:r>
      <w:r w:rsidR="009A4F0A">
        <w:t xml:space="preserve">In </w:t>
      </w:r>
      <w:r>
        <w:t>Academi</w:t>
      </w:r>
      <w:r w:rsidR="00B6016C">
        <w:t>a</w:t>
      </w:r>
      <w:bookmarkEnd w:id="34"/>
    </w:p>
    <w:p w14:paraId="0C391901" w14:textId="45ADF804" w:rsidR="003A6FEA" w:rsidRDefault="00571C1D" w:rsidP="00B83202">
      <w:r>
        <w:t>There is a possibility that WSH, although forgotten to astrologers, was identified</w:t>
      </w:r>
      <w:r w:rsidR="00B72523">
        <w:t xml:space="preserve"> within </w:t>
      </w:r>
      <w:r>
        <w:t xml:space="preserve">academia. </w:t>
      </w:r>
      <w:r w:rsidR="008F307F">
        <w:t>GH include a definition of house systems which acknowledges both quadrant division, as well as 30º divisions</w:t>
      </w:r>
      <w:r w:rsidR="00CB697A">
        <w:t xml:space="preserve">, which </w:t>
      </w:r>
      <w:r w:rsidR="00D50CF9">
        <w:t>might</w:t>
      </w:r>
      <w:r w:rsidR="00CB697A">
        <w:t xml:space="preserve"> be</w:t>
      </w:r>
      <w:r w:rsidR="00D50CF9">
        <w:t xml:space="preserve"> either</w:t>
      </w:r>
      <w:r w:rsidR="00CB697A">
        <w:t xml:space="preserve"> WSH or EH</w:t>
      </w:r>
      <w:r w:rsidR="008F307F">
        <w:rPr>
          <w:rStyle w:val="FootnoteReference"/>
        </w:rPr>
        <w:footnoteReference w:id="52"/>
      </w:r>
      <w:r w:rsidR="008F307F">
        <w:t>.</w:t>
      </w:r>
      <w:r w:rsidR="00CB697A">
        <w:t xml:space="preserve"> </w:t>
      </w:r>
      <w:r w:rsidR="003A6FEA">
        <w:t>Their definition of ‘Epanaphora’ and ‘Apoklima’, Greek transliterations which describe certain house positions, refer to the houses as signs, such as for Epanaphora, described as ‘a sign which precedes, in the order of the signs of the zodiac, a centre’</w:t>
      </w:r>
      <w:r w:rsidR="003A6FEA">
        <w:rPr>
          <w:rStyle w:val="FootnoteReference"/>
        </w:rPr>
        <w:footnoteReference w:id="53"/>
      </w:r>
      <w:r w:rsidR="003A6FEA">
        <w:t>.</w:t>
      </w:r>
      <w:r w:rsidR="00F114D6">
        <w:t xml:space="preserve"> In a footnote to Horoscope No. -3, they note that ‘if the </w:t>
      </w:r>
      <w:r w:rsidR="00F114D6" w:rsidRPr="00DC7B0C">
        <w:rPr>
          <w:i/>
          <w:iCs/>
        </w:rPr>
        <w:t>sign</w:t>
      </w:r>
      <w:r w:rsidR="00F114D6">
        <w:t xml:space="preserve"> of the Horoscopos’ (emphasis mine), which is Scorpio, is considered the first house, then the eleventh house is Virgo, again suggesting the sign and the house are interchangeable, which is suggestive of WSH. Th</w:t>
      </w:r>
      <w:r w:rsidR="005A0E52">
        <w:t>e</w:t>
      </w:r>
      <w:r w:rsidR="004F1A88">
        <w:t>y</w:t>
      </w:r>
      <w:r w:rsidR="005A0E52">
        <w:t xml:space="preserve"> referenced a di</w:t>
      </w:r>
      <w:r w:rsidR="00CF6A3D">
        <w:t>a</w:t>
      </w:r>
      <w:r w:rsidR="005A0E52">
        <w:t>gram in the late 19</w:t>
      </w:r>
      <w:r w:rsidR="005A0E52" w:rsidRPr="005A0E52">
        <w:rPr>
          <w:vertAlign w:val="superscript"/>
        </w:rPr>
        <w:t>th</w:t>
      </w:r>
      <w:r w:rsidR="005A0E52">
        <w:t xml:space="preserve"> century work</w:t>
      </w:r>
      <w:r w:rsidR="00F114D6">
        <w:t xml:space="preserve"> </w:t>
      </w:r>
      <w:r w:rsidR="00F114D6" w:rsidRPr="00DC7B0C">
        <w:rPr>
          <w:i/>
          <w:iCs/>
        </w:rPr>
        <w:t>Astrologie Grecque</w:t>
      </w:r>
      <w:r w:rsidR="00F114D6">
        <w:t xml:space="preserve"> by Bouché-Leclerq (BLC)</w:t>
      </w:r>
      <w:r w:rsidR="005A0E52">
        <w:t xml:space="preserve"> as evidence</w:t>
      </w:r>
      <w:r w:rsidR="005A0E52">
        <w:rPr>
          <w:rStyle w:val="FootnoteReference"/>
        </w:rPr>
        <w:footnoteReference w:id="54"/>
      </w:r>
      <w:r w:rsidR="005A0E52">
        <w:t>.</w:t>
      </w:r>
      <w:r w:rsidR="00371615" w:rsidRPr="00371615">
        <w:t xml:space="preserve"> </w:t>
      </w:r>
      <w:r w:rsidR="00371615">
        <w:t xml:space="preserve">However, neither the diagram they refer to, nor the relevant passages surrounding it, </w:t>
      </w:r>
      <w:r w:rsidR="00090EEE">
        <w:t>describe</w:t>
      </w:r>
      <w:r w:rsidR="00371615">
        <w:t xml:space="preserve"> a house as a full zodiacal sign, instead BLC argued, ‘their system, conceived independent from the signs of the Zodiac, was only superimposed on</w:t>
      </w:r>
      <w:r w:rsidR="009F476B">
        <w:t>to</w:t>
      </w:r>
      <w:r w:rsidR="00371615">
        <w:t xml:space="preserve"> the other’, that is to say that the houses and signs of the Zodiac were considered as independent entities, with houses superimposed upon the Zodiac</w:t>
      </w:r>
      <w:r w:rsidR="00371615">
        <w:rPr>
          <w:rStyle w:val="FootnoteReference"/>
        </w:rPr>
        <w:footnoteReference w:id="55"/>
      </w:r>
      <w:r w:rsidR="00371615">
        <w:t>. Nevertheless, whether inspired by BLC or not, the authors of GH do occasionally refer to houses as being signs, suggesting recognition of WSH as a concept</w:t>
      </w:r>
      <w:r w:rsidR="00611545">
        <w:t>, either accidentally or deliberately</w:t>
      </w:r>
      <w:r w:rsidR="00371615">
        <w:t>.</w:t>
      </w:r>
    </w:p>
    <w:p w14:paraId="17F84355" w14:textId="72A4EC9A" w:rsidR="002428F8" w:rsidRDefault="002428F8" w:rsidP="002428F8">
      <w:pPr>
        <w:pStyle w:val="Heading3"/>
      </w:pPr>
      <w:bookmarkStart w:id="35" w:name="_Toc83646430"/>
      <w:r>
        <w:t>4.2.</w:t>
      </w:r>
      <w:r w:rsidR="00571C1D">
        <w:t>3</w:t>
      </w:r>
      <w:r w:rsidR="00BD5782">
        <w:t>:</w:t>
      </w:r>
      <w:r>
        <w:t xml:space="preserve"> Rediscovery</w:t>
      </w:r>
      <w:bookmarkEnd w:id="35"/>
    </w:p>
    <w:p w14:paraId="2F3BAE10" w14:textId="45958EDB" w:rsidR="00C10FF8" w:rsidRDefault="00867669" w:rsidP="00B83202">
      <w:r>
        <w:t xml:space="preserve">It is possible </w:t>
      </w:r>
      <w:r w:rsidR="00F640F5">
        <w:t>Holden</w:t>
      </w:r>
      <w:r>
        <w:t xml:space="preserve"> was influenced by the interchangeable use of ‘sign’ for ‘house’ in GH, when arguing for the existence of WSH in the ‘original documents’. In keeping with an inventor hypothesis, </w:t>
      </w:r>
      <w:r w:rsidR="002428F8">
        <w:t>Holden</w:t>
      </w:r>
      <w:r w:rsidR="00B367D3">
        <w:t xml:space="preserve"> </w:t>
      </w:r>
      <w:r>
        <w:t xml:space="preserve">subsequently </w:t>
      </w:r>
      <w:r w:rsidR="00B367D3">
        <w:t>referred to WSH as ‘the original</w:t>
      </w:r>
      <w:r w:rsidR="00463B5F">
        <w:t xml:space="preserve"> system’ of houses</w:t>
      </w:r>
      <w:r w:rsidR="00700A08">
        <w:rPr>
          <w:rStyle w:val="FootnoteReference"/>
        </w:rPr>
        <w:footnoteReference w:id="56"/>
      </w:r>
      <w:r w:rsidR="00B367D3">
        <w:t>.</w:t>
      </w:r>
      <w:r w:rsidR="009D3BAB">
        <w:t xml:space="preserve"> </w:t>
      </w:r>
      <w:r w:rsidR="005E6E38">
        <w:t xml:space="preserve">Likewise, </w:t>
      </w:r>
      <w:r w:rsidR="00764867">
        <w:t>Hand suggested that ‘we know what the earliest house system was’ and subsequently described the WSH as this system</w:t>
      </w:r>
      <w:r w:rsidR="00764867">
        <w:rPr>
          <w:rStyle w:val="FootnoteReference"/>
        </w:rPr>
        <w:footnoteReference w:id="57"/>
      </w:r>
      <w:r w:rsidR="00764867">
        <w:t>.</w:t>
      </w:r>
      <w:r w:rsidR="009F4B89">
        <w:t xml:space="preserve"> </w:t>
      </w:r>
      <w:r w:rsidR="00026C1A">
        <w:t>The rediscovery of WSH, then, appears to be directly as a result of translation efforts gathering momentum in the late 20</w:t>
      </w:r>
      <w:r w:rsidR="00026C1A" w:rsidRPr="00026C1A">
        <w:rPr>
          <w:vertAlign w:val="superscript"/>
        </w:rPr>
        <w:t>th</w:t>
      </w:r>
      <w:r w:rsidR="00026C1A">
        <w:t xml:space="preserve"> century</w:t>
      </w:r>
      <w:r w:rsidR="00DE1CE9">
        <w:t xml:space="preserve"> beginning with the publication of GH</w:t>
      </w:r>
      <w:r w:rsidR="00026C1A">
        <w:t>.</w:t>
      </w:r>
    </w:p>
    <w:p w14:paraId="15FCEC9A" w14:textId="624E5878" w:rsidR="00026C1A" w:rsidRDefault="00026C1A" w:rsidP="00026C1A">
      <w:pPr>
        <w:pStyle w:val="Heading3"/>
      </w:pPr>
      <w:bookmarkStart w:id="36" w:name="_Toc83646431"/>
      <w:r>
        <w:t>4.2.</w:t>
      </w:r>
      <w:r w:rsidR="00571C1D">
        <w:t>4</w:t>
      </w:r>
      <w:r w:rsidR="00BD5782">
        <w:t>:</w:t>
      </w:r>
      <w:r>
        <w:t xml:space="preserve"> Topics and Strength</w:t>
      </w:r>
      <w:bookmarkEnd w:id="36"/>
    </w:p>
    <w:p w14:paraId="5EAA9E3A" w14:textId="5631B70F" w:rsidR="004B797B" w:rsidRDefault="00DA6960" w:rsidP="00B83202">
      <w:r>
        <w:t xml:space="preserve">Hand argued that </w:t>
      </w:r>
      <w:r w:rsidR="00397CF7">
        <w:t>quadrant divisions were</w:t>
      </w:r>
      <w:r w:rsidR="003C6161">
        <w:t xml:space="preserve"> never used for topics, but instead conferred strength</w:t>
      </w:r>
      <w:r w:rsidR="007E5E5E">
        <w:t xml:space="preserve"> </w:t>
      </w:r>
      <w:r w:rsidR="00010B56">
        <w:t>to planets or signs</w:t>
      </w:r>
      <w:r w:rsidR="00397CF7">
        <w:rPr>
          <w:rStyle w:val="FootnoteReference"/>
        </w:rPr>
        <w:footnoteReference w:id="58"/>
      </w:r>
      <w:r w:rsidR="00397CF7">
        <w:t xml:space="preserve">. </w:t>
      </w:r>
      <w:r w:rsidR="00E934BF">
        <w:t xml:space="preserve">Schmidt </w:t>
      </w:r>
      <w:r w:rsidR="004D2E97">
        <w:t>agree</w:t>
      </w:r>
      <w:r w:rsidR="008327B8">
        <w:t>d</w:t>
      </w:r>
      <w:r w:rsidR="004D2E97">
        <w:t>, stating</w:t>
      </w:r>
      <w:r w:rsidR="00E934BF">
        <w:t xml:space="preserve"> that </w:t>
      </w:r>
      <w:r w:rsidR="008E3D4B">
        <w:t xml:space="preserve">quadrant divisions </w:t>
      </w:r>
      <w:r w:rsidR="00E934BF">
        <w:t>‘</w:t>
      </w:r>
      <w:r w:rsidR="00E934BF" w:rsidRPr="00DE6251">
        <w:t>were never intended to be used in topical inquiries</w:t>
      </w:r>
      <w:r w:rsidR="008327B8">
        <w:t>’, but for</w:t>
      </w:r>
      <w:r w:rsidR="00E934BF">
        <w:t xml:space="preserve"> strength only</w:t>
      </w:r>
      <w:r w:rsidR="00E934BF">
        <w:rPr>
          <w:rStyle w:val="FootnoteReference"/>
        </w:rPr>
        <w:footnoteReference w:id="59"/>
      </w:r>
      <w:r w:rsidR="00E934BF">
        <w:t>.</w:t>
      </w:r>
      <w:r w:rsidR="004D2E97">
        <w:t xml:space="preserve"> </w:t>
      </w:r>
      <w:r w:rsidR="00964840">
        <w:t xml:space="preserve">In particular, Schmidt </w:t>
      </w:r>
      <w:r w:rsidR="004D2E97">
        <w:t>argued that Valens, who described Porphyry division</w:t>
      </w:r>
      <w:r w:rsidR="00BA182D">
        <w:t>s</w:t>
      </w:r>
      <w:r w:rsidR="004D2E97">
        <w:t>,</w:t>
      </w:r>
      <w:r w:rsidR="00BD5AF6">
        <w:t xml:space="preserve"> </w:t>
      </w:r>
      <w:r w:rsidR="00964840">
        <w:t>wasn’t ‘</w:t>
      </w:r>
      <w:r w:rsidR="004D2E97" w:rsidRPr="000F6C69">
        <w:t>establishing a division into topics</w:t>
      </w:r>
      <w:r w:rsidR="00BA182D">
        <w:t>,</w:t>
      </w:r>
      <w:r w:rsidR="004D2E97" w:rsidRPr="000F6C69">
        <w:t xml:space="preserve"> or a house-system in the proper sense</w:t>
      </w:r>
      <w:r w:rsidR="004D2E97">
        <w:t>’</w:t>
      </w:r>
      <w:r w:rsidR="00BA182D">
        <w:rPr>
          <w:rStyle w:val="FootnoteReference"/>
        </w:rPr>
        <w:footnoteReference w:id="60"/>
      </w:r>
      <w:r w:rsidR="004D2E97">
        <w:t>.</w:t>
      </w:r>
      <w:r w:rsidR="008D5C53">
        <w:t xml:space="preserve"> The suggestion that this division isn’t a ‘proper’ house system begs the question of what constitutes proper</w:t>
      </w:r>
      <w:r w:rsidR="002F4B39">
        <w:t xml:space="preserve">, </w:t>
      </w:r>
      <w:r w:rsidR="00A513D0">
        <w:t xml:space="preserve">and </w:t>
      </w:r>
      <w:r w:rsidR="008B3BB5">
        <w:t>how to identify if a given 12-fold</w:t>
      </w:r>
      <w:r w:rsidR="00A513D0">
        <w:t xml:space="preserve"> division is a house system</w:t>
      </w:r>
      <w:r w:rsidR="003313F0">
        <w:t>,</w:t>
      </w:r>
      <w:r w:rsidR="00A513D0">
        <w:t xml:space="preserve"> or some additional overlay</w:t>
      </w:r>
      <w:r w:rsidR="00AE4289">
        <w:rPr>
          <w:rStyle w:val="FootnoteReference"/>
        </w:rPr>
        <w:footnoteReference w:id="61"/>
      </w:r>
      <w:r w:rsidR="008D5C53">
        <w:t>.</w:t>
      </w:r>
      <w:r w:rsidR="008C240E">
        <w:t xml:space="preserve"> It is difficult to find any definition of a house system which is predicated on topics in any literature prior to Schmidt, suggesting that this definition is one of his own invention.</w:t>
      </w:r>
      <w:r w:rsidR="008D5C53">
        <w:t xml:space="preserve"> </w:t>
      </w:r>
      <w:r w:rsidR="002C43D3">
        <w:t xml:space="preserve">Hand and Schmidt’s view </w:t>
      </w:r>
      <w:r w:rsidR="00EA21C3">
        <w:t xml:space="preserve">that WSH was </w:t>
      </w:r>
      <w:r w:rsidR="004D5C7F">
        <w:t xml:space="preserve">the principal house system, used </w:t>
      </w:r>
      <w:r w:rsidR="00EA21C3">
        <w:t xml:space="preserve">for topics, </w:t>
      </w:r>
      <w:r w:rsidR="00D3564D">
        <w:t>whilst</w:t>
      </w:r>
      <w:r w:rsidR="00EA21C3">
        <w:t xml:space="preserve"> quadrant divisions for strength, </w:t>
      </w:r>
      <w:r w:rsidR="002C43D3">
        <w:t xml:space="preserve">has filtered through to contemporary astrologers and academics. Greenbaum credited Hand for bringing to her attention that ‘all of Valens’ chart delineations’ employed WSH, and noted that WSH ‘showed </w:t>
      </w:r>
      <w:r w:rsidR="002C43D3" w:rsidRPr="00880B59">
        <w:rPr>
          <w:i/>
          <w:iCs/>
        </w:rPr>
        <w:t>areas of life’</w:t>
      </w:r>
      <w:r w:rsidR="002C43D3">
        <w:t xml:space="preserve">, whilst the quadrant divisions ‘described the relative </w:t>
      </w:r>
      <w:r w:rsidR="002C43D3" w:rsidRPr="00880B59">
        <w:rPr>
          <w:i/>
          <w:iCs/>
        </w:rPr>
        <w:t>strength</w:t>
      </w:r>
      <w:r w:rsidR="002C43D3">
        <w:t xml:space="preserve"> or </w:t>
      </w:r>
      <w:r w:rsidR="002C43D3" w:rsidRPr="00880B59">
        <w:rPr>
          <w:i/>
          <w:iCs/>
        </w:rPr>
        <w:t>power</w:t>
      </w:r>
      <w:r w:rsidR="002C43D3">
        <w:t xml:space="preserve"> of signs or planets’</w:t>
      </w:r>
      <w:r w:rsidR="002C43D3">
        <w:rPr>
          <w:rStyle w:val="FootnoteReference"/>
        </w:rPr>
        <w:footnoteReference w:id="62"/>
      </w:r>
      <w:r w:rsidR="002C43D3">
        <w:t>. Astrologer and scholar Ben Dykes</w:t>
      </w:r>
      <w:r w:rsidR="00C2538D">
        <w:t xml:space="preserve"> likewise</w:t>
      </w:r>
      <w:r w:rsidR="002C43D3">
        <w:t xml:space="preserve"> described the approach as ‘signs for topics, quadrant divisions for intensity’</w:t>
      </w:r>
      <w:r w:rsidR="000649CA">
        <w:t>, echoing Schmidt’s and Hand’s view</w:t>
      </w:r>
      <w:r w:rsidR="002C43D3">
        <w:rPr>
          <w:rStyle w:val="FootnoteReference"/>
        </w:rPr>
        <w:footnoteReference w:id="63"/>
      </w:r>
      <w:r w:rsidR="002C43D3">
        <w:t>.</w:t>
      </w:r>
      <w:r w:rsidR="004B797B">
        <w:t xml:space="preserve"> </w:t>
      </w:r>
    </w:p>
    <w:p w14:paraId="0380692C" w14:textId="1FEDA276" w:rsidR="002C1770" w:rsidRDefault="004B797B" w:rsidP="00B83202">
      <w:r>
        <w:t xml:space="preserve">Schmidt and Hand’s view, therefore, that quadrant divisions were just used for strength was influential amongst contemporary </w:t>
      </w:r>
      <w:r w:rsidR="0051666E">
        <w:t>astrologers</w:t>
      </w:r>
      <w:r>
        <w:t xml:space="preserve"> and academics, and Schmidt came up with a definition of a house system as being one which necessitates association of topics</w:t>
      </w:r>
      <w:r w:rsidR="00812BBC">
        <w:t>, something not seen in literature before him</w:t>
      </w:r>
      <w:r w:rsidR="0051666E">
        <w:t>.</w:t>
      </w:r>
    </w:p>
    <w:p w14:paraId="354651C3" w14:textId="466D8330" w:rsidR="002C1770" w:rsidRDefault="002C1770" w:rsidP="002C1770">
      <w:pPr>
        <w:pStyle w:val="Heading3"/>
      </w:pPr>
      <w:bookmarkStart w:id="37" w:name="_Toc83646432"/>
      <w:r>
        <w:t>4.2.</w:t>
      </w:r>
      <w:r w:rsidR="00571C1D">
        <w:t>5</w:t>
      </w:r>
      <w:r w:rsidR="000F0836">
        <w:t>:</w:t>
      </w:r>
      <w:r>
        <w:t xml:space="preserve"> </w:t>
      </w:r>
      <w:r w:rsidR="002C43D3">
        <w:t>Recent Debate</w:t>
      </w:r>
      <w:bookmarkEnd w:id="37"/>
    </w:p>
    <w:p w14:paraId="1A41D33C" w14:textId="7A0FD164" w:rsidR="00C10FF8" w:rsidRDefault="00D96BD9" w:rsidP="00B83202">
      <w:r>
        <w:t>In 2015, the astrologer, podcaster, and commentator of astrological history, Chris Brennan, in Episode 52 of his podcast</w:t>
      </w:r>
      <w:r w:rsidR="00E51CA8">
        <w:t>,</w:t>
      </w:r>
      <w:r>
        <w:t xml:space="preserve"> argu</w:t>
      </w:r>
      <w:r w:rsidR="00FD161E">
        <w:t>ed</w:t>
      </w:r>
      <w:r>
        <w:t xml:space="preserve"> that </w:t>
      </w:r>
      <w:r w:rsidR="00FD161E">
        <w:t>WSH</w:t>
      </w:r>
      <w:r>
        <w:t xml:space="preserve"> was the original and predominant form of house division</w:t>
      </w:r>
      <w:r w:rsidR="00FD161E">
        <w:t>, as well as the best</w:t>
      </w:r>
      <w:r w:rsidR="00040C87">
        <w:t>, and echoed many of Hand and Schmidt’s views</w:t>
      </w:r>
      <w:r w:rsidR="00F203F6">
        <w:t xml:space="preserve">, whilst also </w:t>
      </w:r>
      <w:r w:rsidR="004F1FE3">
        <w:t>suggesting that</w:t>
      </w:r>
      <w:r w:rsidR="00F203F6">
        <w:t xml:space="preserve"> other house systems </w:t>
      </w:r>
      <w:r w:rsidR="00955A4B">
        <w:t>were ‘</w:t>
      </w:r>
      <w:r w:rsidR="00F203F6">
        <w:t>not well considered</w:t>
      </w:r>
      <w:r w:rsidR="00955A4B">
        <w:t>’</w:t>
      </w:r>
      <w:r>
        <w:rPr>
          <w:rStyle w:val="FootnoteReference"/>
        </w:rPr>
        <w:footnoteReference w:id="64"/>
      </w:r>
      <w:r>
        <w:t xml:space="preserve">. This </w:t>
      </w:r>
      <w:r w:rsidR="00BD5AF6">
        <w:t>generated s</w:t>
      </w:r>
      <w:r>
        <w:t>ome controversy online, and the astrologer and commentator of astrological history Deborah Houlding joined a subsequent episode (Episode 54) to argue against some of the claims Brennan had made</w:t>
      </w:r>
      <w:r w:rsidR="00853ACB">
        <w:t>,</w:t>
      </w:r>
      <w:r w:rsidR="00CE0316">
        <w:t xml:space="preserve"> and call</w:t>
      </w:r>
      <w:r w:rsidR="00BA7503">
        <w:t>ed</w:t>
      </w:r>
      <w:r w:rsidR="00CE0316">
        <w:t xml:space="preserve"> for more nuance</w:t>
      </w:r>
      <w:r>
        <w:rPr>
          <w:rStyle w:val="FootnoteReference"/>
        </w:rPr>
        <w:footnoteReference w:id="65"/>
      </w:r>
      <w:r>
        <w:t>.</w:t>
      </w:r>
      <w:r w:rsidR="00675796">
        <w:t xml:space="preserve"> In 2017 Brennan subsequently released a book detailing the history of Hellenistic astrology, but dropped </w:t>
      </w:r>
      <w:r w:rsidR="00B11F19">
        <w:t>expli</w:t>
      </w:r>
      <w:r w:rsidR="00A935A4">
        <w:t>c</w:t>
      </w:r>
      <w:r w:rsidR="00B11F19">
        <w:t xml:space="preserve">it </w:t>
      </w:r>
      <w:r w:rsidR="00675796">
        <w:t>claims for WSH being the original system of astrology, in favour of being the dominant system</w:t>
      </w:r>
      <w:r w:rsidR="00C71AA6">
        <w:t xml:space="preserve"> to determine topics, </w:t>
      </w:r>
      <w:r w:rsidR="00A53339">
        <w:t>with</w:t>
      </w:r>
      <w:r w:rsidR="00C71AA6">
        <w:t xml:space="preserve"> quadrant divisions used to measure strength</w:t>
      </w:r>
      <w:r w:rsidR="0005795C">
        <w:t>, effectively echoing Schmidt and Hand</w:t>
      </w:r>
      <w:r w:rsidR="00C71AA6">
        <w:rPr>
          <w:rStyle w:val="FootnoteReference"/>
        </w:rPr>
        <w:footnoteReference w:id="66"/>
      </w:r>
      <w:r w:rsidR="00675796">
        <w:t xml:space="preserve">. </w:t>
      </w:r>
      <w:r w:rsidR="00040C87">
        <w:t>Discuss</w:t>
      </w:r>
      <w:r w:rsidR="000802D6">
        <w:t xml:space="preserve">ion of Hand and Schmidt’s view about </w:t>
      </w:r>
      <w:r w:rsidR="00F57F6E">
        <w:t>ancient house</w:t>
      </w:r>
      <w:r w:rsidR="00ED3851">
        <w:t xml:space="preserve"> systems</w:t>
      </w:r>
      <w:r w:rsidR="00F57F6E">
        <w:t>, therefore,</w:t>
      </w:r>
      <w:r w:rsidR="000802D6">
        <w:t xml:space="preserve"> has indirectly generated debate and discussion by contemporary astrologers</w:t>
      </w:r>
      <w:r w:rsidR="006B4DE2">
        <w:t xml:space="preserve"> </w:t>
      </w:r>
      <w:r w:rsidR="000802D6">
        <w:t xml:space="preserve">across media such as podcasts. </w:t>
      </w:r>
    </w:p>
    <w:p w14:paraId="6CA370CD" w14:textId="27BED875" w:rsidR="00AD7CAC" w:rsidRPr="005D3DA8" w:rsidRDefault="00AD7CAC" w:rsidP="00D43852">
      <w:pPr>
        <w:pStyle w:val="Heading2"/>
      </w:pPr>
      <w:bookmarkStart w:id="38" w:name="_Toc83646433"/>
      <w:r w:rsidRPr="005D3DA8">
        <w:t>4.</w:t>
      </w:r>
      <w:r w:rsidR="00D43852">
        <w:t xml:space="preserve">3: </w:t>
      </w:r>
      <w:r w:rsidRPr="005D3DA8">
        <w:t>House System Debate</w:t>
      </w:r>
      <w:bookmarkEnd w:id="38"/>
    </w:p>
    <w:p w14:paraId="1160F70D" w14:textId="3166202C" w:rsidR="00CB1C9D" w:rsidRDefault="00AD7CAC" w:rsidP="00B83202">
      <w:r>
        <w:t>Sue Tompkins</w:t>
      </w:r>
      <w:r w:rsidR="00C41B53">
        <w:t>, entitling her section on houses with ‘The Thorny Issue of House Systems’,</w:t>
      </w:r>
      <w:r>
        <w:t xml:space="preserve"> noted that ‘there are about a dozen house systems’ in common use in modern astrology</w:t>
      </w:r>
      <w:r w:rsidR="006B1D3E">
        <w:t>, citing EH as the oldest</w:t>
      </w:r>
      <w:r>
        <w:t xml:space="preserve">, </w:t>
      </w:r>
      <w:r w:rsidR="00E82D2D">
        <w:t>whilst</w:t>
      </w:r>
      <w:r>
        <w:t xml:space="preserve"> Munkasey described </w:t>
      </w:r>
      <w:r w:rsidRPr="0086650D">
        <w:t>over twenty</w:t>
      </w:r>
      <w:r w:rsidR="005D3DA8">
        <w:rPr>
          <w:rStyle w:val="FootnoteReference"/>
        </w:rPr>
        <w:footnoteReference w:id="67"/>
      </w:r>
      <w:r>
        <w:t xml:space="preserve">. </w:t>
      </w:r>
      <w:r w:rsidR="006B1D3E">
        <w:t>Brennan suggested that ‘</w:t>
      </w:r>
      <w:r w:rsidR="006B1D3E" w:rsidRPr="006B1D3E">
        <w:t>house division became one of the most disputed topics in astrology</w:t>
      </w:r>
      <w:r w:rsidR="006B1D3E">
        <w:t xml:space="preserve">’, and </w:t>
      </w:r>
      <w:r>
        <w:t>Hand suggested that ‘debate has long raged as to what is the proper method for computing’ house systems</w:t>
      </w:r>
      <w:r w:rsidR="00C41B53">
        <w:t xml:space="preserve">, </w:t>
      </w:r>
      <w:r w:rsidR="006B1D3E">
        <w:t>with</w:t>
      </w:r>
      <w:r w:rsidR="00C41B53">
        <w:t xml:space="preserve"> </w:t>
      </w:r>
      <w:r>
        <w:t>one urban-legend describ</w:t>
      </w:r>
      <w:r w:rsidR="006B1D3E">
        <w:t>ing</w:t>
      </w:r>
      <w:r>
        <w:t xml:space="preserve"> a fist-fight breaking out at an astrological conference over which house system is best</w:t>
      </w:r>
      <w:r w:rsidR="00A94E7F">
        <w:rPr>
          <w:rStyle w:val="FootnoteReference"/>
        </w:rPr>
        <w:footnoteReference w:id="68"/>
      </w:r>
      <w:r>
        <w:t>.</w:t>
      </w:r>
      <w:r w:rsidR="00B82A70">
        <w:t xml:space="preserve"> This suggests that vigorous, even heated, debates about house system calculation exist within the astrological community</w:t>
      </w:r>
      <w:r w:rsidR="00C4106C">
        <w:t>, perhaps because there are so many</w:t>
      </w:r>
      <w:r w:rsidR="00B82A70">
        <w:t xml:space="preserve">. </w:t>
      </w:r>
      <w:r w:rsidR="006B1D3E">
        <w:t>If true, this suggests</w:t>
      </w:r>
      <w:r w:rsidR="00DA285A">
        <w:t xml:space="preserve"> that</w:t>
      </w:r>
      <w:r w:rsidR="006B1D3E">
        <w:t xml:space="preserve"> a</w:t>
      </w:r>
      <w:r w:rsidR="00F5111A">
        <w:t xml:space="preserve"> strong </w:t>
      </w:r>
      <w:r w:rsidR="006B1D3E">
        <w:t xml:space="preserve">modernist </w:t>
      </w:r>
      <w:r w:rsidR="00F5111A">
        <w:t>viewpoint</w:t>
      </w:r>
      <w:r w:rsidR="006B1D3E">
        <w:t xml:space="preserve"> within the astrological community which imagines a ‘best’ or ‘better’ approach to house systems, perhaps</w:t>
      </w:r>
      <w:r w:rsidR="00F5111A">
        <w:t xml:space="preserve"> even</w:t>
      </w:r>
      <w:r w:rsidR="006B1D3E">
        <w:t xml:space="preserve"> one which can be objectively determined. </w:t>
      </w:r>
      <w:r w:rsidR="00200D64">
        <w:t xml:space="preserve">Brennan argued that WSH </w:t>
      </w:r>
      <w:r w:rsidR="004A0A55">
        <w:t>c</w:t>
      </w:r>
      <w:r w:rsidR="00200D64">
        <w:t>ould solve the disput</w:t>
      </w:r>
      <w:r w:rsidR="007620A3">
        <w:t>e</w:t>
      </w:r>
      <w:r w:rsidR="004A0A55">
        <w:t xml:space="preserve"> </w:t>
      </w:r>
      <w:r w:rsidR="00B274A5">
        <w:t>entirely</w:t>
      </w:r>
      <w:r w:rsidR="007620A3">
        <w:t xml:space="preserve"> </w:t>
      </w:r>
      <w:r w:rsidR="00B274A5">
        <w:t>(</w:t>
      </w:r>
      <w:r w:rsidR="007620A3">
        <w:t>an argument that presumably could be imagined for every house system</w:t>
      </w:r>
      <w:r w:rsidR="00B274A5">
        <w:t>)</w:t>
      </w:r>
      <w:r w:rsidR="00200D64">
        <w:t xml:space="preserve">, but </w:t>
      </w:r>
      <w:r w:rsidR="005F0540">
        <w:t>in doing so, he possibly</w:t>
      </w:r>
      <w:r w:rsidR="00200D64">
        <w:t xml:space="preserve"> enflamed tensions by suggesting that other forms of division were ‘not well considered’</w:t>
      </w:r>
      <w:r w:rsidR="00D231A2">
        <w:t xml:space="preserve"> </w:t>
      </w:r>
      <w:r w:rsidR="00200D64">
        <w:t xml:space="preserve">(see </w:t>
      </w:r>
      <w:r w:rsidR="00200D64" w:rsidRPr="00200D64">
        <w:rPr>
          <w:i/>
          <w:iCs/>
        </w:rPr>
        <w:t>4.2.5: Recent Debate</w:t>
      </w:r>
      <w:r w:rsidR="00D231A2">
        <w:t>)</w:t>
      </w:r>
      <w:r w:rsidR="008E3609">
        <w:t xml:space="preserve">. </w:t>
      </w:r>
      <w:r w:rsidR="00CB1C9D">
        <w:t>Campion and Greene’s definition of ‘astrologies’, then, appears to be one in which</w:t>
      </w:r>
      <w:r w:rsidR="00BD28DD">
        <w:t>, at least for some,</w:t>
      </w:r>
      <w:r w:rsidR="00CB1C9D">
        <w:t xml:space="preserve"> a given ‘astrology’ competes with another, at least as far as house systems go.</w:t>
      </w:r>
    </w:p>
    <w:p w14:paraId="13C804B1" w14:textId="0ECAB3D0" w:rsidR="00AD7CAC" w:rsidRDefault="008E3609" w:rsidP="00B83202">
      <w:r>
        <w:t xml:space="preserve">House systems </w:t>
      </w:r>
      <w:r w:rsidR="00D231A2">
        <w:t>have been</w:t>
      </w:r>
      <w:r>
        <w:t>, therefore, a contentious issue within the astrological community</w:t>
      </w:r>
      <w:r w:rsidR="00D231A2">
        <w:t>, and continue to be so with discussion around WSH</w:t>
      </w:r>
      <w:r>
        <w:t>.</w:t>
      </w:r>
    </w:p>
    <w:p w14:paraId="59EE4E08" w14:textId="67FD1C32" w:rsidR="00794987" w:rsidRDefault="0050757C" w:rsidP="00794987">
      <w:pPr>
        <w:pStyle w:val="Heading2"/>
      </w:pPr>
      <w:bookmarkStart w:id="39" w:name="_Toc83646434"/>
      <w:r>
        <w:t>4.</w:t>
      </w:r>
      <w:r w:rsidR="00D43852">
        <w:t>4</w:t>
      </w:r>
      <w:r>
        <w:t xml:space="preserve"> </w:t>
      </w:r>
      <w:r w:rsidR="00FE2344">
        <w:t>Summation</w:t>
      </w:r>
      <w:bookmarkEnd w:id="39"/>
    </w:p>
    <w:p w14:paraId="35B7BB0C" w14:textId="198707FE" w:rsidR="0050757C" w:rsidRDefault="00794987" w:rsidP="00B83202">
      <w:r>
        <w:t xml:space="preserve">Either as a result of the interchangeable language of ‘sign’ and ‘house’ in GH, or from </w:t>
      </w:r>
      <w:r w:rsidR="00646FF1">
        <w:t>evidence within the</w:t>
      </w:r>
      <w:r>
        <w:t xml:space="preserve"> ‘original documents’, Holden is considered the first to argue that WSH was the original form of house division. </w:t>
      </w:r>
      <w:r w:rsidR="003A4BC8">
        <w:t xml:space="preserve">Schmidt argued that a house system must describe topics, and </w:t>
      </w:r>
      <w:r>
        <w:t xml:space="preserve">Hand and Schmidt have </w:t>
      </w:r>
      <w:r w:rsidR="003A4BC8">
        <w:t xml:space="preserve">both </w:t>
      </w:r>
      <w:r>
        <w:t xml:space="preserve">suggested that WSH was used for topics, whilst </w:t>
      </w:r>
      <w:r w:rsidR="00BE7898">
        <w:t>other systems were</w:t>
      </w:r>
      <w:r>
        <w:t xml:space="preserve"> used to measure strength</w:t>
      </w:r>
      <w:r w:rsidR="003A4BC8">
        <w:t xml:space="preserve">, and so, for Schmidt, were not house systems. </w:t>
      </w:r>
      <w:r>
        <w:t>This view has been adopted by some scholars and astrologers alike</w:t>
      </w:r>
      <w:r w:rsidR="00670C14">
        <w:t xml:space="preserve">. </w:t>
      </w:r>
    </w:p>
    <w:p w14:paraId="224DD182" w14:textId="12ECC44D" w:rsidR="00FE2344" w:rsidRDefault="008B7898" w:rsidP="00721D33">
      <w:pPr>
        <w:pStyle w:val="Heading1"/>
      </w:pPr>
      <w:bookmarkStart w:id="40" w:name="_Toc83646435"/>
      <w:r>
        <w:t xml:space="preserve">Chapter </w:t>
      </w:r>
      <w:r w:rsidR="00380CE0">
        <w:t>5</w:t>
      </w:r>
      <w:r>
        <w:t xml:space="preserve">: </w:t>
      </w:r>
      <w:r w:rsidR="00721D33">
        <w:t>Ancient Astrological Calculation</w:t>
      </w:r>
      <w:bookmarkEnd w:id="40"/>
    </w:p>
    <w:p w14:paraId="5A225C64" w14:textId="665A1F8C" w:rsidR="00DC445F" w:rsidRDefault="00AA0B5B" w:rsidP="00145F20">
      <w:r>
        <w:t xml:space="preserve">Noting the paucity of horoscopes which include a Midheaven degree, </w:t>
      </w:r>
      <w:r w:rsidR="00145F20">
        <w:t>J.D. North</w:t>
      </w:r>
      <w:r w:rsidR="004F792C">
        <w:t xml:space="preserve"> suggested</w:t>
      </w:r>
      <w:r w:rsidR="00145F20">
        <w:t xml:space="preserve"> that astrologers struggled</w:t>
      </w:r>
      <w:r w:rsidR="004B3F1A">
        <w:t xml:space="preserve"> with </w:t>
      </w:r>
      <w:r w:rsidR="00457DE0">
        <w:t>Midheaven</w:t>
      </w:r>
      <w:r w:rsidR="004B3F1A">
        <w:t xml:space="preserve"> computation</w:t>
      </w:r>
      <w:r w:rsidR="00145F20">
        <w:t xml:space="preserve">, </w:t>
      </w:r>
      <w:r w:rsidR="009D41B4">
        <w:t>citing</w:t>
      </w:r>
      <w:r w:rsidR="008E2447">
        <w:t xml:space="preserve"> </w:t>
      </w:r>
      <w:r w:rsidR="00145F20">
        <w:t>Horoscope No.95 in GH</w:t>
      </w:r>
      <w:r w:rsidR="006E715D">
        <w:t xml:space="preserve"> as evidence</w:t>
      </w:r>
      <w:r w:rsidR="00F51D38">
        <w:t xml:space="preserve">, </w:t>
      </w:r>
      <w:r w:rsidR="009D41B4">
        <w:t>and</w:t>
      </w:r>
      <w:r w:rsidR="00F51D38">
        <w:t xml:space="preserve"> concluded that early astrologers must </w:t>
      </w:r>
      <w:r w:rsidR="00DA060F">
        <w:t xml:space="preserve">therefore </w:t>
      </w:r>
      <w:r w:rsidR="00F51D38">
        <w:t>not have attached much importance to houses</w:t>
      </w:r>
      <w:r w:rsidR="00F51D38">
        <w:rPr>
          <w:rStyle w:val="FootnoteReference"/>
        </w:rPr>
        <w:t xml:space="preserve"> </w:t>
      </w:r>
      <w:r w:rsidR="00145F20">
        <w:rPr>
          <w:rStyle w:val="FootnoteReference"/>
        </w:rPr>
        <w:footnoteReference w:id="69"/>
      </w:r>
      <w:r w:rsidR="00145F20">
        <w:t xml:space="preserve">. However, North </w:t>
      </w:r>
      <w:r w:rsidR="00F27C87">
        <w:t>appears to</w:t>
      </w:r>
      <w:r w:rsidR="00F27C87" w:rsidRPr="00F27C87">
        <w:t xml:space="preserve"> </w:t>
      </w:r>
      <w:r w:rsidR="004F792C">
        <w:t>anachronistically</w:t>
      </w:r>
      <w:r w:rsidR="00F27C87">
        <w:t xml:space="preserve"> expect th</w:t>
      </w:r>
      <w:r w:rsidR="00321D71">
        <w:t>is position</w:t>
      </w:r>
      <w:r w:rsidR="00F27C87">
        <w:t xml:space="preserve"> to be </w:t>
      </w:r>
      <w:r w:rsidR="00677541">
        <w:t>calculated</w:t>
      </w:r>
      <w:r w:rsidR="00F27C87">
        <w:t xml:space="preserve"> </w:t>
      </w:r>
      <w:r w:rsidR="006E508F">
        <w:t>via</w:t>
      </w:r>
      <w:r w:rsidR="00145F20">
        <w:t xml:space="preserve"> Ptolemy’s methods, which had yet to be developed for the </w:t>
      </w:r>
      <w:r w:rsidR="00677541">
        <w:t>date</w:t>
      </w:r>
      <w:r w:rsidR="00145F20">
        <w:t xml:space="preserve"> the horoscope is set</w:t>
      </w:r>
      <w:r w:rsidR="00013688">
        <w:t>, whilst</w:t>
      </w:r>
      <w:r w:rsidR="00145F20">
        <w:t xml:space="preserve"> the</w:t>
      </w:r>
      <w:r w:rsidR="00C730FD">
        <w:t xml:space="preserve"> calculation</w:t>
      </w:r>
      <w:r w:rsidR="00B1542B">
        <w:t xml:space="preserve"> which </w:t>
      </w:r>
      <w:r w:rsidR="00B1542B" w:rsidRPr="00B1542B">
        <w:rPr>
          <w:i/>
          <w:iCs/>
        </w:rPr>
        <w:t>was</w:t>
      </w:r>
      <w:r w:rsidR="00C730FD">
        <w:t xml:space="preserve"> employed </w:t>
      </w:r>
      <w:r w:rsidR="00013688">
        <w:t xml:space="preserve">is consistent with the method </w:t>
      </w:r>
      <w:r w:rsidR="00145F20">
        <w:t>available at that time</w:t>
      </w:r>
      <w:r w:rsidR="00145F20">
        <w:rPr>
          <w:rStyle w:val="FootnoteReference"/>
        </w:rPr>
        <w:footnoteReference w:id="70"/>
      </w:r>
      <w:r w:rsidR="00145F20">
        <w:t>.</w:t>
      </w:r>
      <w:r w:rsidR="004F792C">
        <w:t xml:space="preserve"> </w:t>
      </w:r>
      <w:r w:rsidR="00C65F8C">
        <w:t>Therefore, u</w:t>
      </w:r>
      <w:r w:rsidR="004F792C">
        <w:t xml:space="preserve">nderstanding ancient astrological calculation is </w:t>
      </w:r>
      <w:r w:rsidR="00C65F8C">
        <w:t xml:space="preserve">pivotal in identifying what house systems(s) </w:t>
      </w:r>
      <w:r w:rsidR="002F7797">
        <w:t>ancient astrologers may</w:t>
      </w:r>
      <w:r w:rsidR="00C65F8C">
        <w:t xml:space="preserve"> have used. </w:t>
      </w:r>
      <w:r w:rsidR="00114DB9">
        <w:t>Doing so requires understanding of the problems of ascensional times</w:t>
      </w:r>
      <w:r w:rsidR="009A1D1C">
        <w:t>, with</w:t>
      </w:r>
      <w:r w:rsidR="00114DB9">
        <w:t xml:space="preserve"> which Hellenistic astrologers grappled</w:t>
      </w:r>
      <w:r w:rsidR="00350750">
        <w:rPr>
          <w:rStyle w:val="FootnoteReference"/>
        </w:rPr>
        <w:footnoteReference w:id="71"/>
      </w:r>
      <w:r w:rsidR="00114DB9">
        <w:t>.</w:t>
      </w:r>
    </w:p>
    <w:p w14:paraId="4DE807CD" w14:textId="0AA3B6EC" w:rsidR="00380CE0" w:rsidRPr="005E51B5" w:rsidRDefault="005E51B5" w:rsidP="005E51B5">
      <w:pPr>
        <w:pStyle w:val="Heading2"/>
      </w:pPr>
      <w:bookmarkStart w:id="41" w:name="_Toc83646436"/>
      <w:r w:rsidRPr="005E51B5">
        <w:t>5.1</w:t>
      </w:r>
      <w:r w:rsidR="00990683">
        <w:t>:</w:t>
      </w:r>
      <w:r w:rsidRPr="005E51B5">
        <w:t xml:space="preserve"> Ascensional Times</w:t>
      </w:r>
      <w:bookmarkEnd w:id="41"/>
    </w:p>
    <w:p w14:paraId="34BD87FF" w14:textId="2C3A0D66" w:rsidR="00435CB6" w:rsidRDefault="003A7A97" w:rsidP="00E75B13">
      <w:r>
        <w:t>The ecliptic is at an oblique angle to the equator, and as such, the signs of the Zodiac do not rise uniformly at a given latitude</w:t>
      </w:r>
      <w:r>
        <w:rPr>
          <w:rStyle w:val="FootnoteReference"/>
        </w:rPr>
        <w:footnoteReference w:id="72"/>
      </w:r>
      <w:r>
        <w:t>.</w:t>
      </w:r>
      <w:r w:rsidR="004F503D">
        <w:t xml:space="preserve"> However, several astrological techniques, including calculation of the Ascendant and Midheaven, required </w:t>
      </w:r>
      <w:r w:rsidR="006F3258">
        <w:t xml:space="preserve">computation based on </w:t>
      </w:r>
      <w:r w:rsidR="004F503D">
        <w:t>the ascensional times of each Zodiac sign</w:t>
      </w:r>
      <w:r w:rsidR="002A0612">
        <w:t xml:space="preserve">. </w:t>
      </w:r>
      <w:r w:rsidR="0079756B">
        <w:t xml:space="preserve">A crude method </w:t>
      </w:r>
      <w:r w:rsidR="00006A1E">
        <w:t>to calculate ascensional times</w:t>
      </w:r>
      <w:r w:rsidR="00E268B1">
        <w:t xml:space="preserve"> </w:t>
      </w:r>
      <w:r w:rsidR="00006A1E">
        <w:t>was based</w:t>
      </w:r>
      <w:r w:rsidR="00E268B1">
        <w:t xml:space="preserve"> on the fact that there </w:t>
      </w:r>
      <w:r w:rsidR="002A0612">
        <w:t xml:space="preserve">are 24 hours in a day, and 360º in the equatorial circle, </w:t>
      </w:r>
      <w:r w:rsidR="002316FB">
        <w:t xml:space="preserve">so </w:t>
      </w:r>
      <w:r w:rsidR="002A0612">
        <w:t xml:space="preserve">it stands to reason that 1 hour would </w:t>
      </w:r>
      <w:r w:rsidR="001237F2">
        <w:t>average</w:t>
      </w:r>
      <w:r w:rsidR="002A0612" w:rsidRPr="007430C9">
        <w:t xml:space="preserve"> 15º (360/24),</w:t>
      </w:r>
      <w:r w:rsidR="002A0612">
        <w:t xml:space="preserve"> and so</w:t>
      </w:r>
      <w:r w:rsidR="008B3364">
        <w:t xml:space="preserve"> a</w:t>
      </w:r>
      <w:r w:rsidR="005A5ADD">
        <w:t xml:space="preserve"> Zodiac </w:t>
      </w:r>
      <w:r w:rsidR="008B3364">
        <w:t>sign</w:t>
      </w:r>
      <w:r w:rsidR="005A5ADD">
        <w:t xml:space="preserve">, being </w:t>
      </w:r>
      <w:r w:rsidR="008B3364">
        <w:t>30º</w:t>
      </w:r>
      <w:r w:rsidR="005A5ADD">
        <w:t>,</w:t>
      </w:r>
      <w:r w:rsidR="008B3364">
        <w:t xml:space="preserve"> would take 2 hours</w:t>
      </w:r>
      <w:r w:rsidR="00006A1E">
        <w:t>,</w:t>
      </w:r>
      <w:r w:rsidR="008B3364">
        <w:t xml:space="preserve"> </w:t>
      </w:r>
      <w:r w:rsidR="00006A1E">
        <w:t>or 30</w:t>
      </w:r>
      <w:r w:rsidR="008B119E">
        <w:t xml:space="preserve"> equatorial degrees</w:t>
      </w:r>
      <w:r w:rsidR="003B0B50">
        <w:t>,</w:t>
      </w:r>
      <w:r w:rsidR="00006A1E">
        <w:t xml:space="preserve"> to rise</w:t>
      </w:r>
      <w:r w:rsidR="002A0612">
        <w:t>.</w:t>
      </w:r>
      <w:r w:rsidR="0044151E">
        <w:t xml:space="preserve"> </w:t>
      </w:r>
      <w:r w:rsidR="009B2B67">
        <w:t>Ascensional times</w:t>
      </w:r>
      <w:r w:rsidR="00AE3079">
        <w:t xml:space="preserve"> tend to be recorded as equatorial degrees, rather than hours, for ease of calculation</w:t>
      </w:r>
      <w:r w:rsidR="003B68D3">
        <w:rPr>
          <w:rStyle w:val="FootnoteReference"/>
        </w:rPr>
        <w:footnoteReference w:id="73"/>
      </w:r>
      <w:r w:rsidR="00AE3079">
        <w:t>.</w:t>
      </w:r>
    </w:p>
    <w:p w14:paraId="084508FA" w14:textId="2FB56113" w:rsidR="005E51B5" w:rsidRDefault="008B3364" w:rsidP="00145F20">
      <w:r>
        <w:t>This crude method ignored problems of latitude, and to solve it astrologers divided broad regions of latitude into</w:t>
      </w:r>
      <w:r w:rsidR="00C86795">
        <w:t xml:space="preserve"> seven</w:t>
      </w:r>
      <w:r>
        <w:t xml:space="preserve"> klima</w:t>
      </w:r>
      <w:r w:rsidR="00442750">
        <w:t>,</w:t>
      </w:r>
      <w:r>
        <w:t xml:space="preserve"> and</w:t>
      </w:r>
      <w:r w:rsidR="009C7958">
        <w:t xml:space="preserve"> </w:t>
      </w:r>
      <w:r w:rsidR="00D61EBE">
        <w:t>employed</w:t>
      </w:r>
      <w:r>
        <w:t xml:space="preserve"> Babylonian methods, known as System A and B, to determine the approximate ascensional times for each</w:t>
      </w:r>
      <w:r>
        <w:rPr>
          <w:rStyle w:val="FootnoteReference"/>
        </w:rPr>
        <w:footnoteReference w:id="74"/>
      </w:r>
      <w:r>
        <w:t xml:space="preserve">. </w:t>
      </w:r>
      <w:r w:rsidR="008C23AD">
        <w:t>Astrologers, like Valens</w:t>
      </w:r>
      <w:r w:rsidR="002A40D8">
        <w:t>,</w:t>
      </w:r>
      <w:r w:rsidR="004A1954">
        <w:t xml:space="preserve"> </w:t>
      </w:r>
      <w:r w:rsidR="002A40D8">
        <w:t>consulted</w:t>
      </w:r>
      <w:r w:rsidR="008C23AD">
        <w:t xml:space="preserve"> tables </w:t>
      </w:r>
      <w:r w:rsidR="002A40D8">
        <w:t>to aid</w:t>
      </w:r>
      <w:r w:rsidR="008C23AD">
        <w:t xml:space="preserve"> calculation, and t</w:t>
      </w:r>
      <w:r w:rsidR="00C71D6B">
        <w:t xml:space="preserve">he mathematician Hypiscles, according </w:t>
      </w:r>
      <w:r w:rsidR="007D594F">
        <w:t>to Valens,</w:t>
      </w:r>
      <w:r w:rsidR="004F503D">
        <w:t xml:space="preserve"> </w:t>
      </w:r>
      <w:r w:rsidR="008C23AD">
        <w:t xml:space="preserve">employed his theorem of arithmetic progression to describe how to calculate </w:t>
      </w:r>
      <w:r w:rsidR="005B24EB">
        <w:t xml:space="preserve">these </w:t>
      </w:r>
      <w:r w:rsidR="008C23AD">
        <w:t>table</w:t>
      </w:r>
      <w:r w:rsidR="004758A4">
        <w:t>s</w:t>
      </w:r>
      <w:r w:rsidR="008C23AD">
        <w:t xml:space="preserve"> for every klima</w:t>
      </w:r>
      <w:r w:rsidR="004F503D">
        <w:rPr>
          <w:rStyle w:val="FootnoteReference"/>
        </w:rPr>
        <w:footnoteReference w:id="75"/>
      </w:r>
      <w:r w:rsidR="004F503D">
        <w:t>.</w:t>
      </w:r>
      <w:r w:rsidR="007D594F">
        <w:t xml:space="preserve"> </w:t>
      </w:r>
      <w:r w:rsidR="004C482D">
        <w:t xml:space="preserve">Understanding calculation of ascensional times, then, is pivotal in understanding how the Ascendant and Midheaven were calculated, and given that the majority of house systems employ at least one of these angles, is pivotal in understanding how to calculate house systems also. </w:t>
      </w:r>
    </w:p>
    <w:p w14:paraId="00A95D64" w14:textId="0D662D60" w:rsidR="00A46004" w:rsidRPr="005E51B5" w:rsidRDefault="00A46004" w:rsidP="00A46004">
      <w:pPr>
        <w:pStyle w:val="Heading2"/>
      </w:pPr>
      <w:bookmarkStart w:id="42" w:name="_Toc83646437"/>
      <w:r w:rsidRPr="005E51B5">
        <w:t>5.</w:t>
      </w:r>
      <w:r>
        <w:t>2:</w:t>
      </w:r>
      <w:r w:rsidRPr="005E51B5">
        <w:t xml:space="preserve"> </w:t>
      </w:r>
      <w:r>
        <w:t>Calculation</w:t>
      </w:r>
      <w:bookmarkEnd w:id="42"/>
    </w:p>
    <w:p w14:paraId="5D729670" w14:textId="1642CEDC" w:rsidR="00DC445F" w:rsidRDefault="00A46004" w:rsidP="00B83202">
      <w:r>
        <w:t>Astrologers</w:t>
      </w:r>
      <w:r w:rsidR="009E5D5F">
        <w:t>,</w:t>
      </w:r>
      <w:r>
        <w:t xml:space="preserve"> such as Valens and Paulus Alexandrinus</w:t>
      </w:r>
      <w:r w:rsidR="009E5D5F">
        <w:t>,</w:t>
      </w:r>
      <w:r>
        <w:t xml:space="preserve"> used </w:t>
      </w:r>
      <w:r w:rsidR="00F70C25">
        <w:t xml:space="preserve">tables of ascensional </w:t>
      </w:r>
      <w:r>
        <w:t>to calculate the Ascendant and Midheaven by degree</w:t>
      </w:r>
      <w:r>
        <w:rPr>
          <w:rStyle w:val="FootnoteReference"/>
        </w:rPr>
        <w:footnoteReference w:id="76"/>
      </w:r>
      <w:r>
        <w:t>.</w:t>
      </w:r>
      <w:r w:rsidR="009E5D5F">
        <w:t xml:space="preserve"> </w:t>
      </w:r>
      <w:r w:rsidR="00BB7F5B">
        <w:t xml:space="preserve">Due to the constraints of this essay, I will only cover these methods briefly so as to convey the </w:t>
      </w:r>
      <w:r w:rsidR="00F27749">
        <w:t>relative simplicity</w:t>
      </w:r>
      <w:r w:rsidR="00BB7F5B">
        <w:t xml:space="preserve"> of calculation of these points. </w:t>
      </w:r>
    </w:p>
    <w:p w14:paraId="67AE2EE9" w14:textId="25106AC7" w:rsidR="00A46004" w:rsidRDefault="00D94058" w:rsidP="00D94058">
      <w:pPr>
        <w:pStyle w:val="Heading3"/>
      </w:pPr>
      <w:bookmarkStart w:id="43" w:name="_Toc83646438"/>
      <w:r w:rsidRPr="00D94058">
        <w:t>5.2.1: Ascendant</w:t>
      </w:r>
      <w:bookmarkEnd w:id="43"/>
    </w:p>
    <w:p w14:paraId="676AE445" w14:textId="0B660C56" w:rsidR="00A37ADE" w:rsidRDefault="00A37ADE" w:rsidP="00A37ADE">
      <w:r>
        <w:t>Valens provided several methods for determining the ascendant,</w:t>
      </w:r>
      <w:r w:rsidR="00706523">
        <w:t xml:space="preserve"> </w:t>
      </w:r>
      <w:r w:rsidR="00B72BC9">
        <w:t>one of which was</w:t>
      </w:r>
      <w:r w:rsidR="00E22A59">
        <w:t xml:space="preserve"> </w:t>
      </w:r>
      <w:r w:rsidR="00AA7FE3">
        <w:t>to</w:t>
      </w:r>
    </w:p>
    <w:p w14:paraId="0AC42B1F" w14:textId="7AC13E34" w:rsidR="00A37ADE" w:rsidRDefault="00A37ADE" w:rsidP="00A37ADE">
      <w:pPr>
        <w:pStyle w:val="Quote"/>
      </w:pPr>
      <w:r>
        <w:t>‘</w:t>
      </w:r>
      <w:r w:rsidRPr="007319A1">
        <w:t>multiply the hour/time &lt;of birth&gt; by 15 [and add the degree-position of the sun]. Then for day births, count from the sun with reference to the rising time &lt;of the sign&gt; in the klima of birth</w:t>
      </w:r>
      <w:r w:rsidR="000836F2">
        <w:t>’</w:t>
      </w:r>
      <w:r>
        <w:rPr>
          <w:rStyle w:val="FootnoteReference"/>
        </w:rPr>
        <w:footnoteReference w:id="77"/>
      </w:r>
      <w:r>
        <w:t>.</w:t>
      </w:r>
    </w:p>
    <w:p w14:paraId="01DD206D" w14:textId="2F8F8AA9" w:rsidR="006F3258" w:rsidRDefault="000836F2" w:rsidP="006F3258">
      <w:r>
        <w:t>Others</w:t>
      </w:r>
      <w:r w:rsidR="00FE3CBE">
        <w:t>, such as Paulus and Ptolemy,</w:t>
      </w:r>
      <w:r w:rsidR="00A37ADE">
        <w:t xml:space="preserve"> describe</w:t>
      </w:r>
      <w:r w:rsidR="000B1CA4">
        <w:t>d</w:t>
      </w:r>
      <w:r w:rsidR="00A37ADE">
        <w:t xml:space="preserve"> functionally identical methods to this approach</w:t>
      </w:r>
      <w:r w:rsidR="00A37ADE">
        <w:rPr>
          <w:rStyle w:val="FootnoteReference"/>
        </w:rPr>
        <w:footnoteReference w:id="78"/>
      </w:r>
      <w:r w:rsidR="00A37ADE">
        <w:t xml:space="preserve">. </w:t>
      </w:r>
      <w:r w:rsidR="00A963A2">
        <w:t xml:space="preserve">Otto Neugebauer </w:t>
      </w:r>
      <w:r w:rsidR="00587112">
        <w:t>demonstrated</w:t>
      </w:r>
      <w:r w:rsidR="00A963A2">
        <w:t xml:space="preserve"> a worked-out example of this method</w:t>
      </w:r>
      <w:r w:rsidR="00587112">
        <w:t xml:space="preserve">, </w:t>
      </w:r>
      <w:r w:rsidR="00F52B00">
        <w:t>and demonstrated</w:t>
      </w:r>
      <w:r w:rsidR="00130436">
        <w:t xml:space="preserve"> the ease with which</w:t>
      </w:r>
      <w:r w:rsidR="00F52B00">
        <w:t xml:space="preserve"> the Ascendant degree could be computed, with minimal </w:t>
      </w:r>
      <w:r w:rsidR="00EA2A55">
        <w:t>effort</w:t>
      </w:r>
      <w:r w:rsidR="00D01E04">
        <w:t>, and I refer the reader to this example for more information</w:t>
      </w:r>
      <w:r w:rsidR="001534A2">
        <w:t xml:space="preserve">. In short, the Ascendant could be calculated, with the only requirements being the table of ascensional times, the </w:t>
      </w:r>
      <w:r w:rsidR="00F52B00">
        <w:t>Sun’s longitude, and the seasonal hour of the horoscope</w:t>
      </w:r>
      <w:r w:rsidR="00F52B00">
        <w:rPr>
          <w:rStyle w:val="FootnoteReference"/>
        </w:rPr>
        <w:t xml:space="preserve"> </w:t>
      </w:r>
      <w:r w:rsidR="00A963A2">
        <w:rPr>
          <w:rStyle w:val="FootnoteReference"/>
        </w:rPr>
        <w:footnoteReference w:id="79"/>
      </w:r>
      <w:r w:rsidR="00587112">
        <w:t>.</w:t>
      </w:r>
      <w:r w:rsidR="00A5695B">
        <w:t xml:space="preserve"> </w:t>
      </w:r>
    </w:p>
    <w:p w14:paraId="5F91E76A" w14:textId="763FD32D" w:rsidR="00A963A2" w:rsidRDefault="00A963A2" w:rsidP="00A963A2">
      <w:pPr>
        <w:pStyle w:val="Heading3"/>
      </w:pPr>
      <w:bookmarkStart w:id="44" w:name="_Toc83646439"/>
      <w:r w:rsidRPr="00D94058">
        <w:t>5.2.</w:t>
      </w:r>
      <w:r w:rsidR="00012DE1">
        <w:t>2</w:t>
      </w:r>
      <w:r w:rsidRPr="00D94058">
        <w:t xml:space="preserve">: </w:t>
      </w:r>
      <w:r>
        <w:t>Midheaven</w:t>
      </w:r>
      <w:bookmarkEnd w:id="44"/>
    </w:p>
    <w:p w14:paraId="1A699550" w14:textId="483A26B6" w:rsidR="00A963A2" w:rsidRDefault="008A7249" w:rsidP="006F3258">
      <w:r>
        <w:t>Valens provided a method to calculate the Midheaven degree</w:t>
      </w:r>
      <w:r w:rsidR="00C8224A">
        <w:t xml:space="preserve"> by </w:t>
      </w:r>
      <w:r w:rsidR="004756C3">
        <w:t>taking</w:t>
      </w:r>
      <w:r>
        <w:t xml:space="preserve"> </w:t>
      </w:r>
      <w:r w:rsidR="00C8224A">
        <w:t xml:space="preserve">the sum of the rising times for the 180º of the Zodiac that is fully risen, </w:t>
      </w:r>
      <w:r w:rsidR="004756C3">
        <w:t>halving</w:t>
      </w:r>
      <w:r w:rsidR="00F16926">
        <w:t xml:space="preserve"> this figure, and adding it to the </w:t>
      </w:r>
      <w:r w:rsidR="000F7E23">
        <w:t>D</w:t>
      </w:r>
      <w:r w:rsidR="00F16926">
        <w:t>escendant degree</w:t>
      </w:r>
      <w:r w:rsidR="00C8224A">
        <w:t xml:space="preserve"> to get the </w:t>
      </w:r>
      <w:r w:rsidR="000F7E23">
        <w:t>M</w:t>
      </w:r>
      <w:r w:rsidR="00C8224A">
        <w:t>idheaven</w:t>
      </w:r>
      <w:r w:rsidR="000F7E23">
        <w:t xml:space="preserve"> degree</w:t>
      </w:r>
      <w:r w:rsidR="00DA7A69">
        <w:rPr>
          <w:rStyle w:val="FootnoteReference"/>
        </w:rPr>
        <w:footnoteReference w:id="80"/>
      </w:r>
      <w:r w:rsidR="00DA7A69">
        <w:t xml:space="preserve">. Valens provided </w:t>
      </w:r>
      <w:r w:rsidR="00FB772B">
        <w:t>an example to demonstrate his approach</w:t>
      </w:r>
    </w:p>
    <w:p w14:paraId="6C48A0EF" w14:textId="48DDACB7" w:rsidR="00FB772B" w:rsidRPr="00FB772B" w:rsidRDefault="00FB772B" w:rsidP="00FB772B">
      <w:pPr>
        <w:pStyle w:val="Quote"/>
      </w:pPr>
      <w:r w:rsidRPr="00FB772B">
        <w:t>the Ascendant is Capricorn 15° in the second klima. I take the rising times from the Descendant, Cancer 15°, to Capricorn 15°; the total is 214. Half of this is 107. Adding to this the 15° of Cancer, I count from that same point. The count stops at Scorpio 2°, which is MC</w:t>
      </w:r>
      <w:r>
        <w:rPr>
          <w:rStyle w:val="FootnoteReference"/>
        </w:rPr>
        <w:footnoteReference w:id="81"/>
      </w:r>
      <w:r w:rsidRPr="00FB772B">
        <w:t>.</w:t>
      </w:r>
    </w:p>
    <w:p w14:paraId="0894363C" w14:textId="11679BAF" w:rsidR="002F7761" w:rsidRDefault="00FB772B" w:rsidP="006F3258">
      <w:r>
        <w:t>This is the same procedure that J.D. North misunderstood when arguing that early astrologers struggled to compute the Midheaven degree, so for clarity I will reproduce the example here</w:t>
      </w:r>
      <w:r w:rsidR="00D16BD9">
        <w:rPr>
          <w:rStyle w:val="FootnoteReference"/>
        </w:rPr>
        <w:footnoteReference w:id="82"/>
      </w:r>
      <w:r>
        <w:t>.</w:t>
      </w:r>
    </w:p>
    <w:p w14:paraId="4ECC4ACF" w14:textId="0E5ED6EC" w:rsidR="00F5394A" w:rsidRDefault="00F5394A" w:rsidP="006F3258"/>
    <w:p w14:paraId="6767C88A" w14:textId="138547CD" w:rsidR="00F5394A" w:rsidRDefault="00F5394A" w:rsidP="006F3258"/>
    <w:p w14:paraId="7B204C00" w14:textId="2110959C" w:rsidR="00F5394A" w:rsidRDefault="00F5394A" w:rsidP="006F3258"/>
    <w:p w14:paraId="14485405" w14:textId="77777777" w:rsidR="00F5394A" w:rsidRDefault="00F5394A" w:rsidP="006F3258"/>
    <w:p w14:paraId="1AB4D68A" w14:textId="77777777" w:rsidR="002F7761" w:rsidRDefault="002F7761" w:rsidP="006F3258"/>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410"/>
        <w:gridCol w:w="3119"/>
      </w:tblGrid>
      <w:tr w:rsidR="002F7761" w14:paraId="2311539F" w14:textId="77777777" w:rsidTr="006D69CB">
        <w:trPr>
          <w:jc w:val="center"/>
        </w:trPr>
        <w:tc>
          <w:tcPr>
            <w:tcW w:w="2410" w:type="dxa"/>
          </w:tcPr>
          <w:p w14:paraId="6AE7FBA0" w14:textId="20DE387A" w:rsidR="002F7761" w:rsidRPr="000A68EE" w:rsidRDefault="00D53511" w:rsidP="00A11C83">
            <w:pPr>
              <w:ind w:left="720" w:hanging="720"/>
              <w:jc w:val="center"/>
              <w:rPr>
                <w:b/>
                <w:bCs/>
              </w:rPr>
            </w:pPr>
            <w:r>
              <w:rPr>
                <w:b/>
                <w:bCs/>
              </w:rPr>
              <w:t xml:space="preserve">Zodiac </w:t>
            </w:r>
            <w:r w:rsidR="002F7761" w:rsidRPr="000A68EE">
              <w:rPr>
                <w:b/>
                <w:bCs/>
              </w:rPr>
              <w:t>Sign</w:t>
            </w:r>
          </w:p>
        </w:tc>
        <w:tc>
          <w:tcPr>
            <w:tcW w:w="3119" w:type="dxa"/>
          </w:tcPr>
          <w:p w14:paraId="0179B181" w14:textId="77777777" w:rsidR="006D69CB" w:rsidRDefault="006D69CB" w:rsidP="002F7761">
            <w:pPr>
              <w:ind w:left="720" w:hanging="720"/>
              <w:jc w:val="center"/>
              <w:rPr>
                <w:b/>
                <w:bCs/>
              </w:rPr>
            </w:pPr>
            <w:r>
              <w:rPr>
                <w:b/>
                <w:bCs/>
              </w:rPr>
              <w:t>Ascensional</w:t>
            </w:r>
            <w:r w:rsidR="002F7761">
              <w:rPr>
                <w:b/>
                <w:bCs/>
              </w:rPr>
              <w:t xml:space="preserve"> Times</w:t>
            </w:r>
          </w:p>
          <w:p w14:paraId="4FB6636E" w14:textId="0ECD50FE" w:rsidR="002F7761" w:rsidRPr="00FE063C" w:rsidRDefault="006D69CB" w:rsidP="002F7761">
            <w:pPr>
              <w:ind w:left="720" w:hanging="720"/>
              <w:jc w:val="center"/>
              <w:rPr>
                <w:b/>
                <w:bCs/>
                <w:sz w:val="20"/>
                <w:szCs w:val="20"/>
              </w:rPr>
            </w:pPr>
            <w:r w:rsidRPr="00FE063C">
              <w:rPr>
                <w:b/>
                <w:bCs/>
                <w:sz w:val="20"/>
                <w:szCs w:val="20"/>
              </w:rPr>
              <w:t>Klima 2 via System A</w:t>
            </w:r>
          </w:p>
        </w:tc>
      </w:tr>
      <w:tr w:rsidR="002F7761" w14:paraId="4AA70BA4" w14:textId="77777777" w:rsidTr="006D69CB">
        <w:trPr>
          <w:jc w:val="center"/>
        </w:trPr>
        <w:tc>
          <w:tcPr>
            <w:tcW w:w="2410" w:type="dxa"/>
          </w:tcPr>
          <w:p w14:paraId="6AC1BA60" w14:textId="77777777" w:rsidR="002F7761" w:rsidRDefault="002F7761" w:rsidP="00A11C83">
            <w:pPr>
              <w:ind w:left="720" w:hanging="720"/>
            </w:pPr>
            <w:r>
              <w:t>Aries, Pisces</w:t>
            </w:r>
          </w:p>
        </w:tc>
        <w:tc>
          <w:tcPr>
            <w:tcW w:w="3119" w:type="dxa"/>
          </w:tcPr>
          <w:p w14:paraId="1E9B660F" w14:textId="77777777" w:rsidR="002F7761" w:rsidRDefault="002F7761" w:rsidP="00A11C83">
            <w:pPr>
              <w:ind w:left="720" w:hanging="720"/>
            </w:pPr>
            <w:r>
              <w:t>20º</w:t>
            </w:r>
          </w:p>
        </w:tc>
      </w:tr>
      <w:tr w:rsidR="002F7761" w14:paraId="4403B8F4" w14:textId="77777777" w:rsidTr="006D69CB">
        <w:trPr>
          <w:jc w:val="center"/>
        </w:trPr>
        <w:tc>
          <w:tcPr>
            <w:tcW w:w="2410" w:type="dxa"/>
          </w:tcPr>
          <w:p w14:paraId="05766348" w14:textId="77777777" w:rsidR="002F7761" w:rsidRDefault="002F7761" w:rsidP="00A11C83">
            <w:pPr>
              <w:ind w:left="720" w:hanging="720"/>
            </w:pPr>
            <w:r>
              <w:t>Taurus, Aquarius</w:t>
            </w:r>
          </w:p>
        </w:tc>
        <w:tc>
          <w:tcPr>
            <w:tcW w:w="3119" w:type="dxa"/>
          </w:tcPr>
          <w:p w14:paraId="7B213539" w14:textId="77777777" w:rsidR="002F7761" w:rsidRDefault="002F7761" w:rsidP="00A11C83">
            <w:pPr>
              <w:ind w:left="720" w:hanging="720"/>
            </w:pPr>
            <w:r>
              <w:t>24º</w:t>
            </w:r>
          </w:p>
        </w:tc>
      </w:tr>
      <w:tr w:rsidR="002F7761" w14:paraId="71BC4EF8" w14:textId="77777777" w:rsidTr="006D69CB">
        <w:trPr>
          <w:jc w:val="center"/>
        </w:trPr>
        <w:tc>
          <w:tcPr>
            <w:tcW w:w="2410" w:type="dxa"/>
          </w:tcPr>
          <w:p w14:paraId="5DDB3C2F" w14:textId="77777777" w:rsidR="002F7761" w:rsidRDefault="002F7761" w:rsidP="00A11C83">
            <w:pPr>
              <w:ind w:left="720" w:hanging="720"/>
            </w:pPr>
            <w:r>
              <w:t>Gemini, Capricorn</w:t>
            </w:r>
          </w:p>
        </w:tc>
        <w:tc>
          <w:tcPr>
            <w:tcW w:w="3119" w:type="dxa"/>
          </w:tcPr>
          <w:p w14:paraId="38BACFA2" w14:textId="77777777" w:rsidR="002F7761" w:rsidRDefault="002F7761" w:rsidP="00A11C83">
            <w:pPr>
              <w:ind w:left="720" w:hanging="720"/>
            </w:pPr>
            <w:r>
              <w:t>28º</w:t>
            </w:r>
          </w:p>
        </w:tc>
      </w:tr>
      <w:tr w:rsidR="002F7761" w14:paraId="741242FE" w14:textId="77777777" w:rsidTr="006D69CB">
        <w:trPr>
          <w:jc w:val="center"/>
        </w:trPr>
        <w:tc>
          <w:tcPr>
            <w:tcW w:w="2410" w:type="dxa"/>
          </w:tcPr>
          <w:p w14:paraId="602E671E" w14:textId="77777777" w:rsidR="002F7761" w:rsidRDefault="002F7761" w:rsidP="00A11C83">
            <w:pPr>
              <w:ind w:left="720" w:hanging="720"/>
            </w:pPr>
            <w:r>
              <w:t>Cancer, Sagittarius</w:t>
            </w:r>
          </w:p>
        </w:tc>
        <w:tc>
          <w:tcPr>
            <w:tcW w:w="3119" w:type="dxa"/>
          </w:tcPr>
          <w:p w14:paraId="275B4928" w14:textId="77777777" w:rsidR="002F7761" w:rsidRDefault="002F7761" w:rsidP="00A11C83">
            <w:pPr>
              <w:ind w:left="720" w:hanging="720"/>
            </w:pPr>
            <w:r>
              <w:t>32º</w:t>
            </w:r>
          </w:p>
        </w:tc>
      </w:tr>
      <w:tr w:rsidR="002F7761" w14:paraId="49AB5419" w14:textId="77777777" w:rsidTr="006D69CB">
        <w:trPr>
          <w:jc w:val="center"/>
        </w:trPr>
        <w:tc>
          <w:tcPr>
            <w:tcW w:w="2410" w:type="dxa"/>
          </w:tcPr>
          <w:p w14:paraId="7BA104B4" w14:textId="77777777" w:rsidR="002F7761" w:rsidRDefault="002F7761" w:rsidP="00A11C83">
            <w:pPr>
              <w:ind w:left="720" w:hanging="720"/>
            </w:pPr>
            <w:r>
              <w:t>Leo, Scorpio</w:t>
            </w:r>
          </w:p>
        </w:tc>
        <w:tc>
          <w:tcPr>
            <w:tcW w:w="3119" w:type="dxa"/>
          </w:tcPr>
          <w:p w14:paraId="53DFBEE6" w14:textId="77777777" w:rsidR="002F7761" w:rsidRDefault="002F7761" w:rsidP="00A11C83">
            <w:pPr>
              <w:ind w:left="720" w:hanging="720"/>
            </w:pPr>
            <w:r>
              <w:t>36º</w:t>
            </w:r>
          </w:p>
        </w:tc>
      </w:tr>
      <w:tr w:rsidR="002F7761" w14:paraId="28DB46EC" w14:textId="77777777" w:rsidTr="006D69CB">
        <w:trPr>
          <w:jc w:val="center"/>
        </w:trPr>
        <w:tc>
          <w:tcPr>
            <w:tcW w:w="2410" w:type="dxa"/>
          </w:tcPr>
          <w:p w14:paraId="4CC6150E" w14:textId="77777777" w:rsidR="002F7761" w:rsidRDefault="002F7761" w:rsidP="00A11C83">
            <w:pPr>
              <w:ind w:left="720" w:hanging="720"/>
            </w:pPr>
            <w:r>
              <w:t>Virgo, Libra</w:t>
            </w:r>
          </w:p>
        </w:tc>
        <w:tc>
          <w:tcPr>
            <w:tcW w:w="3119" w:type="dxa"/>
          </w:tcPr>
          <w:p w14:paraId="55EE0FA6" w14:textId="77777777" w:rsidR="002F7761" w:rsidRDefault="002F7761" w:rsidP="00FE063C">
            <w:pPr>
              <w:keepNext/>
              <w:ind w:left="720" w:hanging="720"/>
            </w:pPr>
            <w:r>
              <w:t>40</w:t>
            </w:r>
          </w:p>
        </w:tc>
      </w:tr>
    </w:tbl>
    <w:p w14:paraId="73E9C99A" w14:textId="70BE9C77" w:rsidR="002F7761" w:rsidRDefault="00FE063C" w:rsidP="00FE063C">
      <w:pPr>
        <w:pStyle w:val="Caption"/>
        <w:jc w:val="center"/>
      </w:pPr>
      <w:bookmarkStart w:id="45" w:name="_Toc83625686"/>
      <w:bookmarkStart w:id="46" w:name="_Toc83646485"/>
      <w:r>
        <w:t xml:space="preserve">Table </w:t>
      </w:r>
      <w:r w:rsidR="00934AC8">
        <w:fldChar w:fldCharType="begin"/>
      </w:r>
      <w:r w:rsidR="00934AC8">
        <w:instrText xml:space="preserve"> SEQ Table \* ARABIC </w:instrText>
      </w:r>
      <w:r w:rsidR="00934AC8">
        <w:fldChar w:fldCharType="separate"/>
      </w:r>
      <w:r w:rsidR="002E3D54">
        <w:rPr>
          <w:noProof/>
        </w:rPr>
        <w:t>2</w:t>
      </w:r>
      <w:r w:rsidR="00934AC8">
        <w:rPr>
          <w:noProof/>
        </w:rPr>
        <w:fldChar w:fldCharType="end"/>
      </w:r>
      <w:r>
        <w:t xml:space="preserve">. </w:t>
      </w:r>
      <w:r w:rsidRPr="004438E7">
        <w:t>Ascensional times of Klima 2, using System A, according to Valens.</w:t>
      </w:r>
      <w:bookmarkEnd w:id="45"/>
      <w:bookmarkEnd w:id="46"/>
    </w:p>
    <w:p w14:paraId="52B78BF8" w14:textId="77777777" w:rsidR="00FB772B" w:rsidRDefault="00FB772B" w:rsidP="006F3258"/>
    <w:p w14:paraId="072003E6" w14:textId="682F0134" w:rsidR="00D16BD9" w:rsidRDefault="00FE063C" w:rsidP="006F3258">
      <w:r>
        <w:t xml:space="preserve">Table </w:t>
      </w:r>
      <w:r w:rsidR="003A32A5">
        <w:t>2</w:t>
      </w:r>
      <w:r>
        <w:t xml:space="preserve"> provides the ascensional times set for Klima 2</w:t>
      </w:r>
      <w:r w:rsidR="004A4C88">
        <w:t xml:space="preserve"> </w:t>
      </w:r>
      <w:r w:rsidR="004A4C88">
        <w:t>as outlined by Valens</w:t>
      </w:r>
      <w:r w:rsidR="004A4C88">
        <w:t xml:space="preserve">, and </w:t>
      </w:r>
      <w:r>
        <w:t xml:space="preserve">used throughout the example. </w:t>
      </w:r>
      <w:r w:rsidR="00D16BD9">
        <w:t xml:space="preserve">Valens’s instruction is to </w:t>
      </w:r>
      <w:r w:rsidR="00655C74">
        <w:t>first sum the</w:t>
      </w:r>
      <w:r w:rsidR="008C1DF2">
        <w:t xml:space="preserve"> </w:t>
      </w:r>
      <w:r w:rsidR="00D16BD9">
        <w:t>rising times of the signs fully risen</w:t>
      </w:r>
      <w:r w:rsidR="00F2044C">
        <w:t>.</w:t>
      </w:r>
      <w:r w:rsidR="00D16BD9">
        <w:t xml:space="preserve"> </w:t>
      </w:r>
      <w:r w:rsidR="00F2044C">
        <w:t>As</w:t>
      </w:r>
      <w:r w:rsidR="00D16BD9">
        <w:t xml:space="preserve"> Cancer and Capricorn have only partially risen</w:t>
      </w:r>
      <w:r w:rsidR="00F2044C">
        <w:t>, t</w:t>
      </w:r>
      <w:r w:rsidR="00D16BD9">
        <w:t xml:space="preserve">he remaining ascensional times of the </w:t>
      </w:r>
      <w:r w:rsidR="00F2044C">
        <w:t xml:space="preserve">fully </w:t>
      </w:r>
      <w:r w:rsidR="00D16BD9">
        <w:t xml:space="preserve">risen signs would be: </w:t>
      </w:r>
    </w:p>
    <w:p w14:paraId="59638887" w14:textId="77777777" w:rsidR="007E54E3" w:rsidRPr="007E54E3" w:rsidRDefault="00D16BD9" w:rsidP="007E54E3">
      <w:pPr>
        <w:pStyle w:val="arithmatic"/>
      </w:pPr>
      <w:r w:rsidRPr="007E54E3">
        <w:t xml:space="preserve">Leo + Virgo + Libra + Scorpio + Sagittarius =&gt; </w:t>
      </w:r>
    </w:p>
    <w:p w14:paraId="491204D6" w14:textId="2C4E492F" w:rsidR="00FE063C" w:rsidRPr="007E54E3" w:rsidRDefault="00D16BD9" w:rsidP="007E54E3">
      <w:pPr>
        <w:pStyle w:val="arithmatic"/>
      </w:pPr>
      <w:r w:rsidRPr="007E54E3">
        <w:t>36</w:t>
      </w:r>
      <w:r w:rsidR="00C92955">
        <w:t>º</w:t>
      </w:r>
      <w:r w:rsidRPr="007E54E3">
        <w:t xml:space="preserve"> + 40</w:t>
      </w:r>
      <w:r w:rsidR="00C92955">
        <w:t>º</w:t>
      </w:r>
      <w:r w:rsidRPr="007E54E3">
        <w:t xml:space="preserve"> + 40</w:t>
      </w:r>
      <w:r w:rsidR="00C92955">
        <w:t>º</w:t>
      </w:r>
      <w:r w:rsidRPr="007E54E3">
        <w:t xml:space="preserve"> + 36</w:t>
      </w:r>
      <w:r w:rsidR="00C92955">
        <w:t>º</w:t>
      </w:r>
      <w:r w:rsidRPr="007E54E3">
        <w:t xml:space="preserve"> + 32</w:t>
      </w:r>
      <w:r w:rsidR="00C92955">
        <w:t>º</w:t>
      </w:r>
      <w:r w:rsidRPr="007E54E3">
        <w:t xml:space="preserve"> = 184</w:t>
      </w:r>
      <w:r w:rsidR="00C92955">
        <w:t>º</w:t>
      </w:r>
      <w:r w:rsidRPr="007E54E3">
        <w:t>.</w:t>
      </w:r>
    </w:p>
    <w:p w14:paraId="1D289957" w14:textId="7D5C1EA3" w:rsidR="00FE063C" w:rsidRDefault="00CE73E4" w:rsidP="006F3258">
      <w:r>
        <w:t>Next, i</w:t>
      </w:r>
      <w:r w:rsidR="00D16BD9">
        <w:t>n order to calculate the individual degrees risen for Cancer and Capricorn</w:t>
      </w:r>
      <w:r w:rsidR="00832E74">
        <w:t xml:space="preserve">, </w:t>
      </w:r>
      <w:r w:rsidR="00D16BD9">
        <w:t>Valens described a roundabout method</w:t>
      </w:r>
      <w:r w:rsidR="00EE0FA4">
        <w:t>, using a base 60 numerical form,</w:t>
      </w:r>
      <w:r w:rsidR="00D16BD9">
        <w:t xml:space="preserve"> of getting 1/30</w:t>
      </w:r>
      <w:r w:rsidR="00D16BD9" w:rsidRPr="00D16BD9">
        <w:rPr>
          <w:vertAlign w:val="superscript"/>
        </w:rPr>
        <w:t>th</w:t>
      </w:r>
      <w:r w:rsidR="00D16BD9">
        <w:t xml:space="preserve"> of the rising time for the sign, and multiplying that figure by the number of degrees risen</w:t>
      </w:r>
      <w:r w:rsidR="006A7ED1">
        <w:rPr>
          <w:rStyle w:val="FootnoteReference"/>
        </w:rPr>
        <w:footnoteReference w:id="83"/>
      </w:r>
      <w:r w:rsidR="00D16BD9">
        <w:t>.</w:t>
      </w:r>
      <w:r w:rsidR="00832E74">
        <w:t xml:space="preserve"> By modern computation this would be:</w:t>
      </w:r>
    </w:p>
    <w:p w14:paraId="3CFDB445" w14:textId="2608D1CF" w:rsidR="00832E74" w:rsidRPr="00832E74" w:rsidRDefault="00832E74" w:rsidP="007E54E3">
      <w:pPr>
        <w:pStyle w:val="arithmatic"/>
      </w:pPr>
      <w:r w:rsidRPr="00832E74">
        <w:t>15</w:t>
      </w:r>
      <w:r>
        <w:t xml:space="preserve">º </w:t>
      </w:r>
      <w:r w:rsidR="00044843">
        <w:t xml:space="preserve">of </w:t>
      </w:r>
      <w:r w:rsidRPr="00832E74">
        <w:t>Capricorn</w:t>
      </w:r>
      <w:r w:rsidR="00044843">
        <w:t xml:space="preserve"> (28º)</w:t>
      </w:r>
      <w:r w:rsidRPr="00832E74">
        <w:t xml:space="preserve"> = 15 x </w:t>
      </w:r>
      <w:r>
        <w:t>28/30</w:t>
      </w:r>
      <w:r w:rsidRPr="00832E74">
        <w:t xml:space="preserve"> = 14</w:t>
      </w:r>
      <w:r w:rsidR="009F7C76">
        <w:t>º</w:t>
      </w:r>
      <w:r w:rsidR="00BA082E">
        <w:t>.</w:t>
      </w:r>
    </w:p>
    <w:p w14:paraId="6BF9919B" w14:textId="5920C0EF" w:rsidR="00832E74" w:rsidRPr="00832E74" w:rsidRDefault="00832E74" w:rsidP="007E54E3">
      <w:pPr>
        <w:pStyle w:val="arithmatic"/>
      </w:pPr>
      <w:r w:rsidRPr="00832E74">
        <w:t>15</w:t>
      </w:r>
      <w:r>
        <w:t xml:space="preserve">º </w:t>
      </w:r>
      <w:r w:rsidR="00044843">
        <w:t xml:space="preserve">of </w:t>
      </w:r>
      <w:r w:rsidRPr="00832E74">
        <w:t>Cancer</w:t>
      </w:r>
      <w:r w:rsidR="00044843">
        <w:t xml:space="preserve"> (32º)</w:t>
      </w:r>
      <w:r w:rsidRPr="00832E74">
        <w:t xml:space="preserve"> = 15 x </w:t>
      </w:r>
      <w:r w:rsidR="007E54E3">
        <w:t>32</w:t>
      </w:r>
      <w:r w:rsidRPr="00832E74">
        <w:t>/</w:t>
      </w:r>
      <w:r w:rsidR="007E54E3">
        <w:t>30</w:t>
      </w:r>
      <w:r w:rsidRPr="00832E74">
        <w:t xml:space="preserve"> = 16</w:t>
      </w:r>
      <w:r w:rsidR="009F7C76">
        <w:t>º</w:t>
      </w:r>
      <w:r w:rsidR="00BA082E">
        <w:t>.</w:t>
      </w:r>
    </w:p>
    <w:p w14:paraId="688F4B61" w14:textId="07BF560A" w:rsidR="007E54E3" w:rsidRDefault="007E54E3" w:rsidP="006F3258">
      <w:r>
        <w:t>The rising times for the 180º of the Zodiac that is fully risen</w:t>
      </w:r>
      <w:r w:rsidR="00450906">
        <w:t>, therefore,</w:t>
      </w:r>
      <w:r>
        <w:t xml:space="preserve"> is: </w:t>
      </w:r>
    </w:p>
    <w:p w14:paraId="66ED7EAF" w14:textId="0AC44BF8" w:rsidR="00D16BD9" w:rsidRDefault="007E54E3" w:rsidP="007E54E3">
      <w:pPr>
        <w:pStyle w:val="arithmatic"/>
      </w:pPr>
      <w:r w:rsidRPr="007E54E3">
        <w:t>184</w:t>
      </w:r>
      <w:r w:rsidR="005E2861">
        <w:t>º</w:t>
      </w:r>
      <w:r w:rsidRPr="007E54E3">
        <w:t xml:space="preserve"> + 14</w:t>
      </w:r>
      <w:r w:rsidR="005E2861">
        <w:t>º</w:t>
      </w:r>
      <w:r w:rsidRPr="007E54E3">
        <w:t xml:space="preserve"> + 16</w:t>
      </w:r>
      <w:r w:rsidR="005E2861">
        <w:t>º</w:t>
      </w:r>
      <w:r w:rsidRPr="007E54E3">
        <w:t xml:space="preserve"> = 214</w:t>
      </w:r>
      <w:r w:rsidR="005E2861">
        <w:t>º</w:t>
      </w:r>
      <w:r w:rsidR="00BA082E">
        <w:t>.</w:t>
      </w:r>
    </w:p>
    <w:p w14:paraId="299B9451" w14:textId="7C07D953" w:rsidR="007E54E3" w:rsidRDefault="00C24B36" w:rsidP="006F3258">
      <w:r>
        <w:t>Next,</w:t>
      </w:r>
      <w:r w:rsidR="007E54E3" w:rsidRPr="007E54E3">
        <w:t xml:space="preserve"> Valens’s instruction</w:t>
      </w:r>
      <w:r>
        <w:t xml:space="preserve"> is</w:t>
      </w:r>
      <w:r w:rsidR="007E54E3" w:rsidRPr="007E54E3">
        <w:t xml:space="preserve"> </w:t>
      </w:r>
      <w:r w:rsidR="007E54E3">
        <w:t>to halve this, and add it to the descendant degre</w:t>
      </w:r>
      <w:r w:rsidR="00866F0A">
        <w:t>e</w:t>
      </w:r>
      <w:r w:rsidR="007E54E3">
        <w:t>:</w:t>
      </w:r>
    </w:p>
    <w:p w14:paraId="5EB87F3F" w14:textId="6D89C96F" w:rsidR="001A49D4" w:rsidRDefault="007E54E3" w:rsidP="00BA082E">
      <w:pPr>
        <w:pStyle w:val="arithmatic"/>
      </w:pPr>
      <w:r w:rsidRPr="007E54E3">
        <w:t xml:space="preserve">214/2 = 107º. </w:t>
      </w:r>
    </w:p>
    <w:p w14:paraId="38E80337" w14:textId="5A019BD6" w:rsidR="007E54E3" w:rsidRPr="007E54E3" w:rsidRDefault="007E54E3" w:rsidP="007E54E3">
      <w:pPr>
        <w:pStyle w:val="arithmatic"/>
      </w:pPr>
      <w:r w:rsidRPr="007E54E3">
        <w:t>15º Capricorn + 107º = 2º Scorpio</w:t>
      </w:r>
      <w:r w:rsidR="00BA082E">
        <w:t>.</w:t>
      </w:r>
    </w:p>
    <w:p w14:paraId="7F1C847D" w14:textId="0717D33D" w:rsidR="007E54E3" w:rsidRDefault="00594531" w:rsidP="006F3258">
      <w:r>
        <w:t xml:space="preserve">2º Scorpio corresponds with Valens’s </w:t>
      </w:r>
      <w:r w:rsidR="00A37714">
        <w:t>result</w:t>
      </w:r>
      <w:r>
        <w:t xml:space="preserve">, </w:t>
      </w:r>
      <w:r w:rsidR="00A37714">
        <w:t xml:space="preserve">demonstrating that the Midheaven could be calculated </w:t>
      </w:r>
      <w:r w:rsidR="00D03518">
        <w:t xml:space="preserve">using simple arithmetic, provided </w:t>
      </w:r>
      <w:r w:rsidR="00A37714">
        <w:t>one knows the Ascendant degree</w:t>
      </w:r>
      <w:r w:rsidR="005F5C12">
        <w:t xml:space="preserve"> and</w:t>
      </w:r>
      <w:r w:rsidR="009704D8">
        <w:t xml:space="preserve"> the tables of ascensional times</w:t>
      </w:r>
      <w:r w:rsidR="005F5C12">
        <w:t xml:space="preserve"> for the given klima</w:t>
      </w:r>
      <w:r w:rsidR="00A37714">
        <w:t>.</w:t>
      </w:r>
    </w:p>
    <w:p w14:paraId="673B6B40" w14:textId="3EE0F086" w:rsidR="005D2233" w:rsidRDefault="005D2233" w:rsidP="005D2233">
      <w:pPr>
        <w:pStyle w:val="Heading2"/>
      </w:pPr>
      <w:bookmarkStart w:id="47" w:name="_Toc83646440"/>
      <w:r w:rsidRPr="005D2233">
        <w:t>5.3: House System Calculation</w:t>
      </w:r>
      <w:bookmarkEnd w:id="47"/>
    </w:p>
    <w:p w14:paraId="56782A22" w14:textId="6C676BFD" w:rsidR="005D2233" w:rsidRDefault="004C28F1" w:rsidP="004C28F1">
      <w:r>
        <w:t xml:space="preserve">Provided the klima is understood, which is likely inferred from the astrologer’s location, the Ascendant and Midheaven degrees could </w:t>
      </w:r>
      <w:r w:rsidR="00683075">
        <w:t xml:space="preserve">therefore </w:t>
      </w:r>
      <w:r>
        <w:t xml:space="preserve">be calculated </w:t>
      </w:r>
      <w:r w:rsidR="00B76C89">
        <w:t>knowing</w:t>
      </w:r>
      <w:r w:rsidR="00683075">
        <w:t xml:space="preserve"> only</w:t>
      </w:r>
      <w:r>
        <w:t xml:space="preserve"> the degree of the Sun</w:t>
      </w:r>
      <w:r w:rsidR="00297584">
        <w:t>,</w:t>
      </w:r>
      <w:r>
        <w:t xml:space="preserve"> and the seasonal hour of the day or night. The Sun’s degree can be determined from tables if </w:t>
      </w:r>
      <w:r w:rsidR="00297584">
        <w:t>just the</w:t>
      </w:r>
      <w:r>
        <w:t xml:space="preserve"> date is </w:t>
      </w:r>
      <w:r w:rsidR="00901F49">
        <w:t>provided</w:t>
      </w:r>
      <w:r>
        <w:t xml:space="preserve"> instead. Given the Ascendant and Midheaven degrees are required for other systems beyond WSH, it i</w:t>
      </w:r>
      <w:r w:rsidR="005D2233">
        <w:t>s possible</w:t>
      </w:r>
      <w:r>
        <w:t>, therefore,</w:t>
      </w:r>
      <w:r w:rsidR="005D2233">
        <w:t xml:space="preserve"> that even horoscopes which do not explicitly list these degrees could have employed</w:t>
      </w:r>
      <w:r w:rsidR="00C27942">
        <w:t xml:space="preserve"> house systems</w:t>
      </w:r>
      <w:r w:rsidR="005D2233">
        <w:t xml:space="preserve"> </w:t>
      </w:r>
      <w:r w:rsidR="00207CB6">
        <w:t xml:space="preserve">like </w:t>
      </w:r>
      <w:r w:rsidR="005D2233">
        <w:t>EH or Porphyry</w:t>
      </w:r>
      <w:r w:rsidR="00CD1C6B">
        <w:t>, provided they recorded the date and time instead</w:t>
      </w:r>
      <w:r>
        <w:t xml:space="preserve">. </w:t>
      </w:r>
      <w:r w:rsidR="00A61B65">
        <w:t>Provided one had access to a table of ascensional times, the</w:t>
      </w:r>
      <w:r w:rsidR="00F27C95">
        <w:t xml:space="preserve"> date and time, therefore, is all that is needed to calculate house systems such as EH and Porphyry.</w:t>
      </w:r>
    </w:p>
    <w:p w14:paraId="05FBFDBB" w14:textId="4B937D2B" w:rsidR="00014F93" w:rsidRDefault="00014F93" w:rsidP="00014F93">
      <w:pPr>
        <w:pStyle w:val="Heading1"/>
      </w:pPr>
      <w:bookmarkStart w:id="48" w:name="_Toc82257241"/>
      <w:bookmarkStart w:id="49" w:name="_Toc83646441"/>
      <w:r>
        <w:t xml:space="preserve">Chapter </w:t>
      </w:r>
      <w:r w:rsidR="00053D4B">
        <w:t>6</w:t>
      </w:r>
      <w:r>
        <w:t>: Loci in Greek Horoscopes</w:t>
      </w:r>
      <w:bookmarkEnd w:id="48"/>
      <w:bookmarkEnd w:id="49"/>
    </w:p>
    <w:p w14:paraId="2F419154" w14:textId="1B0BBF12" w:rsidR="00014F93" w:rsidRDefault="00014F93" w:rsidP="00014F93">
      <w:r>
        <w:t>Holden cited the ‘original documents’ in pages 15-75 of GH as evidence of WSH</w:t>
      </w:r>
      <w:r w:rsidR="00E7277A">
        <w:t>, h</w:t>
      </w:r>
      <w:r>
        <w:t xml:space="preserve">owever, he did not </w:t>
      </w:r>
      <w:r w:rsidR="007D5A19">
        <w:t xml:space="preserve">describe nor </w:t>
      </w:r>
      <w:r>
        <w:t>discuss what th</w:t>
      </w:r>
      <w:r w:rsidR="00E7277A">
        <w:t xml:space="preserve">is </w:t>
      </w:r>
      <w:r>
        <w:t xml:space="preserve">evidence was. It may well be that Holden was influenced by the interchange of ‘sign’ and ‘house’ employed in GH (see </w:t>
      </w:r>
      <w:r w:rsidRPr="00053157">
        <w:rPr>
          <w:i/>
          <w:iCs/>
        </w:rPr>
        <w:t>4.2.2: In Academia</w:t>
      </w:r>
      <w:r>
        <w:t>). However, it’s more probable that Holden saw evidence within the documents themselves.</w:t>
      </w:r>
      <w:bookmarkStart w:id="50" w:name="_Toc82257242"/>
    </w:p>
    <w:p w14:paraId="0171054F" w14:textId="49C95684" w:rsidR="00014F93" w:rsidRDefault="00053D4B" w:rsidP="00014F93">
      <w:pPr>
        <w:pStyle w:val="Heading2"/>
      </w:pPr>
      <w:bookmarkStart w:id="51" w:name="_Toc83646442"/>
      <w:r>
        <w:t>6</w:t>
      </w:r>
      <w:r w:rsidR="00014F93" w:rsidRPr="00B14E90">
        <w:t>.1</w:t>
      </w:r>
      <w:r w:rsidR="00014F93">
        <w:t>:</w:t>
      </w:r>
      <w:r w:rsidR="00014F93" w:rsidRPr="00B14E90">
        <w:t xml:space="preserve"> Survey</w:t>
      </w:r>
      <w:bookmarkEnd w:id="50"/>
      <w:bookmarkEnd w:id="51"/>
    </w:p>
    <w:p w14:paraId="67E5473E" w14:textId="4FDF592D" w:rsidR="00014F93" w:rsidRDefault="00014F93" w:rsidP="00014F93">
      <w:r>
        <w:t xml:space="preserve">To determine what house system(s) </w:t>
      </w:r>
      <w:r w:rsidR="00F75D18">
        <w:t>were</w:t>
      </w:r>
      <w:r>
        <w:t xml:space="preserve"> calculable</w:t>
      </w:r>
      <w:r w:rsidR="00466066">
        <w:t xml:space="preserve"> in the relevant pages cited by Holden</w:t>
      </w:r>
      <w:r>
        <w:t xml:space="preserve">, I surveyed the horoscopes </w:t>
      </w:r>
      <w:r w:rsidR="00282528">
        <w:t>noting</w:t>
      </w:r>
      <w:r>
        <w:t xml:space="preserve"> whether the horoscope recorded the date and time, </w:t>
      </w:r>
      <w:r w:rsidR="003F3004">
        <w:t xml:space="preserve">and </w:t>
      </w:r>
      <w:r>
        <w:t xml:space="preserve">whether the Ascendant, Midheaven and planets were recorded, and if so whether by sign or by degree. </w:t>
      </w:r>
    </w:p>
    <w:p w14:paraId="61EB016B" w14:textId="77777777" w:rsidR="00014F93" w:rsidRDefault="009B1DCF" w:rsidP="00014F93">
      <w:pPr>
        <w:keepNext/>
      </w:pPr>
      <w:r>
        <w:rPr>
          <w:noProof/>
        </w:rPr>
        <w:object w:dxaOrig="11500" w:dyaOrig="6700" w14:anchorId="7DC1D7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8pt;height:260.65pt;mso-width-percent:0;mso-height-percent:0;mso-width-percent:0;mso-height-percent:0" o:ole="">
            <v:imagedata r:id="rId10" o:title=""/>
          </v:shape>
          <o:OLEObject Type="Embed" ProgID="Excel.Sheet.12" ShapeID="_x0000_i1025" DrawAspect="Content" ObjectID="_1694259642" r:id="rId11"/>
        </w:object>
      </w:r>
    </w:p>
    <w:p w14:paraId="73585A8D" w14:textId="6FEA9D8C" w:rsidR="00014F93" w:rsidRDefault="00014F93" w:rsidP="00517A45">
      <w:pPr>
        <w:pStyle w:val="Caption"/>
        <w:jc w:val="center"/>
      </w:pPr>
      <w:bookmarkStart w:id="52" w:name="_Toc82014533"/>
      <w:bookmarkStart w:id="53" w:name="_Toc83625687"/>
      <w:bookmarkStart w:id="54" w:name="_Toc83646486"/>
      <w:r>
        <w:t xml:space="preserve">Table </w:t>
      </w:r>
      <w:r w:rsidR="00934AC8">
        <w:fldChar w:fldCharType="begin"/>
      </w:r>
      <w:r w:rsidR="00934AC8">
        <w:instrText xml:space="preserve"> SEQ Table \* ARABIC </w:instrText>
      </w:r>
      <w:r w:rsidR="00934AC8">
        <w:fldChar w:fldCharType="separate"/>
      </w:r>
      <w:r w:rsidR="002E3D54">
        <w:rPr>
          <w:noProof/>
        </w:rPr>
        <w:t>3</w:t>
      </w:r>
      <w:r w:rsidR="00934AC8">
        <w:rPr>
          <w:noProof/>
        </w:rPr>
        <w:fldChar w:fldCharType="end"/>
      </w:r>
      <w:r>
        <w:t>. Survey of Greek Horoscopes, pp.16-75.</w:t>
      </w:r>
      <w:bookmarkEnd w:id="52"/>
      <w:bookmarkEnd w:id="53"/>
      <w:bookmarkEnd w:id="54"/>
    </w:p>
    <w:p w14:paraId="1F96D394" w14:textId="5A3D57A2" w:rsidR="00014F93" w:rsidRDefault="00B96F63" w:rsidP="00014F93">
      <w:r>
        <w:t xml:space="preserve">Table 3 demonstrates the 61 horoscopes, divided by date-time, and then grouped by similarity of remaining data. </w:t>
      </w:r>
      <w:r w:rsidR="00014F93">
        <w:t>The degradation of some of the charts varies dramatically, from almost no information recorded, to rich astrological information</w:t>
      </w:r>
      <w:r w:rsidR="00014F93">
        <w:rPr>
          <w:rStyle w:val="FootnoteReference"/>
        </w:rPr>
        <w:footnoteReference w:id="84"/>
      </w:r>
      <w:r w:rsidR="00014F93">
        <w:t xml:space="preserve">. Table </w:t>
      </w:r>
      <w:r>
        <w:t>3</w:t>
      </w:r>
      <w:r w:rsidR="00014F93">
        <w:t xml:space="preserve"> demonstrates that nine horoscopes contained no date-time information, however, due to lacunae at beginning lines, where this is usually provided, it is possible that </w:t>
      </w:r>
      <w:r w:rsidR="00F1659A">
        <w:t>additional horoscopes</w:t>
      </w:r>
      <w:r w:rsidR="0079108E">
        <w:t xml:space="preserve"> (e.g. No. 245)</w:t>
      </w:r>
      <w:r w:rsidR="00014F93">
        <w:t xml:space="preserve"> </w:t>
      </w:r>
      <w:r w:rsidR="0079108E">
        <w:t>could</w:t>
      </w:r>
      <w:r w:rsidR="00014F93">
        <w:t xml:space="preserve"> have contained this information</w:t>
      </w:r>
      <w:r w:rsidR="00014F93">
        <w:rPr>
          <w:rStyle w:val="FootnoteReference"/>
        </w:rPr>
        <w:footnoteReference w:id="85"/>
      </w:r>
      <w:r w:rsidR="00014F93">
        <w:t>.</w:t>
      </w:r>
      <w:r w:rsidR="00014F93" w:rsidRPr="00675A92">
        <w:t xml:space="preserve"> </w:t>
      </w:r>
      <w:r w:rsidR="00364770">
        <w:t>As demonstrated, the date-time is clearly evidenced</w:t>
      </w:r>
      <w:r w:rsidR="003A4039">
        <w:t>, therefore,</w:t>
      </w:r>
      <w:r w:rsidR="00364770">
        <w:t xml:space="preserve"> in at </w:t>
      </w:r>
      <w:r w:rsidR="00364770" w:rsidRPr="003A4039">
        <w:rPr>
          <w:i/>
          <w:iCs/>
        </w:rPr>
        <w:t>least</w:t>
      </w:r>
      <w:r w:rsidR="00364770">
        <w:t xml:space="preserve"> 53 of the 61 horoscopes, and therefore WSH, EH or Porphyry could have been </w:t>
      </w:r>
      <w:r w:rsidR="00E9659F">
        <w:t>calculated</w:t>
      </w:r>
      <w:r w:rsidR="00364770">
        <w:t xml:space="preserve"> for </w:t>
      </w:r>
      <w:r w:rsidR="00D5767E">
        <w:t>the vast majority of</w:t>
      </w:r>
      <w:r w:rsidR="00364770">
        <w:t xml:space="preserve"> charts (see </w:t>
      </w:r>
      <w:r w:rsidR="00364770" w:rsidRPr="00DC67F6">
        <w:rPr>
          <w:i/>
          <w:iCs/>
        </w:rPr>
        <w:t>5.3: House System Calculation</w:t>
      </w:r>
      <w:r w:rsidR="00364770">
        <w:t>).</w:t>
      </w:r>
    </w:p>
    <w:p w14:paraId="783F8E15" w14:textId="052779BA" w:rsidR="00014F93" w:rsidRPr="00E3735C" w:rsidRDefault="00053D4B" w:rsidP="00014F93">
      <w:pPr>
        <w:pStyle w:val="Heading2"/>
      </w:pPr>
      <w:bookmarkStart w:id="55" w:name="_Toc82257243"/>
      <w:bookmarkStart w:id="56" w:name="_Toc83646443"/>
      <w:r>
        <w:t>6</w:t>
      </w:r>
      <w:r w:rsidR="00014F93" w:rsidRPr="00E3735C">
        <w:t>.2</w:t>
      </w:r>
      <w:r w:rsidR="004B5B44">
        <w:t>:</w:t>
      </w:r>
      <w:r w:rsidR="00014F93" w:rsidRPr="00E3735C">
        <w:t xml:space="preserve"> Referencing Houses</w:t>
      </w:r>
      <w:bookmarkEnd w:id="56"/>
    </w:p>
    <w:p w14:paraId="393ABA1C" w14:textId="63E4659E" w:rsidR="00014F93" w:rsidRDefault="00014F93" w:rsidP="00014F93">
      <w:r>
        <w:t xml:space="preserve">Although most of the horoscopes reference some of the four angles, given that the angles have astrological </w:t>
      </w:r>
      <w:r w:rsidR="00B94036">
        <w:t>utility</w:t>
      </w:r>
      <w:r>
        <w:t xml:space="preserve"> beyond the houses, the</w:t>
      </w:r>
      <w:r w:rsidR="0061105E">
        <w:t xml:space="preserve"> reference to an angle</w:t>
      </w:r>
      <w:r>
        <w:t xml:space="preserve"> may not be meant to denote the </w:t>
      </w:r>
      <w:r w:rsidR="0061105E">
        <w:t xml:space="preserve">relevant </w:t>
      </w:r>
      <w:r>
        <w:t xml:space="preserve">house. As such, there are almost no explicit references to the houses, either by name or other forms of referring to them, with two possible exceptions: No. 95, and No. 250.1. Though both are </w:t>
      </w:r>
      <w:r w:rsidR="0071070A">
        <w:t xml:space="preserve">somewhat </w:t>
      </w:r>
      <w:r>
        <w:t>inconclusive</w:t>
      </w:r>
      <w:r w:rsidR="0071070A">
        <w:t xml:space="preserve"> when taken alone,</w:t>
      </w:r>
      <w:r w:rsidR="007C3D40">
        <w:t xml:space="preserve"> </w:t>
      </w:r>
      <w:r>
        <w:t>I will explore them briefly in turn.</w:t>
      </w:r>
    </w:p>
    <w:p w14:paraId="1D028F07" w14:textId="0F62C627" w:rsidR="00014F93" w:rsidRPr="002046E3" w:rsidRDefault="00053D4B" w:rsidP="00014F93">
      <w:pPr>
        <w:pStyle w:val="Heading3"/>
      </w:pPr>
      <w:bookmarkStart w:id="57" w:name="_Toc83646444"/>
      <w:r>
        <w:t>6</w:t>
      </w:r>
      <w:r w:rsidR="00014F93" w:rsidRPr="002046E3">
        <w:t>.</w:t>
      </w:r>
      <w:r w:rsidR="00014F93">
        <w:t>2</w:t>
      </w:r>
      <w:r w:rsidR="00014F93" w:rsidRPr="002046E3">
        <w:t>.1</w:t>
      </w:r>
      <w:r w:rsidR="00346CA1">
        <w:t xml:space="preserve">: </w:t>
      </w:r>
      <w:r w:rsidR="00014F93" w:rsidRPr="002046E3">
        <w:t>No. 95</w:t>
      </w:r>
      <w:bookmarkEnd w:id="57"/>
    </w:p>
    <w:p w14:paraId="0635C4A1" w14:textId="17764BEA" w:rsidR="00014F93" w:rsidRDefault="00014F93" w:rsidP="00014F93">
      <w:r>
        <w:t>Horoscope No. 95 is an elaborate horoscope, with accompanying astrological treatise, recorded on papyrus across six columns</w:t>
      </w:r>
      <w:r>
        <w:rPr>
          <w:rStyle w:val="FootnoteReference"/>
        </w:rPr>
        <w:footnoteReference w:id="86"/>
      </w:r>
      <w:r>
        <w:t>. The ascendant is recorded as 25º Cancer, the midheaven as 10º Aries, and Venus is described in Taurus, though the exact degree is lost</w:t>
      </w:r>
      <w:r>
        <w:rPr>
          <w:rStyle w:val="FootnoteReference"/>
        </w:rPr>
        <w:footnoteReference w:id="87"/>
      </w:r>
      <w:r>
        <w:t xml:space="preserve">. The Midheaven degree conforms precisely to the System A method described earlier (see </w:t>
      </w:r>
      <w:r>
        <w:rPr>
          <w:i/>
          <w:iCs/>
        </w:rPr>
        <w:t>5.2</w:t>
      </w:r>
      <w:r w:rsidR="004D6828">
        <w:rPr>
          <w:i/>
          <w:iCs/>
        </w:rPr>
        <w:t>:</w:t>
      </w:r>
      <w:r w:rsidRPr="0066509B">
        <w:rPr>
          <w:i/>
          <w:iCs/>
        </w:rPr>
        <w:t xml:space="preserve"> Calculation</w:t>
      </w:r>
      <w:r>
        <w:t>), and is the example J.D. North anachronistically misunderstood</w:t>
      </w:r>
      <w:r>
        <w:rPr>
          <w:rStyle w:val="FootnoteReference"/>
        </w:rPr>
        <w:footnoteReference w:id="88"/>
      </w:r>
      <w:r>
        <w:t xml:space="preserve">. </w:t>
      </w:r>
      <w:r w:rsidR="002E1A92">
        <w:t>In</w:t>
      </w:r>
      <w:r>
        <w:t xml:space="preserve"> Column III</w:t>
      </w:r>
      <w:r w:rsidR="002E1A92">
        <w:t xml:space="preserve">, Venus is translated as </w:t>
      </w:r>
      <w:r>
        <w:t xml:space="preserve">‘rising (toward) the center’, however, in a footnote </w:t>
      </w:r>
      <w:r w:rsidR="002E1A92">
        <w:t>the authors</w:t>
      </w:r>
      <w:r>
        <w:t xml:space="preserve"> noted that </w:t>
      </w:r>
    </w:p>
    <w:p w14:paraId="3F87011B" w14:textId="3333FD67" w:rsidR="00014F93" w:rsidRDefault="00014F93" w:rsidP="00805334">
      <w:pPr>
        <w:pStyle w:val="Quote"/>
      </w:pPr>
      <w:r>
        <w:t xml:space="preserve">‘The literal translation of the text “Venus rises </w:t>
      </w:r>
      <w:r w:rsidRPr="002B59B9">
        <w:rPr>
          <w:i/>
          <w:iCs/>
        </w:rPr>
        <w:t>in</w:t>
      </w:r>
      <w:r>
        <w:t xml:space="preserve"> the center” makes no sense since Venus is in the sign which precedes Midheaven’</w:t>
      </w:r>
      <w:r>
        <w:rPr>
          <w:rStyle w:val="FootnoteReference"/>
        </w:rPr>
        <w:footnoteReference w:id="89"/>
      </w:r>
      <w:r>
        <w:t xml:space="preserve">. </w:t>
      </w:r>
    </w:p>
    <w:p w14:paraId="39424259" w14:textId="56EAD83F" w:rsidR="00014F93" w:rsidRDefault="00335BB7" w:rsidP="00335BB7">
      <w:r>
        <w:t xml:space="preserve">That the authors assume </w:t>
      </w:r>
      <w:r w:rsidRPr="00335BB7">
        <w:rPr>
          <w:i/>
          <w:iCs/>
        </w:rPr>
        <w:t>a priori</w:t>
      </w:r>
      <w:r>
        <w:t xml:space="preserve"> that the ‘center’ must be the 10</w:t>
      </w:r>
      <w:r w:rsidRPr="00335BB7">
        <w:rPr>
          <w:vertAlign w:val="superscript"/>
        </w:rPr>
        <w:t>th</w:t>
      </w:r>
      <w:r>
        <w:t xml:space="preserve"> sign</w:t>
      </w:r>
      <w:r w:rsidR="0029045C">
        <w:t>, and so Venus, in the 11</w:t>
      </w:r>
      <w:r w:rsidR="0029045C" w:rsidRPr="0029045C">
        <w:rPr>
          <w:vertAlign w:val="superscript"/>
        </w:rPr>
        <w:t>th</w:t>
      </w:r>
      <w:r w:rsidR="0029045C">
        <w:t xml:space="preserve"> sign could not be in the centre,</w:t>
      </w:r>
      <w:r>
        <w:t xml:space="preserve"> is evidence of an assumed WSH</w:t>
      </w:r>
      <w:r w:rsidR="00E0216F">
        <w:t xml:space="preserve"> (see </w:t>
      </w:r>
      <w:r w:rsidR="00E0216F" w:rsidRPr="00E0216F">
        <w:rPr>
          <w:i/>
          <w:iCs/>
        </w:rPr>
        <w:t>4.2.2: In Academia</w:t>
      </w:r>
      <w:r w:rsidR="00E0216F">
        <w:t>)</w:t>
      </w:r>
      <w:r>
        <w:t>.</w:t>
      </w:r>
      <w:r w:rsidR="00014F93">
        <w:t xml:space="preserve"> However, if the text is correct</w:t>
      </w:r>
      <w:r w:rsidR="00040E80">
        <w:t>,</w:t>
      </w:r>
      <w:r w:rsidR="00014F93">
        <w:t xml:space="preserve"> then provided Venus was in the first 15º</w:t>
      </w:r>
      <w:r w:rsidR="0029045C">
        <w:t xml:space="preserve"> of Taurus, then Venus could</w:t>
      </w:r>
      <w:r w:rsidR="00CA597E">
        <w:t xml:space="preserve"> indeed</w:t>
      </w:r>
      <w:r w:rsidR="0029045C">
        <w:t xml:space="preserve"> be </w:t>
      </w:r>
      <w:r w:rsidR="00014F93">
        <w:t>‘in the center’</w:t>
      </w:r>
      <w:r w:rsidR="0029045C">
        <w:t xml:space="preserve"> for a quadrant house system like Porphyry</w:t>
      </w:r>
      <w:r w:rsidR="00014F93">
        <w:t xml:space="preserve">. </w:t>
      </w:r>
      <w:r w:rsidR="00A9529D">
        <w:t xml:space="preserve">The literal translation, therefore, suggests that a quadrant-division was used, which the authors of GH </w:t>
      </w:r>
      <w:r w:rsidR="00672F20">
        <w:t>may have missed</w:t>
      </w:r>
      <w:r w:rsidR="00A9529D">
        <w:t xml:space="preserve"> by assuming WSH </w:t>
      </w:r>
      <w:r w:rsidR="00A9529D" w:rsidRPr="00A9529D">
        <w:rPr>
          <w:i/>
          <w:iCs/>
        </w:rPr>
        <w:t>a priori</w:t>
      </w:r>
      <w:r w:rsidR="00A9529D">
        <w:t>.</w:t>
      </w:r>
    </w:p>
    <w:p w14:paraId="3DF82C7F" w14:textId="7EC24FA7" w:rsidR="00014F93" w:rsidRPr="002046E3" w:rsidRDefault="00053D4B" w:rsidP="00014F93">
      <w:pPr>
        <w:pStyle w:val="Heading3"/>
      </w:pPr>
      <w:bookmarkStart w:id="58" w:name="_Toc82257244"/>
      <w:bookmarkStart w:id="59" w:name="_Toc83646445"/>
      <w:bookmarkEnd w:id="55"/>
      <w:r>
        <w:t>6</w:t>
      </w:r>
      <w:r w:rsidR="00014F93" w:rsidRPr="002046E3">
        <w:t>.</w:t>
      </w:r>
      <w:r w:rsidR="00DD4E79">
        <w:t>2</w:t>
      </w:r>
      <w:r w:rsidR="00014F93" w:rsidRPr="002046E3">
        <w:t>.</w:t>
      </w:r>
      <w:r w:rsidR="00014F93">
        <w:t>2</w:t>
      </w:r>
      <w:r w:rsidR="00901538">
        <w:t>:</w:t>
      </w:r>
      <w:r w:rsidR="00014F93" w:rsidRPr="002046E3">
        <w:t xml:space="preserve"> No. </w:t>
      </w:r>
      <w:r w:rsidR="00014F93">
        <w:t>250.1</w:t>
      </w:r>
      <w:bookmarkEnd w:id="58"/>
      <w:bookmarkEnd w:id="59"/>
    </w:p>
    <w:p w14:paraId="622AF808" w14:textId="68BEC93E" w:rsidR="00014F93" w:rsidRPr="00192BFF" w:rsidRDefault="00014F93" w:rsidP="00DD5719">
      <w:r>
        <w:t>Horoscope No. 250.1 is a piece of</w:t>
      </w:r>
      <w:r w:rsidR="005C15CC">
        <w:t xml:space="preserve"> plaster</w:t>
      </w:r>
      <w:r>
        <w:t xml:space="preserve"> graffiti </w:t>
      </w:r>
      <w:r w:rsidR="005C15CC">
        <w:t xml:space="preserve">found </w:t>
      </w:r>
      <w:r>
        <w:t>in Dura</w:t>
      </w:r>
      <w:r>
        <w:rPr>
          <w:rStyle w:val="FootnoteReference"/>
        </w:rPr>
        <w:footnoteReference w:id="90"/>
      </w:r>
      <w:r>
        <w:t>.</w:t>
      </w:r>
      <w:r w:rsidR="005C15CC">
        <w:t xml:space="preserve"> Whilst Neugebauer and Van Hoesen</w:t>
      </w:r>
      <w:r>
        <w:t xml:space="preserve"> </w:t>
      </w:r>
      <w:r w:rsidR="005C15CC">
        <w:t>did not translate the Greek sketches, they noted that</w:t>
      </w:r>
      <w:r>
        <w:t xml:space="preserve"> Jupiter was in Gemini, and the Sun in Capricorn</w:t>
      </w:r>
      <w:r w:rsidR="005C15CC">
        <w:t xml:space="preserve"> and described </w:t>
      </w:r>
      <w:r>
        <w:t>the graffiti as ‘a circle is drawn with two diameters roughly at 45º and 135º with respect to the horizontal direction’, the vertical line likely denoting the meridian</w:t>
      </w:r>
      <w:r w:rsidR="005C15CC">
        <w:t xml:space="preserve">, similar to other </w:t>
      </w:r>
      <w:r w:rsidR="00CB5C80">
        <w:t>graffiti</w:t>
      </w:r>
      <w:r w:rsidR="005C15CC">
        <w:t xml:space="preserve"> examples in Dura</w:t>
      </w:r>
      <w:r>
        <w:rPr>
          <w:rStyle w:val="FootnoteReference"/>
        </w:rPr>
        <w:footnoteReference w:id="91"/>
      </w:r>
      <w:r>
        <w:t xml:space="preserve">. </w:t>
      </w:r>
      <w:r w:rsidR="005D1403">
        <w:t>If there is additional evidence in the recorded Greek, the translations are not provided, and so I am unqualified to comment more either way. However, t</w:t>
      </w:r>
      <w:r w:rsidR="00C45E25">
        <w:t>he meridian at an oblique angle suggests</w:t>
      </w:r>
      <w:r>
        <w:t xml:space="preserve"> that Midheaven is not imagined to be positioned in the WSH 10</w:t>
      </w:r>
      <w:r w:rsidRPr="00DE0EB1">
        <w:rPr>
          <w:vertAlign w:val="superscript"/>
        </w:rPr>
        <w:t>th</w:t>
      </w:r>
      <w:r>
        <w:t xml:space="preserve"> House, which would be perpendicular to the horizon</w:t>
      </w:r>
      <w:r w:rsidR="00992F25">
        <w:t>, and so suggests that the Midheaven is imagined as being in another house, which might suggest a quadrant division</w:t>
      </w:r>
      <w:r w:rsidR="00CE6E67">
        <w:t xml:space="preserve"> was used</w:t>
      </w:r>
      <w:r>
        <w:t xml:space="preserve">. However, </w:t>
      </w:r>
      <w:r w:rsidR="00992F25">
        <w:t xml:space="preserve">as the Midheaven has utility outside of house system calculation, this argument is inconclusive. </w:t>
      </w:r>
    </w:p>
    <w:p w14:paraId="4C60F201" w14:textId="26FF1E81" w:rsidR="00DD5719" w:rsidRPr="00DD5719" w:rsidRDefault="00DD5719" w:rsidP="00DD5719">
      <w:pPr>
        <w:pStyle w:val="Heading2"/>
      </w:pPr>
      <w:bookmarkStart w:id="60" w:name="_Toc83646446"/>
      <w:r w:rsidRPr="00DD5719">
        <w:t>6.4: House System in Greek Horoscopes</w:t>
      </w:r>
      <w:bookmarkEnd w:id="60"/>
    </w:p>
    <w:p w14:paraId="257A24BF" w14:textId="2E0F03FD" w:rsidR="00014F93" w:rsidRDefault="00DD5719" w:rsidP="00014F93">
      <w:r>
        <w:t xml:space="preserve">Not a single horoscope </w:t>
      </w:r>
      <w:r w:rsidR="00286353">
        <w:t xml:space="preserve">in GH </w:t>
      </w:r>
      <w:r>
        <w:t xml:space="preserve">defined WSH, nor referred to any house which might indicate WSH in the ‘original documents’, in fact, there is little evidence of any house system at all, and the clearest indication of a house system would suggest a quadrant division. </w:t>
      </w:r>
      <w:r w:rsidR="00014F93">
        <w:t>Like North, Brennan noted the paucity of horoscopes that recorded a degree for the Ascendant or Midheaven</w:t>
      </w:r>
      <w:r w:rsidR="00C45E25">
        <w:t>, both in GH and elsewhere</w:t>
      </w:r>
      <w:r w:rsidR="00014F93">
        <w:t xml:space="preserve">, and concluded that  </w:t>
      </w:r>
    </w:p>
    <w:p w14:paraId="59E0850F" w14:textId="76B19349" w:rsidR="00014F93" w:rsidRDefault="00014F93" w:rsidP="00014F93">
      <w:pPr>
        <w:pStyle w:val="Quote"/>
      </w:pPr>
      <w:r>
        <w:t>‘</w:t>
      </w:r>
      <w:r w:rsidRPr="00CF0012">
        <w:t>neither the degree of the Ascendant nor the degree of the meridian were recorded</w:t>
      </w:r>
      <w:r>
        <w:t>…</w:t>
      </w:r>
      <w:r w:rsidRPr="00CF0012">
        <w:t>Therefore, only whole sign houses could have been used in the vast majority of standalone horoscopes</w:t>
      </w:r>
      <w:r>
        <w:t>’</w:t>
      </w:r>
      <w:r>
        <w:rPr>
          <w:rStyle w:val="FootnoteReference"/>
        </w:rPr>
        <w:footnoteReference w:id="92"/>
      </w:r>
      <w:r w:rsidRPr="00CF0012">
        <w:t>.</w:t>
      </w:r>
    </w:p>
    <w:p w14:paraId="3266ADB9" w14:textId="382D966A" w:rsidR="00D37A90" w:rsidRPr="00D37A90" w:rsidRDefault="00D37A90" w:rsidP="00D37A90">
      <w:r>
        <w:t>Of course, this conclusion is unfounded as the vast majority of horoscopes do contain the date and time, which is all that’s required to calculate the</w:t>
      </w:r>
      <w:r w:rsidR="00B91D74">
        <w:t xml:space="preserve"> relevant degrees so other house systems </w:t>
      </w:r>
      <w:r w:rsidR="00B91D74" w:rsidRPr="00B91D74">
        <w:rPr>
          <w:i/>
          <w:iCs/>
        </w:rPr>
        <w:t>could</w:t>
      </w:r>
      <w:r w:rsidR="00B91D74">
        <w:t xml:space="preserve"> have been used,</w:t>
      </w:r>
      <w:r>
        <w:t xml:space="preserve"> however, as there’s so little evidence for any house system, the examples cited by Holden in GH leave the matter inconclusive without the context of literary sources. </w:t>
      </w:r>
      <w:r w:rsidR="002916BA">
        <w:t>If the planets were expected to be plotted in a degree-based house system, however, then the planets’ degree would need to be known, and in the vast majority of horoscopes it is not. Therefore, evidence for the use of WSH in GH as cited by Holden is lacking, and some tentative evidence exists which suggests the use of a quadrant-based division instead, with the strongest evidence for WSH inferred solely from the absence of planetary degrees, and not from the absence of degrees of the Ascendant and Midheaven such as Brennan and others</w:t>
      </w:r>
      <w:r w:rsidR="00692F75">
        <w:t xml:space="preserve"> conclude</w:t>
      </w:r>
      <w:r w:rsidR="00130D9D">
        <w:t>d</w:t>
      </w:r>
      <w:r w:rsidR="002916BA">
        <w:t xml:space="preserve">. </w:t>
      </w:r>
      <w:r w:rsidR="006626B3">
        <w:t>What house system ancient astrologers used, then, is not evidenced in GH</w:t>
      </w:r>
      <w:r w:rsidR="00584F8B">
        <w:t xml:space="preserve"> </w:t>
      </w:r>
      <w:r w:rsidR="006626B3">
        <w:t>and requires examination of the literary sources</w:t>
      </w:r>
      <w:r w:rsidR="00A91382">
        <w:t xml:space="preserve"> instead</w:t>
      </w:r>
      <w:r w:rsidR="006626B3">
        <w:t>.</w:t>
      </w:r>
    </w:p>
    <w:p w14:paraId="78CD9AA7" w14:textId="77777777" w:rsidR="00F06678" w:rsidRDefault="00F06678" w:rsidP="00F06678">
      <w:pPr>
        <w:pStyle w:val="Heading1"/>
      </w:pPr>
      <w:bookmarkStart w:id="61" w:name="_Toc82183524"/>
      <w:bookmarkStart w:id="62" w:name="_Toc82250392"/>
      <w:bookmarkStart w:id="63" w:name="_Toc83646447"/>
      <w:r>
        <w:t xml:space="preserve">Chapter 7: </w:t>
      </w:r>
      <w:bookmarkEnd w:id="61"/>
      <w:r>
        <w:t>Literary Sources</w:t>
      </w:r>
      <w:bookmarkEnd w:id="63"/>
    </w:p>
    <w:p w14:paraId="02B301CA" w14:textId="5A9A4C38" w:rsidR="00F06678" w:rsidRDefault="00F06678" w:rsidP="00F06678">
      <w:r>
        <w:t xml:space="preserve">As it’s impossible to cover all the literary sources, I will limit myself chiefly to Marcus Manilius, as the earliest </w:t>
      </w:r>
      <w:r w:rsidR="00C87A9C">
        <w:t xml:space="preserve">intact </w:t>
      </w:r>
      <w:r w:rsidR="00C753BF">
        <w:t>source</w:t>
      </w:r>
      <w:r>
        <w:t xml:space="preserve"> of houses, and Vettius Valens as the most prevalent source of literary horoscopes, and will touch only briefly on other authors</w:t>
      </w:r>
      <w:r w:rsidR="00500400">
        <w:t xml:space="preserve"> such as Ptolemy and Firmicus Maternus</w:t>
      </w:r>
      <w:r>
        <w:t>.</w:t>
      </w:r>
    </w:p>
    <w:p w14:paraId="28586572" w14:textId="77777777" w:rsidR="00F06678" w:rsidRDefault="00F06678" w:rsidP="00F06678">
      <w:pPr>
        <w:pStyle w:val="Heading2"/>
      </w:pPr>
      <w:bookmarkStart w:id="64" w:name="_Toc82183525"/>
      <w:bookmarkStart w:id="65" w:name="_Toc83646448"/>
      <w:r>
        <w:t>7.1: Marcus Manilius</w:t>
      </w:r>
      <w:bookmarkEnd w:id="64"/>
      <w:bookmarkEnd w:id="65"/>
    </w:p>
    <w:bookmarkEnd w:id="62"/>
    <w:p w14:paraId="62388FB2" w14:textId="227375FC" w:rsidR="00F06678" w:rsidRDefault="00F06678" w:rsidP="00F06678">
      <w:r>
        <w:t xml:space="preserve">The </w:t>
      </w:r>
      <w:r w:rsidRPr="007A68A3">
        <w:rPr>
          <w:i/>
          <w:iCs/>
        </w:rPr>
        <w:t>Astronomica</w:t>
      </w:r>
      <w:r>
        <w:t xml:space="preserve"> by Marcus Manilius, translated by G.P. Goold, is a first century CE Latin didactic poem, and considered the first intact work to record a house system</w:t>
      </w:r>
      <w:r>
        <w:rPr>
          <w:rStyle w:val="FootnoteReference"/>
        </w:rPr>
        <w:footnoteReference w:id="93"/>
      </w:r>
      <w:r>
        <w:t xml:space="preserve">. </w:t>
      </w:r>
      <w:r w:rsidR="00B345C4">
        <w:t xml:space="preserve">The </w:t>
      </w:r>
      <w:r w:rsidR="00B345C4" w:rsidRPr="007A68A3">
        <w:rPr>
          <w:i/>
          <w:iCs/>
        </w:rPr>
        <w:t>Astronomica</w:t>
      </w:r>
      <w:r w:rsidR="00B345C4">
        <w:t xml:space="preserve"> is split into five books, which cover astronomical information required to understand the various astrological treatments. </w:t>
      </w:r>
      <w:r>
        <w:t>Didactic poems, such as this, were designed to inform or teach an imagined student, rather than merely tell a story, and although not exhaustive, were the norm for conveying technical information</w:t>
      </w:r>
      <w:r>
        <w:rPr>
          <w:rStyle w:val="FootnoteReference"/>
        </w:rPr>
        <w:footnoteReference w:id="94"/>
      </w:r>
      <w:r>
        <w:t>. As a comparison, Aratus’s astronomical text was likewise a didactic poem, and was ‘</w:t>
      </w:r>
      <w:r w:rsidRPr="00F12D63">
        <w:t>used as a school text</w:t>
      </w:r>
      <w:r>
        <w:t xml:space="preserve">’ right </w:t>
      </w:r>
      <w:r w:rsidRPr="00F12D63">
        <w:t>up to the Middle Ages</w:t>
      </w:r>
      <w:r>
        <w:t>, demonstrating that Manilius was following in a tradition where poetry was a vehicle for astronomical education</w:t>
      </w:r>
      <w:r w:rsidR="004B2D66">
        <w:t>, and should not be anachronistically contrasted with modern poetry</w:t>
      </w:r>
      <w:r w:rsidR="00DA12CF">
        <w:t xml:space="preserve"> as </w:t>
      </w:r>
      <w:r w:rsidR="00EC5D05">
        <w:t>chiefly</w:t>
      </w:r>
      <w:r w:rsidR="00DA12CF">
        <w:t xml:space="preserve"> artistic</w:t>
      </w:r>
      <w:r>
        <w:rPr>
          <w:rStyle w:val="FootnoteReference"/>
        </w:rPr>
        <w:footnoteReference w:id="95"/>
      </w:r>
      <w:r>
        <w:t>.</w:t>
      </w:r>
      <w:r w:rsidR="00F456E0">
        <w:t xml:space="preserve"> Manilius gave most of </w:t>
      </w:r>
      <w:r w:rsidR="003B305D">
        <w:t xml:space="preserve">the </w:t>
      </w:r>
      <w:r w:rsidR="00F456E0">
        <w:t>astronomical information required in Book I, and introduced his definition of the houses in Book II, and defined the four angles in both books.</w:t>
      </w:r>
    </w:p>
    <w:p w14:paraId="2EED82DF" w14:textId="3A96DA49" w:rsidR="00F06678" w:rsidRPr="008F1687" w:rsidRDefault="00F06678" w:rsidP="00F06678">
      <w:pPr>
        <w:pStyle w:val="Heading3"/>
      </w:pPr>
      <w:bookmarkStart w:id="66" w:name="_Toc83646449"/>
      <w:r>
        <w:t>7</w:t>
      </w:r>
      <w:r w:rsidRPr="008F1687">
        <w:t>.1.1</w:t>
      </w:r>
      <w:r w:rsidR="00F442EA">
        <w:t>:</w:t>
      </w:r>
      <w:r w:rsidRPr="008F1687">
        <w:t xml:space="preserve"> Manilius</w:t>
      </w:r>
      <w:r>
        <w:t xml:space="preserve"> and</w:t>
      </w:r>
      <w:r w:rsidRPr="008F1687">
        <w:t xml:space="preserve"> Angles</w:t>
      </w:r>
      <w:r>
        <w:t>/Cardines</w:t>
      </w:r>
      <w:bookmarkEnd w:id="66"/>
    </w:p>
    <w:p w14:paraId="6F079487" w14:textId="3C380166" w:rsidR="00DD714B" w:rsidRDefault="009A5DB0" w:rsidP="00F06678">
      <w:r>
        <w:t>In Book II, Manilius defines all the four angles which he described as ‘</w:t>
      </w:r>
      <w:r w:rsidRPr="00EA423C">
        <w:t>four in all, they have positions in the firmament permanently fixed and receive in succession the speeding signs</w:t>
      </w:r>
      <w:r>
        <w:t>’, in other words the four angles are fixed and receive the Zodiac as it passes through them, and so the Zodiac is imagined as separate from the angles</w:t>
      </w:r>
      <w:r>
        <w:rPr>
          <w:rStyle w:val="FootnoteReference"/>
        </w:rPr>
        <w:footnoteReference w:id="96"/>
      </w:r>
      <w:r>
        <w:t>.</w:t>
      </w:r>
      <w:r w:rsidR="00DD714B">
        <w:t xml:space="preserve"> </w:t>
      </w:r>
      <w:r w:rsidR="00F06678">
        <w:t>In Book I, Manilius defined the meridian</w:t>
      </w:r>
      <w:r w:rsidR="00DD714B">
        <w:t xml:space="preserve"> as</w:t>
      </w:r>
    </w:p>
    <w:p w14:paraId="038EA56A" w14:textId="77777777" w:rsidR="00DD714B" w:rsidRDefault="00DD714B" w:rsidP="00DD714B">
      <w:pPr>
        <w:pStyle w:val="Quote"/>
      </w:pPr>
      <w:r w:rsidRPr="004E0B12">
        <w:t>starting from the northern pole, cuts the sky in the middle and divides the day into two, determines the sixth hour and beholds at equal distances sunrise and sunset’</w:t>
      </w:r>
      <w:r>
        <w:rPr>
          <w:rStyle w:val="FootnoteReference"/>
        </w:rPr>
        <w:footnoteReference w:id="97"/>
      </w:r>
      <w:r w:rsidRPr="004E0B12">
        <w:t xml:space="preserve">. </w:t>
      </w:r>
    </w:p>
    <w:p w14:paraId="68C26B5E" w14:textId="5891DC51" w:rsidR="00F06678" w:rsidRDefault="00DD714B" w:rsidP="00F06678">
      <w:r>
        <w:t xml:space="preserve">Notably the meridian here is described both spatially and temporally as the midpoint between sunrise and sunset, and this angle is demarcating the sixth </w:t>
      </w:r>
      <w:r w:rsidR="00A77297">
        <w:t xml:space="preserve">seasonal </w:t>
      </w:r>
      <w:r>
        <w:t xml:space="preserve">hour, demonstrating that it was conceived of as a point, and not, say a Zodiac sign. </w:t>
      </w:r>
      <w:r w:rsidR="00E91EDE">
        <w:t>Likewise, i</w:t>
      </w:r>
      <w:r w:rsidR="00F06678">
        <w:t>n Book II, Manilius described one of the angles</w:t>
      </w:r>
      <w:r w:rsidR="002D1CA1">
        <w:t xml:space="preserve"> </w:t>
      </w:r>
      <w:r w:rsidR="000F03CA">
        <w:t xml:space="preserve">with poetic, but </w:t>
      </w:r>
      <w:r w:rsidR="00FB1282">
        <w:t>astronomically</w:t>
      </w:r>
      <w:r w:rsidR="000F03CA">
        <w:t xml:space="preserve"> accurate, descriptions</w:t>
      </w:r>
      <w:r w:rsidR="00F06678">
        <w:t xml:space="preserve"> as </w:t>
      </w:r>
    </w:p>
    <w:p w14:paraId="059DE47F" w14:textId="77777777" w:rsidR="00F06678" w:rsidRDefault="00F06678" w:rsidP="00F06678">
      <w:pPr>
        <w:pStyle w:val="Quote"/>
      </w:pPr>
      <w:r>
        <w:t>‘</w:t>
      </w:r>
      <w:r w:rsidRPr="00903393">
        <w:t>the zenith of high heaven, where wearied Phoebus halts with panting steeds and rests the day and determines the mid-point of shadows</w:t>
      </w:r>
      <w:r>
        <w:t>’</w:t>
      </w:r>
      <w:r>
        <w:rPr>
          <w:rStyle w:val="FootnoteReference"/>
        </w:rPr>
        <w:footnoteReference w:id="98"/>
      </w:r>
      <w:r>
        <w:t>.</w:t>
      </w:r>
    </w:p>
    <w:p w14:paraId="15538C78" w14:textId="75985449" w:rsidR="00F06678" w:rsidRDefault="00C8752A" w:rsidP="00F06678">
      <w:r>
        <w:t xml:space="preserve">When the Sun (Phoebus), reaches the midheaven, it is considered high noon, which is the mid-point of shadows, and so the angle in question is clearly the astronomical midheaven, </w:t>
      </w:r>
      <w:r w:rsidR="002B3CF6">
        <w:t>when</w:t>
      </w:r>
      <w:r w:rsidR="00A90045">
        <w:t xml:space="preserve"> </w:t>
      </w:r>
      <w:r w:rsidR="002B3CF6">
        <w:t>the Sun is at</w:t>
      </w:r>
      <w:r>
        <w:t xml:space="preserve"> the meridian. </w:t>
      </w:r>
      <w:r w:rsidR="00161C04">
        <w:t>Manilius’s use of ‘zenith’ here is not technically accurate</w:t>
      </w:r>
      <w:r w:rsidR="00520825">
        <w:t>, and I will explore this briefly later to examine what impact this may have</w:t>
      </w:r>
      <w:r w:rsidR="0003066D">
        <w:t xml:space="preserve"> (see </w:t>
      </w:r>
      <w:r w:rsidR="0003066D" w:rsidRPr="0003066D">
        <w:rPr>
          <w:i/>
          <w:iCs/>
        </w:rPr>
        <w:t>7.1.3: Manilius and ‘Zenith’</w:t>
      </w:r>
      <w:r w:rsidR="0003066D">
        <w:t>)</w:t>
      </w:r>
      <w:r w:rsidR="00161C04">
        <w:t xml:space="preserve">. </w:t>
      </w:r>
      <w:r w:rsidR="00F06678">
        <w:t>Whilst both Manilius</w:t>
      </w:r>
      <w:r w:rsidR="00FB1282">
        <w:t>,</w:t>
      </w:r>
      <w:r w:rsidR="00F06678">
        <w:t xml:space="preserve"> and Goold’s translation</w:t>
      </w:r>
      <w:r w:rsidR="00FB1282">
        <w:t>,</w:t>
      </w:r>
      <w:r w:rsidR="00F06678">
        <w:t xml:space="preserve"> have been criticised for the loose usage of ‘zenith’ </w:t>
      </w:r>
      <w:r w:rsidR="004F5770">
        <w:t>in this sentence</w:t>
      </w:r>
      <w:r w:rsidR="00F06678">
        <w:t xml:space="preserve">, in both cases Manilius is clearly describing high noon and so the ‘angle’ here </w:t>
      </w:r>
      <w:r w:rsidR="00F12887">
        <w:t>must b</w:t>
      </w:r>
      <w:r w:rsidR="009222EB">
        <w:t xml:space="preserve">y necessity be </w:t>
      </w:r>
      <w:r w:rsidR="00F06678">
        <w:t>the midheaven degree</w:t>
      </w:r>
      <w:r w:rsidR="00F06678">
        <w:rPr>
          <w:rStyle w:val="FootnoteReference"/>
        </w:rPr>
        <w:footnoteReference w:id="99"/>
      </w:r>
      <w:r w:rsidR="00F06678">
        <w:t>. Manliius says of the angles in Book II that they ‘receive the circle sign after sign in succession’, and the Zodiac ‘</w:t>
      </w:r>
      <w:r w:rsidR="00F06678" w:rsidRPr="004278E8">
        <w:t>is totally held in position by them as by eternal supports</w:t>
      </w:r>
      <w:r w:rsidR="00F06678">
        <w:t xml:space="preserve">’ demonstrating again that the angles are points, and not Zodiac signs, and that these points are separate from, and receive, the Zodiac, and so </w:t>
      </w:r>
      <w:r w:rsidR="004942FE">
        <w:t>cannot be</w:t>
      </w:r>
      <w:r w:rsidR="00F06678">
        <w:t xml:space="preserve"> the relevant WSH houses. </w:t>
      </w:r>
      <w:r w:rsidR="00B875E5">
        <w:t>Manilius</w:t>
      </w:r>
      <w:r w:rsidR="000D5977">
        <w:t>’s</w:t>
      </w:r>
      <w:r w:rsidR="00B875E5">
        <w:t xml:space="preserve"> angles, therefore, are not part of the Zodiac, and the Midheaven in particular is imagined not as the 10</w:t>
      </w:r>
      <w:r w:rsidR="00B875E5" w:rsidRPr="00B875E5">
        <w:rPr>
          <w:vertAlign w:val="superscript"/>
        </w:rPr>
        <w:t>th</w:t>
      </w:r>
      <w:r w:rsidR="00B875E5">
        <w:t xml:space="preserve"> Zodiac sign, but derived from the meridian itself.</w:t>
      </w:r>
    </w:p>
    <w:p w14:paraId="41409124" w14:textId="26A7D982" w:rsidR="00F06678" w:rsidRDefault="00B46DA4" w:rsidP="00F06678">
      <w:pPr>
        <w:pStyle w:val="Heading3"/>
      </w:pPr>
      <w:bookmarkStart w:id="67" w:name="_Toc82183527"/>
      <w:bookmarkStart w:id="68" w:name="_Toc83646450"/>
      <w:r>
        <w:t>7</w:t>
      </w:r>
      <w:r w:rsidR="00F06678" w:rsidRPr="008F1687">
        <w:t>.1.</w:t>
      </w:r>
      <w:r w:rsidR="00F06678">
        <w:t>2</w:t>
      </w:r>
      <w:r w:rsidR="003132F0">
        <w:t>:</w:t>
      </w:r>
      <w:r w:rsidR="00F06678" w:rsidRPr="008F1687">
        <w:t xml:space="preserve"> </w:t>
      </w:r>
      <w:r w:rsidR="00F06678">
        <w:t>Manilius and Quadrant Houses</w:t>
      </w:r>
      <w:bookmarkEnd w:id="67"/>
      <w:bookmarkEnd w:id="68"/>
    </w:p>
    <w:p w14:paraId="650CD8BC" w14:textId="2C18AF89" w:rsidR="00F06678" w:rsidRDefault="00F06678" w:rsidP="00F06678">
      <w:r>
        <w:t>Goold regularly translated the ‘loci’, or houses, as ‘temples’</w:t>
      </w:r>
      <w:r>
        <w:rPr>
          <w:rStyle w:val="FootnoteReference"/>
        </w:rPr>
        <w:footnoteReference w:id="100"/>
      </w:r>
      <w:r>
        <w:t>. Manilius introduced the houses saying that ‘</w:t>
      </w:r>
      <w:r w:rsidRPr="00DF7710">
        <w:t>In any geniture every sign is affected by the sky</w:t>
      </w:r>
      <w:r>
        <w:t>’</w:t>
      </w:r>
      <w:r w:rsidRPr="00DF7710">
        <w:t>s division into temples</w:t>
      </w:r>
      <w:r>
        <w:t>…</w:t>
      </w:r>
      <w:r w:rsidRPr="002412BD">
        <w:t>each of the signs, as it revolves, receives the influences of heaven and to heaven imparts its own</w:t>
      </w:r>
      <w:r>
        <w:t>’, suggesting that, like his description of the four angles earlier, the Zodiac signs</w:t>
      </w:r>
      <w:r w:rsidR="006B6E96">
        <w:t xml:space="preserve"> </w:t>
      </w:r>
      <w:r w:rsidR="006B6E96" w:rsidRPr="006B6E96">
        <w:rPr>
          <w:i/>
          <w:iCs/>
        </w:rPr>
        <w:t>also</w:t>
      </w:r>
      <w:r>
        <w:t xml:space="preserve"> pass through the houses, </w:t>
      </w:r>
      <w:r w:rsidR="006111ED">
        <w:t xml:space="preserve">which are imagined as stationary, </w:t>
      </w:r>
      <w:r>
        <w:t xml:space="preserve">with </w:t>
      </w:r>
      <w:r w:rsidR="006B6E96">
        <w:t>a given</w:t>
      </w:r>
      <w:r>
        <w:t xml:space="preserve"> sign influencing </w:t>
      </w:r>
      <w:r w:rsidR="006B6E96">
        <w:t>a</w:t>
      </w:r>
      <w:r>
        <w:t xml:space="preserve"> house, and the house </w:t>
      </w:r>
      <w:r w:rsidR="00D55F81">
        <w:t xml:space="preserve">likewise </w:t>
      </w:r>
      <w:r>
        <w:t>influencing the sign.</w:t>
      </w:r>
      <w:r>
        <w:rPr>
          <w:rStyle w:val="FootnoteReference"/>
        </w:rPr>
        <w:footnoteReference w:id="101"/>
      </w:r>
      <w:r>
        <w:t xml:space="preserve"> </w:t>
      </w:r>
    </w:p>
    <w:p w14:paraId="38E38927" w14:textId="5A78457E" w:rsidR="00F06678" w:rsidRDefault="00F06678" w:rsidP="00F06678">
      <w:r>
        <w:t>Manilius then described the twelve houses, mostly in relation to one of the angles</w:t>
      </w:r>
      <w:r w:rsidR="00484FE4">
        <w:t xml:space="preserve">, which, as per his </w:t>
      </w:r>
      <w:r w:rsidR="00240B09">
        <w:t>definitions</w:t>
      </w:r>
      <w:r w:rsidR="00484FE4">
        <w:t>, are not Zodiac signs, but astronomical points</w:t>
      </w:r>
      <w:r>
        <w:rPr>
          <w:rStyle w:val="FootnoteReference"/>
        </w:rPr>
        <w:footnoteReference w:id="102"/>
      </w:r>
      <w:r>
        <w:t>. His descriptions of the 9</w:t>
      </w:r>
      <w:r w:rsidRPr="00A66C70">
        <w:rPr>
          <w:vertAlign w:val="superscript"/>
        </w:rPr>
        <w:t>th</w:t>
      </w:r>
      <w:r>
        <w:t xml:space="preserve"> and 10</w:t>
      </w:r>
      <w:r w:rsidRPr="00A66C70">
        <w:rPr>
          <w:vertAlign w:val="superscript"/>
        </w:rPr>
        <w:t>th</w:t>
      </w:r>
      <w:r>
        <w:t xml:space="preserve"> Houses </w:t>
      </w:r>
      <w:r w:rsidR="00BA7B58">
        <w:t>demonstrate this clearly.</w:t>
      </w:r>
      <w:r>
        <w:t xml:space="preserve"> He defined the 9</w:t>
      </w:r>
      <w:r w:rsidRPr="00DB1B45">
        <w:rPr>
          <w:vertAlign w:val="superscript"/>
        </w:rPr>
        <w:t>th</w:t>
      </w:r>
      <w:r>
        <w:t xml:space="preserve"> house as ‘</w:t>
      </w:r>
      <w:r w:rsidRPr="00A66C70">
        <w:t>The stars that follow midday, where the height of heaven first slopes downward and bows from the summit</w:t>
      </w:r>
      <w:r>
        <w:t xml:space="preserve">’, where the use of ‘midday’ again is reminiscent of high noon, which he introduced when describing the </w:t>
      </w:r>
      <w:r w:rsidR="0025724B">
        <w:t>M</w:t>
      </w:r>
      <w:r>
        <w:t xml:space="preserve">idheaven </w:t>
      </w:r>
      <w:r w:rsidR="0025724B">
        <w:t>degree</w:t>
      </w:r>
      <w:r w:rsidRPr="0096590E">
        <w:rPr>
          <w:rStyle w:val="FootnoteReference"/>
        </w:rPr>
        <w:footnoteReference w:id="103"/>
      </w:r>
      <w:r w:rsidRPr="0096590E">
        <w:t xml:space="preserve">. </w:t>
      </w:r>
      <w:r>
        <w:t>The 10</w:t>
      </w:r>
      <w:r w:rsidRPr="00D61480">
        <w:rPr>
          <w:vertAlign w:val="superscript"/>
        </w:rPr>
        <w:t>th</w:t>
      </w:r>
      <w:r>
        <w:t xml:space="preserve"> house </w:t>
      </w:r>
      <w:r w:rsidR="00723F37">
        <w:t xml:space="preserve">is likewise </w:t>
      </w:r>
      <w:r>
        <w:t>described as being where ‘</w:t>
      </w:r>
      <w:r w:rsidRPr="00B93E65">
        <w:t>the downward slope makes its beginning, and the summit towers midway between orient and occident</w:t>
      </w:r>
      <w:r>
        <w:t>’, again making it clear that he is describing the meridian, evoking similar imagery as when he introduced that angle.</w:t>
      </w:r>
      <w:r>
        <w:rPr>
          <w:rStyle w:val="FootnoteReference"/>
        </w:rPr>
        <w:footnoteReference w:id="104"/>
      </w:r>
      <w:r>
        <w:t xml:space="preserve"> Without doubt then, Manilius in every instance of describing the houses does so in relation to the four angular points he had already described and defined, which were</w:t>
      </w:r>
      <w:r w:rsidR="00FA5AB5">
        <w:t xml:space="preserve"> astronomical points, separate from the Zodiac, and not therefore the Zodiac signs themselves.</w:t>
      </w:r>
    </w:p>
    <w:p w14:paraId="0C116361" w14:textId="0193F66C" w:rsidR="00F06678" w:rsidRDefault="00F06678" w:rsidP="00F06678">
      <w:r>
        <w:t>Manilius is clearly describing a house system, and not an additional overlay of the kind that Schmidt described for Porphyry, as he named several of the houses roughly, though not exactly, following Greek antecedents, such as describing the 3</w:t>
      </w:r>
      <w:r>
        <w:rPr>
          <w:vertAlign w:val="superscript"/>
        </w:rPr>
        <w:t>rd</w:t>
      </w:r>
      <w:r>
        <w:t xml:space="preserve"> house as “</w:t>
      </w:r>
      <w:r w:rsidRPr="00CF5386">
        <w:t>Goddess</w:t>
      </w:r>
      <w:r>
        <w:t>”</w:t>
      </w:r>
      <w:r>
        <w:rPr>
          <w:rStyle w:val="FootnoteReference"/>
        </w:rPr>
        <w:footnoteReference w:id="105"/>
      </w:r>
      <w:r>
        <w:t xml:space="preserve">. In cases where Manilius deviated from the Greek norm, Greenbaum has considered Manilius may be </w:t>
      </w:r>
      <w:r w:rsidR="006F65BD">
        <w:t>following</w:t>
      </w:r>
      <w:r>
        <w:t xml:space="preserve"> Egyptian antecedents</w:t>
      </w:r>
      <w:r w:rsidR="00D12CBD">
        <w:t>, though is clear that Manilius is nevertheless describing the 12 houses</w:t>
      </w:r>
      <w:r>
        <w:rPr>
          <w:rStyle w:val="FootnoteReference"/>
        </w:rPr>
        <w:footnoteReference w:id="106"/>
      </w:r>
      <w:r>
        <w:t xml:space="preserve">. </w:t>
      </w:r>
      <w:r w:rsidR="003025A4">
        <w:t>Manilius concluded his treatment of houses describing them as he did the angles, with the Zodiac moving through them and co-influencing one another as they did, but clearly described as stationary and separate from the Zodiac, and not therefore determined by the Zodiac, saying</w:t>
      </w:r>
    </w:p>
    <w:p w14:paraId="121E3B49" w14:textId="77777777" w:rsidR="00F06678" w:rsidRDefault="00F06678" w:rsidP="00F06678">
      <w:pPr>
        <w:pStyle w:val="Quote"/>
      </w:pPr>
      <w:r>
        <w:t>‘t</w:t>
      </w:r>
      <w:r w:rsidRPr="00FF2F15">
        <w:t>his is the system by which you must mark the powers of the temples: through them revolves the entire procession of the zodiac, which draws from them their laws and lends to them its own</w:t>
      </w:r>
      <w:r>
        <w:t>’</w:t>
      </w:r>
      <w:r>
        <w:rPr>
          <w:rStyle w:val="FootnoteReference"/>
        </w:rPr>
        <w:footnoteReference w:id="107"/>
      </w:r>
      <w:r>
        <w:t>.</w:t>
      </w:r>
    </w:p>
    <w:p w14:paraId="2CD51818" w14:textId="631D24C5" w:rsidR="00F06678" w:rsidRDefault="00F06678" w:rsidP="00F06678">
      <w:r>
        <w:t>As these houses are explicitly and repeatedly defined from the angular points, and not Zodiacal signs Manilius cannot be describing a system of Whole Sign Houses here, but must be describing some quadrant form of house division derived from the angular degrees.</w:t>
      </w:r>
      <w:r w:rsidR="000F4031">
        <w:t xml:space="preserve"> The earliest intact treatment of houses, therefore, is clearly describing a quadrant division, and, by definition, cannot be describing WSH, </w:t>
      </w:r>
      <w:r w:rsidR="0038382F">
        <w:t>which may contradict</w:t>
      </w:r>
      <w:r w:rsidR="000F4031">
        <w:t xml:space="preserve"> Holden’s and Schmidt’s argument that WSH is the earliest system of houses.</w:t>
      </w:r>
    </w:p>
    <w:p w14:paraId="060A0985" w14:textId="30296ECD" w:rsidR="00F06678" w:rsidRDefault="00986B30" w:rsidP="00F06678">
      <w:pPr>
        <w:pStyle w:val="Heading3"/>
      </w:pPr>
      <w:bookmarkStart w:id="69" w:name="_Toc82183528"/>
      <w:bookmarkStart w:id="70" w:name="_Toc83646451"/>
      <w:r>
        <w:t>7</w:t>
      </w:r>
      <w:r w:rsidR="00F06678">
        <w:t>.1.</w:t>
      </w:r>
      <w:r>
        <w:t>3</w:t>
      </w:r>
      <w:r w:rsidR="00ED4DDD">
        <w:t>:</w:t>
      </w:r>
      <w:r w:rsidR="00F06678">
        <w:t xml:space="preserve"> Manilius, Signs and Houses</w:t>
      </w:r>
      <w:bookmarkEnd w:id="69"/>
      <w:bookmarkEnd w:id="70"/>
    </w:p>
    <w:p w14:paraId="4A1BDAA7" w14:textId="4085DC56" w:rsidR="00F06678" w:rsidRDefault="00F06678" w:rsidP="00F06678">
      <w:r>
        <w:t>In Book III, Manilius returned to the topic of the houses, nearly always referring them again to angles, and not Zodiac signs</w:t>
      </w:r>
      <w:r>
        <w:rPr>
          <w:rStyle w:val="FootnoteReference"/>
        </w:rPr>
        <w:footnoteReference w:id="108"/>
      </w:r>
      <w:r>
        <w:t>. However</w:t>
      </w:r>
      <w:r w:rsidR="00CB27E1">
        <w:t>, in one section</w:t>
      </w:r>
      <w:r>
        <w:t xml:space="preserve"> Manilius described the 11</w:t>
      </w:r>
      <w:r w:rsidRPr="00AB0BD2">
        <w:rPr>
          <w:vertAlign w:val="superscript"/>
        </w:rPr>
        <w:t>th</w:t>
      </w:r>
      <w:r>
        <w:t xml:space="preserve"> House as ‘the temple which is separated by one intervening sign from the first sign rising at the culminating point’, and this definition of the house by reference to a sign </w:t>
      </w:r>
      <w:r w:rsidR="004A4D0D">
        <w:t>might be argued to</w:t>
      </w:r>
      <w:r>
        <w:t xml:space="preserve"> indicate </w:t>
      </w:r>
      <w:r w:rsidR="004A4D0D">
        <w:t xml:space="preserve">either </w:t>
      </w:r>
      <w:r>
        <w:t xml:space="preserve">WSH or EH. However, given that in the majority of cases, even in a quadrant division, each house would overlap a different sign, this may just have been a generalising comment by Manilius, especially as he was still referencing the cardinal points first and foremost, and so WSH or EH would be astronomically precluded from such a description. </w:t>
      </w:r>
    </w:p>
    <w:p w14:paraId="1F1111C9" w14:textId="6A06D159" w:rsidR="00B25A96" w:rsidRPr="008F1687" w:rsidRDefault="00B25A96" w:rsidP="00B25A96">
      <w:pPr>
        <w:pStyle w:val="Heading3"/>
      </w:pPr>
      <w:bookmarkStart w:id="71" w:name="_Toc83646452"/>
      <w:r>
        <w:t>7</w:t>
      </w:r>
      <w:r w:rsidRPr="008F1687">
        <w:t>.1.</w:t>
      </w:r>
      <w:r>
        <w:t>3:</w:t>
      </w:r>
      <w:r w:rsidRPr="008F1687">
        <w:t xml:space="preserve"> Manilius</w:t>
      </w:r>
      <w:r>
        <w:t xml:space="preserve"> and</w:t>
      </w:r>
      <w:r w:rsidRPr="008F1687">
        <w:t xml:space="preserve"> </w:t>
      </w:r>
      <w:r>
        <w:t>‘Zenith’</w:t>
      </w:r>
      <w:bookmarkEnd w:id="71"/>
    </w:p>
    <w:p w14:paraId="1C8899FA" w14:textId="299879C7" w:rsidR="00440A78" w:rsidRDefault="00083C37" w:rsidP="00B25A96">
      <w:r>
        <w:t>In Book II, Manilius described the Midheaven angle as ‘</w:t>
      </w:r>
      <w:r w:rsidRPr="00903393">
        <w:t>the zenith of high heaven</w:t>
      </w:r>
      <w:r>
        <w:t>’</w:t>
      </w:r>
      <w:r w:rsidR="008D2911">
        <w:t xml:space="preserve">, </w:t>
      </w:r>
      <w:r w:rsidR="00250616">
        <w:t>which is not astronomically accurate</w:t>
      </w:r>
      <w:r>
        <w:rPr>
          <w:rStyle w:val="FootnoteReference"/>
        </w:rPr>
        <w:footnoteReference w:id="109"/>
      </w:r>
      <w:r>
        <w:t>.</w:t>
      </w:r>
      <w:r w:rsidR="00ED2FFC">
        <w:t xml:space="preserve"> Brennan</w:t>
      </w:r>
      <w:r w:rsidR="00250616">
        <w:t xml:space="preserve"> </w:t>
      </w:r>
      <w:r w:rsidR="00ED2FFC">
        <w:t>noted that this misuse of ‘zenith’ by Manilius ‘</w:t>
      </w:r>
      <w:r w:rsidR="00ED2FFC" w:rsidRPr="00ED2FFC">
        <w:t>has important implications for understanding how Manilius describes the houses</w:t>
      </w:r>
      <w:r w:rsidR="00ED2FFC">
        <w:t>’</w:t>
      </w:r>
      <w:r w:rsidR="00250616">
        <w:t>, and so</w:t>
      </w:r>
      <w:r w:rsidR="00A05355">
        <w:t xml:space="preserve"> </w:t>
      </w:r>
      <w:r w:rsidR="00250616">
        <w:t>I will examine it briefly</w:t>
      </w:r>
      <w:r w:rsidR="00ED2FFC">
        <w:rPr>
          <w:rStyle w:val="FootnoteReference"/>
        </w:rPr>
        <w:footnoteReference w:id="110"/>
      </w:r>
      <w:r w:rsidR="00ED2FFC">
        <w:t>.</w:t>
      </w:r>
      <w:r w:rsidR="00A6612D">
        <w:t xml:space="preserve"> </w:t>
      </w:r>
      <w:r w:rsidR="00B25A96">
        <w:t>Pingree</w:t>
      </w:r>
      <w:r w:rsidR="00A6612D">
        <w:t xml:space="preserve">, in his </w:t>
      </w:r>
      <w:r w:rsidR="00B25A96">
        <w:t>review of Goold’s translation of Manilius, suggested that in Book I Goold mistranslated the North Pole as ‘the zenith’</w:t>
      </w:r>
      <w:r w:rsidR="00B25A96">
        <w:rPr>
          <w:rStyle w:val="FootnoteReference"/>
        </w:rPr>
        <w:footnoteReference w:id="111"/>
      </w:r>
      <w:r w:rsidR="00B25A96">
        <w:t>. Brennan picked up on this criticism by Pingree</w:t>
      </w:r>
      <w:r w:rsidR="00440A78">
        <w:t xml:space="preserve">, and, considering also Goold’s loose translation of ‘temple’, concluded that </w:t>
      </w:r>
    </w:p>
    <w:p w14:paraId="353A54AD" w14:textId="3A09861F" w:rsidR="00440A78" w:rsidRDefault="00440A78" w:rsidP="00440A78">
      <w:pPr>
        <w:pStyle w:val="Quote"/>
      </w:pPr>
      <w:r>
        <w:t>‘</w:t>
      </w:r>
      <w:r w:rsidRPr="00440A78">
        <w:t>when one reads the actual Latin verses of Manilius carefully, the language that he uses to describe the places is consistent with the other Hellenistic astrologer</w:t>
      </w:r>
      <w:r w:rsidR="00F45DB8">
        <w:t xml:space="preserve">s, </w:t>
      </w:r>
      <w:r w:rsidR="00F45DB8" w:rsidRPr="00F45DB8">
        <w:t>and he never outlines any specific method for trisecting the quadrants. As a result of this,</w:t>
      </w:r>
      <w:r w:rsidR="00F45DB8">
        <w:t xml:space="preserve"> </w:t>
      </w:r>
      <w:r w:rsidRPr="00440A78">
        <w:t>it seems likely that he followed the same approach as the other early astrologers of his era</w:t>
      </w:r>
      <w:r>
        <w:t xml:space="preserve"> </w:t>
      </w:r>
      <w:r w:rsidRPr="00440A78">
        <w:t>in using the whole sign house system</w:t>
      </w:r>
      <w:r>
        <w:t>’</w:t>
      </w:r>
      <w:r>
        <w:rPr>
          <w:rStyle w:val="FootnoteReference"/>
        </w:rPr>
        <w:footnoteReference w:id="112"/>
      </w:r>
      <w:r w:rsidRPr="00440A78">
        <w:t>.</w:t>
      </w:r>
    </w:p>
    <w:p w14:paraId="6CE41419" w14:textId="424433EE" w:rsidR="00B25A96" w:rsidRDefault="00F45DB8" w:rsidP="00B25A96">
      <w:r>
        <w:t xml:space="preserve">This suggests that Brennan has examined and translated the Latin (nobody else is credited with this examination), and based on </w:t>
      </w:r>
      <w:r w:rsidR="00C500CE">
        <w:t xml:space="preserve">his </w:t>
      </w:r>
      <w:r>
        <w:t xml:space="preserve">more accurate translation than what Goold provided, concluded that Manilius </w:t>
      </w:r>
      <w:r w:rsidR="00C500CE">
        <w:t xml:space="preserve">wasn’t trisecting the quadrants, as per Goold’s description, and was instead using WSH. </w:t>
      </w:r>
      <w:r w:rsidR="00B25A96">
        <w:t xml:space="preserve">However, Pingree </w:t>
      </w:r>
      <w:r w:rsidR="00C500CE">
        <w:t xml:space="preserve">only </w:t>
      </w:r>
      <w:r w:rsidR="00B25A96">
        <w:t xml:space="preserve">singled out one instance of Goold translating a term as ‘zenith’ in Book I, which </w:t>
      </w:r>
      <w:r w:rsidR="007B65AD">
        <w:t>should not</w:t>
      </w:r>
      <w:r w:rsidR="00B25A96">
        <w:t xml:space="preserve"> automatically suggest that every subsequent term which Goold translated as ‘zenith’ is incorrect, particularly where it comes to his subsequent description of houses in Book II. In fact, some of the confusion and overloading of terms may exist within Manilius’s work, not Goold’s translation, as A.E. Housman noted an </w:t>
      </w:r>
    </w:p>
    <w:p w14:paraId="04E3F93F" w14:textId="77777777" w:rsidR="00B25A96" w:rsidRDefault="00B25A96" w:rsidP="00B25A96">
      <w:pPr>
        <w:pStyle w:val="Quote"/>
      </w:pPr>
      <w:r w:rsidRPr="00487335">
        <w:t>‘inaccuracy is involved in the use of the terms medium caelum and imum caelum. These, in the plain sense of the words, should mean the zenith and the nadir, but they actually signify only the highest and lowest points of the zodiac, which never mount to the zenith nor sink to the nadir except between the tropics’</w:t>
      </w:r>
      <w:r>
        <w:rPr>
          <w:rStyle w:val="FootnoteReference"/>
        </w:rPr>
        <w:footnoteReference w:id="113"/>
      </w:r>
      <w:r w:rsidRPr="00487335">
        <w:t>.</w:t>
      </w:r>
    </w:p>
    <w:p w14:paraId="090EFD1E" w14:textId="6C8868FD" w:rsidR="00B25A96" w:rsidRDefault="00645826" w:rsidP="00BF2B3E">
      <w:r>
        <w:t>C</w:t>
      </w:r>
      <w:r w:rsidR="00B25A96">
        <w:t xml:space="preserve">loser examination, at least of Goold’s translation, reveals that Manilius overloaded the use of the term zenith to signify any astronomical culmination or height, suggesting a slightly less technical usage. For example, in Book III, Manilius imagined a thought experiment where one might walk </w:t>
      </w:r>
      <w:r>
        <w:t>‘</w:t>
      </w:r>
      <w:r w:rsidR="00B25A96" w:rsidRPr="00120727">
        <w:t>beneath the zenith of heaven, which the cold pole sustains with inflexible suppor</w:t>
      </w:r>
      <w:r w:rsidR="00B25A96">
        <w:t>t</w:t>
      </w:r>
      <w:r>
        <w:t>’</w:t>
      </w:r>
      <w:r w:rsidR="00B25A96">
        <w:t>, and, thus, the ‘zenith’ imagined here was the north pole rather than either the</w:t>
      </w:r>
      <w:r>
        <w:t xml:space="preserve"> Midheaven</w:t>
      </w:r>
      <w:r w:rsidR="00D5118A">
        <w:t xml:space="preserve"> </w:t>
      </w:r>
      <w:r w:rsidR="00B25A96">
        <w:t>or the astronomical zenith</w:t>
      </w:r>
      <w:r w:rsidR="00B25A96">
        <w:rPr>
          <w:rStyle w:val="FootnoteReference"/>
        </w:rPr>
        <w:footnoteReference w:id="114"/>
      </w:r>
      <w:r w:rsidR="00B25A96">
        <w:t>. Indeed, other examples can be seen throughout Book I, where zenith is used to describe the culmination of various great circles.</w:t>
      </w:r>
      <w:r w:rsidR="00B25A96">
        <w:rPr>
          <w:rStyle w:val="FootnoteReference"/>
        </w:rPr>
        <w:footnoteReference w:id="115"/>
      </w:r>
      <w:r w:rsidR="00B25A96">
        <w:t xml:space="preserve"> Although an inaccuracy by modern standards, from context it is clear that Manilius did not employ this term, at least as Goold translated it, to be the contemporary astronomical</w:t>
      </w:r>
      <w:r w:rsidR="00D5118A">
        <w:t xml:space="preserve"> understanding of ‘zenith’. </w:t>
      </w:r>
      <w:r w:rsidR="00032BFB">
        <w:t xml:space="preserve">Whether a slippage in Goold’s translation, or a problem within Manilius’s text itself, what is clear is that in Book II when Manilius is describing houses, he is </w:t>
      </w:r>
      <w:r w:rsidR="008C7D40">
        <w:t xml:space="preserve">nevertheless </w:t>
      </w:r>
      <w:r w:rsidR="00032BFB">
        <w:t>clearly describing the meridian, consistent with his earlier definitions of that angle</w:t>
      </w:r>
      <w:r w:rsidR="009813DA">
        <w:t>, and so Manilius’s house system must be a quadrant-division, and B</w:t>
      </w:r>
      <w:r w:rsidR="004B741B">
        <w:t xml:space="preserve">rennan’s </w:t>
      </w:r>
      <w:r w:rsidR="00A00027">
        <w:t>suggestion</w:t>
      </w:r>
      <w:r w:rsidR="009813DA">
        <w:t xml:space="preserve"> of </w:t>
      </w:r>
      <w:r w:rsidR="00BF2B3E">
        <w:t xml:space="preserve">WSH </w:t>
      </w:r>
      <w:r w:rsidR="009813DA">
        <w:t>is unfounded</w:t>
      </w:r>
      <w:r w:rsidR="00BF2B3E">
        <w:t>.</w:t>
      </w:r>
      <w:r w:rsidR="00032BFB">
        <w:t xml:space="preserve"> </w:t>
      </w:r>
    </w:p>
    <w:p w14:paraId="29A0205F" w14:textId="215810D0" w:rsidR="00F06678" w:rsidRDefault="00986B30" w:rsidP="00F06678">
      <w:pPr>
        <w:pStyle w:val="Heading3"/>
      </w:pPr>
      <w:bookmarkStart w:id="72" w:name="_Toc82183529"/>
      <w:bookmarkStart w:id="73" w:name="_Toc83646453"/>
      <w:r>
        <w:t>7</w:t>
      </w:r>
      <w:r w:rsidR="00F06678" w:rsidRPr="008F1687">
        <w:t>.1.</w:t>
      </w:r>
      <w:r>
        <w:t>4</w:t>
      </w:r>
      <w:r w:rsidR="00E7500D">
        <w:t>:</w:t>
      </w:r>
      <w:r w:rsidR="00F06678" w:rsidRPr="008F1687">
        <w:t xml:space="preserve"> </w:t>
      </w:r>
      <w:r w:rsidR="00F06678">
        <w:t>Manilius’s House System</w:t>
      </w:r>
      <w:bookmarkEnd w:id="72"/>
      <w:bookmarkEnd w:id="73"/>
    </w:p>
    <w:p w14:paraId="3C0D94B8" w14:textId="58E9DEC6" w:rsidR="00F06678" w:rsidRPr="00E21981" w:rsidRDefault="00F06678" w:rsidP="00D111AA">
      <w:r>
        <w:t xml:space="preserve">Prudence Jones noted </w:t>
      </w:r>
      <w:r w:rsidR="00B46FDD">
        <w:t xml:space="preserve">that </w:t>
      </w:r>
      <w:r>
        <w:t xml:space="preserve">Manilius employed visual descriptions, which appear to describe a division of the </w:t>
      </w:r>
      <w:r w:rsidR="000E5B1B">
        <w:t>p</w:t>
      </w:r>
      <w:r>
        <w:t xml:space="preserve">rime </w:t>
      </w:r>
      <w:r w:rsidR="000E5B1B">
        <w:t>v</w:t>
      </w:r>
      <w:r>
        <w:t>ertical</w:t>
      </w:r>
      <w:r w:rsidR="008E1DEF">
        <w:t>, reminiscent of Campanus houses</w:t>
      </w:r>
      <w:r w:rsidR="00225042">
        <w:rPr>
          <w:rStyle w:val="FootnoteReference"/>
        </w:rPr>
        <w:footnoteReference w:id="116"/>
      </w:r>
      <w:r w:rsidR="008E1DEF">
        <w:t xml:space="preserve">. </w:t>
      </w:r>
      <w:r w:rsidR="00322C51">
        <w:t xml:space="preserve">Campanus would indeed match this imagery of </w:t>
      </w:r>
      <w:r w:rsidR="00847851">
        <w:t>the stationary nature of the houses</w:t>
      </w:r>
      <w:r w:rsidR="00322C51">
        <w:t xml:space="preserve">, in a way that EH, WSH or Porphyry do not. </w:t>
      </w:r>
      <w:r w:rsidR="00345E81">
        <w:t>Manilius’s house system was imagined as fixed in position, framed by the angles, which the Zodiac passes through, and, in doing so, the signs and the houses co-mingle their influences. When</w:t>
      </w:r>
      <w:r>
        <w:t xml:space="preserve"> Manilius, in Book III, referred to the house as a sign, it may be </w:t>
      </w:r>
      <w:r w:rsidR="00345E81">
        <w:t xml:space="preserve">because </w:t>
      </w:r>
      <w:r w:rsidR="00322C51">
        <w:t>of this co-mingling of</w:t>
      </w:r>
      <w:r w:rsidR="00345E81">
        <w:t xml:space="preserve"> ‘influence’ </w:t>
      </w:r>
      <w:r w:rsidR="00322C51">
        <w:t>so that, for Manilius the house could be referred to as the sign, and vice versa</w:t>
      </w:r>
      <w:r>
        <w:t xml:space="preserve">. It is clear Manilius is referring to a house system, and not an overlay of strength, as he named </w:t>
      </w:r>
      <w:r w:rsidR="008C42A1">
        <w:t xml:space="preserve">and assigned topics to </w:t>
      </w:r>
      <w:r>
        <w:t xml:space="preserve">some of the houses accordingly, though perhaps employed an Egyptian as well as Greek set of antecedents when doing so. </w:t>
      </w:r>
      <w:r w:rsidR="00D111AA">
        <w:t xml:space="preserve">The fixed framework of houses, from which the Zodiac is separated, and Manilius’s repeated focus on the four angular points when describing the houses, precludes his system from being WSH or EH. </w:t>
      </w:r>
      <w:r>
        <w:t>As Manilius is the earliest example of an intact treatment of houses, i</w:t>
      </w:r>
      <w:r w:rsidR="002E0C75">
        <w:t xml:space="preserve">t is arguable </w:t>
      </w:r>
      <w:r>
        <w:t xml:space="preserve">that </w:t>
      </w:r>
      <w:r w:rsidR="000D769C">
        <w:t xml:space="preserve">if there was an original </w:t>
      </w:r>
      <w:r>
        <w:t>treatment of houses</w:t>
      </w:r>
      <w:r w:rsidR="000D769C">
        <w:t>, it</w:t>
      </w:r>
      <w:r>
        <w:t xml:space="preserve"> was a quadrant division</w:t>
      </w:r>
      <w:r w:rsidR="000D769C">
        <w:t>, and not WSH</w:t>
      </w:r>
      <w:r w:rsidR="00132A43">
        <w:t>, and if Jones is correct, then it may be Campanus</w:t>
      </w:r>
      <w:r w:rsidR="000D769C">
        <w:t>.</w:t>
      </w:r>
    </w:p>
    <w:p w14:paraId="3C91CFF2" w14:textId="14D84B7C" w:rsidR="008F6736" w:rsidRDefault="00D5487F" w:rsidP="008F6736">
      <w:pPr>
        <w:pStyle w:val="Heading2"/>
      </w:pPr>
      <w:bookmarkStart w:id="74" w:name="_Toc82183530"/>
      <w:bookmarkStart w:id="75" w:name="_Toc83646454"/>
      <w:r>
        <w:t>7</w:t>
      </w:r>
      <w:r w:rsidR="008F6736">
        <w:t>.2: Vettius Valens</w:t>
      </w:r>
      <w:bookmarkEnd w:id="74"/>
      <w:bookmarkEnd w:id="75"/>
    </w:p>
    <w:p w14:paraId="40E348F6" w14:textId="77777777" w:rsidR="008F6736" w:rsidRDefault="008F6736" w:rsidP="008F6736">
      <w:r>
        <w:rPr>
          <w:i/>
          <w:iCs/>
        </w:rPr>
        <w:t xml:space="preserve">The </w:t>
      </w:r>
      <w:r w:rsidRPr="000C1761">
        <w:rPr>
          <w:i/>
          <w:iCs/>
        </w:rPr>
        <w:t>Antholog</w:t>
      </w:r>
      <w:r>
        <w:rPr>
          <w:i/>
          <w:iCs/>
        </w:rPr>
        <w:t>y</w:t>
      </w:r>
      <w:r>
        <w:t xml:space="preserve"> is a collection of nine books by Vettius Valens which was written in the second century CE, and contains the majority of intact literary horoscopes from the Hellenistic era</w:t>
      </w:r>
      <w:r>
        <w:rPr>
          <w:rStyle w:val="FootnoteReference"/>
        </w:rPr>
        <w:footnoteReference w:id="117"/>
      </w:r>
      <w:r>
        <w:t>. Project Hindsight released a preliminary series of English translations of the first seven books, whilst the classicist Mark Riley released a preliminary translation of all nine</w:t>
      </w:r>
      <w:r>
        <w:rPr>
          <w:rStyle w:val="FootnoteReference"/>
        </w:rPr>
        <w:footnoteReference w:id="118"/>
      </w:r>
      <w:r>
        <w:t xml:space="preserve">. Valens introduced or described the twelve houses more than once and arguably described three systems, which I will examine in turn: WSH, EH, and Porphyry.  </w:t>
      </w:r>
    </w:p>
    <w:p w14:paraId="6A72DB3C" w14:textId="39472C1E" w:rsidR="008F6736" w:rsidRDefault="00D5487F" w:rsidP="008F6736">
      <w:pPr>
        <w:pStyle w:val="Heading3"/>
      </w:pPr>
      <w:bookmarkStart w:id="76" w:name="_Toc82183531"/>
      <w:bookmarkStart w:id="77" w:name="_Toc83646455"/>
      <w:r>
        <w:t>7</w:t>
      </w:r>
      <w:r w:rsidR="008F6736">
        <w:t xml:space="preserve">.2.1: </w:t>
      </w:r>
      <w:r w:rsidR="008157BE">
        <w:t xml:space="preserve">Valens and </w:t>
      </w:r>
      <w:r w:rsidR="008F6736">
        <w:t>Whole Sign House</w:t>
      </w:r>
      <w:bookmarkEnd w:id="76"/>
      <w:r w:rsidR="008F6736">
        <w:t>s</w:t>
      </w:r>
      <w:bookmarkEnd w:id="77"/>
      <w:r w:rsidR="008F6736">
        <w:t xml:space="preserve"> </w:t>
      </w:r>
    </w:p>
    <w:p w14:paraId="53516CC7" w14:textId="49E2A7D9" w:rsidR="008F6736" w:rsidRDefault="008F6736" w:rsidP="008F6736">
      <w:r>
        <w:t>Valens often referred to a given house by the sign it overlaps. For example, in Book II, Valens referred to the 11</w:t>
      </w:r>
      <w:r w:rsidRPr="00C259B7">
        <w:rPr>
          <w:vertAlign w:val="superscript"/>
        </w:rPr>
        <w:t>th</w:t>
      </w:r>
      <w:r>
        <w:t xml:space="preserve"> House as ‘</w:t>
      </w:r>
      <w:r w:rsidRPr="00085CF8">
        <w:t>the Sign of the Good Daimo</w:t>
      </w:r>
      <w:r>
        <w:t>n’, suggesting the house itself is being referred to by the equivalent sign, which is clearly descriptive of WSH</w:t>
      </w:r>
      <w:r>
        <w:rPr>
          <w:rStyle w:val="FootnoteReference"/>
        </w:rPr>
        <w:footnoteReference w:id="119"/>
      </w:r>
      <w:r>
        <w:t>. Greenbaum cited Hand, as stating that all of Valens’s chart examples employ WSH, and certainly this is evident in the vast majority of examples Valens provided</w:t>
      </w:r>
      <w:r>
        <w:rPr>
          <w:rStyle w:val="FootnoteReference"/>
        </w:rPr>
        <w:footnoteReference w:id="120"/>
      </w:r>
      <w:r>
        <w:t xml:space="preserve">. Valens, therefore, clearly employed WSH in his examples. Despite this inference, Valens never </w:t>
      </w:r>
      <w:r w:rsidR="00980313">
        <w:t xml:space="preserve">advocated, nor </w:t>
      </w:r>
      <w:r>
        <w:t>explicitly defined</w:t>
      </w:r>
      <w:r w:rsidR="00980313">
        <w:t>,</w:t>
      </w:r>
      <w:r>
        <w:t xml:space="preserve"> WSH anywhere in his work.</w:t>
      </w:r>
    </w:p>
    <w:p w14:paraId="75C70247" w14:textId="7A7457E2" w:rsidR="008F6736" w:rsidRDefault="00533DC9" w:rsidP="008F6736">
      <w:pPr>
        <w:pStyle w:val="Heading3"/>
      </w:pPr>
      <w:bookmarkStart w:id="78" w:name="_Toc82183532"/>
      <w:bookmarkStart w:id="79" w:name="_Toc83646456"/>
      <w:r>
        <w:t>7</w:t>
      </w:r>
      <w:r w:rsidR="008F6736">
        <w:t>.2.</w:t>
      </w:r>
      <w:r>
        <w:t>2</w:t>
      </w:r>
      <w:r w:rsidR="008F6736">
        <w:t xml:space="preserve">: </w:t>
      </w:r>
      <w:r w:rsidR="008157BE">
        <w:t xml:space="preserve">Valens and </w:t>
      </w:r>
      <w:r w:rsidR="008F6736">
        <w:t>Equal Houses</w:t>
      </w:r>
      <w:bookmarkEnd w:id="78"/>
      <w:bookmarkEnd w:id="79"/>
    </w:p>
    <w:p w14:paraId="6EAF64E3" w14:textId="51EB8FC1" w:rsidR="008F6736" w:rsidRDefault="008F6736" w:rsidP="008F6736">
      <w:r>
        <w:t>In Book IX Valens re-introduced the twelve houses</w:t>
      </w:r>
      <w:r w:rsidR="00EE72B5">
        <w:t xml:space="preserve">, and how to calculate them, saying </w:t>
      </w:r>
    </w:p>
    <w:p w14:paraId="59BE457C" w14:textId="77777777" w:rsidR="008F6736" w:rsidRDefault="008F6736" w:rsidP="008F6736">
      <w:pPr>
        <w:pStyle w:val="Quote"/>
      </w:pPr>
      <w:r>
        <w:t>‘</w:t>
      </w:r>
      <w:r w:rsidRPr="00E457A6">
        <w:t>count from whatever point has been determined to be the Ascendant until you have completed the 30° of the first Place; this will be the Place of Life. Then proceed until you have completed another 30°, the Place of Livelihood. Continue in the order of signs. Often two Places will fall in one sign and will indicate both qualities according to the number of degrees each one occupies</w:t>
      </w:r>
      <w:r>
        <w:t>…</w:t>
      </w:r>
      <w:r w:rsidRPr="00E457A6">
        <w:t xml:space="preserve"> If it is calculated that each Place exactly corresponds to each sign in the chart as a whole (a circumstance which is rare), then the native will be involved in confinement, violence, and entangling affairs</w:t>
      </w:r>
      <w:r>
        <w:rPr>
          <w:rStyle w:val="FootnoteReference"/>
        </w:rPr>
        <w:footnoteReference w:id="121"/>
      </w:r>
      <w:r w:rsidRPr="00E457A6">
        <w:t>.</w:t>
      </w:r>
    </w:p>
    <w:p w14:paraId="737C8AF9" w14:textId="2E6F5DFE" w:rsidR="008F6736" w:rsidRDefault="008F6736" w:rsidP="008F6736">
      <w:r>
        <w:t xml:space="preserve">This description is clearly a description of EH, </w:t>
      </w:r>
      <w:r w:rsidR="00957FDA">
        <w:t>not WSH, whilst exact sign-house overlap such as WSH is associated with calamity</w:t>
      </w:r>
      <w:r w:rsidR="00CB2202">
        <w:t>, and certainly isn’t described as preferable</w:t>
      </w:r>
      <w:r>
        <w:t>. Riley described EH as the system which ‘matches Valens’, suggesting that Riley understood EH to be Valens’s preferred system</w:t>
      </w:r>
      <w:r>
        <w:rPr>
          <w:rStyle w:val="FootnoteReference"/>
        </w:rPr>
        <w:footnoteReference w:id="122"/>
      </w:r>
      <w:r>
        <w:t xml:space="preserve">. </w:t>
      </w:r>
      <w:r w:rsidR="00F0328B">
        <w:t>Given WSH might be imagined as effectively EH without degrees, i</w:t>
      </w:r>
      <w:r w:rsidR="007974A6">
        <w:t xml:space="preserve">t </w:t>
      </w:r>
      <w:r>
        <w:t xml:space="preserve">is </w:t>
      </w:r>
      <w:r w:rsidR="00EA0303">
        <w:t>arguable</w:t>
      </w:r>
      <w:r>
        <w:t xml:space="preserve"> that Valens’s WSH examples are just an accident of pedagogy, with degrees removed for simplicity of teaching, especially as Valens described his audience as young students</w:t>
      </w:r>
      <w:r>
        <w:rPr>
          <w:rStyle w:val="FootnoteReference"/>
        </w:rPr>
        <w:footnoteReference w:id="123"/>
      </w:r>
      <w:r>
        <w:t>. Schmidt, on the other hand, imagined that Valens employed both EH and WSH in tandem</w:t>
      </w:r>
      <w:r w:rsidR="008A7A6A">
        <w:t xml:space="preserve">, and believed this treatment </w:t>
      </w:r>
      <w:r w:rsidR="00F90628">
        <w:t xml:space="preserve">of EH </w:t>
      </w:r>
      <w:r w:rsidR="008A7A6A">
        <w:t>was written late in Valens’s life</w:t>
      </w:r>
      <w:r w:rsidR="008A7A6A">
        <w:rPr>
          <w:rStyle w:val="FootnoteReference"/>
        </w:rPr>
        <w:t xml:space="preserve"> </w:t>
      </w:r>
      <w:r>
        <w:rPr>
          <w:rStyle w:val="FootnoteReference"/>
        </w:rPr>
        <w:footnoteReference w:id="124"/>
      </w:r>
      <w:r>
        <w:t>. Riley</w:t>
      </w:r>
      <w:r w:rsidR="008A7A6A">
        <w:t>, however,</w:t>
      </w:r>
      <w:r>
        <w:t xml:space="preserve"> noted that Valens rewrote sections of his work, and that Book IX could be viewed as a series of notes or fragments which might belong to earlier chapters, </w:t>
      </w:r>
      <w:r w:rsidR="008A7A6A">
        <w:t xml:space="preserve">so arguably </w:t>
      </w:r>
      <w:r w:rsidR="000E445F">
        <w:t>this treatment was meant to be included in earlier chapters, as part of his rewrite</w:t>
      </w:r>
      <w:r>
        <w:rPr>
          <w:rStyle w:val="FootnoteReference"/>
        </w:rPr>
        <w:footnoteReference w:id="125"/>
      </w:r>
      <w:r>
        <w:t xml:space="preserve">. Whether EH is Valens’s intended system, or whether used in tandem with WSH, the EH system is the only unambiguous example of a house system that Valens </w:t>
      </w:r>
      <w:r w:rsidR="0058462D">
        <w:t xml:space="preserve">both </w:t>
      </w:r>
      <w:r>
        <w:t>described</w:t>
      </w:r>
      <w:r w:rsidR="0058462D">
        <w:t xml:space="preserve"> and advocated</w:t>
      </w:r>
      <w:r>
        <w:t>.</w:t>
      </w:r>
    </w:p>
    <w:p w14:paraId="0BEC6600" w14:textId="57261478" w:rsidR="008F6736" w:rsidRDefault="00533DC9" w:rsidP="008F6736">
      <w:pPr>
        <w:pStyle w:val="Heading3"/>
      </w:pPr>
      <w:bookmarkStart w:id="80" w:name="_Toc82183533"/>
      <w:bookmarkStart w:id="81" w:name="_Toc83646457"/>
      <w:r>
        <w:t>7</w:t>
      </w:r>
      <w:r w:rsidR="008F6736">
        <w:t xml:space="preserve">.2.3: </w:t>
      </w:r>
      <w:r w:rsidR="003F70EC">
        <w:t xml:space="preserve">Valens and </w:t>
      </w:r>
      <w:r w:rsidR="008F6736">
        <w:t>Quadrant Houses</w:t>
      </w:r>
      <w:bookmarkEnd w:id="80"/>
      <w:bookmarkEnd w:id="81"/>
    </w:p>
    <w:p w14:paraId="0711C513" w14:textId="480BE289" w:rsidR="008F6736" w:rsidRDefault="008F6736" w:rsidP="008F6736">
      <w:r>
        <w:t>In Book III, Valens described Porphyry divisions to ascertain ‘operative’/powerful regions of the horoscope</w:t>
      </w:r>
      <w:r>
        <w:rPr>
          <w:rStyle w:val="FootnoteReference"/>
        </w:rPr>
        <w:footnoteReference w:id="126"/>
      </w:r>
      <w:r>
        <w:t xml:space="preserve">. </w:t>
      </w:r>
      <w:r w:rsidR="00743164">
        <w:t xml:space="preserve">However, </w:t>
      </w:r>
      <w:r>
        <w:t>Schmidt and Hand both concluded that these divisions were employed to determine strength only, as topics were not assigned to them</w:t>
      </w:r>
      <w:r>
        <w:rPr>
          <w:rStyle w:val="FootnoteReference"/>
        </w:rPr>
        <w:footnoteReference w:id="127"/>
      </w:r>
      <w:r>
        <w:t xml:space="preserve">. Schmidt </w:t>
      </w:r>
      <w:r w:rsidR="000706A6">
        <w:t>deduced</w:t>
      </w:r>
      <w:r>
        <w:t xml:space="preserve"> that </w:t>
      </w:r>
      <w:r w:rsidR="000706A6">
        <w:t xml:space="preserve">Valens’s use </w:t>
      </w:r>
      <w:r>
        <w:t>of Porphyry was</w:t>
      </w:r>
      <w:r w:rsidR="008F6C99">
        <w:t xml:space="preserve"> therefore</w:t>
      </w:r>
      <w:r>
        <w:t xml:space="preserve"> not ‘</w:t>
      </w:r>
      <w:r w:rsidRPr="000F6C69">
        <w:t>a house-system in the proper sense</w:t>
      </w:r>
      <w:r>
        <w:t>’, implicitly defining a house system as requiring topical association to be ‘proper’</w:t>
      </w:r>
      <w:r>
        <w:rPr>
          <w:rStyle w:val="FootnoteReference"/>
        </w:rPr>
        <w:footnoteReference w:id="128"/>
      </w:r>
      <w:r>
        <w:t xml:space="preserve">. However, this assertion by Schmidt does not appear to be evidenced in </w:t>
      </w:r>
      <w:r w:rsidR="00730B37">
        <w:t>his</w:t>
      </w:r>
      <w:r>
        <w:t xml:space="preserve"> translated text:</w:t>
      </w:r>
    </w:p>
    <w:p w14:paraId="4FC230C9" w14:textId="77777777" w:rsidR="008F6736" w:rsidRDefault="008F6736" w:rsidP="008F6736">
      <w:pPr>
        <w:pStyle w:val="Quote"/>
      </w:pPr>
      <w:r>
        <w:t>‘</w:t>
      </w:r>
      <w:r w:rsidRPr="004A624D">
        <w:t xml:space="preserve">It is also necessary to [suppose the </w:t>
      </w:r>
      <w:r>
        <w:t>first</w:t>
      </w:r>
      <w:r w:rsidRPr="004A624D">
        <w:t xml:space="preserve"> </w:t>
      </w:r>
      <w:r>
        <w:t>1/3</w:t>
      </w:r>
      <w:r w:rsidRPr="004A624D">
        <w:t xml:space="preserve"> part] from the degree of the Midheaven and in the pivo</w:t>
      </w:r>
      <w:r>
        <w:t>t</w:t>
      </w:r>
      <w:r w:rsidRPr="004A624D">
        <w:t>al order [to</w:t>
      </w:r>
      <w:r>
        <w:t xml:space="preserve"> </w:t>
      </w:r>
      <w:r w:rsidRPr="004A624D">
        <w:t xml:space="preserve">be profitable]; another </w:t>
      </w:r>
      <w:r>
        <w:t>1/3</w:t>
      </w:r>
      <w:r w:rsidRPr="004A624D">
        <w:t>, that of the post-ascension [to be middling (as it was also named Good Spirit by the ancien</w:t>
      </w:r>
      <w:r>
        <w:t>t</w:t>
      </w:r>
      <w:r w:rsidRPr="004A624D">
        <w:t>s)</w:t>
      </w:r>
      <w:r>
        <w:t>]</w:t>
      </w:r>
      <w:r>
        <w:rPr>
          <w:rStyle w:val="FootnoteReference"/>
        </w:rPr>
        <w:footnoteReference w:id="129"/>
      </w:r>
      <w:r>
        <w:t>.</w:t>
      </w:r>
    </w:p>
    <w:p w14:paraId="35097E34" w14:textId="77777777" w:rsidR="00526630" w:rsidRDefault="008F6736" w:rsidP="008F6736">
      <w:r>
        <w:t>Good Spirit is the name given to the 11</w:t>
      </w:r>
      <w:r w:rsidRPr="004A624D">
        <w:rPr>
          <w:vertAlign w:val="superscript"/>
        </w:rPr>
        <w:t>th</w:t>
      </w:r>
      <w:r>
        <w:t xml:space="preserve"> House, and </w:t>
      </w:r>
      <w:r w:rsidR="00CE5128">
        <w:t xml:space="preserve">that </w:t>
      </w:r>
      <w:r>
        <w:t>Valens indicated that one of the divisions should be named accordingly,</w:t>
      </w:r>
      <w:r w:rsidR="00DE7573">
        <w:t xml:space="preserve"> suggests the 11</w:t>
      </w:r>
      <w:r w:rsidR="00DE7573" w:rsidRPr="00DE7573">
        <w:rPr>
          <w:vertAlign w:val="superscript"/>
        </w:rPr>
        <w:t>th</w:t>
      </w:r>
      <w:r w:rsidR="00DE7573">
        <w:t xml:space="preserve"> Porphyry division was assigned topical association after all</w:t>
      </w:r>
      <w:r>
        <w:t>. It is possible that Schmidt understood Valens to be suggesting the ‘middling’ quality is as a result of the underlying influence of the beneficial WSH 11</w:t>
      </w:r>
      <w:r w:rsidRPr="004A624D">
        <w:rPr>
          <w:vertAlign w:val="superscript"/>
        </w:rPr>
        <w:t>th</w:t>
      </w:r>
      <w:r>
        <w:t xml:space="preserve"> House, however, this theory breaks down </w:t>
      </w:r>
      <w:r w:rsidR="00F16159">
        <w:t>if, as Valens advised, this is</w:t>
      </w:r>
      <w:r>
        <w:t xml:space="preserve"> applied to other quadrants, as the 8</w:t>
      </w:r>
      <w:r w:rsidRPr="004A624D">
        <w:rPr>
          <w:vertAlign w:val="superscript"/>
        </w:rPr>
        <w:t>th</w:t>
      </w:r>
      <w:r>
        <w:t xml:space="preserve"> House would also be middling, despite being an ‘inactive’ rather than beneficial house</w:t>
      </w:r>
      <w:r>
        <w:rPr>
          <w:rStyle w:val="FootnoteReference"/>
        </w:rPr>
        <w:footnoteReference w:id="130"/>
      </w:r>
      <w:r>
        <w:t>. Hand, in a footnote accompanying this translation, noted that ‘</w:t>
      </w:r>
      <w:r w:rsidRPr="004A624D">
        <w:t>Good Spirit, Evil Spirit, God, Goddess, etc. were used for both types of houses</w:t>
      </w:r>
      <w:r>
        <w:t xml:space="preserve">’, suggesting that Hand, unlike Schmidt, did see this division as </w:t>
      </w:r>
      <w:r w:rsidR="00166D39">
        <w:t xml:space="preserve">assigning topics, and explicitly referred to it as </w:t>
      </w:r>
      <w:r>
        <w:t>a house system</w:t>
      </w:r>
      <w:r>
        <w:rPr>
          <w:rStyle w:val="FootnoteReference"/>
        </w:rPr>
        <w:footnoteReference w:id="131"/>
      </w:r>
      <w:r w:rsidR="00166D39">
        <w:t>.</w:t>
      </w:r>
      <w:r>
        <w:t xml:space="preserve"> Nevertheless, a few years later Hand, when referencing this section, suggested that Valens ‘</w:t>
      </w:r>
      <w:r w:rsidRPr="0070479D">
        <w:t>says nothing about the signification, i.e., what part of life each place rules</w:t>
      </w:r>
      <w:r>
        <w:t xml:space="preserve">’, despite his earlier footnote to the contrary. </w:t>
      </w:r>
    </w:p>
    <w:p w14:paraId="67D6626A" w14:textId="6D5FC33E" w:rsidR="008F6736" w:rsidRDefault="00063FE8" w:rsidP="008F6736">
      <w:r>
        <w:t xml:space="preserve">Valens, according to Riley’s translation, concluded this section with </w:t>
      </w:r>
      <w:r w:rsidR="008F6736">
        <w:t>‘</w:t>
      </w:r>
      <w:r w:rsidR="008F6736" w:rsidRPr="004A624D">
        <w:t>The Places in opposition to these will have the same force</w:t>
      </w:r>
      <w:r w:rsidR="008F6736">
        <w:t>’, which Schmidt translated as ‘</w:t>
      </w:r>
      <w:r w:rsidR="008F6736" w:rsidRPr="004A624D">
        <w:t>The diameters of these give their support in a similar fashion</w:t>
      </w:r>
      <w:r w:rsidR="008F6736">
        <w:t>’</w:t>
      </w:r>
      <w:r w:rsidR="008F6736">
        <w:rPr>
          <w:rStyle w:val="FootnoteReference"/>
        </w:rPr>
        <w:footnoteReference w:id="132"/>
      </w:r>
      <w:r w:rsidR="008F6736">
        <w:t xml:space="preserve">. If Riley’s translation is accurate, the reference to ‘Places’ removes all doubt of Valens’s intentions, but if not, it </w:t>
      </w:r>
      <w:r w:rsidR="00BD3EEA">
        <w:t xml:space="preserve">at least </w:t>
      </w:r>
      <w:r w:rsidR="008F6736">
        <w:t>demonstrates that Riley, like Hand originally, understood Valens to be describing houses here.</w:t>
      </w:r>
      <w:r w:rsidR="00526630">
        <w:t xml:space="preserve"> </w:t>
      </w:r>
    </w:p>
    <w:p w14:paraId="268A5CB8" w14:textId="77777777" w:rsidR="008F6736" w:rsidRDefault="008F6736" w:rsidP="008F6736">
      <w:r>
        <w:t>In Book V, Valens described houses by degree, stating to</w:t>
      </w:r>
    </w:p>
    <w:p w14:paraId="2513BB03" w14:textId="77777777" w:rsidR="008F6736" w:rsidRDefault="008F6736" w:rsidP="008F6736">
      <w:pPr>
        <w:pStyle w:val="Quote"/>
      </w:pPr>
      <w:r>
        <w:t>‘</w:t>
      </w:r>
      <w:r w:rsidRPr="0070479D">
        <w:t>observe the position of the angles and the interchange of the Places. Often two Places fall together in one sign, or a presumed angle really just preceeds the &lt;true&gt; angle</w:t>
      </w:r>
      <w:r>
        <w:t>’</w:t>
      </w:r>
      <w:r>
        <w:rPr>
          <w:rStyle w:val="FootnoteReference"/>
        </w:rPr>
        <w:footnoteReference w:id="133"/>
      </w:r>
      <w:r w:rsidRPr="0070479D">
        <w:t xml:space="preserve">. </w:t>
      </w:r>
    </w:p>
    <w:p w14:paraId="00FA3677" w14:textId="3019185D" w:rsidR="008F6736" w:rsidRDefault="008F6736" w:rsidP="008F6736">
      <w:r>
        <w:t>Highlighting that two houses could fall in one sign is reminiscent of EH in Book IX</w:t>
      </w:r>
      <w:r w:rsidR="00232904">
        <w:t>, but quite clearly cannot be WSH</w:t>
      </w:r>
      <w:r w:rsidR="00013DFA">
        <w:t>, which by its definition is one house per sign</w:t>
      </w:r>
      <w:r w:rsidR="005D55B2">
        <w:t xml:space="preserve">. </w:t>
      </w:r>
      <w:r>
        <w:t>Valens stressed that ‘</w:t>
      </w:r>
      <w:r w:rsidRPr="0070479D">
        <w:t>if we calculate the Places and the distances between stars by degree &lt;not just by sign&gt;, we will not go astray</w:t>
      </w:r>
      <w:r>
        <w:t>’, and calculating the Places by degree precludes WSH</w:t>
      </w:r>
      <w:r w:rsidR="005D55B2">
        <w:t xml:space="preserve"> and </w:t>
      </w:r>
      <w:r w:rsidR="00DD0968">
        <w:t>suggests</w:t>
      </w:r>
      <w:r w:rsidR="005D55B2">
        <w:t xml:space="preserve"> that Valens really is arguing, once again, for a degree-based system</w:t>
      </w:r>
      <w:r w:rsidR="003A4098">
        <w:t>, and quite explicitly warning against calculating by WSH alone</w:t>
      </w:r>
      <w:r>
        <w:t>. Th</w:t>
      </w:r>
      <w:r w:rsidR="00A13894">
        <w:t>e</w:t>
      </w:r>
      <w:r>
        <w:t xml:space="preserve"> context of this section is a forecasting technique of transmitting planets through the horoscope by a number of divisions determined by the native’s age. Valens provided the following example</w:t>
      </w:r>
    </w:p>
    <w:p w14:paraId="1A081494" w14:textId="77777777" w:rsidR="008F6736" w:rsidRDefault="008F6736" w:rsidP="008F6736">
      <w:pPr>
        <w:pStyle w:val="Quote"/>
      </w:pPr>
      <w:r>
        <w:t>‘</w:t>
      </w:r>
      <w:r w:rsidRPr="001626C8">
        <w:t>Gemini in the Ascendant, MC in Aquarius when calculated by degree. This X Place includes the Places relevant to action, to rank, and to children. It also includes the Places of Foreign Lands and of the God, since it is found (when calculated by sign) in the IX Place from the Ascendant</w:t>
      </w:r>
      <w:r w:rsidRPr="00F25C34">
        <w:t xml:space="preserve"> and the transmission operative from places 4 and 5 signs apart acts from it to the Ascendant</w:t>
      </w:r>
      <w:r>
        <w:rPr>
          <w:rStyle w:val="FootnoteReference"/>
          <w:vertAlign w:val="baseline"/>
        </w:rPr>
        <w:t>’</w:t>
      </w:r>
      <w:r>
        <w:rPr>
          <w:rStyle w:val="FootnoteReference"/>
        </w:rPr>
        <w:footnoteReference w:id="134"/>
      </w:r>
      <w:r>
        <w:t>.</w:t>
      </w:r>
    </w:p>
    <w:p w14:paraId="430A1EB9" w14:textId="664FFCAC" w:rsidR="008F6736" w:rsidRDefault="008F6736" w:rsidP="008F6736">
      <w:r>
        <w:t xml:space="preserve">This example is notable for a number of reasons. Firstly, the MC is clearly the Midheaven degree, and not the </w:t>
      </w:r>
      <w:r w:rsidR="00E27FE2">
        <w:t>tenth sign, as it would be for WSH</w:t>
      </w:r>
      <w:r>
        <w:t>. Secondly, the 10</w:t>
      </w:r>
      <w:r w:rsidRPr="00332361">
        <w:rPr>
          <w:vertAlign w:val="superscript"/>
        </w:rPr>
        <w:t>th</w:t>
      </w:r>
      <w:r>
        <w:t xml:space="preserve"> House (rank) includes signification of the 9</w:t>
      </w:r>
      <w:r w:rsidRPr="00332361">
        <w:rPr>
          <w:vertAlign w:val="superscript"/>
        </w:rPr>
        <w:t>th</w:t>
      </w:r>
      <w:r>
        <w:t xml:space="preserve"> House (God). Finally, Valens transmitted 4 and 5 signs apart to transmit the 10</w:t>
      </w:r>
      <w:r w:rsidRPr="00EB6C85">
        <w:rPr>
          <w:vertAlign w:val="superscript"/>
        </w:rPr>
        <w:t>th</w:t>
      </w:r>
      <w:r>
        <w:t xml:space="preserve"> house significations. Valens provided a second example with</w:t>
      </w:r>
    </w:p>
    <w:p w14:paraId="764983F2" w14:textId="77777777" w:rsidR="008F6736" w:rsidRPr="00A9471F" w:rsidRDefault="008F6736" w:rsidP="008F6736">
      <w:pPr>
        <w:pStyle w:val="Quote"/>
      </w:pPr>
      <w:r>
        <w:t>‘</w:t>
      </w:r>
      <w:r w:rsidRPr="00264080">
        <w:t>Mars, Ascendant in Virgo, moon in Scorpio at IC, MC in Taurus. It is necessary to investigate the 34th year. 34 divided by 12 gives 2, with a remainder of 10. The transmission can go from the moon to Mars, since they are both at angles</w:t>
      </w:r>
      <w:r>
        <w:t>…</w:t>
      </w:r>
      <w:r w:rsidRPr="00264080">
        <w:t>and from the Ascendant and Mars to Taurus (i.e. to MC)</w:t>
      </w:r>
      <w:r>
        <w:t>’</w:t>
      </w:r>
      <w:r>
        <w:rPr>
          <w:rStyle w:val="FootnoteReference"/>
        </w:rPr>
        <w:footnoteReference w:id="135"/>
      </w:r>
      <w:r w:rsidRPr="00264080">
        <w:t>.</w:t>
      </w:r>
      <w:r>
        <w:t xml:space="preserve"> </w:t>
      </w:r>
    </w:p>
    <w:p w14:paraId="7D57D040" w14:textId="30234D08" w:rsidR="008F6736" w:rsidRDefault="008F6736" w:rsidP="008F6736">
      <w:r>
        <w:t xml:space="preserve">In this example the planets transmit ten places, even though they are not ten signs apart. </w:t>
      </w:r>
      <w:r w:rsidR="00015342">
        <w:t>Taken t</w:t>
      </w:r>
      <w:r>
        <w:t>ogether, these examples suggest that the transmission ought to</w:t>
      </w:r>
      <w:r w:rsidR="002858F9">
        <w:t xml:space="preserve"> at least</w:t>
      </w:r>
      <w:r>
        <w:t xml:space="preserve"> be performed via a quadrant division, with the first example in particular suggesting the transmission can </w:t>
      </w:r>
      <w:r w:rsidRPr="005626D1">
        <w:rPr>
          <w:i/>
          <w:iCs/>
        </w:rPr>
        <w:t>also</w:t>
      </w:r>
      <w:r>
        <w:t xml:space="preserve"> occur by WSH, as it transmits </w:t>
      </w:r>
      <w:r w:rsidRPr="008933C2">
        <w:rPr>
          <w:i/>
          <w:iCs/>
        </w:rPr>
        <w:t>both</w:t>
      </w:r>
      <w:r>
        <w:t xml:space="preserve"> by sign </w:t>
      </w:r>
      <w:r w:rsidRPr="008933C2">
        <w:rPr>
          <w:i/>
          <w:iCs/>
        </w:rPr>
        <w:t>as well as</w:t>
      </w:r>
      <w:r>
        <w:t xml:space="preserve"> quadrant house.</w:t>
      </w:r>
    </w:p>
    <w:p w14:paraId="2CDD1279" w14:textId="77777777" w:rsidR="008F6736" w:rsidRDefault="008F6736" w:rsidP="008F6736">
      <w:r>
        <w:t xml:space="preserve">Hand commented on these examples stating that </w:t>
      </w:r>
    </w:p>
    <w:p w14:paraId="381A8319" w14:textId="77777777" w:rsidR="008F6736" w:rsidRDefault="008F6736" w:rsidP="008F6736">
      <w:pPr>
        <w:pStyle w:val="Quote"/>
      </w:pPr>
      <w:r w:rsidRPr="00E063CB">
        <w:t>The</w:t>
      </w:r>
      <w:r>
        <w:t xml:space="preserve"> </w:t>
      </w:r>
      <w:r w:rsidRPr="00E063CB">
        <w:t>Midheaven and I.</w:t>
      </w:r>
      <w:r>
        <w:t>C</w:t>
      </w:r>
      <w:r w:rsidRPr="00E063CB">
        <w:t>. computed by degree make</w:t>
      </w:r>
      <w:r>
        <w:t xml:space="preserve"> </w:t>
      </w:r>
      <w:r w:rsidRPr="00E063CB">
        <w:t>the signs in which they fall bear the significations of the Midheaven</w:t>
      </w:r>
      <w:r>
        <w:t>…</w:t>
      </w:r>
      <w:r w:rsidRPr="00E063CB">
        <w:t>Thus, when this happens the signs involved have a double signification</w:t>
      </w:r>
      <w:r>
        <w:rPr>
          <w:rStyle w:val="FootnoteReference"/>
        </w:rPr>
        <w:footnoteReference w:id="136"/>
      </w:r>
      <w:r w:rsidRPr="00E063CB">
        <w:t>.</w:t>
      </w:r>
    </w:p>
    <w:p w14:paraId="6C24396F" w14:textId="0DBB45E9" w:rsidR="008F6736" w:rsidRDefault="008F6736" w:rsidP="008F6736">
      <w:r>
        <w:t>Hand is suggesting that the 9</w:t>
      </w:r>
      <w:r w:rsidRPr="00367F5C">
        <w:rPr>
          <w:vertAlign w:val="superscript"/>
        </w:rPr>
        <w:t>th</w:t>
      </w:r>
      <w:r>
        <w:t xml:space="preserve"> </w:t>
      </w:r>
      <w:r w:rsidRPr="00E318DC">
        <w:rPr>
          <w:i/>
          <w:iCs/>
        </w:rPr>
        <w:t>sign</w:t>
      </w:r>
      <w:r>
        <w:t xml:space="preserve"> takes on the signification of the 10</w:t>
      </w:r>
      <w:r w:rsidRPr="00367F5C">
        <w:rPr>
          <w:vertAlign w:val="superscript"/>
        </w:rPr>
        <w:t>th</w:t>
      </w:r>
      <w:r>
        <w:t xml:space="preserve"> House, but Hand appears to have inverted what Valens said - it is not that the 9</w:t>
      </w:r>
      <w:r w:rsidRPr="002E2AB0">
        <w:rPr>
          <w:vertAlign w:val="superscript"/>
        </w:rPr>
        <w:t>th</w:t>
      </w:r>
      <w:r>
        <w:t xml:space="preserve"> </w:t>
      </w:r>
      <w:r w:rsidRPr="00182C58">
        <w:rPr>
          <w:i/>
          <w:iCs/>
        </w:rPr>
        <w:t>sign</w:t>
      </w:r>
      <w:r>
        <w:t xml:space="preserve"> includes the signification of the 10</w:t>
      </w:r>
      <w:r w:rsidRPr="002E2AB0">
        <w:rPr>
          <w:vertAlign w:val="superscript"/>
        </w:rPr>
        <w:t>th</w:t>
      </w:r>
      <w:r>
        <w:t xml:space="preserve"> House, </w:t>
      </w:r>
      <w:r w:rsidR="00F24FE5">
        <w:t>Valens stated instead that</w:t>
      </w:r>
      <w:r>
        <w:t xml:space="preserve"> the 10</w:t>
      </w:r>
      <w:r w:rsidRPr="002E2AB0">
        <w:rPr>
          <w:vertAlign w:val="superscript"/>
        </w:rPr>
        <w:t>th</w:t>
      </w:r>
      <w:r>
        <w:t xml:space="preserve"> </w:t>
      </w:r>
      <w:r>
        <w:rPr>
          <w:i/>
          <w:iCs/>
        </w:rPr>
        <w:t>H</w:t>
      </w:r>
      <w:r w:rsidRPr="00182C58">
        <w:rPr>
          <w:i/>
          <w:iCs/>
        </w:rPr>
        <w:t>ouse</w:t>
      </w:r>
      <w:r>
        <w:t xml:space="preserve"> includes the signification of the 9th sign, and therefore the 10</w:t>
      </w:r>
      <w:r w:rsidRPr="00AC3BBB">
        <w:rPr>
          <w:vertAlign w:val="superscript"/>
        </w:rPr>
        <w:t>th</w:t>
      </w:r>
      <w:r>
        <w:t xml:space="preserve"> House </w:t>
      </w:r>
      <w:r w:rsidR="00EA0419">
        <w:t>isn’t the 10</w:t>
      </w:r>
      <w:r w:rsidR="00EA0419" w:rsidRPr="00EA0419">
        <w:rPr>
          <w:vertAlign w:val="superscript"/>
        </w:rPr>
        <w:t>th</w:t>
      </w:r>
      <w:r w:rsidR="00EA0419">
        <w:t xml:space="preserve"> sign, which would be required in WSH, </w:t>
      </w:r>
      <w:r>
        <w:t xml:space="preserve">but </w:t>
      </w:r>
      <w:r w:rsidR="00EA0419">
        <w:t>exists outside of the signs</w:t>
      </w:r>
      <w:r w:rsidR="00A474A4">
        <w:t>, as the 10</w:t>
      </w:r>
      <w:r w:rsidR="00A474A4" w:rsidRPr="00A474A4">
        <w:rPr>
          <w:vertAlign w:val="superscript"/>
        </w:rPr>
        <w:t>th</w:t>
      </w:r>
      <w:r w:rsidR="00A474A4">
        <w:t xml:space="preserve"> House is determined from the MC, which is not in the 10</w:t>
      </w:r>
      <w:r w:rsidR="00A474A4" w:rsidRPr="00A474A4">
        <w:rPr>
          <w:vertAlign w:val="superscript"/>
        </w:rPr>
        <w:t>th</w:t>
      </w:r>
      <w:r w:rsidR="00A474A4">
        <w:t xml:space="preserve"> sign</w:t>
      </w:r>
      <w:r>
        <w:t>. Hand’s interpretation</w:t>
      </w:r>
      <w:r w:rsidR="00C2732B">
        <w:t>, on the other hand,</w:t>
      </w:r>
      <w:r>
        <w:t xml:space="preserve"> would suggest to calculate the MC by degree</w:t>
      </w:r>
      <w:r w:rsidR="00B84552">
        <w:t>,</w:t>
      </w:r>
      <w:r>
        <w:t xml:space="preserve"> and </w:t>
      </w:r>
      <w:r w:rsidR="00FE4911">
        <w:t xml:space="preserve">then just </w:t>
      </w:r>
      <w:r>
        <w:t xml:space="preserve">position it in a sign, </w:t>
      </w:r>
      <w:r w:rsidR="002F44AE">
        <w:t xml:space="preserve">but instead Valens </w:t>
      </w:r>
      <w:r>
        <w:t>explicitly stated to ‘calculate the Places’ by degree,</w:t>
      </w:r>
      <w:r w:rsidR="002F44AE">
        <w:t xml:space="preserve"> not just the MC, </w:t>
      </w:r>
      <w:r w:rsidR="002B5D70">
        <w:t>and formed the 10</w:t>
      </w:r>
      <w:r w:rsidR="002B5D70" w:rsidRPr="002B5D70">
        <w:rPr>
          <w:vertAlign w:val="superscript"/>
        </w:rPr>
        <w:t>th</w:t>
      </w:r>
      <w:r w:rsidR="002B5D70">
        <w:t xml:space="preserve"> House from the MC, </w:t>
      </w:r>
      <w:r>
        <w:t xml:space="preserve">whilst warning that ‘often two Places fall together in one sign’, </w:t>
      </w:r>
      <w:r w:rsidR="00E6707E">
        <w:t xml:space="preserve">all of </w:t>
      </w:r>
      <w:r>
        <w:t xml:space="preserve">which </w:t>
      </w:r>
      <w:r w:rsidR="00E6707E">
        <w:t>is impossible in WSH</w:t>
      </w:r>
      <w:r>
        <w:t>.</w:t>
      </w:r>
    </w:p>
    <w:p w14:paraId="44BC51FB" w14:textId="0649C18D" w:rsidR="008F6736" w:rsidRDefault="00C85ACD" w:rsidP="008F6736">
      <w:r>
        <w:t>Finally, i</w:t>
      </w:r>
      <w:r w:rsidR="008F6736">
        <w:t xml:space="preserve">n Book IX, Valens noted that </w:t>
      </w:r>
    </w:p>
    <w:p w14:paraId="07A1F15D" w14:textId="77777777" w:rsidR="008F6736" w:rsidRDefault="008F6736" w:rsidP="008F6736">
      <w:pPr>
        <w:pStyle w:val="Quote"/>
      </w:pPr>
      <w:r>
        <w:t>‘</w:t>
      </w:r>
      <w:r w:rsidRPr="0007048A">
        <w:t>the layout of the XII House</w:t>
      </w:r>
      <w:r>
        <w:t>s</w:t>
      </w:r>
      <w:r w:rsidRPr="0007048A">
        <w:t>, which are arranged differently depending on the inclination of the ecliptic in different &lt;geographical areas&gt;, cause an extraordinary variation &lt;in fortune&gt;</w:t>
      </w:r>
      <w:r>
        <w:t xml:space="preserve">. </w:t>
      </w:r>
      <w:r w:rsidRPr="0007048A">
        <w:t>Those born in Rome will not have the same lifespan as those born in Babylon, and vice-versa.</w:t>
      </w:r>
      <w:r>
        <w:rPr>
          <w:rStyle w:val="FootnoteReference"/>
        </w:rPr>
        <w:footnoteReference w:id="137"/>
      </w:r>
      <w:r>
        <w:t>’</w:t>
      </w:r>
    </w:p>
    <w:p w14:paraId="6AB534D4" w14:textId="54F6F563" w:rsidR="008F6736" w:rsidRDefault="008F6736" w:rsidP="008F6736">
      <w:r>
        <w:t xml:space="preserve">Only in a quadrant-division of houses, </w:t>
      </w:r>
      <w:r w:rsidR="005C4C2B">
        <w:t>however, w</w:t>
      </w:r>
      <w:r>
        <w:t>ould the twelve houses be arranged differently based on the inclination of the ecliptic</w:t>
      </w:r>
      <w:r w:rsidR="000F72AF">
        <w:t xml:space="preserve"> (</w:t>
      </w:r>
      <w:r w:rsidR="005C43FE">
        <w:t xml:space="preserve">see </w:t>
      </w:r>
      <w:r w:rsidR="005C43FE" w:rsidRPr="005C43FE">
        <w:rPr>
          <w:i/>
          <w:iCs/>
        </w:rPr>
        <w:t>5.1: Ascensional Times</w:t>
      </w:r>
      <w:r w:rsidR="000F72AF">
        <w:t>)</w:t>
      </w:r>
      <w:r>
        <w:t xml:space="preserve">. </w:t>
      </w:r>
      <w:r w:rsidR="00C64BAF">
        <w:t>This again suggests that Valens not only described degree-based divisions as a house system, but specifically quadrant-divisions, the only example of which</w:t>
      </w:r>
      <w:r w:rsidR="005C43FE">
        <w:t xml:space="preserve"> that is</w:t>
      </w:r>
      <w:r w:rsidR="00C64BAF">
        <w:t xml:space="preserve"> given is Porphyry</w:t>
      </w:r>
      <w:r w:rsidR="009747D9">
        <w:t>.</w:t>
      </w:r>
      <w:r w:rsidR="00C64BAF">
        <w:t xml:space="preserve"> </w:t>
      </w:r>
    </w:p>
    <w:p w14:paraId="44B8A41F" w14:textId="49983FFB" w:rsidR="008F6736" w:rsidRDefault="008F6736" w:rsidP="008F6736">
      <w:r>
        <w:t>Valens, then, clearly described Porphyry divisions, assigned topics to them, and described the twelve houses using logic only applicable to quadrant divisions</w:t>
      </w:r>
      <w:r w:rsidR="00B456D5">
        <w:t>, and, unlike Hand’s assertion to Greenbaum, clearly provided examples using Porphyry</w:t>
      </w:r>
      <w:r>
        <w:t xml:space="preserve">. </w:t>
      </w:r>
    </w:p>
    <w:p w14:paraId="7A7D23CE" w14:textId="5C5C62E6" w:rsidR="008F6736" w:rsidRDefault="004C35E3" w:rsidP="008F6736">
      <w:pPr>
        <w:pStyle w:val="Heading3"/>
      </w:pPr>
      <w:bookmarkStart w:id="82" w:name="_Toc83646458"/>
      <w:r>
        <w:t>7</w:t>
      </w:r>
      <w:r w:rsidR="008F6736" w:rsidRPr="00D22A48">
        <w:t>.2.</w:t>
      </w:r>
      <w:r>
        <w:t>4</w:t>
      </w:r>
      <w:r w:rsidR="004E348D">
        <w:t>:</w:t>
      </w:r>
      <w:r w:rsidR="008F6736" w:rsidRPr="00D22A48">
        <w:t xml:space="preserve"> </w:t>
      </w:r>
      <w:r w:rsidR="008157BE">
        <w:t xml:space="preserve">Valens and </w:t>
      </w:r>
      <w:r w:rsidR="008F6736" w:rsidRPr="00D22A48">
        <w:t>Preferring Precision</w:t>
      </w:r>
      <w:bookmarkStart w:id="83" w:name="_Toc82183534"/>
      <w:bookmarkEnd w:id="82"/>
    </w:p>
    <w:p w14:paraId="2DD3A147" w14:textId="77777777" w:rsidR="008F6736" w:rsidRDefault="008F6736" w:rsidP="008F6736">
      <w:r>
        <w:t>Most of Valens’s example horoscopes do not contain the degree of the planets. Nevertheless, Valens detailed how to calculate the planetary positions in Book I, to allow his students to ‘</w:t>
      </w:r>
      <w:r w:rsidRPr="00E149AE">
        <w:t>make an examination of the more important procedures with the greatest enthusiasm</w:t>
      </w:r>
      <w:r>
        <w:t>’, suggesting that only certain procedures were important enough to require planetary degrees</w:t>
      </w:r>
      <w:r>
        <w:rPr>
          <w:rStyle w:val="FootnoteReference"/>
        </w:rPr>
        <w:footnoteReference w:id="138"/>
      </w:r>
      <w:r>
        <w:t xml:space="preserve">. This sentiment is echoed throughout Valens’s work. In Book IV, (emphasis mine) he urged to </w:t>
      </w:r>
    </w:p>
    <w:p w14:paraId="2ADEFBFB" w14:textId="77777777" w:rsidR="008F6736" w:rsidRPr="00C74CEF" w:rsidRDefault="008F6736" w:rsidP="008F6736">
      <w:pPr>
        <w:pStyle w:val="Quote"/>
      </w:pPr>
      <w:r>
        <w:t>‘</w:t>
      </w:r>
      <w:r w:rsidRPr="00A725C8">
        <w:t xml:space="preserve">observe the position of the stars in degrees </w:t>
      </w:r>
      <w:r w:rsidRPr="00C70579">
        <w:rPr>
          <w:i/>
          <w:iCs/>
        </w:rPr>
        <w:t>when necessary</w:t>
      </w:r>
      <w:r w:rsidRPr="00A725C8">
        <w:t xml:space="preserve"> for determinations to the degree, to observe their positions by sign </w:t>
      </w:r>
      <w:r w:rsidRPr="00C70579">
        <w:rPr>
          <w:i/>
          <w:iCs/>
        </w:rPr>
        <w:t>when that level of accuracy is appropriate’</w:t>
      </w:r>
      <w:r>
        <w:rPr>
          <w:rStyle w:val="FootnoteReference"/>
          <w:i/>
          <w:iCs/>
        </w:rPr>
        <w:footnoteReference w:id="139"/>
      </w:r>
      <w:r>
        <w:rPr>
          <w:i/>
          <w:iCs/>
        </w:rPr>
        <w:t>.</w:t>
      </w:r>
    </w:p>
    <w:p w14:paraId="4775A832" w14:textId="32A4F31A" w:rsidR="008F6736" w:rsidRDefault="008F6736" w:rsidP="008F6736">
      <w:r>
        <w:t xml:space="preserve">This suggests that for many situations, </w:t>
      </w:r>
      <w:r w:rsidR="0091319D">
        <w:t>accuracy</w:t>
      </w:r>
      <w:r>
        <w:t xml:space="preserve"> by sign</w:t>
      </w:r>
      <w:r w:rsidR="0091319D">
        <w:t xml:space="preserve"> was sufficient</w:t>
      </w:r>
      <w:r>
        <w:t>, but in others</w:t>
      </w:r>
      <w:r w:rsidR="008B2B91">
        <w:t xml:space="preserve"> that precision by degree was required</w:t>
      </w:r>
      <w:r>
        <w:t>. In Book VI, Valens again urge</w:t>
      </w:r>
      <w:r w:rsidR="00F37CE0">
        <w:t>d</w:t>
      </w:r>
      <w:r>
        <w:t xml:space="preserve"> for precision, but indicated that</w:t>
      </w:r>
      <w:r w:rsidR="0032106D">
        <w:t>, for planets</w:t>
      </w:r>
      <w:r w:rsidR="006066E3">
        <w:t>,</w:t>
      </w:r>
      <w:r>
        <w:t xml:space="preserve"> ‘</w:t>
      </w:r>
      <w:r w:rsidRPr="003236A1">
        <w:t>Determining the precise degree is difficult, but not impossible</w:t>
      </w:r>
      <w:r>
        <w:t>’, which might indicate why Valens doesn’t calculate planetary degrees for every situation</w:t>
      </w:r>
      <w:r w:rsidR="007A2C0B">
        <w:t>, and possibly why the planetary degrees do not always appear in GH</w:t>
      </w:r>
      <w:r>
        <w:t xml:space="preserve">. Nevertheless, </w:t>
      </w:r>
      <w:r w:rsidR="00B53346">
        <w:t>i</w:t>
      </w:r>
      <w:r w:rsidR="00DF3F60">
        <w:t>n</w:t>
      </w:r>
      <w:r>
        <w:t xml:space="preserve"> Book IX Valens </w:t>
      </w:r>
      <w:r w:rsidR="00C30368">
        <w:t xml:space="preserve">again </w:t>
      </w:r>
      <w:r w:rsidR="00966C5C">
        <w:t>urged</w:t>
      </w:r>
      <w:r>
        <w:t xml:space="preserve"> his audience to calculate </w:t>
      </w:r>
      <w:r w:rsidR="0050162F">
        <w:t xml:space="preserve">all positions </w:t>
      </w:r>
      <w:r>
        <w:t xml:space="preserve">by degree, </w:t>
      </w:r>
      <w:r w:rsidR="0050162F">
        <w:t>including the twelve houses</w:t>
      </w:r>
      <w:r w:rsidR="00DA2B83">
        <w:t xml:space="preserve">, which automatically precludes WSH, </w:t>
      </w:r>
      <w:r>
        <w:t xml:space="preserve">saying </w:t>
      </w:r>
    </w:p>
    <w:p w14:paraId="07C2621B" w14:textId="0B975012" w:rsidR="008F6736" w:rsidRDefault="008F6736" w:rsidP="008F6736">
      <w:pPr>
        <w:pStyle w:val="Quote"/>
      </w:pPr>
      <w:r>
        <w:t>‘</w:t>
      </w:r>
      <w:r w:rsidRPr="00CF4D9C">
        <w:t>it is necessary to observe with all accuracy the numbers of the sun, the moon, and the five stars, with the time’s/hour’s relationship to them being the referee of their mutual aspects, because it is from this that the Ascendant is known and the XII Places are positioned by degree</w:t>
      </w:r>
      <w:r>
        <w:t>’</w:t>
      </w:r>
      <w:r>
        <w:rPr>
          <w:rStyle w:val="FootnoteReference"/>
        </w:rPr>
        <w:footnoteReference w:id="140"/>
      </w:r>
      <w:r>
        <w:t>.</w:t>
      </w:r>
    </w:p>
    <w:p w14:paraId="473A546A" w14:textId="5B9CC2CF" w:rsidR="008F6736" w:rsidRPr="00256458" w:rsidRDefault="00EC5ECB" w:rsidP="008F6736">
      <w:r>
        <w:t>Additionally, a</w:t>
      </w:r>
      <w:r w:rsidR="004F40ED">
        <w:t xml:space="preserve">s Houlding </w:t>
      </w:r>
      <w:r w:rsidR="00E011B9">
        <w:t>recorded,</w:t>
      </w:r>
      <w:r w:rsidR="004F40ED">
        <w:t xml:space="preserve"> Neugebauer and Van Hoesen </w:t>
      </w:r>
      <w:r w:rsidR="00A70AA0">
        <w:t>suggested</w:t>
      </w:r>
      <w:r w:rsidR="004F40ED">
        <w:t xml:space="preserve"> that ‘Valens computed his horoscopes with an accuracy of degrees and minutes even if he normally quotes zodiacal signs only’, </w:t>
      </w:r>
      <w:r w:rsidR="006B5DBC">
        <w:t>highlighting again</w:t>
      </w:r>
      <w:r w:rsidR="004F40ED">
        <w:t xml:space="preserve"> that reference to signs should not indicate preference</w:t>
      </w:r>
      <w:r w:rsidR="00D6650A">
        <w:t xml:space="preserve"> or inability</w:t>
      </w:r>
      <w:r w:rsidR="006D59CF">
        <w:t>, but only convenience</w:t>
      </w:r>
      <w:r w:rsidR="008F5A29">
        <w:rPr>
          <w:rStyle w:val="FootnoteReference"/>
        </w:rPr>
        <w:footnoteReference w:id="141"/>
      </w:r>
      <w:r w:rsidR="004F40ED">
        <w:t>.</w:t>
      </w:r>
      <w:r w:rsidR="006B5DBC">
        <w:t xml:space="preserve"> Given </w:t>
      </w:r>
      <w:r w:rsidR="00B94090">
        <w:t>that calculating</w:t>
      </w:r>
      <w:r w:rsidR="00F860F7">
        <w:t xml:space="preserve"> the</w:t>
      </w:r>
      <w:r w:rsidR="006B5DBC">
        <w:t xml:space="preserve"> twelve houses degree precludes WSH, which by its nature does not have a degree position, Valens is explicitly</w:t>
      </w:r>
      <w:r w:rsidR="0035579F">
        <w:t xml:space="preserve"> preferring anything </w:t>
      </w:r>
      <w:r w:rsidR="0035579F" w:rsidRPr="0035579F">
        <w:rPr>
          <w:i/>
          <w:iCs/>
        </w:rPr>
        <w:t>but</w:t>
      </w:r>
      <w:r w:rsidR="0035579F">
        <w:t xml:space="preserve"> WSH</w:t>
      </w:r>
      <w:r w:rsidR="006B5DBC">
        <w:t>.</w:t>
      </w:r>
      <w:r w:rsidR="00294031">
        <w:t xml:space="preserve"> </w:t>
      </w:r>
      <w:r w:rsidR="00A25FAE">
        <w:t>Valens</w:t>
      </w:r>
      <w:r w:rsidR="001961FB">
        <w:t>, therefore, repeatedly argued for degree-based precision for calculation, including for calculation of houses.</w:t>
      </w:r>
    </w:p>
    <w:p w14:paraId="23C53F99" w14:textId="5AA564D8" w:rsidR="008F6736" w:rsidRDefault="009E1923" w:rsidP="008F6736">
      <w:pPr>
        <w:pStyle w:val="Heading3"/>
      </w:pPr>
      <w:bookmarkStart w:id="84" w:name="_Toc83646459"/>
      <w:r>
        <w:t>7</w:t>
      </w:r>
      <w:r w:rsidR="008F6736">
        <w:t>.2.</w:t>
      </w:r>
      <w:r>
        <w:t>5</w:t>
      </w:r>
      <w:r w:rsidR="008F6736">
        <w:t>: Valens’s House System</w:t>
      </w:r>
      <w:bookmarkEnd w:id="83"/>
      <w:bookmarkEnd w:id="84"/>
    </w:p>
    <w:p w14:paraId="6125A94C" w14:textId="60C3EB6A" w:rsidR="008F6736" w:rsidRDefault="008F6736" w:rsidP="008F6736">
      <w:r>
        <w:t>It is clear that Valens unambiguously described house calculation both by EH and Porphyry</w:t>
      </w:r>
      <w:r w:rsidR="00D56FE0">
        <w:t>, and advocated for degree-based precision</w:t>
      </w:r>
      <w:r w:rsidR="00967B65">
        <w:t xml:space="preserve"> for houses</w:t>
      </w:r>
      <w:r>
        <w:t xml:space="preserve">. In contrast, Valens never described, nor advocated for calculation by WSH, instead the </w:t>
      </w:r>
      <w:r w:rsidR="001A4FBD">
        <w:t>use</w:t>
      </w:r>
      <w:r>
        <w:t xml:space="preserve"> of WSH is entirely inferred from Valens referring to houses and signs interchangeably. Given Valens’s sentiment that calculating planets by degree was difficult, whilst </w:t>
      </w:r>
      <w:r w:rsidR="0044015D">
        <w:t xml:space="preserve">only urging </w:t>
      </w:r>
      <w:r>
        <w:t xml:space="preserve">for </w:t>
      </w:r>
      <w:r w:rsidR="0044015D">
        <w:t>precision</w:t>
      </w:r>
      <w:r>
        <w:t xml:space="preserve"> </w:t>
      </w:r>
      <w:r w:rsidR="0044015D">
        <w:t>when</w:t>
      </w:r>
      <w:r>
        <w:t xml:space="preserve"> required, it</w:t>
      </w:r>
      <w:r w:rsidR="00FE543F">
        <w:t xml:space="preserve"> is evident that absence of planetary degree was not a preference, but a </w:t>
      </w:r>
      <w:r w:rsidR="000D1172">
        <w:t>compromise</w:t>
      </w:r>
      <w:r w:rsidR="00FE543F">
        <w:t xml:space="preserve">. </w:t>
      </w:r>
      <w:r>
        <w:t>Without planetary degrees, however, there can be no house system by degree either. Quantitatively WSH might be used frequently, but if so, it would appear to be for convenience</w:t>
      </w:r>
      <w:r w:rsidR="009C2FBA">
        <w:t xml:space="preserve"> only, either for teaching, or because planetary degrees were difficult to calculate</w:t>
      </w:r>
      <w:r>
        <w:t>; qualitatively Valens repeated himself time and again that houses should be calculated by degree,</w:t>
      </w:r>
      <w:r w:rsidR="00DA63B2">
        <w:t xml:space="preserve"> described two examples in EH and Porphyry, and never advocated</w:t>
      </w:r>
      <w:r>
        <w:t xml:space="preserve"> for calculation by sign</w:t>
      </w:r>
      <w:r w:rsidR="00E97101">
        <w:t xml:space="preserve"> alone</w:t>
      </w:r>
      <w:r w:rsidR="00985003">
        <w:t>, indeed actively warning against calculation by sign alone</w:t>
      </w:r>
      <w:r>
        <w:t>.</w:t>
      </w:r>
      <w:r w:rsidR="00FE543F">
        <w:t xml:space="preserve"> </w:t>
      </w:r>
      <w:r>
        <w:t>Therefore, Valens’s preferred house system is</w:t>
      </w:r>
      <w:r w:rsidR="00C96B99">
        <w:t xml:space="preserve"> a degree-based system,</w:t>
      </w:r>
      <w:r>
        <w:t xml:space="preserve"> probably either EH or Porphyry or both, and WSH </w:t>
      </w:r>
      <w:r w:rsidR="000F21A7">
        <w:t xml:space="preserve">was employed as a </w:t>
      </w:r>
      <w:r>
        <w:t>convenience</w:t>
      </w:r>
      <w:r w:rsidR="005F2511">
        <w:t xml:space="preserve"> where precision wasn’t necessary</w:t>
      </w:r>
      <w:r>
        <w:t xml:space="preserve">. </w:t>
      </w:r>
    </w:p>
    <w:p w14:paraId="1E25D231" w14:textId="77777777" w:rsidR="009422E8" w:rsidRPr="000A50DC" w:rsidRDefault="009422E8" w:rsidP="009422E8">
      <w:pPr>
        <w:pStyle w:val="Heading2"/>
      </w:pPr>
      <w:bookmarkStart w:id="85" w:name="_Toc83482593"/>
      <w:bookmarkStart w:id="86" w:name="_Toc83646460"/>
      <w:r w:rsidRPr="000A50DC">
        <w:t>7.</w:t>
      </w:r>
      <w:r>
        <w:t>3</w:t>
      </w:r>
      <w:r w:rsidRPr="000A50DC">
        <w:t xml:space="preserve"> </w:t>
      </w:r>
      <w:r>
        <w:t>Ptolemy</w:t>
      </w:r>
      <w:bookmarkEnd w:id="86"/>
    </w:p>
    <w:p w14:paraId="2BFD5E58" w14:textId="6F67863F" w:rsidR="009422E8" w:rsidRDefault="009422E8" w:rsidP="009422E8">
      <w:r>
        <w:t>Claudius Ptolemy was a 2</w:t>
      </w:r>
      <w:r w:rsidRPr="008542FE">
        <w:rPr>
          <w:vertAlign w:val="superscript"/>
        </w:rPr>
        <w:t>nd</w:t>
      </w:r>
      <w:r>
        <w:t xml:space="preserve"> century astrologer, astronomer, and mathematician</w:t>
      </w:r>
      <w:r>
        <w:rPr>
          <w:rStyle w:val="FootnoteReference"/>
        </w:rPr>
        <w:footnoteReference w:id="142"/>
      </w:r>
      <w:r>
        <w:t>. Ptolemy, in comparison to some of his contemporaries, said quite little about the houses at all</w:t>
      </w:r>
      <w:r>
        <w:rPr>
          <w:rStyle w:val="FootnoteReference"/>
        </w:rPr>
        <w:footnoteReference w:id="143"/>
      </w:r>
      <w:r>
        <w:t xml:space="preserve">. </w:t>
      </w:r>
      <w:r w:rsidR="00157230">
        <w:t xml:space="preserve">Nevertheless, </w:t>
      </w:r>
      <w:r>
        <w:t xml:space="preserve">Ptolemy </w:t>
      </w:r>
      <w:r w:rsidR="00157230">
        <w:t>did introduce</w:t>
      </w:r>
      <w:r>
        <w:t xml:space="preserve"> a calculation of houses in Book III.11</w:t>
      </w:r>
      <w:r w:rsidR="001E6048">
        <w:t>, which he</w:t>
      </w:r>
      <w:r>
        <w:t xml:space="preserve"> defined as</w:t>
      </w:r>
    </w:p>
    <w:p w14:paraId="321926D1" w14:textId="77777777" w:rsidR="009422E8" w:rsidRPr="006133A7" w:rsidRDefault="009422E8" w:rsidP="009422E8">
      <w:pPr>
        <w:pStyle w:val="Quote"/>
      </w:pPr>
      <w:r w:rsidRPr="006133A7">
        <w:t>the twelfth-part around the Horoskopos, from the five degrees pre-ascending the horizon itself to the remaining twenty-five degrees post-ascending it; and the [degrees] hexagonal to these 30 degrees on the right, those of the Good Spirit; and the [degrees] square to them, [those] of the Midheaven above the earth; and the [degrees] triangular, [those) of the so-called God; and the (degrees] diametrical, those of the Descendant</w:t>
      </w:r>
      <w:r>
        <w:rPr>
          <w:rStyle w:val="FootnoteReference"/>
        </w:rPr>
        <w:footnoteReference w:id="144"/>
      </w:r>
      <w:r w:rsidRPr="006133A7">
        <w:t>.</w:t>
      </w:r>
    </w:p>
    <w:p w14:paraId="09F2F965" w14:textId="0F852869" w:rsidR="009422E8" w:rsidRPr="008542FE" w:rsidRDefault="009422E8" w:rsidP="009422E8">
      <w:r>
        <w:t>This section, according to Schmidt, is complex in the Greek, and hinges on one or two words</w:t>
      </w:r>
      <w:r>
        <w:rPr>
          <w:rStyle w:val="FootnoteReference"/>
        </w:rPr>
        <w:footnoteReference w:id="145"/>
      </w:r>
      <w:r>
        <w:t>. Taken as translated, Ptolemy appeared to be employing a derivative of EH, but one which doesn’t start at the degree of the ascendant, but, rather, five degrees before it, with each subsequent house starting 30 degrees from there. This is clearly a house system, even by Schmidt’s definition, as he assigned the names of the houses accordingly, and so we see here a topical assignation, not to WSH, but to EH.  However, given the complexity of the Greek, other commentators of Ptolemy understood his divisions to be, for example, by ascensional time rather than along the Zodiac</w:t>
      </w:r>
      <w:r>
        <w:rPr>
          <w:rStyle w:val="FootnoteReference"/>
        </w:rPr>
        <w:footnoteReference w:id="146"/>
      </w:r>
      <w:r>
        <w:t xml:space="preserve">. What is clear, however, is that Ptolemy is not describing a system of WSH here at all, but is nevertheless assigning topics and names to this division, which is clearly a degree-based system which begins five degrees before the ascendant degree. </w:t>
      </w:r>
    </w:p>
    <w:p w14:paraId="49564685" w14:textId="77777777" w:rsidR="009422E8" w:rsidRPr="000A50DC" w:rsidRDefault="009422E8" w:rsidP="009422E8">
      <w:pPr>
        <w:pStyle w:val="Heading2"/>
      </w:pPr>
      <w:bookmarkStart w:id="87" w:name="_Toc83646461"/>
      <w:r w:rsidRPr="000A50DC">
        <w:t>7.</w:t>
      </w:r>
      <w:r>
        <w:t>4</w:t>
      </w:r>
      <w:r w:rsidRPr="000A50DC">
        <w:t xml:space="preserve"> Firmicus Maternus</w:t>
      </w:r>
      <w:bookmarkEnd w:id="85"/>
      <w:bookmarkEnd w:id="87"/>
    </w:p>
    <w:p w14:paraId="0DDC4A51" w14:textId="77777777" w:rsidR="009422E8" w:rsidRDefault="009422E8" w:rsidP="009422E8">
      <w:r>
        <w:t>Firmicus Maternus was a 4</w:t>
      </w:r>
      <w:r w:rsidRPr="00690AD4">
        <w:rPr>
          <w:vertAlign w:val="superscript"/>
        </w:rPr>
        <w:t>th</w:t>
      </w:r>
      <w:r>
        <w:t xml:space="preserve"> century astrologer, who, like Manilius from whom he drew heavily, wrote in Latin</w:t>
      </w:r>
      <w:r>
        <w:rPr>
          <w:rStyle w:val="FootnoteReference"/>
        </w:rPr>
        <w:footnoteReference w:id="147"/>
      </w:r>
      <w:r>
        <w:t xml:space="preserve">. Maternus clearly described and reiterated EH throughout his work. For example, Maternus described the 3rd House thusly </w:t>
      </w:r>
    </w:p>
    <w:p w14:paraId="571BAB6A" w14:textId="77777777" w:rsidR="009422E8" w:rsidRDefault="009422E8" w:rsidP="009422E8">
      <w:pPr>
        <w:pStyle w:val="Quote"/>
      </w:pPr>
      <w:r>
        <w:t>‘</w:t>
      </w:r>
      <w:r w:rsidRPr="00CC18A0">
        <w:t>The third house, which is the third sign from the ascendant, begins at the 60th degree from the ascendant and stops at the 90th. From this house we will predict everything that concerns brothers and friends. Dea</w:t>
      </w:r>
      <w:r>
        <w:t xml:space="preserve"> </w:t>
      </w:r>
      <w:r w:rsidRPr="00CC18A0">
        <w:t>is the name of this house</w:t>
      </w:r>
      <w:r>
        <w:t>’</w:t>
      </w:r>
      <w:r>
        <w:rPr>
          <w:rStyle w:val="FootnoteReference"/>
        </w:rPr>
        <w:footnoteReference w:id="148"/>
      </w:r>
      <w:r>
        <w:t xml:space="preserve">. </w:t>
      </w:r>
    </w:p>
    <w:p w14:paraId="5B8BDEDE" w14:textId="0FFEF463" w:rsidR="009422E8" w:rsidRDefault="009422E8" w:rsidP="009422E8">
      <w:r>
        <w:t>Clearly then Maternus was employing EH, but notably he referred the house as being a sign as well</w:t>
      </w:r>
      <w:r w:rsidR="001C21D5">
        <w:t>, as th</w:t>
      </w:r>
      <w:r>
        <w:t xml:space="preserve">e house was the ‘third </w:t>
      </w:r>
      <w:r w:rsidRPr="0045647B">
        <w:rPr>
          <w:i/>
          <w:iCs/>
        </w:rPr>
        <w:t>sign</w:t>
      </w:r>
      <w:r>
        <w:t xml:space="preserve"> from the ascendant’, but the clarifying remarks about degrees informs us that despite referring to the house as a sign, he was not employing WSH. </w:t>
      </w:r>
      <w:r w:rsidR="0045647B">
        <w:t>As suggested before, this demonstrates</w:t>
      </w:r>
      <w:r>
        <w:t xml:space="preserve"> </w:t>
      </w:r>
      <w:r w:rsidR="00D61BA7">
        <w:t xml:space="preserve">conclusively </w:t>
      </w:r>
      <w:r>
        <w:t>that certain Hellenistic authors, such as Maternus, referred to signs and houses interchangeably without inferring that the house was meant to be calculated by WSH. It’s worth noting that Maternus was clearly referring to a house here, even by Schmidt’d definition, as he associated the house with topics</w:t>
      </w:r>
      <w:r w:rsidR="00AD0343">
        <w:t>,</w:t>
      </w:r>
      <w:r>
        <w:t xml:space="preserve"> and the transliteration of the relevant Greek name for the third house, which is God</w:t>
      </w:r>
      <w:r w:rsidR="00114E7B">
        <w:t>/Dea</w:t>
      </w:r>
      <w:r>
        <w:t xml:space="preserve">. </w:t>
      </w:r>
      <w:r w:rsidR="00BE279D">
        <w:t>Additionally</w:t>
      </w:r>
      <w:r w:rsidR="00210298">
        <w:t>,</w:t>
      </w:r>
      <w:r>
        <w:t xml:space="preserve"> Maternus, like Valens, may be employing an approach where he described the principles generally and then provided specifics subsequently. A couple of chapters prior to describing the 3</w:t>
      </w:r>
      <w:r w:rsidRPr="007B706C">
        <w:rPr>
          <w:vertAlign w:val="superscript"/>
        </w:rPr>
        <w:t>rd</w:t>
      </w:r>
      <w:r>
        <w:t xml:space="preserve"> House by degree, he defined it thusly ‘</w:t>
      </w:r>
      <w:r w:rsidRPr="007B706C">
        <w:t>Dea is the third house, that is, the third sign, from the ascendant</w:t>
      </w:r>
      <w:r>
        <w:t>’, which, by itself, would assume WSH</w:t>
      </w:r>
      <w:r>
        <w:rPr>
          <w:rStyle w:val="FootnoteReference"/>
        </w:rPr>
        <w:footnoteReference w:id="149"/>
      </w:r>
      <w:r>
        <w:t>. Another indirect reference to WSH occurred when Maternus described the position of the Sun on the Ascendant, presumably meaning the 1</w:t>
      </w:r>
      <w:r w:rsidRPr="00395016">
        <w:rPr>
          <w:vertAlign w:val="superscript"/>
        </w:rPr>
        <w:t>st</w:t>
      </w:r>
      <w:r>
        <w:t xml:space="preserve"> House. Maternus differentiated between ‘the Sun on the ascendant by day’ and, later, ‘the Sun on the ascendant by night’, which, in EH, would be technically impossible, as in EH the 1</w:t>
      </w:r>
      <w:r w:rsidRPr="009A743D">
        <w:rPr>
          <w:vertAlign w:val="superscript"/>
        </w:rPr>
        <w:t>st</w:t>
      </w:r>
      <w:r>
        <w:t xml:space="preserve"> House begins at the horizon</w:t>
      </w:r>
      <w:r>
        <w:rPr>
          <w:rStyle w:val="FootnoteReference"/>
        </w:rPr>
        <w:footnoteReference w:id="150"/>
      </w:r>
      <w:r>
        <w:t>. However, in WSH, the Sun could be in the 1</w:t>
      </w:r>
      <w:r w:rsidRPr="00856D9A">
        <w:rPr>
          <w:vertAlign w:val="superscript"/>
        </w:rPr>
        <w:t>st</w:t>
      </w:r>
      <w:r>
        <w:t xml:space="preserve"> House by day or by night, which might indicate WSH</w:t>
      </w:r>
      <w:r w:rsidR="000767D7">
        <w:t>.</w:t>
      </w:r>
      <w:r>
        <w:t xml:space="preserve"> </w:t>
      </w:r>
      <w:r w:rsidR="000767D7">
        <w:t xml:space="preserve">However, </w:t>
      </w:r>
      <w:r>
        <w:t xml:space="preserve">it’s equally possible that Maternus was focusing not on the house as a whole, but rather distinguishing if the Sun was placed on the </w:t>
      </w:r>
      <w:r w:rsidR="001C4713">
        <w:t xml:space="preserve">angle itself </w:t>
      </w:r>
      <w:r>
        <w:t>by day, that is to say mostly risen, or by night, that is to say yet to be fully risen. It’s also possible that WSH was employed in a loose way, much like with Manilius, so that anything in the sign of the ascendant degree was of the nature of the first house.</w:t>
      </w:r>
      <w:r w:rsidR="008D68A6">
        <w:t xml:space="preserve"> G</w:t>
      </w:r>
      <w:r>
        <w:t>iven Maternus’s explicit instruction, repeated for each of the twelve houses, that they ought to be calculated by degree, and via EH, it is clear that the system which Manilius employed was EH</w:t>
      </w:r>
      <w:r w:rsidR="003E6F9D">
        <w:t>, and so some of these other references to signs should be taken within that contex</w:t>
      </w:r>
      <w:r w:rsidR="00CD0FAA">
        <w:t>t</w:t>
      </w:r>
      <w:r>
        <w:t>.</w:t>
      </w:r>
    </w:p>
    <w:p w14:paraId="2783A4C5" w14:textId="77777777" w:rsidR="00CF7AA1" w:rsidRPr="000A50DC" w:rsidRDefault="00CF7AA1" w:rsidP="00CF7AA1">
      <w:pPr>
        <w:pStyle w:val="Heading2"/>
      </w:pPr>
      <w:bookmarkStart w:id="88" w:name="_Toc83646462"/>
      <w:r w:rsidRPr="000A50DC">
        <w:t>7.</w:t>
      </w:r>
      <w:r>
        <w:t>5 An excerpt from Olympiodorus</w:t>
      </w:r>
      <w:bookmarkEnd w:id="88"/>
    </w:p>
    <w:p w14:paraId="0054CF38" w14:textId="287579AD" w:rsidR="00CF7AA1" w:rsidRDefault="00CF7AA1" w:rsidP="00CF7AA1">
      <w:r>
        <w:t>In the 6</w:t>
      </w:r>
      <w:r w:rsidRPr="00486429">
        <w:rPr>
          <w:vertAlign w:val="superscript"/>
        </w:rPr>
        <w:t>th</w:t>
      </w:r>
      <w:r>
        <w:t xml:space="preserve"> century, Olympiodorus provided a commentary on Paulus Alexandrinus</w:t>
      </w:r>
      <w:r>
        <w:rPr>
          <w:rStyle w:val="FootnoteReference"/>
        </w:rPr>
        <w:footnoteReference w:id="151"/>
      </w:r>
      <w:r>
        <w:t xml:space="preserve">. Olympiodorus provided the only explicit description of WSH in the Hellenistic era, and does so </w:t>
      </w:r>
      <w:r w:rsidR="00EB513C">
        <w:t>only to criticise</w:t>
      </w:r>
      <w:r>
        <w:t xml:space="preserve"> </w:t>
      </w:r>
      <w:r w:rsidR="00EB513C">
        <w:t>it</w:t>
      </w:r>
      <w:r>
        <w:t>. Where ‘</w:t>
      </w:r>
      <w:r w:rsidRPr="003E14BA">
        <w:t>zôidion</w:t>
      </w:r>
      <w:r>
        <w:t>’ is typically translated as Zodiac sign, Olympiodorus said</w:t>
      </w:r>
    </w:p>
    <w:p w14:paraId="509E4CEB" w14:textId="77777777" w:rsidR="00CF7AA1" w:rsidRDefault="00CF7AA1" w:rsidP="00CF7AA1">
      <w:pPr>
        <w:pStyle w:val="Quote"/>
      </w:pPr>
      <w:r>
        <w:t>‘</w:t>
      </w:r>
      <w:r w:rsidRPr="003E14BA">
        <w:t>There has come to be a certain amount of difference and ambiguity for the astrologers concerning the division and separation of such twelve places. For they define the whole place as the zôidion itself, whose degree is found marking the hour or culminating. But in this reckoning other faults also result, especially because from the hour-marking degree up to the culminating one there is not always a distance of 90 degrees, but either more or less; in more remaining over, an unused zôidion results, but in less, an [unused] place.</w:t>
      </w:r>
      <w:r>
        <w:rPr>
          <w:rStyle w:val="FootnoteReference"/>
        </w:rPr>
        <w:footnoteReference w:id="152"/>
      </w:r>
      <w:r>
        <w:t>’</w:t>
      </w:r>
    </w:p>
    <w:p w14:paraId="01677DE3" w14:textId="7C6A7867" w:rsidR="00CF7AA1" w:rsidRDefault="00CF7AA1" w:rsidP="009422E8">
      <w:r>
        <w:t>In other words, Olympiodorus described how some people treated each house as a full Zodiac sign, in other words described WSH, but then continued to criticise those who do so. This appears to be the only explicit description of WSH</w:t>
      </w:r>
      <w:r w:rsidR="007403FA">
        <w:t xml:space="preserve"> which has survived intact</w:t>
      </w:r>
      <w:r>
        <w:t>. Schmidt has argued, however, that this section is a later Byzantine interpolation, and not intrinsic to the Hellenistic period</w:t>
      </w:r>
      <w:r>
        <w:rPr>
          <w:rStyle w:val="FootnoteReference"/>
        </w:rPr>
        <w:footnoteReference w:id="153"/>
      </w:r>
      <w:r>
        <w:t>. If Schmidt is correct, and this section from Olympiodorus is not native to Hellenistic tradition, in which case there is no explicit description of WSH at all, otherwise the only explicit reference to WSH is to critic</w:t>
      </w:r>
      <w:r w:rsidR="001E285C">
        <w:t>i</w:t>
      </w:r>
      <w:r>
        <w:t>se it.</w:t>
      </w:r>
    </w:p>
    <w:p w14:paraId="18065DBD" w14:textId="3B3BB2A0" w:rsidR="00207203" w:rsidRPr="000A50DC" w:rsidRDefault="00207203" w:rsidP="00207203">
      <w:pPr>
        <w:pStyle w:val="Heading2"/>
      </w:pPr>
      <w:bookmarkStart w:id="89" w:name="_Toc83646463"/>
      <w:r w:rsidRPr="000A50DC">
        <w:t>7.</w:t>
      </w:r>
      <w:r>
        <w:t>6 House Systems in Literary Sources</w:t>
      </w:r>
      <w:bookmarkEnd w:id="89"/>
      <w:r>
        <w:t xml:space="preserve"> </w:t>
      </w:r>
    </w:p>
    <w:p w14:paraId="04E73B4C" w14:textId="35DA7394" w:rsidR="0034078C" w:rsidRDefault="00BD4C49" w:rsidP="009422E8">
      <w:r>
        <w:t>No surviving early Hellenistic source appears to define WSH, and the closest sur</w:t>
      </w:r>
      <w:r w:rsidR="00272736">
        <w:t>v</w:t>
      </w:r>
      <w:r>
        <w:t>iving example is from the 6</w:t>
      </w:r>
      <w:r w:rsidRPr="00BD4C49">
        <w:rPr>
          <w:vertAlign w:val="superscript"/>
        </w:rPr>
        <w:t>th</w:t>
      </w:r>
      <w:r>
        <w:t xml:space="preserve"> century with Olympiodorus, </w:t>
      </w:r>
      <w:r w:rsidR="00C8584B">
        <w:t>but</w:t>
      </w:r>
      <w:r w:rsidR="001E285C">
        <w:t>, if Schmidt is correct</w:t>
      </w:r>
      <w:r w:rsidR="00C8584B">
        <w:t xml:space="preserve">, there may be no explicit references at all. </w:t>
      </w:r>
      <w:r w:rsidR="00896506">
        <w:t xml:space="preserve">Manilius, Valens, Ptolemy and Maternus all describe a system of houses which is degree-based, even if they sometimes referred to </w:t>
      </w:r>
      <w:r w:rsidR="00F4133C">
        <w:t>houses</w:t>
      </w:r>
      <w:r w:rsidR="00896506">
        <w:t xml:space="preserve"> as </w:t>
      </w:r>
      <w:r w:rsidR="00F4133C">
        <w:t>signs</w:t>
      </w:r>
      <w:r w:rsidR="0067386F">
        <w:t xml:space="preserve"> for convenience, tautological reasons, </w:t>
      </w:r>
      <w:r w:rsidR="00A20DF7">
        <w:t>or</w:t>
      </w:r>
      <w:r w:rsidR="0067386F">
        <w:t xml:space="preserve"> </w:t>
      </w:r>
      <w:r w:rsidR="00A20DF7">
        <w:t xml:space="preserve">because </w:t>
      </w:r>
      <w:r w:rsidR="0067386F">
        <w:t>planetary calculation was complex</w:t>
      </w:r>
      <w:r w:rsidR="00896506">
        <w:t xml:space="preserve">. </w:t>
      </w:r>
      <w:r w:rsidR="00F4133C">
        <w:t>These degree-based houses are also assigned topics or house names in the case of each author, which seems to disprove Schmidt’s assertion that only WSH was used for topics</w:t>
      </w:r>
      <w:r w:rsidR="007A46F1">
        <w:t>.</w:t>
      </w:r>
      <w:r w:rsidR="00F4133C">
        <w:t xml:space="preserve"> </w:t>
      </w:r>
    </w:p>
    <w:p w14:paraId="4855F7CE" w14:textId="77777777" w:rsidR="00083203" w:rsidRPr="00B30622" w:rsidRDefault="00083203" w:rsidP="00083203">
      <w:pPr>
        <w:pStyle w:val="Heading1"/>
      </w:pPr>
      <w:bookmarkStart w:id="90" w:name="_Toc83646464"/>
      <w:r w:rsidRPr="00B30622">
        <w:t>Chapter 8: Contemporary Discussion</w:t>
      </w:r>
      <w:bookmarkEnd w:id="90"/>
    </w:p>
    <w:p w14:paraId="01583ADD" w14:textId="58555946" w:rsidR="00083203" w:rsidRDefault="00083203" w:rsidP="00083203">
      <w:r>
        <w:t>As discussed earlier, WSH do not appear to be referenced or understood as a notable house system in the mid to late 20</w:t>
      </w:r>
      <w:r w:rsidRPr="00F61F51">
        <w:rPr>
          <w:vertAlign w:val="superscript"/>
        </w:rPr>
        <w:t>th</w:t>
      </w:r>
      <w:r>
        <w:t xml:space="preserve"> century astrological texts (see above </w:t>
      </w:r>
      <w:r w:rsidRPr="00E07F18">
        <w:rPr>
          <w:i/>
          <w:iCs/>
        </w:rPr>
        <w:t>4.2.1: A Forgotten System</w:t>
      </w:r>
      <w:r>
        <w:t>). The last decades of the 20th century, in particular, saw a revival of interest in astrology’s history and into traditional techniques by the astrological community</w:t>
      </w:r>
      <w:r>
        <w:rPr>
          <w:rStyle w:val="FootnoteReference"/>
        </w:rPr>
        <w:footnoteReference w:id="154"/>
      </w:r>
      <w:r>
        <w:t>. Given that it’s reasonable to assume that the majority of astrologers are unlikely to be expert in ancient Greek and Latin, these translations, and others like them, are the primary sources for the majority of astrologers. Frances Clynes examined astrologers’ use of social media websites, and noted that ‘U</w:t>
      </w:r>
      <w:r w:rsidRPr="00F709CB">
        <w:t>se of social media by astrologers is also greater than that of the general public</w:t>
      </w:r>
      <w:r>
        <w:t>’, with Facebook being the most popular, followed by Twitter</w:t>
      </w:r>
      <w:r>
        <w:rPr>
          <w:rStyle w:val="FootnoteReference"/>
        </w:rPr>
        <w:footnoteReference w:id="155"/>
      </w:r>
      <w:r>
        <w:t xml:space="preserve">. To survey contemporary views of astrologers, </w:t>
      </w:r>
      <w:r w:rsidR="004A70DA">
        <w:t>and determine if WSH are prevalent now</w:t>
      </w:r>
      <w:r w:rsidR="0055142F">
        <w:t>,</w:t>
      </w:r>
      <w:r w:rsidR="004A70DA">
        <w:t xml:space="preserve"> </w:t>
      </w:r>
      <w:r w:rsidR="0055142F">
        <w:t>unlike</w:t>
      </w:r>
      <w:r w:rsidR="004A70DA">
        <w:t xml:space="preserve"> in the late 20</w:t>
      </w:r>
      <w:r w:rsidR="004A70DA" w:rsidRPr="004A70DA">
        <w:rPr>
          <w:vertAlign w:val="superscript"/>
        </w:rPr>
        <w:t>th</w:t>
      </w:r>
      <w:r w:rsidR="004A70DA">
        <w:t xml:space="preserve"> century, </w:t>
      </w:r>
      <w:r>
        <w:t>I will examine opinions and viewpoints shared across Twitter and Facebook.</w:t>
      </w:r>
    </w:p>
    <w:p w14:paraId="30D6D8BF" w14:textId="77777777" w:rsidR="00083203" w:rsidRPr="00C9033B" w:rsidRDefault="00083203" w:rsidP="00083203">
      <w:pPr>
        <w:pStyle w:val="Heading2"/>
      </w:pPr>
      <w:bookmarkStart w:id="91" w:name="_Toc83646465"/>
      <w:r w:rsidRPr="00C9033B">
        <w:t>8.1</w:t>
      </w:r>
      <w:r>
        <w:t>:</w:t>
      </w:r>
      <w:r w:rsidRPr="00C9033B">
        <w:t xml:space="preserve"> WSH on Twitter</w:t>
      </w:r>
      <w:bookmarkEnd w:id="91"/>
    </w:p>
    <w:p w14:paraId="3D45F486" w14:textId="5CDA073A" w:rsidR="00083203" w:rsidRDefault="00083203" w:rsidP="00083203">
      <w:r>
        <w:t>Clynes identified Twitter as the second most popular social media platform amongst astrologers</w:t>
      </w:r>
      <w:r>
        <w:rPr>
          <w:rStyle w:val="FootnoteReference"/>
        </w:rPr>
        <w:footnoteReference w:id="156"/>
      </w:r>
      <w:r>
        <w:t xml:space="preserve">. In order to gain insight into opinion and awareness of WSH on Twitter, I created a Twitter profile, </w:t>
      </w:r>
      <w:r w:rsidR="00854E50">
        <w:t>ensuring</w:t>
      </w:r>
      <w:r>
        <w:t xml:space="preserve"> that content from private accounts would not be accessible</w:t>
      </w:r>
      <w:r w:rsidR="0009043F">
        <w:t xml:space="preserve">, </w:t>
      </w:r>
      <w:r w:rsidR="00A30FBE">
        <w:t>to examine only those which</w:t>
      </w:r>
      <w:r w:rsidR="0009043F">
        <w:t xml:space="preserve"> are publicly visible</w:t>
      </w:r>
      <w:r>
        <w:t>.</w:t>
      </w:r>
    </w:p>
    <w:p w14:paraId="3FC2958E" w14:textId="77777777" w:rsidR="00083203" w:rsidRPr="003C726B" w:rsidRDefault="00083203" w:rsidP="00083203">
      <w:pPr>
        <w:pStyle w:val="Heading3"/>
      </w:pPr>
      <w:bookmarkStart w:id="92" w:name="_Toc83646466"/>
      <w:r w:rsidRPr="003C726B">
        <w:t>8.1.1</w:t>
      </w:r>
      <w:r>
        <w:t>:</w:t>
      </w:r>
      <w:r w:rsidRPr="003C726B">
        <w:t xml:space="preserve"> WSH: A Recognised House System</w:t>
      </w:r>
      <w:bookmarkEnd w:id="92"/>
    </w:p>
    <w:p w14:paraId="26F034B7" w14:textId="23B3B7A4" w:rsidR="00083203" w:rsidRDefault="00083203" w:rsidP="00083203">
      <w:r>
        <w:t>To discover if WSH was a recognised house system amongst Twitter astrologers, I performed a number of searches, with search terms including: “WSH</w:t>
      </w:r>
      <w:r w:rsidR="00C53B4E">
        <w:t>”</w:t>
      </w:r>
      <w:r>
        <w:t xml:space="preserve">, “Whole Sign Houses”, “WSH astrologer”, “Whole Sign House astrology” etc., and, to get a varied sample, I filtered some of the examples to include tweets which were highly popular (determined by ‘likes’ or ‘retweets’), as well as those which were not.  </w:t>
      </w:r>
    </w:p>
    <w:p w14:paraId="682318EF" w14:textId="77777777" w:rsidR="00083203" w:rsidRDefault="00083203" w:rsidP="00083203"/>
    <w:p w14:paraId="25807B77" w14:textId="77777777" w:rsidR="00083203" w:rsidRDefault="00083203" w:rsidP="00083203">
      <w:r>
        <w:rPr>
          <w:noProof/>
        </w:rPr>
        <mc:AlternateContent>
          <mc:Choice Requires="wps">
            <w:drawing>
              <wp:anchor distT="0" distB="0" distL="114300" distR="114300" simplePos="0" relativeHeight="251660288" behindDoc="1" locked="0" layoutInCell="1" allowOverlap="1" wp14:anchorId="2C3FACA0" wp14:editId="21CE4A0C">
                <wp:simplePos x="0" y="0"/>
                <wp:positionH relativeFrom="column">
                  <wp:posOffset>-9525</wp:posOffset>
                </wp:positionH>
                <wp:positionV relativeFrom="paragraph">
                  <wp:posOffset>4772660</wp:posOffset>
                </wp:positionV>
                <wp:extent cx="5727065" cy="635"/>
                <wp:effectExtent l="0" t="0" r="635" b="12065"/>
                <wp:wrapTight wrapText="bothSides">
                  <wp:wrapPolygon edited="0">
                    <wp:start x="0" y="0"/>
                    <wp:lineTo x="0" y="0"/>
                    <wp:lineTo x="21554" y="0"/>
                    <wp:lineTo x="21554"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727065" cy="635"/>
                        </a:xfrm>
                        <a:prstGeom prst="rect">
                          <a:avLst/>
                        </a:prstGeom>
                        <a:solidFill>
                          <a:prstClr val="white"/>
                        </a:solidFill>
                        <a:ln>
                          <a:noFill/>
                        </a:ln>
                      </wps:spPr>
                      <wps:txbx>
                        <w:txbxContent>
                          <w:p w14:paraId="58076BDF" w14:textId="77777777" w:rsidR="00105F83" w:rsidRPr="000A79D5" w:rsidRDefault="00105F83" w:rsidP="00083203">
                            <w:pPr>
                              <w:pStyle w:val="Caption"/>
                              <w:jc w:val="center"/>
                              <w:rPr>
                                <w:noProof/>
                              </w:rPr>
                            </w:pPr>
                            <w:bookmarkStart w:id="93" w:name="_Toc83646482"/>
                            <w:r>
                              <w:t xml:space="preserve">Figure </w:t>
                            </w:r>
                            <w:r>
                              <w:fldChar w:fldCharType="begin"/>
                            </w:r>
                            <w:r>
                              <w:instrText xml:space="preserve"> SEQ Figure \* ARABIC </w:instrText>
                            </w:r>
                            <w:r>
                              <w:fldChar w:fldCharType="separate"/>
                            </w:r>
                            <w:r>
                              <w:rPr>
                                <w:noProof/>
                              </w:rPr>
                              <w:t>1</w:t>
                            </w:r>
                            <w:r>
                              <w:rPr>
                                <w:noProof/>
                              </w:rPr>
                              <w:fldChar w:fldCharType="end"/>
                            </w:r>
                            <w:r>
                              <w:t>. Sample of opinions on Whole Sign Houses on Twitter.</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3FACA0" id="_x0000_t202" coordsize="21600,21600" o:spt="202" path="m,l,21600r21600,l21600,xe">
                <v:stroke joinstyle="miter"/>
                <v:path gradientshapeok="t" o:connecttype="rect"/>
              </v:shapetype>
              <v:shape id="Text Box 3" o:spid="_x0000_s1026" type="#_x0000_t202" style="position:absolute;margin-left:-.75pt;margin-top:375.8pt;width:450.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" stroked="f">
                <v:textbox style="mso-fit-shape-to-text:t" inset="0,0,0,0">
                  <w:txbxContent>
                    <w:p w14:paraId="58076BDF" w14:textId="77777777" w:rsidR="00105F83" w:rsidRPr="000A79D5" w:rsidRDefault="00105F83" w:rsidP="00083203">
                      <w:pPr>
                        <w:pStyle w:val="Caption"/>
                        <w:jc w:val="center"/>
                        <w:rPr>
                          <w:noProof/>
                        </w:rPr>
                      </w:pPr>
                      <w:bookmarkStart w:id="94" w:name="_Toc83646482"/>
                      <w:r>
                        <w:t xml:space="preserve">Figure </w:t>
                      </w:r>
                      <w:r>
                        <w:fldChar w:fldCharType="begin"/>
                      </w:r>
                      <w:r>
                        <w:instrText xml:space="preserve"> SEQ Figure \* ARABIC </w:instrText>
                      </w:r>
                      <w:r>
                        <w:fldChar w:fldCharType="separate"/>
                      </w:r>
                      <w:r>
                        <w:rPr>
                          <w:noProof/>
                        </w:rPr>
                        <w:t>1</w:t>
                      </w:r>
                      <w:r>
                        <w:rPr>
                          <w:noProof/>
                        </w:rPr>
                        <w:fldChar w:fldCharType="end"/>
                      </w:r>
                      <w:r>
                        <w:t>. Sample of opinions on Whole Sign Houses on Twitter.</w:t>
                      </w:r>
                      <w:bookmarkEnd w:id="94"/>
                    </w:p>
                  </w:txbxContent>
                </v:textbox>
                <w10:wrap type="tight"/>
              </v:shape>
            </w:pict>
          </mc:Fallback>
        </mc:AlternateContent>
      </w:r>
      <w:r>
        <w:rPr>
          <w:noProof/>
        </w:rPr>
        <w:drawing>
          <wp:anchor distT="0" distB="0" distL="114300" distR="114300" simplePos="0" relativeHeight="251659264" behindDoc="1" locked="0" layoutInCell="1" allowOverlap="1" wp14:anchorId="01FB72A0" wp14:editId="26690372">
            <wp:simplePos x="0" y="0"/>
            <wp:positionH relativeFrom="column">
              <wp:posOffset>-9832</wp:posOffset>
            </wp:positionH>
            <wp:positionV relativeFrom="paragraph">
              <wp:posOffset>409</wp:posOffset>
            </wp:positionV>
            <wp:extent cx="5727600" cy="4716000"/>
            <wp:effectExtent l="0" t="0" r="635" b="0"/>
            <wp:wrapTight wrapText="bothSides">
              <wp:wrapPolygon edited="0">
                <wp:start x="0" y="0"/>
                <wp:lineTo x="0" y="21524"/>
                <wp:lineTo x="21554" y="21524"/>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27600" cy="4716000"/>
                    </a:xfrm>
                    <a:prstGeom prst="rect">
                      <a:avLst/>
                    </a:prstGeom>
                  </pic:spPr>
                </pic:pic>
              </a:graphicData>
            </a:graphic>
            <wp14:sizeRelH relativeFrom="page">
              <wp14:pctWidth>0</wp14:pctWidth>
            </wp14:sizeRelH>
            <wp14:sizeRelV relativeFrom="page">
              <wp14:pctHeight>0</wp14:pctHeight>
            </wp14:sizeRelV>
          </wp:anchor>
        </w:drawing>
      </w:r>
    </w:p>
    <w:p w14:paraId="4D0D5A9F" w14:textId="77777777" w:rsidR="00083203" w:rsidRDefault="00083203" w:rsidP="00083203"/>
    <w:p w14:paraId="145A702A" w14:textId="162A225E" w:rsidR="00083203" w:rsidRDefault="00083203" w:rsidP="00083203">
      <w:r>
        <w:t>Although I examined over 100 tweets, Figure 1 demonstrates a random sample of opinions on WSH amongst astrologers or enthusiasts on Twitter</w:t>
      </w:r>
      <w:r>
        <w:rPr>
          <w:rStyle w:val="FootnoteReference"/>
        </w:rPr>
        <w:footnoteReference w:id="157"/>
      </w:r>
      <w:r>
        <w:t>. Unlike in the mid to late 20</w:t>
      </w:r>
      <w:r w:rsidRPr="002F1E6F">
        <w:rPr>
          <w:vertAlign w:val="superscript"/>
        </w:rPr>
        <w:t>th</w:t>
      </w:r>
      <w:r>
        <w:t xml:space="preserve"> century, WSH appears to be a house system that is considered note-worthy by at least some Twitter astrologers. Although the random sample returned mostly positive opinion for WSH, the intent of this research is not to discover house system preference by astrologers, only that </w:t>
      </w:r>
      <w:r w:rsidR="000C6452">
        <w:t>WSH</w:t>
      </w:r>
      <w:r>
        <w:t xml:space="preserve"> is a recognised house system. If Twitter users are representative of astrologers broadly,</w:t>
      </w:r>
      <w:r w:rsidR="00AB20DC">
        <w:t xml:space="preserve"> which is likely given Clynes’s research that astrologers use social media more than others, then</w:t>
      </w:r>
      <w:r>
        <w:t xml:space="preserve"> WSH </w:t>
      </w:r>
      <w:r w:rsidR="00790A13">
        <w:t>is</w:t>
      </w:r>
      <w:r>
        <w:t xml:space="preserve"> a recognised house system</w:t>
      </w:r>
      <w:r w:rsidR="0001701D">
        <w:t xml:space="preserve"> </w:t>
      </w:r>
      <w:r>
        <w:t>within the last few years.</w:t>
      </w:r>
    </w:p>
    <w:p w14:paraId="6C8DAC09" w14:textId="77777777" w:rsidR="00083203" w:rsidRDefault="00083203" w:rsidP="00083203">
      <w:pPr>
        <w:pStyle w:val="Heading3"/>
      </w:pPr>
      <w:bookmarkStart w:id="95" w:name="_Toc83646467"/>
      <w:r w:rsidRPr="00CC1903">
        <w:t>8.1.2</w:t>
      </w:r>
      <w:r>
        <w:t>:</w:t>
      </w:r>
      <w:r w:rsidRPr="00CC1903">
        <w:t xml:space="preserve"> WSH and Originality</w:t>
      </w:r>
      <w:bookmarkEnd w:id="95"/>
    </w:p>
    <w:p w14:paraId="120DB8A1" w14:textId="7EC533E3" w:rsidR="00083203" w:rsidRDefault="00083203" w:rsidP="00083203">
      <w:r>
        <w:t>The idea that WSH is the oldest, most predominant, or original house system, as popularised by Schmidt</w:t>
      </w:r>
      <w:r w:rsidR="00F00A29">
        <w:t xml:space="preserve"> and </w:t>
      </w:r>
      <w:r>
        <w:t xml:space="preserve">Hand, is also evidenced by Twitter users. Similar to before, I employed a number of simple search terms such to see if these ideas have permeated to Twitter discussion. </w:t>
      </w:r>
    </w:p>
    <w:p w14:paraId="3370A692" w14:textId="77777777" w:rsidR="00083203" w:rsidRDefault="00083203" w:rsidP="00083203">
      <w:pPr>
        <w:keepNext/>
      </w:pPr>
      <w:r>
        <w:rPr>
          <w:noProof/>
        </w:rPr>
        <w:drawing>
          <wp:inline distT="0" distB="0" distL="0" distR="0" wp14:anchorId="25B60369" wp14:editId="52AD9934">
            <wp:extent cx="5727700" cy="37852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727700" cy="3785235"/>
                    </a:xfrm>
                    <a:prstGeom prst="rect">
                      <a:avLst/>
                    </a:prstGeom>
                  </pic:spPr>
                </pic:pic>
              </a:graphicData>
            </a:graphic>
          </wp:inline>
        </w:drawing>
      </w:r>
    </w:p>
    <w:p w14:paraId="03B2FDB8" w14:textId="77777777" w:rsidR="00083203" w:rsidRDefault="00083203" w:rsidP="00083203">
      <w:pPr>
        <w:pStyle w:val="Caption"/>
        <w:jc w:val="center"/>
      </w:pPr>
      <w:bookmarkStart w:id="96" w:name="_Toc83646483"/>
      <w:r>
        <w:t xml:space="preserve">Figure </w:t>
      </w:r>
      <w:r w:rsidR="00934AC8">
        <w:fldChar w:fldCharType="begin"/>
      </w:r>
      <w:r w:rsidR="00934AC8">
        <w:instrText xml:space="preserve"> SEQ Figure \* ARABIC </w:instrText>
      </w:r>
      <w:r w:rsidR="00934AC8">
        <w:fldChar w:fldCharType="separate"/>
      </w:r>
      <w:r>
        <w:rPr>
          <w:noProof/>
        </w:rPr>
        <w:t>2</w:t>
      </w:r>
      <w:r w:rsidR="00934AC8">
        <w:rPr>
          <w:noProof/>
        </w:rPr>
        <w:fldChar w:fldCharType="end"/>
      </w:r>
      <w:r>
        <w:t xml:space="preserve">. </w:t>
      </w:r>
      <w:r w:rsidRPr="00ED13FB">
        <w:t>Sample of opinions o</w:t>
      </w:r>
      <w:r>
        <w:t xml:space="preserve">n </w:t>
      </w:r>
      <w:r w:rsidRPr="00ED13FB">
        <w:t>originality or primacy</w:t>
      </w:r>
      <w:r>
        <w:t xml:space="preserve"> of</w:t>
      </w:r>
      <w:r w:rsidRPr="00ED13FB">
        <w:t xml:space="preserve"> Whole Sign Houses on Twitter.</w:t>
      </w:r>
      <w:bookmarkEnd w:id="96"/>
    </w:p>
    <w:p w14:paraId="04BC24AF" w14:textId="77777777" w:rsidR="00083203" w:rsidRDefault="00083203" w:rsidP="00083203"/>
    <w:p w14:paraId="40D800D3" w14:textId="12E98040" w:rsidR="00083203" w:rsidRDefault="00F90278" w:rsidP="00083203">
      <w:r>
        <w:t>As I needed</w:t>
      </w:r>
      <w:r w:rsidR="00083203">
        <w:t xml:space="preserve"> to</w:t>
      </w:r>
      <w:r w:rsidR="003B79F0">
        <w:t xml:space="preserve"> fully</w:t>
      </w:r>
      <w:r w:rsidR="00083203">
        <w:t xml:space="preserve"> read </w:t>
      </w:r>
      <w:r w:rsidR="003B79F0">
        <w:t xml:space="preserve">each </w:t>
      </w:r>
      <w:r w:rsidR="00083203">
        <w:t>tweet and profile to ensure context, it is difficult to quantify the results, but Figure 2 represents a sample of tweets which demonstrate the opinion</w:t>
      </w:r>
      <w:r w:rsidR="00083203">
        <w:rPr>
          <w:rStyle w:val="FootnoteReference"/>
        </w:rPr>
        <w:footnoteReference w:id="158"/>
      </w:r>
      <w:r w:rsidR="00083203">
        <w:t xml:space="preserve">. One profile, @TheRealValens, </w:t>
      </w:r>
      <w:r w:rsidR="006479EB">
        <w:t xml:space="preserve">a </w:t>
      </w:r>
      <w:r w:rsidR="00083203">
        <w:t xml:space="preserve">clearly </w:t>
      </w:r>
      <w:r w:rsidR="00E1046E">
        <w:t xml:space="preserve">tongue-in-cheek </w:t>
      </w:r>
      <w:r w:rsidR="006479EB">
        <w:t xml:space="preserve">pretence of being </w:t>
      </w:r>
      <w:r w:rsidR="00083203">
        <w:t>Valens</w:t>
      </w:r>
      <w:r w:rsidR="006479EB">
        <w:t xml:space="preserve">, </w:t>
      </w:r>
      <w:r w:rsidR="00E93FAE">
        <w:t xml:space="preserve">and </w:t>
      </w:r>
      <w:r w:rsidR="006479EB">
        <w:t>confirmed that Valens and others ‘did indeed’ use WSH, which his insightful as it demonstrates that this poster is imagining WSH as authoritative for Valens</w:t>
      </w:r>
      <w:r w:rsidR="00083203">
        <w:rPr>
          <w:rStyle w:val="FootnoteReference"/>
        </w:rPr>
        <w:footnoteReference w:id="159"/>
      </w:r>
      <w:r w:rsidR="00083203">
        <w:t xml:space="preserve">. </w:t>
      </w:r>
      <w:r w:rsidR="007B7E90">
        <w:t>D</w:t>
      </w:r>
      <w:r w:rsidR="00083203">
        <w:t>iscussion around the primacy or originality of WSH</w:t>
      </w:r>
      <w:r w:rsidR="007B7E90">
        <w:t xml:space="preserve">, as </w:t>
      </w:r>
      <w:r w:rsidR="00083203">
        <w:t xml:space="preserve">put forth by Holden, Schmidt and Hand have permeated into the </w:t>
      </w:r>
      <w:r w:rsidR="00862E5C">
        <w:t xml:space="preserve">Twitter </w:t>
      </w:r>
      <w:r w:rsidR="00083203">
        <w:t>astrological community</w:t>
      </w:r>
      <w:r w:rsidR="00862E5C">
        <w:t>, therefore, as has assumptions of the ‘inventor’ hypothesis.</w:t>
      </w:r>
    </w:p>
    <w:p w14:paraId="39A481C8" w14:textId="77777777" w:rsidR="00083203" w:rsidRPr="005058F2" w:rsidRDefault="00083203" w:rsidP="00083203">
      <w:pPr>
        <w:pStyle w:val="Heading3"/>
      </w:pPr>
      <w:bookmarkStart w:id="97" w:name="_Toc83646468"/>
      <w:r w:rsidRPr="005058F2">
        <w:t>8.1.3: Twitter Summation</w:t>
      </w:r>
      <w:bookmarkEnd w:id="97"/>
    </w:p>
    <w:p w14:paraId="7713BB68" w14:textId="77777777" w:rsidR="00083203" w:rsidRDefault="00083203" w:rsidP="00083203">
      <w:r>
        <w:t xml:space="preserve">WSH are clearly a house system understood by Twitter astrologers, and ideas popularised by Holden, Schmidt and Hand around the originality or primacy of WSH in ancient astrologers have also permeated online discussion. </w:t>
      </w:r>
    </w:p>
    <w:p w14:paraId="4B09783F" w14:textId="77777777" w:rsidR="00083203" w:rsidRDefault="00083203" w:rsidP="00083203">
      <w:pPr>
        <w:pStyle w:val="Heading2"/>
      </w:pPr>
      <w:bookmarkStart w:id="98" w:name="_Toc83646469"/>
      <w:r>
        <w:t>8.2: WSH on Facebook</w:t>
      </w:r>
      <w:bookmarkEnd w:id="98"/>
    </w:p>
    <w:p w14:paraId="4556DF47" w14:textId="2BC4F771" w:rsidR="00083203" w:rsidRDefault="00083203" w:rsidP="00083203">
      <w:r>
        <w:t>Clynes demonstrated that Facebook was the most popular social media network employed by astrologers, with more than three times as many astrologers using Facebook as used Twitter</w:t>
      </w:r>
      <w:r>
        <w:rPr>
          <w:rStyle w:val="FootnoteReference"/>
        </w:rPr>
        <w:footnoteReference w:id="160"/>
      </w:r>
      <w:r>
        <w:t>. Unlike Twitter, Facebook is more readily set up to have groups dedicated to astrological discussion, and also allow for greater ease of longer-form discussion and debate than Twitter’s format</w:t>
      </w:r>
      <w:r w:rsidR="00480661">
        <w:t>. S</w:t>
      </w:r>
      <w:r>
        <w:t xml:space="preserve">ettings exist to ensure that some of these groups are public, and some are private. As describe above (see </w:t>
      </w:r>
      <w:r w:rsidRPr="0009476A">
        <w:rPr>
          <w:i/>
          <w:iCs/>
        </w:rPr>
        <w:t>Chapter 2: Methodology and Ethics</w:t>
      </w:r>
      <w:r>
        <w:t>), I will be treating all Facebook groups as private, and anonymising posters, unless they are well</w:t>
      </w:r>
      <w:r w:rsidR="00627304">
        <w:t>-</w:t>
      </w:r>
      <w:r>
        <w:t xml:space="preserve">known </w:t>
      </w:r>
      <w:r w:rsidR="00825FC4">
        <w:t xml:space="preserve">practicing </w:t>
      </w:r>
      <w:r>
        <w:t>astrologers</w:t>
      </w:r>
      <w:r w:rsidR="00DD7694">
        <w:t>/scholars</w:t>
      </w:r>
      <w:r>
        <w:t>.</w:t>
      </w:r>
    </w:p>
    <w:p w14:paraId="30C09131" w14:textId="77777777" w:rsidR="00083203" w:rsidRDefault="00083203" w:rsidP="00083203">
      <w:pPr>
        <w:pStyle w:val="Heading3"/>
      </w:pPr>
      <w:bookmarkStart w:id="99" w:name="_Toc83646470"/>
      <w:r w:rsidRPr="00752C7C">
        <w:t xml:space="preserve">8.2.1: </w:t>
      </w:r>
      <w:r>
        <w:t>Tradition and Gatekeeping</w:t>
      </w:r>
      <w:bookmarkEnd w:id="99"/>
    </w:p>
    <w:p w14:paraId="11988FE9" w14:textId="79C8E316" w:rsidR="00083203" w:rsidRDefault="0097374D" w:rsidP="00083203">
      <w:r>
        <w:t>Martin Gansten</w:t>
      </w:r>
      <w:r w:rsidR="009C6B01">
        <w:t xml:space="preserve">, as well as being an </w:t>
      </w:r>
      <w:r>
        <w:t xml:space="preserve">astrologer, </w:t>
      </w:r>
      <w:r w:rsidR="009C6B01">
        <w:t>is an astrological historian</w:t>
      </w:r>
      <w:r>
        <w:t xml:space="preserve"> and docent in History of Religions at Lund University, making him a highly lauded academic</w:t>
      </w:r>
      <w:r w:rsidR="000A4FDC">
        <w:rPr>
          <w:rStyle w:val="FootnoteReference"/>
        </w:rPr>
        <w:footnoteReference w:id="161"/>
      </w:r>
      <w:r>
        <w:t xml:space="preserve">. </w:t>
      </w:r>
      <w:r w:rsidR="00083203">
        <w:t xml:space="preserve">In one </w:t>
      </w:r>
      <w:r w:rsidR="000A4276">
        <w:t xml:space="preserve">traditional astrology </w:t>
      </w:r>
      <w:r w:rsidR="00083203">
        <w:t xml:space="preserve">group, a poster, anonymised as ‘Tony’, cited Gansten as rejecting WSH, </w:t>
      </w:r>
      <w:r w:rsidR="00083038">
        <w:t xml:space="preserve">as </w:t>
      </w:r>
      <w:r w:rsidR="00083203">
        <w:t xml:space="preserve">evidenced in a </w:t>
      </w:r>
      <w:r w:rsidR="00083038">
        <w:t xml:space="preserve">recent </w:t>
      </w:r>
      <w:r w:rsidR="00083203">
        <w:t>book</w:t>
      </w:r>
      <w:r w:rsidR="00083038">
        <w:t xml:space="preserve"> of </w:t>
      </w:r>
      <w:r w:rsidR="005378CF">
        <w:t>Gansten’s</w:t>
      </w:r>
      <w:r w:rsidR="00083203">
        <w:rPr>
          <w:rStyle w:val="FootnoteReference"/>
        </w:rPr>
        <w:footnoteReference w:id="162"/>
      </w:r>
      <w:r w:rsidR="00083203">
        <w:t>. In subsequent discussion, another poster, ‘Carlos’, argued that Gansten must therefore be part of the WSH ‘denialist group’, with other posters such as ‘Mark’ and ‘Michael’, all agreeing that Gansten was a ‘whole sign house denier’, in the same kind of terminology that one might describe, say, a holocaust denier</w:t>
      </w:r>
      <w:r w:rsidR="00083203">
        <w:rPr>
          <w:rStyle w:val="FootnoteReference"/>
        </w:rPr>
        <w:footnoteReference w:id="163"/>
      </w:r>
      <w:r w:rsidR="00083203">
        <w:t>. In fact, Gansten’s actual argument was that whilst WSH was widely used in antiquity, it was never ‘actually prescribed by any ancient author’</w:t>
      </w:r>
      <w:r w:rsidR="009E367E">
        <w:rPr>
          <w:rStyle w:val="FootnoteReference"/>
        </w:rPr>
        <w:footnoteReference w:id="164"/>
      </w:r>
      <w:r w:rsidR="00264EE8">
        <w:t xml:space="preserve">. </w:t>
      </w:r>
      <w:r w:rsidR="00083203">
        <w:t>Gansten</w:t>
      </w:r>
      <w:r w:rsidR="00264EE8">
        <w:t xml:space="preserve"> </w:t>
      </w:r>
      <w:r w:rsidR="00A179B2">
        <w:t>suggested</w:t>
      </w:r>
      <w:r w:rsidR="00264EE8">
        <w:t xml:space="preserve"> that WSH ‘</w:t>
      </w:r>
      <w:r w:rsidR="00083203">
        <w:t>was always more in the nature of a convenient approximation than a system’</w:t>
      </w:r>
      <w:r w:rsidR="00FE274F">
        <w:rPr>
          <w:rStyle w:val="FootnoteReference"/>
        </w:rPr>
        <w:footnoteReference w:id="165"/>
      </w:r>
      <w:r w:rsidR="00264EE8">
        <w:t xml:space="preserve">. Finally, Gansten </w:t>
      </w:r>
      <w:r w:rsidR="00083203">
        <w:t>offered his own view, as an astrologer, that ‘I have not found whole-sign houses to work consistently in practice’</w:t>
      </w:r>
      <w:r w:rsidR="00083203">
        <w:rPr>
          <w:rStyle w:val="FootnoteReference"/>
        </w:rPr>
        <w:footnoteReference w:id="166"/>
      </w:r>
      <w:r w:rsidR="00083203">
        <w:t xml:space="preserve">. Gansten, then, providing his understanding both as a </w:t>
      </w:r>
      <w:r w:rsidR="00A02963">
        <w:t>noted historian</w:t>
      </w:r>
      <w:r w:rsidR="00083203">
        <w:t>, and astrologer, recognis</w:t>
      </w:r>
      <w:r w:rsidR="00471C29">
        <w:t>ed</w:t>
      </w:r>
      <w:r w:rsidR="00083203">
        <w:t xml:space="preserve"> that WSH was used, </w:t>
      </w:r>
      <w:r w:rsidR="00471C29">
        <w:t>never denied</w:t>
      </w:r>
      <w:r w:rsidR="00083203">
        <w:t xml:space="preserve"> its existence, but </w:t>
      </w:r>
      <w:r w:rsidR="00471C29">
        <w:t xml:space="preserve">questioned </w:t>
      </w:r>
      <w:r w:rsidR="00083203">
        <w:t xml:space="preserve">its efficacy as a personal opinion, and </w:t>
      </w:r>
      <w:r w:rsidR="00286A69">
        <w:t xml:space="preserve">suggested WSH was just a </w:t>
      </w:r>
      <w:r w:rsidR="00286A69" w:rsidRPr="000510B4">
        <w:rPr>
          <w:i/>
          <w:iCs/>
        </w:rPr>
        <w:t>convenient</w:t>
      </w:r>
      <w:r w:rsidR="00286A69">
        <w:t xml:space="preserve"> </w:t>
      </w:r>
      <w:r w:rsidR="000510B4">
        <w:t>system</w:t>
      </w:r>
      <w:r w:rsidR="00286A69">
        <w:t xml:space="preserve">, rather than a </w:t>
      </w:r>
      <w:r w:rsidR="00286A69" w:rsidRPr="000510B4">
        <w:rPr>
          <w:i/>
          <w:iCs/>
        </w:rPr>
        <w:t>preferred</w:t>
      </w:r>
      <w:r w:rsidR="00286A69">
        <w:t xml:space="preserve"> </w:t>
      </w:r>
      <w:r w:rsidR="000510B4">
        <w:t>system</w:t>
      </w:r>
      <w:r w:rsidR="00083203">
        <w:t xml:space="preserve">. </w:t>
      </w:r>
      <w:r w:rsidR="00AC1F99">
        <w:t>The Facebook comments describing Gansten as a ‘denier’ of WSH</w:t>
      </w:r>
      <w:r w:rsidR="00643F27">
        <w:t>, therefore,</w:t>
      </w:r>
      <w:r w:rsidR="00AC1F99">
        <w:t xml:space="preserve"> is clearly false</w:t>
      </w:r>
      <w:r w:rsidR="00632F4E">
        <w:t xml:space="preserve">, but is instead a denial not of WSH itself, but the recent astrological </w:t>
      </w:r>
      <w:r w:rsidR="00814BAC">
        <w:t>view that WSH was original and preferred</w:t>
      </w:r>
      <w:r w:rsidR="00AC1F99">
        <w:t xml:space="preserve">. </w:t>
      </w:r>
      <w:r w:rsidR="00727EFA">
        <w:t xml:space="preserve">Of note, </w:t>
      </w:r>
      <w:r w:rsidR="00FF6D9D">
        <w:t xml:space="preserve">Gansten </w:t>
      </w:r>
      <w:r w:rsidR="00727EFA">
        <w:t>was</w:t>
      </w:r>
      <w:r w:rsidR="00FF6D9D">
        <w:t xml:space="preserve"> </w:t>
      </w:r>
      <w:r w:rsidR="00727EFA">
        <w:t xml:space="preserve">not deemed to be </w:t>
      </w:r>
      <w:r w:rsidR="00FF6D9D">
        <w:t>innocently wrong, but instead a ‘denier’,</w:t>
      </w:r>
      <w:r w:rsidR="00BB65D9">
        <w:t xml:space="preserve"> and part </w:t>
      </w:r>
      <w:r w:rsidR="00112DB4">
        <w:t xml:space="preserve">of </w:t>
      </w:r>
      <w:r w:rsidR="00112DB4">
        <w:t>‘</w:t>
      </w:r>
      <w:r w:rsidR="00112DB4" w:rsidRPr="00DA4D9C">
        <w:rPr>
          <w:i/>
          <w:iCs/>
        </w:rPr>
        <w:t>the</w:t>
      </w:r>
      <w:r w:rsidR="00112DB4">
        <w:t xml:space="preserve"> group</w:t>
      </w:r>
      <w:r w:rsidR="004566E8">
        <w:t xml:space="preserve">’ of </w:t>
      </w:r>
      <w:r w:rsidR="00230311">
        <w:t xml:space="preserve">WSH </w:t>
      </w:r>
      <w:r w:rsidR="004566E8">
        <w:t xml:space="preserve">deniers </w:t>
      </w:r>
      <w:r w:rsidR="00112DB4">
        <w:t>(emphasis mine)</w:t>
      </w:r>
      <w:r w:rsidR="00BB65D9">
        <w:t>,</w:t>
      </w:r>
      <w:r w:rsidR="00FF6D9D">
        <w:t xml:space="preserve"> </w:t>
      </w:r>
      <w:r w:rsidR="00683040">
        <w:t>which</w:t>
      </w:r>
      <w:r w:rsidR="00FF6D9D">
        <w:t xml:space="preserve"> </w:t>
      </w:r>
      <w:r w:rsidR="00112DB4">
        <w:t>is a language that</w:t>
      </w:r>
      <w:r w:rsidR="00FF6D9D">
        <w:t xml:space="preserve"> </w:t>
      </w:r>
      <w:r w:rsidR="00A83D0B">
        <w:t xml:space="preserve">not only implies a conspiracy of sorts against WSH, but also that </w:t>
      </w:r>
      <w:r w:rsidR="00FF6D9D">
        <w:t xml:space="preserve">Gansten is </w:t>
      </w:r>
      <w:r w:rsidR="0019576E">
        <w:t xml:space="preserve">dishonest, </w:t>
      </w:r>
      <w:r w:rsidR="00FF6D9D">
        <w:t xml:space="preserve">not a reliable scholar, </w:t>
      </w:r>
      <w:r w:rsidR="00A83D0B">
        <w:t xml:space="preserve">and </w:t>
      </w:r>
      <w:r w:rsidR="00FF6D9D">
        <w:t>is ignoring all evidenc</w:t>
      </w:r>
      <w:r w:rsidR="00A83D0B">
        <w:t>e</w:t>
      </w:r>
      <w:r w:rsidR="00FF6D9D">
        <w:t xml:space="preserve">. </w:t>
      </w:r>
      <w:r w:rsidR="00083203">
        <w:t>Th</w:t>
      </w:r>
      <w:r w:rsidR="00FF6D9D">
        <w:t xml:space="preserve">is </w:t>
      </w:r>
      <w:r w:rsidR="00DC19E1">
        <w:t>emerging discussion is consistent</w:t>
      </w:r>
      <w:r w:rsidR="00083203">
        <w:t xml:space="preserve"> with Hobsbawm’s descriptions of invented tradition, where one of its purposes is for ‘inculcation of beliefs’, and</w:t>
      </w:r>
      <w:r w:rsidR="006C2001">
        <w:t xml:space="preserve"> can confer </w:t>
      </w:r>
      <w:r w:rsidR="00083203">
        <w:t>‘symbolically charged signs of club membership’, in other words Gansten’s comments, which deny the established understanding of the ‘tradition’</w:t>
      </w:r>
      <w:r w:rsidR="00C24AA8">
        <w:t xml:space="preserve">, </w:t>
      </w:r>
      <w:r w:rsidR="00083203">
        <w:t>an understanding which was absent until the last few decades, challenge</w:t>
      </w:r>
      <w:r w:rsidR="00FB67FD">
        <w:t>s</w:t>
      </w:r>
      <w:r w:rsidR="00083203">
        <w:t xml:space="preserve"> the inculcation of belief</w:t>
      </w:r>
      <w:r w:rsidR="008E5AD3">
        <w:t xml:space="preserve"> around WSH, and threatens </w:t>
      </w:r>
      <w:r w:rsidR="00083203">
        <w:t xml:space="preserve">the sense of community or membership that this set of beliefs </w:t>
      </w:r>
      <w:r w:rsidR="00FB67FD">
        <w:t>confer</w:t>
      </w:r>
      <w:r w:rsidR="00083203">
        <w:rPr>
          <w:rStyle w:val="FootnoteReference"/>
        </w:rPr>
        <w:footnoteReference w:id="167"/>
      </w:r>
      <w:r w:rsidR="00083203">
        <w:t xml:space="preserve">. To some </w:t>
      </w:r>
      <w:r w:rsidR="00A232D3">
        <w:t>degree</w:t>
      </w:r>
      <w:r w:rsidR="00083203">
        <w:t xml:space="preserve"> this might be consistent with the debate and argument about house systems that is common to the astrological community, but given Gansten is an acclaimed historian, and a respected scholar, his opinion might be ordinarily considered worthy of consideration, but in this case, evoking Derrida’s and Foucault’s commentary on language being used as a vehicle of control, the terminology of being a ‘denier’ is arguably an attempt to </w:t>
      </w:r>
      <w:r w:rsidR="00BB4EBD">
        <w:t>ignore</w:t>
      </w:r>
      <w:r w:rsidR="00083203">
        <w:t xml:space="preserve"> Gansten’s credentials on the matter, </w:t>
      </w:r>
      <w:r w:rsidR="000E72F7">
        <w:t>so that he can be connoted as an aggressive fringe</w:t>
      </w:r>
      <w:r w:rsidR="00083203">
        <w:t xml:space="preserve"> idealist instead. </w:t>
      </w:r>
      <w:r w:rsidR="006D3FF6">
        <w:t>Certain</w:t>
      </w:r>
      <w:r w:rsidR="00083203">
        <w:t xml:space="preserve"> proponents of WSH </w:t>
      </w:r>
      <w:r w:rsidR="006D3FF6">
        <w:t xml:space="preserve">on Facebook </w:t>
      </w:r>
      <w:r w:rsidR="00083203">
        <w:t>are</w:t>
      </w:r>
      <w:r w:rsidR="006D3FF6">
        <w:t xml:space="preserve"> therefore</w:t>
      </w:r>
      <w:r w:rsidR="00083203">
        <w:t xml:space="preserve"> acting consistently with Hobsbawm’s description of invented tradition, which ‘</w:t>
      </w:r>
      <w:r w:rsidR="00083203" w:rsidRPr="004C2CDB">
        <w:t>so far as possible, use history as a legitimator of action and cement of group cohesion</w:t>
      </w:r>
      <w:r w:rsidR="00083203">
        <w:t>’, in other words, the ‘tradition’ is using history to cement who is and is not part of the group, and what is or is not legitimate</w:t>
      </w:r>
      <w:r w:rsidR="00827A57">
        <w:t xml:space="preserve">, with Gansten seen as illegitimate, despite his </w:t>
      </w:r>
      <w:r w:rsidR="00D038C7">
        <w:t xml:space="preserve">excellent </w:t>
      </w:r>
      <w:r w:rsidR="00827A57">
        <w:t>accreditations as an astrological historian</w:t>
      </w:r>
      <w:r w:rsidR="00083203">
        <w:rPr>
          <w:rStyle w:val="FootnoteReference"/>
        </w:rPr>
        <w:footnoteReference w:id="168"/>
      </w:r>
      <w:r w:rsidR="00083203">
        <w:t xml:space="preserve">. </w:t>
      </w:r>
    </w:p>
    <w:p w14:paraId="24D58B94" w14:textId="77777777" w:rsidR="00083203" w:rsidRDefault="00083203" w:rsidP="00083203">
      <w:pPr>
        <w:pStyle w:val="Heading3"/>
      </w:pPr>
      <w:bookmarkStart w:id="100" w:name="_Toc83646471"/>
      <w:r w:rsidRPr="00E575B9">
        <w:t xml:space="preserve">8.2.2: </w:t>
      </w:r>
      <w:r>
        <w:t>Defining a House System</w:t>
      </w:r>
      <w:bookmarkEnd w:id="100"/>
    </w:p>
    <w:p w14:paraId="2F586D81" w14:textId="7DAF0BA2" w:rsidR="00083203" w:rsidRPr="00A55D02" w:rsidRDefault="00083203" w:rsidP="00083203">
      <w:r>
        <w:t>Schmid</w:t>
      </w:r>
      <w:r w:rsidR="00C01F20">
        <w:t>t</w:t>
      </w:r>
      <w:r>
        <w:t>,</w:t>
      </w:r>
      <w:r w:rsidR="00262A1A">
        <w:t xml:space="preserve"> as</w:t>
      </w:r>
      <w:r>
        <w:t xml:space="preserve"> described earlier,</w:t>
      </w:r>
      <w:r w:rsidR="00262A1A">
        <w:t xml:space="preserve"> denied Valens’s use of Porphyry divisions was a house system, and instead s</w:t>
      </w:r>
      <w:r>
        <w:t xml:space="preserve">ome additional overlay (see </w:t>
      </w:r>
      <w:r w:rsidRPr="00497ADF">
        <w:rPr>
          <w:i/>
          <w:iCs/>
        </w:rPr>
        <w:t>4.2.4: Topics and Strength</w:t>
      </w:r>
      <w:r>
        <w:t xml:space="preserve">). As described earlier (see </w:t>
      </w:r>
      <w:r w:rsidRPr="006074B2">
        <w:rPr>
          <w:i/>
          <w:iCs/>
        </w:rPr>
        <w:t>7.2.3: Valens and Quadrant Houses</w:t>
      </w:r>
      <w:r>
        <w:t>), however, those topics are indeed in evidence with Valens’s treatment of Porphyry divisions</w:t>
      </w:r>
      <w:r w:rsidR="003D53DF">
        <w:t>.</w:t>
      </w:r>
      <w:r>
        <w:t xml:space="preserve"> </w:t>
      </w:r>
      <w:r w:rsidR="003D53DF">
        <w:t>Nevertheless, t</w:t>
      </w:r>
      <w:r>
        <w:t>his viewpoint has penetrated astrological discussion on Facebook groups.</w:t>
      </w:r>
      <w:r w:rsidR="005F1033" w:rsidRPr="005F1033">
        <w:t xml:space="preserve"> </w:t>
      </w:r>
      <w:r w:rsidR="005F1033">
        <w:t>Deborah Houlding is a multi-award-winning astrologer, who, in 2006 published a book dedicated to discussion of the history of house systems</w:t>
      </w:r>
      <w:r w:rsidR="005F1033">
        <w:rPr>
          <w:rStyle w:val="FootnoteReference"/>
        </w:rPr>
        <w:footnoteReference w:id="169"/>
      </w:r>
      <w:r w:rsidR="005F1033">
        <w:t>.</w:t>
      </w:r>
      <w:r>
        <w:t xml:space="preserve"> </w:t>
      </w:r>
      <w:r w:rsidR="00590E82">
        <w:t>In December 2020</w:t>
      </w:r>
      <w:r w:rsidR="005F1033">
        <w:t xml:space="preserve">, Houlding </w:t>
      </w:r>
      <w:r>
        <w:t xml:space="preserve">described Valens’s approach to Porphyry divisions, with a diagram captioned </w:t>
      </w:r>
      <w:r w:rsidR="00937773">
        <w:t xml:space="preserve">as </w:t>
      </w:r>
      <w:r>
        <w:t xml:space="preserve">‘Valens III.2, calculation of the 12 Places, Porphyry’, making it clear that she considered </w:t>
      </w:r>
      <w:r w:rsidR="002B2EAD">
        <w:t>a</w:t>
      </w:r>
      <w:r>
        <w:t xml:space="preserve"> passage from Valens to describe Porphyry as a house-system</w:t>
      </w:r>
      <w:r>
        <w:rPr>
          <w:rStyle w:val="FootnoteReference"/>
        </w:rPr>
        <w:footnoteReference w:id="170"/>
      </w:r>
      <w:r>
        <w:t xml:space="preserve">. </w:t>
      </w:r>
      <w:r w:rsidR="006E5A72">
        <w:t>On a separate Facebo</w:t>
      </w:r>
      <w:r w:rsidR="006E793C">
        <w:t xml:space="preserve">ok </w:t>
      </w:r>
      <w:r>
        <w:t>group, this post was</w:t>
      </w:r>
      <w:r w:rsidR="00BB6275">
        <w:t xml:space="preserve"> linked to,</w:t>
      </w:r>
      <w:r>
        <w:t xml:space="preserve"> discussed and criticised, and “Rem</w:t>
      </w:r>
      <w:r w:rsidR="006F3531">
        <w:t>y</w:t>
      </w:r>
      <w:r>
        <w:t xml:space="preserve">” argued that the graphic itself was steering controversy as it referred to the Porphyry divisions as </w:t>
      </w:r>
      <w:r w:rsidR="000051CE">
        <w:t>houses</w:t>
      </w:r>
      <w:r>
        <w:t>, which was ‘plain wrong’, and Rem</w:t>
      </w:r>
      <w:r w:rsidR="000051CE">
        <w:t>y</w:t>
      </w:r>
      <w:r>
        <w:t xml:space="preserve"> distinguished Deborah’s view from Valens’s ‘true intent’,</w:t>
      </w:r>
      <w:r w:rsidR="0087754D">
        <w:t xml:space="preserve"> with this ‘true intent’ being Schmidt’s view of the matter</w:t>
      </w:r>
      <w:r>
        <w:rPr>
          <w:rStyle w:val="FootnoteReference"/>
        </w:rPr>
        <w:footnoteReference w:id="171"/>
      </w:r>
      <w:r>
        <w:t>. In fact</w:t>
      </w:r>
      <w:r w:rsidR="004848EA">
        <w:t>,</w:t>
      </w:r>
      <w:r>
        <w:t xml:space="preserve"> several times in this discussion Rem</w:t>
      </w:r>
      <w:r w:rsidR="00EB2356">
        <w:t xml:space="preserve">y </w:t>
      </w:r>
      <w:r>
        <w:t>report</w:t>
      </w:r>
      <w:r w:rsidR="00EB2356">
        <w:t xml:space="preserve">ed </w:t>
      </w:r>
      <w:r>
        <w:t xml:space="preserve">on what Valens’s real intent was, or more broadly how the ancient Greek mind worked, which, in every case, echoed, either by </w:t>
      </w:r>
      <w:r w:rsidR="00017B0A">
        <w:t>citation</w:t>
      </w:r>
      <w:r>
        <w:t xml:space="preserve"> or not, Schmid</w:t>
      </w:r>
      <w:r w:rsidR="00EB2356">
        <w:t>t’s view</w:t>
      </w:r>
      <w:r>
        <w:t>. That Rem</w:t>
      </w:r>
      <w:r w:rsidR="00863CC8">
        <w:t>y</w:t>
      </w:r>
      <w:r>
        <w:t xml:space="preserve"> considered this </w:t>
      </w:r>
      <w:r w:rsidR="00971A6F">
        <w:t>as courting controve</w:t>
      </w:r>
      <w:r w:rsidR="00533D93">
        <w:t>rsy</w:t>
      </w:r>
      <w:r>
        <w:t xml:space="preserve"> is enlightening as it demonstrates that disagreement with Schmidt’s view is </w:t>
      </w:r>
      <w:r w:rsidRPr="00BE006D">
        <w:rPr>
          <w:i/>
          <w:iCs/>
        </w:rPr>
        <w:t xml:space="preserve">de facto </w:t>
      </w:r>
      <w:r>
        <w:t xml:space="preserve">controversial, and, that </w:t>
      </w:r>
      <w:r w:rsidR="00AB7588">
        <w:t>Houlding</w:t>
      </w:r>
      <w:r>
        <w:t xml:space="preserve"> is connoted as heretical for disagreeing</w:t>
      </w:r>
      <w:r w:rsidR="00265B1D">
        <w:t xml:space="preserve">. </w:t>
      </w:r>
      <w:r w:rsidR="00B205E3">
        <w:t>There is no reason to imagine that a differing understanding</w:t>
      </w:r>
      <w:r w:rsidR="0013427A">
        <w:t xml:space="preserve"> of house</w:t>
      </w:r>
      <w:r w:rsidR="00443A04">
        <w:t xml:space="preserve"> history</w:t>
      </w:r>
      <w:r w:rsidR="00B205E3">
        <w:t xml:space="preserve"> would be imagined as controversial</w:t>
      </w:r>
      <w:r w:rsidR="0013427A">
        <w:t>, especially from someone who is famous for publishing a book on house</w:t>
      </w:r>
      <w:r w:rsidR="008A1B34">
        <w:t xml:space="preserve"> history,</w:t>
      </w:r>
      <w:r w:rsidR="00B205E3">
        <w:t xml:space="preserve"> unless a culture exists in which disagreement is already </w:t>
      </w:r>
      <w:r w:rsidR="00B205E3" w:rsidRPr="006968C2">
        <w:rPr>
          <w:i/>
          <w:iCs/>
        </w:rPr>
        <w:t>de facto</w:t>
      </w:r>
      <w:r w:rsidR="00B205E3">
        <w:t xml:space="preserve"> controversial as it goes some established authority. Hobsbawm categorised some invented traditions as ‘</w:t>
      </w:r>
      <w:r w:rsidR="00B205E3" w:rsidRPr="00405BC8">
        <w:t>those establishing or legitimizing institutions, status or relations of authority</w:t>
      </w:r>
      <w:r w:rsidR="00B205E3">
        <w:t>’, and certainly the evidence of disagreement being controversial evokes th</w:t>
      </w:r>
      <w:r w:rsidR="00A20F98">
        <w:t xml:space="preserve">is </w:t>
      </w:r>
      <w:r w:rsidR="00B205E3">
        <w:t>sense of authority relations</w:t>
      </w:r>
      <w:r w:rsidR="00B205E3">
        <w:rPr>
          <w:rStyle w:val="FootnoteReference"/>
        </w:rPr>
        <w:footnoteReference w:id="172"/>
      </w:r>
      <w:r w:rsidR="00B205E3">
        <w:t>.</w:t>
      </w:r>
      <w:r>
        <w:t xml:space="preserve"> </w:t>
      </w:r>
      <w:r w:rsidR="007E2C73">
        <w:t>Houlding’s view is, therefore, controversial only in that it threatens the established tradition, as Schmidt’s view is clearly seen as authoritative by posters like Remy and others.</w:t>
      </w:r>
    </w:p>
    <w:p w14:paraId="6E6DC54D" w14:textId="77777777" w:rsidR="00083203" w:rsidRPr="005058F2" w:rsidRDefault="00083203" w:rsidP="00083203">
      <w:pPr>
        <w:pStyle w:val="Heading3"/>
      </w:pPr>
      <w:bookmarkStart w:id="101" w:name="_Toc83646472"/>
      <w:r w:rsidRPr="005058F2">
        <w:t>8.</w:t>
      </w:r>
      <w:r>
        <w:t>2</w:t>
      </w:r>
      <w:r w:rsidRPr="005058F2">
        <w:t xml:space="preserve">.3: </w:t>
      </w:r>
      <w:r>
        <w:t>Facebook</w:t>
      </w:r>
      <w:r w:rsidRPr="005058F2">
        <w:t xml:space="preserve"> Summation</w:t>
      </w:r>
      <w:bookmarkEnd w:id="101"/>
    </w:p>
    <w:p w14:paraId="04371A34" w14:textId="47661B69" w:rsidR="00083203" w:rsidRDefault="00083203" w:rsidP="00151B57">
      <w:r>
        <w:t xml:space="preserve">Facebook discussions on groups dedicated to traditional forms of astrology regularly cite or reference Schmidt’s viewpoints, and those of Project Hindsight more generally, whether consciously or otherwise. Gansten, a respected </w:t>
      </w:r>
      <w:r w:rsidR="004D47E6">
        <w:t xml:space="preserve">astrologer, </w:t>
      </w:r>
      <w:r>
        <w:t>scholar and historian, was labelled a history ‘denier’ for concluding that WSH was used for convenience, and Houlding, a</w:t>
      </w:r>
      <w:r w:rsidR="00D626D8">
        <w:t>n award</w:t>
      </w:r>
      <w:r w:rsidR="00C75BE2">
        <w:t>-</w:t>
      </w:r>
      <w:r w:rsidR="00D626D8">
        <w:t>winning</w:t>
      </w:r>
      <w:r>
        <w:t xml:space="preserve"> astrologer who had written extensively on house systems, was considered controversial for</w:t>
      </w:r>
      <w:r w:rsidR="001501F6">
        <w:t xml:space="preserve"> just</w:t>
      </w:r>
      <w:r>
        <w:t xml:space="preserve"> disagreeing with </w:t>
      </w:r>
      <w:r w:rsidR="001501F6">
        <w:t>Schmidt</w:t>
      </w:r>
      <w:r>
        <w:t xml:space="preserve">. In both instances, both </w:t>
      </w:r>
      <w:r w:rsidR="00984795">
        <w:t>individuals</w:t>
      </w:r>
      <w:r>
        <w:t xml:space="preserve"> were cast into an ‘other’ group, with Gansten explicitly described as part of </w:t>
      </w:r>
      <w:r w:rsidRPr="00B64B3D">
        <w:rPr>
          <w:i/>
          <w:iCs/>
        </w:rPr>
        <w:t>the</w:t>
      </w:r>
      <w:r>
        <w:t xml:space="preserve"> group of WSH deniers. Hobsbawm</w:t>
      </w:r>
      <w:r w:rsidR="00961E4B">
        <w:t xml:space="preserve"> described </w:t>
      </w:r>
      <w:r>
        <w:t>invented tradition</w:t>
      </w:r>
      <w:r w:rsidR="00961E4B">
        <w:t>s</w:t>
      </w:r>
      <w:r>
        <w:t xml:space="preserve"> </w:t>
      </w:r>
      <w:r w:rsidR="00961E4B">
        <w:t>as</w:t>
      </w:r>
      <w:r>
        <w:t xml:space="preserve"> legitimis</w:t>
      </w:r>
      <w:r w:rsidR="00961E4B">
        <w:t>ing</w:t>
      </w:r>
      <w:r>
        <w:t xml:space="preserve"> authority</w:t>
      </w:r>
      <w:r w:rsidR="00961E4B">
        <w:t xml:space="preserve"> figures</w:t>
      </w:r>
      <w:r>
        <w:t xml:space="preserve">, and those which inculcate belief within a cohesive group, and both </w:t>
      </w:r>
      <w:r w:rsidR="00961E4B">
        <w:t xml:space="preserve">these </w:t>
      </w:r>
      <w:r>
        <w:t xml:space="preserve">attitudes are in evidence within Facebook discussions such as these. </w:t>
      </w:r>
      <w:r w:rsidR="00151B57">
        <w:t xml:space="preserve">The views put forth by Schmidt, and others associated with Project Hindsight, seem to benefit from the utility that Hobsbawm described of invented tradition, with followers of that tradition inculcating belief, and establishing tightly-knit group cohesion of identity, with others who questioned this belief as negatively </w:t>
      </w:r>
      <w:r w:rsidR="008F4D77">
        <w:t>described</w:t>
      </w:r>
      <w:r w:rsidR="00151B57">
        <w:t xml:space="preserve">. </w:t>
      </w:r>
      <w:r w:rsidR="009F383A">
        <w:t>Whilst this does not mean such beliefs are</w:t>
      </w:r>
      <w:r w:rsidR="000B320E">
        <w:t xml:space="preserve"> indeed</w:t>
      </w:r>
      <w:r w:rsidR="009F383A">
        <w:t xml:space="preserve"> invented, it does </w:t>
      </w:r>
      <w:r w:rsidR="00AF0A68">
        <w:t>describe</w:t>
      </w:r>
      <w:r w:rsidR="009F383A">
        <w:t xml:space="preserve"> </w:t>
      </w:r>
      <w:r w:rsidR="00AF0A68">
        <w:t xml:space="preserve">key elements associated with </w:t>
      </w:r>
      <w:r w:rsidR="009F383A">
        <w:t>invented traditions</w:t>
      </w:r>
      <w:r w:rsidR="00640618">
        <w:t>, of the kind Hobsbawm described.</w:t>
      </w:r>
    </w:p>
    <w:p w14:paraId="50F500DA" w14:textId="068D99D8" w:rsidR="00083203" w:rsidRDefault="00083203" w:rsidP="00083203">
      <w:pPr>
        <w:pStyle w:val="Heading2"/>
      </w:pPr>
      <w:bookmarkStart w:id="102" w:name="_Toc83646473"/>
      <w:r w:rsidRPr="00B64B3D">
        <w:t xml:space="preserve">8.3 </w:t>
      </w:r>
      <w:r w:rsidR="00553DB2">
        <w:t>Summation, WSH &amp; Social Media</w:t>
      </w:r>
      <w:bookmarkEnd w:id="102"/>
    </w:p>
    <w:p w14:paraId="622E7B5E" w14:textId="16351509" w:rsidR="00083203" w:rsidRDefault="00C722E7" w:rsidP="00083203">
      <w:r>
        <w:t>Whereas</w:t>
      </w:r>
      <w:r w:rsidR="00083203">
        <w:t xml:space="preserve"> WSH was not described by major astrological works in the late 20</w:t>
      </w:r>
      <w:r w:rsidR="00083203" w:rsidRPr="00B64B3D">
        <w:rPr>
          <w:vertAlign w:val="superscript"/>
        </w:rPr>
        <w:t>th</w:t>
      </w:r>
      <w:r w:rsidR="00083203">
        <w:t xml:space="preserve"> century, contemporary discussion across social media such as Twitter and Facebook reveal that only is WSH a well described house system, but that arguments put forward by Holden, or Project Hindsight via Hand and Schmidt, have </w:t>
      </w:r>
      <w:r w:rsidR="00EE0130">
        <w:t>become an established tradition,</w:t>
      </w:r>
      <w:r w:rsidR="00083203">
        <w:t xml:space="preserve"> to the degree that their views and opinions are repeated </w:t>
      </w:r>
      <w:r w:rsidR="00487D25">
        <w:t xml:space="preserve">authoritatively </w:t>
      </w:r>
      <w:r w:rsidR="00083203">
        <w:t>across social</w:t>
      </w:r>
      <w:r w:rsidR="00B8108A">
        <w:t xml:space="preserve"> media</w:t>
      </w:r>
      <w:r w:rsidR="00083203">
        <w:t xml:space="preserve">. This is to such an extent that disagreement with their views is considered </w:t>
      </w:r>
      <w:r w:rsidR="00083203" w:rsidRPr="00EE0130">
        <w:rPr>
          <w:i/>
          <w:iCs/>
        </w:rPr>
        <w:t>de facto</w:t>
      </w:r>
      <w:r w:rsidR="00083203">
        <w:t xml:space="preserve"> controversial, </w:t>
      </w:r>
      <w:r w:rsidR="00EE0130">
        <w:t>even if by a lauded astrologer and author of astrological history such as Houlding</w:t>
      </w:r>
      <w:r w:rsidR="00A7663B">
        <w:t>, Likewise</w:t>
      </w:r>
      <w:r w:rsidR="00EA646A">
        <w:t>,</w:t>
      </w:r>
      <w:r w:rsidR="00A7663B">
        <w:t xml:space="preserve"> disagreement </w:t>
      </w:r>
      <w:r w:rsidR="00EE0130">
        <w:t>may lead one to be labelled a ‘denier’ of history, even if</w:t>
      </w:r>
      <w:r w:rsidR="00A7663B">
        <w:t xml:space="preserve"> they’re a highly accredited historian </w:t>
      </w:r>
      <w:r w:rsidR="009A6764">
        <w:t xml:space="preserve">of astrology </w:t>
      </w:r>
      <w:r w:rsidR="00A7663B">
        <w:t xml:space="preserve">like Gansten. </w:t>
      </w:r>
      <w:r w:rsidR="00083203">
        <w:t xml:space="preserve">Given the emergence of </w:t>
      </w:r>
      <w:r w:rsidR="0046004B">
        <w:t>this established</w:t>
      </w:r>
      <w:r w:rsidR="00083203">
        <w:t xml:space="preserve"> tradition within a few decades, </w:t>
      </w:r>
      <w:r w:rsidR="00580D60">
        <w:t>this established tradition is</w:t>
      </w:r>
      <w:r w:rsidR="00083203">
        <w:t xml:space="preserve"> descriptive of Hobsbawm’s definitions and categorisations of invented tradition which inculcate beliefs, establish communities, and legitimises authority by reference to history.</w:t>
      </w:r>
      <w:r w:rsidR="0058708B">
        <w:t xml:space="preserve"> </w:t>
      </w:r>
    </w:p>
    <w:p w14:paraId="748C3414" w14:textId="7C04150D" w:rsidR="00083203" w:rsidRPr="00083203" w:rsidRDefault="00083203" w:rsidP="00083203">
      <w:pPr>
        <w:pStyle w:val="Heading1"/>
      </w:pPr>
      <w:bookmarkStart w:id="103" w:name="_Toc83646474"/>
      <w:r w:rsidRPr="00083203">
        <w:t>9: WSH: An Invented Tradition</w:t>
      </w:r>
      <w:r w:rsidR="003C6302">
        <w:t>?</w:t>
      </w:r>
      <w:bookmarkEnd w:id="103"/>
    </w:p>
    <w:p w14:paraId="6C5B2FF9" w14:textId="5D09DD1C" w:rsidR="00D96FF8" w:rsidRDefault="00D96FF8" w:rsidP="008F6736">
      <w:r>
        <w:t xml:space="preserve">WSH seems to have only emerged, as a note-worthy system of house division (by western astrologers at least), in the last few decades, and given that this quickly emerging tradition legitimises the authority of Project Hindsight, to such degree that simply disagreeing is a controversial act, and that to do so makes one a history ‘denier’, it is arguable that the contemporary usage and discussion of WSH is an invented tradition, </w:t>
      </w:r>
      <w:r w:rsidR="00686E1C">
        <w:t xml:space="preserve">and </w:t>
      </w:r>
      <w:r>
        <w:t xml:space="preserve">certainly it </w:t>
      </w:r>
      <w:r w:rsidR="00686E1C">
        <w:t xml:space="preserve">provides all the utility </w:t>
      </w:r>
      <w:r>
        <w:t xml:space="preserve">of one. This potentially invented tradition includes the idea that WSH is the original form of house division, or that it was the only form of house division, or that it was the preferred form of house division by ancient astrologers. If </w:t>
      </w:r>
      <w:r w:rsidR="006E17A0">
        <w:t>this tradition</w:t>
      </w:r>
      <w:r>
        <w:t xml:space="preserve"> </w:t>
      </w:r>
      <w:r w:rsidR="006E17A0">
        <w:t>is accurate</w:t>
      </w:r>
      <w:r>
        <w:t xml:space="preserve">, the evidence for them is lacking in the English translations available. </w:t>
      </w:r>
    </w:p>
    <w:p w14:paraId="72BD6DD4" w14:textId="210D288A" w:rsidR="00D96FF8" w:rsidRPr="008E64EC" w:rsidRDefault="00D96FF8" w:rsidP="008E64EC">
      <w:pPr>
        <w:pStyle w:val="Heading2"/>
      </w:pPr>
      <w:bookmarkStart w:id="104" w:name="_Toc83646475"/>
      <w:r w:rsidRPr="008E64EC">
        <w:t>9.1</w:t>
      </w:r>
      <w:r w:rsidR="00DF4DAE">
        <w:t>:</w:t>
      </w:r>
      <w:r w:rsidRPr="008E64EC">
        <w:t xml:space="preserve"> WSH</w:t>
      </w:r>
      <w:r w:rsidR="009A1143">
        <w:t>,</w:t>
      </w:r>
      <w:r w:rsidRPr="008E64EC">
        <w:t xml:space="preserve"> the Original House System?</w:t>
      </w:r>
      <w:bookmarkEnd w:id="104"/>
    </w:p>
    <w:p w14:paraId="7558D3E9" w14:textId="732E35AA" w:rsidR="008E64EC" w:rsidRDefault="00D96FF8" w:rsidP="008E64EC">
      <w:r>
        <w:t>None of the early ‘original document’ horoscopes provided by GH</w:t>
      </w:r>
      <w:r w:rsidR="008E64EC">
        <w:t>, described by Holden,</w:t>
      </w:r>
      <w:r>
        <w:t xml:space="preserve"> describe WSH, whilst, for the most part, </w:t>
      </w:r>
      <w:r w:rsidR="008E64EC">
        <w:t>they contained</w:t>
      </w:r>
      <w:r>
        <w:t xml:space="preserve"> the required information to calculate a number of house systems</w:t>
      </w:r>
      <w:r w:rsidR="008E64EC">
        <w:t xml:space="preserve">, quadrant-based systems like Porphyry included. Therefore, Holden’s argument that </w:t>
      </w:r>
      <w:r w:rsidR="00782A90">
        <w:t>the non-literary documents of GH</w:t>
      </w:r>
      <w:r w:rsidR="008E64EC">
        <w:t xml:space="preserve"> is evidence of WSH seems unfounded</w:t>
      </w:r>
      <w:r w:rsidR="00AB1FC3">
        <w:t>, and, as</w:t>
      </w:r>
      <w:r w:rsidR="002507B6">
        <w:t xml:space="preserve"> Gan</w:t>
      </w:r>
      <w:r w:rsidR="00091036">
        <w:t>s</w:t>
      </w:r>
      <w:r w:rsidR="002507B6">
        <w:t>ten noted, n</w:t>
      </w:r>
      <w:r w:rsidR="008E64EC">
        <w:t>o</w:t>
      </w:r>
      <w:r w:rsidR="00731803">
        <w:t xml:space="preserve"> literary</w:t>
      </w:r>
      <w:r w:rsidR="008E64EC">
        <w:t xml:space="preserve"> </w:t>
      </w:r>
      <w:r>
        <w:t>authors appear to prescribe the usage of WSH at all</w:t>
      </w:r>
      <w:r w:rsidR="00782A90">
        <w:t xml:space="preserve"> either</w:t>
      </w:r>
      <w:r w:rsidR="00270008">
        <w:t xml:space="preserve">. </w:t>
      </w:r>
      <w:r w:rsidR="008E64EC">
        <w:t>Manilius,</w:t>
      </w:r>
      <w:r w:rsidR="00270008">
        <w:t xml:space="preserve"> the earliest reference to houses,</w:t>
      </w:r>
      <w:r w:rsidR="008E64EC">
        <w:t xml:space="preserve"> clearly defined not WSH, but a quadrant-based system, possibly Campanus</w:t>
      </w:r>
      <w:r w:rsidR="00F43DA2">
        <w:t>, and Valens repeatedly only defined a degree-based house system</w:t>
      </w:r>
      <w:r w:rsidR="00830223">
        <w:t>. Similarly authors like like Ptolemy and Maternus only explicitly define a degree-based system</w:t>
      </w:r>
      <w:r w:rsidR="00D023B1">
        <w:t>, and reference to WSH appear to be tautological or for convenience</w:t>
      </w:r>
      <w:r w:rsidR="008E64EC">
        <w:t>.</w:t>
      </w:r>
      <w:r w:rsidR="00041D61">
        <w:t xml:space="preserve"> W</w:t>
      </w:r>
      <w:r w:rsidR="00041D61">
        <w:t>ith Evans’s</w:t>
      </w:r>
      <w:r w:rsidR="00041D61">
        <w:t xml:space="preserve"> arguments that surviving documents do not provide an even coverage of, in this instance, house systems, speaking of the ‘original’ system of houses seems naive</w:t>
      </w:r>
      <w:r w:rsidR="00041D61">
        <w:t xml:space="preserve">. </w:t>
      </w:r>
      <w:r w:rsidR="008E64EC">
        <w:t xml:space="preserve"> </w:t>
      </w:r>
      <w:r w:rsidR="00C32FE5">
        <w:t>Even putting this aside,</w:t>
      </w:r>
      <w:r w:rsidR="008E64EC">
        <w:t xml:space="preserve"> there is little to no evidence that </w:t>
      </w:r>
      <w:r w:rsidR="00620BAA">
        <w:t xml:space="preserve">the </w:t>
      </w:r>
      <w:r w:rsidR="008E64EC">
        <w:t>‘original’ house system was WSH, and, indeed, such an idea of ‘originality’ is predicated on an inventor hypothesis, which is itself not established. Therefore, the idea that WSH is the original house system is unfounded.</w:t>
      </w:r>
    </w:p>
    <w:p w14:paraId="2B7B2889" w14:textId="50AC67AB" w:rsidR="008E64EC" w:rsidRPr="008E64EC" w:rsidRDefault="008E64EC" w:rsidP="008E64EC">
      <w:pPr>
        <w:pStyle w:val="Heading2"/>
      </w:pPr>
      <w:bookmarkStart w:id="105" w:name="_Toc83646476"/>
      <w:r w:rsidRPr="008E64EC">
        <w:t>9.</w:t>
      </w:r>
      <w:r w:rsidR="0098264C">
        <w:t>2</w:t>
      </w:r>
      <w:r w:rsidR="00DF4DAE">
        <w:t>:</w:t>
      </w:r>
      <w:r w:rsidRPr="008E64EC">
        <w:t xml:space="preserve"> WSH</w:t>
      </w:r>
      <w:r w:rsidR="00DF4DAE">
        <w:t>,</w:t>
      </w:r>
      <w:r w:rsidRPr="008E64EC">
        <w:t xml:space="preserve"> the</w:t>
      </w:r>
      <w:r w:rsidR="00DF4DAE">
        <w:t xml:space="preserve"> Preferred House System</w:t>
      </w:r>
      <w:r w:rsidRPr="008E64EC">
        <w:t>?</w:t>
      </w:r>
      <w:bookmarkEnd w:id="105"/>
    </w:p>
    <w:p w14:paraId="4E8DEDF8" w14:textId="7E6B1A63" w:rsidR="00B30622" w:rsidRPr="00D01951" w:rsidRDefault="0098264C" w:rsidP="0098264C">
      <w:r>
        <w:t xml:space="preserve">Whilst Manilius explicitly described the house via the degrees of the four angles, </w:t>
      </w:r>
      <w:r w:rsidR="000F2CDC">
        <w:t xml:space="preserve">Valens, the source of the majority of literary horoscopes from the Hellenistic era, </w:t>
      </w:r>
      <w:r>
        <w:t xml:space="preserve">also </w:t>
      </w:r>
      <w:r w:rsidR="000F2CDC">
        <w:t xml:space="preserve">repeatedly argued for houses to be </w:t>
      </w:r>
      <w:r w:rsidR="00C47803">
        <w:t xml:space="preserve">preferably </w:t>
      </w:r>
      <w:r w:rsidR="000F2CDC">
        <w:t>calculated by degree, and explicitly established two systems of division (Porphyry and EH)</w:t>
      </w:r>
      <w:r>
        <w:t xml:space="preserve">. Whilst Valens implicitly referred to houses as signs, this should in no way </w:t>
      </w:r>
      <w:r w:rsidR="007050C7">
        <w:t xml:space="preserve">be imagined as preferential to </w:t>
      </w:r>
      <w:r>
        <w:t xml:space="preserve">his </w:t>
      </w:r>
      <w:r w:rsidR="00DA4B20">
        <w:t xml:space="preserve">repeated </w:t>
      </w:r>
      <w:r>
        <w:t xml:space="preserve">explicit </w:t>
      </w:r>
      <w:r w:rsidR="007050C7">
        <w:t>preference for calculation</w:t>
      </w:r>
      <w:r>
        <w:t xml:space="preserve"> by</w:t>
      </w:r>
      <w:r w:rsidR="007050C7">
        <w:t xml:space="preserve"> degree</w:t>
      </w:r>
      <w:r w:rsidR="00197C37">
        <w:t>, especially as he explicitly warned against calculating by sign in several places</w:t>
      </w:r>
      <w:r>
        <w:t>. It seems untenable</w:t>
      </w:r>
      <w:r w:rsidR="000D106F">
        <w:t>, therefore,</w:t>
      </w:r>
      <w:r>
        <w:t xml:space="preserve"> that Valens actually preferred </w:t>
      </w:r>
      <w:r w:rsidR="00B36C47">
        <w:t xml:space="preserve">WSH, which would </w:t>
      </w:r>
      <w:r w:rsidR="00D60C63">
        <w:t>require one to believe the opposite of what Valens said</w:t>
      </w:r>
      <w:r>
        <w:t xml:space="preserve">. </w:t>
      </w:r>
      <w:r w:rsidR="00504AD2">
        <w:t>G</w:t>
      </w:r>
      <w:r>
        <w:t xml:space="preserve">iven that Valens described planetary degrees as difficult to compute, WSH was instead </w:t>
      </w:r>
      <w:r w:rsidR="00521DFC">
        <w:t xml:space="preserve">more likely a </w:t>
      </w:r>
      <w:r>
        <w:t xml:space="preserve">matter of convenience, just as Gansten argued. </w:t>
      </w:r>
      <w:r w:rsidR="00DB6B8B">
        <w:t>The only clear reference to WSH is a criticism in Olympiodorus which may not be original to the Hellenistic period</w:t>
      </w:r>
      <w:r w:rsidR="00D87EEE">
        <w:t xml:space="preserve">, and Valens argued </w:t>
      </w:r>
      <w:r w:rsidR="00D87EEE" w:rsidRPr="00622D76">
        <w:rPr>
          <w:i/>
          <w:iCs/>
        </w:rPr>
        <w:t>against</w:t>
      </w:r>
      <w:r w:rsidR="00D87EEE">
        <w:t xml:space="preserve"> calculation by sign alone</w:t>
      </w:r>
      <w:r w:rsidR="00DB6B8B">
        <w:t>. Therefore</w:t>
      </w:r>
      <w:r w:rsidR="005A6BC7">
        <w:t>,</w:t>
      </w:r>
      <w:r w:rsidR="00DB6B8B">
        <w:t xml:space="preserve"> there is no evidence that WSH was the preferred system, even if it was used widely for convenience</w:t>
      </w:r>
      <w:r w:rsidR="00D85D0F">
        <w:t xml:space="preserve"> – quantity being distinct from </w:t>
      </w:r>
      <w:r w:rsidR="00622D76">
        <w:t>qualitative</w:t>
      </w:r>
      <w:r w:rsidR="000E3F0C">
        <w:t xml:space="preserve"> preference</w:t>
      </w:r>
      <w:r w:rsidR="00D85D0F">
        <w:t>.</w:t>
      </w:r>
    </w:p>
    <w:p w14:paraId="5F67F4DB" w14:textId="3BE4F2FF" w:rsidR="00785C6A" w:rsidRPr="008E64EC" w:rsidRDefault="00785C6A" w:rsidP="00785C6A">
      <w:pPr>
        <w:pStyle w:val="Heading2"/>
      </w:pPr>
      <w:bookmarkStart w:id="106" w:name="_Toc83646477"/>
      <w:r w:rsidRPr="008E64EC">
        <w:t>9.</w:t>
      </w:r>
      <w:r>
        <w:t>2:</w:t>
      </w:r>
      <w:r w:rsidRPr="008E64EC">
        <w:t xml:space="preserve"> WSH</w:t>
      </w:r>
      <w:r>
        <w:t>:</w:t>
      </w:r>
      <w:r w:rsidRPr="008E64EC">
        <w:t xml:space="preserve"> </w:t>
      </w:r>
      <w:r>
        <w:t>An Invented Tradition</w:t>
      </w:r>
      <w:bookmarkEnd w:id="106"/>
    </w:p>
    <w:p w14:paraId="031A4A2A" w14:textId="33ACE25E" w:rsidR="00EE2F6D" w:rsidRDefault="00785C6A" w:rsidP="004B2A68">
      <w:r>
        <w:t>Because the evidence, at least in the English translations, does not support the notion that WSH was the original form of house division, nor supports the notion that it was the preferred form of house division,</w:t>
      </w:r>
      <w:r w:rsidR="007B4D30">
        <w:t xml:space="preserve"> and given that contemporary discussion of WSH describes their history as exactly that, the contemporary discussion of WSH would appear to be an invented tradition of the kind that Hobsbawm described. That is not to say that WSH did not exist in Hellenistic astrology, it most certainly was used. Rather, to be precise, the contemporary discussions of WSH as original, oldest and most preferred appears to be invented</w:t>
      </w:r>
      <w:r w:rsidR="00102E5E">
        <w:t>, either deliberately or not</w:t>
      </w:r>
      <w:r w:rsidR="007B4D30">
        <w:t xml:space="preserve">. Instead, WSH was </w:t>
      </w:r>
      <w:r w:rsidR="00867E7D">
        <w:t xml:space="preserve">either </w:t>
      </w:r>
      <w:r w:rsidR="007B4D30">
        <w:t xml:space="preserve">used as a tautological tool for beginner astrologers, such as Valens’s </w:t>
      </w:r>
      <w:r w:rsidR="006C1268">
        <w:t xml:space="preserve">young </w:t>
      </w:r>
      <w:r w:rsidR="007B4D30">
        <w:t>audience, or it was used a matter of convenience when precision was not necessary.</w:t>
      </w:r>
      <w:r w:rsidR="00E06BDC">
        <w:t xml:space="preserve"> In Manilius and Maternus, who both clearly describe houses by degree, reference to those houses as signs (in Maternus’s case even when defining the house by degree) demonstrate not that WSH was a preferred method of division, but just acceptance that the house falls into the sign, or that the sign is of the nature of the house due to a co-mingling of influence.</w:t>
      </w:r>
      <w:r w:rsidR="007B4D30">
        <w:t xml:space="preserve"> Some of this invented tradition may have arisen from </w:t>
      </w:r>
      <w:r w:rsidR="00904EA6">
        <w:t xml:space="preserve">high level surveys of surviving horoscopes, coupled with </w:t>
      </w:r>
      <w:r w:rsidR="007B4D30">
        <w:t xml:space="preserve">misunderstanding the simple arithmetic that astrologers like Valens employed to calculate the </w:t>
      </w:r>
      <w:r w:rsidR="00D613D2">
        <w:t>A</w:t>
      </w:r>
      <w:r w:rsidR="007B4D30">
        <w:t xml:space="preserve">scendant and </w:t>
      </w:r>
      <w:r w:rsidR="00D613D2">
        <w:t>M</w:t>
      </w:r>
      <w:r w:rsidR="007B4D30">
        <w:t xml:space="preserve">idheaven degree, </w:t>
      </w:r>
      <w:r w:rsidR="00D613D2">
        <w:t>whilst misunderstanding the difficulty of calculating planetary degrees</w:t>
      </w:r>
      <w:r w:rsidR="007B4D30">
        <w:t>.</w:t>
      </w:r>
    </w:p>
    <w:p w14:paraId="0081D5E4" w14:textId="17071645" w:rsidR="007B4D30" w:rsidRDefault="007B4D30" w:rsidP="00BD1D0C">
      <w:pPr>
        <w:pStyle w:val="Heading1"/>
      </w:pPr>
      <w:bookmarkStart w:id="107" w:name="_Toc83646478"/>
      <w:r>
        <w:t>10: Conclusion</w:t>
      </w:r>
      <w:bookmarkEnd w:id="107"/>
    </w:p>
    <w:p w14:paraId="05EE15EC" w14:textId="73207404" w:rsidR="00BD1D0C" w:rsidRDefault="00D50C45" w:rsidP="00BD1D0C">
      <w:r>
        <w:t xml:space="preserve">Astrology can be defined as the </w:t>
      </w:r>
      <w:r w:rsidRPr="00D50C45">
        <w:t>practice of relating heavenly bodies to lives and events on earth, and the tradition</w:t>
      </w:r>
      <w:r>
        <w:t>s</w:t>
      </w:r>
      <w:r w:rsidRPr="00D50C45">
        <w:t xml:space="preserve"> that </w:t>
      </w:r>
      <w:r>
        <w:t>have</w:t>
      </w:r>
      <w:r w:rsidRPr="00D50C45">
        <w:t xml:space="preserve"> thus been generated</w:t>
      </w:r>
      <w:r>
        <w:t xml:space="preserve">. </w:t>
      </w:r>
      <w:r w:rsidR="00CF6A65">
        <w:t xml:space="preserve">Adopting a common postmodernist </w:t>
      </w:r>
      <w:r w:rsidR="006F0372">
        <w:t>position</w:t>
      </w:r>
      <w:r w:rsidR="00CF6A65">
        <w:t xml:space="preserve">, </w:t>
      </w:r>
      <w:r>
        <w:t xml:space="preserve">Campion and Greene argued for astrology to be seen </w:t>
      </w:r>
      <w:r w:rsidR="00EA710A">
        <w:t>as a pluralism</w:t>
      </w:r>
      <w:r>
        <w:t xml:space="preserve">, and so suggested that one ought to talk of ‘astrologies’ rather than ‘astrology’. House systems, 12-fold divisions of the celestial sphere overlaying the Zodiac, are numerous and the astrological community has seen vigorous or heated discussion about the best house system to employ. </w:t>
      </w:r>
      <w:r w:rsidR="00735297">
        <w:t>Whole Sign Houses, as one approach to this division, are not in evidence in astrological literature throughout the 20</w:t>
      </w:r>
      <w:r w:rsidR="00735297" w:rsidRPr="00735297">
        <w:rPr>
          <w:vertAlign w:val="superscript"/>
        </w:rPr>
        <w:t>th</w:t>
      </w:r>
      <w:r w:rsidR="00735297">
        <w:t xml:space="preserve"> century, until the last couple of decades, in which it was popularised first by Holden, and subsequently by a translation group known as Project Hindsigh</w:t>
      </w:r>
      <w:r w:rsidR="00FC55FE">
        <w:t>t</w:t>
      </w:r>
      <w:r w:rsidR="00A152BA">
        <w:t xml:space="preserve">, </w:t>
      </w:r>
      <w:r w:rsidR="00AE15B9">
        <w:t xml:space="preserve">which included </w:t>
      </w:r>
      <w:r w:rsidR="00735297">
        <w:t xml:space="preserve">Robert Hand and Robert Schmidt. </w:t>
      </w:r>
      <w:r w:rsidR="002E7247">
        <w:t xml:space="preserve">Today, Whole Sign Houses are not only in evidence in astrological discussion, at least online, but Project Hindsight’s viewpoint is consciously or unconsciously echoed throughout online discussion. This is to such extent that </w:t>
      </w:r>
      <w:r w:rsidR="00133AA1">
        <w:t xml:space="preserve">Deborah </w:t>
      </w:r>
      <w:r w:rsidR="002E7247">
        <w:t>Houlding, who has written extensively on the history of house</w:t>
      </w:r>
      <w:r w:rsidR="0053195B">
        <w:t>s</w:t>
      </w:r>
      <w:r w:rsidR="002E7247">
        <w:t xml:space="preserve">, was considered controversial for simply disagreeing with one of Project Hindsight’s conclusions, whilst </w:t>
      </w:r>
      <w:r w:rsidR="00223D5F">
        <w:t xml:space="preserve">Martin </w:t>
      </w:r>
      <w:r w:rsidR="002E7247">
        <w:t xml:space="preserve">Gansten, a noted historian, was considered a history ‘denier’ for likewise coming to a different conclusion. </w:t>
      </w:r>
      <w:r w:rsidR="00075830">
        <w:t xml:space="preserve">Houlding argued that astrologers like Valens used other house systems such </w:t>
      </w:r>
      <w:r w:rsidR="00DC1B41">
        <w:t xml:space="preserve">as </w:t>
      </w:r>
      <w:r w:rsidR="00075830">
        <w:t xml:space="preserve">Porphyry, which Schmidt argued was not employed as a house system based on his self-determined definition of what a house system was. </w:t>
      </w:r>
      <w:r w:rsidR="004A6C43">
        <w:t xml:space="preserve">Gansten suggested that Whole Sign Houses might have been employed more for convenience than preference, whereas Project Hindsight repeatedly argued </w:t>
      </w:r>
      <w:r w:rsidR="007436C6">
        <w:t>that</w:t>
      </w:r>
      <w:r w:rsidR="004A6C43">
        <w:t xml:space="preserve"> Whole Sign Houses </w:t>
      </w:r>
      <w:r w:rsidR="007436C6">
        <w:t>were both</w:t>
      </w:r>
      <w:r w:rsidR="004A6C43">
        <w:t xml:space="preserve"> the original</w:t>
      </w:r>
      <w:r w:rsidR="00856CF9">
        <w:t xml:space="preserve">, </w:t>
      </w:r>
      <w:r w:rsidR="004A6C43">
        <w:t xml:space="preserve">as well as </w:t>
      </w:r>
      <w:r w:rsidR="00856CF9">
        <w:t xml:space="preserve">the </w:t>
      </w:r>
      <w:r w:rsidR="004A6C43">
        <w:t>preferred</w:t>
      </w:r>
      <w:r w:rsidR="00856CF9">
        <w:t>,</w:t>
      </w:r>
      <w:r w:rsidR="004A6C43">
        <w:t xml:space="preserve"> method of division. That </w:t>
      </w:r>
      <w:r w:rsidR="00075830">
        <w:t>Schmidt</w:t>
      </w:r>
      <w:r w:rsidR="004A6C43">
        <w:t xml:space="preserve"> created a</w:t>
      </w:r>
      <w:r w:rsidR="00075830">
        <w:t xml:space="preserve"> definition</w:t>
      </w:r>
      <w:r w:rsidR="004A6C43">
        <w:t xml:space="preserve"> of a house system</w:t>
      </w:r>
      <w:r w:rsidR="002E2A2C">
        <w:t>,</w:t>
      </w:r>
      <w:r w:rsidR="004A6C43">
        <w:t xml:space="preserve"> </w:t>
      </w:r>
      <w:r w:rsidR="00075830">
        <w:t>not typically seen elsewhere</w:t>
      </w:r>
      <w:r w:rsidR="002E2A2C">
        <w:t>,</w:t>
      </w:r>
      <w:r w:rsidR="00075830">
        <w:t xml:space="preserve"> is reminiscent of Foucault and Derrida’s warnings against modernist thinking, in which authority figures employed linguistic devices to assert power or control over a narrative.</w:t>
      </w:r>
      <w:r w:rsidR="004A6C43">
        <w:t xml:space="preserve"> </w:t>
      </w:r>
      <w:r w:rsidR="00DE2673">
        <w:t>Schmidt’s</w:t>
      </w:r>
      <w:r w:rsidR="004A6C43">
        <w:t xml:space="preserve"> viewpoint,</w:t>
      </w:r>
      <w:r w:rsidR="00DE2673">
        <w:t xml:space="preserve"> therefore,</w:t>
      </w:r>
      <w:r w:rsidR="004A6C43">
        <w:t xml:space="preserve"> and those which echoed it online, are not indicative of a pluralist mindset </w:t>
      </w:r>
      <w:r w:rsidR="004A6C43" w:rsidRPr="00475AB2">
        <w:t>within</w:t>
      </w:r>
      <w:r w:rsidR="004A6C43">
        <w:t xml:space="preserve"> the astrological community, which might allow for interpretations of documents as an imagined series of ‘histories’ of the kind that Iggers and Evans described, but instead </w:t>
      </w:r>
      <w:r w:rsidR="00174A82">
        <w:t xml:space="preserve">indicative </w:t>
      </w:r>
      <w:r w:rsidR="004A6C43">
        <w:t>of a thoroughly modernist mindset in which there was one objective history which actually occurred</w:t>
      </w:r>
      <w:r w:rsidR="00475AB2">
        <w:t xml:space="preserve">, with the pluralism only as a series of </w:t>
      </w:r>
      <w:r w:rsidR="00475AB2" w:rsidRPr="003D505B">
        <w:rPr>
          <w:i/>
          <w:iCs/>
        </w:rPr>
        <w:t>competing</w:t>
      </w:r>
      <w:r w:rsidR="00475AB2">
        <w:t xml:space="preserve"> traditions</w:t>
      </w:r>
      <w:r w:rsidR="004A6C43">
        <w:t xml:space="preserve">. </w:t>
      </w:r>
    </w:p>
    <w:p w14:paraId="2931168D" w14:textId="39B2FE8A" w:rsidR="00B57D81" w:rsidRDefault="00163DCB" w:rsidP="00BD1D0C">
      <w:r>
        <w:t xml:space="preserve">Holden </w:t>
      </w:r>
      <w:r w:rsidR="00612D4C">
        <w:t>suggested</w:t>
      </w:r>
      <w:r w:rsidR="002652E5">
        <w:t xml:space="preserve"> that Whole Sign Houses was the original system of houses, and </w:t>
      </w:r>
      <w:r>
        <w:t xml:space="preserve">cited </w:t>
      </w:r>
      <w:r w:rsidRPr="00163DCB">
        <w:rPr>
          <w:i/>
          <w:iCs/>
        </w:rPr>
        <w:t>Greek Horoscopes</w:t>
      </w:r>
      <w:r>
        <w:t xml:space="preserve"> by Neugeabuer and Van Hoesen as evidence, but given that the horoscopes in question do not mention Whole Sign Houses, nor imply them, and given that they contain the required information to calculate a variety of house systems, this conclusion seems unfounded.</w:t>
      </w:r>
      <w:r w:rsidR="00C803C7">
        <w:t xml:space="preserve"> This is especially true as the most prevalent examples of any house system hint instead toward a quadrant division of houses</w:t>
      </w:r>
      <w:r w:rsidR="00CD4A93">
        <w:t xml:space="preserve"> instead, indeed in one case the translation is only applicable to quadrant divisions</w:t>
      </w:r>
      <w:r w:rsidR="00C803C7">
        <w:t>.</w:t>
      </w:r>
      <w:r>
        <w:t xml:space="preserve"> Simple surveys by subsequent astrologers focusing on these horoscopes have noted the absence of the degree for the Ascendant and Midheaven, and appear to imagine that such information was required for calculation </w:t>
      </w:r>
      <w:r w:rsidR="0099068E">
        <w:t>for house systems beyond Whole Sign Houses, but such conclusions are anachronistic</w:t>
      </w:r>
      <w:r w:rsidR="000F6F95">
        <w:t xml:space="preserve">, as </w:t>
      </w:r>
      <w:r w:rsidR="0099068E">
        <w:t xml:space="preserve">ancient astrologers provided simple arithmetic means to </w:t>
      </w:r>
      <w:r w:rsidR="00AB25D4">
        <w:t>calculate these degrees</w:t>
      </w:r>
      <w:r w:rsidR="00141315">
        <w:t xml:space="preserve">, requiring </w:t>
      </w:r>
      <w:r w:rsidR="0099068E">
        <w:t xml:space="preserve">only the date and the time of the horoscope to be noted, which </w:t>
      </w:r>
      <w:r w:rsidR="00141315">
        <w:t>they were</w:t>
      </w:r>
      <w:r w:rsidR="0099068E">
        <w:t xml:space="preserve"> for the </w:t>
      </w:r>
      <w:r w:rsidR="00736326">
        <w:t xml:space="preserve">vast </w:t>
      </w:r>
      <w:r w:rsidR="0099068E">
        <w:t>majority of horoscopes in question. Manilius, the earliest source for house system descriptions, clearly defined a quadrant-based system, whilst Valens, the source for the majority of literary examples, clearly advocated for a degree-based system whilst explicitly defining Porphyry and Equal Houses. However, Hellenistic authors such as Manilius</w:t>
      </w:r>
      <w:r w:rsidR="00640A8C">
        <w:t xml:space="preserve">, Maternus, </w:t>
      </w:r>
      <w:r w:rsidR="0099068E">
        <w:t>and Valens occasionally refer</w:t>
      </w:r>
      <w:r w:rsidR="00A43312">
        <w:t>red</w:t>
      </w:r>
      <w:r w:rsidR="0099068E">
        <w:t xml:space="preserve"> to houses as being a sign, which might indicate Whole Sign Houses. Nevertheless, </w:t>
      </w:r>
      <w:r w:rsidR="00E33056">
        <w:t xml:space="preserve">outside of Olympiodorus’s criticism of </w:t>
      </w:r>
      <w:r w:rsidR="002A13EE">
        <w:t>them</w:t>
      </w:r>
      <w:r w:rsidR="00E33056">
        <w:t xml:space="preserve">, </w:t>
      </w:r>
      <w:r w:rsidR="002A13EE">
        <w:t>Whole Sign Houses are never mentioned, and certainly neither prescribed, defined, nor advocated by any available author</w:t>
      </w:r>
      <w:r w:rsidR="00D57863">
        <w:t>,</w:t>
      </w:r>
      <w:r w:rsidR="00EA3A83">
        <w:t xml:space="preserve"> </w:t>
      </w:r>
      <w:r w:rsidR="0099068E">
        <w:t>unlike Porphyry or Equal Houses.</w:t>
      </w:r>
      <w:r w:rsidR="00A3591C">
        <w:t xml:space="preserve"> Indeed, Manilius argued that houses and signs co-mingle their influence, which may be why </w:t>
      </w:r>
      <w:r w:rsidR="008F700D">
        <w:t>signs and houses are</w:t>
      </w:r>
      <w:r w:rsidR="0033023B">
        <w:t xml:space="preserve"> sometimes</w:t>
      </w:r>
      <w:r w:rsidR="00A3591C">
        <w:t xml:space="preserve"> referred interchangeably</w:t>
      </w:r>
      <w:r w:rsidR="004841AE">
        <w:t>, which, in the case of Maternus occurs even whilst explicitly defining Equal Houses</w:t>
      </w:r>
      <w:r w:rsidR="00A3591C">
        <w:t>. Additionally,</w:t>
      </w:r>
      <w:r w:rsidR="0099068E">
        <w:t xml:space="preserve"> </w:t>
      </w:r>
      <w:r w:rsidR="001359F6">
        <w:t>Valens</w:t>
      </w:r>
      <w:r w:rsidR="005D3782">
        <w:t>,</w:t>
      </w:r>
      <w:r w:rsidR="001359F6">
        <w:t xml:space="preserve"> addressing a young group of students, highlighted that planetary degrees were difficult to compute, </w:t>
      </w:r>
      <w:r w:rsidR="005D3782">
        <w:t xml:space="preserve">and </w:t>
      </w:r>
      <w:r w:rsidR="001359F6">
        <w:t xml:space="preserve">noted that not all treatments require precision. Given the complexity of calculating planetary degrees, and given that Valens advocated degree-based houses, it is likely that Valens’s preferred system of houses is a degree-based system, either Porphryry or Equal or both, </w:t>
      </w:r>
      <w:r w:rsidR="00B57D81">
        <w:t>with Whole Sign Houses</w:t>
      </w:r>
      <w:r w:rsidR="001359F6">
        <w:t xml:space="preserve"> simply a matter of convenience – a </w:t>
      </w:r>
      <w:r w:rsidR="007210FE">
        <w:t>simplicity</w:t>
      </w:r>
      <w:r w:rsidR="001359F6">
        <w:t xml:space="preserve"> that could be adopted when techniques or treatments did not necessitate such accuracy</w:t>
      </w:r>
      <w:r w:rsidR="0069071C">
        <w:t>, or when planetary calculation was too arduous</w:t>
      </w:r>
      <w:r w:rsidR="001359F6">
        <w:t>.</w:t>
      </w:r>
      <w:r w:rsidR="00B57D81">
        <w:t xml:space="preserve"> </w:t>
      </w:r>
    </w:p>
    <w:p w14:paraId="6D8B9B5E" w14:textId="2DA3240C" w:rsidR="00C84510" w:rsidRDefault="00A048DB" w:rsidP="00BD1D0C">
      <w:r>
        <w:t xml:space="preserve">Project Hindsight has argued that Whole Sign Houses </w:t>
      </w:r>
      <w:r w:rsidR="00CB3BDA">
        <w:t>were</w:t>
      </w:r>
      <w:r>
        <w:t xml:space="preserve"> the original, intended and preferred house system by Hellenistic astrologers, and given the short period in which this system emerged into astrological discussion, and given </w:t>
      </w:r>
      <w:r w:rsidR="00B57D81">
        <w:t>this view is</w:t>
      </w:r>
      <w:r>
        <w:t xml:space="preserve"> considered so authoritative that disagreement is controversial, this seems to be reflective of Hobsbawm’s description of invented tradition. Invented tradition, according to Hobsbawm, springs up in a relatively short amount of time, legitimises authority by reference to history, and establishes a sense of ‘membership’ to a perceived continued history </w:t>
      </w:r>
      <w:r w:rsidR="004009D5">
        <w:t xml:space="preserve">via inculcation of beliefs and practices. </w:t>
      </w:r>
      <w:r w:rsidR="00810516">
        <w:t>Given the paucity of evidence</w:t>
      </w:r>
      <w:r w:rsidR="00301734">
        <w:t xml:space="preserve"> for this </w:t>
      </w:r>
      <w:r w:rsidR="00546238">
        <w:t>‘tradition’</w:t>
      </w:r>
      <w:r w:rsidR="00810516">
        <w:t xml:space="preserve"> in the English </w:t>
      </w:r>
      <w:r w:rsidR="00984885">
        <w:t>translations</w:t>
      </w:r>
      <w:r w:rsidR="00810516">
        <w:t>,</w:t>
      </w:r>
      <w:r w:rsidR="00FD7867">
        <w:t xml:space="preserve"> </w:t>
      </w:r>
      <w:r w:rsidR="00810516">
        <w:t xml:space="preserve">contemporary </w:t>
      </w:r>
      <w:r w:rsidR="00CA4B51">
        <w:t>discussion</w:t>
      </w:r>
      <w:r w:rsidR="00810516">
        <w:t xml:space="preserve"> of Whole Sign Houses is likely an invented tradition</w:t>
      </w:r>
      <w:r w:rsidR="006830A8">
        <w:t>, of the type Hobsbawm described</w:t>
      </w:r>
      <w:r w:rsidR="00810516">
        <w:t xml:space="preserve">. </w:t>
      </w:r>
      <w:r w:rsidR="00F9192F">
        <w:t xml:space="preserve">For clarity, </w:t>
      </w:r>
      <w:r w:rsidR="00810516">
        <w:t xml:space="preserve">Whole Sign Houses as a </w:t>
      </w:r>
      <w:r w:rsidR="00FE5858">
        <w:t>house system</w:t>
      </w:r>
      <w:r w:rsidR="00810516">
        <w:t xml:space="preserve"> employed by ancient astrologers is not an invention, but the </w:t>
      </w:r>
      <w:r w:rsidR="00810516" w:rsidRPr="00FE5858">
        <w:rPr>
          <w:i/>
          <w:iCs/>
        </w:rPr>
        <w:t>commentary</w:t>
      </w:r>
      <w:r w:rsidR="00810516">
        <w:t xml:space="preserve"> on this historical usage, and the promotion of it as a </w:t>
      </w:r>
      <w:r w:rsidR="00810516" w:rsidRPr="00FE5858">
        <w:rPr>
          <w:i/>
          <w:iCs/>
        </w:rPr>
        <w:t>preferred</w:t>
      </w:r>
      <w:r w:rsidR="00810516">
        <w:t xml:space="preserve"> system</w:t>
      </w:r>
      <w:r w:rsidR="00FE5858">
        <w:t xml:space="preserve"> is </w:t>
      </w:r>
      <w:r w:rsidR="00810516">
        <w:t>likely a</w:t>
      </w:r>
      <w:r w:rsidR="00063D4F">
        <w:t xml:space="preserve"> novel</w:t>
      </w:r>
      <w:r w:rsidR="00810516">
        <w:t xml:space="preserve"> invention for which the evidence is startlingly small</w:t>
      </w:r>
      <w:r w:rsidR="00C84510">
        <w:t>.</w:t>
      </w:r>
      <w:r w:rsidR="00810516">
        <w:t xml:space="preserve"> </w:t>
      </w:r>
    </w:p>
    <w:p w14:paraId="1AAE33F3" w14:textId="32FEA1A2" w:rsidR="00BA769A" w:rsidRDefault="0044416A" w:rsidP="00BD1D0C">
      <w:r>
        <w:t>Given that house system discussions have prompted debate and argument within the astrological community, the idea that Whole Sign Houses were indeed the preferred method of house division by ancient astrologers may well add fuel to this fire, just as the suggestion that it wasn’t the preferred method, and that such ideas are instead an invented tradition.</w:t>
      </w:r>
      <w:r w:rsidR="00566E78">
        <w:t xml:space="preserve"> </w:t>
      </w:r>
    </w:p>
    <w:p w14:paraId="06BFCDCE" w14:textId="72539B44" w:rsidR="00163DCB" w:rsidRDefault="00D27CB6" w:rsidP="00BD1D0C">
      <w:r>
        <w:t xml:space="preserve">As some of the difficulty in determining house systems are based on difficulty in translation, continued translation of material into English may provide greater illumination on early usage of house systems. </w:t>
      </w:r>
      <w:r w:rsidR="00BA769A">
        <w:t>However, given Evans’s warning that the surviving texts may not provide an even coverage of history, which includes even the opinions of a particular author, Project Hindsight’s claim to recover the ‘original’ doctrine and practice of astrology, as invented by one individual or school, is arguably impossible to begin with. As such,</w:t>
      </w:r>
      <w:r w:rsidR="006371DB">
        <w:t xml:space="preserve"> </w:t>
      </w:r>
      <w:r w:rsidR="00BA769A">
        <w:t xml:space="preserve">their conclusions, especially those not evidenced in the English translations available, </w:t>
      </w:r>
      <w:r w:rsidR="006371DB">
        <w:t>have likely</w:t>
      </w:r>
      <w:r w:rsidR="00BA769A">
        <w:t xml:space="preserve"> led to invented tradition</w:t>
      </w:r>
      <w:r w:rsidR="00FD0DFB">
        <w:t>, even if accidentally</w:t>
      </w:r>
      <w:r w:rsidR="00BA769A">
        <w:t>.</w:t>
      </w:r>
    </w:p>
    <w:p w14:paraId="30FA38E1" w14:textId="67288350" w:rsidR="00C571AF" w:rsidRDefault="00C571AF" w:rsidP="00BD1D0C"/>
    <w:p w14:paraId="18427DF0" w14:textId="49E62CEA" w:rsidR="00C571AF" w:rsidRDefault="00C571AF" w:rsidP="00BD1D0C"/>
    <w:p w14:paraId="1E55E6D9" w14:textId="6085E481" w:rsidR="00C571AF" w:rsidRDefault="00C571AF" w:rsidP="00BD1D0C"/>
    <w:p w14:paraId="0B9C0242" w14:textId="7B0F45D6" w:rsidR="00C571AF" w:rsidRDefault="00C571AF" w:rsidP="00BD1D0C"/>
    <w:p w14:paraId="13F714DC" w14:textId="08E807FA" w:rsidR="00C571AF" w:rsidRDefault="00C571AF" w:rsidP="00BD1D0C"/>
    <w:p w14:paraId="4886C34F" w14:textId="74FF7E18" w:rsidR="00C571AF" w:rsidRDefault="00C571AF" w:rsidP="00BD1D0C"/>
    <w:p w14:paraId="08955B1A" w14:textId="64D4BC00" w:rsidR="00C571AF" w:rsidRDefault="00C571AF" w:rsidP="00BD1D0C"/>
    <w:p w14:paraId="503D37BF" w14:textId="57907BDE" w:rsidR="00C571AF" w:rsidRDefault="00C571AF" w:rsidP="00BD1D0C"/>
    <w:p w14:paraId="5CECD98D" w14:textId="0562D144" w:rsidR="00C571AF" w:rsidRDefault="00C571AF" w:rsidP="00BD1D0C"/>
    <w:p w14:paraId="3B02C56A" w14:textId="745C57AF" w:rsidR="00C571AF" w:rsidRDefault="00C571AF" w:rsidP="00BD1D0C"/>
    <w:p w14:paraId="159CCF29" w14:textId="3BC411AA" w:rsidR="00C571AF" w:rsidRDefault="00C571AF" w:rsidP="00BD1D0C"/>
    <w:p w14:paraId="6BE68251" w14:textId="05225C49" w:rsidR="00C571AF" w:rsidRDefault="00C571AF" w:rsidP="00BD1D0C"/>
    <w:p w14:paraId="123AFD91" w14:textId="7C1E5B1F" w:rsidR="00C571AF" w:rsidRDefault="00C571AF" w:rsidP="00BD1D0C"/>
    <w:p w14:paraId="339A9DFD" w14:textId="4DABB1C6" w:rsidR="00C571AF" w:rsidRDefault="00C571AF" w:rsidP="00BD1D0C"/>
    <w:p w14:paraId="4ECFE1FB" w14:textId="181D26FD" w:rsidR="00C571AF" w:rsidRDefault="00C571AF" w:rsidP="00BD1D0C"/>
    <w:p w14:paraId="316D725B" w14:textId="4EC8DA9C" w:rsidR="00C571AF" w:rsidRDefault="00C571AF" w:rsidP="00BD1D0C"/>
    <w:p w14:paraId="0A776C71" w14:textId="2287CF65" w:rsidR="00C571AF" w:rsidRDefault="00C571AF" w:rsidP="00BD1D0C"/>
    <w:p w14:paraId="4F2C0CD7" w14:textId="77777777" w:rsidR="00C571AF" w:rsidRDefault="00C571AF" w:rsidP="00BD1D0C"/>
    <w:p w14:paraId="53E3E392" w14:textId="19E11A8E" w:rsidR="00D67A7C" w:rsidRDefault="00D67A7C" w:rsidP="00BD1D0C"/>
    <w:p w14:paraId="6BC46AD0" w14:textId="6942945D" w:rsidR="00C571AF" w:rsidRDefault="00C571AF" w:rsidP="00BD1D0C"/>
    <w:p w14:paraId="3A4295B8" w14:textId="1ADECC07" w:rsidR="00C571AF" w:rsidRDefault="00C571AF" w:rsidP="00BD1D0C"/>
    <w:p w14:paraId="6744A51B" w14:textId="4F7EE363" w:rsidR="004B2D49" w:rsidRDefault="004B2D49" w:rsidP="004B2D49"/>
    <w:p w14:paraId="51E619FE" w14:textId="037FF4A0" w:rsidR="004B2D49" w:rsidRDefault="004B2D49" w:rsidP="004B2D49"/>
    <w:p w14:paraId="5ED85F50" w14:textId="2DCD5AF4" w:rsidR="004B2D49" w:rsidRDefault="004B2D49" w:rsidP="004B2D49"/>
    <w:p w14:paraId="7AE4A912" w14:textId="003D46B7" w:rsidR="00C2630B" w:rsidRPr="00C2630B" w:rsidRDefault="00C2630B" w:rsidP="00C2630B">
      <w:pPr>
        <w:pStyle w:val="Heading1"/>
      </w:pPr>
      <w:bookmarkStart w:id="108" w:name="_Toc83646479"/>
      <w:r w:rsidRPr="00C2630B">
        <w:t>Bibliography</w:t>
      </w:r>
      <w:bookmarkEnd w:id="108"/>
    </w:p>
    <w:p w14:paraId="67C88B14" w14:textId="3BB3C73F" w:rsidR="00D71D67" w:rsidRDefault="00D71D67" w:rsidP="00D71D67">
      <w:pPr>
        <w:pStyle w:val="Heading2"/>
      </w:pPr>
      <w:bookmarkStart w:id="109" w:name="_Toc83646480"/>
      <w:r>
        <w:t>Primary Sources</w:t>
      </w:r>
      <w:bookmarkEnd w:id="109"/>
    </w:p>
    <w:p w14:paraId="77EC7B37" w14:textId="65590625" w:rsidR="00252A36" w:rsidRDefault="00252A36" w:rsidP="00252A36">
      <w:r w:rsidRPr="00EE5BBB">
        <w:t>Beck</w:t>
      </w:r>
      <w:r>
        <w:t>,</w:t>
      </w:r>
      <w:r w:rsidRPr="00EE5BBB">
        <w:t xml:space="preserve"> Roger, </w:t>
      </w:r>
      <w:r w:rsidRPr="00EE5BBB">
        <w:rPr>
          <w:i/>
          <w:iCs/>
        </w:rPr>
        <w:t>A Brief History of Ancient Astrology</w:t>
      </w:r>
      <w:r w:rsidRPr="00EE5BBB">
        <w:t>, Wiley Brief Histories of the Ancient World</w:t>
      </w:r>
      <w:r>
        <w:t xml:space="preserve">, </w:t>
      </w:r>
      <w:r w:rsidRPr="00EE5BBB">
        <w:t>Wiley, 2008</w:t>
      </w:r>
      <w:r w:rsidR="00FC661C">
        <w:t>.</w:t>
      </w:r>
    </w:p>
    <w:p w14:paraId="6258D50B" w14:textId="77777777" w:rsidR="00252A36" w:rsidRPr="00252A36" w:rsidRDefault="00252A36" w:rsidP="00252A36"/>
    <w:p w14:paraId="12DBBBFE" w14:textId="187DA6B6" w:rsidR="008B0E61" w:rsidRDefault="008B0E61" w:rsidP="008B0E61">
      <w:r w:rsidRPr="008B0E61">
        <w:t>Blavatsky, H.P</w:t>
      </w:r>
      <w:r w:rsidRPr="008B0E61">
        <w:rPr>
          <w:i/>
          <w:iCs/>
        </w:rPr>
        <w:t>., Isis Unveiled</w:t>
      </w:r>
      <w:r w:rsidRPr="008B0E61">
        <w:t>, 2 vols</w:t>
      </w:r>
      <w:r>
        <w:t>,</w:t>
      </w:r>
      <w:r w:rsidRPr="008B0E61">
        <w:t xml:space="preserve"> (Pasadena: Theosophical University Press, 1976), facsimile of 1877 edition, vol. 1</w:t>
      </w:r>
      <w:r>
        <w:t>.</w:t>
      </w:r>
    </w:p>
    <w:p w14:paraId="27714A84" w14:textId="40447ED9" w:rsidR="00C21B98" w:rsidRDefault="00C21B98" w:rsidP="008B0E61"/>
    <w:p w14:paraId="1EC31CF5" w14:textId="05428E48" w:rsidR="00C21B98" w:rsidRDefault="00C21B98" w:rsidP="00530381">
      <w:r w:rsidRPr="00C21B98">
        <w:t xml:space="preserve">Blaze </w:t>
      </w:r>
      <w:r w:rsidRPr="00C21B98">
        <w:rPr>
          <w:rFonts w:ascii="Apple Color Emoji" w:hAnsi="Apple Color Emoji" w:cs="Apple Color Emoji"/>
        </w:rPr>
        <w:t>✨</w:t>
      </w:r>
      <w:r w:rsidRPr="00C21B98">
        <w:t>, “</w:t>
      </w:r>
      <w:r w:rsidRPr="00F845E0">
        <w:t>It means that these planets in the house are in a correct accordance to the natural house/sign based affinity by aspect. This is why when people look at their Whole Sign Chart, it makes a lot more sense— its like fitting a puzzle into the right piece</w:t>
      </w:r>
      <w:r w:rsidRPr="00CD5BF8">
        <w:rPr>
          <w:i/>
          <w:iCs/>
        </w:rPr>
        <w:t>.</w:t>
      </w:r>
      <w:r w:rsidRPr="00C21B98">
        <w:t xml:space="preserve">”, Twitter, </w:t>
      </w:r>
      <w:r w:rsidR="007B1E94" w:rsidRPr="00CD5BF8">
        <w:t>(</w:t>
      </w:r>
      <w:r w:rsidRPr="00C21B98">
        <w:t>@AstroByMax, 27th April 2020)</w:t>
      </w:r>
      <w:r w:rsidR="00FC661C">
        <w:t>.</w:t>
      </w:r>
    </w:p>
    <w:p w14:paraId="619D616C" w14:textId="6DAF579B" w:rsidR="009E2F5B" w:rsidRDefault="009E2F5B" w:rsidP="008B0E61"/>
    <w:p w14:paraId="7AC0BA4F" w14:textId="7D2FA01E" w:rsidR="009E2F5B" w:rsidRDefault="009E2F5B" w:rsidP="008B0E61">
      <w:r w:rsidRPr="009F29D8">
        <w:t>Brady,</w:t>
      </w:r>
      <w:r w:rsidRPr="009E2F5B">
        <w:t xml:space="preserve"> </w:t>
      </w:r>
      <w:r w:rsidRPr="009F29D8">
        <w:t>B</w:t>
      </w:r>
      <w:r>
        <w:t>ernadette,</w:t>
      </w:r>
      <w:r w:rsidRPr="009F29D8">
        <w:t xml:space="preserve"> </w:t>
      </w:r>
      <w:r w:rsidRPr="009F29D8">
        <w:rPr>
          <w:i/>
          <w:iCs/>
        </w:rPr>
        <w:t>Predictive Astrology: The Eagle and the Lark</w:t>
      </w:r>
      <w:r>
        <w:rPr>
          <w:i/>
          <w:iCs/>
        </w:rPr>
        <w:t>,</w:t>
      </w:r>
      <w:r w:rsidRPr="009F29D8">
        <w:t xml:space="preserve"> (Weiser Books, 1998)</w:t>
      </w:r>
      <w:r>
        <w:t>.</w:t>
      </w:r>
    </w:p>
    <w:p w14:paraId="271E91EA" w14:textId="5AD090F4" w:rsidR="00725F33" w:rsidRDefault="00725F33" w:rsidP="008B0E61"/>
    <w:p w14:paraId="0E55BD68" w14:textId="4957F24E" w:rsidR="00725F33" w:rsidRDefault="00725F33" w:rsidP="008B0E61">
      <w:r w:rsidRPr="00A94E7F">
        <w:t>Brennan, Chris</w:t>
      </w:r>
      <w:r>
        <w:t xml:space="preserve">, </w:t>
      </w:r>
      <w:r w:rsidRPr="00D4202A">
        <w:rPr>
          <w:i/>
          <w:iCs/>
        </w:rPr>
        <w:t>12 Reasons Why Whole Sign Houses Is The Best House System</w:t>
      </w:r>
      <w:r w:rsidRPr="00A94E7F">
        <w:t>, 21st November 2015, https://theastrologypodcast.com/wp-content/uploads/2015/11/whole-sign-houses.pdf [accessed 16th August 2021]</w:t>
      </w:r>
      <w:r w:rsidR="00802AD4">
        <w:t>.</w:t>
      </w:r>
    </w:p>
    <w:p w14:paraId="60A8DC00" w14:textId="490CDB91" w:rsidR="000130F7" w:rsidRDefault="000130F7" w:rsidP="008B0E61"/>
    <w:p w14:paraId="0D503547" w14:textId="0085B7FE" w:rsidR="000130F7" w:rsidRDefault="000130F7" w:rsidP="008B0E61">
      <w:r w:rsidRPr="000130F7">
        <w:t>Broughton, Luke. D.</w:t>
      </w:r>
      <w:r>
        <w:t xml:space="preserve">, </w:t>
      </w:r>
      <w:r w:rsidRPr="000130F7">
        <w:rPr>
          <w:i/>
          <w:iCs/>
        </w:rPr>
        <w:t>The Elements of Astrology</w:t>
      </w:r>
      <w:r>
        <w:t>,</w:t>
      </w:r>
      <w:r w:rsidRPr="000130F7">
        <w:t xml:space="preserve"> (The author, 1898)</w:t>
      </w:r>
      <w:r>
        <w:t>.</w:t>
      </w:r>
    </w:p>
    <w:p w14:paraId="24F04AF7" w14:textId="3178A858" w:rsidR="00F845E0" w:rsidRDefault="00F845E0" w:rsidP="008B0E61"/>
    <w:p w14:paraId="7CDF094D" w14:textId="11164427" w:rsidR="00F845E0" w:rsidRDefault="00F845E0" w:rsidP="008B0E61">
      <w:r w:rsidRPr="00F845E0">
        <w:rPr>
          <w:rFonts w:ascii="Cambria Math" w:hAnsi="Cambria Math" w:cs="Cambria Math"/>
        </w:rPr>
        <w:t>⨺</w:t>
      </w:r>
      <w:r w:rsidRPr="00F845E0">
        <w:t>Bryan</w:t>
      </w:r>
      <w:r w:rsidRPr="00F845E0">
        <w:rPr>
          <w:rFonts w:ascii="Segoe UI Symbol" w:hAnsi="Segoe UI Symbol" w:cs="Segoe UI Symbol"/>
        </w:rPr>
        <w:t>☽</w:t>
      </w:r>
      <w:r w:rsidRPr="00F845E0">
        <w:t>, “It’s a solid system, I tend to think all the house systems have their relevance but it’s good to pick one for yourself I’d say, whichever ones resonates the most. For certain techniques WSH is a must though I would say.”, Twitter, (@FixedAirMoon, 2nd December 2020);</w:t>
      </w:r>
    </w:p>
    <w:p w14:paraId="1D2BAC42" w14:textId="2F7C2FED" w:rsidR="00B1400A" w:rsidRDefault="00B1400A" w:rsidP="008B0E61"/>
    <w:p w14:paraId="4A4769AB" w14:textId="21C5E4FB" w:rsidR="00B1400A" w:rsidRDefault="00B1400A" w:rsidP="008B0E61">
      <w:r>
        <w:t>“Carlos”, “Mark” and “Michael”, Facebook Pa</w:t>
      </w:r>
      <w:r w:rsidRPr="00E502E2">
        <w:t xml:space="preserve">ge, </w:t>
      </w:r>
      <w:hyperlink r:id="rId14" w:history="1">
        <w:r w:rsidRPr="00E502E2">
          <w:t>https://www.facebook.com/xxxxxxx</w:t>
        </w:r>
      </w:hyperlink>
      <w:r w:rsidRPr="00E502E2">
        <w:t>,</w:t>
      </w:r>
      <w:r>
        <w:t xml:space="preserve"> (names and URL removed to preserve anonymity), [accessed 3</w:t>
      </w:r>
      <w:r w:rsidRPr="00E502E2">
        <w:rPr>
          <w:vertAlign w:val="superscript"/>
        </w:rPr>
        <w:t>rd</w:t>
      </w:r>
      <w:r>
        <w:t xml:space="preserve"> June 2021].</w:t>
      </w:r>
    </w:p>
    <w:p w14:paraId="3FEE3957" w14:textId="311A9560" w:rsidR="00AA2488" w:rsidRDefault="00AA2488" w:rsidP="008B0E61"/>
    <w:p w14:paraId="63E14463" w14:textId="0BA72AEA" w:rsidR="00AA2488" w:rsidRDefault="00AA2488" w:rsidP="008B0E61">
      <w:r w:rsidRPr="00AA2488">
        <w:t>Co</w:t>
      </w:r>
      <w:r w:rsidRPr="00AA2488">
        <w:rPr>
          <w:rFonts w:ascii="Helvetica Neue" w:hAnsi="Helvetica Neue" w:cs="Helvetica Neue"/>
        </w:rPr>
        <w:t> </w:t>
      </w:r>
      <w:r w:rsidRPr="00AA2488">
        <w:t>–</w:t>
      </w:r>
      <w:r w:rsidRPr="00AA2488">
        <w:rPr>
          <w:rFonts w:ascii="Helvetica Neue" w:hAnsi="Helvetica Neue" w:cs="Helvetica Neue"/>
        </w:rPr>
        <w:t> </w:t>
      </w:r>
      <w:r w:rsidRPr="00AA2488">
        <w:t>Star, “</w:t>
      </w:r>
      <w:r w:rsidRPr="00AA2488">
        <w:rPr>
          <w:rFonts w:ascii="Cambria Math" w:hAnsi="Cambria Math" w:cs="Cambria Math"/>
        </w:rPr>
        <w:t>𝗪𝗛𝗢𝗟𝗘</w:t>
      </w:r>
      <w:r w:rsidRPr="00AA2488">
        <w:t xml:space="preserve"> </w:t>
      </w:r>
      <w:r w:rsidRPr="00AA2488">
        <w:rPr>
          <w:rFonts w:ascii="Cambria Math" w:hAnsi="Cambria Math" w:cs="Cambria Math"/>
        </w:rPr>
        <w:t>𝗦𝗜𝗚𝗡</w:t>
      </w:r>
      <w:r w:rsidRPr="00AA2488">
        <w:t xml:space="preserve"> </w:t>
      </w:r>
      <w:r w:rsidRPr="00AA2488">
        <w:rPr>
          <w:rFonts w:ascii="Cambria Math" w:hAnsi="Cambria Math" w:cs="Cambria Math"/>
        </w:rPr>
        <w:t>𝗛𝗢𝗨𝗦𝗘</w:t>
      </w:r>
      <w:r w:rsidRPr="00AA2488">
        <w:t xml:space="preserve"> </w:t>
      </w:r>
      <w:r w:rsidRPr="00AA2488">
        <w:rPr>
          <w:rFonts w:ascii="Cambria Math" w:hAnsi="Cambria Math" w:cs="Cambria Math"/>
        </w:rPr>
        <w:t>𝗦𝗬𝗦𝗧𝗘𝗠</w:t>
      </w:r>
      <w:r w:rsidRPr="00AA2488">
        <w:t>—</w:t>
      </w:r>
      <w:r w:rsidRPr="00AA2488">
        <w:rPr>
          <w:rFonts w:ascii="Cambria Math" w:hAnsi="Cambria Math" w:cs="Cambria Math"/>
        </w:rPr>
        <w:t>𝗮𝘃𝗮𝗶𝗹𝗮𝗯𝗹𝗲</w:t>
      </w:r>
      <w:r w:rsidRPr="00AA2488">
        <w:t xml:space="preserve"> </w:t>
      </w:r>
      <w:r w:rsidRPr="00AA2488">
        <w:rPr>
          <w:rFonts w:ascii="Cambria Math" w:hAnsi="Cambria Math" w:cs="Cambria Math"/>
        </w:rPr>
        <w:t>𝗻𝗼𝘄</w:t>
      </w:r>
      <w:r w:rsidRPr="00AA2488">
        <w:t xml:space="preserve"> </w:t>
      </w:r>
      <w:r w:rsidRPr="00AA2488">
        <w:rPr>
          <w:rFonts w:ascii="Cambria Math" w:hAnsi="Cambria Math" w:cs="Cambria Math"/>
        </w:rPr>
        <w:t>𝗼𝗻</w:t>
      </w:r>
      <w:r w:rsidRPr="00AA2488">
        <w:t xml:space="preserve"> </w:t>
      </w:r>
      <w:r w:rsidRPr="00AA2488">
        <w:rPr>
          <w:rFonts w:ascii="Cambria Math" w:hAnsi="Cambria Math" w:cs="Cambria Math"/>
        </w:rPr>
        <w:t>𝗖𝗼</w:t>
      </w:r>
      <w:r w:rsidRPr="00AA2488">
        <w:t>–</w:t>
      </w:r>
      <w:r w:rsidRPr="00AA2488">
        <w:rPr>
          <w:rFonts w:ascii="Cambria Math" w:hAnsi="Cambria Math" w:cs="Cambria Math"/>
        </w:rPr>
        <w:t>𝗦𝘁𝗮𝗿</w:t>
      </w:r>
      <w:r w:rsidRPr="00AA2488">
        <w:t>. Whole Sign is the oldest form of house division, and remained the preferred method of determining houses for about a thousand years after its inception.”, Twitter, (@costarastrology, 16th August 2021)</w:t>
      </w:r>
      <w:r>
        <w:t>.</w:t>
      </w:r>
    </w:p>
    <w:p w14:paraId="0F3D91D8" w14:textId="4810BB46" w:rsidR="00806B5A" w:rsidRDefault="00806B5A" w:rsidP="008B0E61"/>
    <w:p w14:paraId="44ED41EC" w14:textId="4855F3F3" w:rsidR="00806B5A" w:rsidRDefault="00806B5A" w:rsidP="008B0E61">
      <w:r w:rsidRPr="00806B5A">
        <w:t>Friedman, Hank</w:t>
      </w:r>
      <w:r>
        <w:t xml:space="preserve">, </w:t>
      </w:r>
      <w:r w:rsidRPr="00806B5A">
        <w:rPr>
          <w:i/>
          <w:iCs/>
        </w:rPr>
        <w:t>Ending the War between the Astrologers</w:t>
      </w:r>
      <w:r w:rsidRPr="00806B5A">
        <w:t>, http://www.soulhealing.com/ending.htm [accessed 21/08/21].</w:t>
      </w:r>
    </w:p>
    <w:p w14:paraId="164D2638" w14:textId="28C0025E" w:rsidR="00EC5062" w:rsidRDefault="00EC5062" w:rsidP="008B0E61"/>
    <w:p w14:paraId="6927A9B0" w14:textId="2806CD23" w:rsidR="00EC5062" w:rsidRDefault="00EC5062" w:rsidP="008B0E61">
      <w:r>
        <w:t xml:space="preserve">Greene, Liz, </w:t>
      </w:r>
      <w:r w:rsidRPr="00EC5062">
        <w:rPr>
          <w:i/>
          <w:iCs/>
        </w:rPr>
        <w:t>Astrology is an art</w:t>
      </w:r>
      <w:r>
        <w:t xml:space="preserve">, </w:t>
      </w:r>
      <w:hyperlink r:id="rId15" w:history="1">
        <w:r w:rsidRPr="00CD0EC2">
          <w:rPr>
            <w:rStyle w:val="Hyperlink"/>
          </w:rPr>
          <w:t>https://www.astro.com/astrology/in_art_e.htm</w:t>
        </w:r>
      </w:hyperlink>
      <w:r>
        <w:t>, [accessed 28/06/2021]</w:t>
      </w:r>
      <w:r w:rsidR="00FC661C">
        <w:t>.</w:t>
      </w:r>
    </w:p>
    <w:p w14:paraId="59D23014" w14:textId="77777777" w:rsidR="008B0E61" w:rsidRPr="008B0E61" w:rsidRDefault="008B0E61" w:rsidP="008B0E61"/>
    <w:p w14:paraId="4A518654" w14:textId="172EFEBE" w:rsidR="000F731A" w:rsidRDefault="000F731A" w:rsidP="000F731A">
      <w:r w:rsidRPr="000F731A">
        <w:t>Hickey,</w:t>
      </w:r>
      <w:r>
        <w:t xml:space="preserve"> Isabel,</w:t>
      </w:r>
      <w:r w:rsidRPr="000F731A">
        <w:t xml:space="preserve"> </w:t>
      </w:r>
      <w:r w:rsidRPr="000F731A">
        <w:rPr>
          <w:i/>
          <w:iCs/>
        </w:rPr>
        <w:t>Astrology: A Cosmic Science</w:t>
      </w:r>
      <w:r>
        <w:rPr>
          <w:i/>
          <w:iCs/>
        </w:rPr>
        <w:t>,</w:t>
      </w:r>
      <w:r w:rsidRPr="000F731A">
        <w:t xml:space="preserve"> (Bridgeport, CT: Altieri Press, 1970)</w:t>
      </w:r>
      <w:r>
        <w:t>.</w:t>
      </w:r>
    </w:p>
    <w:p w14:paraId="00EF798C" w14:textId="7E169E03" w:rsidR="00CD5BF8" w:rsidRDefault="00CD5BF8" w:rsidP="000F731A"/>
    <w:p w14:paraId="44B8D519" w14:textId="7D93BEAC" w:rsidR="00CD5BF8" w:rsidRDefault="00CD5BF8" w:rsidP="000F731A">
      <w:r w:rsidRPr="00CD5BF8">
        <w:t xml:space="preserve">Leviathan Astrology, “No disrespect to those who use it, but the Whole Sign house system for natal charts seems like it erases the individual's Ascendant degree and doesn't allow for the same amount of nuance that other systems do. It seems like a strange place to cut corners as an astrologer.”, Twitter, </w:t>
      </w:r>
      <w:r w:rsidR="007B1E94" w:rsidRPr="00CD5BF8">
        <w:t>(</w:t>
      </w:r>
      <w:r w:rsidRPr="00CD5BF8">
        <w:t>@LeviathanAstro1, 28th September 2020)</w:t>
      </w:r>
      <w:r w:rsidR="00FC661C">
        <w:t>.</w:t>
      </w:r>
    </w:p>
    <w:p w14:paraId="2D5A70BF" w14:textId="01A4240F" w:rsidR="00FC661C" w:rsidRDefault="00FC661C" w:rsidP="000F731A"/>
    <w:p w14:paraId="110810AB" w14:textId="4BB57D41" w:rsidR="00FC661C" w:rsidRDefault="00FC661C" w:rsidP="000F731A">
      <w:r w:rsidRPr="00FC661C">
        <w:t>lil jupiter, “how am i just finding out now how great whole sign houses are”, Twitter, (@comradekhaleesi, September 9th 2021)</w:t>
      </w:r>
      <w:r>
        <w:t>.</w:t>
      </w:r>
    </w:p>
    <w:p w14:paraId="214B934A" w14:textId="6B5E4C2E" w:rsidR="00CD5BF8" w:rsidRDefault="00CD5BF8" w:rsidP="000F731A"/>
    <w:p w14:paraId="1B9D79CC" w14:textId="398373CD" w:rsidR="00CD5BF8" w:rsidRDefault="00CD5BF8" w:rsidP="000F731A">
      <w:r w:rsidRPr="00CD5BF8">
        <w:t>Lil Miss Mercurial, “</w:t>
      </w:r>
      <w:r w:rsidRPr="00875143">
        <w:t>I recommend beginner astrologers to get into the whole sign house system first because (in my opinion) it’s the easiest. The Placidus house system can easily become difficult in some cases. Screen reader support enabled. I recommend beginner astrologers to get into the whole sign house system first because (in my opinion) it’s the easiest. The Placidus house system can easily become difficult in some cases</w:t>
      </w:r>
      <w:r w:rsidRPr="00CD5BF8">
        <w:rPr>
          <w:i/>
          <w:iCs/>
        </w:rPr>
        <w:t>.</w:t>
      </w:r>
      <w:r w:rsidRPr="00CD5BF8">
        <w:t>”, Twitter, (@MsAriesMoon, 16th March 2021)</w:t>
      </w:r>
      <w:r w:rsidR="00FC661C">
        <w:t>.</w:t>
      </w:r>
    </w:p>
    <w:p w14:paraId="02FE5BA3" w14:textId="730E3FB9" w:rsidR="000E56A1" w:rsidRDefault="000E56A1" w:rsidP="000F731A"/>
    <w:p w14:paraId="04AF8F4E" w14:textId="61E4E47D" w:rsidR="000E56A1" w:rsidRDefault="000E56A1" w:rsidP="000F731A">
      <w:r w:rsidRPr="000E56A1">
        <w:t>Lil Miss Mercurial, “The whole sign house system was used by Hellenistic and Indian astrologers until modern astrology took over (placidus and what not.)”, Twitter, (@MsAriesMoon, 16th March 2021);</w:t>
      </w:r>
    </w:p>
    <w:p w14:paraId="72BC07A3" w14:textId="327DF8CB" w:rsidR="003F743D" w:rsidRDefault="003F743D" w:rsidP="000F731A"/>
    <w:p w14:paraId="25BE51E6" w14:textId="011C158A" w:rsidR="003F743D" w:rsidRDefault="003F743D" w:rsidP="000F731A">
      <w:r w:rsidRPr="003F743D">
        <w:rPr>
          <w:rFonts w:ascii="Apple Color Emoji" w:hAnsi="Apple Color Emoji" w:cs="Apple Color Emoji"/>
        </w:rPr>
        <w:t>🌿</w:t>
      </w:r>
      <w:r w:rsidRPr="003F743D">
        <w:t>luna giiselle</w:t>
      </w:r>
      <w:r w:rsidRPr="003F743D">
        <w:rPr>
          <w:rFonts w:ascii="Segoe UI Historic" w:hAnsi="Segoe UI Historic" w:cs="Segoe UI Historic"/>
        </w:rPr>
        <w:t>𓂉</w:t>
      </w:r>
      <w:r w:rsidRPr="003F743D">
        <w:rPr>
          <w:rFonts w:ascii="MS Gothic" w:eastAsia="MS Gothic" w:hAnsi="MS Gothic" w:cs="MS Gothic" w:hint="eastAsia"/>
        </w:rPr>
        <w:t>ﾟ</w:t>
      </w:r>
      <w:r w:rsidRPr="003F743D">
        <w:t>: *</w:t>
      </w:r>
      <w:r w:rsidRPr="003F743D">
        <w:rPr>
          <w:rFonts w:ascii="Segoe UI Symbol" w:hAnsi="Segoe UI Symbol" w:cs="Segoe UI Symbol"/>
        </w:rPr>
        <w:t>✧</w:t>
      </w:r>
      <w:r w:rsidRPr="003F743D">
        <w:t>, “use this with whole sign houses!”, Twitter, (@lunagiiselle, 10th September 2021)</w:t>
      </w:r>
      <w:r w:rsidR="00FC661C">
        <w:t>.</w:t>
      </w:r>
    </w:p>
    <w:p w14:paraId="05DCA511" w14:textId="77777777" w:rsidR="000F731A" w:rsidRPr="000F731A" w:rsidRDefault="000F731A" w:rsidP="000F731A"/>
    <w:p w14:paraId="4B3F32AB" w14:textId="79B6C657" w:rsidR="00D71D67" w:rsidRDefault="00D71D67" w:rsidP="00D71D67">
      <w:r w:rsidRPr="007A68A3">
        <w:t xml:space="preserve">Manilius, </w:t>
      </w:r>
      <w:r w:rsidRPr="007A68A3">
        <w:rPr>
          <w:i/>
          <w:iCs/>
        </w:rPr>
        <w:t>Astronomica</w:t>
      </w:r>
      <w:r w:rsidRPr="007A68A3">
        <w:t>, trans. by G. P. Goold (Loeb Classical Library 469. Cambridge, MA: Harvard University Press), 1977.</w:t>
      </w:r>
    </w:p>
    <w:p w14:paraId="73E3EBD1" w14:textId="09DAA6A4" w:rsidR="00AA2488" w:rsidRDefault="00AA2488" w:rsidP="00D71D67"/>
    <w:p w14:paraId="2437A2D8" w14:textId="1D4B51C1" w:rsidR="00AA2488" w:rsidRDefault="00AA2488" w:rsidP="00D71D67">
      <w:r w:rsidRPr="00AA2488">
        <w:t>Ooh, Shiny!, “The Whole Sign House System is the oldest and best, yes.”, Twitter, (@FixedStarEnergy, 5th January 2019)</w:t>
      </w:r>
      <w:r>
        <w:t>.</w:t>
      </w:r>
    </w:p>
    <w:p w14:paraId="385C630D" w14:textId="4B50B028" w:rsidR="000E56A1" w:rsidRDefault="000E56A1" w:rsidP="00D71D67"/>
    <w:p w14:paraId="7182BE7A" w14:textId="6A08A00E" w:rsidR="000E56A1" w:rsidRDefault="000E56A1" w:rsidP="00D71D67">
      <w:r w:rsidRPr="000E56A1">
        <w:rPr>
          <w:rFonts w:ascii="Apple Color Emoji" w:hAnsi="Apple Color Emoji" w:cs="Apple Color Emoji"/>
        </w:rPr>
        <w:t>☀</w:t>
      </w:r>
      <w:r w:rsidRPr="000E56A1">
        <w:t>️patrickwatsonastrology.com</w:t>
      </w:r>
      <w:r w:rsidRPr="000E56A1">
        <w:rPr>
          <w:rFonts w:ascii="Apple Color Emoji" w:hAnsi="Apple Color Emoji" w:cs="Apple Color Emoji"/>
        </w:rPr>
        <w:t>🌙</w:t>
      </w:r>
      <w:r w:rsidRPr="000E56A1">
        <w:t>, “Yes. I think whole sign houses are the closest conceptually to the original notion of a house, it's the oldest house system. While I use whole signs for house topics exclusively, I think quadrant-based divisions have other uses.”, Twitter, (@pwatsonastro, 10th December 2019)</w:t>
      </w:r>
      <w:r>
        <w:t>.</w:t>
      </w:r>
    </w:p>
    <w:p w14:paraId="1F44F2AB" w14:textId="331E5700" w:rsidR="00BC0CC6" w:rsidRDefault="00BC0CC6" w:rsidP="00D71D67"/>
    <w:p w14:paraId="2DFC5C6A" w14:textId="79B2C5C3" w:rsidR="00BC0CC6" w:rsidRDefault="00BC0CC6" w:rsidP="00D71D67">
      <w:r>
        <w:t>Rem</w:t>
      </w:r>
      <w:r w:rsidR="00F97B20">
        <w:t>y</w:t>
      </w:r>
      <w:r>
        <w:t>, Facebook</w:t>
      </w:r>
      <w:r w:rsidRPr="00E502E2">
        <w:t xml:space="preserve">, </w:t>
      </w:r>
      <w:hyperlink r:id="rId16" w:history="1">
        <w:r w:rsidRPr="00E502E2">
          <w:t>https://www.facebook.com/xxxxxxx</w:t>
        </w:r>
      </w:hyperlink>
      <w:r w:rsidRPr="00E502E2">
        <w:t>,</w:t>
      </w:r>
      <w:r>
        <w:t xml:space="preserve"> (name and URL removed to preserve anonymity), [accessed 21</w:t>
      </w:r>
      <w:r>
        <w:rPr>
          <w:vertAlign w:val="superscript"/>
        </w:rPr>
        <w:t>st</w:t>
      </w:r>
      <w:r>
        <w:t xml:space="preserve"> August 2021].</w:t>
      </w:r>
    </w:p>
    <w:p w14:paraId="1079C0CF" w14:textId="29E6914A" w:rsidR="00FC661C" w:rsidRDefault="00FC661C" w:rsidP="00D71D67"/>
    <w:p w14:paraId="0D609C0A" w14:textId="422903DE" w:rsidR="00FC661C" w:rsidRDefault="00FC661C" w:rsidP="00D71D67">
      <w:r w:rsidRPr="00FC661C">
        <w:t>soph, “i prefer whole sign houses!”, Twitter, (@maneskincults, 12th September 2021)</w:t>
      </w:r>
      <w:r>
        <w:t>.</w:t>
      </w:r>
    </w:p>
    <w:p w14:paraId="2DA2229F" w14:textId="52879D84" w:rsidR="00D71D67" w:rsidRDefault="00D71D67" w:rsidP="00D71D67"/>
    <w:p w14:paraId="37B2B129" w14:textId="2CEE9234" w:rsidR="00D71D67" w:rsidRDefault="00AC0415" w:rsidP="00D71D67">
      <w:r w:rsidRPr="00EC5062">
        <w:t>Tompkins,</w:t>
      </w:r>
      <w:r>
        <w:t xml:space="preserve"> Sue,</w:t>
      </w:r>
      <w:r w:rsidRPr="00EC5062">
        <w:t xml:space="preserve"> </w:t>
      </w:r>
      <w:r w:rsidRPr="00AC0415">
        <w:rPr>
          <w:i/>
          <w:iCs/>
        </w:rPr>
        <w:t>Aspects in Astrology: A Guide to Understanding Planetary Relationships in the Horoscope</w:t>
      </w:r>
      <w:r>
        <w:rPr>
          <w:i/>
          <w:iCs/>
        </w:rPr>
        <w:t>,</w:t>
      </w:r>
      <w:r w:rsidRPr="00EC5062">
        <w:t xml:space="preserve"> (</w:t>
      </w:r>
      <w:r>
        <w:t>Rider, 2001</w:t>
      </w:r>
      <w:r w:rsidRPr="00EC5062">
        <w:t>)</w:t>
      </w:r>
      <w:r w:rsidR="00A544BD">
        <w:t>.</w:t>
      </w:r>
    </w:p>
    <w:p w14:paraId="576BAA4F" w14:textId="5871753C" w:rsidR="00A44938" w:rsidRDefault="00A44938" w:rsidP="00D71D67"/>
    <w:p w14:paraId="2617A8A3" w14:textId="0F50B9A2" w:rsidR="00CA7391" w:rsidRDefault="00A44938" w:rsidP="00D71D67">
      <w:r w:rsidRPr="000C735E">
        <w:t>Tompkins, Sue</w:t>
      </w:r>
      <w:r>
        <w:t xml:space="preserve">, </w:t>
      </w:r>
      <w:r w:rsidRPr="000C735E">
        <w:rPr>
          <w:i/>
          <w:iCs/>
        </w:rPr>
        <w:t xml:space="preserve">The Contemporary Astrologer's Handbook: An </w:t>
      </w:r>
      <w:r w:rsidR="00500E4A">
        <w:rPr>
          <w:i/>
          <w:iCs/>
        </w:rPr>
        <w:t>I</w:t>
      </w:r>
      <w:r w:rsidRPr="000C735E">
        <w:rPr>
          <w:i/>
          <w:iCs/>
        </w:rPr>
        <w:t>n-Depth Guide to Interpreting Your Horoscope</w:t>
      </w:r>
      <w:r w:rsidRPr="000C735E">
        <w:t>, Astrology Now (Flare Publications, 2006).</w:t>
      </w:r>
    </w:p>
    <w:p w14:paraId="26EE285C" w14:textId="41EFFD3B" w:rsidR="004D2C74" w:rsidRDefault="004D2C74" w:rsidP="00D71D67"/>
    <w:p w14:paraId="2ED28D76" w14:textId="6DB88F7F" w:rsidR="004D2C74" w:rsidRDefault="004D2C74" w:rsidP="00D71D67">
      <w:r>
        <w:t>Tony”, Facebook Pa</w:t>
      </w:r>
      <w:r w:rsidRPr="00E502E2">
        <w:t xml:space="preserve">ge, </w:t>
      </w:r>
      <w:hyperlink r:id="rId17" w:history="1">
        <w:r w:rsidRPr="00E502E2">
          <w:t>https://www.facebook.com/xxxxxxx</w:t>
        </w:r>
      </w:hyperlink>
      <w:r w:rsidRPr="00E502E2">
        <w:t>,</w:t>
      </w:r>
      <w:r>
        <w:t xml:space="preserve"> (name and URL removed to preserve anonymity), [accessed 3</w:t>
      </w:r>
      <w:r w:rsidRPr="00E502E2">
        <w:rPr>
          <w:vertAlign w:val="superscript"/>
        </w:rPr>
        <w:t>rd</w:t>
      </w:r>
      <w:r>
        <w:t xml:space="preserve"> June 2021].</w:t>
      </w:r>
    </w:p>
    <w:p w14:paraId="7FA39FC3" w14:textId="77777777" w:rsidR="000D1A9B" w:rsidRDefault="000D1A9B" w:rsidP="00D71D67"/>
    <w:p w14:paraId="195944EA" w14:textId="77777777" w:rsidR="00CF38DC" w:rsidRDefault="000D1A9B" w:rsidP="00CF38DC">
      <w:r>
        <w:t>Valens</w:t>
      </w:r>
      <w:r w:rsidRPr="009762AE">
        <w:t>,</w:t>
      </w:r>
      <w:r>
        <w:t xml:space="preserve"> </w:t>
      </w:r>
      <w:r w:rsidRPr="009762AE">
        <w:t>Vettius</w:t>
      </w:r>
      <w:r>
        <w:t>,</w:t>
      </w:r>
      <w:r w:rsidRPr="009762AE">
        <w:t xml:space="preserve"> </w:t>
      </w:r>
      <w:r w:rsidRPr="009762AE">
        <w:rPr>
          <w:i/>
          <w:iCs/>
        </w:rPr>
        <w:t>Anthologies</w:t>
      </w:r>
      <w:r w:rsidRPr="009762AE">
        <w:t>, trans. Mark Riley, as Vettius valens all, 2010</w:t>
      </w:r>
      <w:r>
        <w:t>,</w:t>
      </w:r>
      <w:r w:rsidRPr="009762AE">
        <w:t xml:space="preserve"> (</w:t>
      </w:r>
      <w:hyperlink r:id="rId18" w:history="1">
        <w:r w:rsidRPr="00CE7D3E">
          <w:rPr>
            <w:rStyle w:val="Hyperlink"/>
          </w:rPr>
          <w:t>http://www.csus.edu/indiv/r/rileymt/vettius%20valens%20entire.pdf</w:t>
        </w:r>
      </w:hyperlink>
      <w:r w:rsidRPr="009762AE">
        <w:t>)</w:t>
      </w:r>
      <w:r>
        <w:t xml:space="preserve">, [accessed </w:t>
      </w:r>
      <w:r w:rsidR="00314D60">
        <w:t>01/07/21</w:t>
      </w:r>
      <w:r w:rsidR="000E60BC">
        <w:t>].</w:t>
      </w:r>
    </w:p>
    <w:p w14:paraId="404F8861" w14:textId="77777777" w:rsidR="00CF38DC" w:rsidRDefault="00CF38DC" w:rsidP="00CF38DC"/>
    <w:p w14:paraId="462FD2DF" w14:textId="33B9827D"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Book I</w:t>
      </w:r>
      <w:r w:rsidRPr="0001178B">
        <w:t>, trans. Robert Schmidt, ed. Robert Hand, The Golden Hind Press, Berkeley Springs, WV, 199</w:t>
      </w:r>
      <w:r>
        <w:t>3</w:t>
      </w:r>
      <w:r w:rsidRPr="0001178B">
        <w:t>.</w:t>
      </w:r>
    </w:p>
    <w:p w14:paraId="2050499C" w14:textId="77777777" w:rsidR="00CF38DC" w:rsidRDefault="00CF38DC" w:rsidP="00CF38DC"/>
    <w:p w14:paraId="4FF0B3CF" w14:textId="6FD5D30A"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 xml:space="preserve">Book </w:t>
      </w:r>
      <w:r>
        <w:rPr>
          <w:i/>
          <w:iCs/>
        </w:rPr>
        <w:t>I</w:t>
      </w:r>
      <w:r w:rsidRPr="00784B56">
        <w:rPr>
          <w:i/>
          <w:iCs/>
        </w:rPr>
        <w:t>I</w:t>
      </w:r>
      <w:r w:rsidRPr="0001178B">
        <w:t>, trans. Robert Schmidt, ed. Robert Hand, The Golden Hind Press, Berkeley Springs, WV, 199</w:t>
      </w:r>
      <w:r>
        <w:t>4</w:t>
      </w:r>
      <w:r w:rsidRPr="0001178B">
        <w:t>.</w:t>
      </w:r>
    </w:p>
    <w:p w14:paraId="602EDE52" w14:textId="77777777" w:rsidR="00CF38DC" w:rsidRDefault="00CF38DC" w:rsidP="00CF38DC"/>
    <w:p w14:paraId="2456EF5C" w14:textId="77777777"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Book II (concl.) &amp; Book III</w:t>
      </w:r>
      <w:r w:rsidRPr="0001178B">
        <w:t>, trans. Robert Schmidt, ed. Robert Hand, The Golden Hind Press, Berkeley Springs, WV, 1994.</w:t>
      </w:r>
    </w:p>
    <w:p w14:paraId="36295824" w14:textId="77777777" w:rsidR="00CF38DC" w:rsidRDefault="00CF38DC" w:rsidP="00CF38DC"/>
    <w:p w14:paraId="00E0684B" w14:textId="188AAC16"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 xml:space="preserve">Book </w:t>
      </w:r>
      <w:r>
        <w:rPr>
          <w:i/>
          <w:iCs/>
        </w:rPr>
        <w:t>IV</w:t>
      </w:r>
      <w:r w:rsidRPr="0001178B">
        <w:t>, trans. Robert Schmidt, ed. Robert Hand, The Golden Hind Press, Berkeley Springs, WV, 199</w:t>
      </w:r>
      <w:r>
        <w:t>6</w:t>
      </w:r>
      <w:r w:rsidRPr="0001178B">
        <w:t>.</w:t>
      </w:r>
    </w:p>
    <w:p w14:paraId="1AF87A1F" w14:textId="77777777" w:rsidR="00CF38DC" w:rsidRDefault="00CF38DC" w:rsidP="00CF38DC"/>
    <w:p w14:paraId="7D6272D3" w14:textId="77777777"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Boo</w:t>
      </w:r>
      <w:r>
        <w:rPr>
          <w:i/>
          <w:iCs/>
        </w:rPr>
        <w:t>ks V &amp; VI</w:t>
      </w:r>
      <w:r w:rsidRPr="00784B56">
        <w:rPr>
          <w:i/>
          <w:iCs/>
        </w:rPr>
        <w:t>I</w:t>
      </w:r>
      <w:r w:rsidRPr="0001178B">
        <w:t>, trans. Robert Schmidt, ed. Robert Hand, The Golden Hind Press, Berkeley Springs, WV, 199</w:t>
      </w:r>
      <w:r>
        <w:t>7</w:t>
      </w:r>
      <w:r w:rsidRPr="0001178B">
        <w:t>.</w:t>
      </w:r>
    </w:p>
    <w:p w14:paraId="44DBF8D2" w14:textId="77777777" w:rsidR="00CF38DC" w:rsidRDefault="00CF38DC" w:rsidP="00CF38DC"/>
    <w:p w14:paraId="45E566FB" w14:textId="4A77073F" w:rsidR="00CF38DC" w:rsidRDefault="00CF38DC" w:rsidP="00CF38DC">
      <w:r>
        <w:t>Valens</w:t>
      </w:r>
      <w:r w:rsidRPr="0001178B">
        <w:t>,</w:t>
      </w:r>
      <w:r>
        <w:t xml:space="preserve"> Vettius,</w:t>
      </w:r>
      <w:r w:rsidRPr="0001178B">
        <w:t xml:space="preserve"> </w:t>
      </w:r>
      <w:r w:rsidRPr="0001178B">
        <w:rPr>
          <w:i/>
          <w:iCs/>
        </w:rPr>
        <w:t>The Anthology</w:t>
      </w:r>
      <w:r w:rsidRPr="0001178B">
        <w:t xml:space="preserve">, </w:t>
      </w:r>
      <w:r w:rsidRPr="00784B56">
        <w:rPr>
          <w:i/>
          <w:iCs/>
        </w:rPr>
        <w:t xml:space="preserve">Book </w:t>
      </w:r>
      <w:r>
        <w:rPr>
          <w:i/>
          <w:iCs/>
        </w:rPr>
        <w:t>VII</w:t>
      </w:r>
      <w:r w:rsidRPr="0001178B">
        <w:t xml:space="preserve">, trans. Robert Schmidt, ed. Robert Hand, The Golden Hind Press, Berkeley Springs, WV, </w:t>
      </w:r>
      <w:r>
        <w:t>2001</w:t>
      </w:r>
      <w:r w:rsidRPr="0001178B">
        <w:t>.</w:t>
      </w:r>
    </w:p>
    <w:p w14:paraId="535DCCCF" w14:textId="508701A2" w:rsidR="00F845E0" w:rsidRDefault="00F845E0" w:rsidP="00CF38DC"/>
    <w:p w14:paraId="665674EC" w14:textId="2459C7B5" w:rsidR="00F845E0" w:rsidRDefault="00F845E0" w:rsidP="00CF38DC">
      <w:r w:rsidRPr="00F845E0">
        <w:t>Vettius Valens, “Myself and other Astrologers of my age did indeed use Whole Sign Houses.”, Twitter, (@TheRealVValens, 1st November 2020)</w:t>
      </w:r>
      <w:r w:rsidR="006C7BD8">
        <w:t>.</w:t>
      </w:r>
    </w:p>
    <w:p w14:paraId="5D6EDDC5" w14:textId="013EB034" w:rsidR="00B23786" w:rsidRDefault="00B23786" w:rsidP="00CF38DC"/>
    <w:p w14:paraId="5CFA6200" w14:textId="320C7744" w:rsidR="00B23786" w:rsidRDefault="00B23786" w:rsidP="00CF38DC">
      <w:r w:rsidRPr="00B23786">
        <w:t xml:space="preserve">Victory Beaver </w:t>
      </w:r>
      <w:r w:rsidRPr="00B23786">
        <w:rPr>
          <w:rFonts w:ascii="Apple Color Emoji" w:hAnsi="Apple Color Emoji" w:cs="Apple Color Emoji"/>
        </w:rPr>
        <w:t>🦫</w:t>
      </w:r>
      <w:r w:rsidRPr="00B23786">
        <w:t>, “I've really found using WSH has improved my astrology. I'm glad I tried them based on one of your articles.”, Twitter, (@astro_ashley11, 16th June 2018)</w:t>
      </w:r>
      <w:r w:rsidR="00FC661C">
        <w:t>.</w:t>
      </w:r>
    </w:p>
    <w:p w14:paraId="69DA5D1E" w14:textId="79332C26" w:rsidR="00FC661C" w:rsidRDefault="00FC661C" w:rsidP="00CF38DC"/>
    <w:p w14:paraId="7CEE1A0E" w14:textId="416502DF" w:rsidR="00BE025F" w:rsidRDefault="00FC661C" w:rsidP="00CF38DC">
      <w:r w:rsidRPr="00FC661C">
        <w:rPr>
          <w:rFonts w:ascii="Segoe UI Symbol" w:hAnsi="Segoe UI Symbol" w:cs="Segoe UI Symbol"/>
        </w:rPr>
        <w:t>✧</w:t>
      </w:r>
      <w:r w:rsidRPr="00FC661C">
        <w:t>* violet</w:t>
      </w:r>
      <w:r w:rsidRPr="00FC661C">
        <w:rPr>
          <w:rFonts w:ascii="MS Gothic" w:eastAsia="MS Gothic" w:hAnsi="MS Gothic" w:cs="MS Gothic" w:hint="eastAsia"/>
        </w:rPr>
        <w:t>･ﾟ</w:t>
      </w:r>
      <w:r w:rsidRPr="00FC661C">
        <w:rPr>
          <w:rFonts w:ascii="Segoe UI Symbol" w:hAnsi="Segoe UI Symbol" w:cs="Segoe UI Symbol"/>
        </w:rPr>
        <w:t>✧</w:t>
      </w:r>
      <w:r w:rsidRPr="00FC661C">
        <w:t>, “cont. i always recommend looking at your chart in whole sign houses before placidus when ure starting, since placidus can be more overwhelming at first glance, then you can choose whichever house system you want! &amp; the last photo is a placidus chart w/o interceptions/duplications”, Twitter, (@mercurialaries, 11th April 2021)</w:t>
      </w:r>
      <w:r>
        <w:t>.</w:t>
      </w:r>
    </w:p>
    <w:p w14:paraId="2DAD7004" w14:textId="5B2BF868" w:rsidR="00A544BD" w:rsidRDefault="00A544BD" w:rsidP="00D71D67"/>
    <w:p w14:paraId="40E58DFD" w14:textId="77777777" w:rsidR="00C91E97" w:rsidRPr="00D71D67" w:rsidRDefault="00C91E97" w:rsidP="00D71D67"/>
    <w:p w14:paraId="3A4292BF" w14:textId="6F22D5FD" w:rsidR="00D71D67" w:rsidRDefault="00D71D67" w:rsidP="00D71D67">
      <w:pPr>
        <w:pStyle w:val="Heading2"/>
      </w:pPr>
      <w:bookmarkStart w:id="110" w:name="_Toc83646481"/>
      <w:r>
        <w:t>Secondary Sources</w:t>
      </w:r>
      <w:bookmarkEnd w:id="110"/>
    </w:p>
    <w:p w14:paraId="650FC0CD" w14:textId="7DA040A6" w:rsidR="00D71D67" w:rsidRDefault="00DE62A2" w:rsidP="00D71D67">
      <w:r w:rsidRPr="00D915F7">
        <w:t xml:space="preserve">Bauman, </w:t>
      </w:r>
      <w:r>
        <w:t>Z</w:t>
      </w:r>
      <w:r w:rsidRPr="00D915F7">
        <w:t>ygmunt</w:t>
      </w:r>
      <w:r>
        <w:t xml:space="preserve">, </w:t>
      </w:r>
      <w:r w:rsidRPr="00D915F7">
        <w:rPr>
          <w:i/>
          <w:iCs/>
        </w:rPr>
        <w:t>Intimations of Postmodernity</w:t>
      </w:r>
      <w:r>
        <w:t xml:space="preserve">, </w:t>
      </w:r>
      <w:r w:rsidRPr="00D915F7">
        <w:t>(London: Routledge, 1992)</w:t>
      </w:r>
      <w:r>
        <w:t>.</w:t>
      </w:r>
    </w:p>
    <w:p w14:paraId="07DD20BC" w14:textId="493D8CA9" w:rsidR="007F45FB" w:rsidRDefault="007F45FB" w:rsidP="00D71D67"/>
    <w:p w14:paraId="594A0A5B" w14:textId="087C3288" w:rsidR="007F45FB" w:rsidRDefault="007F45FB" w:rsidP="00D71D67">
      <w:r>
        <w:t xml:space="preserve">About Martin Gansten, </w:t>
      </w:r>
      <w:hyperlink r:id="rId19" w:history="1">
        <w:r w:rsidRPr="00C57D6C">
          <w:rPr>
            <w:rStyle w:val="Hyperlink"/>
          </w:rPr>
          <w:t>https://academic.martingansten.com/about/</w:t>
        </w:r>
      </w:hyperlink>
      <w:r>
        <w:t>, [accessed 21</w:t>
      </w:r>
      <w:r w:rsidRPr="000A4FDC">
        <w:rPr>
          <w:vertAlign w:val="superscript"/>
        </w:rPr>
        <w:t>st</w:t>
      </w:r>
      <w:r>
        <w:t xml:space="preserve"> July 2021].</w:t>
      </w:r>
    </w:p>
    <w:p w14:paraId="3FDECED7" w14:textId="61B1E5B2" w:rsidR="0037305A" w:rsidRDefault="0037305A" w:rsidP="00D71D67"/>
    <w:p w14:paraId="00C5C478" w14:textId="7AD88C8A" w:rsidR="0037305A" w:rsidRDefault="0037305A" w:rsidP="00D71D67">
      <w:r w:rsidRPr="00F70233">
        <w:t>August Bouché</w:t>
      </w:r>
      <w:r>
        <w:t>-</w:t>
      </w:r>
      <w:r w:rsidRPr="0037305A">
        <w:t xml:space="preserve">Leclercq, </w:t>
      </w:r>
      <w:r w:rsidRPr="0037305A">
        <w:rPr>
          <w:i/>
          <w:iCs/>
        </w:rPr>
        <w:t>L'Astrologie Grecque</w:t>
      </w:r>
      <w:r w:rsidRPr="0037305A">
        <w:t>, Paris: Ernest Leroux, 1899.</w:t>
      </w:r>
    </w:p>
    <w:p w14:paraId="4996FBE2" w14:textId="77777777" w:rsidR="00DE62A2" w:rsidRPr="00D71D67" w:rsidRDefault="00DE62A2" w:rsidP="00D71D67"/>
    <w:p w14:paraId="723438DB" w14:textId="7D90B28F" w:rsidR="00C2630B" w:rsidRDefault="00C2630B" w:rsidP="00B83202">
      <w:r w:rsidRPr="00C2630B">
        <w:t xml:space="preserve">Bowen, </w:t>
      </w:r>
      <w:r>
        <w:t>Alan C.</w:t>
      </w:r>
      <w:r w:rsidR="008936D4">
        <w:t xml:space="preserve"> </w:t>
      </w:r>
      <w:r>
        <w:t>,</w:t>
      </w:r>
      <w:r w:rsidRPr="00C2630B">
        <w:t>Rochberg,</w:t>
      </w:r>
      <w:r>
        <w:t xml:space="preserve"> Francesca</w:t>
      </w:r>
      <w:r w:rsidRPr="00C2630B">
        <w:rPr>
          <w:i/>
          <w:iCs/>
        </w:rPr>
        <w:t>, Hellenistic Astronomy: The Science in Its Contexts</w:t>
      </w:r>
      <w:r w:rsidRPr="00C2630B">
        <w:t>, Brill's Companions in Classical Studies (Brill, 2020).</w:t>
      </w:r>
    </w:p>
    <w:p w14:paraId="331F2052" w14:textId="4C27BF48" w:rsidR="00350196" w:rsidRDefault="00350196" w:rsidP="00B83202"/>
    <w:p w14:paraId="2BE210AA" w14:textId="6E32A9FB" w:rsidR="00350196" w:rsidRDefault="00350196" w:rsidP="00B83202">
      <w:r w:rsidRPr="00A808E6">
        <w:t>Brau,</w:t>
      </w:r>
      <w:r>
        <w:t xml:space="preserve"> </w:t>
      </w:r>
      <w:r w:rsidRPr="00A808E6">
        <w:t>Jean L.</w:t>
      </w:r>
      <w:r>
        <w:t>,</w:t>
      </w:r>
      <w:r w:rsidRPr="00A808E6">
        <w:t xml:space="preserve"> Weaver,</w:t>
      </w:r>
      <w:r>
        <w:t xml:space="preserve"> </w:t>
      </w:r>
      <w:r w:rsidRPr="00A808E6">
        <w:t>Helen</w:t>
      </w:r>
      <w:r>
        <w:t>,</w:t>
      </w:r>
      <w:r w:rsidRPr="00A808E6">
        <w:t xml:space="preserve"> and Edmands, Allan</w:t>
      </w:r>
      <w:r>
        <w:t xml:space="preserve">, </w:t>
      </w:r>
      <w:r w:rsidRPr="00A808E6">
        <w:rPr>
          <w:i/>
          <w:iCs/>
        </w:rPr>
        <w:t>Larousse Encyclopedia of Astrology</w:t>
      </w:r>
      <w:r w:rsidRPr="00A808E6">
        <w:t>, (McGraw-Hill, 1980)</w:t>
      </w:r>
      <w:r>
        <w:t xml:space="preserve">; </w:t>
      </w:r>
    </w:p>
    <w:p w14:paraId="40F3DD8E" w14:textId="66876BEC" w:rsidR="00F001B6" w:rsidRDefault="00F001B6" w:rsidP="00B83202"/>
    <w:p w14:paraId="1593D8B0" w14:textId="0D75EEC4" w:rsidR="00CF0627" w:rsidRDefault="00F001B6" w:rsidP="00CF0627">
      <w:r w:rsidRPr="009E1991">
        <w:t>Brennan, Chris</w:t>
      </w:r>
      <w:r>
        <w:t xml:space="preserve">, </w:t>
      </w:r>
      <w:r w:rsidRPr="00F001B6">
        <w:rPr>
          <w:i/>
          <w:iCs/>
        </w:rPr>
        <w:t>Hellenistic Astrology: The Study of Fate and Fortune</w:t>
      </w:r>
      <w:r>
        <w:rPr>
          <w:i/>
          <w:iCs/>
        </w:rPr>
        <w:t>,</w:t>
      </w:r>
      <w:r w:rsidRPr="009E1991">
        <w:t xml:space="preserve"> (Amor Fati Publications, 2017)</w:t>
      </w:r>
      <w:r>
        <w:t>, pp.386-393.</w:t>
      </w:r>
    </w:p>
    <w:p w14:paraId="4A51441E" w14:textId="2AAF1BBA" w:rsidR="00460B95" w:rsidRDefault="00460B95" w:rsidP="00B83202"/>
    <w:p w14:paraId="04D0822E" w14:textId="77777777" w:rsidR="000A1EA6" w:rsidRDefault="00460B95" w:rsidP="000A1EA6">
      <w:r w:rsidRPr="00E36A1B">
        <w:t>Campion,</w:t>
      </w:r>
      <w:r w:rsidRPr="00460B95">
        <w:t xml:space="preserve"> </w:t>
      </w:r>
      <w:r w:rsidRPr="00E36A1B">
        <w:t>Nicholas</w:t>
      </w:r>
      <w:r>
        <w:t>,</w:t>
      </w:r>
      <w:r w:rsidRPr="00E36A1B">
        <w:t xml:space="preserve"> </w:t>
      </w:r>
      <w:r w:rsidRPr="00E36A1B">
        <w:rPr>
          <w:i/>
          <w:iCs/>
        </w:rPr>
        <w:t xml:space="preserve">A History of Western Astrology </w:t>
      </w:r>
      <w:r w:rsidRPr="00E36A1B">
        <w:t>Volume I: The Ancient World</w:t>
      </w:r>
      <w:r>
        <w:t>,</w:t>
      </w:r>
      <w:r w:rsidRPr="00E36A1B">
        <w:t xml:space="preserve"> (Bloomsbury UK, 2009)</w:t>
      </w:r>
      <w:r>
        <w:t>.</w:t>
      </w:r>
    </w:p>
    <w:p w14:paraId="4E1EE033" w14:textId="77777777" w:rsidR="000A1EA6" w:rsidRDefault="000A1EA6" w:rsidP="000A1EA6"/>
    <w:p w14:paraId="1AC76678" w14:textId="574B6C74" w:rsidR="00460B95" w:rsidRDefault="000A1EA6" w:rsidP="00B83202">
      <w:r w:rsidRPr="00CF0627">
        <w:t xml:space="preserve">Campion, Nicholas, </w:t>
      </w:r>
      <w:r w:rsidRPr="00CF0627">
        <w:rPr>
          <w:i/>
          <w:iCs/>
        </w:rPr>
        <w:t>Prophecy, Cosmology and the New Age Movement: The Extent and Nature of Contemporary Belief in Astrology</w:t>
      </w:r>
      <w:r w:rsidRPr="00CF0627">
        <w:t>, Doctoral Thesis, University of the West of England, Bristol., 2003.</w:t>
      </w:r>
    </w:p>
    <w:p w14:paraId="687FE298" w14:textId="0D24D5BC" w:rsidR="008D3168" w:rsidRDefault="008D3168" w:rsidP="00B83202"/>
    <w:p w14:paraId="59285214" w14:textId="1FE73E12" w:rsidR="008D3168" w:rsidRDefault="008D3168" w:rsidP="00B83202">
      <w:r>
        <w:t>Campion,</w:t>
      </w:r>
      <w:r w:rsidR="00F001B6">
        <w:t xml:space="preserve"> Nicholas,</w:t>
      </w:r>
      <w:r>
        <w:t xml:space="preserve"> </w:t>
      </w:r>
      <w:r w:rsidRPr="00E92205">
        <w:rPr>
          <w:i/>
          <w:iCs/>
        </w:rPr>
        <w:t>The Traditional Revival in Modern Astrology: A Preliminary History</w:t>
      </w:r>
      <w:r>
        <w:t xml:space="preserve">, </w:t>
      </w:r>
      <w:hyperlink r:id="rId20" w:history="1">
        <w:r w:rsidRPr="0004722F">
          <w:rPr>
            <w:rStyle w:val="Hyperlink"/>
          </w:rPr>
          <w:t>https://theafi.files.wordpress.com/2011/01/nick-campion_the-traditional-revival1.pdf</w:t>
        </w:r>
      </w:hyperlink>
      <w:r>
        <w:t>, [accessed 1</w:t>
      </w:r>
      <w:r w:rsidRPr="00E92205">
        <w:rPr>
          <w:vertAlign w:val="superscript"/>
        </w:rPr>
        <w:t>st</w:t>
      </w:r>
      <w:r>
        <w:t xml:space="preserve"> May 2021].</w:t>
      </w:r>
    </w:p>
    <w:p w14:paraId="5550198F" w14:textId="7CF170DE" w:rsidR="00A26A8E" w:rsidRDefault="00A26A8E" w:rsidP="00B83202"/>
    <w:p w14:paraId="5583E065" w14:textId="4AFC7EE7" w:rsidR="00A26A8E" w:rsidRDefault="00A26A8E" w:rsidP="00B83202">
      <w:r>
        <w:t xml:space="preserve">Campion, Nicholas, and Greene, Liz, </w:t>
      </w:r>
      <w:r w:rsidRPr="00A26A8E">
        <w:rPr>
          <w:i/>
          <w:iCs/>
        </w:rPr>
        <w:t>Astrologies: Plurality and Diversity: The Proceedings of the Eighth Annual Conference of the Sophia Centre for the Study of Cosmology in Culture</w:t>
      </w:r>
      <w:r w:rsidRPr="00A26A8E">
        <w:t>, ed. by Nicholas Campion and Liz Greene (Ceredigion: Sophia Centre Press, 2011)</w:t>
      </w:r>
      <w:r>
        <w:t>.</w:t>
      </w:r>
    </w:p>
    <w:p w14:paraId="539D3793" w14:textId="5169E7DB" w:rsidR="008B19D7" w:rsidRDefault="008B19D7" w:rsidP="00B83202"/>
    <w:p w14:paraId="66F09426" w14:textId="650C149C" w:rsidR="008B19D7" w:rsidRDefault="008B19D7" w:rsidP="00B83202">
      <w:r>
        <w:t xml:space="preserve">Clynes, Frances, </w:t>
      </w:r>
      <w:r w:rsidRPr="00F709CB">
        <w:rPr>
          <w:i/>
          <w:iCs/>
        </w:rPr>
        <w:t>Cyberspace and Dualism: An Examination of the Impact of the Internet on Modern Western Astrology</w:t>
      </w:r>
      <w:r w:rsidRPr="00F709CB">
        <w:t xml:space="preserve"> (unpublished doctoral thesis, University of Wales Trinity Saint David, 2015)</w:t>
      </w:r>
      <w:r>
        <w:t>.</w:t>
      </w:r>
    </w:p>
    <w:p w14:paraId="45C39698" w14:textId="7B752BF1" w:rsidR="003B7DB0" w:rsidRDefault="003B7DB0" w:rsidP="00B83202"/>
    <w:p w14:paraId="5923BDE0" w14:textId="4E468563" w:rsidR="003B7DB0" w:rsidRDefault="003B7DB0" w:rsidP="00B83202">
      <w:r w:rsidRPr="00EF35E7">
        <w:t>Curry, Patrick</w:t>
      </w:r>
      <w:r>
        <w:t xml:space="preserve">, </w:t>
      </w:r>
      <w:r w:rsidRPr="00EF35E7">
        <w:rPr>
          <w:i/>
          <w:iCs/>
        </w:rPr>
        <w:t>Astrology</w:t>
      </w:r>
      <w:r w:rsidRPr="00EF35E7">
        <w:t xml:space="preserve">, The Encyclopaedia of Historians and Historical Writing, 2 Vols, ed. Kelly Boyd (London: Fitzroy Dearborn, 1999), Vol </w:t>
      </w:r>
      <w:r>
        <w:t>1</w:t>
      </w:r>
      <w:r w:rsidRPr="00EF35E7">
        <w:t>.</w:t>
      </w:r>
    </w:p>
    <w:p w14:paraId="19A009FA" w14:textId="2BAB80C2" w:rsidR="00434F65" w:rsidRDefault="00434F65" w:rsidP="00B83202"/>
    <w:p w14:paraId="6D7755A6" w14:textId="47942158" w:rsidR="00434F65" w:rsidRDefault="00434F65" w:rsidP="00B83202">
      <w:r>
        <w:t>Derrida,</w:t>
      </w:r>
      <w:r w:rsidRPr="00434F65">
        <w:t xml:space="preserve"> </w:t>
      </w:r>
      <w:r>
        <w:t xml:space="preserve">Jacques, </w:t>
      </w:r>
      <w:r w:rsidRPr="000049CF">
        <w:rPr>
          <w:i/>
          <w:iCs/>
        </w:rPr>
        <w:t>Of Grammatology</w:t>
      </w:r>
      <w:r>
        <w:t>, trans. Gayatri Chakravorty Spivak, (Baltimore: John Hopkins University Press), 1976.</w:t>
      </w:r>
    </w:p>
    <w:p w14:paraId="18D0011E" w14:textId="7EC78EB2" w:rsidR="005319FA" w:rsidRDefault="005319FA" w:rsidP="00B83202"/>
    <w:p w14:paraId="48BA48B6" w14:textId="5545D01D" w:rsidR="005319FA" w:rsidRDefault="005319FA" w:rsidP="00B83202">
      <w:r>
        <w:t xml:space="preserve">Dykes, Benjamin N., </w:t>
      </w:r>
      <w:r w:rsidRPr="00D712C5">
        <w:rPr>
          <w:i/>
          <w:iCs/>
        </w:rPr>
        <w:t>Introductions to Traditional Astrology: Abu Mashar &amp; al-Qabisi</w:t>
      </w:r>
      <w:r>
        <w:t>, Cazimi Press, Minneapolis, MN, 2010.</w:t>
      </w:r>
    </w:p>
    <w:p w14:paraId="28B02CE2" w14:textId="09B69539" w:rsidR="00AA783D" w:rsidRDefault="00AA783D" w:rsidP="00B83202"/>
    <w:p w14:paraId="3C876B3F" w14:textId="767F17D0" w:rsidR="00AA783D" w:rsidRDefault="00AA783D" w:rsidP="00B83202">
      <w:r w:rsidRPr="007361FA">
        <w:t>Evans,</w:t>
      </w:r>
      <w:r>
        <w:t xml:space="preserve"> </w:t>
      </w:r>
      <w:r w:rsidRPr="007361FA">
        <w:t>Richard J.</w:t>
      </w:r>
      <w:r>
        <w:t>,</w:t>
      </w:r>
      <w:r w:rsidRPr="007361FA">
        <w:t xml:space="preserve"> </w:t>
      </w:r>
      <w:r w:rsidRPr="007361FA">
        <w:rPr>
          <w:i/>
        </w:rPr>
        <w:t>In Defence of History</w:t>
      </w:r>
      <w:r>
        <w:t>,</w:t>
      </w:r>
      <w:r w:rsidRPr="007361FA">
        <w:t xml:space="preserve"> (New York: W. W. Norton &amp; Company, 1999</w:t>
      </w:r>
      <w:r>
        <w:t>).</w:t>
      </w:r>
    </w:p>
    <w:p w14:paraId="04C187D1" w14:textId="77777777" w:rsidR="001F235A" w:rsidRDefault="001F235A" w:rsidP="00B83202"/>
    <w:p w14:paraId="28D2A3DB" w14:textId="5C65E037" w:rsidR="007E5E31" w:rsidRDefault="007E5E31" w:rsidP="00B83202">
      <w:r w:rsidRPr="007F20BB">
        <w:t>Foucault,</w:t>
      </w:r>
      <w:r>
        <w:t xml:space="preserve"> </w:t>
      </w:r>
      <w:r w:rsidRPr="007F20BB">
        <w:t>Michel</w:t>
      </w:r>
      <w:r>
        <w:t>,</w:t>
      </w:r>
      <w:r w:rsidRPr="007F20BB">
        <w:t xml:space="preserve"> </w:t>
      </w:r>
      <w:r w:rsidRPr="007F20BB">
        <w:rPr>
          <w:i/>
          <w:iCs/>
        </w:rPr>
        <w:t>Language, Counter-Memory, Practice: Selected Essays and Interviews</w:t>
      </w:r>
      <w:r w:rsidRPr="007F20BB">
        <w:t>, transl. Donald F. Bouchard and Sherry Simon (Ithaca, New York, 1977)</w:t>
      </w:r>
      <w:r w:rsidR="00976764">
        <w:t>.</w:t>
      </w:r>
    </w:p>
    <w:p w14:paraId="4B57792B" w14:textId="75D042A1" w:rsidR="004D2C74" w:rsidRDefault="004D2C74" w:rsidP="00B83202"/>
    <w:p w14:paraId="51991CCA" w14:textId="7BA53884" w:rsidR="004D2C74" w:rsidRDefault="004D2C74" w:rsidP="00B83202">
      <w:r w:rsidRPr="00E502E2">
        <w:t>Gansten,</w:t>
      </w:r>
      <w:r>
        <w:t xml:space="preserve"> </w:t>
      </w:r>
      <w:r w:rsidRPr="00E502E2">
        <w:t>M</w:t>
      </w:r>
      <w:r>
        <w:t>artin,</w:t>
      </w:r>
      <w:r w:rsidRPr="00E502E2">
        <w:t xml:space="preserve"> </w:t>
      </w:r>
      <w:r w:rsidRPr="00E502E2">
        <w:rPr>
          <w:i/>
          <w:iCs/>
        </w:rPr>
        <w:t>Annual Predictive Techniques of the Greek, Arabic and Indian Astrologers</w:t>
      </w:r>
      <w:r>
        <w:rPr>
          <w:i/>
          <w:iCs/>
        </w:rPr>
        <w:t>,</w:t>
      </w:r>
      <w:r w:rsidRPr="00E502E2">
        <w:t xml:space="preserve"> (Wessex Astrologer, 2020).</w:t>
      </w:r>
    </w:p>
    <w:p w14:paraId="5F08961E" w14:textId="6773D9BC" w:rsidR="0062083E" w:rsidRDefault="0062083E" w:rsidP="00B83202"/>
    <w:p w14:paraId="6274DD28" w14:textId="2A83358C" w:rsidR="0062083E" w:rsidRDefault="0062083E" w:rsidP="00B83202">
      <w:r w:rsidRPr="00D04F01">
        <w:t>Greenbaum, Dorian Gieseler</w:t>
      </w:r>
      <w:r>
        <w:t xml:space="preserve">, </w:t>
      </w:r>
      <w:r w:rsidRPr="00D04F01">
        <w:rPr>
          <w:i/>
          <w:iCs/>
        </w:rPr>
        <w:t>The Daimon in Hellenistic Astrology: Origins and Influence Ancient Magic and Divination</w:t>
      </w:r>
      <w:r>
        <w:rPr>
          <w:i/>
          <w:iCs/>
        </w:rPr>
        <w:t>,</w:t>
      </w:r>
      <w:r w:rsidRPr="00D04F01">
        <w:t xml:space="preserve"> Volume 11 (Brill, 201</w:t>
      </w:r>
      <w:r>
        <w:t>6).</w:t>
      </w:r>
    </w:p>
    <w:p w14:paraId="06A9F57C" w14:textId="77777777" w:rsidR="008F7EC4" w:rsidRDefault="008F7EC4" w:rsidP="00B83202"/>
    <w:p w14:paraId="604A8CAE" w14:textId="1F9068C9" w:rsidR="00E0638E" w:rsidRDefault="00E0638E" w:rsidP="00B83202">
      <w:r w:rsidRPr="00E0638E">
        <w:t>Greenbaum, Dorian and Ross, Micah,</w:t>
      </w:r>
      <w:r w:rsidRPr="00E0638E">
        <w:rPr>
          <w:i/>
          <w:iCs/>
        </w:rPr>
        <w:t xml:space="preserve"> The Role of Egypt in the Development of the Horoscope</w:t>
      </w:r>
      <w:r w:rsidRPr="00E0638E">
        <w:t>, Egypt in Transition: Social and Religious Development of Egypt in the First Millennium BCE (Prague: Czech Institute of Egyptology, Faculty of Arts, Charles University in Prague, 2010).</w:t>
      </w:r>
    </w:p>
    <w:p w14:paraId="02109747" w14:textId="5188315E" w:rsidR="000E6E5D" w:rsidRDefault="000E6E5D" w:rsidP="00B83202"/>
    <w:p w14:paraId="70DAD44A" w14:textId="7D179E4D" w:rsidR="000E6E5D" w:rsidRDefault="000E6E5D" w:rsidP="00B83202">
      <w:r>
        <w:t xml:space="preserve">Hand, Robert, </w:t>
      </w:r>
      <w:r>
        <w:rPr>
          <w:i/>
          <w:iCs/>
        </w:rPr>
        <w:t>Whole Sign Houses, Oldest House System: An Ancient Method in Modern Application</w:t>
      </w:r>
      <w:r>
        <w:t>, ARHAT Publications, Reston, VA, 2000.</w:t>
      </w:r>
    </w:p>
    <w:p w14:paraId="0E20FB31" w14:textId="22514D29" w:rsidR="00600B70" w:rsidRDefault="00600B70" w:rsidP="00B83202"/>
    <w:p w14:paraId="2409E6E0" w14:textId="7E091A06" w:rsidR="00600B70" w:rsidRDefault="00600B70" w:rsidP="00B83202">
      <w:r w:rsidRPr="00600B70">
        <w:t>Henni</w:t>
      </w:r>
      <w:r w:rsidR="00254A5C">
        <w:t>n</w:t>
      </w:r>
      <w:r w:rsidRPr="00600B70">
        <w:t>k, Monique, Hutter, Inge and Bailey Ajay, Qualitative Research Methods, Ashford, Sage Publications, 2013</w:t>
      </w:r>
      <w:r>
        <w:t>.</w:t>
      </w:r>
    </w:p>
    <w:p w14:paraId="47749E89" w14:textId="5FF2D372" w:rsidR="008F7EC4" w:rsidRDefault="008F7EC4" w:rsidP="00B83202"/>
    <w:p w14:paraId="01A6A8EA" w14:textId="51A3D24D" w:rsidR="008F7EC4" w:rsidRDefault="008F7EC4" w:rsidP="00B83202">
      <w:r w:rsidRPr="008F7EC4">
        <w:t>Hobsbawm, Eric, and Ranger</w:t>
      </w:r>
      <w:r>
        <w:t>,</w:t>
      </w:r>
      <w:r w:rsidRPr="008F7EC4">
        <w:t xml:space="preserve"> Terence, </w:t>
      </w:r>
      <w:r w:rsidRPr="008F7EC4">
        <w:rPr>
          <w:i/>
          <w:iCs/>
        </w:rPr>
        <w:t>The Invention of Tradition</w:t>
      </w:r>
      <w:r w:rsidRPr="008F7EC4">
        <w:t>, Press Cambridge University, and Cambridge University of, The Invention of Tradition, A Canto Book (Cambridge University Press, 1992).</w:t>
      </w:r>
    </w:p>
    <w:p w14:paraId="14C7A8F2" w14:textId="4AA8FEA4" w:rsidR="006D35F0" w:rsidRDefault="006D35F0" w:rsidP="00B83202"/>
    <w:p w14:paraId="503DB24B" w14:textId="12CFD007" w:rsidR="006D35F0" w:rsidRDefault="006D35F0" w:rsidP="00B83202">
      <w:r>
        <w:t>Holden</w:t>
      </w:r>
      <w:r w:rsidRPr="004B034E">
        <w:t>,</w:t>
      </w:r>
      <w:r>
        <w:t xml:space="preserve"> J</w:t>
      </w:r>
      <w:r w:rsidRPr="004B034E">
        <w:t>ames Herschel</w:t>
      </w:r>
      <w:r>
        <w:t>,</w:t>
      </w:r>
      <w:r w:rsidRPr="004B034E">
        <w:t xml:space="preserve"> </w:t>
      </w:r>
      <w:r w:rsidRPr="004B034E">
        <w:rPr>
          <w:i/>
          <w:iCs/>
        </w:rPr>
        <w:t>Ancient House Division</w:t>
      </w:r>
      <w:r w:rsidRPr="004B034E">
        <w:t>,</w:t>
      </w:r>
      <w:r>
        <w:t xml:space="preserve"> </w:t>
      </w:r>
      <w:r w:rsidRPr="004B034E">
        <w:t>American Federation of</w:t>
      </w:r>
      <w:r>
        <w:t xml:space="preserve"> </w:t>
      </w:r>
      <w:r w:rsidRPr="004B034E">
        <w:t>Astrologers Journal of Research, vol. 1, no. 1 (August 1982), Tempe, AZ.</w:t>
      </w:r>
    </w:p>
    <w:p w14:paraId="0B660F31" w14:textId="77777777" w:rsidR="00ED77C8" w:rsidRDefault="00ED77C8" w:rsidP="00B83202"/>
    <w:p w14:paraId="037688C7" w14:textId="6BF736E3" w:rsidR="00F81D16" w:rsidRDefault="003C281B" w:rsidP="00F81D16">
      <w:r w:rsidRPr="00565EC9">
        <w:t>Holden,</w:t>
      </w:r>
      <w:r>
        <w:t xml:space="preserve"> </w:t>
      </w:r>
      <w:r w:rsidRPr="00565EC9">
        <w:t>James Herschel</w:t>
      </w:r>
      <w:r>
        <w:t>,</w:t>
      </w:r>
      <w:r w:rsidRPr="00565EC9">
        <w:t xml:space="preserve"> </w:t>
      </w:r>
      <w:r w:rsidRPr="00565EC9">
        <w:rPr>
          <w:i/>
          <w:iCs/>
        </w:rPr>
        <w:t>A History of Horoscopic Astrology</w:t>
      </w:r>
      <w:r w:rsidRPr="00565EC9">
        <w:t>, Tempe AZ: American Federation of Astrologers, (2006, second edition)</w:t>
      </w:r>
      <w:r>
        <w:t>.</w:t>
      </w:r>
    </w:p>
    <w:p w14:paraId="06018FCA" w14:textId="77777777" w:rsidR="00F81D16" w:rsidRDefault="00F81D16" w:rsidP="00F81D16"/>
    <w:p w14:paraId="5495567C" w14:textId="6787B1F0" w:rsidR="007E37A7" w:rsidRDefault="00F81D16" w:rsidP="00B83202">
      <w:r w:rsidRPr="00A764ED">
        <w:t>Holden, R</w:t>
      </w:r>
      <w:r>
        <w:t xml:space="preserve">alph </w:t>
      </w:r>
      <w:r w:rsidRPr="00A764ED">
        <w:t>W.</w:t>
      </w:r>
      <w:r>
        <w:t xml:space="preserve">, </w:t>
      </w:r>
      <w:r w:rsidRPr="00A764ED">
        <w:rPr>
          <w:i/>
          <w:iCs/>
        </w:rPr>
        <w:t>The Elements of House Division</w:t>
      </w:r>
      <w:r>
        <w:t>,</w:t>
      </w:r>
      <w:r w:rsidRPr="00A764ED">
        <w:t xml:space="preserve"> (L. N. Fowler, 1977).</w:t>
      </w:r>
    </w:p>
    <w:p w14:paraId="5BC23939" w14:textId="36E1C486" w:rsidR="00070F6D" w:rsidRDefault="00070F6D" w:rsidP="00B83202"/>
    <w:p w14:paraId="0E3D1F13" w14:textId="4210354D" w:rsidR="00070F6D" w:rsidRDefault="00070F6D" w:rsidP="00B83202">
      <w:r w:rsidRPr="008F5A29">
        <w:t>Houlding</w:t>
      </w:r>
      <w:r>
        <w:t xml:space="preserve">, </w:t>
      </w:r>
      <w:r w:rsidRPr="008F5A29">
        <w:t>Deborah</w:t>
      </w:r>
      <w:r>
        <w:t xml:space="preserve">, </w:t>
      </w:r>
      <w:r w:rsidRPr="008F5A29">
        <w:rPr>
          <w:i/>
          <w:iCs/>
        </w:rPr>
        <w:t>The Houses: Temples of the Sky</w:t>
      </w:r>
      <w:r w:rsidRPr="008F5A29">
        <w:t>, Wessex Astrologer Limited, 2006</w:t>
      </w:r>
      <w:r w:rsidR="00FA5154">
        <w:t>.</w:t>
      </w:r>
    </w:p>
    <w:p w14:paraId="243ED980" w14:textId="3551796A" w:rsidR="00693685" w:rsidRDefault="00693685" w:rsidP="00B83202"/>
    <w:p w14:paraId="11ABA12A" w14:textId="77777777" w:rsidR="00693685" w:rsidRDefault="00693685" w:rsidP="00B83202">
      <w:r>
        <w:t xml:space="preserve">Houlding, Deborah, </w:t>
      </w:r>
      <w:r w:rsidRPr="0055207C">
        <w:rPr>
          <w:i/>
          <w:iCs/>
        </w:rPr>
        <w:t>Valens III.2, calculation of the 12 Places, Porphyry</w:t>
      </w:r>
      <w:r>
        <w:t xml:space="preserve">, Facebook, </w:t>
      </w:r>
      <w:hyperlink r:id="rId21" w:history="1">
        <w:r w:rsidRPr="00E53D93">
          <w:rPr>
            <w:rStyle w:val="Hyperlink"/>
          </w:rPr>
          <w:t>https://www.facebook.com/houlding1/posts/10157451152796360</w:t>
        </w:r>
      </w:hyperlink>
      <w:r>
        <w:t>, [accessed 21</w:t>
      </w:r>
      <w:r w:rsidRPr="00EA2C7E">
        <w:rPr>
          <w:vertAlign w:val="superscript"/>
        </w:rPr>
        <w:t>st</w:t>
      </w:r>
      <w:r>
        <w:t xml:space="preserve"> August 2021].</w:t>
      </w:r>
    </w:p>
    <w:p w14:paraId="7AA63B8C" w14:textId="77777777" w:rsidR="003C281B" w:rsidRDefault="003C281B" w:rsidP="00B83202"/>
    <w:p w14:paraId="749247CA" w14:textId="36CD4622" w:rsidR="007E37A7" w:rsidRDefault="007E37A7" w:rsidP="00B83202">
      <w:r>
        <w:t xml:space="preserve">Housman, A. E., </w:t>
      </w:r>
      <w:r w:rsidRPr="007E37A7">
        <w:rPr>
          <w:i/>
          <w:iCs/>
        </w:rPr>
        <w:t>M. Manilii, Astronomicon, Liber Secundus</w:t>
      </w:r>
      <w:r w:rsidRPr="007E37A7">
        <w:t>, ed. A E. Housman, London</w:t>
      </w:r>
      <w:r w:rsidR="000C3951">
        <w:t>,</w:t>
      </w:r>
      <w:r w:rsidRPr="007E37A7">
        <w:t xml:space="preserve"> 1912</w:t>
      </w:r>
      <w:r w:rsidR="0062083E">
        <w:t>.</w:t>
      </w:r>
    </w:p>
    <w:p w14:paraId="7C085CE4" w14:textId="67E08F29" w:rsidR="00D46A9E" w:rsidRDefault="00D46A9E" w:rsidP="00B83202"/>
    <w:p w14:paraId="2CE10D4F" w14:textId="450F172A" w:rsidR="00D46A9E" w:rsidRDefault="00D46A9E" w:rsidP="00B83202">
      <w:r>
        <w:t xml:space="preserve">Housman, A. E., </w:t>
      </w:r>
      <w:r w:rsidRPr="007E37A7">
        <w:rPr>
          <w:i/>
          <w:iCs/>
        </w:rPr>
        <w:t xml:space="preserve">M. Manilii, Astronomicon, Liber </w:t>
      </w:r>
      <w:r>
        <w:rPr>
          <w:i/>
          <w:iCs/>
        </w:rPr>
        <w:t>Tertius</w:t>
      </w:r>
      <w:r w:rsidRPr="007E37A7">
        <w:t>, ed. A E. Housman, London</w:t>
      </w:r>
      <w:r>
        <w:t>,</w:t>
      </w:r>
      <w:r w:rsidRPr="007E37A7">
        <w:t xml:space="preserve"> 191</w:t>
      </w:r>
      <w:r>
        <w:t>6.</w:t>
      </w:r>
    </w:p>
    <w:p w14:paraId="6EF876E1" w14:textId="4CF580A9" w:rsidR="005D2FFD" w:rsidRDefault="005D2FFD" w:rsidP="00B83202"/>
    <w:p w14:paraId="0155B508" w14:textId="4511CE52" w:rsidR="005D2FFD" w:rsidRDefault="005D2FFD" w:rsidP="00B83202">
      <w:r w:rsidRPr="00F07EC3">
        <w:t>Iggers,</w:t>
      </w:r>
      <w:r>
        <w:t xml:space="preserve"> </w:t>
      </w:r>
      <w:r w:rsidRPr="00F07EC3">
        <w:t>G. G.</w:t>
      </w:r>
      <w:r>
        <w:t>,</w:t>
      </w:r>
      <w:r w:rsidRPr="00F07EC3">
        <w:t xml:space="preserve"> </w:t>
      </w:r>
      <w:r w:rsidRPr="00F07EC3">
        <w:rPr>
          <w:i/>
          <w:iCs/>
        </w:rPr>
        <w:t>Historiography in the Twentieth Century: From Scientific Objectivity to the Postmodern Challenge</w:t>
      </w:r>
      <w:r>
        <w:rPr>
          <w:i/>
          <w:iCs/>
        </w:rPr>
        <w:t>,</w:t>
      </w:r>
      <w:r w:rsidRPr="00F07EC3">
        <w:t xml:space="preserve"> (Wesleyan University Press, 2005)</w:t>
      </w:r>
      <w:r>
        <w:t>.</w:t>
      </w:r>
    </w:p>
    <w:p w14:paraId="69A71DFF" w14:textId="4B36A70A" w:rsidR="0080434A" w:rsidRDefault="0080434A" w:rsidP="00B83202"/>
    <w:p w14:paraId="0AB2F796" w14:textId="01347906" w:rsidR="0080434A" w:rsidRDefault="0080434A" w:rsidP="00B83202">
      <w:r w:rsidRPr="0080434A">
        <w:t>Jerome, Lawrence E.</w:t>
      </w:r>
      <w:r>
        <w:t xml:space="preserve">, </w:t>
      </w:r>
      <w:r w:rsidRPr="0080434A">
        <w:rPr>
          <w:i/>
          <w:iCs/>
        </w:rPr>
        <w:t>Astrology and Modern Science: A Critical Analysis</w:t>
      </w:r>
      <w:r w:rsidRPr="0080434A">
        <w:t>, Leonardo, 6 (1973)</w:t>
      </w:r>
      <w:r>
        <w:t>.</w:t>
      </w:r>
    </w:p>
    <w:p w14:paraId="0C063AB5" w14:textId="77777777" w:rsidR="006F14AC" w:rsidRDefault="006F14AC" w:rsidP="00B83202"/>
    <w:p w14:paraId="7C1ED091" w14:textId="74FE99AC" w:rsidR="006F14AC" w:rsidRDefault="006F14AC" w:rsidP="00B83202">
      <w:r>
        <w:t xml:space="preserve">Jevons, Frank, </w:t>
      </w:r>
      <w:r w:rsidRPr="006F14AC">
        <w:rPr>
          <w:i/>
          <w:iCs/>
        </w:rPr>
        <w:t>Introduction to the History of Religions</w:t>
      </w:r>
      <w:r>
        <w:t xml:space="preserve"> (London: Methuen, 1896)</w:t>
      </w:r>
      <w:r w:rsidR="001074AA">
        <w:t>.</w:t>
      </w:r>
    </w:p>
    <w:p w14:paraId="1E0A09EB" w14:textId="022B3878" w:rsidR="00707766" w:rsidRDefault="00707766" w:rsidP="00B83202"/>
    <w:p w14:paraId="4F21FAA1" w14:textId="7B8F3202" w:rsidR="00707766" w:rsidRDefault="00707766" w:rsidP="00B83202">
      <w:r>
        <w:t xml:space="preserve">Jones, Prudence, </w:t>
      </w:r>
      <w:r w:rsidRPr="00657975">
        <w:rPr>
          <w:i/>
          <w:iCs/>
        </w:rPr>
        <w:t>Celestial and Terrestrial Orientation</w:t>
      </w:r>
      <w:r w:rsidR="00C35435">
        <w:rPr>
          <w:i/>
          <w:iCs/>
        </w:rPr>
        <w:t xml:space="preserve">: </w:t>
      </w:r>
      <w:r w:rsidRPr="00657975">
        <w:rPr>
          <w:i/>
          <w:iCs/>
        </w:rPr>
        <w:t>The Origins of House Division in Ancient Cosmology,</w:t>
      </w:r>
      <w:r>
        <w:t xml:space="preserve"> </w:t>
      </w:r>
      <w:r w:rsidRPr="00657975">
        <w:t xml:space="preserve">in </w:t>
      </w:r>
      <w:r w:rsidRPr="00657975">
        <w:rPr>
          <w:i/>
          <w:iCs/>
        </w:rPr>
        <w:t>History and Astrology: Clio and Urania Confer</w:t>
      </w:r>
      <w:r>
        <w:t>, ed. by Annabella Kitson,</w:t>
      </w:r>
      <w:r w:rsidRPr="00657975">
        <w:t xml:space="preserve"> (London: Unwin Paperbacks, 1989)</w:t>
      </w:r>
      <w:r w:rsidR="00642999">
        <w:t>.</w:t>
      </w:r>
    </w:p>
    <w:p w14:paraId="20825AB0" w14:textId="77777777" w:rsidR="00EE4CE5" w:rsidRDefault="00EE4CE5" w:rsidP="00B83202"/>
    <w:p w14:paraId="25B72E94" w14:textId="588F6923" w:rsidR="00EA335B" w:rsidRDefault="00EE4CE5" w:rsidP="00D71D67">
      <w:r w:rsidRPr="00EE4CE5">
        <w:t>Leclercq, August Bouché</w:t>
      </w:r>
      <w:r>
        <w:t xml:space="preserve">, </w:t>
      </w:r>
      <w:r w:rsidRPr="00EE4CE5">
        <w:rPr>
          <w:i/>
          <w:iCs/>
        </w:rPr>
        <w:t>L'Astrologie Grecque</w:t>
      </w:r>
      <w:r w:rsidRPr="00EE4CE5">
        <w:t>, Paris: Ernest Leroux, 1899</w:t>
      </w:r>
      <w:r w:rsidR="00D71D67">
        <w:t>.</w:t>
      </w:r>
    </w:p>
    <w:p w14:paraId="08D570C3" w14:textId="77777777" w:rsidR="00EA335B" w:rsidRDefault="00EA335B" w:rsidP="00EA335B"/>
    <w:p w14:paraId="55ADD51C" w14:textId="44E009C3" w:rsidR="00EA335B" w:rsidRDefault="00EA335B" w:rsidP="00D71D67">
      <w:r w:rsidRPr="009B0244">
        <w:t>Markham</w:t>
      </w:r>
      <w:r>
        <w:t xml:space="preserve">, </w:t>
      </w:r>
      <w:r w:rsidRPr="009B0244">
        <w:t>Annette</w:t>
      </w:r>
      <w:r>
        <w:t>,</w:t>
      </w:r>
      <w:r w:rsidRPr="009B0244">
        <w:t xml:space="preserve"> and Buchanan, Elizabeth</w:t>
      </w:r>
      <w:r>
        <w:t xml:space="preserve">, </w:t>
      </w:r>
      <w:r w:rsidRPr="009B0244">
        <w:rPr>
          <w:i/>
          <w:iCs/>
        </w:rPr>
        <w:t>Ethical Decision-Making and Internet Research</w:t>
      </w:r>
      <w:r w:rsidRPr="009B0244">
        <w:t>, http://aoir.org/reports/ethics2.pdf, [accessed 16th July 2021].</w:t>
      </w:r>
    </w:p>
    <w:p w14:paraId="6489457D" w14:textId="013BB71D" w:rsidR="00130C53" w:rsidRDefault="00130C53" w:rsidP="00D71D67"/>
    <w:p w14:paraId="6AEC79D2" w14:textId="796BBC0E" w:rsidR="00130C53" w:rsidRDefault="00130C53" w:rsidP="00D71D67">
      <w:r w:rsidRPr="004650F9">
        <w:rPr>
          <w:rStyle w:val="Emphasis"/>
          <w:i w:val="0"/>
          <w:iCs w:val="0"/>
        </w:rPr>
        <w:t>Munkasey,</w:t>
      </w:r>
      <w:r w:rsidRPr="00130C53">
        <w:rPr>
          <w:rStyle w:val="Emphasis"/>
          <w:i w:val="0"/>
          <w:iCs w:val="0"/>
        </w:rPr>
        <w:t xml:space="preserve"> </w:t>
      </w:r>
      <w:r w:rsidRPr="004650F9">
        <w:rPr>
          <w:rStyle w:val="Emphasis"/>
          <w:i w:val="0"/>
          <w:iCs w:val="0"/>
        </w:rPr>
        <w:t>Michael</w:t>
      </w:r>
      <w:r>
        <w:rPr>
          <w:rStyle w:val="Emphasis"/>
          <w:i w:val="0"/>
          <w:iCs w:val="0"/>
        </w:rPr>
        <w:t>,</w:t>
      </w:r>
      <w:r w:rsidRPr="004650F9">
        <w:rPr>
          <w:rStyle w:val="Emphasis"/>
          <w:i w:val="0"/>
          <w:iCs w:val="0"/>
        </w:rPr>
        <w:t xml:space="preserve"> </w:t>
      </w:r>
      <w:r w:rsidRPr="004650F9">
        <w:rPr>
          <w:rStyle w:val="Emphasis"/>
        </w:rPr>
        <w:t>An Astrological House Formulary</w:t>
      </w:r>
      <w:r w:rsidRPr="004650F9">
        <w:rPr>
          <w:rStyle w:val="Emphasis"/>
          <w:i w:val="0"/>
          <w:iCs w:val="0"/>
        </w:rPr>
        <w:t xml:space="preserve">, </w:t>
      </w:r>
      <w:hyperlink r:id="rId22" w:anchor="scribd" w:history="1">
        <w:r w:rsidRPr="00903BDC">
          <w:rPr>
            <w:rStyle w:val="Hyperlink"/>
          </w:rPr>
          <w:t>https://www.scribd.com/doc/6495552/An-Astrological-House-Formulary#scribd</w:t>
        </w:r>
      </w:hyperlink>
      <w:r w:rsidRPr="004650F9">
        <w:rPr>
          <w:rStyle w:val="Emphasis"/>
          <w:i w:val="0"/>
          <w:iCs w:val="0"/>
        </w:rPr>
        <w:t>, [accessed 2</w:t>
      </w:r>
      <w:r>
        <w:rPr>
          <w:rStyle w:val="Emphasis"/>
          <w:i w:val="0"/>
          <w:iCs w:val="0"/>
        </w:rPr>
        <w:t>2</w:t>
      </w:r>
      <w:r w:rsidRPr="004650F9">
        <w:rPr>
          <w:rStyle w:val="Emphasis"/>
          <w:i w:val="0"/>
          <w:iCs w:val="0"/>
        </w:rPr>
        <w:t>/6/2</w:t>
      </w:r>
      <w:r>
        <w:rPr>
          <w:rStyle w:val="Emphasis"/>
          <w:i w:val="0"/>
          <w:iCs w:val="0"/>
        </w:rPr>
        <w:t>1</w:t>
      </w:r>
      <w:r w:rsidR="00DF608F">
        <w:rPr>
          <w:rStyle w:val="Emphasis"/>
          <w:i w:val="0"/>
          <w:iCs w:val="0"/>
        </w:rPr>
        <w:t>].</w:t>
      </w:r>
    </w:p>
    <w:p w14:paraId="2F8FE1F9" w14:textId="3DDCCE45" w:rsidR="008B2823" w:rsidRDefault="008B2823" w:rsidP="00D71D67"/>
    <w:p w14:paraId="5AE20B7A" w14:textId="2CEBFE7A" w:rsidR="008B2823" w:rsidRDefault="008B2823" w:rsidP="00D71D67">
      <w:r w:rsidRPr="008B2823">
        <w:t>Neugebauer, O</w:t>
      </w:r>
      <w:r>
        <w:t>tto,</w:t>
      </w:r>
      <w:r w:rsidRPr="008B2823">
        <w:t xml:space="preserve"> </w:t>
      </w:r>
      <w:r w:rsidRPr="008B2823">
        <w:rPr>
          <w:i/>
          <w:iCs/>
        </w:rPr>
        <w:t>A History of Ancient Mathematical Astronomy</w:t>
      </w:r>
      <w:r w:rsidRPr="008B2823">
        <w:t>, Studies in the History of Mathematics and Physical Sciences (Springer-Verlag, 1975)</w:t>
      </w:r>
      <w:r>
        <w:t>, vol.1</w:t>
      </w:r>
      <w:r w:rsidR="00AB3CF2">
        <w:t>.</w:t>
      </w:r>
    </w:p>
    <w:p w14:paraId="0EA09C50" w14:textId="42994F0D" w:rsidR="00F76032" w:rsidRDefault="00F76032" w:rsidP="00D71D67"/>
    <w:p w14:paraId="0E7A8316" w14:textId="5E37DB52" w:rsidR="00F76032" w:rsidRDefault="00F76032" w:rsidP="00D71D67">
      <w:r w:rsidRPr="00D00F35">
        <w:t>Neugebauer</w:t>
      </w:r>
      <w:r>
        <w:t>,</w:t>
      </w:r>
      <w:r w:rsidRPr="00F76032">
        <w:t xml:space="preserve"> </w:t>
      </w:r>
      <w:r w:rsidRPr="00D00F35">
        <w:t>Otto</w:t>
      </w:r>
      <w:r>
        <w:t>,</w:t>
      </w:r>
      <w:r w:rsidRPr="00D00F35">
        <w:t xml:space="preserve"> and Van Hoesen,</w:t>
      </w:r>
      <w:r>
        <w:t xml:space="preserve"> </w:t>
      </w:r>
      <w:r w:rsidRPr="00D00F35">
        <w:t>Henry</w:t>
      </w:r>
      <w:r>
        <w:t>,</w:t>
      </w:r>
      <w:r w:rsidRPr="00D00F35">
        <w:t xml:space="preserve"> </w:t>
      </w:r>
      <w:r w:rsidRPr="00D00F35">
        <w:rPr>
          <w:i/>
          <w:iCs/>
        </w:rPr>
        <w:t>Greek Horoscopes</w:t>
      </w:r>
      <w:r w:rsidRPr="00D00F35">
        <w:t>, Philadelphia: The American Philosophical Society, 1959, repr. 1987</w:t>
      </w:r>
      <w:r>
        <w:t>.</w:t>
      </w:r>
    </w:p>
    <w:p w14:paraId="1FE5AF1C" w14:textId="77777777" w:rsidR="00AE6899" w:rsidRDefault="00AE6899" w:rsidP="00D71D67"/>
    <w:p w14:paraId="44186AF9" w14:textId="2A51C1DF" w:rsidR="00CC3655" w:rsidRDefault="00CC3655" w:rsidP="00D71D67">
      <w:r w:rsidRPr="00CC3655">
        <w:t>North, J. D.</w:t>
      </w:r>
      <w:r>
        <w:t xml:space="preserve">, </w:t>
      </w:r>
      <w:r w:rsidRPr="00CC3655">
        <w:rPr>
          <w:i/>
          <w:iCs/>
        </w:rPr>
        <w:t>Horoscopes and History</w:t>
      </w:r>
      <w:r w:rsidRPr="00CC3655">
        <w:t>, Warburg Institute London: Warburg Institute Surveys and Texts (Warburg Institute, University of London, 1986).</w:t>
      </w:r>
    </w:p>
    <w:p w14:paraId="1D874E72" w14:textId="6AD93B5C" w:rsidR="007D05B5" w:rsidRDefault="007D05B5" w:rsidP="00D71D67"/>
    <w:p w14:paraId="2AC7315C" w14:textId="22856006" w:rsidR="007D05B5" w:rsidRDefault="007D05B5" w:rsidP="00D71D67">
      <w:r w:rsidRPr="007D05B5">
        <w:t>Pike, Kenneth L</w:t>
      </w:r>
      <w:r>
        <w:t>.</w:t>
      </w:r>
      <w:r w:rsidRPr="007D05B5">
        <w:t xml:space="preserve">, Headland, Thomas N., and Harris, Marvin, </w:t>
      </w:r>
      <w:r w:rsidRPr="007D05B5">
        <w:rPr>
          <w:i/>
          <w:iCs/>
        </w:rPr>
        <w:t xml:space="preserve">Emics and </w:t>
      </w:r>
      <w:r>
        <w:rPr>
          <w:i/>
          <w:iCs/>
        </w:rPr>
        <w:t>E</w:t>
      </w:r>
      <w:r w:rsidRPr="007D05B5">
        <w:rPr>
          <w:i/>
          <w:iCs/>
        </w:rPr>
        <w:t>tics:</w:t>
      </w:r>
      <w:r>
        <w:rPr>
          <w:i/>
          <w:iCs/>
        </w:rPr>
        <w:t xml:space="preserve"> T</w:t>
      </w:r>
      <w:r w:rsidRPr="007D05B5">
        <w:rPr>
          <w:i/>
          <w:iCs/>
        </w:rPr>
        <w:t xml:space="preserve">he </w:t>
      </w:r>
      <w:r>
        <w:rPr>
          <w:i/>
          <w:iCs/>
        </w:rPr>
        <w:t>I</w:t>
      </w:r>
      <w:r w:rsidRPr="007D05B5">
        <w:rPr>
          <w:i/>
          <w:iCs/>
        </w:rPr>
        <w:t>nsider/</w:t>
      </w:r>
      <w:r>
        <w:rPr>
          <w:i/>
          <w:iCs/>
        </w:rPr>
        <w:t>O</w:t>
      </w:r>
      <w:r w:rsidRPr="007D05B5">
        <w:rPr>
          <w:i/>
          <w:iCs/>
        </w:rPr>
        <w:t xml:space="preserve">utsider </w:t>
      </w:r>
      <w:r>
        <w:rPr>
          <w:i/>
          <w:iCs/>
        </w:rPr>
        <w:t>D</w:t>
      </w:r>
      <w:r w:rsidRPr="007D05B5">
        <w:rPr>
          <w:i/>
          <w:iCs/>
        </w:rPr>
        <w:t>ebate</w:t>
      </w:r>
      <w:r>
        <w:rPr>
          <w:i/>
          <w:iCs/>
        </w:rPr>
        <w:t>,</w:t>
      </w:r>
      <w:r w:rsidRPr="007D05B5">
        <w:t xml:space="preserve"> (Newbury Park, Calif: Sage Publications, 1990).</w:t>
      </w:r>
    </w:p>
    <w:p w14:paraId="313D2C55" w14:textId="12DA7BCB" w:rsidR="00C9699B" w:rsidRDefault="00C9699B" w:rsidP="00D71D67"/>
    <w:p w14:paraId="62CBD616" w14:textId="77D32CF0" w:rsidR="00C9699B" w:rsidRDefault="00C9699B" w:rsidP="00D71D67">
      <w:r>
        <w:t xml:space="preserve">Project Hindsight, </w:t>
      </w:r>
      <w:r w:rsidRPr="003D4A57">
        <w:rPr>
          <w:i/>
          <w:iCs/>
        </w:rPr>
        <w:t>About Project Hindsight</w:t>
      </w:r>
      <w:r w:rsidRPr="003D4A57">
        <w:t xml:space="preserve">, </w:t>
      </w:r>
      <w:hyperlink r:id="rId23" w:history="1">
        <w:r w:rsidRPr="0004722F">
          <w:rPr>
            <w:rStyle w:val="Hyperlink"/>
          </w:rPr>
          <w:t>http://www.projecthindsight.com/geninfo/about.html</w:t>
        </w:r>
      </w:hyperlink>
      <w:r>
        <w:t xml:space="preserve">, </w:t>
      </w:r>
      <w:r w:rsidRPr="003D4A57">
        <w:t xml:space="preserve">[accessed </w:t>
      </w:r>
      <w:r>
        <w:t>24</w:t>
      </w:r>
      <w:r w:rsidRPr="003D4A57">
        <w:t xml:space="preserve">th </w:t>
      </w:r>
      <w:r>
        <w:t>June</w:t>
      </w:r>
      <w:r w:rsidRPr="003D4A57">
        <w:t xml:space="preserve"> 20</w:t>
      </w:r>
      <w:r>
        <w:t>21</w:t>
      </w:r>
      <w:r w:rsidRPr="003D4A57">
        <w:t>].</w:t>
      </w:r>
    </w:p>
    <w:p w14:paraId="7B6FEE4B" w14:textId="10159DDF" w:rsidR="008E1371" w:rsidRDefault="008E1371" w:rsidP="00D71D67"/>
    <w:p w14:paraId="285639C6" w14:textId="721C9CC8" w:rsidR="008E1371" w:rsidRDefault="008E1371" w:rsidP="00D71D67">
      <w:r>
        <w:t xml:space="preserve">Project Hindsight, </w:t>
      </w:r>
      <w:r>
        <w:rPr>
          <w:i/>
          <w:iCs/>
        </w:rPr>
        <w:t>Our Mission</w:t>
      </w:r>
      <w:r w:rsidRPr="003D4A57">
        <w:t xml:space="preserve">, </w:t>
      </w:r>
      <w:hyperlink r:id="rId24" w:history="1">
        <w:r w:rsidRPr="0004722F">
          <w:rPr>
            <w:rStyle w:val="Hyperlink"/>
          </w:rPr>
          <w:t>http://www.projecthindsight.com/geninfo/about.html</w:t>
        </w:r>
      </w:hyperlink>
      <w:r>
        <w:t xml:space="preserve">, </w:t>
      </w:r>
      <w:r w:rsidRPr="003D4A57">
        <w:t xml:space="preserve">[accessed </w:t>
      </w:r>
      <w:r>
        <w:t>24</w:t>
      </w:r>
      <w:r w:rsidRPr="003D4A57">
        <w:t xml:space="preserve">th </w:t>
      </w:r>
      <w:r>
        <w:t>June</w:t>
      </w:r>
      <w:r w:rsidRPr="003D4A57">
        <w:t xml:space="preserve"> 20</w:t>
      </w:r>
      <w:r>
        <w:t>21</w:t>
      </w:r>
      <w:r w:rsidRPr="003D4A57">
        <w:t>].</w:t>
      </w:r>
    </w:p>
    <w:p w14:paraId="4EB7A9E1" w14:textId="76FCF513" w:rsidR="00B866E7" w:rsidRDefault="00B866E7" w:rsidP="00D71D67"/>
    <w:p w14:paraId="6152E006" w14:textId="6E6AAC81" w:rsidR="00B866E7" w:rsidRDefault="00B866E7" w:rsidP="00D71D67">
      <w:r>
        <w:t xml:space="preserve">Project Hindsight, </w:t>
      </w:r>
      <w:r w:rsidRPr="00F511ED">
        <w:rPr>
          <w:i/>
          <w:iCs/>
        </w:rPr>
        <w:t>Project Hindsight in Retrospect</w:t>
      </w:r>
      <w:r w:rsidRPr="003D4A57">
        <w:t xml:space="preserve">, </w:t>
      </w:r>
      <w:hyperlink r:id="rId25" w:history="1">
        <w:r w:rsidRPr="0004722F">
          <w:rPr>
            <w:rStyle w:val="Hyperlink"/>
          </w:rPr>
          <w:t>http://www.projecthindsight.com/geninfo/ph_retro.html</w:t>
        </w:r>
      </w:hyperlink>
      <w:r>
        <w:t xml:space="preserve">, </w:t>
      </w:r>
      <w:r w:rsidRPr="003D4A57">
        <w:t xml:space="preserve">[accessed </w:t>
      </w:r>
      <w:r>
        <w:t>26</w:t>
      </w:r>
      <w:r w:rsidRPr="003D4A57">
        <w:t xml:space="preserve">th </w:t>
      </w:r>
      <w:r>
        <w:t>June</w:t>
      </w:r>
      <w:r w:rsidRPr="003D4A57">
        <w:t xml:space="preserve"> 20</w:t>
      </w:r>
      <w:r>
        <w:t>21</w:t>
      </w:r>
      <w:r w:rsidRPr="003D4A57">
        <w:t>].</w:t>
      </w:r>
    </w:p>
    <w:p w14:paraId="0D68CCB9" w14:textId="0882926D" w:rsidR="004A624D" w:rsidRDefault="004A624D" w:rsidP="00D71D67"/>
    <w:p w14:paraId="14382270" w14:textId="0A1410D8" w:rsidR="004A624D" w:rsidRDefault="004A624D" w:rsidP="00D71D67">
      <w:r w:rsidRPr="004A624D">
        <w:t>Ptolemy</w:t>
      </w:r>
      <w:r>
        <w:t xml:space="preserve">, </w:t>
      </w:r>
      <w:r w:rsidRPr="004A624D">
        <w:t xml:space="preserve">Claudius, </w:t>
      </w:r>
      <w:r w:rsidRPr="004A624D">
        <w:rPr>
          <w:i/>
          <w:iCs/>
        </w:rPr>
        <w:t>Tetrabiblos, Book III</w:t>
      </w:r>
      <w:r w:rsidRPr="004A624D">
        <w:t>, trans. Robert Schmidt, ed. Robert Hand, The Golden Hind Press, Berkeley Springs, WV, 1996.</w:t>
      </w:r>
    </w:p>
    <w:p w14:paraId="22A81254" w14:textId="24D3DA70" w:rsidR="009B3765" w:rsidRDefault="009B3765" w:rsidP="00D71D67"/>
    <w:p w14:paraId="6E6FBDD2" w14:textId="7EA986D2" w:rsidR="009B3765" w:rsidRDefault="009B3765" w:rsidP="00D71D67">
      <w:r>
        <w:t>Rochberg, Francesca,</w:t>
      </w:r>
      <w:r w:rsidRPr="00014392">
        <w:t xml:space="preserve"> </w:t>
      </w:r>
      <w:r w:rsidRPr="009B3765">
        <w:rPr>
          <w:i/>
          <w:iCs/>
        </w:rPr>
        <w:t>Babylonian Horoscopes</w:t>
      </w:r>
      <w:r w:rsidRPr="00014392">
        <w:t xml:space="preserve">, </w:t>
      </w:r>
      <w:r>
        <w:t xml:space="preserve">Philadelphia: </w:t>
      </w:r>
      <w:r w:rsidRPr="00014392">
        <w:t>Transactions of the American Philosophical Society</w:t>
      </w:r>
      <w:r>
        <w:t>,</w:t>
      </w:r>
      <w:r w:rsidRPr="00014392">
        <w:t xml:space="preserve"> </w:t>
      </w:r>
      <w:r>
        <w:t xml:space="preserve">vol. </w:t>
      </w:r>
      <w:r w:rsidRPr="00014392">
        <w:t>88</w:t>
      </w:r>
      <w:r>
        <w:t xml:space="preserve"> part </w:t>
      </w:r>
      <w:r w:rsidRPr="00014392">
        <w:t>1</w:t>
      </w:r>
      <w:r>
        <w:t>.</w:t>
      </w:r>
    </w:p>
    <w:p w14:paraId="48A633C1" w14:textId="2B1C4A8E" w:rsidR="0028371D" w:rsidRDefault="0028371D" w:rsidP="00D71D67"/>
    <w:p w14:paraId="77650273" w14:textId="7951E0DD" w:rsidR="0028371D" w:rsidRDefault="0028371D" w:rsidP="00D71D67">
      <w:pPr>
        <w:rPr>
          <w:rStyle w:val="Emphasis"/>
          <w:i w:val="0"/>
          <w:iCs w:val="0"/>
        </w:rPr>
      </w:pPr>
      <w:r>
        <w:rPr>
          <w:rStyle w:val="Emphasis"/>
          <w:i w:val="0"/>
          <w:iCs w:val="0"/>
        </w:rPr>
        <w:t>Rochberg,</w:t>
      </w:r>
      <w:r w:rsidRPr="0028371D">
        <w:rPr>
          <w:rStyle w:val="Emphasis"/>
          <w:i w:val="0"/>
          <w:iCs w:val="0"/>
        </w:rPr>
        <w:t xml:space="preserve"> </w:t>
      </w:r>
      <w:r w:rsidRPr="004C1109">
        <w:rPr>
          <w:rStyle w:val="Emphasis"/>
          <w:i w:val="0"/>
          <w:iCs w:val="0"/>
        </w:rPr>
        <w:t>Francesca</w:t>
      </w:r>
      <w:r>
        <w:rPr>
          <w:rStyle w:val="Emphasis"/>
          <w:i w:val="0"/>
          <w:iCs w:val="0"/>
        </w:rPr>
        <w:t>,</w:t>
      </w:r>
      <w:r w:rsidRPr="004C1109">
        <w:rPr>
          <w:rStyle w:val="Emphasis"/>
          <w:i w:val="0"/>
          <w:iCs w:val="0"/>
        </w:rPr>
        <w:t xml:space="preserve"> </w:t>
      </w:r>
      <w:r w:rsidRPr="004C1109">
        <w:rPr>
          <w:rStyle w:val="Emphasis"/>
        </w:rPr>
        <w:t>In the Path of the Moon: Babylonian Celestial Divination and Its Legacy</w:t>
      </w:r>
      <w:r w:rsidRPr="004C1109">
        <w:rPr>
          <w:rStyle w:val="Emphasis"/>
          <w:i w:val="0"/>
          <w:iCs w:val="0"/>
        </w:rPr>
        <w:t>, Leiden: Brill, 2010.</w:t>
      </w:r>
    </w:p>
    <w:p w14:paraId="552C707A" w14:textId="24E3CB45" w:rsidR="004627B4" w:rsidRDefault="004627B4" w:rsidP="00D71D67">
      <w:pPr>
        <w:rPr>
          <w:rStyle w:val="Emphasis"/>
          <w:i w:val="0"/>
          <w:iCs w:val="0"/>
        </w:rPr>
      </w:pPr>
    </w:p>
    <w:p w14:paraId="51F9CC77" w14:textId="23CF4304" w:rsidR="004627B4" w:rsidRDefault="004627B4" w:rsidP="00D71D67">
      <w:r>
        <w:t>Riley</w:t>
      </w:r>
      <w:r w:rsidRPr="00B943D9">
        <w:t>,</w:t>
      </w:r>
      <w:r>
        <w:t xml:space="preserve"> </w:t>
      </w:r>
      <w:r w:rsidRPr="00B943D9">
        <w:t>Mark</w:t>
      </w:r>
      <w:r>
        <w:t>,</w:t>
      </w:r>
      <w:r w:rsidRPr="00B943D9">
        <w:t xml:space="preserve"> “</w:t>
      </w:r>
      <w:r w:rsidRPr="00B943D9">
        <w:rPr>
          <w:i/>
          <w:iCs/>
        </w:rPr>
        <w:t>A Survey of Vettius Valens</w:t>
      </w:r>
      <w:r w:rsidRPr="00B943D9">
        <w:t xml:space="preserve">”, California State University, Sacramento, http://www.csus.edu/indiv/r/rileymt/pdf_folder/vettiusvalens.pdf [accessed 10 </w:t>
      </w:r>
      <w:r>
        <w:t>July</w:t>
      </w:r>
      <w:r w:rsidRPr="00B943D9">
        <w:t xml:space="preserve"> 20</w:t>
      </w:r>
      <w:r>
        <w:t>21</w:t>
      </w:r>
      <w:r w:rsidRPr="00B943D9">
        <w:t>]</w:t>
      </w:r>
      <w:r>
        <w:t>.</w:t>
      </w:r>
    </w:p>
    <w:p w14:paraId="1308CB8E" w14:textId="5375AFF2" w:rsidR="001C6E89" w:rsidRDefault="001C6E89" w:rsidP="00D71D67"/>
    <w:p w14:paraId="64EBBAF1" w14:textId="62E74587" w:rsidR="001C6E89" w:rsidRDefault="001C6E89" w:rsidP="00D71D67">
      <w:r>
        <w:t xml:space="preserve">Schmidt, Robert, </w:t>
      </w:r>
      <w:r w:rsidRPr="000F1681">
        <w:rPr>
          <w:i/>
        </w:rPr>
        <w:t>Eudoxus of Knidos: Founder of Greek Astrology</w:t>
      </w:r>
      <w:r>
        <w:t xml:space="preserve">, </w:t>
      </w:r>
      <w:hyperlink r:id="rId26" w:history="1">
        <w:r w:rsidRPr="008E3CD8">
          <w:rPr>
            <w:rStyle w:val="Hyperlink"/>
          </w:rPr>
          <w:t>http://www.projecthindsight.com</w:t>
        </w:r>
      </w:hyperlink>
      <w:r>
        <w:t xml:space="preserve"> [accessed 2</w:t>
      </w:r>
      <w:r w:rsidRPr="00F74143">
        <w:rPr>
          <w:vertAlign w:val="superscript"/>
        </w:rPr>
        <w:t>nd</w:t>
      </w:r>
      <w:r>
        <w:t xml:space="preserve"> July 2021].</w:t>
      </w:r>
    </w:p>
    <w:p w14:paraId="5D6332EB" w14:textId="41A54A45" w:rsidR="00EB647A" w:rsidRDefault="00EB647A" w:rsidP="00D71D67"/>
    <w:p w14:paraId="7D1F1E4B" w14:textId="46C0C94E" w:rsidR="00EB647A" w:rsidRDefault="00EB647A" w:rsidP="00D71D67">
      <w:r>
        <w:t xml:space="preserve">Schmidt, Robert, </w:t>
      </w:r>
      <w:r w:rsidRPr="00934AC8">
        <w:rPr>
          <w:i/>
          <w:iCs/>
        </w:rPr>
        <w:t>House System Conversation:</w:t>
      </w:r>
      <w:r>
        <w:t xml:space="preserve"> </w:t>
      </w:r>
      <w:r w:rsidRPr="001835A1">
        <w:rPr>
          <w:i/>
          <w:iCs/>
        </w:rPr>
        <w:t>The So-Called ‘Problem of House Division’</w:t>
      </w:r>
      <w:r>
        <w:rPr>
          <w:i/>
          <w:iCs/>
        </w:rPr>
        <w:t xml:space="preserve">, 01: Intro, </w:t>
      </w:r>
      <w:r>
        <w:t>24:00-26:00,</w:t>
      </w:r>
      <w:r w:rsidRPr="00675BA4">
        <w:t xml:space="preserve"> </w:t>
      </w:r>
      <w:r w:rsidRPr="001835A1">
        <w:t>Project Hindsight, 2016</w:t>
      </w:r>
      <w:r>
        <w:t>.</w:t>
      </w:r>
      <w:r>
        <w:rPr>
          <w:i/>
          <w:iCs/>
        </w:rPr>
        <w:t xml:space="preserve">  </w:t>
      </w:r>
    </w:p>
    <w:p w14:paraId="6C6806E0" w14:textId="77777777" w:rsidR="00073782" w:rsidRDefault="00073782" w:rsidP="00D71D67"/>
    <w:p w14:paraId="6C39A61F" w14:textId="2301827B" w:rsidR="00073782" w:rsidRDefault="00073782" w:rsidP="00D71D67">
      <w:r w:rsidRPr="00073782">
        <w:t>Schmidt</w:t>
      </w:r>
      <w:r>
        <w:t>,</w:t>
      </w:r>
      <w:r w:rsidRPr="00073782">
        <w:t xml:space="preserve"> Robert</w:t>
      </w:r>
      <w:r>
        <w:t xml:space="preserve">, </w:t>
      </w:r>
      <w:r w:rsidRPr="00073782">
        <w:rPr>
          <w:i/>
          <w:iCs/>
        </w:rPr>
        <w:t>Paulus Alexandrinus Introductory Matters</w:t>
      </w:r>
      <w:r w:rsidRPr="00073782">
        <w:t>, Berkeley Springs, WV: Golden Hind Press, 1993</w:t>
      </w:r>
      <w:r>
        <w:t>.</w:t>
      </w:r>
    </w:p>
    <w:p w14:paraId="689807BF" w14:textId="2B6E0AAC" w:rsidR="00672F9A" w:rsidRDefault="00672F9A" w:rsidP="00D71D67"/>
    <w:p w14:paraId="379C2B9F" w14:textId="405F83E5" w:rsidR="00672F9A" w:rsidRDefault="00672F9A" w:rsidP="00D71D67">
      <w:r w:rsidRPr="00672F9A">
        <w:t>Schmidt, Robert</w:t>
      </w:r>
      <w:r>
        <w:t xml:space="preserve">, </w:t>
      </w:r>
      <w:r w:rsidRPr="00672F9A">
        <w:rPr>
          <w:i/>
          <w:iCs/>
        </w:rPr>
        <w:t>The So-Called ‘Problem of House Division’ Definitions of Greek Terms and New Translations of Key Passages With Brief Notes &amp; Commentary</w:t>
      </w:r>
      <w:r w:rsidRPr="00672F9A">
        <w:t>, Project Hindsight, 2016.</w:t>
      </w:r>
    </w:p>
    <w:p w14:paraId="0487EE8C" w14:textId="6DD73424" w:rsidR="006B0442" w:rsidRDefault="006B0442" w:rsidP="00B83202"/>
    <w:p w14:paraId="73F84DA0" w14:textId="7615C82B" w:rsidR="006B0442" w:rsidRDefault="006B0442" w:rsidP="00B83202">
      <w:r w:rsidRPr="006B0442">
        <w:t xml:space="preserve">Tester, </w:t>
      </w:r>
      <w:r>
        <w:t xml:space="preserve">Jim, </w:t>
      </w:r>
      <w:r w:rsidRPr="000C735E">
        <w:rPr>
          <w:i/>
          <w:iCs/>
        </w:rPr>
        <w:t>A History of Western Astrology</w:t>
      </w:r>
      <w:r w:rsidRPr="006B0442">
        <w:t xml:space="preserve"> (Boydell Press, 1987).</w:t>
      </w:r>
    </w:p>
    <w:p w14:paraId="3CAD17E0" w14:textId="7B44D328" w:rsidR="001A7933" w:rsidRDefault="001A7933" w:rsidP="00B83202">
      <w:r w:rsidRPr="0005336B">
        <w:t>Toomer,</w:t>
      </w:r>
      <w:r w:rsidRPr="001A7933">
        <w:t xml:space="preserve"> </w:t>
      </w:r>
      <w:r>
        <w:t xml:space="preserve">Gerald J., </w:t>
      </w:r>
      <w:r w:rsidRPr="0005336B">
        <w:rPr>
          <w:i/>
          <w:iCs/>
        </w:rPr>
        <w:t>Ptolemy's Almagest</w:t>
      </w:r>
      <w:r w:rsidRPr="0005336B">
        <w:t>, (Duckworth) (Springer New York, 1984)</w:t>
      </w:r>
      <w:r w:rsidR="00A10697">
        <w:t>.</w:t>
      </w:r>
    </w:p>
    <w:p w14:paraId="1A65AA9B" w14:textId="494EC690" w:rsidR="00D40561" w:rsidRDefault="00D40561" w:rsidP="00B83202"/>
    <w:p w14:paraId="6E245C60" w14:textId="03F8B575" w:rsidR="00D40561" w:rsidRDefault="00D40561" w:rsidP="00B83202">
      <w:r>
        <w:t>‘</w:t>
      </w:r>
      <w:r w:rsidRPr="00AF6C3A">
        <w:rPr>
          <w:i/>
          <w:iCs/>
        </w:rPr>
        <w:t>The Debate About Ancient Systems of House Division</w:t>
      </w:r>
      <w:r>
        <w:t>’, The Astrology Podcast, podcast, November 26</w:t>
      </w:r>
      <w:r w:rsidRPr="004479A9">
        <w:rPr>
          <w:vertAlign w:val="superscript"/>
        </w:rPr>
        <w:t>th</w:t>
      </w:r>
      <w:r>
        <w:t xml:space="preserve"> 2015,</w:t>
      </w:r>
      <w:r w:rsidRPr="00AF6C3A">
        <w:t xml:space="preserve"> </w:t>
      </w:r>
      <w:hyperlink r:id="rId27" w:history="1">
        <w:r w:rsidRPr="00DE3311">
          <w:rPr>
            <w:rStyle w:val="Hyperlink"/>
          </w:rPr>
          <w:t>https://theastrologypodcast.com/2015/11/26/debate-about-ancient-house-division/</w:t>
        </w:r>
      </w:hyperlink>
      <w:r>
        <w:t>, [accessed 16</w:t>
      </w:r>
      <w:r w:rsidRPr="004479A9">
        <w:rPr>
          <w:vertAlign w:val="superscript"/>
        </w:rPr>
        <w:t>th</w:t>
      </w:r>
      <w:r>
        <w:t xml:space="preserve"> August 2021].</w:t>
      </w:r>
    </w:p>
    <w:p w14:paraId="79CFB518" w14:textId="306357F9" w:rsidR="006D6D79" w:rsidRDefault="006D6D79" w:rsidP="00B83202"/>
    <w:p w14:paraId="6E32C7D7" w14:textId="15F22273" w:rsidR="006D6D79" w:rsidRDefault="006D6D79" w:rsidP="00B83202">
      <w:r>
        <w:t>Valens</w:t>
      </w:r>
      <w:r w:rsidRPr="0001178B">
        <w:t>,</w:t>
      </w:r>
      <w:r>
        <w:t xml:space="preserve"> Vettius,</w:t>
      </w:r>
      <w:r w:rsidRPr="0001178B">
        <w:t xml:space="preserve"> </w:t>
      </w:r>
      <w:r w:rsidRPr="0001178B">
        <w:rPr>
          <w:i/>
          <w:iCs/>
        </w:rPr>
        <w:t>The Anthology</w:t>
      </w:r>
      <w:r w:rsidRPr="0001178B">
        <w:t xml:space="preserve">, </w:t>
      </w:r>
      <w:r w:rsidRPr="00784B56">
        <w:rPr>
          <w:i/>
          <w:iCs/>
        </w:rPr>
        <w:t>Book II (concl.) &amp; Book III</w:t>
      </w:r>
      <w:r w:rsidRPr="0001178B">
        <w:t>, trans. Robert Schmidt, ed. Robert Hand, The Golden Hind Press, Berkeley Springs, WV, 1994.</w:t>
      </w:r>
    </w:p>
    <w:p w14:paraId="072AD958" w14:textId="77777777" w:rsidR="001A7933" w:rsidRDefault="001A7933" w:rsidP="00B83202"/>
    <w:p w14:paraId="1C9D32CD" w14:textId="1B2ADDA1" w:rsidR="000C735E" w:rsidRDefault="00C05E3A" w:rsidP="000C735E">
      <w:r w:rsidRPr="00C05E3A">
        <w:t>Volk,</w:t>
      </w:r>
      <w:r>
        <w:t xml:space="preserve"> Katharina,</w:t>
      </w:r>
      <w:r w:rsidRPr="00C05E3A">
        <w:t xml:space="preserve"> </w:t>
      </w:r>
      <w:r w:rsidRPr="000C735E">
        <w:t>Manilius and His Intellectual Background,</w:t>
      </w:r>
      <w:r w:rsidRPr="00C05E3A">
        <w:t xml:space="preserve"> (OUP Oxford, 2009)</w:t>
      </w:r>
      <w:r>
        <w:t>.</w:t>
      </w:r>
    </w:p>
    <w:p w14:paraId="56852A86" w14:textId="4DBD49FE" w:rsidR="00140E1C" w:rsidRDefault="00140E1C" w:rsidP="000C735E"/>
    <w:p w14:paraId="71CC8404" w14:textId="29C54F6A" w:rsidR="00140E1C" w:rsidRDefault="00140E1C" w:rsidP="000C735E">
      <w:r>
        <w:t>‘</w:t>
      </w:r>
      <w:r>
        <w:rPr>
          <w:i/>
          <w:iCs/>
        </w:rPr>
        <w:t>Whole Sign Houses: The Best System of House Division</w:t>
      </w:r>
      <w:r>
        <w:t>’, The Astrology Podcast, podcast, November 18</w:t>
      </w:r>
      <w:r>
        <w:rPr>
          <w:vertAlign w:val="superscript"/>
        </w:rPr>
        <w:t>th</w:t>
      </w:r>
      <w:r>
        <w:t xml:space="preserve"> 2015, </w:t>
      </w:r>
      <w:hyperlink r:id="rId28" w:history="1">
        <w:r>
          <w:rPr>
            <w:rStyle w:val="Hyperlink"/>
          </w:rPr>
          <w:t>https://theastrologypodcast.com/2015/11/21/whole-sign-houses-the-best-system/</w:t>
        </w:r>
      </w:hyperlink>
      <w:r>
        <w:t xml:space="preserve"> [accessed 16</w:t>
      </w:r>
      <w:r>
        <w:rPr>
          <w:vertAlign w:val="superscript"/>
        </w:rPr>
        <w:t>th</w:t>
      </w:r>
      <w:r>
        <w:t xml:space="preserve"> August 2021].</w:t>
      </w:r>
    </w:p>
    <w:p w14:paraId="43B5C8D5" w14:textId="77777777" w:rsidR="000C735E" w:rsidRPr="000C735E" w:rsidRDefault="000C735E" w:rsidP="000C735E"/>
    <w:p w14:paraId="48DC8319" w14:textId="18B21765" w:rsidR="00EE4C77" w:rsidRDefault="00EE4C77" w:rsidP="00B83202">
      <w:r w:rsidRPr="009B3E45">
        <w:t>Willi</w:t>
      </w:r>
      <w:r>
        <w:t xml:space="preserve">s, Roy, </w:t>
      </w:r>
      <w:r w:rsidRPr="009B3E45">
        <w:t>and Curry,</w:t>
      </w:r>
      <w:r>
        <w:t xml:space="preserve"> P</w:t>
      </w:r>
      <w:r w:rsidRPr="009B3E45">
        <w:t>atrick</w:t>
      </w:r>
      <w:r>
        <w:t>,</w:t>
      </w:r>
      <w:r w:rsidRPr="009B3E45">
        <w:t xml:space="preserve"> </w:t>
      </w:r>
      <w:r w:rsidRPr="000C735E">
        <w:rPr>
          <w:i/>
          <w:iCs/>
        </w:rPr>
        <w:t>Astrology Science and Culture, Pulling down the moon</w:t>
      </w:r>
      <w:r w:rsidRPr="000C735E">
        <w:t>,</w:t>
      </w:r>
      <w:r w:rsidRPr="009B3E45">
        <w:t xml:space="preserve"> (New York Berg, 2004</w:t>
      </w:r>
      <w:r>
        <w:t>).</w:t>
      </w:r>
    </w:p>
    <w:p w14:paraId="03384B19" w14:textId="21A5A38C" w:rsidR="009B0244" w:rsidRDefault="009B0244" w:rsidP="00B83202"/>
    <w:p w14:paraId="0CF9DB70" w14:textId="68640ADD" w:rsidR="00A764ED" w:rsidRDefault="00A764ED" w:rsidP="00B83202"/>
    <w:p w14:paraId="61019C72" w14:textId="15DBAB4A" w:rsidR="00A764ED" w:rsidRDefault="00A764ED" w:rsidP="00B83202"/>
    <w:sectPr w:rsidR="00A764ED" w:rsidSect="009A6ED2">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4A9405" w14:textId="77777777" w:rsidR="009B1DCF" w:rsidRDefault="009B1DCF" w:rsidP="00D33238">
      <w:pPr>
        <w:spacing w:line="240" w:lineRule="auto"/>
      </w:pPr>
      <w:r>
        <w:separator/>
      </w:r>
    </w:p>
  </w:endnote>
  <w:endnote w:type="continuationSeparator" w:id="0">
    <w:p w14:paraId="1042A056" w14:textId="77777777" w:rsidR="009B1DCF" w:rsidRDefault="009B1DCF" w:rsidP="00D332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Light">
    <w:altName w:val="﷽﷽﷽﷽﷽﷽﷽﷽a Neue Light"/>
    <w:panose1 w:val="02000403000000020004"/>
    <w:charset w:val="00"/>
    <w:family w:val="auto"/>
    <w:pitch w:val="variable"/>
    <w:sig w:usb0="A00002FF" w:usb1="5000205B" w:usb2="00000002" w:usb3="00000000" w:csb0="00000007" w:csb1="00000000"/>
  </w:font>
  <w:font w:name="Helvetica Neue Thin">
    <w:altName w:val="HELVETICA NEUE THIN"/>
    <w:panose1 w:val="020B0403020202020204"/>
    <w:charset w:val="00"/>
    <w:family w:val="swiss"/>
    <w:pitch w:val="variable"/>
    <w:sig w:usb0="E00002EF" w:usb1="5000205B" w:usb2="00000002" w:usb3="00000000" w:csb0="0000009F" w:csb1="00000000"/>
  </w:font>
  <w:font w:name="Calibri Light">
    <w:panose1 w:val="020F0302020204030204"/>
    <w:charset w:val="00"/>
    <w:family w:val="swiss"/>
    <w:pitch w:val="variable"/>
    <w:sig w:usb0="E0002AFF" w:usb1="C000247B" w:usb2="00000009" w:usb3="00000000" w:csb0="000001FF" w:csb1="00000000"/>
  </w:font>
  <w:font w:name="Courier">
    <w:panose1 w:val="02000500000000000000"/>
    <w:charset w:val="00"/>
    <w:family w:val="auto"/>
    <w:pitch w:val="variable"/>
    <w:sig w:usb0="00000003" w:usb1="00000000" w:usb2="00000000" w:usb3="00000000" w:csb0="00000003"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Apple Color Emoji">
    <w:altName w:val="Apple Color Emoji"/>
    <w:panose1 w:val="00000000000000000000"/>
    <w:charset w:val="00"/>
    <w:family w:val="auto"/>
    <w:pitch w:val="variable"/>
    <w:sig w:usb0="00000003" w:usb1="18000000" w:usb2="14000000" w:usb3="00000000" w:csb0="00000001" w:csb1="00000000"/>
  </w:font>
  <w:font w:name="Segoe UI Historic">
    <w:panose1 w:val="020B0502040204020203"/>
    <w:charset w:val="00"/>
    <w:family w:val="swiss"/>
    <w:pitch w:val="variable"/>
    <w:sig w:usb0="800001EF" w:usb1="02000002" w:usb2="0060C08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8824601"/>
      <w:docPartObj>
        <w:docPartGallery w:val="Page Numbers (Bottom of Page)"/>
        <w:docPartUnique/>
      </w:docPartObj>
    </w:sdtPr>
    <w:sdtContent>
      <w:p w14:paraId="4315CF4B" w14:textId="3E4C72BB" w:rsidR="00105F83" w:rsidRDefault="00105F83" w:rsidP="00D300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F96B8" w14:textId="77777777" w:rsidR="00105F83" w:rsidRDefault="00105F83" w:rsidP="00E02B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9839262"/>
      <w:docPartObj>
        <w:docPartGallery w:val="Page Numbers (Bottom of Page)"/>
        <w:docPartUnique/>
      </w:docPartObj>
    </w:sdtPr>
    <w:sdtContent>
      <w:p w14:paraId="71436ED8" w14:textId="2A817A42" w:rsidR="00105F83" w:rsidRDefault="00105F83" w:rsidP="00D300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6805D6" w14:textId="77777777" w:rsidR="00105F83" w:rsidRDefault="00105F83" w:rsidP="00E02B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82C812" w14:textId="77777777" w:rsidR="009B1DCF" w:rsidRDefault="009B1DCF" w:rsidP="00D33238">
      <w:pPr>
        <w:spacing w:line="240" w:lineRule="auto"/>
      </w:pPr>
      <w:r>
        <w:separator/>
      </w:r>
    </w:p>
  </w:footnote>
  <w:footnote w:type="continuationSeparator" w:id="0">
    <w:p w14:paraId="1592A268" w14:textId="77777777" w:rsidR="009B1DCF" w:rsidRDefault="009B1DCF" w:rsidP="00D33238">
      <w:pPr>
        <w:spacing w:line="240" w:lineRule="auto"/>
      </w:pPr>
      <w:r>
        <w:continuationSeparator/>
      </w:r>
    </w:p>
  </w:footnote>
  <w:footnote w:id="1">
    <w:p w14:paraId="300C6547" w14:textId="68FF9C75" w:rsidR="005529C4" w:rsidRDefault="005529C4">
      <w:pPr>
        <w:pStyle w:val="FootnoteText"/>
      </w:pPr>
      <w:r>
        <w:rPr>
          <w:rStyle w:val="FootnoteReference"/>
        </w:rPr>
        <w:footnoteRef/>
      </w:r>
      <w:r>
        <w:t xml:space="preserve"> </w:t>
      </w:r>
      <w:r w:rsidR="006910E1">
        <w:t>J</w:t>
      </w:r>
      <w:r w:rsidR="006910E1" w:rsidRPr="004B034E">
        <w:t>ames Herschel</w:t>
      </w:r>
      <w:r w:rsidR="006910E1">
        <w:t xml:space="preserve"> Holden</w:t>
      </w:r>
      <w:r w:rsidR="006910E1" w:rsidRPr="004B034E">
        <w:t xml:space="preserve">, </w:t>
      </w:r>
      <w:r w:rsidR="006910E1" w:rsidRPr="004B034E">
        <w:rPr>
          <w:i/>
          <w:iCs/>
        </w:rPr>
        <w:t>Ancient House Division</w:t>
      </w:r>
      <w:r w:rsidR="006910E1" w:rsidRPr="004B034E">
        <w:t>,</w:t>
      </w:r>
      <w:r w:rsidR="006910E1">
        <w:t xml:space="preserve"> </w:t>
      </w:r>
      <w:r w:rsidR="006910E1" w:rsidRPr="004B034E">
        <w:t>American Federation of</w:t>
      </w:r>
      <w:r w:rsidR="006910E1">
        <w:t xml:space="preserve"> </w:t>
      </w:r>
      <w:r w:rsidR="006910E1" w:rsidRPr="004B034E">
        <w:t>Astrologers Journal of Research, vol. 1, no. 1 (August 1982), Tempe, AZ, pp. 19-29</w:t>
      </w:r>
      <w:r w:rsidR="006910E1">
        <w:t xml:space="preserve">; </w:t>
      </w:r>
      <w:r w:rsidRPr="00D00F35">
        <w:t xml:space="preserve">Neugebauer and Henry Van Hoesen, </w:t>
      </w:r>
      <w:r w:rsidRPr="00D00F35">
        <w:rPr>
          <w:i/>
          <w:iCs/>
        </w:rPr>
        <w:t>Greek Horoscopes</w:t>
      </w:r>
      <w:r w:rsidRPr="00D00F35">
        <w:t>, Philadelphia: The American Philosophical Society, 1959, repr. 1987</w:t>
      </w:r>
      <w:r>
        <w:t>.</w:t>
      </w:r>
      <w:r>
        <w:t xml:space="preserve"> </w:t>
      </w:r>
    </w:p>
  </w:footnote>
  <w:footnote w:id="2">
    <w:p w14:paraId="7F2F9A53" w14:textId="79D00AE0" w:rsidR="00F21CBA" w:rsidRDefault="00F21CBA">
      <w:pPr>
        <w:pStyle w:val="FootnoteText"/>
      </w:pPr>
      <w:r>
        <w:rPr>
          <w:rStyle w:val="FootnoteReference"/>
        </w:rPr>
        <w:footnoteRef/>
      </w:r>
      <w:r>
        <w:t xml:space="preserve"> </w:t>
      </w:r>
      <w:r w:rsidRPr="00D04F01">
        <w:t xml:space="preserve">Dorian Gieseler Greenbaum, </w:t>
      </w:r>
      <w:r w:rsidRPr="00D04F01">
        <w:rPr>
          <w:i/>
          <w:iCs/>
        </w:rPr>
        <w:t>The Daimon in Hellenistic Astrology: Origins and Influence Ancient Magic and Divination</w:t>
      </w:r>
      <w:r>
        <w:rPr>
          <w:i/>
          <w:iCs/>
        </w:rPr>
        <w:t>,</w:t>
      </w:r>
      <w:r w:rsidRPr="00D04F01">
        <w:t xml:space="preserve"> Volume 11 (Brill, 201</w:t>
      </w:r>
      <w:r>
        <w:t>6</w:t>
      </w:r>
      <w:r w:rsidRPr="00D04F01">
        <w:t>)</w:t>
      </w:r>
      <w:r>
        <w:t>,</w:t>
      </w:r>
      <w:r>
        <w:t xml:space="preserve"> p.261.</w:t>
      </w:r>
    </w:p>
  </w:footnote>
  <w:footnote w:id="3">
    <w:p w14:paraId="19F4D687" w14:textId="579FDAE3" w:rsidR="00F8091F" w:rsidRDefault="00F8091F">
      <w:pPr>
        <w:pStyle w:val="FootnoteText"/>
      </w:pPr>
      <w:r>
        <w:rPr>
          <w:rStyle w:val="FootnoteReference"/>
        </w:rPr>
        <w:footnoteRef/>
      </w:r>
      <w:r>
        <w:t xml:space="preserve"> </w:t>
      </w:r>
      <w:r w:rsidRPr="001835A1">
        <w:t xml:space="preserve">Robert H. Schmidt, </w:t>
      </w:r>
      <w:r w:rsidRPr="001835A1">
        <w:rPr>
          <w:i/>
          <w:iCs/>
        </w:rPr>
        <w:t>The So-Called ‘Problem of House Division’: Definitions of Greek Terms and New Translations of Key Passages With Brief Notes &amp; Commentary</w:t>
      </w:r>
      <w:r w:rsidRPr="001835A1">
        <w:t>, Project Hindsight, 2016</w:t>
      </w:r>
      <w:r>
        <w:t>.</w:t>
      </w:r>
    </w:p>
  </w:footnote>
  <w:footnote w:id="4">
    <w:p w14:paraId="6C5651E7" w14:textId="4578C4B5" w:rsidR="00F35AC8" w:rsidRDefault="00F35AC8">
      <w:pPr>
        <w:pStyle w:val="FootnoteText"/>
      </w:pPr>
      <w:r>
        <w:rPr>
          <w:rStyle w:val="FootnoteReference"/>
        </w:rPr>
        <w:footnoteRef/>
      </w:r>
      <w:r>
        <w:t xml:space="preserve"> </w:t>
      </w:r>
      <w:r w:rsidR="00B53402" w:rsidRPr="00E61AC9">
        <w:t xml:space="preserve">Hobsbawm, Eric, and Ranger, Terence, </w:t>
      </w:r>
      <w:r w:rsidR="00B53402" w:rsidRPr="00E61AC9">
        <w:rPr>
          <w:i/>
          <w:iCs/>
        </w:rPr>
        <w:t>The Invention of Tradition</w:t>
      </w:r>
      <w:r w:rsidR="00B53402" w:rsidRPr="00E61AC9">
        <w:t>, Press Cambridge University, and Cambridge University of, The Invention of Tradition, A Canto Book (Cambridge University Press, 1992)</w:t>
      </w:r>
      <w:r w:rsidR="008C3D7E">
        <w:t>.</w:t>
      </w:r>
    </w:p>
  </w:footnote>
  <w:footnote w:id="5">
    <w:p w14:paraId="362E586A" w14:textId="400E4B2D" w:rsidR="00E538A5" w:rsidRDefault="00E538A5">
      <w:pPr>
        <w:pStyle w:val="FootnoteText"/>
      </w:pPr>
      <w:r>
        <w:rPr>
          <w:rStyle w:val="FootnoteReference"/>
        </w:rPr>
        <w:footnoteRef/>
      </w:r>
      <w:r>
        <w:t xml:space="preserve"> </w:t>
      </w:r>
      <w:r w:rsidRPr="007F20BB">
        <w:t xml:space="preserve">Michel Foucault, </w:t>
      </w:r>
      <w:r w:rsidRPr="007F20BB">
        <w:rPr>
          <w:i/>
          <w:iCs/>
        </w:rPr>
        <w:t>Language, Counter-Memory, Practice: Selected Essays and Interviews</w:t>
      </w:r>
      <w:r w:rsidRPr="007F20BB">
        <w:t>, transl. Donald F. Bouchard and Sherry Simon (Ithaca, New York, 1977)</w:t>
      </w:r>
      <w:r>
        <w:t xml:space="preserve">; </w:t>
      </w:r>
      <w:r w:rsidR="00CD4B07">
        <w:t xml:space="preserve">Jacques Derrida, </w:t>
      </w:r>
      <w:r w:rsidR="00CD4B07" w:rsidRPr="000049CF">
        <w:rPr>
          <w:i/>
          <w:iCs/>
        </w:rPr>
        <w:t>Of Grammatology</w:t>
      </w:r>
      <w:r w:rsidR="00CD4B07">
        <w:t>, trans. Gayatri Chakravorty Spivak, (Baltimore: John Hopkins University Press), 1976, pp.158-159</w:t>
      </w:r>
      <w:r w:rsidR="00CD4B07">
        <w:t>.</w:t>
      </w:r>
    </w:p>
  </w:footnote>
  <w:footnote w:id="6">
    <w:p w14:paraId="1847527B" w14:textId="1E4960B7" w:rsidR="00105F83" w:rsidRDefault="00105F83">
      <w:pPr>
        <w:pStyle w:val="FootnoteText"/>
      </w:pPr>
      <w:r>
        <w:rPr>
          <w:rStyle w:val="FootnoteReference"/>
        </w:rPr>
        <w:footnoteRef/>
      </w:r>
      <w:r>
        <w:t xml:space="preserve"> </w:t>
      </w:r>
      <w:r w:rsidRPr="009B0244">
        <w:t xml:space="preserve">Annette Markham and Elizabeth Buchanan, </w:t>
      </w:r>
      <w:r w:rsidRPr="009B0244">
        <w:rPr>
          <w:i/>
          <w:iCs/>
        </w:rPr>
        <w:t>Ethical Decision-Making and Internet Research</w:t>
      </w:r>
      <w:r w:rsidRPr="009B0244">
        <w:t xml:space="preserve">, </w:t>
      </w:r>
      <w:hyperlink r:id="rId1" w:history="1">
        <w:r w:rsidRPr="00E53D93">
          <w:rPr>
            <w:rStyle w:val="Hyperlink"/>
          </w:rPr>
          <w:t>http://aoir.org/reports/ethics2.pdf</w:t>
        </w:r>
      </w:hyperlink>
      <w:r>
        <w:t xml:space="preserve">, [accessed </w:t>
      </w:r>
      <w:r w:rsidRPr="009B0244">
        <w:t>16</w:t>
      </w:r>
      <w:r w:rsidRPr="009B0244">
        <w:rPr>
          <w:vertAlign w:val="superscript"/>
        </w:rPr>
        <w:t>th</w:t>
      </w:r>
      <w:r w:rsidRPr="009B0244">
        <w:t xml:space="preserve"> July 2021], </w:t>
      </w:r>
      <w:r>
        <w:t>pp.</w:t>
      </w:r>
      <w:r w:rsidRPr="009B0244">
        <w:t>7</w:t>
      </w:r>
      <w:r>
        <w:t>-11</w:t>
      </w:r>
      <w:r w:rsidRPr="009B0244">
        <w:t>.</w:t>
      </w:r>
    </w:p>
  </w:footnote>
  <w:footnote w:id="7">
    <w:p w14:paraId="2F394737" w14:textId="184C6418" w:rsidR="00105F83" w:rsidRDefault="00105F83">
      <w:pPr>
        <w:pStyle w:val="FootnoteText"/>
      </w:pPr>
      <w:r>
        <w:rPr>
          <w:rStyle w:val="FootnoteReference"/>
        </w:rPr>
        <w:footnoteRef/>
      </w:r>
      <w:r>
        <w:t xml:space="preserve"> </w:t>
      </w:r>
      <w:r w:rsidRPr="009B0244">
        <w:t xml:space="preserve">Markham and Buchanan, </w:t>
      </w:r>
      <w:r w:rsidRPr="009B0244">
        <w:rPr>
          <w:i/>
          <w:iCs/>
        </w:rPr>
        <w:t>Ethical Decision-Making and Internet Research</w:t>
      </w:r>
      <w:r>
        <w:t xml:space="preserve">; </w:t>
      </w:r>
      <w:r w:rsidRPr="00F709CB">
        <w:t xml:space="preserve">Frances, </w:t>
      </w:r>
      <w:r>
        <w:t xml:space="preserve">Clynes, </w:t>
      </w:r>
      <w:r w:rsidRPr="00F709CB">
        <w:rPr>
          <w:i/>
          <w:iCs/>
        </w:rPr>
        <w:t>Cyberspace and Dualism: An Examination of the Impact of the Internet on Modern Western Astrology</w:t>
      </w:r>
      <w:r w:rsidRPr="00F709CB">
        <w:t xml:space="preserve"> (unpublished doctoral thesis, University of Wales Trinity Saint David, 2015)</w:t>
      </w:r>
      <w:r>
        <w:t>, p.158.</w:t>
      </w:r>
    </w:p>
  </w:footnote>
  <w:footnote w:id="8">
    <w:p w14:paraId="77025324" w14:textId="673DF456" w:rsidR="00105F83" w:rsidRDefault="00105F83" w:rsidP="006B1DC2">
      <w:pPr>
        <w:pStyle w:val="FootnoteText"/>
      </w:pPr>
      <w:r>
        <w:rPr>
          <w:rStyle w:val="FootnoteReference"/>
        </w:rPr>
        <w:footnoteRef/>
      </w:r>
      <w:r>
        <w:t xml:space="preserve"> </w:t>
      </w:r>
      <w:r w:rsidRPr="00246905">
        <w:t>Monique</w:t>
      </w:r>
      <w:r>
        <w:t xml:space="preserve"> </w:t>
      </w:r>
      <w:r w:rsidRPr="00246905">
        <w:t>Henni</w:t>
      </w:r>
      <w:r>
        <w:t>n</w:t>
      </w:r>
      <w:r w:rsidRPr="00246905">
        <w:t>k, Inge Hutter</w:t>
      </w:r>
      <w:r>
        <w:t>,</w:t>
      </w:r>
      <w:r w:rsidRPr="00246905">
        <w:t xml:space="preserve"> and Bailey Ajay, </w:t>
      </w:r>
      <w:r w:rsidRPr="0050786B">
        <w:rPr>
          <w:i/>
          <w:iCs/>
        </w:rPr>
        <w:t>Qualitative Research Methods</w:t>
      </w:r>
      <w:r w:rsidRPr="00246905">
        <w:t>, Ashford, Sage Publications, 2013.</w:t>
      </w:r>
      <w:r>
        <w:t xml:space="preserve"> p.18</w:t>
      </w:r>
    </w:p>
  </w:footnote>
  <w:footnote w:id="9">
    <w:p w14:paraId="2F3C8E14" w14:textId="77777777" w:rsidR="00105F83" w:rsidRDefault="00105F83" w:rsidP="006B1DC2">
      <w:pPr>
        <w:pStyle w:val="FootnoteText"/>
      </w:pPr>
      <w:r>
        <w:rPr>
          <w:rStyle w:val="FootnoteReference"/>
        </w:rPr>
        <w:footnoteRef/>
      </w:r>
      <w:r>
        <w:t xml:space="preserve"> </w:t>
      </w:r>
      <w:r w:rsidRPr="005D5212">
        <w:t xml:space="preserve">Hennink et al, </w:t>
      </w:r>
      <w:r w:rsidRPr="005D5212">
        <w:rPr>
          <w:i/>
        </w:rPr>
        <w:t>Qualitative Research Methods</w:t>
      </w:r>
      <w:r>
        <w:t>, pp.18-19</w:t>
      </w:r>
    </w:p>
  </w:footnote>
  <w:footnote w:id="10">
    <w:p w14:paraId="07FEC78C" w14:textId="2EDE1A11" w:rsidR="00105F83" w:rsidRDefault="00105F83">
      <w:pPr>
        <w:pStyle w:val="FootnoteText"/>
      </w:pPr>
      <w:r>
        <w:rPr>
          <w:rStyle w:val="FootnoteReference"/>
        </w:rPr>
        <w:footnoteRef/>
      </w:r>
      <w:r w:rsidRPr="00802ABD">
        <w:t xml:space="preserve"> Kenneth L</w:t>
      </w:r>
      <w:r>
        <w:t>. Pike</w:t>
      </w:r>
      <w:r w:rsidRPr="00802ABD">
        <w:t>, Thomas N.</w:t>
      </w:r>
      <w:r>
        <w:t xml:space="preserve"> </w:t>
      </w:r>
      <w:r w:rsidRPr="00802ABD">
        <w:t>Headland, and Marvin</w:t>
      </w:r>
      <w:r>
        <w:t xml:space="preserve"> </w:t>
      </w:r>
      <w:r w:rsidRPr="00802ABD">
        <w:t xml:space="preserve">Harris, </w:t>
      </w:r>
      <w:r w:rsidRPr="00802ABD">
        <w:rPr>
          <w:i/>
          <w:iCs/>
        </w:rPr>
        <w:t>Emics and Etics: The Insider/Outsider Debate</w:t>
      </w:r>
      <w:r w:rsidRPr="00802ABD">
        <w:t xml:space="preserve"> (Newbury Park, Calif: Sage Publications, 1990)</w:t>
      </w:r>
      <w:r>
        <w:t>, pp. 30-32.</w:t>
      </w:r>
    </w:p>
  </w:footnote>
  <w:footnote w:id="11">
    <w:p w14:paraId="2FA50357" w14:textId="59634D65" w:rsidR="00105F83" w:rsidRDefault="00105F83" w:rsidP="006B1DC2">
      <w:pPr>
        <w:pStyle w:val="FootnoteText"/>
      </w:pPr>
      <w:r>
        <w:rPr>
          <w:rStyle w:val="FootnoteReference"/>
        </w:rPr>
        <w:footnoteRef/>
      </w:r>
      <w:r w:rsidRPr="0097278A">
        <w:t xml:space="preserve"> Nicholas</w:t>
      </w:r>
      <w:r>
        <w:t xml:space="preserve"> Campion</w:t>
      </w:r>
      <w:r w:rsidRPr="0097278A">
        <w:t xml:space="preserve">, </w:t>
      </w:r>
      <w:r w:rsidRPr="0097278A">
        <w:rPr>
          <w:i/>
          <w:iCs/>
        </w:rPr>
        <w:t>Prophecy, Cosmology and the New Age Movement: The Extent and Nature of Contemporary Belief in Astrology</w:t>
      </w:r>
      <w:r w:rsidRPr="0097278A">
        <w:t>, Doctoral Thesis, University of the West of England, Bristol., 2003</w:t>
      </w:r>
      <w:r>
        <w:t>, p.10</w:t>
      </w:r>
      <w:r w:rsidRPr="0097278A">
        <w:t>.</w:t>
      </w:r>
    </w:p>
    <w:p w14:paraId="412374CD" w14:textId="13B8B283" w:rsidR="00105F83" w:rsidRDefault="00105F83" w:rsidP="006B1DC2">
      <w:pPr>
        <w:pStyle w:val="FootnoteText"/>
      </w:pPr>
      <w:r>
        <w:t>Clifford Geertz, “Thick Descriptions”, in “The Interpretation of Cultures”, Basic Books, 1973.</w:t>
      </w:r>
    </w:p>
    <w:p w14:paraId="0844A6A8" w14:textId="77777777" w:rsidR="00105F83" w:rsidRDefault="00105F83" w:rsidP="006B1DC2">
      <w:pPr>
        <w:pStyle w:val="FootnoteText"/>
      </w:pPr>
      <w:r w:rsidRPr="006D090D">
        <w:t>Patrick McCafferty, “Comets and Meteors: The Ignored Explanations for Myths and Apocalypse”,in The Imagined Sky: Cultural Perspectives, ed. by Darreln Gunzburg (Equinox Publishing Limited, 2016), pp.23-43</w:t>
      </w:r>
    </w:p>
  </w:footnote>
  <w:footnote w:id="12">
    <w:p w14:paraId="3CB16B20" w14:textId="1681AFC0" w:rsidR="00105F83" w:rsidRDefault="00105F83" w:rsidP="00CD5CEA">
      <w:pPr>
        <w:pStyle w:val="FootnoteText"/>
        <w:ind w:left="720" w:hanging="720"/>
      </w:pPr>
      <w:r>
        <w:rPr>
          <w:rStyle w:val="FootnoteReference"/>
        </w:rPr>
        <w:footnoteRef/>
      </w:r>
      <w:r>
        <w:t xml:space="preserve"> </w:t>
      </w:r>
      <w:r w:rsidRPr="007361FA">
        <w:t xml:space="preserve">Richard J. Evans, </w:t>
      </w:r>
      <w:r w:rsidRPr="007361FA">
        <w:rPr>
          <w:i/>
        </w:rPr>
        <w:t>In Defence of History</w:t>
      </w:r>
      <w:r>
        <w:t>,</w:t>
      </w:r>
      <w:r w:rsidRPr="007361FA">
        <w:t xml:space="preserve"> (New York: W. W. Norton &amp; Company, 1999</w:t>
      </w:r>
      <w:r>
        <w:t>), p.111-119.</w:t>
      </w:r>
    </w:p>
  </w:footnote>
  <w:footnote w:id="13">
    <w:p w14:paraId="0AF0B999" w14:textId="77777777" w:rsidR="00105F83" w:rsidRDefault="00105F83" w:rsidP="0023071F">
      <w:pPr>
        <w:pStyle w:val="FootnoteText"/>
      </w:pPr>
      <w:r>
        <w:rPr>
          <w:rStyle w:val="FootnoteReference"/>
        </w:rPr>
        <w:footnoteRef/>
      </w:r>
      <w:r>
        <w:t xml:space="preserve"> </w:t>
      </w:r>
      <w:r w:rsidRPr="0080434A">
        <w:t xml:space="preserve">Lawrence E. Jerome, </w:t>
      </w:r>
      <w:r w:rsidRPr="0080434A">
        <w:rPr>
          <w:i/>
          <w:iCs/>
        </w:rPr>
        <w:t>Astrology and Modern Science: A Critical Analysis</w:t>
      </w:r>
      <w:r w:rsidRPr="0080434A">
        <w:t>, Leonardo, 6 (1973)</w:t>
      </w:r>
      <w:r>
        <w:t>, p.121.</w:t>
      </w:r>
    </w:p>
  </w:footnote>
  <w:footnote w:id="14">
    <w:p w14:paraId="500CDBC0" w14:textId="223CD9A2" w:rsidR="00105F83" w:rsidRDefault="00105F83" w:rsidP="0023071F">
      <w:pPr>
        <w:pStyle w:val="FootnoteText"/>
      </w:pPr>
      <w:r>
        <w:rPr>
          <w:rStyle w:val="FootnoteReference"/>
        </w:rPr>
        <w:footnoteRef/>
      </w:r>
      <w:r>
        <w:t xml:space="preserve"> </w:t>
      </w:r>
      <w:r w:rsidRPr="000F731A">
        <w:t xml:space="preserve">Isabel Hickey, </w:t>
      </w:r>
      <w:r w:rsidRPr="000F731A">
        <w:rPr>
          <w:i/>
          <w:iCs/>
        </w:rPr>
        <w:t>Astrology: A Cosmic Science</w:t>
      </w:r>
      <w:r>
        <w:rPr>
          <w:i/>
          <w:iCs/>
        </w:rPr>
        <w:t>,</w:t>
      </w:r>
      <w:r w:rsidRPr="000F731A">
        <w:t xml:space="preserve"> (Bridgeport, CT: Altieri Press, 1970), p.</w:t>
      </w:r>
      <w:r>
        <w:t xml:space="preserve">11.; </w:t>
      </w:r>
      <w:r w:rsidRPr="008B0E61">
        <w:t>H.P. Blavatsky, Isis Unveiled, 2 vols</w:t>
      </w:r>
      <w:r>
        <w:t>,</w:t>
      </w:r>
      <w:r w:rsidRPr="008B0E61">
        <w:t xml:space="preserve"> (Pasadena: Theosophical University Press, 1976), facsimile of 1877 edition, vol. 1, p. 259.</w:t>
      </w:r>
      <w:r>
        <w:t xml:space="preserve">; </w:t>
      </w:r>
      <w:r w:rsidRPr="00EC5062">
        <w:t>S</w:t>
      </w:r>
      <w:r>
        <w:t>ue</w:t>
      </w:r>
      <w:r w:rsidRPr="00EC5062">
        <w:t xml:space="preserve"> Tompkins, </w:t>
      </w:r>
      <w:r w:rsidRPr="00AC0415">
        <w:rPr>
          <w:i/>
          <w:iCs/>
        </w:rPr>
        <w:t>Aspects in Astrology: A Guide to Understanding Planetary Relationships in the Horoscope</w:t>
      </w:r>
      <w:r>
        <w:rPr>
          <w:i/>
          <w:iCs/>
        </w:rPr>
        <w:t>,</w:t>
      </w:r>
      <w:r w:rsidRPr="00EC5062">
        <w:t xml:space="preserve"> (</w:t>
      </w:r>
      <w:r>
        <w:t>Rider, 2001</w:t>
      </w:r>
      <w:r w:rsidRPr="00EC5062">
        <w:t>)</w:t>
      </w:r>
      <w:r>
        <w:t>, p.xi.;</w:t>
      </w:r>
      <w:r w:rsidRPr="009F29D8">
        <w:t xml:space="preserve"> B</w:t>
      </w:r>
      <w:r>
        <w:t>ernadette</w:t>
      </w:r>
      <w:r w:rsidRPr="009F29D8">
        <w:t xml:space="preserve"> Brady, </w:t>
      </w:r>
      <w:r w:rsidRPr="009F29D8">
        <w:rPr>
          <w:i/>
          <w:iCs/>
        </w:rPr>
        <w:t>Predictive Astrology: The Eagle and the Lark</w:t>
      </w:r>
      <w:r>
        <w:rPr>
          <w:i/>
          <w:iCs/>
        </w:rPr>
        <w:t>,</w:t>
      </w:r>
      <w:r w:rsidRPr="009F29D8">
        <w:t xml:space="preserve"> (Weiser Books, 1998)</w:t>
      </w:r>
      <w:r>
        <w:t xml:space="preserve">, p.xiv.; </w:t>
      </w:r>
      <w:r w:rsidRPr="000130F7">
        <w:t xml:space="preserve">Luke. D. Broughton, </w:t>
      </w:r>
      <w:r w:rsidRPr="000130F7">
        <w:rPr>
          <w:i/>
          <w:iCs/>
        </w:rPr>
        <w:t>The Elements of Astrology</w:t>
      </w:r>
      <w:r>
        <w:t>,</w:t>
      </w:r>
      <w:r w:rsidRPr="000130F7">
        <w:t xml:space="preserve"> (The author, 1898)</w:t>
      </w:r>
      <w:r>
        <w:t>, p.104.</w:t>
      </w:r>
    </w:p>
  </w:footnote>
  <w:footnote w:id="15">
    <w:p w14:paraId="75FA10C3" w14:textId="3259DC21" w:rsidR="00105F83" w:rsidRDefault="00105F83">
      <w:pPr>
        <w:pStyle w:val="FootnoteText"/>
      </w:pPr>
      <w:r>
        <w:rPr>
          <w:rStyle w:val="FootnoteReference"/>
        </w:rPr>
        <w:footnoteRef/>
      </w:r>
      <w:r>
        <w:t xml:space="preserve"> Nicholas Campion and Liz Greene, </w:t>
      </w:r>
      <w:r w:rsidRPr="00A26A8E">
        <w:rPr>
          <w:i/>
          <w:iCs/>
        </w:rPr>
        <w:t>Astrologies: Plurality and Diversity: The Proceedings of the Eighth Annual Conference of the Sophia Centre for the Study of Cosmology in Culture</w:t>
      </w:r>
      <w:r w:rsidRPr="00A26A8E">
        <w:t>, ed. by Nicholas Campion and Liz Greene (Ceredigion: Sophia Centre Press, 2011)</w:t>
      </w:r>
      <w:r>
        <w:t>, p.1.</w:t>
      </w:r>
    </w:p>
  </w:footnote>
  <w:footnote w:id="16">
    <w:p w14:paraId="3414726A" w14:textId="77777777" w:rsidR="00105F83" w:rsidRDefault="00105F83" w:rsidP="00B44FB9">
      <w:pPr>
        <w:pStyle w:val="FootnoteText"/>
      </w:pPr>
      <w:r>
        <w:rPr>
          <w:rStyle w:val="FootnoteReference"/>
        </w:rPr>
        <w:footnoteRef/>
      </w:r>
      <w:r>
        <w:t xml:space="preserve"> </w:t>
      </w:r>
      <w:r w:rsidRPr="00EF35E7">
        <w:t xml:space="preserve">Patrick Curry, </w:t>
      </w:r>
      <w:r w:rsidRPr="00EF35E7">
        <w:rPr>
          <w:i/>
          <w:iCs/>
        </w:rPr>
        <w:t>Astrology</w:t>
      </w:r>
      <w:r w:rsidRPr="00EF35E7">
        <w:t xml:space="preserve">, The Encyclopaedia of Historians and Historical Writing, 2 Vols, ed. Kelly Boyd (London: Fitzroy Dearborn, 1999), Vol </w:t>
      </w:r>
      <w:r>
        <w:t>1,</w:t>
      </w:r>
      <w:r w:rsidRPr="00EF35E7">
        <w:t xml:space="preserve"> p.55.</w:t>
      </w:r>
    </w:p>
  </w:footnote>
  <w:footnote w:id="17">
    <w:p w14:paraId="40F2CF84" w14:textId="77777777" w:rsidR="00105F83" w:rsidRDefault="00105F83" w:rsidP="00F45019">
      <w:pPr>
        <w:pStyle w:val="FootnoteText"/>
      </w:pPr>
      <w:r>
        <w:rPr>
          <w:rStyle w:val="FootnoteReference"/>
        </w:rPr>
        <w:footnoteRef/>
      </w:r>
      <w:r>
        <w:t xml:space="preserve"> </w:t>
      </w:r>
      <w:r w:rsidRPr="007064CD">
        <w:t>Alan C.</w:t>
      </w:r>
      <w:r>
        <w:t xml:space="preserve"> Bowen,</w:t>
      </w:r>
      <w:r w:rsidRPr="007064CD">
        <w:t xml:space="preserve"> and Francesca Rochberg, </w:t>
      </w:r>
      <w:r w:rsidRPr="007064CD">
        <w:rPr>
          <w:i/>
          <w:iCs/>
        </w:rPr>
        <w:t>Hellenistic Astronomy: The Science in Its Contexts</w:t>
      </w:r>
      <w:r w:rsidRPr="007064CD">
        <w:t>, Brill's Companions in Classical Studies (Brill, 2020)</w:t>
      </w:r>
      <w:r>
        <w:t>, p.16.</w:t>
      </w:r>
    </w:p>
  </w:footnote>
  <w:footnote w:id="18">
    <w:p w14:paraId="63846B0C" w14:textId="28E4AFB5" w:rsidR="00105F83" w:rsidRDefault="00105F83">
      <w:pPr>
        <w:pStyle w:val="FootnoteText"/>
      </w:pPr>
      <w:r>
        <w:rPr>
          <w:rStyle w:val="FootnoteReference"/>
        </w:rPr>
        <w:footnoteRef/>
      </w:r>
      <w:r>
        <w:t xml:space="preserve"> Greenbaum &amp; Ross, </w:t>
      </w:r>
      <w:r>
        <w:rPr>
          <w:rStyle w:val="Emphasis"/>
        </w:rPr>
        <w:t>The Role of Egypt</w:t>
      </w:r>
      <w:r w:rsidRPr="00C41966">
        <w:rPr>
          <w:rStyle w:val="Emphasis"/>
          <w:i w:val="0"/>
          <w:iCs w:val="0"/>
        </w:rPr>
        <w:t>, p.146</w:t>
      </w:r>
      <w:r>
        <w:rPr>
          <w:rStyle w:val="Emphasis"/>
          <w:i w:val="0"/>
          <w:iCs w:val="0"/>
        </w:rPr>
        <w:t>.</w:t>
      </w:r>
    </w:p>
  </w:footnote>
  <w:footnote w:id="19">
    <w:p w14:paraId="7B9F73C7" w14:textId="4F9E8E58" w:rsidR="00105F83" w:rsidRDefault="00105F83">
      <w:pPr>
        <w:pStyle w:val="FootnoteText"/>
      </w:pPr>
      <w:r>
        <w:rPr>
          <w:rStyle w:val="FootnoteReference"/>
        </w:rPr>
        <w:footnoteRef/>
      </w:r>
      <w:r>
        <w:t xml:space="preserve"> Rochberg, </w:t>
      </w:r>
      <w:r w:rsidRPr="00B0281E">
        <w:rPr>
          <w:i/>
          <w:iCs/>
        </w:rPr>
        <w:t>Babylonian Horoscopes</w:t>
      </w:r>
      <w:r>
        <w:t>, p.2.</w:t>
      </w:r>
    </w:p>
  </w:footnote>
  <w:footnote w:id="20">
    <w:p w14:paraId="79A99854" w14:textId="77D8FF60" w:rsidR="00105F83" w:rsidRDefault="00105F83">
      <w:pPr>
        <w:pStyle w:val="FootnoteText"/>
      </w:pPr>
      <w:r>
        <w:rPr>
          <w:rStyle w:val="FootnoteReference"/>
        </w:rPr>
        <w:footnoteRef/>
      </w:r>
      <w:r>
        <w:t xml:space="preserve"> Greenbaum &amp; Ross, </w:t>
      </w:r>
      <w:r>
        <w:rPr>
          <w:rStyle w:val="Emphasis"/>
        </w:rPr>
        <w:t>The Role of Egypt</w:t>
      </w:r>
      <w:r w:rsidRPr="00C41966">
        <w:rPr>
          <w:rStyle w:val="Emphasis"/>
          <w:i w:val="0"/>
          <w:iCs w:val="0"/>
        </w:rPr>
        <w:t>, p.14</w:t>
      </w:r>
      <w:r>
        <w:rPr>
          <w:rStyle w:val="Emphasis"/>
          <w:i w:val="0"/>
          <w:iCs w:val="0"/>
        </w:rPr>
        <w:t>8.</w:t>
      </w:r>
    </w:p>
  </w:footnote>
  <w:footnote w:id="21">
    <w:p w14:paraId="6F336B63" w14:textId="77777777" w:rsidR="00105F83" w:rsidRDefault="00105F83" w:rsidP="00E214D1">
      <w:pPr>
        <w:pStyle w:val="FootnoteText"/>
      </w:pPr>
      <w:r>
        <w:rPr>
          <w:rStyle w:val="FootnoteReference"/>
        </w:rPr>
        <w:footnoteRef/>
      </w:r>
      <w:r>
        <w:t xml:space="preserve"> </w:t>
      </w:r>
      <w:r w:rsidRPr="0031082B">
        <w:t>Sue</w:t>
      </w:r>
      <w:r>
        <w:t xml:space="preserve"> Tompkins,</w:t>
      </w:r>
      <w:r w:rsidRPr="0031082B">
        <w:t xml:space="preserve"> </w:t>
      </w:r>
      <w:r w:rsidRPr="0031082B">
        <w:rPr>
          <w:i/>
          <w:iCs/>
        </w:rPr>
        <w:t>The Contemporary Astrologer's Handbook: An in-Depth Guide to Interpreting Your Horoscope</w:t>
      </w:r>
      <w:r w:rsidRPr="0031082B">
        <w:t>, Astrology Now (Flare Publications, 2006)</w:t>
      </w:r>
      <w:r>
        <w:t>, pp.245-287.</w:t>
      </w:r>
    </w:p>
  </w:footnote>
  <w:footnote w:id="22">
    <w:p w14:paraId="00C818A4" w14:textId="77777777" w:rsidR="00105F83" w:rsidRDefault="00105F83" w:rsidP="000E461E">
      <w:pPr>
        <w:pStyle w:val="FootnoteText"/>
      </w:pPr>
      <w:r>
        <w:rPr>
          <w:rStyle w:val="FootnoteReference"/>
        </w:rPr>
        <w:footnoteRef/>
      </w:r>
      <w:r>
        <w:t xml:space="preserve"> Rochberg, </w:t>
      </w:r>
      <w:r w:rsidRPr="000E461E">
        <w:rPr>
          <w:i/>
          <w:iCs/>
        </w:rPr>
        <w:t>In the Path of The Moon</w:t>
      </w:r>
      <w:r>
        <w:t>, p.228.</w:t>
      </w:r>
    </w:p>
  </w:footnote>
  <w:footnote w:id="23">
    <w:p w14:paraId="059F026C" w14:textId="77777777" w:rsidR="00CD7A77" w:rsidRDefault="00CD7A77" w:rsidP="00CD7A77">
      <w:pPr>
        <w:pStyle w:val="FootnoteText"/>
      </w:pPr>
      <w:r>
        <w:rPr>
          <w:rStyle w:val="FootnoteReference"/>
        </w:rPr>
        <w:footnoteRef/>
      </w:r>
      <w:r>
        <w:t xml:space="preserve"> Greenbaum &amp; Ross, </w:t>
      </w:r>
      <w:r>
        <w:rPr>
          <w:rStyle w:val="Emphasis"/>
        </w:rPr>
        <w:t>The Role of Egypt</w:t>
      </w:r>
      <w:r w:rsidRPr="00C41966">
        <w:rPr>
          <w:rStyle w:val="Emphasis"/>
          <w:i w:val="0"/>
          <w:iCs w:val="0"/>
        </w:rPr>
        <w:t>, p</w:t>
      </w:r>
      <w:r>
        <w:rPr>
          <w:rStyle w:val="Emphasis"/>
          <w:i w:val="0"/>
          <w:iCs w:val="0"/>
        </w:rPr>
        <w:t>p</w:t>
      </w:r>
      <w:r w:rsidRPr="00C41966">
        <w:rPr>
          <w:rStyle w:val="Emphasis"/>
          <w:i w:val="0"/>
          <w:iCs w:val="0"/>
        </w:rPr>
        <w:t>.1</w:t>
      </w:r>
      <w:r>
        <w:rPr>
          <w:rStyle w:val="Emphasis"/>
          <w:i w:val="0"/>
          <w:iCs w:val="0"/>
        </w:rPr>
        <w:t>69-175;</w:t>
      </w:r>
    </w:p>
  </w:footnote>
  <w:footnote w:id="24">
    <w:p w14:paraId="29BCBEA4" w14:textId="2A959B62" w:rsidR="00105F83" w:rsidRDefault="00105F83">
      <w:pPr>
        <w:pStyle w:val="FootnoteText"/>
      </w:pPr>
      <w:r>
        <w:rPr>
          <w:rStyle w:val="FootnoteReference"/>
        </w:rPr>
        <w:footnoteRef/>
      </w:r>
      <w:r>
        <w:t xml:space="preserve"> Greenbaum &amp; Ross, </w:t>
      </w:r>
      <w:r>
        <w:rPr>
          <w:rStyle w:val="Emphasis"/>
        </w:rPr>
        <w:t>The Role of Egypt</w:t>
      </w:r>
      <w:r w:rsidRPr="00C41966">
        <w:rPr>
          <w:rStyle w:val="Emphasis"/>
          <w:i w:val="0"/>
          <w:iCs w:val="0"/>
        </w:rPr>
        <w:t>, p.1</w:t>
      </w:r>
      <w:r>
        <w:rPr>
          <w:rStyle w:val="Emphasis"/>
          <w:i w:val="0"/>
          <w:iCs w:val="0"/>
        </w:rPr>
        <w:t>68;</w:t>
      </w:r>
      <w:r w:rsidRPr="004650F9">
        <w:t xml:space="preserve"> </w:t>
      </w:r>
      <w:r w:rsidRPr="004650F9">
        <w:rPr>
          <w:rStyle w:val="Emphasis"/>
          <w:i w:val="0"/>
          <w:iCs w:val="0"/>
        </w:rPr>
        <w:t xml:space="preserve">Michael Munkasey, </w:t>
      </w:r>
      <w:r w:rsidRPr="004650F9">
        <w:rPr>
          <w:rStyle w:val="Emphasis"/>
        </w:rPr>
        <w:t>An Astrological House Formulary</w:t>
      </w:r>
      <w:r w:rsidRPr="004650F9">
        <w:rPr>
          <w:rStyle w:val="Emphasis"/>
          <w:i w:val="0"/>
          <w:iCs w:val="0"/>
        </w:rPr>
        <w:t xml:space="preserve">, </w:t>
      </w:r>
      <w:hyperlink r:id="rId2" w:anchor="scribd" w:history="1">
        <w:r w:rsidRPr="00903BDC">
          <w:rPr>
            <w:rStyle w:val="Hyperlink"/>
          </w:rPr>
          <w:t>https://www.scribd.com/doc/6495552/An-Astrological-House-Formulary#scribd</w:t>
        </w:r>
      </w:hyperlink>
      <w:r w:rsidRPr="004650F9">
        <w:rPr>
          <w:rStyle w:val="Emphasis"/>
          <w:i w:val="0"/>
          <w:iCs w:val="0"/>
        </w:rPr>
        <w:t>, [accessed 2</w:t>
      </w:r>
      <w:r>
        <w:rPr>
          <w:rStyle w:val="Emphasis"/>
          <w:i w:val="0"/>
          <w:iCs w:val="0"/>
        </w:rPr>
        <w:t>2</w:t>
      </w:r>
      <w:r w:rsidRPr="004650F9">
        <w:rPr>
          <w:rStyle w:val="Emphasis"/>
          <w:i w:val="0"/>
          <w:iCs w:val="0"/>
        </w:rPr>
        <w:t>/6/2</w:t>
      </w:r>
      <w:r>
        <w:rPr>
          <w:rStyle w:val="Emphasis"/>
          <w:i w:val="0"/>
          <w:iCs w:val="0"/>
        </w:rPr>
        <w:t>1</w:t>
      </w:r>
      <w:r w:rsidRPr="004650F9">
        <w:rPr>
          <w:rStyle w:val="Emphasis"/>
          <w:i w:val="0"/>
          <w:iCs w:val="0"/>
        </w:rPr>
        <w:t xml:space="preserve">]; Tompkins, </w:t>
      </w:r>
      <w:r w:rsidRPr="006C5844">
        <w:rPr>
          <w:rStyle w:val="Emphasis"/>
        </w:rPr>
        <w:t>The Contemporary Astrologer's Handbook</w:t>
      </w:r>
      <w:r>
        <w:rPr>
          <w:rStyle w:val="Emphasis"/>
          <w:i w:val="0"/>
          <w:iCs w:val="0"/>
        </w:rPr>
        <w:t>, p.245</w:t>
      </w:r>
    </w:p>
  </w:footnote>
  <w:footnote w:id="25">
    <w:p w14:paraId="15EB6677" w14:textId="68A93FA4" w:rsidR="00105F83" w:rsidRDefault="00105F83">
      <w:pPr>
        <w:pStyle w:val="FootnoteText"/>
      </w:pPr>
      <w:r>
        <w:rPr>
          <w:rStyle w:val="FootnoteReference"/>
        </w:rPr>
        <w:footnoteRef/>
      </w:r>
      <w:r>
        <w:t xml:space="preserve"> </w:t>
      </w:r>
      <w:r w:rsidRPr="00D04F01">
        <w:t xml:space="preserve">Dorian Gieseler Greenbaum, </w:t>
      </w:r>
      <w:r w:rsidRPr="00D04F01">
        <w:rPr>
          <w:i/>
          <w:iCs/>
        </w:rPr>
        <w:t>The Daimon in Hellenistic Astrology: Origins and Influence Ancient Magic and Divination</w:t>
      </w:r>
      <w:r>
        <w:rPr>
          <w:i/>
          <w:iCs/>
        </w:rPr>
        <w:t>,</w:t>
      </w:r>
      <w:r w:rsidRPr="00D04F01">
        <w:t xml:space="preserve"> Volume 11 (Brill, 201</w:t>
      </w:r>
      <w:r>
        <w:t>6</w:t>
      </w:r>
      <w:r w:rsidRPr="00D04F01">
        <w:t>)</w:t>
      </w:r>
      <w:r>
        <w:t>, p.61;</w:t>
      </w:r>
      <w:r w:rsidRPr="007064CD">
        <w:t xml:space="preserve"> </w:t>
      </w:r>
      <w:r>
        <w:t xml:space="preserve">Bowen </w:t>
      </w:r>
      <w:r w:rsidRPr="007064CD">
        <w:t xml:space="preserve">and Rochberg, </w:t>
      </w:r>
      <w:r w:rsidRPr="007064CD">
        <w:rPr>
          <w:i/>
          <w:iCs/>
        </w:rPr>
        <w:t>Hellenistic Astronomy</w:t>
      </w:r>
      <w:r>
        <w:rPr>
          <w:i/>
          <w:iCs/>
        </w:rPr>
        <w:t xml:space="preserve">, </w:t>
      </w:r>
      <w:r>
        <w:t>p.461, p.516.</w:t>
      </w:r>
    </w:p>
  </w:footnote>
  <w:footnote w:id="26">
    <w:p w14:paraId="2A3BD0B4" w14:textId="74D8CE32" w:rsidR="00105F83" w:rsidRDefault="00105F83">
      <w:pPr>
        <w:pStyle w:val="FootnoteText"/>
      </w:pPr>
      <w:r>
        <w:rPr>
          <w:rStyle w:val="FootnoteReference"/>
        </w:rPr>
        <w:footnoteRef/>
      </w:r>
      <w:r>
        <w:t xml:space="preserve"> </w:t>
      </w:r>
      <w:r w:rsidRPr="00D04F01">
        <w:t xml:space="preserve">Greenbaum, </w:t>
      </w:r>
      <w:r w:rsidRPr="00D04F01">
        <w:rPr>
          <w:i/>
          <w:iCs/>
        </w:rPr>
        <w:t>The Daimon in Hellenistic Astrology</w:t>
      </w:r>
      <w:r>
        <w:rPr>
          <w:i/>
          <w:iCs/>
        </w:rPr>
        <w:t xml:space="preserve">, </w:t>
      </w:r>
      <w:r w:rsidRPr="00D712C5">
        <w:t>p.</w:t>
      </w:r>
      <w:r>
        <w:t>261.</w:t>
      </w:r>
    </w:p>
  </w:footnote>
  <w:footnote w:id="27">
    <w:p w14:paraId="76FEFF5F" w14:textId="33BE8F69" w:rsidR="00105F83" w:rsidRPr="009F73B3" w:rsidRDefault="00105F83">
      <w:pPr>
        <w:pStyle w:val="FootnoteText"/>
      </w:pPr>
      <w:r>
        <w:rPr>
          <w:rStyle w:val="FootnoteReference"/>
        </w:rPr>
        <w:footnoteRef/>
      </w:r>
      <w:r>
        <w:t xml:space="preserve"> Tompkins, </w:t>
      </w:r>
      <w:r w:rsidRPr="0031082B">
        <w:rPr>
          <w:i/>
          <w:iCs/>
        </w:rPr>
        <w:t>The Contemporary Astrologer's Handbook</w:t>
      </w:r>
      <w:r w:rsidRPr="009F73B3">
        <w:t>, p.245.</w:t>
      </w:r>
    </w:p>
  </w:footnote>
  <w:footnote w:id="28">
    <w:p w14:paraId="1B0EB3B9" w14:textId="5995326C" w:rsidR="00105F83" w:rsidRDefault="00105F83">
      <w:pPr>
        <w:pStyle w:val="FootnoteText"/>
      </w:pPr>
      <w:r>
        <w:rPr>
          <w:rStyle w:val="FootnoteReference"/>
        </w:rPr>
        <w:footnoteRef/>
      </w:r>
      <w:r>
        <w:t xml:space="preserve"> </w:t>
      </w:r>
      <w:r w:rsidRPr="00A808E6">
        <w:t xml:space="preserve">Jean L. Brau, Helen Weaver, and Allan Edmands, </w:t>
      </w:r>
      <w:r w:rsidRPr="00A808E6">
        <w:rPr>
          <w:i/>
          <w:iCs/>
        </w:rPr>
        <w:t>Larousse Encyclopedia of Astrology</w:t>
      </w:r>
      <w:r w:rsidRPr="00A808E6">
        <w:t>, (McGraw-Hill, 1980)</w:t>
      </w:r>
      <w:r>
        <w:t xml:space="preserve">; </w:t>
      </w:r>
      <w:r w:rsidRPr="00A764ED">
        <w:t>R</w:t>
      </w:r>
      <w:r>
        <w:t xml:space="preserve">alph </w:t>
      </w:r>
      <w:r w:rsidRPr="00A764ED">
        <w:t xml:space="preserve">W. Holden, </w:t>
      </w:r>
      <w:r w:rsidRPr="00A764ED">
        <w:rPr>
          <w:i/>
          <w:iCs/>
        </w:rPr>
        <w:t>The Elements of House Division</w:t>
      </w:r>
      <w:r>
        <w:t>,</w:t>
      </w:r>
      <w:r w:rsidRPr="00A764ED">
        <w:t xml:space="preserve"> (L. N. Fowler, 1977)</w:t>
      </w:r>
      <w:r>
        <w:t>, pp.139-140.</w:t>
      </w:r>
    </w:p>
  </w:footnote>
  <w:footnote w:id="29">
    <w:p w14:paraId="40B78D91" w14:textId="34E9DA67" w:rsidR="00105F83" w:rsidRDefault="00105F83">
      <w:pPr>
        <w:pStyle w:val="FootnoteText"/>
      </w:pPr>
      <w:r>
        <w:rPr>
          <w:rStyle w:val="FootnoteReference"/>
        </w:rPr>
        <w:footnoteRef/>
      </w:r>
      <w:r>
        <w:t xml:space="preserve"> Brau, Weaver and Edmans, </w:t>
      </w:r>
      <w:r w:rsidRPr="00A808E6">
        <w:rPr>
          <w:i/>
          <w:iCs/>
        </w:rPr>
        <w:t>Larousse Encyclopedia of Astrology</w:t>
      </w:r>
      <w:r>
        <w:rPr>
          <w:i/>
          <w:iCs/>
        </w:rPr>
        <w:t>,</w:t>
      </w:r>
      <w:r w:rsidRPr="00911472">
        <w:t xml:space="preserve"> p.141.</w:t>
      </w:r>
    </w:p>
  </w:footnote>
  <w:footnote w:id="30">
    <w:p w14:paraId="7F279FCC" w14:textId="77777777" w:rsidR="00105F83" w:rsidRDefault="00105F83" w:rsidP="00D6312C">
      <w:pPr>
        <w:pStyle w:val="FootnoteText"/>
      </w:pPr>
      <w:r>
        <w:rPr>
          <w:rStyle w:val="FootnoteReference"/>
        </w:rPr>
        <w:footnoteRef/>
      </w:r>
      <w:r>
        <w:t xml:space="preserve"> </w:t>
      </w:r>
      <w:r w:rsidRPr="0080434A">
        <w:t xml:space="preserve">Jerome, </w:t>
      </w:r>
      <w:r w:rsidRPr="0080434A">
        <w:rPr>
          <w:i/>
          <w:iCs/>
        </w:rPr>
        <w:t>Astrology and Modern Science</w:t>
      </w:r>
      <w:r>
        <w:rPr>
          <w:i/>
          <w:iCs/>
        </w:rPr>
        <w:t xml:space="preserve">, </w:t>
      </w:r>
      <w:r>
        <w:t>pp.121-128.</w:t>
      </w:r>
    </w:p>
  </w:footnote>
  <w:footnote w:id="31">
    <w:p w14:paraId="73CAD289" w14:textId="20A70141" w:rsidR="00105F83" w:rsidRDefault="00105F83">
      <w:pPr>
        <w:pStyle w:val="FootnoteText"/>
      </w:pPr>
      <w:r>
        <w:rPr>
          <w:rStyle w:val="FootnoteReference"/>
        </w:rPr>
        <w:footnoteRef/>
      </w:r>
      <w:r>
        <w:t xml:space="preserve"> Frank Jevons, </w:t>
      </w:r>
      <w:r w:rsidRPr="006F14AC">
        <w:rPr>
          <w:i/>
          <w:iCs/>
        </w:rPr>
        <w:t>Introduction to the History of Religions</w:t>
      </w:r>
      <w:r>
        <w:t xml:space="preserve"> (London: Methuen, 1896), pp.398-414.</w:t>
      </w:r>
    </w:p>
  </w:footnote>
  <w:footnote w:id="32">
    <w:p w14:paraId="6C06D68F" w14:textId="342C4E56" w:rsidR="00105F83" w:rsidRDefault="00105F83" w:rsidP="004E3116">
      <w:pPr>
        <w:pStyle w:val="FootnoteText"/>
      </w:pPr>
      <w:r>
        <w:rPr>
          <w:rStyle w:val="FootnoteReference"/>
        </w:rPr>
        <w:footnoteRef/>
      </w:r>
      <w:r>
        <w:t xml:space="preserve"> </w:t>
      </w:r>
      <w:r w:rsidRPr="00F07EC3">
        <w:t xml:space="preserve">G. G. Iggers, </w:t>
      </w:r>
      <w:r w:rsidRPr="00F07EC3">
        <w:rPr>
          <w:i/>
          <w:iCs/>
        </w:rPr>
        <w:t>Historiography in the Twentieth Century: From Scientific Objectivity to the Postmodern Challenge</w:t>
      </w:r>
      <w:r>
        <w:rPr>
          <w:i/>
          <w:iCs/>
        </w:rPr>
        <w:t>,</w:t>
      </w:r>
      <w:r w:rsidRPr="00F07EC3">
        <w:t xml:space="preserve"> (Wesleyan University Press, 2005)</w:t>
      </w:r>
      <w:r>
        <w:t xml:space="preserve">, pp.1-19.; </w:t>
      </w:r>
      <w:r w:rsidRPr="007361FA">
        <w:t xml:space="preserve">Evans, </w:t>
      </w:r>
      <w:r w:rsidRPr="007361FA">
        <w:rPr>
          <w:i/>
        </w:rPr>
        <w:t>In Defence of History</w:t>
      </w:r>
      <w:r>
        <w:t>, pp.1-12</w:t>
      </w:r>
      <w:r w:rsidRPr="007361FA">
        <w:t>.</w:t>
      </w:r>
    </w:p>
  </w:footnote>
  <w:footnote w:id="33">
    <w:p w14:paraId="6DF93957" w14:textId="772F4E56" w:rsidR="00105F83" w:rsidRDefault="00105F83">
      <w:pPr>
        <w:pStyle w:val="FootnoteText"/>
      </w:pPr>
      <w:r>
        <w:rPr>
          <w:rStyle w:val="FootnoteReference"/>
        </w:rPr>
        <w:footnoteRef/>
      </w:r>
      <w:r>
        <w:t xml:space="preserve"> Derrida, </w:t>
      </w:r>
      <w:r w:rsidRPr="000049CF">
        <w:rPr>
          <w:i/>
          <w:iCs/>
        </w:rPr>
        <w:t>Of Grammatology</w:t>
      </w:r>
      <w:r>
        <w:t xml:space="preserve">, pp.158-159; </w:t>
      </w:r>
      <w:r w:rsidRPr="007F20BB">
        <w:t xml:space="preserve">Foucault, </w:t>
      </w:r>
      <w:r w:rsidRPr="007F20BB">
        <w:rPr>
          <w:i/>
          <w:iCs/>
        </w:rPr>
        <w:t>Language, Counter-Memory, Practice</w:t>
      </w:r>
      <w:r w:rsidRPr="007F20BB">
        <w:t xml:space="preserve">, p.153. </w:t>
      </w:r>
    </w:p>
  </w:footnote>
  <w:footnote w:id="34">
    <w:p w14:paraId="1E33EE6F" w14:textId="4DC92371" w:rsidR="00105F83" w:rsidRDefault="00105F83">
      <w:pPr>
        <w:pStyle w:val="FootnoteText"/>
      </w:pPr>
      <w:r>
        <w:rPr>
          <w:rStyle w:val="FootnoteReference"/>
        </w:rPr>
        <w:footnoteRef/>
      </w:r>
      <w:r>
        <w:t xml:space="preserve"> Iggers,</w:t>
      </w:r>
      <w:r w:rsidRPr="00546151">
        <w:rPr>
          <w:i/>
          <w:iCs/>
        </w:rPr>
        <w:t xml:space="preserve"> </w:t>
      </w:r>
      <w:r w:rsidRPr="00F07EC3">
        <w:rPr>
          <w:i/>
          <w:iCs/>
        </w:rPr>
        <w:t>Historiography in the Twentieth Century</w:t>
      </w:r>
      <w:r>
        <w:rPr>
          <w:i/>
          <w:iCs/>
        </w:rPr>
        <w:t xml:space="preserve">, </w:t>
      </w:r>
      <w:r>
        <w:t xml:space="preserve">p.103.; Evans, </w:t>
      </w:r>
      <w:r w:rsidRPr="00234B08">
        <w:rPr>
          <w:i/>
          <w:iCs/>
        </w:rPr>
        <w:t>In Defence of History,</w:t>
      </w:r>
      <w:r>
        <w:t xml:space="preserve"> pp.129.</w:t>
      </w:r>
    </w:p>
  </w:footnote>
  <w:footnote w:id="35">
    <w:p w14:paraId="434CB266" w14:textId="5759B88F" w:rsidR="00105F83" w:rsidRDefault="00105F83">
      <w:pPr>
        <w:pStyle w:val="FootnoteText"/>
      </w:pPr>
      <w:r>
        <w:rPr>
          <w:rStyle w:val="FootnoteReference"/>
        </w:rPr>
        <w:footnoteRef/>
      </w:r>
      <w:r>
        <w:t xml:space="preserve"> </w:t>
      </w:r>
      <w:r w:rsidRPr="009B3E45">
        <w:t xml:space="preserve">Roy Willis and Patrick Curry, </w:t>
      </w:r>
      <w:r w:rsidRPr="009B3E45">
        <w:rPr>
          <w:i/>
          <w:iCs/>
        </w:rPr>
        <w:t>Astrology Science and Culture, Pulling down the moon</w:t>
      </w:r>
      <w:r>
        <w:rPr>
          <w:i/>
          <w:iCs/>
        </w:rPr>
        <w:t>,</w:t>
      </w:r>
      <w:r w:rsidRPr="009B3E45">
        <w:t xml:space="preserve"> (New York Berg, 2004), p.6</w:t>
      </w:r>
      <w:r>
        <w:t>1</w:t>
      </w:r>
      <w:r w:rsidRPr="009B3E45">
        <w:t>.</w:t>
      </w:r>
    </w:p>
  </w:footnote>
  <w:footnote w:id="36">
    <w:p w14:paraId="7BA47E98" w14:textId="77777777" w:rsidR="00105F83" w:rsidRDefault="00105F83" w:rsidP="00E16AB4">
      <w:pPr>
        <w:pStyle w:val="FootnoteText"/>
      </w:pPr>
      <w:r>
        <w:rPr>
          <w:rStyle w:val="FootnoteReference"/>
        </w:rPr>
        <w:footnoteRef/>
      </w:r>
      <w:r>
        <w:t xml:space="preserve"> Campion, </w:t>
      </w:r>
      <w:r w:rsidRPr="00861C79">
        <w:rPr>
          <w:i/>
          <w:iCs/>
        </w:rPr>
        <w:t>Astrologies</w:t>
      </w:r>
      <w:r>
        <w:rPr>
          <w:i/>
          <w:iCs/>
        </w:rPr>
        <w:t xml:space="preserve">, </w:t>
      </w:r>
      <w:r>
        <w:t>pp.228,240.; Z</w:t>
      </w:r>
      <w:r w:rsidRPr="00D915F7">
        <w:t xml:space="preserve">ygmunt Bauman, </w:t>
      </w:r>
      <w:r w:rsidRPr="00D915F7">
        <w:rPr>
          <w:i/>
          <w:iCs/>
        </w:rPr>
        <w:t>Intimations of Postmodernity</w:t>
      </w:r>
      <w:r>
        <w:t xml:space="preserve">, </w:t>
      </w:r>
      <w:r w:rsidRPr="00D915F7">
        <w:t>(London: Routledge, 1992), p.vii</w:t>
      </w:r>
      <w:r>
        <w:t>.</w:t>
      </w:r>
    </w:p>
  </w:footnote>
  <w:footnote w:id="37">
    <w:p w14:paraId="011A1524" w14:textId="77777777" w:rsidR="00105F83" w:rsidRDefault="00105F83" w:rsidP="000C03E3">
      <w:pPr>
        <w:pStyle w:val="FootnoteText"/>
      </w:pPr>
      <w:r>
        <w:rPr>
          <w:rStyle w:val="FootnoteReference"/>
        </w:rPr>
        <w:footnoteRef/>
      </w:r>
      <w:r>
        <w:t xml:space="preserve"> </w:t>
      </w:r>
      <w:r w:rsidRPr="00E36A1B">
        <w:t xml:space="preserve">Nicholas Campion, </w:t>
      </w:r>
      <w:r w:rsidRPr="00E36A1B">
        <w:rPr>
          <w:i/>
          <w:iCs/>
        </w:rPr>
        <w:t xml:space="preserve">A History of Western Astrology </w:t>
      </w:r>
      <w:r w:rsidRPr="00E36A1B">
        <w:t>Volume I: The Ancient World</w:t>
      </w:r>
      <w:r>
        <w:t>,</w:t>
      </w:r>
      <w:r w:rsidRPr="00E36A1B">
        <w:t xml:space="preserve"> (Bloomsbury UK, 2009), p.178.</w:t>
      </w:r>
    </w:p>
  </w:footnote>
  <w:footnote w:id="38">
    <w:p w14:paraId="60A9C730" w14:textId="77777777" w:rsidR="00105F83" w:rsidRDefault="00105F83" w:rsidP="000C03E3">
      <w:pPr>
        <w:pStyle w:val="FootnoteText"/>
      </w:pPr>
      <w:r>
        <w:rPr>
          <w:rStyle w:val="FootnoteReference"/>
        </w:rPr>
        <w:footnoteRef/>
      </w:r>
      <w:r>
        <w:t xml:space="preserve"> Project Hindsight, </w:t>
      </w:r>
      <w:r w:rsidRPr="003D4A57">
        <w:rPr>
          <w:i/>
          <w:iCs/>
        </w:rPr>
        <w:t>About Project Hindsight</w:t>
      </w:r>
      <w:r w:rsidRPr="003D4A57">
        <w:t xml:space="preserve">, </w:t>
      </w:r>
      <w:hyperlink r:id="rId3" w:history="1">
        <w:r w:rsidRPr="0004722F">
          <w:rPr>
            <w:rStyle w:val="Hyperlink"/>
          </w:rPr>
          <w:t>http://www.projecthindsight.com/geninfo/about.html</w:t>
        </w:r>
      </w:hyperlink>
      <w:r>
        <w:t xml:space="preserve">, </w:t>
      </w:r>
      <w:r w:rsidRPr="003D4A57">
        <w:t xml:space="preserve">[accessed </w:t>
      </w:r>
      <w:r>
        <w:t>24</w:t>
      </w:r>
      <w:r w:rsidRPr="003D4A57">
        <w:t xml:space="preserve">th </w:t>
      </w:r>
      <w:r>
        <w:t>June</w:t>
      </w:r>
      <w:r w:rsidRPr="003D4A57">
        <w:t xml:space="preserve"> 20</w:t>
      </w:r>
      <w:r>
        <w:t>21</w:t>
      </w:r>
      <w:r w:rsidRPr="003D4A57">
        <w:t>].</w:t>
      </w:r>
    </w:p>
  </w:footnote>
  <w:footnote w:id="39">
    <w:p w14:paraId="5C6FBFB3" w14:textId="171AEF74" w:rsidR="00105F83" w:rsidRDefault="00105F83">
      <w:pPr>
        <w:pStyle w:val="FootnoteText"/>
      </w:pPr>
      <w:r>
        <w:rPr>
          <w:rStyle w:val="FootnoteReference"/>
        </w:rPr>
        <w:footnoteRef/>
      </w:r>
      <w:r>
        <w:t xml:space="preserve"> Project Hindsight, </w:t>
      </w:r>
      <w:r>
        <w:rPr>
          <w:i/>
          <w:iCs/>
        </w:rPr>
        <w:t>Our Mission</w:t>
      </w:r>
      <w:r w:rsidRPr="003D4A57">
        <w:t xml:space="preserve">, </w:t>
      </w:r>
      <w:hyperlink r:id="rId4" w:history="1">
        <w:r w:rsidRPr="0004722F">
          <w:rPr>
            <w:rStyle w:val="Hyperlink"/>
          </w:rPr>
          <w:t>http://www.projecthindsight.com/geninfo/about.html</w:t>
        </w:r>
      </w:hyperlink>
      <w:r>
        <w:t xml:space="preserve">, </w:t>
      </w:r>
      <w:r w:rsidRPr="003D4A57">
        <w:t xml:space="preserve">[accessed </w:t>
      </w:r>
      <w:r>
        <w:t>24</w:t>
      </w:r>
      <w:r w:rsidRPr="003D4A57">
        <w:t xml:space="preserve">th </w:t>
      </w:r>
      <w:r>
        <w:t>June</w:t>
      </w:r>
      <w:r w:rsidRPr="003D4A57">
        <w:t xml:space="preserve"> 20</w:t>
      </w:r>
      <w:r>
        <w:t>21</w:t>
      </w:r>
      <w:r w:rsidRPr="003D4A57">
        <w:t>]</w:t>
      </w:r>
      <w:r>
        <w:t>.</w:t>
      </w:r>
    </w:p>
  </w:footnote>
  <w:footnote w:id="40">
    <w:p w14:paraId="396A0BA8" w14:textId="2E9A4024" w:rsidR="00105F83" w:rsidRDefault="00105F83">
      <w:pPr>
        <w:pStyle w:val="FootnoteText"/>
      </w:pPr>
      <w:r>
        <w:rPr>
          <w:rStyle w:val="FootnoteReference"/>
        </w:rPr>
        <w:footnoteRef/>
      </w:r>
      <w:r>
        <w:t xml:space="preserve"> </w:t>
      </w:r>
      <w:r w:rsidRPr="00565EC9">
        <w:t xml:space="preserve">James Herschel Holden, </w:t>
      </w:r>
      <w:r w:rsidRPr="00565EC9">
        <w:rPr>
          <w:i/>
          <w:iCs/>
        </w:rPr>
        <w:t>A History of Horoscopic Astrology</w:t>
      </w:r>
      <w:r w:rsidRPr="00565EC9">
        <w:t>, Tempe AZ: American Federation of Astrologers, (2006, second edition), p.</w:t>
      </w:r>
      <w:r>
        <w:t xml:space="preserve">12.; Robert Schmidt, </w:t>
      </w:r>
      <w:r w:rsidRPr="000F1681">
        <w:rPr>
          <w:i/>
        </w:rPr>
        <w:t>Eudoxus of Knidos: Founder of Greek Astrology</w:t>
      </w:r>
      <w:r>
        <w:t xml:space="preserve">, </w:t>
      </w:r>
      <w:hyperlink r:id="rId5" w:history="1">
        <w:r w:rsidRPr="008E3CD8">
          <w:rPr>
            <w:rStyle w:val="Hyperlink"/>
          </w:rPr>
          <w:t>http://www.projecthindsight.com</w:t>
        </w:r>
      </w:hyperlink>
      <w:r>
        <w:t xml:space="preserve"> [accessed 2</w:t>
      </w:r>
      <w:r w:rsidRPr="00F74143">
        <w:rPr>
          <w:vertAlign w:val="superscript"/>
        </w:rPr>
        <w:t>nd</w:t>
      </w:r>
      <w:r>
        <w:t xml:space="preserve"> July 2021].</w:t>
      </w:r>
    </w:p>
  </w:footnote>
  <w:footnote w:id="41">
    <w:p w14:paraId="23C72123" w14:textId="140CD8D4" w:rsidR="00105F83" w:rsidRDefault="00105F83">
      <w:pPr>
        <w:pStyle w:val="FootnoteText"/>
      </w:pPr>
      <w:r>
        <w:rPr>
          <w:rStyle w:val="FootnoteReference"/>
        </w:rPr>
        <w:footnoteRef/>
      </w:r>
      <w:r>
        <w:t xml:space="preserve"> Dorian </w:t>
      </w:r>
      <w:r w:rsidRPr="002342B0">
        <w:t xml:space="preserve">Greenbaum, </w:t>
      </w:r>
      <w:r>
        <w:t>Micah Ross</w:t>
      </w:r>
      <w:r w:rsidRPr="002342B0">
        <w:t xml:space="preserve">. </w:t>
      </w:r>
      <w:r w:rsidRPr="002342B0">
        <w:rPr>
          <w:rStyle w:val="Emphasis"/>
        </w:rPr>
        <w:t>The Role of Egypt in t</w:t>
      </w:r>
      <w:r>
        <w:rPr>
          <w:rStyle w:val="Emphasis"/>
        </w:rPr>
        <w:t>he Development of the Horoscope</w:t>
      </w:r>
      <w:r w:rsidRPr="002342B0">
        <w:t>, Egypt in Transition: Social and Religious Development of Egypt in the First Millennium BCE (Prague: Czech Institute of Egyptology, Faculty of Arts, Charles University in Prague</w:t>
      </w:r>
      <w:r>
        <w:t>, 2010), pp.149-153.</w:t>
      </w:r>
    </w:p>
  </w:footnote>
  <w:footnote w:id="42">
    <w:p w14:paraId="699FEC37" w14:textId="5B8CCC20" w:rsidR="00105F83" w:rsidRDefault="00105F83">
      <w:pPr>
        <w:pStyle w:val="FootnoteText"/>
      </w:pPr>
      <w:r>
        <w:rPr>
          <w:rStyle w:val="FootnoteReference"/>
        </w:rPr>
        <w:footnoteRef/>
      </w:r>
      <w:r>
        <w:t xml:space="preserve"> Evans,</w:t>
      </w:r>
      <w:r w:rsidRPr="007361FA">
        <w:t xml:space="preserve"> </w:t>
      </w:r>
      <w:r w:rsidRPr="007361FA">
        <w:rPr>
          <w:i/>
        </w:rPr>
        <w:t>In Defence of History</w:t>
      </w:r>
      <w:r>
        <w:rPr>
          <w:i/>
        </w:rPr>
        <w:t>,</w:t>
      </w:r>
      <w:r>
        <w:t xml:space="preserve"> p.87.</w:t>
      </w:r>
    </w:p>
  </w:footnote>
  <w:footnote w:id="43">
    <w:p w14:paraId="460FE939" w14:textId="77777777" w:rsidR="00105F83" w:rsidRDefault="00105F83" w:rsidP="00E43FF7">
      <w:pPr>
        <w:pStyle w:val="FootnoteText"/>
      </w:pPr>
      <w:r>
        <w:rPr>
          <w:rStyle w:val="FootnoteReference"/>
        </w:rPr>
        <w:footnoteRef/>
      </w:r>
      <w:r>
        <w:t xml:space="preserve"> Evans,</w:t>
      </w:r>
      <w:r w:rsidRPr="007361FA">
        <w:t xml:space="preserve"> </w:t>
      </w:r>
      <w:r w:rsidRPr="007361FA">
        <w:rPr>
          <w:i/>
        </w:rPr>
        <w:t>In Defence of History</w:t>
      </w:r>
      <w:r>
        <w:rPr>
          <w:i/>
        </w:rPr>
        <w:t>,</w:t>
      </w:r>
      <w:r>
        <w:t xml:space="preserve"> p.86.</w:t>
      </w:r>
    </w:p>
  </w:footnote>
  <w:footnote w:id="44">
    <w:p w14:paraId="6B730EB7" w14:textId="2B17AC93" w:rsidR="00105F83" w:rsidRDefault="00105F83" w:rsidP="00E43FF7">
      <w:pPr>
        <w:pStyle w:val="FootnoteText"/>
      </w:pPr>
      <w:r>
        <w:rPr>
          <w:rStyle w:val="FootnoteReference"/>
        </w:rPr>
        <w:footnoteRef/>
      </w:r>
      <w:r>
        <w:t xml:space="preserve"> </w:t>
      </w:r>
      <w:r w:rsidRPr="001835A1">
        <w:t xml:space="preserve">Schmidt, </w:t>
      </w:r>
      <w:r w:rsidRPr="001835A1">
        <w:rPr>
          <w:i/>
          <w:iCs/>
        </w:rPr>
        <w:t>The So-Called ‘Problem of House Division’</w:t>
      </w:r>
      <w:r w:rsidRPr="001835A1">
        <w:t>, p.8.</w:t>
      </w:r>
    </w:p>
  </w:footnote>
  <w:footnote w:id="45">
    <w:p w14:paraId="02E8D228" w14:textId="2CD3BDC0" w:rsidR="00105F83" w:rsidRDefault="00105F83">
      <w:pPr>
        <w:pStyle w:val="FootnoteText"/>
      </w:pPr>
      <w:r>
        <w:rPr>
          <w:rStyle w:val="FootnoteReference"/>
        </w:rPr>
        <w:footnoteRef/>
      </w:r>
      <w:r>
        <w:t xml:space="preserve"> Robert Schmidt, </w:t>
      </w:r>
      <w:r w:rsidRPr="00934AC8">
        <w:rPr>
          <w:i/>
          <w:iCs/>
        </w:rPr>
        <w:t>House System Conversation:</w:t>
      </w:r>
      <w:r>
        <w:t xml:space="preserve"> </w:t>
      </w:r>
      <w:r w:rsidRPr="001835A1">
        <w:rPr>
          <w:i/>
          <w:iCs/>
        </w:rPr>
        <w:t>The So-Called ‘Problem of House Division’</w:t>
      </w:r>
      <w:r>
        <w:rPr>
          <w:i/>
          <w:iCs/>
        </w:rPr>
        <w:t xml:space="preserve">, 01: Intro, </w:t>
      </w:r>
      <w:r>
        <w:t>24:00-26:00,</w:t>
      </w:r>
      <w:r w:rsidRPr="00675BA4">
        <w:t xml:space="preserve"> </w:t>
      </w:r>
      <w:r w:rsidRPr="001835A1">
        <w:t>Project Hindsight, 2016</w:t>
      </w:r>
      <w:r>
        <w:t>.</w:t>
      </w:r>
      <w:r>
        <w:rPr>
          <w:i/>
          <w:iCs/>
        </w:rPr>
        <w:t xml:space="preserve">  </w:t>
      </w:r>
    </w:p>
  </w:footnote>
  <w:footnote w:id="46">
    <w:p w14:paraId="0ECB0D8E" w14:textId="5F7DFA07" w:rsidR="00105F83" w:rsidRDefault="00105F83" w:rsidP="0067742A">
      <w:pPr>
        <w:pStyle w:val="FootnoteText"/>
      </w:pPr>
      <w:r>
        <w:rPr>
          <w:rStyle w:val="FootnoteReference"/>
        </w:rPr>
        <w:footnoteRef/>
      </w:r>
      <w:r>
        <w:t xml:space="preserve"> </w:t>
      </w:r>
      <w:r w:rsidRPr="00E61AC9">
        <w:t>Hobsbawm,</w:t>
      </w:r>
      <w:r w:rsidR="00F35AC8">
        <w:t xml:space="preserve"> </w:t>
      </w:r>
      <w:r w:rsidRPr="00E61AC9">
        <w:rPr>
          <w:i/>
          <w:iCs/>
        </w:rPr>
        <w:t>The Invention of Tradition</w:t>
      </w:r>
      <w:r w:rsidRPr="00E61AC9">
        <w:t xml:space="preserve">, </w:t>
      </w:r>
      <w:r>
        <w:t>p.1.</w:t>
      </w:r>
    </w:p>
  </w:footnote>
  <w:footnote w:id="47">
    <w:p w14:paraId="7C401116" w14:textId="77777777" w:rsidR="00105F83" w:rsidRDefault="00105F83" w:rsidP="007237DC">
      <w:pPr>
        <w:pStyle w:val="FootnoteText"/>
      </w:pPr>
      <w:r>
        <w:rPr>
          <w:rStyle w:val="FootnoteReference"/>
        </w:rPr>
        <w:footnoteRef/>
      </w:r>
      <w:r>
        <w:t xml:space="preserve"> Hobsbawm, </w:t>
      </w:r>
      <w:r w:rsidRPr="00E61AC9">
        <w:rPr>
          <w:i/>
          <w:iCs/>
        </w:rPr>
        <w:t>The Invention of Tradition</w:t>
      </w:r>
      <w:r>
        <w:rPr>
          <w:i/>
          <w:iCs/>
        </w:rPr>
        <w:t xml:space="preserve">, </w:t>
      </w:r>
      <w:r>
        <w:t>p.2.</w:t>
      </w:r>
    </w:p>
  </w:footnote>
  <w:footnote w:id="48">
    <w:p w14:paraId="67D96B9E" w14:textId="77777777" w:rsidR="00105F83" w:rsidRDefault="00105F83" w:rsidP="00002E9D">
      <w:pPr>
        <w:pStyle w:val="FootnoteText"/>
      </w:pPr>
      <w:r>
        <w:rPr>
          <w:rStyle w:val="FootnoteReference"/>
        </w:rPr>
        <w:footnoteRef/>
      </w:r>
      <w:r>
        <w:t xml:space="preserve"> Nicholas Campion, </w:t>
      </w:r>
      <w:r w:rsidRPr="00E92205">
        <w:rPr>
          <w:i/>
          <w:iCs/>
        </w:rPr>
        <w:t>The Traditional Revival in Modern Astrology: A Preliminary History</w:t>
      </w:r>
      <w:r>
        <w:t xml:space="preserve">, </w:t>
      </w:r>
      <w:hyperlink r:id="rId6" w:history="1">
        <w:r w:rsidRPr="0004722F">
          <w:rPr>
            <w:rStyle w:val="Hyperlink"/>
          </w:rPr>
          <w:t>https://theafi.files.wordpress.com/2011/01/nick-campion_the-traditional-revival1.pdf</w:t>
        </w:r>
      </w:hyperlink>
      <w:r>
        <w:t>, [accessed 1</w:t>
      </w:r>
      <w:r w:rsidRPr="00E92205">
        <w:rPr>
          <w:vertAlign w:val="superscript"/>
        </w:rPr>
        <w:t>st</w:t>
      </w:r>
      <w:r>
        <w:t xml:space="preserve"> May 2021].</w:t>
      </w:r>
    </w:p>
  </w:footnote>
  <w:footnote w:id="49">
    <w:p w14:paraId="21A14810" w14:textId="2DD9FF06" w:rsidR="00105F83" w:rsidRDefault="00105F83" w:rsidP="009D3BAB">
      <w:pPr>
        <w:pStyle w:val="FootnoteText"/>
      </w:pPr>
      <w:r>
        <w:rPr>
          <w:rStyle w:val="FootnoteReference"/>
        </w:rPr>
        <w:footnoteRef/>
      </w:r>
      <w:r>
        <w:t xml:space="preserve"> Holden</w:t>
      </w:r>
      <w:r w:rsidRPr="004B034E">
        <w:t xml:space="preserve">, </w:t>
      </w:r>
      <w:r w:rsidRPr="004B034E">
        <w:rPr>
          <w:i/>
          <w:iCs/>
        </w:rPr>
        <w:t>Ancient House Division</w:t>
      </w:r>
      <w:r w:rsidRPr="004B034E">
        <w:t>,</w:t>
      </w:r>
      <w:r>
        <w:t xml:space="preserve"> </w:t>
      </w:r>
      <w:r w:rsidRPr="004B034E">
        <w:t>pp.19-29</w:t>
      </w:r>
      <w:r>
        <w:t xml:space="preserve">; </w:t>
      </w:r>
      <w:r w:rsidRPr="00D00F35">
        <w:t xml:space="preserve">Neugebauer and Van Hoesen, </w:t>
      </w:r>
      <w:r w:rsidRPr="00D00F35">
        <w:rPr>
          <w:i/>
          <w:iCs/>
        </w:rPr>
        <w:t>Greek Horoscopes</w:t>
      </w:r>
      <w:r w:rsidRPr="00D00F35">
        <w:t xml:space="preserve">, </w:t>
      </w:r>
      <w:r>
        <w:t xml:space="preserve">pp.16-75. </w:t>
      </w:r>
    </w:p>
  </w:footnote>
  <w:footnote w:id="50">
    <w:p w14:paraId="5368E3FB" w14:textId="77777777" w:rsidR="00105F83" w:rsidRDefault="00105F83" w:rsidP="00D72644">
      <w:pPr>
        <w:pStyle w:val="FootnoteText"/>
      </w:pPr>
      <w:r>
        <w:rPr>
          <w:rStyle w:val="FootnoteReference"/>
        </w:rPr>
        <w:footnoteRef/>
      </w:r>
      <w:r>
        <w:t xml:space="preserve"> </w:t>
      </w:r>
      <w:r w:rsidRPr="00CC3655">
        <w:t xml:space="preserve">J. D. North, </w:t>
      </w:r>
      <w:r w:rsidRPr="00CC3655">
        <w:rPr>
          <w:i/>
          <w:iCs/>
        </w:rPr>
        <w:t>Horoscopes and History</w:t>
      </w:r>
      <w:r w:rsidRPr="00CC3655">
        <w:t>, Warburg Institute London: Warburg Institute Surveys and Texts (Warburg Institute, University of London, 1986).</w:t>
      </w:r>
    </w:p>
  </w:footnote>
  <w:footnote w:id="51">
    <w:p w14:paraId="2ABCB5F5" w14:textId="77777777" w:rsidR="00105F83" w:rsidRDefault="00105F83" w:rsidP="00D72644">
      <w:pPr>
        <w:pStyle w:val="FootnoteText"/>
      </w:pPr>
      <w:r>
        <w:rPr>
          <w:rStyle w:val="FootnoteReference"/>
        </w:rPr>
        <w:footnoteRef/>
      </w:r>
      <w:r>
        <w:t xml:space="preserve"> </w:t>
      </w:r>
      <w:r w:rsidRPr="00A808E6">
        <w:t xml:space="preserve">Jean L. Brau, Helen Weaver, and Allan Edmands, </w:t>
      </w:r>
      <w:r w:rsidRPr="00A808E6">
        <w:rPr>
          <w:i/>
          <w:iCs/>
        </w:rPr>
        <w:t>Larousse Encyclopedia of Astrology</w:t>
      </w:r>
      <w:r w:rsidRPr="00A808E6">
        <w:t>, (McGraw-Hill, 1980)</w:t>
      </w:r>
      <w:r>
        <w:t xml:space="preserve">; </w:t>
      </w:r>
      <w:r w:rsidRPr="00A764ED">
        <w:t>R</w:t>
      </w:r>
      <w:r>
        <w:t xml:space="preserve">alph </w:t>
      </w:r>
      <w:r w:rsidRPr="00A764ED">
        <w:t xml:space="preserve">W. Holden, </w:t>
      </w:r>
      <w:r w:rsidRPr="00A764ED">
        <w:rPr>
          <w:i/>
          <w:iCs/>
        </w:rPr>
        <w:t>The Elements of House Division</w:t>
      </w:r>
      <w:r>
        <w:t>,</w:t>
      </w:r>
      <w:r w:rsidRPr="00A764ED">
        <w:t xml:space="preserve"> (L. N. Fowler, 1977).</w:t>
      </w:r>
    </w:p>
  </w:footnote>
  <w:footnote w:id="52">
    <w:p w14:paraId="1D11AD7F" w14:textId="77777777" w:rsidR="00105F83" w:rsidRDefault="00105F83" w:rsidP="008F307F">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pp.7-8.</w:t>
      </w:r>
    </w:p>
  </w:footnote>
  <w:footnote w:id="53">
    <w:p w14:paraId="6F578B81" w14:textId="54F89679" w:rsidR="00105F83" w:rsidRDefault="00105F8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w:t>
      </w:r>
      <w:r>
        <w:t xml:space="preserve">. 2; Neugebauer and Van Hoesen, </w:t>
      </w:r>
      <w:r w:rsidRPr="00193E52">
        <w:rPr>
          <w:i/>
          <w:iCs/>
        </w:rPr>
        <w:t>Greek Horoscopes</w:t>
      </w:r>
      <w:r>
        <w:rPr>
          <w:i/>
          <w:iCs/>
        </w:rPr>
        <w:t xml:space="preserve">, </w:t>
      </w:r>
      <w:r w:rsidRPr="00193E52">
        <w:t>p</w:t>
      </w:r>
      <w:r>
        <w:t>. 7.</w:t>
      </w:r>
    </w:p>
  </w:footnote>
  <w:footnote w:id="54">
    <w:p w14:paraId="10344B5A" w14:textId="065E2137" w:rsidR="00105F83" w:rsidRDefault="00105F83">
      <w:pPr>
        <w:pStyle w:val="FootnoteText"/>
      </w:pPr>
      <w:r>
        <w:rPr>
          <w:rStyle w:val="FootnoteReference"/>
        </w:rPr>
        <w:footnoteRef/>
      </w:r>
      <w:r>
        <w:t xml:space="preserve"> August </w:t>
      </w:r>
      <w:r w:rsidRPr="00F70233">
        <w:t>Bouché</w:t>
      </w:r>
      <w:r>
        <w:t>-</w:t>
      </w:r>
      <w:r w:rsidRPr="00F70233">
        <w:t xml:space="preserve">Leclercq, </w:t>
      </w:r>
      <w:r>
        <w:t xml:space="preserve">Fig. 31 ‘Les douze lieux du cercle de la géniture‘, </w:t>
      </w:r>
      <w:r w:rsidRPr="00F70233">
        <w:rPr>
          <w:i/>
          <w:iCs/>
        </w:rPr>
        <w:t>L'Astrologie Grecque</w:t>
      </w:r>
      <w:r w:rsidRPr="00F70233">
        <w:t>, Paris: Ernest Leroux, 1899</w:t>
      </w:r>
      <w:r>
        <w:t>, p.280.</w:t>
      </w:r>
    </w:p>
  </w:footnote>
  <w:footnote w:id="55">
    <w:p w14:paraId="6BE3F988" w14:textId="77777777" w:rsidR="00105F83" w:rsidRPr="000F69B8" w:rsidRDefault="00105F83" w:rsidP="00371615">
      <w:pPr>
        <w:pStyle w:val="FootnoteText"/>
      </w:pPr>
      <w:r>
        <w:rPr>
          <w:rStyle w:val="FootnoteReference"/>
        </w:rPr>
        <w:footnoteRef/>
      </w:r>
      <w:r>
        <w:t xml:space="preserve"> </w:t>
      </w:r>
      <w:r w:rsidRPr="00F70233">
        <w:t>Bouché</w:t>
      </w:r>
      <w:r>
        <w:t>-</w:t>
      </w:r>
      <w:r w:rsidRPr="00F70233">
        <w:t xml:space="preserve">Leclercq, </w:t>
      </w:r>
      <w:r w:rsidRPr="00F70233">
        <w:rPr>
          <w:i/>
          <w:iCs/>
        </w:rPr>
        <w:t>L'Astrologie Grecque</w:t>
      </w:r>
      <w:r>
        <w:rPr>
          <w:i/>
          <w:iCs/>
        </w:rPr>
        <w:t xml:space="preserve">, </w:t>
      </w:r>
      <w:r>
        <w:t xml:space="preserve">‘leur </w:t>
      </w:r>
      <w:r w:rsidRPr="000F69B8">
        <w:t>système</w:t>
      </w:r>
      <w:r>
        <w:t xml:space="preserve">, </w:t>
      </w:r>
      <w:r w:rsidRPr="000F69B8">
        <w:t>conçu indépendant des signes du Zodiaque, n'a fait que se superposer à l'autre</w:t>
      </w:r>
      <w:r>
        <w:t>’ [translation mine], p.274.</w:t>
      </w:r>
    </w:p>
  </w:footnote>
  <w:footnote w:id="56">
    <w:p w14:paraId="2FBB9644" w14:textId="07C20470" w:rsidR="00105F83" w:rsidRDefault="00105F83">
      <w:pPr>
        <w:pStyle w:val="FootnoteText"/>
      </w:pPr>
      <w:r>
        <w:rPr>
          <w:rStyle w:val="FootnoteReference"/>
        </w:rPr>
        <w:footnoteRef/>
      </w:r>
      <w:r>
        <w:t xml:space="preserve"> </w:t>
      </w:r>
      <w:r w:rsidRPr="00565EC9">
        <w:t xml:space="preserve">Holden, </w:t>
      </w:r>
      <w:r w:rsidRPr="00565EC9">
        <w:rPr>
          <w:i/>
          <w:iCs/>
        </w:rPr>
        <w:t>A History of Horoscopic Astrology</w:t>
      </w:r>
      <w:r w:rsidRPr="00565EC9">
        <w:t>,</w:t>
      </w:r>
      <w:r>
        <w:t xml:space="preserve"> p.34.</w:t>
      </w:r>
    </w:p>
  </w:footnote>
  <w:footnote w:id="57">
    <w:p w14:paraId="0167166C" w14:textId="77777777" w:rsidR="00105F83" w:rsidRDefault="00105F83" w:rsidP="00764867">
      <w:pPr>
        <w:pStyle w:val="FootnoteText"/>
      </w:pPr>
      <w:r>
        <w:rPr>
          <w:rStyle w:val="FootnoteReference"/>
        </w:rPr>
        <w:footnoteRef/>
      </w:r>
      <w:r w:rsidRPr="000E5640">
        <w:t xml:space="preserve"> Robert</w:t>
      </w:r>
      <w:r>
        <w:t xml:space="preserve"> Hand</w:t>
      </w:r>
      <w:r w:rsidRPr="000E5640">
        <w:t xml:space="preserve">, </w:t>
      </w:r>
      <w:r w:rsidRPr="000E5640">
        <w:rPr>
          <w:i/>
          <w:iCs/>
        </w:rPr>
        <w:t>Whole Sign Houses, Oldest House System: An Ancient Method in Modern Application</w:t>
      </w:r>
      <w:r w:rsidRPr="000E5640">
        <w:t>, ARHAT Publications, Reston, VA, 2000</w:t>
      </w:r>
      <w:r>
        <w:t>, p.1.</w:t>
      </w:r>
    </w:p>
  </w:footnote>
  <w:footnote w:id="58">
    <w:p w14:paraId="58195C36" w14:textId="5B8FED80" w:rsidR="00105F83" w:rsidRDefault="00105F83" w:rsidP="00397CF7">
      <w:pPr>
        <w:pStyle w:val="FootnoteText"/>
      </w:pPr>
      <w:r>
        <w:rPr>
          <w:rStyle w:val="FootnoteReference"/>
        </w:rPr>
        <w:footnoteRef/>
      </w:r>
      <w:r>
        <w:t xml:space="preserve"> Robert Hand, </w:t>
      </w:r>
      <w:r w:rsidRPr="0001178B">
        <w:rPr>
          <w:i/>
          <w:iCs/>
        </w:rPr>
        <w:t>Introduction</w:t>
      </w:r>
      <w:r>
        <w:t>, in</w:t>
      </w:r>
      <w:r w:rsidRPr="0001178B">
        <w:t xml:space="preserve"> Vettius</w:t>
      </w:r>
      <w:r>
        <w:t xml:space="preserve"> Valens</w:t>
      </w:r>
      <w:r w:rsidRPr="0001178B">
        <w:t xml:space="preserve">, </w:t>
      </w:r>
      <w:r w:rsidRPr="0001178B">
        <w:rPr>
          <w:i/>
          <w:iCs/>
        </w:rPr>
        <w:t>The Anthology</w:t>
      </w:r>
      <w:r w:rsidRPr="0001178B">
        <w:t>, Book II (concl.)</w:t>
      </w:r>
      <w:r>
        <w:t xml:space="preserve"> &amp;</w:t>
      </w:r>
      <w:r w:rsidRPr="0001178B">
        <w:t xml:space="preserve"> Book III, trans. Robert Schmidt, ed. Robert Hand, The Golden Hind Press, Berkeley Springs, WV, 1994</w:t>
      </w:r>
      <w:r>
        <w:t>, pp.iv-v; Hand</w:t>
      </w:r>
      <w:r w:rsidRPr="000E5640">
        <w:t xml:space="preserve">, </w:t>
      </w:r>
      <w:r w:rsidRPr="000E5640">
        <w:rPr>
          <w:i/>
          <w:iCs/>
        </w:rPr>
        <w:t>Whole Sign Houses</w:t>
      </w:r>
      <w:r>
        <w:rPr>
          <w:i/>
          <w:iCs/>
        </w:rPr>
        <w:t xml:space="preserve">, </w:t>
      </w:r>
      <w:r>
        <w:t>p.13.</w:t>
      </w:r>
    </w:p>
  </w:footnote>
  <w:footnote w:id="59">
    <w:p w14:paraId="17CFC8AA" w14:textId="77CDBBB4" w:rsidR="00105F83" w:rsidRDefault="00105F83" w:rsidP="00E934BF">
      <w:pPr>
        <w:pStyle w:val="FootnoteText"/>
      </w:pPr>
      <w:r>
        <w:rPr>
          <w:rStyle w:val="FootnoteReference"/>
        </w:rPr>
        <w:footnoteRef/>
      </w:r>
      <w:r>
        <w:t xml:space="preserve"> </w:t>
      </w:r>
      <w:r w:rsidRPr="001835A1">
        <w:t xml:space="preserve">Robert H. Schmidt, </w:t>
      </w:r>
      <w:r w:rsidRPr="001835A1">
        <w:rPr>
          <w:i/>
          <w:iCs/>
        </w:rPr>
        <w:t>The So-Called ‘Problem of House Division’: Definitions of Greek Terms and New Translations of Key Passages With Brief Notes &amp; Commentary</w:t>
      </w:r>
      <w:r w:rsidRPr="001835A1">
        <w:t>, Project Hindsight, 2016</w:t>
      </w:r>
      <w:r>
        <w:rPr>
          <w:i/>
          <w:iCs/>
        </w:rPr>
        <w:t xml:space="preserve">, </w:t>
      </w:r>
      <w:r>
        <w:t>p.48.</w:t>
      </w:r>
    </w:p>
  </w:footnote>
  <w:footnote w:id="60">
    <w:p w14:paraId="21DE2469" w14:textId="7CC53508" w:rsidR="00105F83" w:rsidRDefault="00105F83">
      <w:pPr>
        <w:pStyle w:val="FootnoteText"/>
      </w:pPr>
      <w:r>
        <w:rPr>
          <w:rStyle w:val="FootnoteReference"/>
        </w:rPr>
        <w:footnoteRef/>
      </w:r>
      <w:r>
        <w:t xml:space="preserve"> Claudius Ptolemy,</w:t>
      </w:r>
      <w:r w:rsidRPr="00420E16">
        <w:t xml:space="preserve"> </w:t>
      </w:r>
      <w:r>
        <w:rPr>
          <w:i/>
          <w:iCs/>
        </w:rPr>
        <w:t>Tetrabiblos, Book III</w:t>
      </w:r>
      <w:r w:rsidRPr="00420E16">
        <w:t>, trans. Robert Schmidt, ed. Robert Hand, The Golden Hind Press, Berkeley Springs, WV, 199</w:t>
      </w:r>
      <w:r>
        <w:t>6, pp.ix-x.</w:t>
      </w:r>
    </w:p>
  </w:footnote>
  <w:footnote w:id="61">
    <w:p w14:paraId="17DA7605" w14:textId="2E684932" w:rsidR="00105F83" w:rsidRDefault="00105F83">
      <w:pPr>
        <w:pStyle w:val="FootnoteText"/>
      </w:pPr>
      <w:r>
        <w:rPr>
          <w:rStyle w:val="FootnoteReference"/>
        </w:rPr>
        <w:footnoteRef/>
      </w:r>
      <w:r>
        <w:t xml:space="preserve"> </w:t>
      </w:r>
      <w:r w:rsidRPr="001835A1">
        <w:t xml:space="preserve">Schmidt, </w:t>
      </w:r>
      <w:r w:rsidRPr="001835A1">
        <w:rPr>
          <w:i/>
          <w:iCs/>
        </w:rPr>
        <w:t>The So-Called ‘Problem of House Division’</w:t>
      </w:r>
      <w:r>
        <w:rPr>
          <w:i/>
          <w:iCs/>
        </w:rPr>
        <w:t xml:space="preserve">, </w:t>
      </w:r>
      <w:r>
        <w:t>p.48.</w:t>
      </w:r>
    </w:p>
  </w:footnote>
  <w:footnote w:id="62">
    <w:p w14:paraId="38B47CEE" w14:textId="77777777" w:rsidR="00105F83" w:rsidRDefault="00105F83" w:rsidP="002C43D3">
      <w:pPr>
        <w:pStyle w:val="FootnoteText"/>
      </w:pPr>
      <w:r>
        <w:rPr>
          <w:rStyle w:val="FootnoteReference"/>
        </w:rPr>
        <w:footnoteRef/>
      </w:r>
      <w:r>
        <w:t xml:space="preserve"> </w:t>
      </w:r>
      <w:r w:rsidRPr="00D04F01">
        <w:t xml:space="preserve">Greenbaum, </w:t>
      </w:r>
      <w:r w:rsidRPr="00D04F01">
        <w:rPr>
          <w:i/>
          <w:iCs/>
        </w:rPr>
        <w:t>The Daimon in Hellenistic Astrology</w:t>
      </w:r>
      <w:r>
        <w:rPr>
          <w:i/>
          <w:iCs/>
        </w:rPr>
        <w:t xml:space="preserve">, </w:t>
      </w:r>
      <w:r w:rsidRPr="00D712C5">
        <w:t>p.</w:t>
      </w:r>
      <w:r>
        <w:t>261.</w:t>
      </w:r>
    </w:p>
  </w:footnote>
  <w:footnote w:id="63">
    <w:p w14:paraId="7F2990F9" w14:textId="77777777" w:rsidR="00105F83" w:rsidRDefault="00105F83" w:rsidP="002C43D3">
      <w:pPr>
        <w:pStyle w:val="FootnoteText"/>
      </w:pPr>
      <w:r>
        <w:rPr>
          <w:rStyle w:val="FootnoteReference"/>
        </w:rPr>
        <w:footnoteRef/>
      </w:r>
      <w:r>
        <w:t xml:space="preserve"> Benjamin N. Dykes, </w:t>
      </w:r>
      <w:r w:rsidRPr="00D712C5">
        <w:rPr>
          <w:i/>
          <w:iCs/>
        </w:rPr>
        <w:t>Introductions to Traditional Astrology: Abu Mashar &amp; al-Qabisi</w:t>
      </w:r>
      <w:r>
        <w:t>, Cazimi Press, Minneapolis, MN, 2010, p.19.</w:t>
      </w:r>
    </w:p>
  </w:footnote>
  <w:footnote w:id="64">
    <w:p w14:paraId="4BD03DE4" w14:textId="77777777" w:rsidR="00105F83" w:rsidRDefault="00105F83" w:rsidP="00D96BD9">
      <w:pPr>
        <w:pStyle w:val="FootnoteText"/>
      </w:pPr>
      <w:r>
        <w:rPr>
          <w:rStyle w:val="FootnoteReference"/>
        </w:rPr>
        <w:footnoteRef/>
      </w:r>
      <w:r>
        <w:t xml:space="preserve"> ‘</w:t>
      </w:r>
      <w:r w:rsidRPr="00C41CBB">
        <w:rPr>
          <w:i/>
          <w:iCs/>
        </w:rPr>
        <w:t>Whole Sign Houses: The Best System of House Division</w:t>
      </w:r>
      <w:r>
        <w:t>’, The Astrology Podcast, podcast, November 18</w:t>
      </w:r>
      <w:r w:rsidRPr="004479A9">
        <w:rPr>
          <w:vertAlign w:val="superscript"/>
        </w:rPr>
        <w:t>th</w:t>
      </w:r>
      <w:r>
        <w:t xml:space="preserve"> 2015, </w:t>
      </w:r>
      <w:hyperlink r:id="rId7" w:history="1">
        <w:r w:rsidRPr="000E1599">
          <w:rPr>
            <w:rStyle w:val="Hyperlink"/>
          </w:rPr>
          <w:t>https://theastrologypodcast.com/2015/11/21/whole-sign-houses-the-best-system/</w:t>
        </w:r>
      </w:hyperlink>
      <w:r>
        <w:t xml:space="preserve"> [accessed 16</w:t>
      </w:r>
      <w:r w:rsidRPr="004479A9">
        <w:rPr>
          <w:vertAlign w:val="superscript"/>
        </w:rPr>
        <w:t>th</w:t>
      </w:r>
      <w:r>
        <w:t xml:space="preserve"> August 2021].</w:t>
      </w:r>
    </w:p>
  </w:footnote>
  <w:footnote w:id="65">
    <w:p w14:paraId="0EE33A2F" w14:textId="77777777" w:rsidR="00105F83" w:rsidRDefault="00105F83" w:rsidP="00D96BD9">
      <w:pPr>
        <w:pStyle w:val="FootnoteText"/>
      </w:pPr>
      <w:r>
        <w:rPr>
          <w:rStyle w:val="FootnoteReference"/>
        </w:rPr>
        <w:footnoteRef/>
      </w:r>
      <w:r>
        <w:t xml:space="preserve"> ‘</w:t>
      </w:r>
      <w:r w:rsidRPr="00AF6C3A">
        <w:rPr>
          <w:i/>
          <w:iCs/>
        </w:rPr>
        <w:t>The Debate About Ancient Systems of House Division</w:t>
      </w:r>
      <w:r>
        <w:t>’, The Astrology Podcast, podcast, November 26</w:t>
      </w:r>
      <w:r w:rsidRPr="004479A9">
        <w:rPr>
          <w:vertAlign w:val="superscript"/>
        </w:rPr>
        <w:t>th</w:t>
      </w:r>
      <w:r>
        <w:t xml:space="preserve"> 2015,</w:t>
      </w:r>
      <w:r w:rsidRPr="00AF6C3A">
        <w:t xml:space="preserve"> </w:t>
      </w:r>
      <w:hyperlink r:id="rId8" w:history="1">
        <w:r w:rsidRPr="00DE3311">
          <w:rPr>
            <w:rStyle w:val="Hyperlink"/>
          </w:rPr>
          <w:t>https://theastrologypodcast.com/2015/11/26/debate-about-ancient-house-division/</w:t>
        </w:r>
      </w:hyperlink>
      <w:r>
        <w:t>, [accessed 16</w:t>
      </w:r>
      <w:r w:rsidRPr="004479A9">
        <w:rPr>
          <w:vertAlign w:val="superscript"/>
        </w:rPr>
        <w:t>th</w:t>
      </w:r>
      <w:r>
        <w:t xml:space="preserve"> August 2021].</w:t>
      </w:r>
    </w:p>
  </w:footnote>
  <w:footnote w:id="66">
    <w:p w14:paraId="5962A4D6" w14:textId="27369D0A" w:rsidR="00105F83" w:rsidRDefault="00105F83">
      <w:pPr>
        <w:pStyle w:val="FootnoteText"/>
      </w:pPr>
      <w:r>
        <w:rPr>
          <w:rStyle w:val="FootnoteReference"/>
        </w:rPr>
        <w:footnoteRef/>
      </w:r>
      <w:r>
        <w:t xml:space="preserve"> </w:t>
      </w:r>
      <w:r w:rsidRPr="009E1991">
        <w:t xml:space="preserve">Chris Brennan, </w:t>
      </w:r>
      <w:r w:rsidRPr="00170730">
        <w:rPr>
          <w:i/>
          <w:iCs/>
        </w:rPr>
        <w:t xml:space="preserve">Hellenistic Astrology: The Study of </w:t>
      </w:r>
      <w:r>
        <w:rPr>
          <w:i/>
          <w:iCs/>
        </w:rPr>
        <w:t>F</w:t>
      </w:r>
      <w:r w:rsidRPr="00170730">
        <w:rPr>
          <w:i/>
          <w:iCs/>
        </w:rPr>
        <w:t>ate and Fortune</w:t>
      </w:r>
      <w:r>
        <w:t>,</w:t>
      </w:r>
      <w:r w:rsidRPr="009E1991">
        <w:t xml:space="preserve"> (Amor Fati Publications, 2017)</w:t>
      </w:r>
      <w:r>
        <w:t>, pp.386-393.</w:t>
      </w:r>
    </w:p>
  </w:footnote>
  <w:footnote w:id="67">
    <w:p w14:paraId="35260FD1" w14:textId="04C067F8" w:rsidR="00105F83" w:rsidRDefault="00105F83">
      <w:pPr>
        <w:pStyle w:val="FootnoteText"/>
      </w:pPr>
      <w:r>
        <w:rPr>
          <w:rStyle w:val="FootnoteReference"/>
        </w:rPr>
        <w:footnoteRef/>
      </w:r>
      <w:r>
        <w:t xml:space="preserve"> </w:t>
      </w:r>
      <w:r w:rsidRPr="00C051CC">
        <w:t xml:space="preserve">Munkasey, </w:t>
      </w:r>
      <w:r w:rsidRPr="00C051CC">
        <w:rPr>
          <w:i/>
        </w:rPr>
        <w:t>An Astrological House Formulary</w:t>
      </w:r>
      <w:r>
        <w:t>; Tompkins</w:t>
      </w:r>
      <w:r w:rsidRPr="00E25854">
        <w:t xml:space="preserve">, </w:t>
      </w:r>
      <w:r w:rsidRPr="00E25854">
        <w:rPr>
          <w:i/>
        </w:rPr>
        <w:t>The Contemporary Astrologer's Handbook</w:t>
      </w:r>
      <w:r>
        <w:rPr>
          <w:i/>
        </w:rPr>
        <w:t>, p.</w:t>
      </w:r>
      <w:r>
        <w:t>245.</w:t>
      </w:r>
    </w:p>
  </w:footnote>
  <w:footnote w:id="68">
    <w:p w14:paraId="13249C38" w14:textId="2BE292BA" w:rsidR="00105F83" w:rsidRPr="00BD534B" w:rsidRDefault="00105F83" w:rsidP="00D4202A">
      <w:pPr>
        <w:pStyle w:val="FootnoteText"/>
        <w:rPr>
          <w:i/>
          <w:iCs/>
        </w:rPr>
      </w:pPr>
      <w:r>
        <w:rPr>
          <w:rStyle w:val="FootnoteReference"/>
        </w:rPr>
        <w:footnoteRef/>
      </w:r>
      <w:r>
        <w:t xml:space="preserve"> </w:t>
      </w:r>
      <w:r w:rsidRPr="00A94E7F">
        <w:t xml:space="preserve">Chris Brennan, </w:t>
      </w:r>
      <w:r w:rsidRPr="00D4202A">
        <w:rPr>
          <w:i/>
          <w:iCs/>
        </w:rPr>
        <w:t>12 Reasons Why Whole Sign Houses Is The Best House System</w:t>
      </w:r>
      <w:r w:rsidRPr="00A94E7F">
        <w:t>, 21st November 2015, https://theastrologypodcast.com/wp-content/uploads/2015/11/whole-sign-houses.pdf [accessed 16th August 2021]</w:t>
      </w:r>
      <w:r>
        <w:t>; Robert Hand, Foreword, in Deborah</w:t>
      </w:r>
      <w:r w:rsidRPr="00BC1F3C">
        <w:t xml:space="preserve"> Houlding, </w:t>
      </w:r>
      <w:r w:rsidRPr="00BC1F3C">
        <w:rPr>
          <w:i/>
        </w:rPr>
        <w:t>The Houses: Temples of the Sky</w:t>
      </w:r>
      <w:r>
        <w:rPr>
          <w:i/>
        </w:rPr>
        <w:t xml:space="preserve">, </w:t>
      </w:r>
      <w:r w:rsidRPr="008F5A29">
        <w:t>Wessex Astrologer Limited, 2006</w:t>
      </w:r>
      <w:r>
        <w:t xml:space="preserve">, p.vii; Tompkins, </w:t>
      </w:r>
      <w:r w:rsidRPr="00E25854">
        <w:rPr>
          <w:i/>
        </w:rPr>
        <w:t>The Contemporary Astrologer's Handbook</w:t>
      </w:r>
      <w:r>
        <w:rPr>
          <w:i/>
        </w:rPr>
        <w:t xml:space="preserve">, </w:t>
      </w:r>
      <w:r>
        <w:t xml:space="preserve">p.245; </w:t>
      </w:r>
      <w:r w:rsidRPr="00FD2A29">
        <w:t xml:space="preserve">Hank Friedman, </w:t>
      </w:r>
      <w:r w:rsidRPr="00BD534B">
        <w:rPr>
          <w:i/>
          <w:iCs/>
        </w:rPr>
        <w:t>Ending the</w:t>
      </w:r>
    </w:p>
    <w:p w14:paraId="7E89CC35" w14:textId="77777777" w:rsidR="00105F83" w:rsidRDefault="00105F83" w:rsidP="00D4202A">
      <w:pPr>
        <w:pStyle w:val="FootnoteText"/>
      </w:pPr>
      <w:r w:rsidRPr="00BD534B">
        <w:rPr>
          <w:i/>
          <w:iCs/>
        </w:rPr>
        <w:t>War between the Astrologers</w:t>
      </w:r>
      <w:r>
        <w:t xml:space="preserve">, </w:t>
      </w:r>
      <w:r w:rsidRPr="00FD2A29">
        <w:t xml:space="preserve">http://www.soulhealing.com/ending.htm [accessed </w:t>
      </w:r>
    </w:p>
    <w:p w14:paraId="300806DD" w14:textId="076C127B" w:rsidR="00105F83" w:rsidRDefault="00105F83" w:rsidP="00A94E7F">
      <w:pPr>
        <w:pStyle w:val="FootnoteText"/>
      </w:pPr>
      <w:r>
        <w:t>21</w:t>
      </w:r>
      <w:r w:rsidRPr="00FD2A29">
        <w:t>/0</w:t>
      </w:r>
      <w:r>
        <w:t>8</w:t>
      </w:r>
      <w:r w:rsidRPr="00FD2A29">
        <w:t>/2</w:t>
      </w:r>
      <w:r>
        <w:t>1</w:t>
      </w:r>
      <w:r w:rsidRPr="00FD2A29">
        <w:t>].</w:t>
      </w:r>
    </w:p>
  </w:footnote>
  <w:footnote w:id="69">
    <w:p w14:paraId="61113312" w14:textId="77777777" w:rsidR="00105F83" w:rsidRDefault="00105F83" w:rsidP="00145F20">
      <w:pPr>
        <w:pStyle w:val="FootnoteText"/>
      </w:pPr>
      <w:r>
        <w:rPr>
          <w:rStyle w:val="FootnoteReference"/>
        </w:rPr>
        <w:footnoteRef/>
      </w:r>
      <w:r>
        <w:t xml:space="preserve"> North, </w:t>
      </w:r>
      <w:r w:rsidRPr="00CC3655">
        <w:rPr>
          <w:i/>
          <w:iCs/>
        </w:rPr>
        <w:t>Horoscopes and History</w:t>
      </w:r>
      <w:r w:rsidRPr="00CC3655">
        <w:t xml:space="preserve">, </w:t>
      </w:r>
      <w:r>
        <w:t xml:space="preserve">p.7; Neugebauer and Van Hoesen, </w:t>
      </w:r>
      <w:r w:rsidRPr="00FB07E9">
        <w:rPr>
          <w:i/>
          <w:iCs/>
        </w:rPr>
        <w:t>Greek Horoscopes</w:t>
      </w:r>
      <w:r>
        <w:t>, p.35.</w:t>
      </w:r>
    </w:p>
  </w:footnote>
  <w:footnote w:id="70">
    <w:p w14:paraId="6BE11B3E" w14:textId="77777777" w:rsidR="00105F83" w:rsidRDefault="00105F83" w:rsidP="00145F20">
      <w:pPr>
        <w:pStyle w:val="FootnoteText"/>
      </w:pPr>
      <w:r>
        <w:rPr>
          <w:rStyle w:val="FootnoteReference"/>
        </w:rPr>
        <w:footnoteRef/>
      </w:r>
      <w:r>
        <w:t xml:space="preserve"> Neugebauer and Van Hoesen, </w:t>
      </w:r>
      <w:r w:rsidRPr="00FB07E9">
        <w:rPr>
          <w:i/>
          <w:iCs/>
        </w:rPr>
        <w:t>Greek Horoscopes</w:t>
      </w:r>
      <w:r>
        <w:t>, p.35.</w:t>
      </w:r>
    </w:p>
  </w:footnote>
  <w:footnote w:id="71">
    <w:p w14:paraId="3631AFDB" w14:textId="42AC72EE" w:rsidR="00105F83" w:rsidRDefault="00105F83">
      <w:pPr>
        <w:pStyle w:val="FootnoteText"/>
      </w:pPr>
      <w:r>
        <w:rPr>
          <w:rStyle w:val="FootnoteReference"/>
        </w:rPr>
        <w:footnoteRef/>
      </w:r>
      <w:r>
        <w:t xml:space="preserve"> </w:t>
      </w:r>
      <w:r w:rsidRPr="00F70233">
        <w:t>Bouché</w:t>
      </w:r>
      <w:r>
        <w:t>-</w:t>
      </w:r>
      <w:r w:rsidRPr="00F70233">
        <w:t xml:space="preserve">Leclercq, </w:t>
      </w:r>
      <w:r w:rsidRPr="00F70233">
        <w:rPr>
          <w:i/>
          <w:iCs/>
        </w:rPr>
        <w:t>L'Astrologie Grecque</w:t>
      </w:r>
      <w:r>
        <w:rPr>
          <w:i/>
          <w:iCs/>
        </w:rPr>
        <w:t xml:space="preserve">, </w:t>
      </w:r>
      <w:r>
        <w:t>pp.260-269.</w:t>
      </w:r>
    </w:p>
  </w:footnote>
  <w:footnote w:id="72">
    <w:p w14:paraId="0DC078C5" w14:textId="72A0933E" w:rsidR="00105F83" w:rsidRDefault="00105F83">
      <w:pPr>
        <w:pStyle w:val="FootnoteText"/>
      </w:pPr>
      <w:r>
        <w:rPr>
          <w:rStyle w:val="FootnoteReference"/>
        </w:rPr>
        <w:footnoteRef/>
      </w:r>
      <w:r>
        <w:t xml:space="preserve"> </w:t>
      </w:r>
      <w:r w:rsidRPr="00EE5BBB">
        <w:t>Roger</w:t>
      </w:r>
      <w:r>
        <w:t xml:space="preserve"> Beck</w:t>
      </w:r>
      <w:r w:rsidRPr="00EE5BBB">
        <w:t xml:space="preserve">, </w:t>
      </w:r>
      <w:r w:rsidRPr="00EE5BBB">
        <w:rPr>
          <w:i/>
          <w:iCs/>
        </w:rPr>
        <w:t>A Brief History of Ancient Astrology</w:t>
      </w:r>
      <w:r w:rsidRPr="00EE5BBB">
        <w:t>, Wiley Brief Histories of the Ancient World</w:t>
      </w:r>
      <w:r>
        <w:t xml:space="preserve">, </w:t>
      </w:r>
      <w:r w:rsidRPr="00EE5BBB">
        <w:t>Wiley, 2008</w:t>
      </w:r>
      <w:r>
        <w:t>, pp.28-33.</w:t>
      </w:r>
    </w:p>
  </w:footnote>
  <w:footnote w:id="73">
    <w:p w14:paraId="2A4FF149" w14:textId="2CE94121" w:rsidR="00105F83" w:rsidRDefault="00105F83">
      <w:pPr>
        <w:pStyle w:val="FootnoteText"/>
      </w:pPr>
      <w:r>
        <w:rPr>
          <w:rStyle w:val="FootnoteReference"/>
        </w:rPr>
        <w:footnoteRef/>
      </w:r>
      <w:r>
        <w:t xml:space="preserve"> Neugebauer, </w:t>
      </w:r>
      <w:r w:rsidRPr="008B2823">
        <w:rPr>
          <w:i/>
          <w:iCs/>
        </w:rPr>
        <w:t>History of Ancient Mathematical Astronomy</w:t>
      </w:r>
      <w:r>
        <w:rPr>
          <w:i/>
          <w:iCs/>
        </w:rPr>
        <w:t xml:space="preserve">, </w:t>
      </w:r>
      <w:r>
        <w:t>p.40.</w:t>
      </w:r>
    </w:p>
  </w:footnote>
  <w:footnote w:id="74">
    <w:p w14:paraId="52960538" w14:textId="5B3D6E21" w:rsidR="00105F83" w:rsidRDefault="00105F83">
      <w:pPr>
        <w:pStyle w:val="FootnoteText"/>
      </w:pPr>
      <w:r>
        <w:rPr>
          <w:rStyle w:val="FootnoteReference"/>
        </w:rPr>
        <w:footnoteRef/>
      </w:r>
      <w:r>
        <w:t xml:space="preserve"> </w:t>
      </w:r>
      <w:r w:rsidRPr="00F70233">
        <w:t>Bouché</w:t>
      </w:r>
      <w:r>
        <w:t>-</w:t>
      </w:r>
      <w:r w:rsidRPr="00F70233">
        <w:t xml:space="preserve">Leclercq, </w:t>
      </w:r>
      <w:r w:rsidRPr="00F70233">
        <w:rPr>
          <w:i/>
          <w:iCs/>
        </w:rPr>
        <w:t>L'Astrologie Grecque</w:t>
      </w:r>
      <w:r>
        <w:rPr>
          <w:i/>
          <w:iCs/>
        </w:rPr>
        <w:t xml:space="preserve">, </w:t>
      </w:r>
      <w:r>
        <w:t>pp.261-263.</w:t>
      </w:r>
    </w:p>
  </w:footnote>
  <w:footnote w:id="75">
    <w:p w14:paraId="7852D7FD" w14:textId="6C9AEF4A" w:rsidR="00105F83" w:rsidRDefault="00105F83">
      <w:pPr>
        <w:pStyle w:val="FootnoteText"/>
      </w:pPr>
      <w:r>
        <w:rPr>
          <w:rStyle w:val="FootnoteReference"/>
        </w:rPr>
        <w:footnoteRef/>
      </w:r>
      <w:r>
        <w:t xml:space="preserve"> </w:t>
      </w:r>
      <w:r w:rsidRPr="00F70233">
        <w:t>Bouché</w:t>
      </w:r>
      <w:r>
        <w:t>-</w:t>
      </w:r>
      <w:r w:rsidRPr="00F70233">
        <w:t xml:space="preserve">Leclercq, </w:t>
      </w:r>
      <w:r w:rsidRPr="00F70233">
        <w:rPr>
          <w:i/>
          <w:iCs/>
        </w:rPr>
        <w:t>L'Astrologie Grecque</w:t>
      </w:r>
      <w:r>
        <w:rPr>
          <w:i/>
          <w:iCs/>
        </w:rPr>
        <w:t xml:space="preserve">, </w:t>
      </w:r>
      <w:r>
        <w:t>pp.262-263; Valens</w:t>
      </w:r>
      <w:r w:rsidRPr="009762AE">
        <w:t xml:space="preserve">, </w:t>
      </w:r>
      <w:r w:rsidRPr="009762AE">
        <w:rPr>
          <w:i/>
          <w:iCs/>
        </w:rPr>
        <w:t>Anthologies</w:t>
      </w:r>
      <w:r w:rsidRPr="009762AE">
        <w:t>,</w:t>
      </w:r>
      <w:r>
        <w:t xml:space="preserve"> pp.10-11; </w:t>
      </w:r>
    </w:p>
  </w:footnote>
  <w:footnote w:id="76">
    <w:p w14:paraId="5E42EA19" w14:textId="77777777" w:rsidR="00105F83" w:rsidRDefault="00105F83" w:rsidP="00A46004">
      <w:pPr>
        <w:pStyle w:val="FootnoteText"/>
      </w:pPr>
      <w:r>
        <w:rPr>
          <w:rStyle w:val="FootnoteReference"/>
        </w:rPr>
        <w:footnoteRef/>
      </w:r>
      <w:r>
        <w:t xml:space="preserve"> </w:t>
      </w:r>
      <w:r w:rsidRPr="00073782">
        <w:t>Robert</w:t>
      </w:r>
      <w:r>
        <w:t xml:space="preserve"> </w:t>
      </w:r>
      <w:r w:rsidRPr="00073782">
        <w:t>Schmidt</w:t>
      </w:r>
      <w:r>
        <w:t xml:space="preserve">, </w:t>
      </w:r>
      <w:r w:rsidRPr="00073782">
        <w:rPr>
          <w:i/>
          <w:iCs/>
        </w:rPr>
        <w:t>Paulus Alexandrinus Introductory Matters</w:t>
      </w:r>
      <w:r w:rsidRPr="00073782">
        <w:t>, Berkeley Springs, WV: Golden Hind Press, 1993</w:t>
      </w:r>
      <w:r>
        <w:t>, p.69.; Valens</w:t>
      </w:r>
      <w:r w:rsidRPr="009762AE">
        <w:t xml:space="preserve">, </w:t>
      </w:r>
      <w:r w:rsidRPr="009762AE">
        <w:rPr>
          <w:i/>
          <w:iCs/>
        </w:rPr>
        <w:t>Anthologies</w:t>
      </w:r>
      <w:r w:rsidRPr="009762AE">
        <w:t>,</w:t>
      </w:r>
      <w:r>
        <w:t xml:space="preserve"> pp.10-11, p.105.</w:t>
      </w:r>
    </w:p>
  </w:footnote>
  <w:footnote w:id="77">
    <w:p w14:paraId="22B70800" w14:textId="77777777" w:rsidR="00105F83" w:rsidRDefault="00105F83" w:rsidP="00A37ADE">
      <w:pPr>
        <w:pStyle w:val="FootnoteText"/>
      </w:pPr>
      <w:r>
        <w:rPr>
          <w:rStyle w:val="FootnoteReference"/>
        </w:rPr>
        <w:footnoteRef/>
      </w:r>
      <w:r>
        <w:t xml:space="preserve"> Valens, </w:t>
      </w:r>
      <w:r w:rsidRPr="003531D9">
        <w:rPr>
          <w:i/>
          <w:iCs/>
        </w:rPr>
        <w:t>Anthologies</w:t>
      </w:r>
      <w:r>
        <w:t>, p.8.</w:t>
      </w:r>
    </w:p>
  </w:footnote>
  <w:footnote w:id="78">
    <w:p w14:paraId="740B54CA" w14:textId="77777777" w:rsidR="00105F83" w:rsidRDefault="00105F83" w:rsidP="00A37ADE">
      <w:pPr>
        <w:pStyle w:val="FootnoteText"/>
      </w:pPr>
      <w:r>
        <w:rPr>
          <w:rStyle w:val="FootnoteReference"/>
        </w:rPr>
        <w:footnoteRef/>
      </w:r>
      <w:r>
        <w:t xml:space="preserve"> Schmidt, </w:t>
      </w:r>
      <w:r w:rsidRPr="00D5332D">
        <w:rPr>
          <w:i/>
          <w:iCs/>
        </w:rPr>
        <w:t>Paulus Alexandrinus</w:t>
      </w:r>
      <w:r>
        <w:t>, pp.67-68; Gerald J.</w:t>
      </w:r>
      <w:r w:rsidRPr="0005336B">
        <w:t xml:space="preserve"> Toomer,</w:t>
      </w:r>
      <w:r w:rsidRPr="0005336B">
        <w:rPr>
          <w:i/>
          <w:iCs/>
        </w:rPr>
        <w:t>Ptolemy's Almagest</w:t>
      </w:r>
      <w:r w:rsidRPr="0005336B">
        <w:t>, (Duckworth) (Springer New York, 1984)</w:t>
      </w:r>
      <w:r>
        <w:t xml:space="preserve">, Almagest II:9, p.104, Valens, </w:t>
      </w:r>
      <w:r w:rsidRPr="003531D9">
        <w:rPr>
          <w:i/>
          <w:iCs/>
        </w:rPr>
        <w:t>Anthologies</w:t>
      </w:r>
      <w:r>
        <w:t>, p.8.</w:t>
      </w:r>
    </w:p>
  </w:footnote>
  <w:footnote w:id="79">
    <w:p w14:paraId="159B4AD1" w14:textId="77777777" w:rsidR="00105F83" w:rsidRDefault="00105F83" w:rsidP="00A963A2">
      <w:pPr>
        <w:pStyle w:val="FootnoteText"/>
      </w:pPr>
      <w:r>
        <w:rPr>
          <w:rStyle w:val="FootnoteReference"/>
        </w:rPr>
        <w:footnoteRef/>
      </w:r>
      <w:r>
        <w:t xml:space="preserve"> Neugebauer, </w:t>
      </w:r>
      <w:r w:rsidRPr="008B2823">
        <w:rPr>
          <w:i/>
          <w:iCs/>
        </w:rPr>
        <w:t>History of Ancient Mathematical Astronomy</w:t>
      </w:r>
      <w:r>
        <w:rPr>
          <w:i/>
          <w:iCs/>
        </w:rPr>
        <w:t xml:space="preserve">, </w:t>
      </w:r>
      <w:r>
        <w:t>p.41-42.</w:t>
      </w:r>
    </w:p>
  </w:footnote>
  <w:footnote w:id="80">
    <w:p w14:paraId="07EB45BC" w14:textId="301ED15D" w:rsidR="00105F83" w:rsidRDefault="00105F83">
      <w:pPr>
        <w:pStyle w:val="FootnoteText"/>
      </w:pPr>
      <w:r>
        <w:rPr>
          <w:rStyle w:val="FootnoteReference"/>
        </w:rPr>
        <w:footnoteRef/>
      </w:r>
      <w:r>
        <w:t xml:space="preserve"> Valens, </w:t>
      </w:r>
      <w:r w:rsidRPr="00C47BA2">
        <w:rPr>
          <w:i/>
          <w:iCs/>
        </w:rPr>
        <w:t>Anthologies</w:t>
      </w:r>
      <w:r>
        <w:t>, p.10.</w:t>
      </w:r>
    </w:p>
  </w:footnote>
  <w:footnote w:id="81">
    <w:p w14:paraId="41C92B4A" w14:textId="3F470B2E" w:rsidR="00105F83" w:rsidRDefault="00105F83">
      <w:pPr>
        <w:pStyle w:val="FootnoteText"/>
      </w:pPr>
      <w:r>
        <w:rPr>
          <w:rStyle w:val="FootnoteReference"/>
        </w:rPr>
        <w:footnoteRef/>
      </w:r>
      <w:r>
        <w:t xml:space="preserve"> Valens, Anthologies, p.10.</w:t>
      </w:r>
    </w:p>
  </w:footnote>
  <w:footnote w:id="82">
    <w:p w14:paraId="7F67A77A" w14:textId="502BEDAB" w:rsidR="00105F83" w:rsidRDefault="00105F83">
      <w:pPr>
        <w:pStyle w:val="FootnoteText"/>
      </w:pPr>
      <w:r>
        <w:rPr>
          <w:rStyle w:val="FootnoteReference"/>
        </w:rPr>
        <w:footnoteRef/>
      </w:r>
      <w:r>
        <w:t xml:space="preserve"> North, </w:t>
      </w:r>
      <w:r w:rsidRPr="00CC3655">
        <w:rPr>
          <w:i/>
          <w:iCs/>
        </w:rPr>
        <w:t>Horoscopes and History</w:t>
      </w:r>
      <w:r w:rsidRPr="00CC3655">
        <w:t xml:space="preserve">, </w:t>
      </w:r>
      <w:r>
        <w:t>p.7;</w:t>
      </w:r>
    </w:p>
  </w:footnote>
  <w:footnote w:id="83">
    <w:p w14:paraId="521040FC" w14:textId="25D24F73" w:rsidR="00105F83" w:rsidRDefault="00105F83">
      <w:pPr>
        <w:pStyle w:val="FootnoteText"/>
      </w:pPr>
      <w:r>
        <w:rPr>
          <w:rStyle w:val="FootnoteReference"/>
        </w:rPr>
        <w:footnoteRef/>
      </w:r>
      <w:r>
        <w:t xml:space="preserve"> Valens, Anthologies, p.10.</w:t>
      </w:r>
    </w:p>
  </w:footnote>
  <w:footnote w:id="84">
    <w:p w14:paraId="3B3E3DD4"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w:t>
      </w:r>
      <w:r>
        <w:t xml:space="preserve"> p.20, pp.21-28.</w:t>
      </w:r>
    </w:p>
  </w:footnote>
  <w:footnote w:id="85">
    <w:p w14:paraId="5DD6CEE5"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w:t>
      </w:r>
      <w:r w:rsidRPr="001C7DC3">
        <w:t xml:space="preserve"> p.</w:t>
      </w:r>
      <w:r>
        <w:t>58</w:t>
      </w:r>
      <w:r w:rsidRPr="001C7DC3">
        <w:t>.</w:t>
      </w:r>
    </w:p>
  </w:footnote>
  <w:footnote w:id="86">
    <w:p w14:paraId="14CC2214"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pp.</w:t>
      </w:r>
      <w:r>
        <w:t>28-38.</w:t>
      </w:r>
    </w:p>
  </w:footnote>
  <w:footnote w:id="87">
    <w:p w14:paraId="7644088B"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w:t>
      </w:r>
      <w:r>
        <w:t>.31.</w:t>
      </w:r>
    </w:p>
  </w:footnote>
  <w:footnote w:id="88">
    <w:p w14:paraId="2B08ADF0" w14:textId="77777777" w:rsidR="00105F83" w:rsidRDefault="00105F83" w:rsidP="00014F93">
      <w:pPr>
        <w:pStyle w:val="FootnoteText"/>
      </w:pPr>
      <w:r>
        <w:rPr>
          <w:rStyle w:val="FootnoteReference"/>
        </w:rPr>
        <w:footnoteRef/>
      </w:r>
      <w:r>
        <w:t xml:space="preserve"> North, </w:t>
      </w:r>
      <w:r w:rsidRPr="00CC3655">
        <w:rPr>
          <w:i/>
          <w:iCs/>
        </w:rPr>
        <w:t>Horoscopes and History</w:t>
      </w:r>
      <w:r w:rsidRPr="00CC3655">
        <w:t xml:space="preserve">, </w:t>
      </w:r>
      <w:r>
        <w:t>p.7;</w:t>
      </w:r>
    </w:p>
  </w:footnote>
  <w:footnote w:id="89">
    <w:p w14:paraId="0705AA54"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w:t>
      </w:r>
      <w:r>
        <w:t>.32.</w:t>
      </w:r>
    </w:p>
  </w:footnote>
  <w:footnote w:id="90">
    <w:p w14:paraId="7F641FB2" w14:textId="77777777"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w:t>
      </w:r>
      <w:r>
        <w:t>.58.</w:t>
      </w:r>
    </w:p>
  </w:footnote>
  <w:footnote w:id="91">
    <w:p w14:paraId="3F20DEEF" w14:textId="04E159F9" w:rsidR="00105F83" w:rsidRDefault="00105F83" w:rsidP="00014F93">
      <w:pPr>
        <w:pStyle w:val="FootnoteText"/>
      </w:pPr>
      <w:r>
        <w:rPr>
          <w:rStyle w:val="FootnoteReference"/>
        </w:rPr>
        <w:footnoteRef/>
      </w:r>
      <w:r>
        <w:t xml:space="preserve"> Neugebauer and Van Hoesen, </w:t>
      </w:r>
      <w:r w:rsidRPr="00193E52">
        <w:rPr>
          <w:i/>
          <w:iCs/>
        </w:rPr>
        <w:t>Greek Horoscopes</w:t>
      </w:r>
      <w:r>
        <w:rPr>
          <w:i/>
          <w:iCs/>
        </w:rPr>
        <w:t xml:space="preserve">, </w:t>
      </w:r>
      <w:r w:rsidRPr="00193E52">
        <w:t>p</w:t>
      </w:r>
      <w:r>
        <w:t xml:space="preserve">.58; Neugebauer and Van Hoesen, </w:t>
      </w:r>
      <w:r w:rsidRPr="00193E52">
        <w:rPr>
          <w:i/>
          <w:iCs/>
        </w:rPr>
        <w:t>Greek Horoscopes</w:t>
      </w:r>
      <w:r>
        <w:rPr>
          <w:i/>
          <w:iCs/>
        </w:rPr>
        <w:t xml:space="preserve">, </w:t>
      </w:r>
      <w:r w:rsidRPr="00193E52">
        <w:t>p</w:t>
      </w:r>
      <w:r>
        <w:t>.49.</w:t>
      </w:r>
    </w:p>
  </w:footnote>
  <w:footnote w:id="92">
    <w:p w14:paraId="6E18F700" w14:textId="1167498F" w:rsidR="00105F83" w:rsidRDefault="00105F83" w:rsidP="00014F93">
      <w:pPr>
        <w:pStyle w:val="FootnoteText"/>
      </w:pPr>
      <w:r>
        <w:rPr>
          <w:rStyle w:val="FootnoteReference"/>
        </w:rPr>
        <w:footnoteRef/>
      </w:r>
      <w:r>
        <w:t xml:space="preserve"> Brennan, </w:t>
      </w:r>
      <w:r w:rsidRPr="00C45E25">
        <w:rPr>
          <w:i/>
          <w:iCs/>
        </w:rPr>
        <w:t>Hellenistic Astrology</w:t>
      </w:r>
      <w:r>
        <w:t>, p.373.</w:t>
      </w:r>
    </w:p>
  </w:footnote>
  <w:footnote w:id="93">
    <w:p w14:paraId="700F1DCC" w14:textId="77777777" w:rsidR="00105F83" w:rsidRDefault="00105F83" w:rsidP="00F06678">
      <w:pPr>
        <w:pStyle w:val="FootnoteText"/>
      </w:pPr>
      <w:r>
        <w:rPr>
          <w:rStyle w:val="FootnoteReference"/>
        </w:rPr>
        <w:footnoteRef/>
      </w:r>
      <w:r>
        <w:t xml:space="preserve"> </w:t>
      </w:r>
      <w:r w:rsidRPr="007A68A3">
        <w:t xml:space="preserve">Manilius, </w:t>
      </w:r>
      <w:r w:rsidRPr="007A68A3">
        <w:rPr>
          <w:i/>
          <w:iCs/>
        </w:rPr>
        <w:t>Astronomica</w:t>
      </w:r>
      <w:r>
        <w:rPr>
          <w:i/>
          <w:iCs/>
        </w:rPr>
        <w:t>, pp.xi-cv</w:t>
      </w:r>
      <w:r>
        <w:t xml:space="preserve">; </w:t>
      </w:r>
      <w:r w:rsidRPr="00ED77C8">
        <w:t xml:space="preserve">Holden, </w:t>
      </w:r>
      <w:r w:rsidRPr="00ED77C8">
        <w:rPr>
          <w:i/>
          <w:iCs/>
        </w:rPr>
        <w:t>A History of Horoscopic Astrology</w:t>
      </w:r>
      <w:r>
        <w:t>, p.23.</w:t>
      </w:r>
    </w:p>
  </w:footnote>
  <w:footnote w:id="94">
    <w:p w14:paraId="0EF71BD7" w14:textId="77777777" w:rsidR="00105F83" w:rsidRDefault="00105F83" w:rsidP="00F06678">
      <w:pPr>
        <w:pStyle w:val="FootnoteText"/>
      </w:pPr>
      <w:r>
        <w:rPr>
          <w:rStyle w:val="FootnoteReference"/>
        </w:rPr>
        <w:footnoteRef/>
      </w:r>
      <w:r>
        <w:t xml:space="preserve"> </w:t>
      </w:r>
      <w:r w:rsidRPr="007A4B00">
        <w:t>K</w:t>
      </w:r>
      <w:r>
        <w:t>atharina</w:t>
      </w:r>
      <w:r w:rsidRPr="007A4B00">
        <w:t xml:space="preserve"> Volk, </w:t>
      </w:r>
      <w:r w:rsidRPr="007A4B00">
        <w:rPr>
          <w:i/>
          <w:iCs/>
        </w:rPr>
        <w:t>Manilius and His Intellectual Background</w:t>
      </w:r>
      <w:r>
        <w:rPr>
          <w:i/>
          <w:iCs/>
        </w:rPr>
        <w:t>,</w:t>
      </w:r>
      <w:r w:rsidRPr="007A4B00">
        <w:t xml:space="preserve"> (OUP Oxford, 2009)</w:t>
      </w:r>
      <w:r>
        <w:t xml:space="preserve">, pp.174-214; </w:t>
      </w:r>
      <w:r w:rsidRPr="006B0442">
        <w:t>J</w:t>
      </w:r>
      <w:r>
        <w:t>im</w:t>
      </w:r>
      <w:r w:rsidRPr="006B0442">
        <w:t xml:space="preserve"> Tester, </w:t>
      </w:r>
      <w:r w:rsidRPr="006B0442">
        <w:rPr>
          <w:i/>
          <w:iCs/>
        </w:rPr>
        <w:t>A History of Western Astrology</w:t>
      </w:r>
      <w:r w:rsidRPr="006B0442">
        <w:t xml:space="preserve"> (Boydell Press, 1987)</w:t>
      </w:r>
      <w:r>
        <w:t>, p.30.</w:t>
      </w:r>
    </w:p>
  </w:footnote>
  <w:footnote w:id="95">
    <w:p w14:paraId="38F3BCFB" w14:textId="77777777" w:rsidR="00105F83" w:rsidRDefault="00105F83" w:rsidP="00F06678">
      <w:pPr>
        <w:pStyle w:val="FootnoteText"/>
      </w:pPr>
      <w:r>
        <w:rPr>
          <w:rStyle w:val="FootnoteReference"/>
        </w:rPr>
        <w:footnoteRef/>
      </w:r>
      <w:r>
        <w:t xml:space="preserve"> Volk, </w:t>
      </w:r>
      <w:r w:rsidRPr="007A4B00">
        <w:rPr>
          <w:i/>
          <w:iCs/>
        </w:rPr>
        <w:t>Manilius and His Intellectual Background</w:t>
      </w:r>
      <w:r>
        <w:rPr>
          <w:i/>
          <w:iCs/>
        </w:rPr>
        <w:t>, p.</w:t>
      </w:r>
      <w:r>
        <w:t xml:space="preserve">179; </w:t>
      </w:r>
      <w:r w:rsidRPr="006B0442">
        <w:t xml:space="preserve">Tester, </w:t>
      </w:r>
      <w:r w:rsidRPr="006B0442">
        <w:rPr>
          <w:i/>
          <w:iCs/>
        </w:rPr>
        <w:t>A History of Western Astrology</w:t>
      </w:r>
      <w:r>
        <w:t>, p.30.</w:t>
      </w:r>
    </w:p>
  </w:footnote>
  <w:footnote w:id="96">
    <w:p w14:paraId="7EF70C19" w14:textId="77777777" w:rsidR="00105F83" w:rsidRDefault="00105F83" w:rsidP="009A5DB0">
      <w:pPr>
        <w:pStyle w:val="FootnoteText"/>
      </w:pPr>
      <w:r>
        <w:rPr>
          <w:rStyle w:val="FootnoteReference"/>
        </w:rPr>
        <w:footnoteRef/>
      </w:r>
      <w:r>
        <w:t xml:space="preserve"> Manilius, </w:t>
      </w:r>
      <w:r w:rsidRPr="00E15E34">
        <w:rPr>
          <w:i/>
          <w:iCs/>
        </w:rPr>
        <w:t>Astronomica</w:t>
      </w:r>
      <w:r>
        <w:t>, p.145.</w:t>
      </w:r>
    </w:p>
  </w:footnote>
  <w:footnote w:id="97">
    <w:p w14:paraId="126C95AC" w14:textId="77777777" w:rsidR="00105F83" w:rsidRDefault="00105F83" w:rsidP="00DD714B">
      <w:pPr>
        <w:pStyle w:val="FootnoteText"/>
      </w:pPr>
      <w:r>
        <w:rPr>
          <w:rStyle w:val="FootnoteReference"/>
        </w:rPr>
        <w:footnoteRef/>
      </w:r>
      <w:r>
        <w:t xml:space="preserve"> Manilius, </w:t>
      </w:r>
      <w:r w:rsidRPr="00E15E34">
        <w:rPr>
          <w:i/>
          <w:iCs/>
        </w:rPr>
        <w:t>Astronomica</w:t>
      </w:r>
      <w:r>
        <w:t>, p.145.</w:t>
      </w:r>
    </w:p>
  </w:footnote>
  <w:footnote w:id="98">
    <w:p w14:paraId="0B0D4F14" w14:textId="77777777" w:rsidR="00105F83" w:rsidRDefault="00105F83" w:rsidP="00F06678">
      <w:pPr>
        <w:pStyle w:val="FootnoteText"/>
      </w:pPr>
      <w:r>
        <w:rPr>
          <w:rStyle w:val="FootnoteReference"/>
        </w:rPr>
        <w:footnoteRef/>
      </w:r>
      <w:r>
        <w:t xml:space="preserve"> Manilius, </w:t>
      </w:r>
      <w:r w:rsidRPr="00E15E34">
        <w:rPr>
          <w:i/>
          <w:iCs/>
        </w:rPr>
        <w:t>Astronomica</w:t>
      </w:r>
      <w:r>
        <w:t>, p.145.</w:t>
      </w:r>
    </w:p>
  </w:footnote>
  <w:footnote w:id="99">
    <w:p w14:paraId="189F6106" w14:textId="77777777" w:rsidR="00105F83" w:rsidRDefault="00105F83" w:rsidP="00F06678">
      <w:pPr>
        <w:pStyle w:val="FootnoteText"/>
      </w:pPr>
      <w:r>
        <w:rPr>
          <w:rStyle w:val="FootnoteReference"/>
        </w:rPr>
        <w:footnoteRef/>
      </w:r>
      <w:r>
        <w:t xml:space="preserve"> David Pingree, review of </w:t>
      </w:r>
      <w:r w:rsidRPr="007C3841">
        <w:t>‘</w:t>
      </w:r>
      <w:r w:rsidRPr="007C3841">
        <w:rPr>
          <w:i/>
          <w:iCs/>
        </w:rPr>
        <w:t>Manilius Astronomica</w:t>
      </w:r>
      <w:r w:rsidRPr="007C3841">
        <w:t>’ by G.P. Goold</w:t>
      </w:r>
      <w:r>
        <w:t>,</w:t>
      </w:r>
      <w:r w:rsidRPr="007C3841">
        <w:t xml:space="preserve"> and ‘</w:t>
      </w:r>
      <w:r w:rsidRPr="007C3841">
        <w:rPr>
          <w:i/>
          <w:iCs/>
        </w:rPr>
        <w:t>Struttura Degli Astronomica di Manilio</w:t>
      </w:r>
      <w:r w:rsidRPr="007C3841">
        <w:t>’ by Elisa Romano</w:t>
      </w:r>
      <w:r>
        <w:t xml:space="preserve">, </w:t>
      </w:r>
      <w:r w:rsidRPr="007C3841">
        <w:t>Phoenix,</w:t>
      </w:r>
      <w:r>
        <w:t xml:space="preserve"> Vol.</w:t>
      </w:r>
      <w:r w:rsidRPr="007C3841">
        <w:t xml:space="preserve"> 34</w:t>
      </w:r>
      <w:r>
        <w:t>. No.3,</w:t>
      </w:r>
      <w:r w:rsidRPr="007C3841">
        <w:t xml:space="preserve"> </w:t>
      </w:r>
      <w:r>
        <w:t xml:space="preserve">Classical Association of Canada, </w:t>
      </w:r>
      <w:r w:rsidRPr="007C3841">
        <w:t>(1980)</w:t>
      </w:r>
      <w:r>
        <w:t xml:space="preserve">, p.; 65.; A.E. Housman, </w:t>
      </w:r>
      <w:r w:rsidRPr="007E37A7">
        <w:rPr>
          <w:i/>
          <w:iCs/>
        </w:rPr>
        <w:t>M.</w:t>
      </w:r>
      <w:r>
        <w:t xml:space="preserve"> </w:t>
      </w:r>
      <w:r w:rsidRPr="007E37A7">
        <w:rPr>
          <w:i/>
          <w:iCs/>
        </w:rPr>
        <w:t>Manili</w:t>
      </w:r>
      <w:r>
        <w:rPr>
          <w:i/>
          <w:iCs/>
        </w:rPr>
        <w:t>i</w:t>
      </w:r>
      <w:r w:rsidRPr="007E37A7">
        <w:rPr>
          <w:i/>
          <w:iCs/>
        </w:rPr>
        <w:t>,</w:t>
      </w:r>
      <w:r w:rsidRPr="00B91A3D">
        <w:t xml:space="preserve"> </w:t>
      </w:r>
      <w:r w:rsidRPr="007E37A7">
        <w:rPr>
          <w:i/>
          <w:iCs/>
        </w:rPr>
        <w:t>Astronomicon, Liber Secundus</w:t>
      </w:r>
      <w:r w:rsidRPr="00B91A3D">
        <w:t>, ed. A E. Housman, London</w:t>
      </w:r>
      <w:r>
        <w:t>,</w:t>
      </w:r>
      <w:r w:rsidRPr="00B91A3D">
        <w:t xml:space="preserve"> 1912</w:t>
      </w:r>
      <w:r>
        <w:t>, p.xxvii.</w:t>
      </w:r>
    </w:p>
  </w:footnote>
  <w:footnote w:id="100">
    <w:p w14:paraId="3559E3D8" w14:textId="77777777" w:rsidR="00105F83" w:rsidRPr="004B2E65" w:rsidRDefault="00105F83" w:rsidP="00F06678">
      <w:pPr>
        <w:pStyle w:val="FootnoteText"/>
      </w:pPr>
      <w:r w:rsidRPr="004B2E65">
        <w:rPr>
          <w:rStyle w:val="FootnoteReference"/>
        </w:rPr>
        <w:footnoteRef/>
      </w:r>
      <w:r w:rsidRPr="004B2E65">
        <w:t xml:space="preserve"> Greenbaum, </w:t>
      </w:r>
      <w:r w:rsidRPr="004B2E65">
        <w:rPr>
          <w:i/>
          <w:iCs/>
        </w:rPr>
        <w:t>The Daimon in Hellenistic Astrology</w:t>
      </w:r>
      <w:r w:rsidRPr="004B2E65">
        <w:t>, pp.50-51.</w:t>
      </w:r>
    </w:p>
  </w:footnote>
  <w:footnote w:id="101">
    <w:p w14:paraId="5486A5F1" w14:textId="77777777" w:rsidR="00105F83" w:rsidRDefault="00105F83" w:rsidP="00F06678">
      <w:pPr>
        <w:pStyle w:val="FootnoteText"/>
      </w:pPr>
      <w:r>
        <w:rPr>
          <w:rStyle w:val="FootnoteReference"/>
        </w:rPr>
        <w:footnoteRef/>
      </w:r>
      <w:r>
        <w:t xml:space="preserve"> Manilius, </w:t>
      </w:r>
      <w:r w:rsidRPr="00451372">
        <w:rPr>
          <w:i/>
          <w:iCs/>
        </w:rPr>
        <w:t>Astronomica</w:t>
      </w:r>
      <w:r>
        <w:t>, p.151.</w:t>
      </w:r>
    </w:p>
  </w:footnote>
  <w:footnote w:id="102">
    <w:p w14:paraId="4C98EB89" w14:textId="77777777" w:rsidR="00105F83" w:rsidRDefault="00105F83" w:rsidP="00F06678">
      <w:pPr>
        <w:pStyle w:val="FootnoteText"/>
      </w:pPr>
      <w:r>
        <w:rPr>
          <w:rStyle w:val="FootnoteReference"/>
        </w:rPr>
        <w:footnoteRef/>
      </w:r>
      <w:r>
        <w:t xml:space="preserve"> Manilius, </w:t>
      </w:r>
      <w:r w:rsidRPr="00451372">
        <w:rPr>
          <w:i/>
          <w:iCs/>
        </w:rPr>
        <w:t>Astronomica</w:t>
      </w:r>
      <w:r>
        <w:t>, pp.151-159.</w:t>
      </w:r>
    </w:p>
  </w:footnote>
  <w:footnote w:id="103">
    <w:p w14:paraId="2190D092" w14:textId="77777777" w:rsidR="00105F83" w:rsidRDefault="00105F83" w:rsidP="00F06678">
      <w:pPr>
        <w:pStyle w:val="FootnoteText"/>
      </w:pPr>
      <w:r>
        <w:rPr>
          <w:rStyle w:val="FootnoteReference"/>
        </w:rPr>
        <w:footnoteRef/>
      </w:r>
      <w:r>
        <w:t xml:space="preserve"> Manilius, </w:t>
      </w:r>
      <w:r w:rsidRPr="00451372">
        <w:rPr>
          <w:i/>
          <w:iCs/>
        </w:rPr>
        <w:t>Astronomica</w:t>
      </w:r>
      <w:r>
        <w:t>, pp.155.</w:t>
      </w:r>
    </w:p>
  </w:footnote>
  <w:footnote w:id="104">
    <w:p w14:paraId="4B9E36CC" w14:textId="77777777" w:rsidR="00105F83" w:rsidRDefault="00105F83" w:rsidP="00F06678">
      <w:pPr>
        <w:pStyle w:val="FootnoteText"/>
      </w:pPr>
      <w:r>
        <w:rPr>
          <w:rStyle w:val="FootnoteReference"/>
        </w:rPr>
        <w:footnoteRef/>
      </w:r>
      <w:r>
        <w:t xml:space="preserve"> Manilius, </w:t>
      </w:r>
      <w:r w:rsidRPr="00451372">
        <w:rPr>
          <w:i/>
          <w:iCs/>
        </w:rPr>
        <w:t>Astronomica</w:t>
      </w:r>
      <w:r>
        <w:t>, p.155.</w:t>
      </w:r>
    </w:p>
  </w:footnote>
  <w:footnote w:id="105">
    <w:p w14:paraId="0FA90E13" w14:textId="77777777" w:rsidR="00105F83" w:rsidRDefault="00105F83" w:rsidP="00F06678">
      <w:pPr>
        <w:pStyle w:val="FootnoteText"/>
      </w:pPr>
      <w:r>
        <w:rPr>
          <w:rStyle w:val="FootnoteReference"/>
        </w:rPr>
        <w:footnoteRef/>
      </w:r>
      <w:r>
        <w:t xml:space="preserve"> Manilius, </w:t>
      </w:r>
      <w:r w:rsidRPr="005F20E2">
        <w:rPr>
          <w:i/>
          <w:iCs/>
        </w:rPr>
        <w:t>Astronomica</w:t>
      </w:r>
      <w:r>
        <w:t>, p.155.</w:t>
      </w:r>
    </w:p>
  </w:footnote>
  <w:footnote w:id="106">
    <w:p w14:paraId="638D99D6" w14:textId="77777777" w:rsidR="00105F83" w:rsidRDefault="00105F83" w:rsidP="00F06678">
      <w:pPr>
        <w:pStyle w:val="FootnoteText"/>
      </w:pPr>
      <w:r>
        <w:rPr>
          <w:rStyle w:val="FootnoteReference"/>
        </w:rPr>
        <w:footnoteRef/>
      </w:r>
      <w:r>
        <w:t xml:space="preserve"> </w:t>
      </w:r>
      <w:r w:rsidRPr="00D04F01">
        <w:t xml:space="preserve">Greenbaum, </w:t>
      </w:r>
      <w:r w:rsidRPr="00D04F01">
        <w:rPr>
          <w:i/>
          <w:iCs/>
        </w:rPr>
        <w:t>The Daimon in Hellenistic Astrology</w:t>
      </w:r>
      <w:r>
        <w:t>, pp.56-61.</w:t>
      </w:r>
    </w:p>
  </w:footnote>
  <w:footnote w:id="107">
    <w:p w14:paraId="4A5383A7" w14:textId="77777777" w:rsidR="00105F83" w:rsidRDefault="00105F83" w:rsidP="00F06678">
      <w:pPr>
        <w:pStyle w:val="FootnoteText"/>
      </w:pPr>
      <w:r>
        <w:rPr>
          <w:rStyle w:val="FootnoteReference"/>
        </w:rPr>
        <w:footnoteRef/>
      </w:r>
      <w:r>
        <w:t xml:space="preserve"> Manilius, </w:t>
      </w:r>
      <w:r w:rsidRPr="005F20E2">
        <w:rPr>
          <w:i/>
          <w:iCs/>
        </w:rPr>
        <w:t>Astronomica</w:t>
      </w:r>
      <w:r>
        <w:t>, p.159.</w:t>
      </w:r>
    </w:p>
  </w:footnote>
  <w:footnote w:id="108">
    <w:p w14:paraId="00EE8081" w14:textId="77777777" w:rsidR="00105F83" w:rsidRDefault="00105F83" w:rsidP="00F06678">
      <w:pPr>
        <w:pStyle w:val="FootnoteText"/>
      </w:pPr>
      <w:r>
        <w:rPr>
          <w:rStyle w:val="FootnoteReference"/>
        </w:rPr>
        <w:footnoteRef/>
      </w:r>
      <w:r>
        <w:t xml:space="preserve"> Manilius, </w:t>
      </w:r>
      <w:r w:rsidRPr="005F20E2">
        <w:rPr>
          <w:i/>
          <w:iCs/>
        </w:rPr>
        <w:t>Astronomica</w:t>
      </w:r>
      <w:r>
        <w:t>, pp.211-213.</w:t>
      </w:r>
    </w:p>
  </w:footnote>
  <w:footnote w:id="109">
    <w:p w14:paraId="4729911B" w14:textId="7177073C" w:rsidR="00105F83" w:rsidRDefault="00105F83">
      <w:pPr>
        <w:pStyle w:val="FootnoteText"/>
      </w:pPr>
      <w:r>
        <w:rPr>
          <w:rStyle w:val="FootnoteReference"/>
        </w:rPr>
        <w:footnoteRef/>
      </w:r>
      <w:r>
        <w:t xml:space="preserve"> Manilius, </w:t>
      </w:r>
      <w:r w:rsidRPr="00E15E34">
        <w:rPr>
          <w:i/>
          <w:iCs/>
        </w:rPr>
        <w:t>Astronomica</w:t>
      </w:r>
      <w:r>
        <w:t>, p.145.</w:t>
      </w:r>
    </w:p>
  </w:footnote>
  <w:footnote w:id="110">
    <w:p w14:paraId="552C3E10" w14:textId="1035D476" w:rsidR="00105F83" w:rsidRDefault="00105F83">
      <w:pPr>
        <w:pStyle w:val="FootnoteText"/>
      </w:pPr>
      <w:r>
        <w:rPr>
          <w:rStyle w:val="FootnoteReference"/>
        </w:rPr>
        <w:footnoteRef/>
      </w:r>
      <w:r>
        <w:t xml:space="preserve"> </w:t>
      </w:r>
      <w:r w:rsidRPr="009E1991">
        <w:t xml:space="preserve">Brennan, </w:t>
      </w:r>
      <w:r w:rsidRPr="00170730">
        <w:rPr>
          <w:i/>
          <w:iCs/>
        </w:rPr>
        <w:t>Hellenistic Astrology</w:t>
      </w:r>
      <w:r>
        <w:rPr>
          <w:i/>
          <w:iCs/>
        </w:rPr>
        <w:t xml:space="preserve">, </w:t>
      </w:r>
      <w:r>
        <w:t>p.380.</w:t>
      </w:r>
    </w:p>
  </w:footnote>
  <w:footnote w:id="111">
    <w:p w14:paraId="2AE678B7" w14:textId="77777777" w:rsidR="00105F83" w:rsidRDefault="00105F83" w:rsidP="00B25A96">
      <w:pPr>
        <w:pStyle w:val="FootnoteText"/>
      </w:pPr>
      <w:r>
        <w:rPr>
          <w:rStyle w:val="FootnoteReference"/>
        </w:rPr>
        <w:footnoteRef/>
      </w:r>
      <w:r>
        <w:t xml:space="preserve"> David Pingree, review of </w:t>
      </w:r>
      <w:r w:rsidRPr="007C3841">
        <w:t>‘</w:t>
      </w:r>
      <w:r w:rsidRPr="007C3841">
        <w:rPr>
          <w:i/>
          <w:iCs/>
        </w:rPr>
        <w:t>Manilius Astronomica</w:t>
      </w:r>
      <w:r w:rsidRPr="007C3841">
        <w:t>’ by G.P. Goold</w:t>
      </w:r>
      <w:r>
        <w:t>,</w:t>
      </w:r>
      <w:r w:rsidRPr="007C3841">
        <w:t xml:space="preserve"> and ‘</w:t>
      </w:r>
      <w:r w:rsidRPr="007C3841">
        <w:rPr>
          <w:i/>
          <w:iCs/>
        </w:rPr>
        <w:t>Struttura Degli Astronomica di Manilio</w:t>
      </w:r>
      <w:r w:rsidRPr="007C3841">
        <w:t>’ by Elisa Romano</w:t>
      </w:r>
      <w:r>
        <w:t xml:space="preserve">, </w:t>
      </w:r>
      <w:r w:rsidRPr="007C3841">
        <w:t>Phoenix,</w:t>
      </w:r>
      <w:r>
        <w:t xml:space="preserve"> Vol.</w:t>
      </w:r>
      <w:r w:rsidRPr="007C3841">
        <w:t xml:space="preserve"> 34</w:t>
      </w:r>
      <w:r>
        <w:t>. No.3,</w:t>
      </w:r>
      <w:r w:rsidRPr="007C3841">
        <w:t xml:space="preserve"> </w:t>
      </w:r>
      <w:r>
        <w:t xml:space="preserve">Classical Association of Canada, </w:t>
      </w:r>
      <w:r w:rsidRPr="007C3841">
        <w:t>(1980)</w:t>
      </w:r>
      <w:r>
        <w:t>, p.265.</w:t>
      </w:r>
    </w:p>
  </w:footnote>
  <w:footnote w:id="112">
    <w:p w14:paraId="66A1CED8" w14:textId="2348722E" w:rsidR="00105F83" w:rsidRDefault="00105F83">
      <w:pPr>
        <w:pStyle w:val="FootnoteText"/>
      </w:pPr>
      <w:r>
        <w:rPr>
          <w:rStyle w:val="FootnoteReference"/>
        </w:rPr>
        <w:footnoteRef/>
      </w:r>
      <w:r>
        <w:t xml:space="preserve"> </w:t>
      </w:r>
      <w:r w:rsidRPr="009E1991">
        <w:t xml:space="preserve">Brennan, </w:t>
      </w:r>
      <w:r w:rsidRPr="00170730">
        <w:rPr>
          <w:i/>
          <w:iCs/>
        </w:rPr>
        <w:t>Hellenistic Astrology</w:t>
      </w:r>
      <w:r>
        <w:rPr>
          <w:i/>
          <w:iCs/>
        </w:rPr>
        <w:t xml:space="preserve">, </w:t>
      </w:r>
      <w:r>
        <w:t>pp.380-381.</w:t>
      </w:r>
    </w:p>
  </w:footnote>
  <w:footnote w:id="113">
    <w:p w14:paraId="4C88F10D" w14:textId="77777777" w:rsidR="00105F83" w:rsidRDefault="00105F83" w:rsidP="00B25A96">
      <w:pPr>
        <w:pStyle w:val="FootnoteText"/>
      </w:pPr>
      <w:r>
        <w:rPr>
          <w:rStyle w:val="FootnoteReference"/>
        </w:rPr>
        <w:footnoteRef/>
      </w:r>
      <w:r>
        <w:t xml:space="preserve"> A.E. Housman, </w:t>
      </w:r>
      <w:r w:rsidRPr="007E37A7">
        <w:rPr>
          <w:i/>
          <w:iCs/>
        </w:rPr>
        <w:t>M.</w:t>
      </w:r>
      <w:r>
        <w:t xml:space="preserve"> </w:t>
      </w:r>
      <w:r w:rsidRPr="007E37A7">
        <w:rPr>
          <w:i/>
          <w:iCs/>
        </w:rPr>
        <w:t>Manili</w:t>
      </w:r>
      <w:r>
        <w:rPr>
          <w:i/>
          <w:iCs/>
        </w:rPr>
        <w:t>i</w:t>
      </w:r>
      <w:r w:rsidRPr="007E37A7">
        <w:rPr>
          <w:i/>
          <w:iCs/>
        </w:rPr>
        <w:t>,</w:t>
      </w:r>
      <w:r w:rsidRPr="00B91A3D">
        <w:t xml:space="preserve"> </w:t>
      </w:r>
      <w:r w:rsidRPr="007E37A7">
        <w:rPr>
          <w:i/>
          <w:iCs/>
        </w:rPr>
        <w:t>Astronomicon, Liber Secundus</w:t>
      </w:r>
      <w:r w:rsidRPr="00B91A3D">
        <w:t>, ed. A E. Housman, London</w:t>
      </w:r>
      <w:r>
        <w:t>,</w:t>
      </w:r>
      <w:r w:rsidRPr="00B91A3D">
        <w:t xml:space="preserve"> 1912</w:t>
      </w:r>
      <w:r>
        <w:t>, p.xxvii.</w:t>
      </w:r>
    </w:p>
  </w:footnote>
  <w:footnote w:id="114">
    <w:p w14:paraId="3C946D7E" w14:textId="77777777" w:rsidR="00105F83" w:rsidRDefault="00105F83" w:rsidP="00B25A96">
      <w:pPr>
        <w:pStyle w:val="FootnoteText"/>
      </w:pPr>
      <w:r>
        <w:rPr>
          <w:rStyle w:val="FootnoteReference"/>
        </w:rPr>
        <w:footnoteRef/>
      </w:r>
      <w:r>
        <w:t xml:space="preserve"> Manilius, </w:t>
      </w:r>
      <w:r w:rsidRPr="00451372">
        <w:rPr>
          <w:i/>
          <w:iCs/>
        </w:rPr>
        <w:t>Astronomica</w:t>
      </w:r>
      <w:r>
        <w:t>, p.191.</w:t>
      </w:r>
    </w:p>
  </w:footnote>
  <w:footnote w:id="115">
    <w:p w14:paraId="25395896" w14:textId="77777777" w:rsidR="00105F83" w:rsidRDefault="00105F83" w:rsidP="00B25A96">
      <w:pPr>
        <w:pStyle w:val="FootnoteText"/>
      </w:pPr>
      <w:r>
        <w:rPr>
          <w:rStyle w:val="FootnoteReference"/>
        </w:rPr>
        <w:footnoteRef/>
      </w:r>
      <w:r>
        <w:t xml:space="preserve"> Manilius, Astronomica, pp.27-49.</w:t>
      </w:r>
    </w:p>
  </w:footnote>
  <w:footnote w:id="116">
    <w:p w14:paraId="68A4E2CB" w14:textId="316D47DA" w:rsidR="00105F83" w:rsidRDefault="00105F83">
      <w:pPr>
        <w:pStyle w:val="FootnoteText"/>
      </w:pPr>
      <w:r>
        <w:rPr>
          <w:rStyle w:val="FootnoteReference"/>
        </w:rPr>
        <w:footnoteRef/>
      </w:r>
      <w:r>
        <w:t xml:space="preserve"> Prudence Jones, </w:t>
      </w:r>
      <w:r w:rsidRPr="00657975">
        <w:rPr>
          <w:i/>
          <w:iCs/>
        </w:rPr>
        <w:t>Celestial and Terrestrial Orientatio</w:t>
      </w:r>
      <w:r>
        <w:rPr>
          <w:i/>
          <w:iCs/>
        </w:rPr>
        <w:t xml:space="preserve">n: </w:t>
      </w:r>
      <w:r w:rsidRPr="00657975">
        <w:rPr>
          <w:i/>
          <w:iCs/>
        </w:rPr>
        <w:t>The Origins of House Division in Ancient Cosmology,</w:t>
      </w:r>
      <w:r>
        <w:t xml:space="preserve"> </w:t>
      </w:r>
      <w:r w:rsidRPr="00657975">
        <w:t xml:space="preserve">in </w:t>
      </w:r>
      <w:r w:rsidRPr="00657975">
        <w:rPr>
          <w:i/>
          <w:iCs/>
        </w:rPr>
        <w:t>History and Astrology: Clio and Urania Confer</w:t>
      </w:r>
      <w:r>
        <w:t>, ed. by Annabella Kitson,</w:t>
      </w:r>
      <w:r w:rsidRPr="00657975">
        <w:t xml:space="preserve"> (London: Unwin Paperbacks, 1989)</w:t>
      </w:r>
      <w:r>
        <w:t>, pp.27-43</w:t>
      </w:r>
    </w:p>
  </w:footnote>
  <w:footnote w:id="117">
    <w:p w14:paraId="7CDCA4D8" w14:textId="77777777" w:rsidR="00105F83" w:rsidRDefault="00105F83" w:rsidP="008F6736">
      <w:pPr>
        <w:pStyle w:val="FootnoteText"/>
      </w:pPr>
      <w:r>
        <w:rPr>
          <w:rStyle w:val="FootnoteReference"/>
        </w:rPr>
        <w:footnoteRef/>
      </w:r>
      <w:r>
        <w:t xml:space="preserve"> </w:t>
      </w:r>
      <w:r w:rsidRPr="00B943D9">
        <w:t>Mark</w:t>
      </w:r>
      <w:r>
        <w:t xml:space="preserve"> Riley</w:t>
      </w:r>
      <w:r w:rsidRPr="00B943D9">
        <w:t>, “</w:t>
      </w:r>
      <w:r w:rsidRPr="00B943D9">
        <w:rPr>
          <w:i/>
          <w:iCs/>
        </w:rPr>
        <w:t>A Survey of Vettius Valens</w:t>
      </w:r>
      <w:r w:rsidRPr="00B943D9">
        <w:t xml:space="preserve">”, California State University, Sacramento, http://www.csus.edu/indiv/r/rileymt/pdf_folder/vettiusvalens.pdf [accessed 10 </w:t>
      </w:r>
      <w:r>
        <w:t>July</w:t>
      </w:r>
      <w:r w:rsidRPr="00B943D9">
        <w:t xml:space="preserve"> 20</w:t>
      </w:r>
      <w:r>
        <w:t>21</w:t>
      </w:r>
      <w:r w:rsidRPr="00B943D9">
        <w:t>]</w:t>
      </w:r>
      <w:r>
        <w:t>, pp.2-8.</w:t>
      </w:r>
    </w:p>
  </w:footnote>
  <w:footnote w:id="118">
    <w:p w14:paraId="37ACE350" w14:textId="77777777" w:rsidR="00105F83" w:rsidRDefault="00105F83" w:rsidP="008F6736">
      <w:pPr>
        <w:pStyle w:val="FootnoteText"/>
      </w:pPr>
      <w:r>
        <w:rPr>
          <w:rStyle w:val="FootnoteReference"/>
        </w:rPr>
        <w:footnoteRef/>
      </w:r>
      <w:r>
        <w:t xml:space="preserve"> </w:t>
      </w:r>
      <w:r w:rsidRPr="00420E16">
        <w:t>Vettius</w:t>
      </w:r>
      <w:r>
        <w:t xml:space="preserve"> Valens</w:t>
      </w:r>
      <w:r w:rsidRPr="00420E16">
        <w:t xml:space="preserve">, </w:t>
      </w:r>
      <w:r w:rsidRPr="00420E16">
        <w:rPr>
          <w:i/>
          <w:iCs/>
        </w:rPr>
        <w:t>The Anthology, Book I</w:t>
      </w:r>
      <w:r w:rsidRPr="00420E16">
        <w:t>, trans. Robert Schmidt, ed. Robert Hand, The Golden Hind Press, Berkeley Springs, WV, 1993</w:t>
      </w:r>
      <w:r>
        <w:t xml:space="preserve">; </w:t>
      </w:r>
      <w:r w:rsidRPr="00420E16">
        <w:t>Vettius</w:t>
      </w:r>
      <w:r>
        <w:t xml:space="preserve"> Valens</w:t>
      </w:r>
      <w:r w:rsidRPr="00420E16">
        <w:t xml:space="preserve">, </w:t>
      </w:r>
      <w:r w:rsidRPr="00420E16">
        <w:rPr>
          <w:i/>
          <w:iCs/>
        </w:rPr>
        <w:t>The Anthology, Book II</w:t>
      </w:r>
      <w:r w:rsidRPr="00420E16">
        <w:t>, trans. Robert Schmidt, ed. Robert Hand, The Golden Hind Press, Berkeley Springs, WV, 1994</w:t>
      </w:r>
      <w:r>
        <w:t xml:space="preserve">; </w:t>
      </w:r>
      <w:r w:rsidRPr="00420E16">
        <w:t>Vettius</w:t>
      </w:r>
      <w:r>
        <w:t xml:space="preserve"> Valens</w:t>
      </w:r>
      <w:r w:rsidRPr="00420E16">
        <w:t xml:space="preserve">, </w:t>
      </w:r>
      <w:r w:rsidRPr="00420E16">
        <w:rPr>
          <w:i/>
          <w:iCs/>
        </w:rPr>
        <w:t>The Anthology, Book II (concl.) &amp; Book III</w:t>
      </w:r>
      <w:r w:rsidRPr="00420E16">
        <w:t>, trans. Robert Schmidt, ed. Robert Hand, The Golden Hind Press, Berkeley Springs, WV, 1994</w:t>
      </w:r>
      <w:r>
        <w:t xml:space="preserve">; </w:t>
      </w:r>
      <w:r w:rsidRPr="00420E16">
        <w:t>Vettius</w:t>
      </w:r>
      <w:r>
        <w:t xml:space="preserve"> Valens</w:t>
      </w:r>
      <w:r w:rsidRPr="00420E16">
        <w:t xml:space="preserve">, </w:t>
      </w:r>
      <w:r w:rsidRPr="00420E16">
        <w:rPr>
          <w:i/>
          <w:iCs/>
        </w:rPr>
        <w:t>The Anthology, Book IV</w:t>
      </w:r>
      <w:r w:rsidRPr="00420E16">
        <w:t>, trans. Robert Schmidt, ed. Robert Hand, The Golden Hind Press, Berkeley Springs, WV, 1996</w:t>
      </w:r>
      <w:r>
        <w:t xml:space="preserve">; </w:t>
      </w:r>
      <w:r w:rsidRPr="00420E16">
        <w:t>Vettius</w:t>
      </w:r>
      <w:r>
        <w:t xml:space="preserve"> Valens</w:t>
      </w:r>
      <w:r w:rsidRPr="00420E16">
        <w:t xml:space="preserve">, </w:t>
      </w:r>
      <w:r w:rsidRPr="00420E16">
        <w:rPr>
          <w:i/>
          <w:iCs/>
        </w:rPr>
        <w:t>The Anthology, Books V &amp; VII</w:t>
      </w:r>
      <w:r w:rsidRPr="00420E16">
        <w:t>, trans. Robert Schmidt, ed. Robert Hand, The Golden Hind Press, Berkeley Springs, WV, 1997</w:t>
      </w:r>
      <w:r>
        <w:t xml:space="preserve">; </w:t>
      </w:r>
      <w:r w:rsidRPr="00420E16">
        <w:t>Vettius</w:t>
      </w:r>
      <w:r>
        <w:t xml:space="preserve"> Valens</w:t>
      </w:r>
      <w:r w:rsidRPr="00420E16">
        <w:t xml:space="preserve">, </w:t>
      </w:r>
      <w:r w:rsidRPr="00420E16">
        <w:rPr>
          <w:i/>
          <w:iCs/>
        </w:rPr>
        <w:t>The Anthology, Book VII</w:t>
      </w:r>
      <w:r w:rsidRPr="00420E16">
        <w:t>, trans. Robert Schmidt, ed. Robert Hand, The Golden Hind Press, Berkeley Springs, WV, 2001</w:t>
      </w:r>
      <w:r>
        <w:t xml:space="preserve">; </w:t>
      </w:r>
      <w:r w:rsidRPr="00420E16">
        <w:t>Vettius</w:t>
      </w:r>
      <w:r>
        <w:t xml:space="preserve"> Valens</w:t>
      </w:r>
      <w:r w:rsidRPr="00420E16">
        <w:t xml:space="preserve">, </w:t>
      </w:r>
      <w:r w:rsidRPr="00420E16">
        <w:rPr>
          <w:i/>
          <w:iCs/>
        </w:rPr>
        <w:t>Anthologies</w:t>
      </w:r>
      <w:r w:rsidRPr="00420E16">
        <w:t xml:space="preserve">, trans. Mark Riley, as Vettius </w:t>
      </w:r>
      <w:r>
        <w:t>V</w:t>
      </w:r>
      <w:r w:rsidRPr="00420E16">
        <w:t>alens all, 2010, (http://www.csus.edu/indiv/r/rileymt/vettius%20valens%20entire.pdf), [accessed 01/07/21].</w:t>
      </w:r>
    </w:p>
  </w:footnote>
  <w:footnote w:id="119">
    <w:p w14:paraId="7E993CD0" w14:textId="77777777" w:rsidR="00105F83" w:rsidRDefault="00105F83" w:rsidP="008F6736">
      <w:pPr>
        <w:pStyle w:val="FootnoteText"/>
      </w:pPr>
      <w:r>
        <w:rPr>
          <w:rStyle w:val="FootnoteReference"/>
        </w:rPr>
        <w:footnoteRef/>
      </w:r>
      <w:r>
        <w:t xml:space="preserve"> Valens, </w:t>
      </w:r>
      <w:r w:rsidRPr="00D5393F">
        <w:rPr>
          <w:i/>
          <w:iCs/>
        </w:rPr>
        <w:t>Anthologies</w:t>
      </w:r>
      <w:r>
        <w:t>, p.28.</w:t>
      </w:r>
    </w:p>
  </w:footnote>
  <w:footnote w:id="120">
    <w:p w14:paraId="57BF0613" w14:textId="77777777" w:rsidR="00105F83" w:rsidRDefault="00105F83" w:rsidP="008F6736">
      <w:pPr>
        <w:pStyle w:val="FootnoteText"/>
      </w:pPr>
      <w:r>
        <w:rPr>
          <w:rStyle w:val="FootnoteReference"/>
        </w:rPr>
        <w:footnoteRef/>
      </w:r>
      <w:r>
        <w:t xml:space="preserve"> </w:t>
      </w:r>
      <w:r w:rsidRPr="00D04F01">
        <w:t xml:space="preserve">Greenbaum, </w:t>
      </w:r>
      <w:r w:rsidRPr="00D04F01">
        <w:rPr>
          <w:i/>
          <w:iCs/>
        </w:rPr>
        <w:t>The Daimon in Hellenistic Astrology</w:t>
      </w:r>
      <w:r>
        <w:rPr>
          <w:i/>
          <w:iCs/>
        </w:rPr>
        <w:t xml:space="preserve">, </w:t>
      </w:r>
      <w:r w:rsidRPr="00D712C5">
        <w:t>p.</w:t>
      </w:r>
      <w:r>
        <w:t>261</w:t>
      </w:r>
    </w:p>
  </w:footnote>
  <w:footnote w:id="121">
    <w:p w14:paraId="5658F353" w14:textId="77777777" w:rsidR="00105F83" w:rsidRDefault="00105F83" w:rsidP="008F6736">
      <w:pPr>
        <w:pStyle w:val="FootnoteText"/>
      </w:pPr>
      <w:r>
        <w:rPr>
          <w:rStyle w:val="FootnoteReference"/>
        </w:rPr>
        <w:footnoteRef/>
      </w:r>
      <w:r>
        <w:t xml:space="preserve"> Valens, </w:t>
      </w:r>
      <w:r w:rsidRPr="00D5393F">
        <w:rPr>
          <w:i/>
          <w:iCs/>
        </w:rPr>
        <w:t>Anthologies</w:t>
      </w:r>
      <w:r>
        <w:t>, p.154.</w:t>
      </w:r>
    </w:p>
  </w:footnote>
  <w:footnote w:id="122">
    <w:p w14:paraId="2D7B8AA0" w14:textId="77777777" w:rsidR="00105F83" w:rsidRDefault="00105F83" w:rsidP="008F6736">
      <w:pPr>
        <w:pStyle w:val="FootnoteText"/>
      </w:pPr>
      <w:r>
        <w:rPr>
          <w:rStyle w:val="FootnoteReference"/>
        </w:rPr>
        <w:footnoteRef/>
      </w:r>
      <w:r>
        <w:t xml:space="preserve"> Riley, </w:t>
      </w:r>
      <w:r w:rsidRPr="00B943D9">
        <w:rPr>
          <w:i/>
          <w:iCs/>
        </w:rPr>
        <w:t>A Survey of Vettius Valens</w:t>
      </w:r>
      <w:r>
        <w:rPr>
          <w:i/>
          <w:iCs/>
        </w:rPr>
        <w:t xml:space="preserve">, </w:t>
      </w:r>
      <w:r>
        <w:t>p.63.</w:t>
      </w:r>
    </w:p>
  </w:footnote>
  <w:footnote w:id="123">
    <w:p w14:paraId="7781DCEF" w14:textId="77777777" w:rsidR="00105F83" w:rsidRDefault="00105F83" w:rsidP="008F6736">
      <w:pPr>
        <w:pStyle w:val="FootnoteText"/>
      </w:pPr>
      <w:r>
        <w:rPr>
          <w:rStyle w:val="FootnoteReference"/>
        </w:rPr>
        <w:footnoteRef/>
      </w:r>
      <w:r>
        <w:t xml:space="preserve"> Valens, </w:t>
      </w:r>
      <w:r w:rsidRPr="00D5393F">
        <w:rPr>
          <w:i/>
          <w:iCs/>
        </w:rPr>
        <w:t>Anthologies</w:t>
      </w:r>
      <w:r>
        <w:t xml:space="preserve">, p.70, </w:t>
      </w:r>
    </w:p>
  </w:footnote>
  <w:footnote w:id="124">
    <w:p w14:paraId="4C05C199" w14:textId="77777777" w:rsidR="00105F83" w:rsidRDefault="00105F83" w:rsidP="008F6736">
      <w:pPr>
        <w:pStyle w:val="FootnoteText"/>
      </w:pPr>
      <w:r>
        <w:rPr>
          <w:rStyle w:val="FootnoteReference"/>
        </w:rPr>
        <w:footnoteRef/>
      </w:r>
      <w:r>
        <w:t xml:space="preserve"> </w:t>
      </w:r>
      <w:r w:rsidRPr="001835A1">
        <w:t xml:space="preserve">Schmidt, </w:t>
      </w:r>
      <w:r w:rsidRPr="001835A1">
        <w:rPr>
          <w:i/>
          <w:iCs/>
        </w:rPr>
        <w:t>The So-Called ‘Problem of House Division’</w:t>
      </w:r>
      <w:r>
        <w:rPr>
          <w:i/>
          <w:iCs/>
        </w:rPr>
        <w:t xml:space="preserve">, </w:t>
      </w:r>
      <w:r>
        <w:t>pp.27-32, pp.59-61.</w:t>
      </w:r>
    </w:p>
  </w:footnote>
  <w:footnote w:id="125">
    <w:p w14:paraId="13E0DF54" w14:textId="77777777" w:rsidR="00105F83" w:rsidRDefault="00105F83" w:rsidP="008F6736">
      <w:pPr>
        <w:pStyle w:val="FootnoteText"/>
      </w:pPr>
      <w:r>
        <w:rPr>
          <w:rStyle w:val="FootnoteReference"/>
        </w:rPr>
        <w:footnoteRef/>
      </w:r>
      <w:r>
        <w:t xml:space="preserve"> Riley, </w:t>
      </w:r>
      <w:r w:rsidRPr="00B943D9">
        <w:rPr>
          <w:i/>
          <w:iCs/>
        </w:rPr>
        <w:t>A Survey of Vettius Valens</w:t>
      </w:r>
      <w:r>
        <w:rPr>
          <w:i/>
          <w:iCs/>
        </w:rPr>
        <w:t xml:space="preserve">, </w:t>
      </w:r>
      <w:r>
        <w:t>p.54.</w:t>
      </w:r>
    </w:p>
  </w:footnote>
  <w:footnote w:id="126">
    <w:p w14:paraId="34E45DB4" w14:textId="77777777" w:rsidR="00105F83" w:rsidRDefault="00105F83" w:rsidP="008F6736">
      <w:pPr>
        <w:pStyle w:val="FootnoteText"/>
      </w:pPr>
      <w:r>
        <w:rPr>
          <w:rStyle w:val="FootnoteReference"/>
        </w:rPr>
        <w:footnoteRef/>
      </w:r>
      <w:r>
        <w:t xml:space="preserve"> Valens, </w:t>
      </w:r>
      <w:r w:rsidRPr="00D5393F">
        <w:rPr>
          <w:i/>
          <w:iCs/>
        </w:rPr>
        <w:t>Anthologies</w:t>
      </w:r>
      <w:r>
        <w:t>, p.28.</w:t>
      </w:r>
    </w:p>
  </w:footnote>
  <w:footnote w:id="127">
    <w:p w14:paraId="37EB811B" w14:textId="77777777" w:rsidR="00105F83" w:rsidRDefault="00105F83" w:rsidP="008F6736">
      <w:pPr>
        <w:pStyle w:val="FootnoteText"/>
      </w:pPr>
      <w:r>
        <w:rPr>
          <w:rStyle w:val="FootnoteReference"/>
        </w:rPr>
        <w:footnoteRef/>
      </w:r>
      <w:r>
        <w:t xml:space="preserve"> Hand</w:t>
      </w:r>
      <w:r w:rsidRPr="000E5640">
        <w:t xml:space="preserve">, </w:t>
      </w:r>
      <w:r w:rsidRPr="000E5640">
        <w:rPr>
          <w:i/>
          <w:iCs/>
        </w:rPr>
        <w:t>Whole Sign Houses</w:t>
      </w:r>
      <w:r>
        <w:rPr>
          <w:i/>
          <w:iCs/>
        </w:rPr>
        <w:t xml:space="preserve">, </w:t>
      </w:r>
      <w:r>
        <w:t xml:space="preserve">p.13; </w:t>
      </w:r>
      <w:r w:rsidRPr="001835A1">
        <w:t xml:space="preserve">Schmidt, </w:t>
      </w:r>
      <w:r w:rsidRPr="001835A1">
        <w:rPr>
          <w:i/>
          <w:iCs/>
        </w:rPr>
        <w:t>The So-Called ‘Problem of House Division’</w:t>
      </w:r>
      <w:r>
        <w:rPr>
          <w:i/>
          <w:iCs/>
        </w:rPr>
        <w:t xml:space="preserve">, </w:t>
      </w:r>
      <w:r>
        <w:t>p.48.</w:t>
      </w:r>
    </w:p>
  </w:footnote>
  <w:footnote w:id="128">
    <w:p w14:paraId="60C4C3EB" w14:textId="77777777" w:rsidR="00105F83" w:rsidRDefault="00105F83" w:rsidP="008F6736">
      <w:pPr>
        <w:pStyle w:val="FootnoteText"/>
      </w:pPr>
      <w:r>
        <w:rPr>
          <w:rStyle w:val="FootnoteReference"/>
        </w:rPr>
        <w:footnoteRef/>
      </w:r>
      <w:r>
        <w:t xml:space="preserve"> Schmidt, </w:t>
      </w:r>
      <w:r>
        <w:rPr>
          <w:i/>
          <w:iCs/>
        </w:rPr>
        <w:t xml:space="preserve">Tetrabiblos, Book III, </w:t>
      </w:r>
      <w:r>
        <w:t xml:space="preserve">pp.ix-x, </w:t>
      </w:r>
    </w:p>
  </w:footnote>
  <w:footnote w:id="129">
    <w:p w14:paraId="779D09C6" w14:textId="77777777" w:rsidR="00105F83" w:rsidRDefault="00105F83" w:rsidP="008F6736">
      <w:pPr>
        <w:pStyle w:val="FootnoteText"/>
      </w:pPr>
      <w:r>
        <w:rPr>
          <w:rStyle w:val="FootnoteReference"/>
        </w:rPr>
        <w:footnoteRef/>
      </w:r>
      <w:r>
        <w:t xml:space="preserve"> Valens, </w:t>
      </w:r>
      <w:r w:rsidRPr="002F2323">
        <w:rPr>
          <w:i/>
          <w:iCs/>
        </w:rPr>
        <w:t>Books II &amp; III</w:t>
      </w:r>
      <w:r>
        <w:t>, pp.34-35.</w:t>
      </w:r>
    </w:p>
  </w:footnote>
  <w:footnote w:id="130">
    <w:p w14:paraId="5E8CF759" w14:textId="77777777" w:rsidR="00105F83" w:rsidRDefault="00105F83" w:rsidP="008F6736">
      <w:pPr>
        <w:pStyle w:val="FootnoteText"/>
      </w:pPr>
      <w:r>
        <w:rPr>
          <w:rStyle w:val="FootnoteReference"/>
        </w:rPr>
        <w:footnoteRef/>
      </w:r>
      <w:r>
        <w:t xml:space="preserve"> Valens, </w:t>
      </w:r>
      <w:r w:rsidRPr="00D5393F">
        <w:rPr>
          <w:i/>
          <w:iCs/>
        </w:rPr>
        <w:t>Anthologies</w:t>
      </w:r>
      <w:r>
        <w:t>, p.80.</w:t>
      </w:r>
    </w:p>
  </w:footnote>
  <w:footnote w:id="131">
    <w:p w14:paraId="60FA0C70" w14:textId="77777777" w:rsidR="00105F83" w:rsidRDefault="00105F83" w:rsidP="008F6736">
      <w:pPr>
        <w:pStyle w:val="FootnoteText"/>
      </w:pPr>
      <w:r>
        <w:rPr>
          <w:rStyle w:val="FootnoteReference"/>
        </w:rPr>
        <w:footnoteRef/>
      </w:r>
      <w:r>
        <w:t xml:space="preserve"> Valens, </w:t>
      </w:r>
      <w:r w:rsidRPr="002F2323">
        <w:rPr>
          <w:i/>
          <w:iCs/>
        </w:rPr>
        <w:t>Books II &amp; III</w:t>
      </w:r>
      <w:r>
        <w:t>, pp.35.</w:t>
      </w:r>
    </w:p>
  </w:footnote>
  <w:footnote w:id="132">
    <w:p w14:paraId="73BC0F3C" w14:textId="3910BA4D" w:rsidR="00105F83" w:rsidRDefault="00105F83" w:rsidP="008F6736">
      <w:pPr>
        <w:pStyle w:val="FootnoteText"/>
      </w:pPr>
      <w:r>
        <w:rPr>
          <w:rStyle w:val="FootnoteReference"/>
        </w:rPr>
        <w:footnoteRef/>
      </w:r>
      <w:r>
        <w:t xml:space="preserve"> Valens, </w:t>
      </w:r>
      <w:r w:rsidRPr="002F2323">
        <w:rPr>
          <w:i/>
          <w:iCs/>
        </w:rPr>
        <w:t>Books II &amp; III</w:t>
      </w:r>
      <w:r>
        <w:t>, p.35.</w:t>
      </w:r>
    </w:p>
  </w:footnote>
  <w:footnote w:id="133">
    <w:p w14:paraId="10A155E1" w14:textId="77777777" w:rsidR="00105F83" w:rsidRDefault="00105F83" w:rsidP="008F6736">
      <w:pPr>
        <w:pStyle w:val="FootnoteText"/>
      </w:pPr>
      <w:r>
        <w:rPr>
          <w:rStyle w:val="FootnoteReference"/>
        </w:rPr>
        <w:footnoteRef/>
      </w:r>
      <w:r>
        <w:t xml:space="preserve"> Valens, </w:t>
      </w:r>
      <w:r w:rsidRPr="00D5393F">
        <w:rPr>
          <w:i/>
          <w:iCs/>
        </w:rPr>
        <w:t>Anthologies</w:t>
      </w:r>
      <w:r>
        <w:t>, p.105.</w:t>
      </w:r>
    </w:p>
  </w:footnote>
  <w:footnote w:id="134">
    <w:p w14:paraId="18684D91" w14:textId="77777777" w:rsidR="00105F83" w:rsidRDefault="00105F83" w:rsidP="008F6736">
      <w:pPr>
        <w:pStyle w:val="FootnoteText"/>
      </w:pPr>
      <w:r>
        <w:rPr>
          <w:rStyle w:val="FootnoteReference"/>
        </w:rPr>
        <w:footnoteRef/>
      </w:r>
      <w:r>
        <w:t xml:space="preserve"> Valens, </w:t>
      </w:r>
      <w:r w:rsidRPr="00D5393F">
        <w:rPr>
          <w:i/>
          <w:iCs/>
        </w:rPr>
        <w:t>Anthologies</w:t>
      </w:r>
      <w:r>
        <w:t>, p.105.</w:t>
      </w:r>
    </w:p>
  </w:footnote>
  <w:footnote w:id="135">
    <w:p w14:paraId="74746952" w14:textId="77777777" w:rsidR="00105F83" w:rsidRDefault="00105F83" w:rsidP="008F6736">
      <w:pPr>
        <w:pStyle w:val="FootnoteText"/>
      </w:pPr>
      <w:r>
        <w:rPr>
          <w:rStyle w:val="FootnoteReference"/>
        </w:rPr>
        <w:footnoteRef/>
      </w:r>
      <w:r>
        <w:t xml:space="preserve"> Valens, </w:t>
      </w:r>
      <w:r w:rsidRPr="00D5393F">
        <w:rPr>
          <w:i/>
          <w:iCs/>
        </w:rPr>
        <w:t>Anthologies</w:t>
      </w:r>
      <w:r>
        <w:t>, p.105.</w:t>
      </w:r>
    </w:p>
  </w:footnote>
  <w:footnote w:id="136">
    <w:p w14:paraId="30F97117" w14:textId="77777777" w:rsidR="00105F83" w:rsidRDefault="00105F83" w:rsidP="008F6736">
      <w:pPr>
        <w:pStyle w:val="FootnoteText"/>
      </w:pPr>
      <w:r>
        <w:rPr>
          <w:rStyle w:val="FootnoteReference"/>
        </w:rPr>
        <w:footnoteRef/>
      </w:r>
      <w:r>
        <w:t xml:space="preserve"> Valens, </w:t>
      </w:r>
      <w:r w:rsidRPr="002F2323">
        <w:rPr>
          <w:i/>
          <w:iCs/>
        </w:rPr>
        <w:t xml:space="preserve">Books </w:t>
      </w:r>
      <w:r>
        <w:rPr>
          <w:i/>
          <w:iCs/>
        </w:rPr>
        <w:t>V</w:t>
      </w:r>
      <w:r w:rsidRPr="002F2323">
        <w:rPr>
          <w:i/>
          <w:iCs/>
        </w:rPr>
        <w:t xml:space="preserve"> &amp; </w:t>
      </w:r>
      <w:r>
        <w:rPr>
          <w:i/>
          <w:iCs/>
        </w:rPr>
        <w:t>VI</w:t>
      </w:r>
      <w:r>
        <w:t>, p.30.</w:t>
      </w:r>
    </w:p>
  </w:footnote>
  <w:footnote w:id="137">
    <w:p w14:paraId="6C745466" w14:textId="77777777" w:rsidR="00105F83" w:rsidRDefault="00105F83" w:rsidP="008F6736">
      <w:pPr>
        <w:pStyle w:val="FootnoteText"/>
      </w:pPr>
      <w:r>
        <w:rPr>
          <w:rStyle w:val="FootnoteReference"/>
        </w:rPr>
        <w:footnoteRef/>
      </w:r>
      <w:r>
        <w:t xml:space="preserve"> Valens, </w:t>
      </w:r>
      <w:r w:rsidRPr="00D5393F">
        <w:rPr>
          <w:i/>
          <w:iCs/>
        </w:rPr>
        <w:t>Anthologies</w:t>
      </w:r>
      <w:r>
        <w:t>, p.157.</w:t>
      </w:r>
    </w:p>
  </w:footnote>
  <w:footnote w:id="138">
    <w:p w14:paraId="45D6AD1D" w14:textId="77777777" w:rsidR="00105F83" w:rsidRDefault="00105F83" w:rsidP="008F6736">
      <w:pPr>
        <w:pStyle w:val="FootnoteText"/>
      </w:pPr>
      <w:r>
        <w:rPr>
          <w:rStyle w:val="FootnoteReference"/>
        </w:rPr>
        <w:footnoteRef/>
      </w:r>
      <w:r>
        <w:t xml:space="preserve"> Valens, </w:t>
      </w:r>
      <w:r w:rsidRPr="00D5393F">
        <w:rPr>
          <w:i/>
          <w:iCs/>
        </w:rPr>
        <w:t>Anthologies</w:t>
      </w:r>
      <w:r>
        <w:t>, p.15.</w:t>
      </w:r>
    </w:p>
  </w:footnote>
  <w:footnote w:id="139">
    <w:p w14:paraId="57BC0647" w14:textId="77777777" w:rsidR="00105F83" w:rsidRDefault="00105F83" w:rsidP="008F6736">
      <w:pPr>
        <w:pStyle w:val="FootnoteText"/>
      </w:pPr>
      <w:r>
        <w:rPr>
          <w:rStyle w:val="FootnoteReference"/>
        </w:rPr>
        <w:footnoteRef/>
      </w:r>
      <w:r>
        <w:t xml:space="preserve"> Valens, </w:t>
      </w:r>
      <w:r w:rsidRPr="00D5393F">
        <w:rPr>
          <w:i/>
          <w:iCs/>
        </w:rPr>
        <w:t>Anthologies</w:t>
      </w:r>
      <w:r>
        <w:t>, p.78.</w:t>
      </w:r>
    </w:p>
  </w:footnote>
  <w:footnote w:id="140">
    <w:p w14:paraId="6349BC57" w14:textId="77777777" w:rsidR="00105F83" w:rsidRDefault="00105F83" w:rsidP="008F6736">
      <w:pPr>
        <w:pStyle w:val="FootnoteText"/>
      </w:pPr>
      <w:r>
        <w:rPr>
          <w:rStyle w:val="FootnoteReference"/>
        </w:rPr>
        <w:footnoteRef/>
      </w:r>
      <w:r>
        <w:t xml:space="preserve"> Valens, Anthologies, p.162.</w:t>
      </w:r>
    </w:p>
  </w:footnote>
  <w:footnote w:id="141">
    <w:p w14:paraId="12683B84" w14:textId="4EEE47F6" w:rsidR="00105F83" w:rsidRDefault="00105F83">
      <w:pPr>
        <w:pStyle w:val="FootnoteText"/>
      </w:pPr>
      <w:r>
        <w:rPr>
          <w:rStyle w:val="FootnoteReference"/>
        </w:rPr>
        <w:footnoteRef/>
      </w:r>
      <w:r w:rsidRPr="008F5A29">
        <w:t xml:space="preserve"> Deborah Houlding</w:t>
      </w:r>
      <w:r>
        <w:t xml:space="preserve">, </w:t>
      </w:r>
      <w:r w:rsidRPr="008F5A29">
        <w:rPr>
          <w:i/>
          <w:iCs/>
        </w:rPr>
        <w:t>The Houses: Temples of the Sky</w:t>
      </w:r>
      <w:r>
        <w:t xml:space="preserve">, pp.116-117; Neugebauer and Van Hoesen, </w:t>
      </w:r>
      <w:r w:rsidRPr="008F5A29">
        <w:rPr>
          <w:i/>
          <w:iCs/>
        </w:rPr>
        <w:t>Greek Horoscopes</w:t>
      </w:r>
      <w:r>
        <w:t>, p.89.</w:t>
      </w:r>
    </w:p>
  </w:footnote>
  <w:footnote w:id="142">
    <w:p w14:paraId="1FF1D0EE" w14:textId="77777777" w:rsidR="00105F83" w:rsidRDefault="00105F83" w:rsidP="009422E8">
      <w:pPr>
        <w:pStyle w:val="FootnoteText"/>
      </w:pPr>
      <w:r>
        <w:rPr>
          <w:rStyle w:val="FootnoteReference"/>
        </w:rPr>
        <w:footnoteRef/>
      </w:r>
      <w:r>
        <w:t xml:space="preserve"> Bowen </w:t>
      </w:r>
      <w:r w:rsidRPr="007064CD">
        <w:t xml:space="preserve">and Rochberg, </w:t>
      </w:r>
      <w:r w:rsidRPr="007064CD">
        <w:rPr>
          <w:i/>
          <w:iCs/>
        </w:rPr>
        <w:t>Hellenistic Astronomy</w:t>
      </w:r>
      <w:r>
        <w:rPr>
          <w:i/>
          <w:iCs/>
        </w:rPr>
        <w:t xml:space="preserve">, </w:t>
      </w:r>
      <w:r>
        <w:t>p.XII.</w:t>
      </w:r>
    </w:p>
  </w:footnote>
  <w:footnote w:id="143">
    <w:p w14:paraId="1AE8EB9E" w14:textId="77777777" w:rsidR="00105F83" w:rsidRDefault="00105F83" w:rsidP="009422E8">
      <w:pPr>
        <w:pStyle w:val="FootnoteText"/>
      </w:pPr>
      <w:r>
        <w:rPr>
          <w:rStyle w:val="FootnoteReference"/>
        </w:rPr>
        <w:footnoteRef/>
      </w:r>
      <w:r>
        <w:t xml:space="preserve"> </w:t>
      </w:r>
      <w:r w:rsidRPr="00BC1F3C">
        <w:t xml:space="preserve">Houlding, </w:t>
      </w:r>
      <w:r w:rsidRPr="00BC1F3C">
        <w:rPr>
          <w:i/>
        </w:rPr>
        <w:t>The Houses: Temples of the Sk</w:t>
      </w:r>
      <w:r>
        <w:rPr>
          <w:i/>
        </w:rPr>
        <w:t xml:space="preserve">y, </w:t>
      </w:r>
      <w:r w:rsidRPr="00E1089B">
        <w:rPr>
          <w:iCs/>
        </w:rPr>
        <w:t>p.113.</w:t>
      </w:r>
    </w:p>
  </w:footnote>
  <w:footnote w:id="144">
    <w:p w14:paraId="74A3C5DE" w14:textId="77777777" w:rsidR="00105F83" w:rsidRDefault="00105F83" w:rsidP="009422E8">
      <w:pPr>
        <w:pStyle w:val="FootnoteText"/>
      </w:pPr>
      <w:r>
        <w:rPr>
          <w:rStyle w:val="FootnoteReference"/>
        </w:rPr>
        <w:footnoteRef/>
      </w:r>
      <w:r>
        <w:t xml:space="preserve"> Ptolemy,</w:t>
      </w:r>
      <w:r w:rsidRPr="00420E16">
        <w:t xml:space="preserve"> </w:t>
      </w:r>
      <w:r>
        <w:rPr>
          <w:i/>
          <w:iCs/>
        </w:rPr>
        <w:t xml:space="preserve">Tetrabiblos, Book III, </w:t>
      </w:r>
      <w:r w:rsidRPr="006133A7">
        <w:t>p</w:t>
      </w:r>
      <w:r>
        <w:t>p</w:t>
      </w:r>
      <w:r w:rsidRPr="006133A7">
        <w:t>.</w:t>
      </w:r>
      <w:r>
        <w:t>29-31.</w:t>
      </w:r>
    </w:p>
  </w:footnote>
  <w:footnote w:id="145">
    <w:p w14:paraId="49EABBB3" w14:textId="77777777" w:rsidR="00105F83" w:rsidRDefault="00105F83" w:rsidP="009422E8">
      <w:pPr>
        <w:pStyle w:val="FootnoteText"/>
      </w:pPr>
      <w:r>
        <w:rPr>
          <w:rStyle w:val="FootnoteReference"/>
        </w:rPr>
        <w:footnoteRef/>
      </w:r>
      <w:r>
        <w:t xml:space="preserve"> Ptolemy,</w:t>
      </w:r>
      <w:r w:rsidRPr="00420E16">
        <w:t xml:space="preserve"> </w:t>
      </w:r>
      <w:r>
        <w:rPr>
          <w:i/>
          <w:iCs/>
        </w:rPr>
        <w:t xml:space="preserve">Tetrabiblos, Book III, </w:t>
      </w:r>
      <w:r w:rsidRPr="006133A7">
        <w:t>p</w:t>
      </w:r>
      <w:r>
        <w:t>p</w:t>
      </w:r>
      <w:r w:rsidRPr="006133A7">
        <w:t>.</w:t>
      </w:r>
      <w:r>
        <w:t>29-31.</w:t>
      </w:r>
    </w:p>
  </w:footnote>
  <w:footnote w:id="146">
    <w:p w14:paraId="4D2FAB27" w14:textId="77777777" w:rsidR="00105F83" w:rsidRDefault="00105F83" w:rsidP="009422E8">
      <w:pPr>
        <w:pStyle w:val="FootnoteText"/>
      </w:pPr>
      <w:r>
        <w:rPr>
          <w:rStyle w:val="FootnoteReference"/>
        </w:rPr>
        <w:footnoteRef/>
      </w:r>
      <w:r>
        <w:t xml:space="preserve"> Ptolemy,</w:t>
      </w:r>
      <w:r w:rsidRPr="00420E16">
        <w:t xml:space="preserve"> </w:t>
      </w:r>
      <w:r>
        <w:rPr>
          <w:i/>
          <w:iCs/>
        </w:rPr>
        <w:t xml:space="preserve">Tetrabiblos, Book III, </w:t>
      </w:r>
      <w:r w:rsidRPr="006133A7">
        <w:t>p</w:t>
      </w:r>
      <w:r>
        <w:t xml:space="preserve">p.30-33. </w:t>
      </w:r>
    </w:p>
  </w:footnote>
  <w:footnote w:id="147">
    <w:p w14:paraId="38C5CAF0" w14:textId="77777777" w:rsidR="00105F83" w:rsidRDefault="00105F83" w:rsidP="009422E8">
      <w:pPr>
        <w:pStyle w:val="FootnoteText"/>
      </w:pPr>
      <w:r>
        <w:rPr>
          <w:rStyle w:val="FootnoteReference"/>
        </w:rPr>
        <w:footnoteRef/>
      </w:r>
      <w:r>
        <w:t xml:space="preserve"> Volk, </w:t>
      </w:r>
      <w:r w:rsidRPr="007A4B00">
        <w:rPr>
          <w:i/>
          <w:iCs/>
        </w:rPr>
        <w:t>Manilius and His Intellectual Background</w:t>
      </w:r>
      <w:r>
        <w:rPr>
          <w:i/>
          <w:iCs/>
        </w:rPr>
        <w:t>, p.</w:t>
      </w:r>
      <w:r>
        <w:t>1.</w:t>
      </w:r>
    </w:p>
  </w:footnote>
  <w:footnote w:id="148">
    <w:p w14:paraId="170735E0" w14:textId="77777777" w:rsidR="00105F83" w:rsidRDefault="00105F83" w:rsidP="009422E8">
      <w:pPr>
        <w:pStyle w:val="FootnoteText"/>
      </w:pPr>
      <w:r>
        <w:rPr>
          <w:rStyle w:val="FootnoteReference"/>
        </w:rPr>
        <w:footnoteRef/>
      </w:r>
      <w:r w:rsidRPr="00CC18A0">
        <w:t xml:space="preserve"> Firmicus, Maternus</w:t>
      </w:r>
      <w:r>
        <w:t xml:space="preserve">, </w:t>
      </w:r>
      <w:r w:rsidRPr="00CC18A0">
        <w:rPr>
          <w:i/>
          <w:iCs/>
        </w:rPr>
        <w:t>Ancient Astrology, Theory and Practice: Mathesis</w:t>
      </w:r>
      <w:r w:rsidRPr="00CC18A0">
        <w:t>, trans. Jean Rhys Bram, Noyes Press, Park Ridge, NJ, 1975 (repr. Astrology Center of America, Abingdon, MD, 2005)</w:t>
      </w:r>
      <w:r>
        <w:t>, p.50.</w:t>
      </w:r>
    </w:p>
  </w:footnote>
  <w:footnote w:id="149">
    <w:p w14:paraId="0AAAA04E" w14:textId="77777777" w:rsidR="00105F83" w:rsidRDefault="00105F83" w:rsidP="009422E8">
      <w:pPr>
        <w:pStyle w:val="FootnoteText"/>
      </w:pPr>
      <w:r>
        <w:rPr>
          <w:rStyle w:val="FootnoteReference"/>
        </w:rPr>
        <w:footnoteRef/>
      </w:r>
      <w:r>
        <w:t xml:space="preserve"> </w:t>
      </w:r>
      <w:r w:rsidRPr="00CC18A0">
        <w:t>Maternus</w:t>
      </w:r>
      <w:r>
        <w:t xml:space="preserve">, </w:t>
      </w:r>
      <w:r w:rsidRPr="007B706C">
        <w:rPr>
          <w:i/>
          <w:iCs/>
        </w:rPr>
        <w:t>Mathesis</w:t>
      </w:r>
      <w:r>
        <w:t>, p.47.</w:t>
      </w:r>
    </w:p>
  </w:footnote>
  <w:footnote w:id="150">
    <w:p w14:paraId="4ED48037" w14:textId="77777777" w:rsidR="00105F83" w:rsidRDefault="00105F83" w:rsidP="009422E8">
      <w:pPr>
        <w:pStyle w:val="FootnoteText"/>
      </w:pPr>
      <w:r>
        <w:rPr>
          <w:rStyle w:val="FootnoteReference"/>
        </w:rPr>
        <w:footnoteRef/>
      </w:r>
      <w:r>
        <w:t xml:space="preserve"> </w:t>
      </w:r>
      <w:r w:rsidRPr="00CC18A0">
        <w:t>Maternus</w:t>
      </w:r>
      <w:r>
        <w:t xml:space="preserve">, </w:t>
      </w:r>
      <w:r w:rsidRPr="007B706C">
        <w:rPr>
          <w:i/>
          <w:iCs/>
        </w:rPr>
        <w:t>Mathesis</w:t>
      </w:r>
      <w:r>
        <w:t>, pp.88-89.</w:t>
      </w:r>
    </w:p>
  </w:footnote>
  <w:footnote w:id="151">
    <w:p w14:paraId="7BBBF914" w14:textId="77777777" w:rsidR="00105F83" w:rsidRDefault="00105F83" w:rsidP="00CF7AA1">
      <w:pPr>
        <w:pStyle w:val="FootnoteText"/>
      </w:pPr>
      <w:r>
        <w:rPr>
          <w:rStyle w:val="FootnoteReference"/>
        </w:rPr>
        <w:footnoteRef/>
      </w:r>
      <w:r>
        <w:t xml:space="preserve"> Hand</w:t>
      </w:r>
      <w:r w:rsidRPr="000E5640">
        <w:t xml:space="preserve">, </w:t>
      </w:r>
      <w:r w:rsidRPr="000E5640">
        <w:rPr>
          <w:i/>
          <w:iCs/>
        </w:rPr>
        <w:t>Whole Sign Houses</w:t>
      </w:r>
      <w:r>
        <w:rPr>
          <w:i/>
          <w:iCs/>
        </w:rPr>
        <w:t xml:space="preserve">, </w:t>
      </w:r>
      <w:r>
        <w:t>p.16.</w:t>
      </w:r>
    </w:p>
  </w:footnote>
  <w:footnote w:id="152">
    <w:p w14:paraId="754F6E8C" w14:textId="77777777" w:rsidR="00105F83" w:rsidRDefault="00105F83" w:rsidP="00CF7AA1">
      <w:pPr>
        <w:pStyle w:val="FootnoteText"/>
      </w:pPr>
      <w:r>
        <w:rPr>
          <w:rStyle w:val="FootnoteReference"/>
        </w:rPr>
        <w:footnoteRef/>
      </w:r>
      <w:r>
        <w:t xml:space="preserve"> Olympiodorus, trans. by Dorian Greenbam, Hand</w:t>
      </w:r>
      <w:r w:rsidRPr="000E5640">
        <w:t xml:space="preserve">, </w:t>
      </w:r>
      <w:r w:rsidRPr="000E5640">
        <w:rPr>
          <w:i/>
          <w:iCs/>
        </w:rPr>
        <w:t>Whole Sign Houses</w:t>
      </w:r>
      <w:r>
        <w:rPr>
          <w:i/>
          <w:iCs/>
        </w:rPr>
        <w:t xml:space="preserve">, </w:t>
      </w:r>
      <w:r>
        <w:t>p.16.</w:t>
      </w:r>
    </w:p>
  </w:footnote>
  <w:footnote w:id="153">
    <w:p w14:paraId="0350DB7D" w14:textId="77777777" w:rsidR="00105F83" w:rsidRDefault="00105F83" w:rsidP="00CF7AA1">
      <w:pPr>
        <w:pStyle w:val="FootnoteText"/>
      </w:pPr>
      <w:r>
        <w:rPr>
          <w:rStyle w:val="FootnoteReference"/>
        </w:rPr>
        <w:footnoteRef/>
      </w:r>
      <w:r>
        <w:t xml:space="preserve"> </w:t>
      </w:r>
      <w:r w:rsidRPr="001835A1">
        <w:t xml:space="preserve">Schmidt, </w:t>
      </w:r>
      <w:r w:rsidRPr="001835A1">
        <w:rPr>
          <w:i/>
          <w:iCs/>
        </w:rPr>
        <w:t>The So-Called ‘Problem of House Division’</w:t>
      </w:r>
      <w:r>
        <w:rPr>
          <w:i/>
          <w:iCs/>
        </w:rPr>
        <w:t xml:space="preserve">, </w:t>
      </w:r>
      <w:r>
        <w:t>pp.56-58.</w:t>
      </w:r>
    </w:p>
  </w:footnote>
  <w:footnote w:id="154">
    <w:p w14:paraId="68DB335C" w14:textId="77777777" w:rsidR="00105F83" w:rsidRPr="00E07F18" w:rsidRDefault="00105F83" w:rsidP="00083203">
      <w:pPr>
        <w:pStyle w:val="FootnoteText"/>
      </w:pPr>
      <w:r>
        <w:rPr>
          <w:rStyle w:val="FootnoteReference"/>
        </w:rPr>
        <w:footnoteRef/>
      </w:r>
      <w:r>
        <w:t xml:space="preserve"> Campion, </w:t>
      </w:r>
      <w:r w:rsidRPr="00E92205">
        <w:rPr>
          <w:i/>
          <w:iCs/>
        </w:rPr>
        <w:t>The Traditional Revival in Modern Astrology</w:t>
      </w:r>
      <w:r>
        <w:rPr>
          <w:i/>
          <w:iCs/>
        </w:rPr>
        <w:t>,</w:t>
      </w:r>
      <w:r w:rsidRPr="00E07F18">
        <w:t xml:space="preserve"> p.6.</w:t>
      </w:r>
    </w:p>
  </w:footnote>
  <w:footnote w:id="155">
    <w:p w14:paraId="3C4E3799" w14:textId="77777777" w:rsidR="00105F83" w:rsidRDefault="00105F83" w:rsidP="00083203">
      <w:pPr>
        <w:pStyle w:val="FootnoteText"/>
      </w:pPr>
      <w:r>
        <w:rPr>
          <w:rStyle w:val="FootnoteReference"/>
        </w:rPr>
        <w:footnoteRef/>
      </w:r>
      <w:r w:rsidRPr="00F709CB">
        <w:t xml:space="preserve"> </w:t>
      </w:r>
      <w:r>
        <w:t xml:space="preserve">Clynes, </w:t>
      </w:r>
      <w:r w:rsidRPr="00F709CB">
        <w:rPr>
          <w:i/>
          <w:iCs/>
        </w:rPr>
        <w:t>Cyberspace and Dualism</w:t>
      </w:r>
      <w:r w:rsidRPr="00A75604">
        <w:t xml:space="preserve">, </w:t>
      </w:r>
      <w:r>
        <w:t>p.214, pp.373-374.</w:t>
      </w:r>
    </w:p>
  </w:footnote>
  <w:footnote w:id="156">
    <w:p w14:paraId="1FB7C6FE" w14:textId="77777777" w:rsidR="00105F83" w:rsidRPr="00871F90" w:rsidRDefault="00105F83" w:rsidP="00083203">
      <w:pPr>
        <w:pStyle w:val="FootnoteText"/>
      </w:pPr>
      <w:r>
        <w:rPr>
          <w:rStyle w:val="FootnoteReference"/>
        </w:rPr>
        <w:footnoteRef/>
      </w:r>
      <w:r>
        <w:t xml:space="preserve"> Clynes, </w:t>
      </w:r>
      <w:r w:rsidRPr="00F709CB">
        <w:rPr>
          <w:i/>
          <w:iCs/>
        </w:rPr>
        <w:t>Cyberspace and Dualism</w:t>
      </w:r>
      <w:r w:rsidRPr="00A75604">
        <w:t>, pp.373</w:t>
      </w:r>
      <w:r>
        <w:t>-374.</w:t>
      </w:r>
    </w:p>
  </w:footnote>
  <w:footnote w:id="157">
    <w:p w14:paraId="0BBF1408" w14:textId="3F709BCA" w:rsidR="00105F83" w:rsidRDefault="00105F83" w:rsidP="00083203">
      <w:pPr>
        <w:pStyle w:val="FootnoteText"/>
      </w:pPr>
      <w:r>
        <w:rPr>
          <w:rStyle w:val="FootnoteReference"/>
        </w:rPr>
        <w:footnoteRef/>
      </w:r>
      <w:r>
        <w:t xml:space="preserve"> </w:t>
      </w:r>
      <w:r w:rsidRPr="00CD262F">
        <w:t xml:space="preserve">Blaze </w:t>
      </w:r>
      <w:r w:rsidRPr="00CD262F">
        <w:rPr>
          <w:rFonts w:ascii="Apple Color Emoji" w:hAnsi="Apple Color Emoji" w:cs="Apple Color Emoji"/>
        </w:rPr>
        <w:t>✨</w:t>
      </w:r>
      <w:r>
        <w:t>, “</w:t>
      </w:r>
      <w:r w:rsidRPr="00912125">
        <w:t>It means that these planets in the house are in a correct accordance to the natural house/sign based affinity by aspect. This is why when people look at their Whole Sign Chart, it makes a lot more sense— its like fitting a puzzle into the right piece.</w:t>
      </w:r>
      <w:r>
        <w:t>”, Twitter, (@AstroByMax, 27</w:t>
      </w:r>
      <w:r w:rsidRPr="00C46D5A">
        <w:rPr>
          <w:vertAlign w:val="superscript"/>
        </w:rPr>
        <w:t>th</w:t>
      </w:r>
      <w:r>
        <w:t xml:space="preserve"> April 2020); </w:t>
      </w:r>
      <w:r w:rsidRPr="00F32C94">
        <w:t>Lil Miss Mercurial</w:t>
      </w:r>
      <w:r>
        <w:t>, “</w:t>
      </w:r>
      <w:r w:rsidRPr="00F32C94">
        <w:t>I recommend beginner astrologers to get into the whole sign house system first because (in my opinion) it’s the easiest. The Placidus house system can easily become difficult in some cases. Screen reader support enabled. I recommend beginner astrologers to get into the whole sign house system first because (in my opinion) it’s the easiest. The Placidus house system can easily become difficult in some cases.</w:t>
      </w:r>
      <w:r>
        <w:t>”, Twitter, (@</w:t>
      </w:r>
      <w:r w:rsidRPr="00F32C94">
        <w:t>MsAriesMoon</w:t>
      </w:r>
      <w:r>
        <w:t>, 16</w:t>
      </w:r>
      <w:r>
        <w:rPr>
          <w:vertAlign w:val="superscript"/>
        </w:rPr>
        <w:t>th</w:t>
      </w:r>
      <w:r>
        <w:t xml:space="preserve"> March 2021);</w:t>
      </w:r>
      <w:r w:rsidRPr="00F32C94">
        <w:t xml:space="preserve"> Leviathan Astrology</w:t>
      </w:r>
      <w:r>
        <w:t>, “</w:t>
      </w:r>
      <w:r w:rsidRPr="00F32C94">
        <w:t>No disrespect to those who use it, but the Whole Sign house system for natal charts seems like it erases the individual's Ascendant degree and doesn't allow for the same amount of nuance that other systems do. It seems like a strange place to cut corners as an astrologer.</w:t>
      </w:r>
      <w:r>
        <w:t>”, Twitter, @</w:t>
      </w:r>
      <w:r w:rsidRPr="00F32C94">
        <w:t>LeviathanAstro1</w:t>
      </w:r>
      <w:r>
        <w:t>, (28</w:t>
      </w:r>
      <w:r w:rsidRPr="00F32C94">
        <w:rPr>
          <w:vertAlign w:val="superscript"/>
        </w:rPr>
        <w:t>th</w:t>
      </w:r>
      <w:r>
        <w:t xml:space="preserve"> September 2020);</w:t>
      </w:r>
      <w:r w:rsidRPr="00F32C94">
        <w:t xml:space="preserve"> </w:t>
      </w:r>
      <w:r>
        <w:t xml:space="preserve"> </w:t>
      </w:r>
      <w:r w:rsidRPr="00F32C94">
        <w:rPr>
          <w:rFonts w:ascii="Apple Color Emoji" w:hAnsi="Apple Color Emoji" w:cs="Apple Color Emoji"/>
        </w:rPr>
        <w:t>🌿</w:t>
      </w:r>
      <w:r w:rsidRPr="00F32C94">
        <w:t>luna giiselle</w:t>
      </w:r>
      <w:r w:rsidRPr="00F32C94">
        <w:rPr>
          <w:rFonts w:ascii="Segoe UI Historic" w:hAnsi="Segoe UI Historic" w:cs="Segoe UI Historic"/>
        </w:rPr>
        <w:t>𓂉</w:t>
      </w:r>
      <w:r w:rsidRPr="00F32C94">
        <w:rPr>
          <w:rFonts w:ascii="MS Gothic" w:eastAsia="MS Gothic" w:hAnsi="MS Gothic" w:cs="MS Gothic" w:hint="eastAsia"/>
        </w:rPr>
        <w:t>ﾟ</w:t>
      </w:r>
      <w:r w:rsidRPr="00F32C94">
        <w:t>: *</w:t>
      </w:r>
      <w:r w:rsidRPr="00F32C94">
        <w:rPr>
          <w:rFonts w:ascii="Segoe UI Symbol" w:hAnsi="Segoe UI Symbol" w:cs="Segoe UI Symbol"/>
        </w:rPr>
        <w:t>✧</w:t>
      </w:r>
      <w:r>
        <w:t>, “</w:t>
      </w:r>
      <w:r w:rsidRPr="00F32C94">
        <w:t>use this with whole sign houses!</w:t>
      </w:r>
      <w:r>
        <w:t xml:space="preserve">”, Twitter, </w:t>
      </w:r>
      <w:r w:rsidRPr="00F32C94">
        <w:t>@lunagiiselle</w:t>
      </w:r>
      <w:r>
        <w:t>, (10</w:t>
      </w:r>
      <w:r w:rsidRPr="00F32C94">
        <w:rPr>
          <w:vertAlign w:val="superscript"/>
        </w:rPr>
        <w:t>th</w:t>
      </w:r>
      <w:r w:rsidRPr="001C4B3D">
        <w:t xml:space="preserve"> </w:t>
      </w:r>
      <w:r>
        <w:t>September 2021);</w:t>
      </w:r>
      <w:r w:rsidRPr="00F32C94">
        <w:t xml:space="preserve"> </w:t>
      </w:r>
      <w:r>
        <w:t xml:space="preserve"> </w:t>
      </w:r>
      <w:r w:rsidRPr="00F32C94">
        <w:t xml:space="preserve">Victory Beaver </w:t>
      </w:r>
      <w:r w:rsidRPr="00F32C94">
        <w:rPr>
          <w:rFonts w:ascii="Apple Color Emoji" w:hAnsi="Apple Color Emoji" w:cs="Apple Color Emoji"/>
        </w:rPr>
        <w:t>🦫</w:t>
      </w:r>
      <w:r>
        <w:t>, “</w:t>
      </w:r>
      <w:r w:rsidRPr="00F32C94">
        <w:t>I've really found using WSH has improved my astrology. I'm glad I tried them based on one of your articles.</w:t>
      </w:r>
      <w:r>
        <w:t>”, Twitter, (@</w:t>
      </w:r>
      <w:r w:rsidRPr="00F32C94">
        <w:t>astro_ashley11</w:t>
      </w:r>
      <w:r>
        <w:t>, 16</w:t>
      </w:r>
      <w:r w:rsidRPr="00C46D5A">
        <w:rPr>
          <w:vertAlign w:val="superscript"/>
        </w:rPr>
        <w:t>th</w:t>
      </w:r>
      <w:r>
        <w:rPr>
          <w:vertAlign w:val="superscript"/>
        </w:rPr>
        <w:t xml:space="preserve"> </w:t>
      </w:r>
      <w:r>
        <w:t>June 2018);</w:t>
      </w:r>
      <w:r w:rsidRPr="00F32C94">
        <w:t xml:space="preserve"> </w:t>
      </w:r>
      <w:r w:rsidRPr="00DA0BCD">
        <w:rPr>
          <w:rFonts w:ascii="Segoe UI Symbol" w:hAnsi="Segoe UI Symbol" w:cs="Segoe UI Symbol"/>
        </w:rPr>
        <w:t>✧</w:t>
      </w:r>
      <w:r w:rsidRPr="00DA0BCD">
        <w:t>* violet</w:t>
      </w:r>
      <w:r w:rsidRPr="00DA0BCD">
        <w:rPr>
          <w:rFonts w:ascii="MS Gothic" w:eastAsia="MS Gothic" w:hAnsi="MS Gothic" w:cs="MS Gothic" w:hint="eastAsia"/>
        </w:rPr>
        <w:t>･ﾟ</w:t>
      </w:r>
      <w:r w:rsidRPr="00DA0BCD">
        <w:rPr>
          <w:rFonts w:ascii="Segoe UI Symbol" w:hAnsi="Segoe UI Symbol" w:cs="Segoe UI Symbol"/>
        </w:rPr>
        <w:t>✧</w:t>
      </w:r>
      <w:r>
        <w:t>, “</w:t>
      </w:r>
      <w:r w:rsidRPr="00E17915">
        <w:t>cont. i always recommend looking at your chart in whole sign houses before placidus when ure starting, since placidus can be more overwhelming at first glance, then you can choose whichever house system you want! &amp; the last photo is a placidus chart w/o interceptions/duplications</w:t>
      </w:r>
      <w:r>
        <w:t>”, Twitter, (@</w:t>
      </w:r>
      <w:r w:rsidRPr="00DA0BCD">
        <w:t>mercurialaries</w:t>
      </w:r>
      <w:r>
        <w:t>, 11</w:t>
      </w:r>
      <w:r w:rsidRPr="00C46D5A">
        <w:rPr>
          <w:vertAlign w:val="superscript"/>
        </w:rPr>
        <w:t>th</w:t>
      </w:r>
      <w:r>
        <w:t xml:space="preserve"> April 2021); </w:t>
      </w:r>
      <w:r w:rsidRPr="00740B7A">
        <w:t>lil jupiter</w:t>
      </w:r>
      <w:r>
        <w:t>, “</w:t>
      </w:r>
      <w:r w:rsidRPr="00740B7A">
        <w:t>how am i just finding out now how great whole sign houses are</w:t>
      </w:r>
      <w:r>
        <w:t>”, Twitter, (</w:t>
      </w:r>
      <w:r w:rsidRPr="00740B7A">
        <w:t>@comradekhaleesi</w:t>
      </w:r>
      <w:r>
        <w:t>, September 9</w:t>
      </w:r>
      <w:r w:rsidRPr="00740B7A">
        <w:rPr>
          <w:vertAlign w:val="superscript"/>
        </w:rPr>
        <w:t>th</w:t>
      </w:r>
      <w:r>
        <w:t xml:space="preserve"> 2021); </w:t>
      </w:r>
      <w:r w:rsidRPr="00740B7A">
        <w:t>soph</w:t>
      </w:r>
      <w:r>
        <w:t>, “</w:t>
      </w:r>
      <w:r w:rsidRPr="00740B7A">
        <w:t>i prefer whole sign houses!</w:t>
      </w:r>
      <w:r>
        <w:t>”, Twitter, (@</w:t>
      </w:r>
      <w:r w:rsidRPr="00740B7A">
        <w:t>maneskincults</w:t>
      </w:r>
      <w:r>
        <w:t>, 12</w:t>
      </w:r>
      <w:r w:rsidRPr="00740B7A">
        <w:rPr>
          <w:vertAlign w:val="superscript"/>
        </w:rPr>
        <w:t>th</w:t>
      </w:r>
      <w:r>
        <w:rPr>
          <w:vertAlign w:val="superscript"/>
        </w:rPr>
        <w:t xml:space="preserve"> </w:t>
      </w:r>
      <w:r>
        <w:t xml:space="preserve">September 2021); </w:t>
      </w:r>
      <w:r w:rsidRPr="00740B7A">
        <w:rPr>
          <w:rFonts w:ascii="Cambria Math" w:hAnsi="Cambria Math" w:cs="Cambria Math"/>
        </w:rPr>
        <w:t>⨺</w:t>
      </w:r>
      <w:r w:rsidRPr="00740B7A">
        <w:t>Bryan</w:t>
      </w:r>
      <w:r w:rsidRPr="00740B7A">
        <w:rPr>
          <w:rFonts w:ascii="Segoe UI Symbol" w:hAnsi="Segoe UI Symbol" w:cs="Segoe UI Symbol"/>
        </w:rPr>
        <w:t>☽</w:t>
      </w:r>
      <w:r>
        <w:t>, “</w:t>
      </w:r>
      <w:r w:rsidRPr="00740B7A">
        <w:t>It’s a solid system, I tend to think all the house systems have their relevance but it’s good to pick one for yourself I’d say, whichever ones resonates the most. For certain techniques WSH is a must though I would say.</w:t>
      </w:r>
      <w:r>
        <w:t>”, Twitter, (</w:t>
      </w:r>
      <w:r w:rsidRPr="00740B7A">
        <w:t>@FixedAirMoon</w:t>
      </w:r>
      <w:r>
        <w:t>, 2</w:t>
      </w:r>
      <w:r w:rsidRPr="00740B7A">
        <w:rPr>
          <w:vertAlign w:val="superscript"/>
        </w:rPr>
        <w:t>nd</w:t>
      </w:r>
      <w:r>
        <w:t xml:space="preserve"> December 2020);</w:t>
      </w:r>
    </w:p>
  </w:footnote>
  <w:footnote w:id="158">
    <w:p w14:paraId="3C702822" w14:textId="20158C4D" w:rsidR="00105F83" w:rsidRDefault="00105F83" w:rsidP="00083203">
      <w:pPr>
        <w:pStyle w:val="FootnoteText"/>
      </w:pPr>
      <w:r>
        <w:rPr>
          <w:rStyle w:val="FootnoteReference"/>
        </w:rPr>
        <w:footnoteRef/>
      </w:r>
      <w:r>
        <w:t xml:space="preserve"> </w:t>
      </w:r>
      <w:r w:rsidRPr="00E9516D">
        <w:t>Vettius Valens</w:t>
      </w:r>
      <w:r>
        <w:t>, “</w:t>
      </w:r>
      <w:r w:rsidRPr="00E9516D">
        <w:t>Myself and other Astrologers of my age did indeed use Whole Sign Houses.</w:t>
      </w:r>
      <w:r>
        <w:t>”, Twitter, (</w:t>
      </w:r>
      <w:r w:rsidRPr="00E9516D">
        <w:t>@TheRealVValens</w:t>
      </w:r>
      <w:r>
        <w:t>, 1</w:t>
      </w:r>
      <w:r w:rsidRPr="00E9516D">
        <w:rPr>
          <w:vertAlign w:val="superscript"/>
        </w:rPr>
        <w:t>st</w:t>
      </w:r>
      <w:r>
        <w:t xml:space="preserve"> November 2020);</w:t>
      </w:r>
      <w:r w:rsidRPr="00E9516D">
        <w:t xml:space="preserve"> </w:t>
      </w:r>
      <w:r w:rsidRPr="00F116B6">
        <w:t>Lil Miss Mercurial</w:t>
      </w:r>
      <w:r>
        <w:t>, “</w:t>
      </w:r>
      <w:r w:rsidRPr="00F116B6">
        <w:t>The whole sign house system was used by Hellenistic and Indian astrologers until modern astrology took over (placidus and what not.)</w:t>
      </w:r>
      <w:r>
        <w:t>”, Twitter, (</w:t>
      </w:r>
      <w:r w:rsidRPr="00740B7A">
        <w:t>@</w:t>
      </w:r>
      <w:r w:rsidRPr="00F116B6">
        <w:t>MsAriesMoon</w:t>
      </w:r>
      <w:r>
        <w:t>, 16</w:t>
      </w:r>
      <w:r w:rsidRPr="00F116B6">
        <w:rPr>
          <w:vertAlign w:val="superscript"/>
        </w:rPr>
        <w:t>th</w:t>
      </w:r>
      <w:r>
        <w:t xml:space="preserve"> March 2021); </w:t>
      </w:r>
      <w:r w:rsidRPr="006D281D">
        <w:rPr>
          <w:rFonts w:ascii="Apple Color Emoji" w:hAnsi="Apple Color Emoji" w:cs="Apple Color Emoji"/>
        </w:rPr>
        <w:t>☀</w:t>
      </w:r>
      <w:r w:rsidRPr="006D281D">
        <w:t>️patrickwatsonastrology.com</w:t>
      </w:r>
      <w:r w:rsidRPr="006D281D">
        <w:rPr>
          <w:rFonts w:ascii="Apple Color Emoji" w:hAnsi="Apple Color Emoji" w:cs="Apple Color Emoji"/>
        </w:rPr>
        <w:t>🌙</w:t>
      </w:r>
      <w:r>
        <w:t>, “</w:t>
      </w:r>
      <w:r w:rsidRPr="006D281D">
        <w:t>Yes. I think whole sign houses are the closest conceptually to the original notion of a house, it's the oldest house system. While I use whole signs for house topics exclusively, I think quadrant-based divisions have other uses.</w:t>
      </w:r>
      <w:r>
        <w:t>”, Twitter, (</w:t>
      </w:r>
      <w:r w:rsidRPr="006D281D">
        <w:t>@pwatsonastro</w:t>
      </w:r>
      <w:r>
        <w:t>, 10</w:t>
      </w:r>
      <w:r>
        <w:rPr>
          <w:vertAlign w:val="superscript"/>
        </w:rPr>
        <w:t>th</w:t>
      </w:r>
      <w:r>
        <w:t xml:space="preserve"> December 2019);</w:t>
      </w:r>
      <w:r w:rsidRPr="00E9516D">
        <w:t xml:space="preserve"> </w:t>
      </w:r>
      <w:r w:rsidRPr="009C19B8">
        <w:t>Co</w:t>
      </w:r>
      <w:r w:rsidRPr="009C19B8">
        <w:rPr>
          <w:rFonts w:ascii="Helvetica Neue" w:hAnsi="Helvetica Neue" w:cs="Helvetica Neue"/>
        </w:rPr>
        <w:t> </w:t>
      </w:r>
      <w:r w:rsidRPr="009C19B8">
        <w:t>–</w:t>
      </w:r>
      <w:r w:rsidRPr="009C19B8">
        <w:rPr>
          <w:rFonts w:ascii="Helvetica Neue" w:hAnsi="Helvetica Neue" w:cs="Helvetica Neue"/>
        </w:rPr>
        <w:t> </w:t>
      </w:r>
      <w:r w:rsidRPr="009C19B8">
        <w:t>Star</w:t>
      </w:r>
      <w:r>
        <w:t>, “</w:t>
      </w:r>
      <w:r w:rsidRPr="009C19B8">
        <w:rPr>
          <w:rFonts w:ascii="Cambria Math" w:hAnsi="Cambria Math" w:cs="Cambria Math"/>
        </w:rPr>
        <w:t>𝗪𝗛𝗢𝗟𝗘</w:t>
      </w:r>
      <w:r w:rsidRPr="009C19B8">
        <w:t xml:space="preserve"> </w:t>
      </w:r>
      <w:r w:rsidRPr="009C19B8">
        <w:rPr>
          <w:rFonts w:ascii="Cambria Math" w:hAnsi="Cambria Math" w:cs="Cambria Math"/>
        </w:rPr>
        <w:t>𝗦𝗜𝗚𝗡</w:t>
      </w:r>
      <w:r w:rsidRPr="009C19B8">
        <w:t xml:space="preserve"> </w:t>
      </w:r>
      <w:r w:rsidRPr="009C19B8">
        <w:rPr>
          <w:rFonts w:ascii="Cambria Math" w:hAnsi="Cambria Math" w:cs="Cambria Math"/>
        </w:rPr>
        <w:t>𝗛𝗢𝗨𝗦𝗘</w:t>
      </w:r>
      <w:r w:rsidRPr="009C19B8">
        <w:t xml:space="preserve"> </w:t>
      </w:r>
      <w:r w:rsidRPr="009C19B8">
        <w:rPr>
          <w:rFonts w:ascii="Cambria Math" w:hAnsi="Cambria Math" w:cs="Cambria Math"/>
        </w:rPr>
        <w:t>𝗦𝗬𝗦𝗧𝗘𝗠</w:t>
      </w:r>
      <w:r w:rsidRPr="009C19B8">
        <w:t>—</w:t>
      </w:r>
      <w:r w:rsidRPr="009C19B8">
        <w:rPr>
          <w:rFonts w:ascii="Cambria Math" w:hAnsi="Cambria Math" w:cs="Cambria Math"/>
        </w:rPr>
        <w:t>𝗮𝘃𝗮𝗶𝗹𝗮𝗯𝗹𝗲</w:t>
      </w:r>
      <w:r w:rsidRPr="009C19B8">
        <w:t xml:space="preserve"> </w:t>
      </w:r>
      <w:r w:rsidRPr="009C19B8">
        <w:rPr>
          <w:rFonts w:ascii="Cambria Math" w:hAnsi="Cambria Math" w:cs="Cambria Math"/>
        </w:rPr>
        <w:t>𝗻𝗼𝘄</w:t>
      </w:r>
      <w:r w:rsidRPr="009C19B8">
        <w:t xml:space="preserve"> </w:t>
      </w:r>
      <w:r w:rsidRPr="009C19B8">
        <w:rPr>
          <w:rFonts w:ascii="Cambria Math" w:hAnsi="Cambria Math" w:cs="Cambria Math"/>
        </w:rPr>
        <w:t>𝗼𝗻</w:t>
      </w:r>
      <w:r w:rsidRPr="009C19B8">
        <w:t xml:space="preserve"> </w:t>
      </w:r>
      <w:r w:rsidRPr="009C19B8">
        <w:rPr>
          <w:rFonts w:ascii="Cambria Math" w:hAnsi="Cambria Math" w:cs="Cambria Math"/>
        </w:rPr>
        <w:t>𝗖𝗼</w:t>
      </w:r>
      <w:r w:rsidRPr="009C19B8">
        <w:t>–</w:t>
      </w:r>
      <w:r w:rsidRPr="009C19B8">
        <w:rPr>
          <w:rFonts w:ascii="Cambria Math" w:hAnsi="Cambria Math" w:cs="Cambria Math"/>
        </w:rPr>
        <w:t>𝗦𝘁𝗮𝗿</w:t>
      </w:r>
      <w:r w:rsidRPr="009C19B8">
        <w:t>. Whole Sign is the oldest form of house division, and remained the preferred method of determining houses for about a thousand years after its inception.</w:t>
      </w:r>
      <w:r>
        <w:t>”, Twitter, (</w:t>
      </w:r>
      <w:r w:rsidRPr="009C19B8">
        <w:t>@costarastrology</w:t>
      </w:r>
      <w:r>
        <w:t>, 16</w:t>
      </w:r>
      <w:r w:rsidRPr="009C19B8">
        <w:rPr>
          <w:vertAlign w:val="superscript"/>
        </w:rPr>
        <w:t>th</w:t>
      </w:r>
      <w:r>
        <w:t xml:space="preserve"> August 2021);</w:t>
      </w:r>
      <w:r w:rsidRPr="00E9516D">
        <w:t xml:space="preserve"> </w:t>
      </w:r>
      <w:r w:rsidRPr="00710174">
        <w:t>Ooh, Shiny!</w:t>
      </w:r>
      <w:r>
        <w:t>, “</w:t>
      </w:r>
      <w:r w:rsidRPr="00710174">
        <w:t>The Whole Sign House System is the oldest and best, yes.</w:t>
      </w:r>
      <w:r>
        <w:t>”, Twitter, (</w:t>
      </w:r>
      <w:r w:rsidRPr="00710174">
        <w:t>@FixedStarEnergy</w:t>
      </w:r>
      <w:r>
        <w:t>, 5</w:t>
      </w:r>
      <w:r w:rsidRPr="00710174">
        <w:rPr>
          <w:vertAlign w:val="superscript"/>
        </w:rPr>
        <w:t>th</w:t>
      </w:r>
      <w:r>
        <w:t xml:space="preserve"> January 2019);</w:t>
      </w:r>
      <w:r w:rsidRPr="00E9516D">
        <w:t xml:space="preserve"> </w:t>
      </w:r>
    </w:p>
  </w:footnote>
  <w:footnote w:id="159">
    <w:p w14:paraId="35C08727" w14:textId="77777777" w:rsidR="00105F83" w:rsidRDefault="00105F83" w:rsidP="00083203">
      <w:pPr>
        <w:pStyle w:val="FootnoteText"/>
      </w:pPr>
      <w:r>
        <w:rPr>
          <w:rStyle w:val="FootnoteReference"/>
        </w:rPr>
        <w:footnoteRef/>
      </w:r>
      <w:r>
        <w:t xml:space="preserve"> Vettius Valens, @</w:t>
      </w:r>
      <w:r w:rsidRPr="00E9516D">
        <w:t>TheRealVValens</w:t>
      </w:r>
      <w:r>
        <w:t>, 1</w:t>
      </w:r>
      <w:r w:rsidRPr="00E9516D">
        <w:rPr>
          <w:vertAlign w:val="superscript"/>
        </w:rPr>
        <w:t>st</w:t>
      </w:r>
      <w:r>
        <w:t xml:space="preserve"> November 2020.</w:t>
      </w:r>
    </w:p>
  </w:footnote>
  <w:footnote w:id="160">
    <w:p w14:paraId="360DC51A" w14:textId="77777777" w:rsidR="00105F83" w:rsidRDefault="00105F83" w:rsidP="00083203">
      <w:pPr>
        <w:pStyle w:val="FootnoteText"/>
      </w:pPr>
      <w:r>
        <w:rPr>
          <w:rStyle w:val="FootnoteReference"/>
        </w:rPr>
        <w:footnoteRef/>
      </w:r>
      <w:r>
        <w:t xml:space="preserve"> Clynes, </w:t>
      </w:r>
      <w:r w:rsidRPr="00F709CB">
        <w:rPr>
          <w:i/>
          <w:iCs/>
        </w:rPr>
        <w:t>Cyberspace and Dualism</w:t>
      </w:r>
      <w:r w:rsidRPr="00A75604">
        <w:t>, p</w:t>
      </w:r>
      <w:r>
        <w:t>.187.</w:t>
      </w:r>
    </w:p>
  </w:footnote>
  <w:footnote w:id="161">
    <w:p w14:paraId="2203CD00" w14:textId="4ED87937" w:rsidR="00105F83" w:rsidRDefault="00105F83">
      <w:pPr>
        <w:pStyle w:val="FootnoteText"/>
      </w:pPr>
      <w:r>
        <w:rPr>
          <w:rStyle w:val="FootnoteReference"/>
        </w:rPr>
        <w:footnoteRef/>
      </w:r>
      <w:r>
        <w:t xml:space="preserve"> About Martin Gansten, </w:t>
      </w:r>
      <w:hyperlink r:id="rId9" w:history="1">
        <w:r w:rsidRPr="00C57D6C">
          <w:rPr>
            <w:rStyle w:val="Hyperlink"/>
          </w:rPr>
          <w:t>https://academic.martingansten.com/about/</w:t>
        </w:r>
      </w:hyperlink>
      <w:r>
        <w:t>, [accessed 21</w:t>
      </w:r>
      <w:r w:rsidRPr="000A4FDC">
        <w:rPr>
          <w:vertAlign w:val="superscript"/>
        </w:rPr>
        <w:t>st</w:t>
      </w:r>
      <w:r>
        <w:t xml:space="preserve"> July 2021].</w:t>
      </w:r>
    </w:p>
  </w:footnote>
  <w:footnote w:id="162">
    <w:p w14:paraId="494F396E" w14:textId="77777777" w:rsidR="00105F83" w:rsidRDefault="00105F83" w:rsidP="00083203">
      <w:pPr>
        <w:pStyle w:val="FootnoteText"/>
      </w:pPr>
      <w:r>
        <w:rPr>
          <w:rStyle w:val="FootnoteReference"/>
        </w:rPr>
        <w:footnoteRef/>
      </w:r>
      <w:r>
        <w:t xml:space="preserve"> “Tony”, Facebook</w:t>
      </w:r>
      <w:r w:rsidRPr="00E502E2">
        <w:t xml:space="preserve">, </w:t>
      </w:r>
      <w:hyperlink r:id="rId10" w:history="1">
        <w:r w:rsidRPr="00E502E2">
          <w:t>https://www.facebook.com/xxxxxxx</w:t>
        </w:r>
      </w:hyperlink>
      <w:r w:rsidRPr="00E502E2">
        <w:t>,</w:t>
      </w:r>
      <w:r>
        <w:t xml:space="preserve"> (name and URL removed to preserve anonymity), [accessed 3</w:t>
      </w:r>
      <w:r w:rsidRPr="00E502E2">
        <w:rPr>
          <w:vertAlign w:val="superscript"/>
        </w:rPr>
        <w:t>rd</w:t>
      </w:r>
      <w:r>
        <w:t xml:space="preserve"> June 2021].; </w:t>
      </w:r>
      <w:r w:rsidRPr="00E502E2">
        <w:t>M</w:t>
      </w:r>
      <w:r>
        <w:t>artin</w:t>
      </w:r>
      <w:r w:rsidRPr="00E502E2">
        <w:t xml:space="preserve"> Gansten, </w:t>
      </w:r>
      <w:r w:rsidRPr="00E502E2">
        <w:rPr>
          <w:i/>
          <w:iCs/>
        </w:rPr>
        <w:t>Annual Predictive Techniques of the Greek, Arabic and Indian Astrologers</w:t>
      </w:r>
      <w:r>
        <w:rPr>
          <w:i/>
          <w:iCs/>
        </w:rPr>
        <w:t>,</w:t>
      </w:r>
      <w:r w:rsidRPr="00E502E2">
        <w:t xml:space="preserve"> (Wessex Astrologer, 2020).</w:t>
      </w:r>
    </w:p>
  </w:footnote>
  <w:footnote w:id="163">
    <w:p w14:paraId="7F5B19A2" w14:textId="77777777" w:rsidR="00105F83" w:rsidRDefault="00105F83" w:rsidP="00083203">
      <w:pPr>
        <w:pStyle w:val="FootnoteText"/>
      </w:pPr>
      <w:r>
        <w:rPr>
          <w:rStyle w:val="FootnoteReference"/>
        </w:rPr>
        <w:footnoteRef/>
      </w:r>
      <w:r>
        <w:t xml:space="preserve"> “Carlos”, “Mark” and “Michael”, Facebook</w:t>
      </w:r>
      <w:r w:rsidRPr="00E502E2">
        <w:t xml:space="preserve">, </w:t>
      </w:r>
      <w:hyperlink r:id="rId11" w:history="1">
        <w:r w:rsidRPr="00E502E2">
          <w:t>https://www.facebook.com/xxxxxxx</w:t>
        </w:r>
      </w:hyperlink>
      <w:r w:rsidRPr="00E502E2">
        <w:t>,</w:t>
      </w:r>
      <w:r>
        <w:t xml:space="preserve"> (names and URL removed to preserve anonymity), [accessed 3</w:t>
      </w:r>
      <w:r w:rsidRPr="00E502E2">
        <w:rPr>
          <w:vertAlign w:val="superscript"/>
        </w:rPr>
        <w:t>rd</w:t>
      </w:r>
      <w:r>
        <w:t xml:space="preserve"> June 2021].;</w:t>
      </w:r>
    </w:p>
  </w:footnote>
  <w:footnote w:id="164">
    <w:p w14:paraId="07AB8C97" w14:textId="241AC77C" w:rsidR="00105F83" w:rsidRDefault="00105F83">
      <w:pPr>
        <w:pStyle w:val="FootnoteText"/>
      </w:pPr>
      <w:r>
        <w:rPr>
          <w:rStyle w:val="FootnoteReference"/>
        </w:rPr>
        <w:footnoteRef/>
      </w:r>
      <w:r>
        <w:t xml:space="preserve"> </w:t>
      </w:r>
      <w:r w:rsidRPr="00E502E2">
        <w:t xml:space="preserve">Gansten, </w:t>
      </w:r>
      <w:r w:rsidRPr="00E502E2">
        <w:rPr>
          <w:i/>
          <w:iCs/>
        </w:rPr>
        <w:t>Annual Predictive Techniques</w:t>
      </w:r>
      <w:r>
        <w:rPr>
          <w:i/>
          <w:iCs/>
        </w:rPr>
        <w:t xml:space="preserve">, </w:t>
      </w:r>
      <w:r w:rsidRPr="00BF1801">
        <w:t>p.1</w:t>
      </w:r>
      <w:r>
        <w:t>7</w:t>
      </w:r>
      <w:r w:rsidRPr="00BF1801">
        <w:t>.</w:t>
      </w:r>
    </w:p>
  </w:footnote>
  <w:footnote w:id="165">
    <w:p w14:paraId="4CB44EE2" w14:textId="6AAA7C55" w:rsidR="00105F83" w:rsidRDefault="00105F83">
      <w:pPr>
        <w:pStyle w:val="FootnoteText"/>
      </w:pPr>
      <w:r>
        <w:rPr>
          <w:rStyle w:val="FootnoteReference"/>
        </w:rPr>
        <w:footnoteRef/>
      </w:r>
      <w:r>
        <w:t xml:space="preserve"> </w:t>
      </w:r>
      <w:r w:rsidRPr="00E502E2">
        <w:t xml:space="preserve">Gansten, </w:t>
      </w:r>
      <w:r w:rsidRPr="00E502E2">
        <w:rPr>
          <w:i/>
          <w:iCs/>
        </w:rPr>
        <w:t>Annual Predictive Techniques</w:t>
      </w:r>
      <w:r>
        <w:rPr>
          <w:i/>
          <w:iCs/>
        </w:rPr>
        <w:t xml:space="preserve">, </w:t>
      </w:r>
      <w:r w:rsidRPr="00BF1801">
        <w:t>pp.16-18.</w:t>
      </w:r>
    </w:p>
  </w:footnote>
  <w:footnote w:id="166">
    <w:p w14:paraId="64F35289" w14:textId="3F3E1FFB" w:rsidR="00105F83" w:rsidRDefault="00105F83" w:rsidP="00083203">
      <w:pPr>
        <w:pStyle w:val="FootnoteText"/>
      </w:pPr>
      <w:r>
        <w:rPr>
          <w:rStyle w:val="FootnoteReference"/>
        </w:rPr>
        <w:footnoteRef/>
      </w:r>
      <w:r>
        <w:t xml:space="preserve"> </w:t>
      </w:r>
      <w:r w:rsidRPr="00E502E2">
        <w:t xml:space="preserve">Gansten, </w:t>
      </w:r>
      <w:r w:rsidRPr="00E502E2">
        <w:rPr>
          <w:i/>
          <w:iCs/>
        </w:rPr>
        <w:t>Annual Predictive Techniques</w:t>
      </w:r>
      <w:r>
        <w:rPr>
          <w:i/>
          <w:iCs/>
        </w:rPr>
        <w:t xml:space="preserve">, </w:t>
      </w:r>
      <w:r w:rsidRPr="00BF1801">
        <w:t>p</w:t>
      </w:r>
      <w:r>
        <w:t>.</w:t>
      </w:r>
      <w:r w:rsidRPr="00BF1801">
        <w:t>18.</w:t>
      </w:r>
    </w:p>
  </w:footnote>
  <w:footnote w:id="167">
    <w:p w14:paraId="65B2472E" w14:textId="77777777" w:rsidR="00105F83" w:rsidRDefault="00105F83" w:rsidP="00083203">
      <w:pPr>
        <w:pStyle w:val="FootnoteText"/>
      </w:pPr>
      <w:r>
        <w:rPr>
          <w:rStyle w:val="FootnoteReference"/>
        </w:rPr>
        <w:footnoteRef/>
      </w:r>
      <w:r>
        <w:t xml:space="preserve"> </w:t>
      </w:r>
      <w:r w:rsidRPr="00B17FB9">
        <w:t xml:space="preserve">Hobsbawm, </w:t>
      </w:r>
      <w:r w:rsidRPr="00B17FB9">
        <w:rPr>
          <w:i/>
          <w:iCs/>
        </w:rPr>
        <w:t>The Invention of Tradition</w:t>
      </w:r>
      <w:r w:rsidRPr="00B17FB9">
        <w:t xml:space="preserve">, </w:t>
      </w:r>
      <w:r>
        <w:t>p</w:t>
      </w:r>
      <w:r w:rsidRPr="00B17FB9">
        <w:t>p.</w:t>
      </w:r>
      <w:r>
        <w:t>9-11</w:t>
      </w:r>
      <w:r w:rsidRPr="00B17FB9">
        <w:t>.</w:t>
      </w:r>
    </w:p>
  </w:footnote>
  <w:footnote w:id="168">
    <w:p w14:paraId="0361A1C1" w14:textId="77777777" w:rsidR="00105F83" w:rsidRDefault="00105F83" w:rsidP="00083203">
      <w:pPr>
        <w:pStyle w:val="FootnoteText"/>
      </w:pPr>
      <w:r>
        <w:rPr>
          <w:rStyle w:val="FootnoteReference"/>
        </w:rPr>
        <w:footnoteRef/>
      </w:r>
      <w:r>
        <w:t xml:space="preserve"> </w:t>
      </w:r>
      <w:r w:rsidRPr="00B17FB9">
        <w:t xml:space="preserve">Hobsbawm, </w:t>
      </w:r>
      <w:r w:rsidRPr="00B17FB9">
        <w:rPr>
          <w:i/>
          <w:iCs/>
        </w:rPr>
        <w:t>The Invention of Tradition</w:t>
      </w:r>
      <w:r w:rsidRPr="00B17FB9">
        <w:t>, p.</w:t>
      </w:r>
      <w:r>
        <w:t>12.</w:t>
      </w:r>
    </w:p>
  </w:footnote>
  <w:footnote w:id="169">
    <w:p w14:paraId="549860D1" w14:textId="39DC82FC" w:rsidR="00105F83" w:rsidRDefault="00105F83">
      <w:pPr>
        <w:pStyle w:val="FootnoteText"/>
      </w:pPr>
      <w:r>
        <w:rPr>
          <w:rStyle w:val="FootnoteReference"/>
        </w:rPr>
        <w:footnoteRef/>
      </w:r>
      <w:r>
        <w:t xml:space="preserve"> Houlding, </w:t>
      </w:r>
      <w:r w:rsidRPr="00BC1F3C">
        <w:rPr>
          <w:i/>
        </w:rPr>
        <w:t>The Houses: Temples of the Sky</w:t>
      </w:r>
      <w:r>
        <w:rPr>
          <w:i/>
        </w:rPr>
        <w:t>.</w:t>
      </w:r>
    </w:p>
  </w:footnote>
  <w:footnote w:id="170">
    <w:p w14:paraId="53872E1F" w14:textId="5EE2B23C" w:rsidR="00105F83" w:rsidRDefault="00105F83" w:rsidP="00083203">
      <w:pPr>
        <w:pStyle w:val="FootnoteText"/>
      </w:pPr>
      <w:r>
        <w:rPr>
          <w:rStyle w:val="FootnoteReference"/>
        </w:rPr>
        <w:footnoteRef/>
      </w:r>
      <w:r>
        <w:t xml:space="preserve"> Deborah Houlding, </w:t>
      </w:r>
      <w:r w:rsidRPr="0055207C">
        <w:rPr>
          <w:i/>
          <w:iCs/>
        </w:rPr>
        <w:t>Valens III.2, calculation of the 12 Places, Porphyry</w:t>
      </w:r>
      <w:r>
        <w:t xml:space="preserve">, Facebook, </w:t>
      </w:r>
      <w:hyperlink r:id="rId12" w:history="1">
        <w:r w:rsidRPr="00E53D93">
          <w:rPr>
            <w:rStyle w:val="Hyperlink"/>
          </w:rPr>
          <w:t>https://www.facebook.com/houlding1/posts/10157451152796360</w:t>
        </w:r>
      </w:hyperlink>
      <w:r>
        <w:t>, [accessed 21</w:t>
      </w:r>
      <w:r w:rsidRPr="00EA2C7E">
        <w:rPr>
          <w:vertAlign w:val="superscript"/>
        </w:rPr>
        <w:t>st</w:t>
      </w:r>
      <w:r>
        <w:t xml:space="preserve"> August 2021].</w:t>
      </w:r>
    </w:p>
  </w:footnote>
  <w:footnote w:id="171">
    <w:p w14:paraId="04014045" w14:textId="171E7341" w:rsidR="00105F83" w:rsidRDefault="00105F83" w:rsidP="00083203">
      <w:pPr>
        <w:pStyle w:val="FootnoteText"/>
      </w:pPr>
      <w:r>
        <w:rPr>
          <w:rStyle w:val="FootnoteReference"/>
        </w:rPr>
        <w:footnoteRef/>
      </w:r>
      <w:r>
        <w:t xml:space="preserve"> Remy, Facebook</w:t>
      </w:r>
      <w:r w:rsidRPr="00E502E2">
        <w:t xml:space="preserve">, </w:t>
      </w:r>
      <w:hyperlink r:id="rId13" w:history="1">
        <w:r w:rsidRPr="00E502E2">
          <w:t>https://www.facebook.com/xxxxxxx</w:t>
        </w:r>
      </w:hyperlink>
      <w:r w:rsidRPr="00E502E2">
        <w:t>,</w:t>
      </w:r>
      <w:r>
        <w:t xml:space="preserve"> (name and URL removed to preserve anonymity), [accessed 21</w:t>
      </w:r>
      <w:r>
        <w:rPr>
          <w:vertAlign w:val="superscript"/>
        </w:rPr>
        <w:t>st</w:t>
      </w:r>
      <w:r>
        <w:t xml:space="preserve"> August 2021].</w:t>
      </w:r>
    </w:p>
  </w:footnote>
  <w:footnote w:id="172">
    <w:p w14:paraId="1EA4F7EB" w14:textId="77777777" w:rsidR="00105F83" w:rsidRDefault="00105F83" w:rsidP="00B205E3">
      <w:pPr>
        <w:pStyle w:val="FootnoteText"/>
      </w:pPr>
      <w:r>
        <w:rPr>
          <w:rStyle w:val="FootnoteReference"/>
        </w:rPr>
        <w:footnoteRef/>
      </w:r>
      <w:r>
        <w:t xml:space="preserve"> </w:t>
      </w:r>
      <w:r w:rsidRPr="00B17FB9">
        <w:t xml:space="preserve">Hobsbawm, </w:t>
      </w:r>
      <w:r w:rsidRPr="00B17FB9">
        <w:rPr>
          <w:i/>
          <w:iCs/>
        </w:rPr>
        <w:t>The Invention of Tradition</w:t>
      </w:r>
      <w:r w:rsidRPr="00B17FB9">
        <w:t>, p.</w:t>
      </w:r>
      <w:r>
        <w:t>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81FC4"/>
    <w:multiLevelType w:val="hybridMultilevel"/>
    <w:tmpl w:val="B7445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64A50"/>
    <w:multiLevelType w:val="hybridMultilevel"/>
    <w:tmpl w:val="2E98D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A77158"/>
    <w:multiLevelType w:val="hybridMultilevel"/>
    <w:tmpl w:val="11822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1C3587"/>
    <w:multiLevelType w:val="hybridMultilevel"/>
    <w:tmpl w:val="34E4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Show All Fields&lt;/Style&gt;&lt;LeftDelim&gt;{&lt;/LeftDelim&gt;&lt;RightDelim&gt;}&lt;/RightDelim&gt;&lt;FontName&gt;Helvetica Neue Light&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vs9zpwxr5vp0ves2r7v9a26epst00vfwxxx&quot;&gt;My EndNote Library-Converted&lt;record-ids&gt;&lt;item&gt;62&lt;/item&gt;&lt;/record-ids&gt;&lt;/item&gt;&lt;/Libraries&gt;"/>
  </w:docVars>
  <w:rsids>
    <w:rsidRoot w:val="00BE6EBF"/>
    <w:rsid w:val="0000019D"/>
    <w:rsid w:val="00000E17"/>
    <w:rsid w:val="00001E3B"/>
    <w:rsid w:val="00002E9D"/>
    <w:rsid w:val="00003FFE"/>
    <w:rsid w:val="00004040"/>
    <w:rsid w:val="000049CF"/>
    <w:rsid w:val="000051CE"/>
    <w:rsid w:val="000055A0"/>
    <w:rsid w:val="0000585D"/>
    <w:rsid w:val="00006A1E"/>
    <w:rsid w:val="00006BAB"/>
    <w:rsid w:val="00006DFA"/>
    <w:rsid w:val="00010B56"/>
    <w:rsid w:val="0001163E"/>
    <w:rsid w:val="0001178B"/>
    <w:rsid w:val="00012157"/>
    <w:rsid w:val="00012DE1"/>
    <w:rsid w:val="000130F7"/>
    <w:rsid w:val="00013688"/>
    <w:rsid w:val="00013DFA"/>
    <w:rsid w:val="00014392"/>
    <w:rsid w:val="00014F93"/>
    <w:rsid w:val="00015342"/>
    <w:rsid w:val="00015357"/>
    <w:rsid w:val="000165AF"/>
    <w:rsid w:val="0001701D"/>
    <w:rsid w:val="00017B0A"/>
    <w:rsid w:val="00021CF9"/>
    <w:rsid w:val="0002215E"/>
    <w:rsid w:val="000248B3"/>
    <w:rsid w:val="00024BAD"/>
    <w:rsid w:val="000256FB"/>
    <w:rsid w:val="00026C1A"/>
    <w:rsid w:val="0003066D"/>
    <w:rsid w:val="00030D9B"/>
    <w:rsid w:val="00031C3C"/>
    <w:rsid w:val="00032837"/>
    <w:rsid w:val="00032BFB"/>
    <w:rsid w:val="0003481C"/>
    <w:rsid w:val="000348E4"/>
    <w:rsid w:val="000350E8"/>
    <w:rsid w:val="0003541A"/>
    <w:rsid w:val="00035847"/>
    <w:rsid w:val="0003716F"/>
    <w:rsid w:val="00040C87"/>
    <w:rsid w:val="00040E80"/>
    <w:rsid w:val="00041D61"/>
    <w:rsid w:val="00041E6F"/>
    <w:rsid w:val="00043B26"/>
    <w:rsid w:val="00044843"/>
    <w:rsid w:val="00046DF4"/>
    <w:rsid w:val="0004782C"/>
    <w:rsid w:val="00047ADB"/>
    <w:rsid w:val="000510B4"/>
    <w:rsid w:val="00052320"/>
    <w:rsid w:val="0005336B"/>
    <w:rsid w:val="000535BF"/>
    <w:rsid w:val="000539C9"/>
    <w:rsid w:val="00053D4B"/>
    <w:rsid w:val="00055419"/>
    <w:rsid w:val="0005795C"/>
    <w:rsid w:val="00057E24"/>
    <w:rsid w:val="00060BA9"/>
    <w:rsid w:val="00060BB9"/>
    <w:rsid w:val="00062DB6"/>
    <w:rsid w:val="000632CE"/>
    <w:rsid w:val="00063D4F"/>
    <w:rsid w:val="00063FE8"/>
    <w:rsid w:val="0006495B"/>
    <w:rsid w:val="000649CA"/>
    <w:rsid w:val="0007048A"/>
    <w:rsid w:val="000706A6"/>
    <w:rsid w:val="00070F6D"/>
    <w:rsid w:val="000713F9"/>
    <w:rsid w:val="000718CE"/>
    <w:rsid w:val="00073037"/>
    <w:rsid w:val="000732B2"/>
    <w:rsid w:val="00073782"/>
    <w:rsid w:val="00073A0D"/>
    <w:rsid w:val="00073C89"/>
    <w:rsid w:val="000741C3"/>
    <w:rsid w:val="00074CCD"/>
    <w:rsid w:val="00075830"/>
    <w:rsid w:val="00075F0A"/>
    <w:rsid w:val="000767D7"/>
    <w:rsid w:val="00076F3C"/>
    <w:rsid w:val="000776F4"/>
    <w:rsid w:val="000802D6"/>
    <w:rsid w:val="00081DD7"/>
    <w:rsid w:val="00081E3C"/>
    <w:rsid w:val="00083038"/>
    <w:rsid w:val="00083203"/>
    <w:rsid w:val="000836F2"/>
    <w:rsid w:val="000838D3"/>
    <w:rsid w:val="00083C37"/>
    <w:rsid w:val="00084192"/>
    <w:rsid w:val="00084BAB"/>
    <w:rsid w:val="000857E4"/>
    <w:rsid w:val="00085B95"/>
    <w:rsid w:val="00085CF8"/>
    <w:rsid w:val="00086ECF"/>
    <w:rsid w:val="000876B1"/>
    <w:rsid w:val="0009043F"/>
    <w:rsid w:val="00090541"/>
    <w:rsid w:val="00090CE7"/>
    <w:rsid w:val="00090EEE"/>
    <w:rsid w:val="00091036"/>
    <w:rsid w:val="00091248"/>
    <w:rsid w:val="00093D33"/>
    <w:rsid w:val="000950A3"/>
    <w:rsid w:val="0009545B"/>
    <w:rsid w:val="00096CCA"/>
    <w:rsid w:val="00096E7E"/>
    <w:rsid w:val="000A0975"/>
    <w:rsid w:val="000A13F0"/>
    <w:rsid w:val="000A1EA6"/>
    <w:rsid w:val="000A26BE"/>
    <w:rsid w:val="000A4276"/>
    <w:rsid w:val="000A4FDC"/>
    <w:rsid w:val="000A50DC"/>
    <w:rsid w:val="000A50F8"/>
    <w:rsid w:val="000A68EE"/>
    <w:rsid w:val="000A7930"/>
    <w:rsid w:val="000B02BD"/>
    <w:rsid w:val="000B1894"/>
    <w:rsid w:val="000B1CA4"/>
    <w:rsid w:val="000B320E"/>
    <w:rsid w:val="000B373A"/>
    <w:rsid w:val="000B75F7"/>
    <w:rsid w:val="000C03E3"/>
    <w:rsid w:val="000C07DA"/>
    <w:rsid w:val="000C1761"/>
    <w:rsid w:val="000C3951"/>
    <w:rsid w:val="000C3C73"/>
    <w:rsid w:val="000C52DC"/>
    <w:rsid w:val="000C59B3"/>
    <w:rsid w:val="000C6057"/>
    <w:rsid w:val="000C6237"/>
    <w:rsid w:val="000C6452"/>
    <w:rsid w:val="000C6F18"/>
    <w:rsid w:val="000C6F3A"/>
    <w:rsid w:val="000C735E"/>
    <w:rsid w:val="000C7E04"/>
    <w:rsid w:val="000C7FFE"/>
    <w:rsid w:val="000D106F"/>
    <w:rsid w:val="000D1172"/>
    <w:rsid w:val="000D1A9B"/>
    <w:rsid w:val="000D2B56"/>
    <w:rsid w:val="000D2D90"/>
    <w:rsid w:val="000D3408"/>
    <w:rsid w:val="000D5977"/>
    <w:rsid w:val="000D5F78"/>
    <w:rsid w:val="000D643F"/>
    <w:rsid w:val="000D769C"/>
    <w:rsid w:val="000D7EA2"/>
    <w:rsid w:val="000E0D74"/>
    <w:rsid w:val="000E0EF6"/>
    <w:rsid w:val="000E1278"/>
    <w:rsid w:val="000E37DF"/>
    <w:rsid w:val="000E3F0C"/>
    <w:rsid w:val="000E445F"/>
    <w:rsid w:val="000E461E"/>
    <w:rsid w:val="000E48CE"/>
    <w:rsid w:val="000E4FA3"/>
    <w:rsid w:val="000E5640"/>
    <w:rsid w:val="000E56A1"/>
    <w:rsid w:val="000E5B1B"/>
    <w:rsid w:val="000E60BC"/>
    <w:rsid w:val="000E6E5D"/>
    <w:rsid w:val="000E6FF6"/>
    <w:rsid w:val="000E72F7"/>
    <w:rsid w:val="000E7E4C"/>
    <w:rsid w:val="000F03CA"/>
    <w:rsid w:val="000F0836"/>
    <w:rsid w:val="000F12F2"/>
    <w:rsid w:val="000F21A7"/>
    <w:rsid w:val="000F247F"/>
    <w:rsid w:val="000F288C"/>
    <w:rsid w:val="000F2CDC"/>
    <w:rsid w:val="000F37D2"/>
    <w:rsid w:val="000F4031"/>
    <w:rsid w:val="000F4C6F"/>
    <w:rsid w:val="000F5DBA"/>
    <w:rsid w:val="000F69B8"/>
    <w:rsid w:val="000F6C69"/>
    <w:rsid w:val="000F6F95"/>
    <w:rsid w:val="000F70DB"/>
    <w:rsid w:val="000F72AF"/>
    <w:rsid w:val="000F731A"/>
    <w:rsid w:val="000F7E23"/>
    <w:rsid w:val="000F7E66"/>
    <w:rsid w:val="00100C18"/>
    <w:rsid w:val="00100C79"/>
    <w:rsid w:val="00101008"/>
    <w:rsid w:val="001017B7"/>
    <w:rsid w:val="001023A4"/>
    <w:rsid w:val="00102E5E"/>
    <w:rsid w:val="00102FB8"/>
    <w:rsid w:val="001035BF"/>
    <w:rsid w:val="001051D4"/>
    <w:rsid w:val="00105461"/>
    <w:rsid w:val="00105F83"/>
    <w:rsid w:val="00106CD0"/>
    <w:rsid w:val="00106FC4"/>
    <w:rsid w:val="00107319"/>
    <w:rsid w:val="001074AA"/>
    <w:rsid w:val="00107A19"/>
    <w:rsid w:val="00111C3A"/>
    <w:rsid w:val="00112DB4"/>
    <w:rsid w:val="001143DF"/>
    <w:rsid w:val="00114DB9"/>
    <w:rsid w:val="00114E7B"/>
    <w:rsid w:val="001151BE"/>
    <w:rsid w:val="00115A4B"/>
    <w:rsid w:val="0011649B"/>
    <w:rsid w:val="00120727"/>
    <w:rsid w:val="00120B99"/>
    <w:rsid w:val="001237F2"/>
    <w:rsid w:val="00124C91"/>
    <w:rsid w:val="00124EE5"/>
    <w:rsid w:val="001259C8"/>
    <w:rsid w:val="00126BC2"/>
    <w:rsid w:val="00130436"/>
    <w:rsid w:val="00130C53"/>
    <w:rsid w:val="00130D9D"/>
    <w:rsid w:val="00131D9A"/>
    <w:rsid w:val="00132A43"/>
    <w:rsid w:val="00132B40"/>
    <w:rsid w:val="00133AA1"/>
    <w:rsid w:val="0013427A"/>
    <w:rsid w:val="00134595"/>
    <w:rsid w:val="00134FA3"/>
    <w:rsid w:val="001359F6"/>
    <w:rsid w:val="0013630D"/>
    <w:rsid w:val="00137385"/>
    <w:rsid w:val="00140E1C"/>
    <w:rsid w:val="00141315"/>
    <w:rsid w:val="00142503"/>
    <w:rsid w:val="001431D5"/>
    <w:rsid w:val="001435BA"/>
    <w:rsid w:val="00143D3A"/>
    <w:rsid w:val="00144F80"/>
    <w:rsid w:val="0014599C"/>
    <w:rsid w:val="00145F20"/>
    <w:rsid w:val="001460BE"/>
    <w:rsid w:val="001470DD"/>
    <w:rsid w:val="001501F6"/>
    <w:rsid w:val="001502A3"/>
    <w:rsid w:val="0015048D"/>
    <w:rsid w:val="00151B57"/>
    <w:rsid w:val="00151B82"/>
    <w:rsid w:val="00151FE8"/>
    <w:rsid w:val="001534A2"/>
    <w:rsid w:val="00154D30"/>
    <w:rsid w:val="00157230"/>
    <w:rsid w:val="001575CC"/>
    <w:rsid w:val="00161C04"/>
    <w:rsid w:val="00162411"/>
    <w:rsid w:val="001626C8"/>
    <w:rsid w:val="001628F1"/>
    <w:rsid w:val="00162A92"/>
    <w:rsid w:val="00163DCB"/>
    <w:rsid w:val="00165D1B"/>
    <w:rsid w:val="001662AD"/>
    <w:rsid w:val="001662EF"/>
    <w:rsid w:val="0016686E"/>
    <w:rsid w:val="00166D39"/>
    <w:rsid w:val="00167798"/>
    <w:rsid w:val="00167D1B"/>
    <w:rsid w:val="0017061E"/>
    <w:rsid w:val="00170730"/>
    <w:rsid w:val="00171BD9"/>
    <w:rsid w:val="00172A62"/>
    <w:rsid w:val="00174A41"/>
    <w:rsid w:val="00174A82"/>
    <w:rsid w:val="0017525C"/>
    <w:rsid w:val="00175C91"/>
    <w:rsid w:val="00175EC3"/>
    <w:rsid w:val="00176A9D"/>
    <w:rsid w:val="00177115"/>
    <w:rsid w:val="00177258"/>
    <w:rsid w:val="00177768"/>
    <w:rsid w:val="00177BFB"/>
    <w:rsid w:val="00177D7B"/>
    <w:rsid w:val="00177F94"/>
    <w:rsid w:val="001808E1"/>
    <w:rsid w:val="00180F99"/>
    <w:rsid w:val="00182BEA"/>
    <w:rsid w:val="00182C58"/>
    <w:rsid w:val="001835A1"/>
    <w:rsid w:val="001838A1"/>
    <w:rsid w:val="0018449B"/>
    <w:rsid w:val="00184870"/>
    <w:rsid w:val="00184F3B"/>
    <w:rsid w:val="00185474"/>
    <w:rsid w:val="00186A41"/>
    <w:rsid w:val="00187B1B"/>
    <w:rsid w:val="001905FF"/>
    <w:rsid w:val="00190AC9"/>
    <w:rsid w:val="0019300A"/>
    <w:rsid w:val="0019319C"/>
    <w:rsid w:val="00193E52"/>
    <w:rsid w:val="00194847"/>
    <w:rsid w:val="0019576E"/>
    <w:rsid w:val="001961FB"/>
    <w:rsid w:val="00196A1F"/>
    <w:rsid w:val="00197BB4"/>
    <w:rsid w:val="00197C37"/>
    <w:rsid w:val="001A0C7F"/>
    <w:rsid w:val="001A49D4"/>
    <w:rsid w:val="001A4B03"/>
    <w:rsid w:val="001A4FBD"/>
    <w:rsid w:val="001A6100"/>
    <w:rsid w:val="001A61D6"/>
    <w:rsid w:val="001A71B3"/>
    <w:rsid w:val="001A7933"/>
    <w:rsid w:val="001B0FC7"/>
    <w:rsid w:val="001B1EF9"/>
    <w:rsid w:val="001B345B"/>
    <w:rsid w:val="001B4158"/>
    <w:rsid w:val="001B4534"/>
    <w:rsid w:val="001B530A"/>
    <w:rsid w:val="001C0812"/>
    <w:rsid w:val="001C0AB5"/>
    <w:rsid w:val="001C1E29"/>
    <w:rsid w:val="001C21D5"/>
    <w:rsid w:val="001C28C0"/>
    <w:rsid w:val="001C28C1"/>
    <w:rsid w:val="001C408C"/>
    <w:rsid w:val="001C4270"/>
    <w:rsid w:val="001C4713"/>
    <w:rsid w:val="001C5011"/>
    <w:rsid w:val="001C527D"/>
    <w:rsid w:val="001C6E89"/>
    <w:rsid w:val="001C7DC3"/>
    <w:rsid w:val="001D00D1"/>
    <w:rsid w:val="001D12EB"/>
    <w:rsid w:val="001D1A5C"/>
    <w:rsid w:val="001D3E64"/>
    <w:rsid w:val="001D3E9B"/>
    <w:rsid w:val="001D7326"/>
    <w:rsid w:val="001E0969"/>
    <w:rsid w:val="001E0E52"/>
    <w:rsid w:val="001E22D6"/>
    <w:rsid w:val="001E2778"/>
    <w:rsid w:val="001E285C"/>
    <w:rsid w:val="001E320A"/>
    <w:rsid w:val="001E32E3"/>
    <w:rsid w:val="001E37A6"/>
    <w:rsid w:val="001E3E98"/>
    <w:rsid w:val="001E4285"/>
    <w:rsid w:val="001E6048"/>
    <w:rsid w:val="001E7D1B"/>
    <w:rsid w:val="001F0911"/>
    <w:rsid w:val="001F0BC7"/>
    <w:rsid w:val="001F1A3A"/>
    <w:rsid w:val="001F235A"/>
    <w:rsid w:val="001F2405"/>
    <w:rsid w:val="001F2CD8"/>
    <w:rsid w:val="001F4893"/>
    <w:rsid w:val="001F59F7"/>
    <w:rsid w:val="001F70B1"/>
    <w:rsid w:val="001F7515"/>
    <w:rsid w:val="001F7660"/>
    <w:rsid w:val="002007E8"/>
    <w:rsid w:val="00200D64"/>
    <w:rsid w:val="00201A06"/>
    <w:rsid w:val="00201F16"/>
    <w:rsid w:val="0020214D"/>
    <w:rsid w:val="002046E3"/>
    <w:rsid w:val="002050E5"/>
    <w:rsid w:val="002070C2"/>
    <w:rsid w:val="00207203"/>
    <w:rsid w:val="002075C0"/>
    <w:rsid w:val="00207CB6"/>
    <w:rsid w:val="00207FB5"/>
    <w:rsid w:val="00210298"/>
    <w:rsid w:val="0021057C"/>
    <w:rsid w:val="002105EE"/>
    <w:rsid w:val="00210EA1"/>
    <w:rsid w:val="00210FC1"/>
    <w:rsid w:val="00212722"/>
    <w:rsid w:val="00212BDE"/>
    <w:rsid w:val="00213997"/>
    <w:rsid w:val="00215061"/>
    <w:rsid w:val="002151F5"/>
    <w:rsid w:val="00216655"/>
    <w:rsid w:val="002168B7"/>
    <w:rsid w:val="00216E4A"/>
    <w:rsid w:val="002202FA"/>
    <w:rsid w:val="0022075E"/>
    <w:rsid w:val="00220EC6"/>
    <w:rsid w:val="00221F1D"/>
    <w:rsid w:val="00223A83"/>
    <w:rsid w:val="00223D5F"/>
    <w:rsid w:val="00224CBA"/>
    <w:rsid w:val="00225042"/>
    <w:rsid w:val="00230311"/>
    <w:rsid w:val="00230363"/>
    <w:rsid w:val="00230684"/>
    <w:rsid w:val="0023071F"/>
    <w:rsid w:val="002314EF"/>
    <w:rsid w:val="002316FB"/>
    <w:rsid w:val="00232904"/>
    <w:rsid w:val="00233DE2"/>
    <w:rsid w:val="00234B08"/>
    <w:rsid w:val="00234D13"/>
    <w:rsid w:val="00235333"/>
    <w:rsid w:val="002369B4"/>
    <w:rsid w:val="0023701B"/>
    <w:rsid w:val="002373C5"/>
    <w:rsid w:val="00237F52"/>
    <w:rsid w:val="00240B09"/>
    <w:rsid w:val="00240B25"/>
    <w:rsid w:val="002412BD"/>
    <w:rsid w:val="002428CC"/>
    <w:rsid w:val="002428F8"/>
    <w:rsid w:val="00242D57"/>
    <w:rsid w:val="002453BF"/>
    <w:rsid w:val="002455A4"/>
    <w:rsid w:val="00245D77"/>
    <w:rsid w:val="00245EAF"/>
    <w:rsid w:val="0024625D"/>
    <w:rsid w:val="0024630E"/>
    <w:rsid w:val="00246905"/>
    <w:rsid w:val="002474A4"/>
    <w:rsid w:val="00250616"/>
    <w:rsid w:val="0025066A"/>
    <w:rsid w:val="002507B6"/>
    <w:rsid w:val="00252A36"/>
    <w:rsid w:val="0025301D"/>
    <w:rsid w:val="0025448D"/>
    <w:rsid w:val="002549E4"/>
    <w:rsid w:val="00254A5C"/>
    <w:rsid w:val="00255681"/>
    <w:rsid w:val="0025631E"/>
    <w:rsid w:val="00256431"/>
    <w:rsid w:val="00256BE0"/>
    <w:rsid w:val="0025724B"/>
    <w:rsid w:val="002573A6"/>
    <w:rsid w:val="00257C72"/>
    <w:rsid w:val="00257DDC"/>
    <w:rsid w:val="0026037C"/>
    <w:rsid w:val="00260809"/>
    <w:rsid w:val="00262A1A"/>
    <w:rsid w:val="00263C3F"/>
    <w:rsid w:val="00263CCF"/>
    <w:rsid w:val="00264080"/>
    <w:rsid w:val="002643DE"/>
    <w:rsid w:val="00264EE8"/>
    <w:rsid w:val="002652E5"/>
    <w:rsid w:val="00265B1D"/>
    <w:rsid w:val="00266D55"/>
    <w:rsid w:val="00270008"/>
    <w:rsid w:val="00270286"/>
    <w:rsid w:val="00270841"/>
    <w:rsid w:val="00271989"/>
    <w:rsid w:val="00272736"/>
    <w:rsid w:val="00275AD6"/>
    <w:rsid w:val="00276362"/>
    <w:rsid w:val="002765C4"/>
    <w:rsid w:val="002779BC"/>
    <w:rsid w:val="002804B4"/>
    <w:rsid w:val="00280BC0"/>
    <w:rsid w:val="00280F67"/>
    <w:rsid w:val="002810D3"/>
    <w:rsid w:val="002811AE"/>
    <w:rsid w:val="002812D7"/>
    <w:rsid w:val="002815DC"/>
    <w:rsid w:val="00281B63"/>
    <w:rsid w:val="00282528"/>
    <w:rsid w:val="0028371D"/>
    <w:rsid w:val="002838B2"/>
    <w:rsid w:val="00284455"/>
    <w:rsid w:val="00284B70"/>
    <w:rsid w:val="002854B0"/>
    <w:rsid w:val="002858F9"/>
    <w:rsid w:val="002861D8"/>
    <w:rsid w:val="00286353"/>
    <w:rsid w:val="00286A69"/>
    <w:rsid w:val="00287160"/>
    <w:rsid w:val="0029045C"/>
    <w:rsid w:val="002916BA"/>
    <w:rsid w:val="00292443"/>
    <w:rsid w:val="0029336B"/>
    <w:rsid w:val="00294031"/>
    <w:rsid w:val="00296CA9"/>
    <w:rsid w:val="00297584"/>
    <w:rsid w:val="00297E33"/>
    <w:rsid w:val="00297F8A"/>
    <w:rsid w:val="002A0612"/>
    <w:rsid w:val="002A13EE"/>
    <w:rsid w:val="002A161D"/>
    <w:rsid w:val="002A215E"/>
    <w:rsid w:val="002A2FE2"/>
    <w:rsid w:val="002A3257"/>
    <w:rsid w:val="002A3F6F"/>
    <w:rsid w:val="002A40D8"/>
    <w:rsid w:val="002A43FD"/>
    <w:rsid w:val="002A5440"/>
    <w:rsid w:val="002A6943"/>
    <w:rsid w:val="002A7851"/>
    <w:rsid w:val="002B1717"/>
    <w:rsid w:val="002B2446"/>
    <w:rsid w:val="002B2EAD"/>
    <w:rsid w:val="002B363B"/>
    <w:rsid w:val="002B3C76"/>
    <w:rsid w:val="002B3CF6"/>
    <w:rsid w:val="002B59B9"/>
    <w:rsid w:val="002B5D70"/>
    <w:rsid w:val="002B6C63"/>
    <w:rsid w:val="002B7768"/>
    <w:rsid w:val="002C1770"/>
    <w:rsid w:val="002C2CC1"/>
    <w:rsid w:val="002C3C9D"/>
    <w:rsid w:val="002C43D3"/>
    <w:rsid w:val="002C4623"/>
    <w:rsid w:val="002C4ED4"/>
    <w:rsid w:val="002C4FC1"/>
    <w:rsid w:val="002C7432"/>
    <w:rsid w:val="002D0074"/>
    <w:rsid w:val="002D0946"/>
    <w:rsid w:val="002D1CA1"/>
    <w:rsid w:val="002D2484"/>
    <w:rsid w:val="002D38CF"/>
    <w:rsid w:val="002D3D6E"/>
    <w:rsid w:val="002D4092"/>
    <w:rsid w:val="002D5A77"/>
    <w:rsid w:val="002D6310"/>
    <w:rsid w:val="002D7590"/>
    <w:rsid w:val="002D7FA3"/>
    <w:rsid w:val="002E0C75"/>
    <w:rsid w:val="002E125C"/>
    <w:rsid w:val="002E1A92"/>
    <w:rsid w:val="002E1D6B"/>
    <w:rsid w:val="002E2A2C"/>
    <w:rsid w:val="002E2AB0"/>
    <w:rsid w:val="002E2C96"/>
    <w:rsid w:val="002E3D54"/>
    <w:rsid w:val="002E444A"/>
    <w:rsid w:val="002E4553"/>
    <w:rsid w:val="002E485A"/>
    <w:rsid w:val="002E4A80"/>
    <w:rsid w:val="002E6533"/>
    <w:rsid w:val="002E7247"/>
    <w:rsid w:val="002E7525"/>
    <w:rsid w:val="002E7549"/>
    <w:rsid w:val="002E7D0C"/>
    <w:rsid w:val="002F00E5"/>
    <w:rsid w:val="002F0117"/>
    <w:rsid w:val="002F136D"/>
    <w:rsid w:val="002F2323"/>
    <w:rsid w:val="002F2EFF"/>
    <w:rsid w:val="002F3674"/>
    <w:rsid w:val="002F415E"/>
    <w:rsid w:val="002F44AE"/>
    <w:rsid w:val="002F4B39"/>
    <w:rsid w:val="002F582A"/>
    <w:rsid w:val="002F60E6"/>
    <w:rsid w:val="002F6E66"/>
    <w:rsid w:val="002F70FF"/>
    <w:rsid w:val="002F7337"/>
    <w:rsid w:val="002F760D"/>
    <w:rsid w:val="002F7761"/>
    <w:rsid w:val="002F7797"/>
    <w:rsid w:val="003000FF"/>
    <w:rsid w:val="003005CC"/>
    <w:rsid w:val="00300670"/>
    <w:rsid w:val="00300851"/>
    <w:rsid w:val="00300AC7"/>
    <w:rsid w:val="00301734"/>
    <w:rsid w:val="00301C65"/>
    <w:rsid w:val="003025A4"/>
    <w:rsid w:val="00302D89"/>
    <w:rsid w:val="00303238"/>
    <w:rsid w:val="0030383A"/>
    <w:rsid w:val="003058C0"/>
    <w:rsid w:val="0030627C"/>
    <w:rsid w:val="003062CD"/>
    <w:rsid w:val="00306B08"/>
    <w:rsid w:val="00307A8D"/>
    <w:rsid w:val="00307AFD"/>
    <w:rsid w:val="00307C2A"/>
    <w:rsid w:val="003106AA"/>
    <w:rsid w:val="0031082B"/>
    <w:rsid w:val="00310D08"/>
    <w:rsid w:val="00311954"/>
    <w:rsid w:val="003129FF"/>
    <w:rsid w:val="00312B73"/>
    <w:rsid w:val="003132F0"/>
    <w:rsid w:val="00314635"/>
    <w:rsid w:val="00314A9A"/>
    <w:rsid w:val="00314D60"/>
    <w:rsid w:val="00315870"/>
    <w:rsid w:val="00316356"/>
    <w:rsid w:val="00317477"/>
    <w:rsid w:val="0032106D"/>
    <w:rsid w:val="0032119C"/>
    <w:rsid w:val="00321853"/>
    <w:rsid w:val="00321D71"/>
    <w:rsid w:val="00322C51"/>
    <w:rsid w:val="00323616"/>
    <w:rsid w:val="003236A1"/>
    <w:rsid w:val="0033023B"/>
    <w:rsid w:val="003313F0"/>
    <w:rsid w:val="00331762"/>
    <w:rsid w:val="00333463"/>
    <w:rsid w:val="003334D5"/>
    <w:rsid w:val="0033362F"/>
    <w:rsid w:val="00335159"/>
    <w:rsid w:val="00335BB7"/>
    <w:rsid w:val="00336799"/>
    <w:rsid w:val="00336DE2"/>
    <w:rsid w:val="003373FA"/>
    <w:rsid w:val="003374DA"/>
    <w:rsid w:val="00337B89"/>
    <w:rsid w:val="0034078C"/>
    <w:rsid w:val="0034093E"/>
    <w:rsid w:val="003412C4"/>
    <w:rsid w:val="00341ECB"/>
    <w:rsid w:val="00342E40"/>
    <w:rsid w:val="003443B1"/>
    <w:rsid w:val="00344AFB"/>
    <w:rsid w:val="0034519A"/>
    <w:rsid w:val="00345361"/>
    <w:rsid w:val="00345E81"/>
    <w:rsid w:val="00346379"/>
    <w:rsid w:val="0034668E"/>
    <w:rsid w:val="00346CA1"/>
    <w:rsid w:val="00347537"/>
    <w:rsid w:val="003478C6"/>
    <w:rsid w:val="00350196"/>
    <w:rsid w:val="00350750"/>
    <w:rsid w:val="00350B4B"/>
    <w:rsid w:val="003523D0"/>
    <w:rsid w:val="003523D9"/>
    <w:rsid w:val="003531D9"/>
    <w:rsid w:val="00353315"/>
    <w:rsid w:val="00354998"/>
    <w:rsid w:val="0035579F"/>
    <w:rsid w:val="00355F59"/>
    <w:rsid w:val="0035604E"/>
    <w:rsid w:val="003571ED"/>
    <w:rsid w:val="00357A52"/>
    <w:rsid w:val="003607C8"/>
    <w:rsid w:val="00360E03"/>
    <w:rsid w:val="00361524"/>
    <w:rsid w:val="00363201"/>
    <w:rsid w:val="00363EEA"/>
    <w:rsid w:val="00364770"/>
    <w:rsid w:val="003649F6"/>
    <w:rsid w:val="00365800"/>
    <w:rsid w:val="00367D0B"/>
    <w:rsid w:val="00367F5C"/>
    <w:rsid w:val="0037151D"/>
    <w:rsid w:val="00371615"/>
    <w:rsid w:val="003728E1"/>
    <w:rsid w:val="00372916"/>
    <w:rsid w:val="0037305A"/>
    <w:rsid w:val="003736E1"/>
    <w:rsid w:val="00373B7A"/>
    <w:rsid w:val="00376343"/>
    <w:rsid w:val="003767EA"/>
    <w:rsid w:val="0038092F"/>
    <w:rsid w:val="00380CE0"/>
    <w:rsid w:val="00381583"/>
    <w:rsid w:val="0038289F"/>
    <w:rsid w:val="0038321A"/>
    <w:rsid w:val="0038382F"/>
    <w:rsid w:val="0038457A"/>
    <w:rsid w:val="00385158"/>
    <w:rsid w:val="003860FA"/>
    <w:rsid w:val="0038627A"/>
    <w:rsid w:val="0038687F"/>
    <w:rsid w:val="00386898"/>
    <w:rsid w:val="00387018"/>
    <w:rsid w:val="003906F5"/>
    <w:rsid w:val="00390E42"/>
    <w:rsid w:val="00391FE7"/>
    <w:rsid w:val="00392DD5"/>
    <w:rsid w:val="003949E4"/>
    <w:rsid w:val="00397160"/>
    <w:rsid w:val="00397500"/>
    <w:rsid w:val="00397898"/>
    <w:rsid w:val="00397CF7"/>
    <w:rsid w:val="003A0C9A"/>
    <w:rsid w:val="003A1D53"/>
    <w:rsid w:val="003A2286"/>
    <w:rsid w:val="003A2B8D"/>
    <w:rsid w:val="003A32A5"/>
    <w:rsid w:val="003A34AD"/>
    <w:rsid w:val="003A4039"/>
    <w:rsid w:val="003A4098"/>
    <w:rsid w:val="003A446F"/>
    <w:rsid w:val="003A44A3"/>
    <w:rsid w:val="003A4BC8"/>
    <w:rsid w:val="003A59A7"/>
    <w:rsid w:val="003A6316"/>
    <w:rsid w:val="003A6FEA"/>
    <w:rsid w:val="003A7465"/>
    <w:rsid w:val="003A7A97"/>
    <w:rsid w:val="003A7F03"/>
    <w:rsid w:val="003B0B50"/>
    <w:rsid w:val="003B1A4E"/>
    <w:rsid w:val="003B2E9B"/>
    <w:rsid w:val="003B305D"/>
    <w:rsid w:val="003B3461"/>
    <w:rsid w:val="003B47B5"/>
    <w:rsid w:val="003B4EEE"/>
    <w:rsid w:val="003B4F6B"/>
    <w:rsid w:val="003B68D3"/>
    <w:rsid w:val="003B6B56"/>
    <w:rsid w:val="003B6ECD"/>
    <w:rsid w:val="003B79F0"/>
    <w:rsid w:val="003B7DB0"/>
    <w:rsid w:val="003C0FF1"/>
    <w:rsid w:val="003C281B"/>
    <w:rsid w:val="003C3472"/>
    <w:rsid w:val="003C3CBD"/>
    <w:rsid w:val="003C56AF"/>
    <w:rsid w:val="003C57BC"/>
    <w:rsid w:val="003C5979"/>
    <w:rsid w:val="003C5DA3"/>
    <w:rsid w:val="003C6161"/>
    <w:rsid w:val="003C6302"/>
    <w:rsid w:val="003C68D4"/>
    <w:rsid w:val="003D0461"/>
    <w:rsid w:val="003D09A9"/>
    <w:rsid w:val="003D249B"/>
    <w:rsid w:val="003D44CA"/>
    <w:rsid w:val="003D4A57"/>
    <w:rsid w:val="003D505B"/>
    <w:rsid w:val="003D53DF"/>
    <w:rsid w:val="003D5448"/>
    <w:rsid w:val="003D6780"/>
    <w:rsid w:val="003D67AE"/>
    <w:rsid w:val="003D6E0E"/>
    <w:rsid w:val="003E01A3"/>
    <w:rsid w:val="003E0693"/>
    <w:rsid w:val="003E0891"/>
    <w:rsid w:val="003E0975"/>
    <w:rsid w:val="003E0F87"/>
    <w:rsid w:val="003E38AF"/>
    <w:rsid w:val="003E44C8"/>
    <w:rsid w:val="003E550B"/>
    <w:rsid w:val="003E5AFA"/>
    <w:rsid w:val="003E6F9D"/>
    <w:rsid w:val="003E7685"/>
    <w:rsid w:val="003E7A13"/>
    <w:rsid w:val="003F21D8"/>
    <w:rsid w:val="003F2D3E"/>
    <w:rsid w:val="003F3004"/>
    <w:rsid w:val="003F358D"/>
    <w:rsid w:val="003F5945"/>
    <w:rsid w:val="003F62CA"/>
    <w:rsid w:val="003F70EC"/>
    <w:rsid w:val="003F743D"/>
    <w:rsid w:val="003F749A"/>
    <w:rsid w:val="003F7E15"/>
    <w:rsid w:val="004009D5"/>
    <w:rsid w:val="00400ABA"/>
    <w:rsid w:val="00400DC8"/>
    <w:rsid w:val="004023C5"/>
    <w:rsid w:val="00403141"/>
    <w:rsid w:val="004034A2"/>
    <w:rsid w:val="004042FD"/>
    <w:rsid w:val="004049B0"/>
    <w:rsid w:val="00406297"/>
    <w:rsid w:val="00406CDC"/>
    <w:rsid w:val="0041090F"/>
    <w:rsid w:val="00410EBC"/>
    <w:rsid w:val="004125AD"/>
    <w:rsid w:val="00412981"/>
    <w:rsid w:val="00413077"/>
    <w:rsid w:val="00413235"/>
    <w:rsid w:val="00413E32"/>
    <w:rsid w:val="0041485B"/>
    <w:rsid w:val="00414C2E"/>
    <w:rsid w:val="004173B8"/>
    <w:rsid w:val="00420E16"/>
    <w:rsid w:val="00422546"/>
    <w:rsid w:val="00422F8D"/>
    <w:rsid w:val="00423AA2"/>
    <w:rsid w:val="00423BFB"/>
    <w:rsid w:val="00424A82"/>
    <w:rsid w:val="004278E8"/>
    <w:rsid w:val="00431AC9"/>
    <w:rsid w:val="00434F65"/>
    <w:rsid w:val="00434FBE"/>
    <w:rsid w:val="004350F5"/>
    <w:rsid w:val="00435CB6"/>
    <w:rsid w:val="00435FE0"/>
    <w:rsid w:val="00437D01"/>
    <w:rsid w:val="004400E8"/>
    <w:rsid w:val="0044015D"/>
    <w:rsid w:val="00440A46"/>
    <w:rsid w:val="00440A59"/>
    <w:rsid w:val="00440A78"/>
    <w:rsid w:val="0044151E"/>
    <w:rsid w:val="00441B1C"/>
    <w:rsid w:val="00442750"/>
    <w:rsid w:val="00443520"/>
    <w:rsid w:val="00443A04"/>
    <w:rsid w:val="0044416A"/>
    <w:rsid w:val="004477D4"/>
    <w:rsid w:val="004477EA"/>
    <w:rsid w:val="004479A9"/>
    <w:rsid w:val="00447C67"/>
    <w:rsid w:val="00450906"/>
    <w:rsid w:val="00450C7B"/>
    <w:rsid w:val="00451372"/>
    <w:rsid w:val="004523FA"/>
    <w:rsid w:val="00452EF7"/>
    <w:rsid w:val="00453A6A"/>
    <w:rsid w:val="00453C0B"/>
    <w:rsid w:val="004554AA"/>
    <w:rsid w:val="00455ADB"/>
    <w:rsid w:val="00456090"/>
    <w:rsid w:val="004563B8"/>
    <w:rsid w:val="0045647B"/>
    <w:rsid w:val="004566E8"/>
    <w:rsid w:val="004569D0"/>
    <w:rsid w:val="00457DE0"/>
    <w:rsid w:val="0046004B"/>
    <w:rsid w:val="00460B95"/>
    <w:rsid w:val="00462393"/>
    <w:rsid w:val="004627B4"/>
    <w:rsid w:val="0046324E"/>
    <w:rsid w:val="0046341D"/>
    <w:rsid w:val="00463577"/>
    <w:rsid w:val="00463B5F"/>
    <w:rsid w:val="00463CFD"/>
    <w:rsid w:val="00464B2E"/>
    <w:rsid w:val="004650F9"/>
    <w:rsid w:val="0046519F"/>
    <w:rsid w:val="00465425"/>
    <w:rsid w:val="00466066"/>
    <w:rsid w:val="004662C5"/>
    <w:rsid w:val="00466370"/>
    <w:rsid w:val="00467FD1"/>
    <w:rsid w:val="00471C29"/>
    <w:rsid w:val="00471F85"/>
    <w:rsid w:val="004734AB"/>
    <w:rsid w:val="00473510"/>
    <w:rsid w:val="0047546F"/>
    <w:rsid w:val="004756C3"/>
    <w:rsid w:val="004756C9"/>
    <w:rsid w:val="004758A4"/>
    <w:rsid w:val="00475AB2"/>
    <w:rsid w:val="00476223"/>
    <w:rsid w:val="00477A46"/>
    <w:rsid w:val="00480661"/>
    <w:rsid w:val="00483163"/>
    <w:rsid w:val="004839D4"/>
    <w:rsid w:val="004841AE"/>
    <w:rsid w:val="004848EA"/>
    <w:rsid w:val="00484FE4"/>
    <w:rsid w:val="00487335"/>
    <w:rsid w:val="00487BBA"/>
    <w:rsid w:val="00487D25"/>
    <w:rsid w:val="00490BA3"/>
    <w:rsid w:val="004910DF"/>
    <w:rsid w:val="00491BD6"/>
    <w:rsid w:val="004929CB"/>
    <w:rsid w:val="004938AA"/>
    <w:rsid w:val="004942FE"/>
    <w:rsid w:val="00494812"/>
    <w:rsid w:val="004953FF"/>
    <w:rsid w:val="0049545E"/>
    <w:rsid w:val="00496ADF"/>
    <w:rsid w:val="00497743"/>
    <w:rsid w:val="004A0A55"/>
    <w:rsid w:val="004A0B9E"/>
    <w:rsid w:val="004A1954"/>
    <w:rsid w:val="004A3587"/>
    <w:rsid w:val="004A35D9"/>
    <w:rsid w:val="004A429F"/>
    <w:rsid w:val="004A4C88"/>
    <w:rsid w:val="004A4D0D"/>
    <w:rsid w:val="004A5290"/>
    <w:rsid w:val="004A5C9A"/>
    <w:rsid w:val="004A624D"/>
    <w:rsid w:val="004A6C43"/>
    <w:rsid w:val="004A70DA"/>
    <w:rsid w:val="004B034E"/>
    <w:rsid w:val="004B0B45"/>
    <w:rsid w:val="004B2A68"/>
    <w:rsid w:val="004B2D49"/>
    <w:rsid w:val="004B2D66"/>
    <w:rsid w:val="004B3F1A"/>
    <w:rsid w:val="004B4220"/>
    <w:rsid w:val="004B46E5"/>
    <w:rsid w:val="004B50EB"/>
    <w:rsid w:val="004B5B44"/>
    <w:rsid w:val="004B7107"/>
    <w:rsid w:val="004B741B"/>
    <w:rsid w:val="004B76C8"/>
    <w:rsid w:val="004B7850"/>
    <w:rsid w:val="004B797B"/>
    <w:rsid w:val="004B7A2C"/>
    <w:rsid w:val="004B7AE7"/>
    <w:rsid w:val="004B7F73"/>
    <w:rsid w:val="004B7F80"/>
    <w:rsid w:val="004C0777"/>
    <w:rsid w:val="004C1109"/>
    <w:rsid w:val="004C1874"/>
    <w:rsid w:val="004C226C"/>
    <w:rsid w:val="004C254F"/>
    <w:rsid w:val="004C28F1"/>
    <w:rsid w:val="004C2DF4"/>
    <w:rsid w:val="004C35E3"/>
    <w:rsid w:val="004C3868"/>
    <w:rsid w:val="004C41D8"/>
    <w:rsid w:val="004C482D"/>
    <w:rsid w:val="004C4A47"/>
    <w:rsid w:val="004C4FAC"/>
    <w:rsid w:val="004C58CA"/>
    <w:rsid w:val="004C5B8D"/>
    <w:rsid w:val="004C5CF3"/>
    <w:rsid w:val="004C5D53"/>
    <w:rsid w:val="004C648D"/>
    <w:rsid w:val="004C7E32"/>
    <w:rsid w:val="004D00C3"/>
    <w:rsid w:val="004D2C74"/>
    <w:rsid w:val="004D2CED"/>
    <w:rsid w:val="004D2E97"/>
    <w:rsid w:val="004D4463"/>
    <w:rsid w:val="004D47E6"/>
    <w:rsid w:val="004D5061"/>
    <w:rsid w:val="004D53C0"/>
    <w:rsid w:val="004D5C7F"/>
    <w:rsid w:val="004D6386"/>
    <w:rsid w:val="004D6828"/>
    <w:rsid w:val="004D6F54"/>
    <w:rsid w:val="004E0A54"/>
    <w:rsid w:val="004E0B12"/>
    <w:rsid w:val="004E0E83"/>
    <w:rsid w:val="004E2060"/>
    <w:rsid w:val="004E21DF"/>
    <w:rsid w:val="004E2402"/>
    <w:rsid w:val="004E3116"/>
    <w:rsid w:val="004E348D"/>
    <w:rsid w:val="004E3A11"/>
    <w:rsid w:val="004E4B7B"/>
    <w:rsid w:val="004E520A"/>
    <w:rsid w:val="004E544D"/>
    <w:rsid w:val="004E6E43"/>
    <w:rsid w:val="004F02C5"/>
    <w:rsid w:val="004F1063"/>
    <w:rsid w:val="004F1A88"/>
    <w:rsid w:val="004F1CFF"/>
    <w:rsid w:val="004F1FE3"/>
    <w:rsid w:val="004F2CED"/>
    <w:rsid w:val="004F2D19"/>
    <w:rsid w:val="004F3216"/>
    <w:rsid w:val="004F3A6C"/>
    <w:rsid w:val="004F3B15"/>
    <w:rsid w:val="004F40ED"/>
    <w:rsid w:val="004F503D"/>
    <w:rsid w:val="004F5770"/>
    <w:rsid w:val="004F5FE4"/>
    <w:rsid w:val="004F601E"/>
    <w:rsid w:val="004F688D"/>
    <w:rsid w:val="004F792C"/>
    <w:rsid w:val="004F7F3C"/>
    <w:rsid w:val="00500400"/>
    <w:rsid w:val="00500E4A"/>
    <w:rsid w:val="0050162F"/>
    <w:rsid w:val="00501E76"/>
    <w:rsid w:val="0050233D"/>
    <w:rsid w:val="00502B81"/>
    <w:rsid w:val="00504476"/>
    <w:rsid w:val="00504AD2"/>
    <w:rsid w:val="00505697"/>
    <w:rsid w:val="00505FE4"/>
    <w:rsid w:val="0050757C"/>
    <w:rsid w:val="0050786B"/>
    <w:rsid w:val="00510488"/>
    <w:rsid w:val="005105D8"/>
    <w:rsid w:val="00511686"/>
    <w:rsid w:val="005122A3"/>
    <w:rsid w:val="005134C9"/>
    <w:rsid w:val="0051443F"/>
    <w:rsid w:val="005165EB"/>
    <w:rsid w:val="0051666E"/>
    <w:rsid w:val="00517A45"/>
    <w:rsid w:val="00520825"/>
    <w:rsid w:val="00520CA2"/>
    <w:rsid w:val="00521DFC"/>
    <w:rsid w:val="00526509"/>
    <w:rsid w:val="00526630"/>
    <w:rsid w:val="005268DF"/>
    <w:rsid w:val="00526BC4"/>
    <w:rsid w:val="0052733D"/>
    <w:rsid w:val="005274FF"/>
    <w:rsid w:val="00530381"/>
    <w:rsid w:val="00530E16"/>
    <w:rsid w:val="0053195B"/>
    <w:rsid w:val="005319FA"/>
    <w:rsid w:val="00533D93"/>
    <w:rsid w:val="00533DC9"/>
    <w:rsid w:val="00533DFB"/>
    <w:rsid w:val="005378CF"/>
    <w:rsid w:val="00540411"/>
    <w:rsid w:val="005427A1"/>
    <w:rsid w:val="005458E7"/>
    <w:rsid w:val="00546151"/>
    <w:rsid w:val="00546238"/>
    <w:rsid w:val="00550CD0"/>
    <w:rsid w:val="00550DD0"/>
    <w:rsid w:val="00551175"/>
    <w:rsid w:val="0055142F"/>
    <w:rsid w:val="0055144F"/>
    <w:rsid w:val="00551EC5"/>
    <w:rsid w:val="00552281"/>
    <w:rsid w:val="005528AD"/>
    <w:rsid w:val="005529C4"/>
    <w:rsid w:val="005535D3"/>
    <w:rsid w:val="005536E6"/>
    <w:rsid w:val="00553DB2"/>
    <w:rsid w:val="00555011"/>
    <w:rsid w:val="0055526C"/>
    <w:rsid w:val="00555708"/>
    <w:rsid w:val="00557F62"/>
    <w:rsid w:val="00560125"/>
    <w:rsid w:val="005601F4"/>
    <w:rsid w:val="005602ED"/>
    <w:rsid w:val="00560E1A"/>
    <w:rsid w:val="005612EC"/>
    <w:rsid w:val="00563A11"/>
    <w:rsid w:val="00563D1D"/>
    <w:rsid w:val="00564E0E"/>
    <w:rsid w:val="00565EC9"/>
    <w:rsid w:val="00566E78"/>
    <w:rsid w:val="00571420"/>
    <w:rsid w:val="00571C1D"/>
    <w:rsid w:val="005721BA"/>
    <w:rsid w:val="005732F3"/>
    <w:rsid w:val="005733A5"/>
    <w:rsid w:val="00573B2B"/>
    <w:rsid w:val="00573E84"/>
    <w:rsid w:val="00574232"/>
    <w:rsid w:val="00574461"/>
    <w:rsid w:val="00574B28"/>
    <w:rsid w:val="00574D0E"/>
    <w:rsid w:val="00575317"/>
    <w:rsid w:val="0057536E"/>
    <w:rsid w:val="005758E7"/>
    <w:rsid w:val="005768BB"/>
    <w:rsid w:val="00576A7F"/>
    <w:rsid w:val="00577C57"/>
    <w:rsid w:val="00577E8E"/>
    <w:rsid w:val="00580C30"/>
    <w:rsid w:val="00580D60"/>
    <w:rsid w:val="00581152"/>
    <w:rsid w:val="0058190E"/>
    <w:rsid w:val="00581CA2"/>
    <w:rsid w:val="005823F7"/>
    <w:rsid w:val="00583FC8"/>
    <w:rsid w:val="0058462D"/>
    <w:rsid w:val="00584F8B"/>
    <w:rsid w:val="00585481"/>
    <w:rsid w:val="005854D7"/>
    <w:rsid w:val="005862CF"/>
    <w:rsid w:val="00586D6E"/>
    <w:rsid w:val="00586E2C"/>
    <w:rsid w:val="0058708B"/>
    <w:rsid w:val="00587112"/>
    <w:rsid w:val="0058748A"/>
    <w:rsid w:val="00587AD9"/>
    <w:rsid w:val="00587B3D"/>
    <w:rsid w:val="00590E82"/>
    <w:rsid w:val="005917F7"/>
    <w:rsid w:val="005920B0"/>
    <w:rsid w:val="00592D64"/>
    <w:rsid w:val="00593885"/>
    <w:rsid w:val="00594531"/>
    <w:rsid w:val="00594AB9"/>
    <w:rsid w:val="00595F3E"/>
    <w:rsid w:val="00596069"/>
    <w:rsid w:val="00597A19"/>
    <w:rsid w:val="005A0E52"/>
    <w:rsid w:val="005A28A8"/>
    <w:rsid w:val="005A33C5"/>
    <w:rsid w:val="005A39CB"/>
    <w:rsid w:val="005A406D"/>
    <w:rsid w:val="005A454F"/>
    <w:rsid w:val="005A5ADD"/>
    <w:rsid w:val="005A5EC3"/>
    <w:rsid w:val="005A5F29"/>
    <w:rsid w:val="005A6BC7"/>
    <w:rsid w:val="005A6BE4"/>
    <w:rsid w:val="005A78F3"/>
    <w:rsid w:val="005B0FC0"/>
    <w:rsid w:val="005B24EB"/>
    <w:rsid w:val="005B3FDC"/>
    <w:rsid w:val="005B50AB"/>
    <w:rsid w:val="005B61BA"/>
    <w:rsid w:val="005B7D0A"/>
    <w:rsid w:val="005C03BB"/>
    <w:rsid w:val="005C0623"/>
    <w:rsid w:val="005C15CC"/>
    <w:rsid w:val="005C1B3F"/>
    <w:rsid w:val="005C27CE"/>
    <w:rsid w:val="005C325B"/>
    <w:rsid w:val="005C32F7"/>
    <w:rsid w:val="005C3635"/>
    <w:rsid w:val="005C4234"/>
    <w:rsid w:val="005C43FE"/>
    <w:rsid w:val="005C469A"/>
    <w:rsid w:val="005C47EC"/>
    <w:rsid w:val="005C47EF"/>
    <w:rsid w:val="005C4C2B"/>
    <w:rsid w:val="005C6E51"/>
    <w:rsid w:val="005C729B"/>
    <w:rsid w:val="005C7999"/>
    <w:rsid w:val="005D0A6F"/>
    <w:rsid w:val="005D1403"/>
    <w:rsid w:val="005D145B"/>
    <w:rsid w:val="005D2233"/>
    <w:rsid w:val="005D2FFD"/>
    <w:rsid w:val="005D32A6"/>
    <w:rsid w:val="005D3782"/>
    <w:rsid w:val="005D3BE5"/>
    <w:rsid w:val="005D3DA8"/>
    <w:rsid w:val="005D4F4B"/>
    <w:rsid w:val="005D55B2"/>
    <w:rsid w:val="005D7DF8"/>
    <w:rsid w:val="005D7E06"/>
    <w:rsid w:val="005D7E41"/>
    <w:rsid w:val="005E173C"/>
    <w:rsid w:val="005E2861"/>
    <w:rsid w:val="005E37DB"/>
    <w:rsid w:val="005E38D9"/>
    <w:rsid w:val="005E489E"/>
    <w:rsid w:val="005E51B5"/>
    <w:rsid w:val="005E5A28"/>
    <w:rsid w:val="005E6815"/>
    <w:rsid w:val="005E6E38"/>
    <w:rsid w:val="005E7B28"/>
    <w:rsid w:val="005E7D05"/>
    <w:rsid w:val="005E7FD7"/>
    <w:rsid w:val="005F0540"/>
    <w:rsid w:val="005F0B1E"/>
    <w:rsid w:val="005F1033"/>
    <w:rsid w:val="005F1614"/>
    <w:rsid w:val="005F1A65"/>
    <w:rsid w:val="005F20E2"/>
    <w:rsid w:val="005F2511"/>
    <w:rsid w:val="005F5C12"/>
    <w:rsid w:val="005F6386"/>
    <w:rsid w:val="005F7734"/>
    <w:rsid w:val="005F7839"/>
    <w:rsid w:val="005F7EEB"/>
    <w:rsid w:val="0060001F"/>
    <w:rsid w:val="00600B70"/>
    <w:rsid w:val="00601AA5"/>
    <w:rsid w:val="00601B05"/>
    <w:rsid w:val="00601FBC"/>
    <w:rsid w:val="006066E3"/>
    <w:rsid w:val="00607278"/>
    <w:rsid w:val="00607378"/>
    <w:rsid w:val="00607996"/>
    <w:rsid w:val="0061105E"/>
    <w:rsid w:val="006111ED"/>
    <w:rsid w:val="00611545"/>
    <w:rsid w:val="0061270C"/>
    <w:rsid w:val="006129E0"/>
    <w:rsid w:val="00612D4C"/>
    <w:rsid w:val="00613EF9"/>
    <w:rsid w:val="00615AD9"/>
    <w:rsid w:val="0061623E"/>
    <w:rsid w:val="00616498"/>
    <w:rsid w:val="00616E0F"/>
    <w:rsid w:val="00617395"/>
    <w:rsid w:val="00617AE4"/>
    <w:rsid w:val="0062083E"/>
    <w:rsid w:val="00620BAA"/>
    <w:rsid w:val="00620D73"/>
    <w:rsid w:val="00622D0A"/>
    <w:rsid w:val="00622D76"/>
    <w:rsid w:val="006248B6"/>
    <w:rsid w:val="0062598A"/>
    <w:rsid w:val="00625FAE"/>
    <w:rsid w:val="00626CAE"/>
    <w:rsid w:val="00627304"/>
    <w:rsid w:val="006308B0"/>
    <w:rsid w:val="00631D3F"/>
    <w:rsid w:val="006320DB"/>
    <w:rsid w:val="00632516"/>
    <w:rsid w:val="00632F4E"/>
    <w:rsid w:val="00634A50"/>
    <w:rsid w:val="00635255"/>
    <w:rsid w:val="00635622"/>
    <w:rsid w:val="00636BC3"/>
    <w:rsid w:val="00636FB3"/>
    <w:rsid w:val="006371DB"/>
    <w:rsid w:val="00640042"/>
    <w:rsid w:val="00640618"/>
    <w:rsid w:val="00640A8C"/>
    <w:rsid w:val="006420CF"/>
    <w:rsid w:val="006428F2"/>
    <w:rsid w:val="00642999"/>
    <w:rsid w:val="00642DCD"/>
    <w:rsid w:val="00642E87"/>
    <w:rsid w:val="00643157"/>
    <w:rsid w:val="006431F8"/>
    <w:rsid w:val="0064365F"/>
    <w:rsid w:val="00643F27"/>
    <w:rsid w:val="0064463C"/>
    <w:rsid w:val="00645377"/>
    <w:rsid w:val="006455E0"/>
    <w:rsid w:val="00645826"/>
    <w:rsid w:val="00646FF1"/>
    <w:rsid w:val="006479EB"/>
    <w:rsid w:val="00650546"/>
    <w:rsid w:val="0065228E"/>
    <w:rsid w:val="00653577"/>
    <w:rsid w:val="00653A02"/>
    <w:rsid w:val="00653BB4"/>
    <w:rsid w:val="00654BFD"/>
    <w:rsid w:val="0065517C"/>
    <w:rsid w:val="0065535C"/>
    <w:rsid w:val="006556AB"/>
    <w:rsid w:val="00655C74"/>
    <w:rsid w:val="006567BA"/>
    <w:rsid w:val="00657975"/>
    <w:rsid w:val="006602F6"/>
    <w:rsid w:val="0066174C"/>
    <w:rsid w:val="006621C7"/>
    <w:rsid w:val="006626B3"/>
    <w:rsid w:val="006626E0"/>
    <w:rsid w:val="0066310C"/>
    <w:rsid w:val="00666A5A"/>
    <w:rsid w:val="00666F01"/>
    <w:rsid w:val="00667F83"/>
    <w:rsid w:val="00670058"/>
    <w:rsid w:val="00670C14"/>
    <w:rsid w:val="00670D27"/>
    <w:rsid w:val="006723D7"/>
    <w:rsid w:val="00672F20"/>
    <w:rsid w:val="00672F9A"/>
    <w:rsid w:val="00673112"/>
    <w:rsid w:val="0067386F"/>
    <w:rsid w:val="00673D55"/>
    <w:rsid w:val="00675450"/>
    <w:rsid w:val="006756BA"/>
    <w:rsid w:val="00675796"/>
    <w:rsid w:val="00675A92"/>
    <w:rsid w:val="00675BA4"/>
    <w:rsid w:val="0067742A"/>
    <w:rsid w:val="00677541"/>
    <w:rsid w:val="006776A2"/>
    <w:rsid w:val="00680BB4"/>
    <w:rsid w:val="006812D5"/>
    <w:rsid w:val="00682028"/>
    <w:rsid w:val="00683040"/>
    <w:rsid w:val="00683075"/>
    <w:rsid w:val="006830A8"/>
    <w:rsid w:val="00683939"/>
    <w:rsid w:val="0068433D"/>
    <w:rsid w:val="00685D58"/>
    <w:rsid w:val="006861EF"/>
    <w:rsid w:val="00686E1C"/>
    <w:rsid w:val="00687380"/>
    <w:rsid w:val="00687D8D"/>
    <w:rsid w:val="0069071C"/>
    <w:rsid w:val="00690AD4"/>
    <w:rsid w:val="00690F69"/>
    <w:rsid w:val="006910E1"/>
    <w:rsid w:val="00691B79"/>
    <w:rsid w:val="00692099"/>
    <w:rsid w:val="00692BBD"/>
    <w:rsid w:val="00692F58"/>
    <w:rsid w:val="00692F75"/>
    <w:rsid w:val="00693685"/>
    <w:rsid w:val="006938B5"/>
    <w:rsid w:val="006947DC"/>
    <w:rsid w:val="00695AFA"/>
    <w:rsid w:val="00695F64"/>
    <w:rsid w:val="00697046"/>
    <w:rsid w:val="0069731A"/>
    <w:rsid w:val="006A0138"/>
    <w:rsid w:val="006A07FB"/>
    <w:rsid w:val="006A082D"/>
    <w:rsid w:val="006A2184"/>
    <w:rsid w:val="006A29DF"/>
    <w:rsid w:val="006A3851"/>
    <w:rsid w:val="006A4A68"/>
    <w:rsid w:val="006A4AE5"/>
    <w:rsid w:val="006A4BCA"/>
    <w:rsid w:val="006A7ED1"/>
    <w:rsid w:val="006B0221"/>
    <w:rsid w:val="006B0442"/>
    <w:rsid w:val="006B1D3E"/>
    <w:rsid w:val="006B1D6A"/>
    <w:rsid w:val="006B1DC2"/>
    <w:rsid w:val="006B336F"/>
    <w:rsid w:val="006B424E"/>
    <w:rsid w:val="006B4DE2"/>
    <w:rsid w:val="006B5DBC"/>
    <w:rsid w:val="006B5E3F"/>
    <w:rsid w:val="006B6679"/>
    <w:rsid w:val="006B6E96"/>
    <w:rsid w:val="006C0EE0"/>
    <w:rsid w:val="006C1268"/>
    <w:rsid w:val="006C18C2"/>
    <w:rsid w:val="006C2001"/>
    <w:rsid w:val="006C5844"/>
    <w:rsid w:val="006C7308"/>
    <w:rsid w:val="006C741D"/>
    <w:rsid w:val="006C7BD8"/>
    <w:rsid w:val="006C7C63"/>
    <w:rsid w:val="006C7F44"/>
    <w:rsid w:val="006D32D1"/>
    <w:rsid w:val="006D35F0"/>
    <w:rsid w:val="006D375E"/>
    <w:rsid w:val="006D3905"/>
    <w:rsid w:val="006D3FF6"/>
    <w:rsid w:val="006D4314"/>
    <w:rsid w:val="006D51F0"/>
    <w:rsid w:val="006D59CF"/>
    <w:rsid w:val="006D5A31"/>
    <w:rsid w:val="006D69CB"/>
    <w:rsid w:val="006D6D79"/>
    <w:rsid w:val="006D6D8E"/>
    <w:rsid w:val="006D6E86"/>
    <w:rsid w:val="006E02EE"/>
    <w:rsid w:val="006E10CD"/>
    <w:rsid w:val="006E1238"/>
    <w:rsid w:val="006E17A0"/>
    <w:rsid w:val="006E1B9A"/>
    <w:rsid w:val="006E293D"/>
    <w:rsid w:val="006E4174"/>
    <w:rsid w:val="006E45CE"/>
    <w:rsid w:val="006E508F"/>
    <w:rsid w:val="006E517C"/>
    <w:rsid w:val="006E57EA"/>
    <w:rsid w:val="006E5A72"/>
    <w:rsid w:val="006E6B3C"/>
    <w:rsid w:val="006E715D"/>
    <w:rsid w:val="006E793C"/>
    <w:rsid w:val="006F0372"/>
    <w:rsid w:val="006F14AC"/>
    <w:rsid w:val="006F1640"/>
    <w:rsid w:val="006F1CBF"/>
    <w:rsid w:val="006F1F78"/>
    <w:rsid w:val="006F3098"/>
    <w:rsid w:val="006F3258"/>
    <w:rsid w:val="006F3531"/>
    <w:rsid w:val="006F3FA6"/>
    <w:rsid w:val="006F62E8"/>
    <w:rsid w:val="006F65BD"/>
    <w:rsid w:val="006F7674"/>
    <w:rsid w:val="006F77D7"/>
    <w:rsid w:val="00700613"/>
    <w:rsid w:val="00700A08"/>
    <w:rsid w:val="00702728"/>
    <w:rsid w:val="0070479D"/>
    <w:rsid w:val="007050C7"/>
    <w:rsid w:val="00705B06"/>
    <w:rsid w:val="007064CD"/>
    <w:rsid w:val="00706523"/>
    <w:rsid w:val="00706AD8"/>
    <w:rsid w:val="00706C8A"/>
    <w:rsid w:val="00707598"/>
    <w:rsid w:val="00707766"/>
    <w:rsid w:val="00707C83"/>
    <w:rsid w:val="0071070A"/>
    <w:rsid w:val="00711713"/>
    <w:rsid w:val="00711FEA"/>
    <w:rsid w:val="0071360F"/>
    <w:rsid w:val="0071432B"/>
    <w:rsid w:val="00714B9F"/>
    <w:rsid w:val="0071518F"/>
    <w:rsid w:val="00715396"/>
    <w:rsid w:val="00716013"/>
    <w:rsid w:val="00716058"/>
    <w:rsid w:val="007165D0"/>
    <w:rsid w:val="00716940"/>
    <w:rsid w:val="007172CB"/>
    <w:rsid w:val="00717C53"/>
    <w:rsid w:val="00717CC2"/>
    <w:rsid w:val="007206EA"/>
    <w:rsid w:val="007209D7"/>
    <w:rsid w:val="007210FE"/>
    <w:rsid w:val="00721673"/>
    <w:rsid w:val="00721D33"/>
    <w:rsid w:val="007234EF"/>
    <w:rsid w:val="00723599"/>
    <w:rsid w:val="007237DC"/>
    <w:rsid w:val="00723F37"/>
    <w:rsid w:val="00724501"/>
    <w:rsid w:val="0072535D"/>
    <w:rsid w:val="00725DE2"/>
    <w:rsid w:val="00725F33"/>
    <w:rsid w:val="00725FCE"/>
    <w:rsid w:val="00727EFA"/>
    <w:rsid w:val="007304C0"/>
    <w:rsid w:val="00730B37"/>
    <w:rsid w:val="00731803"/>
    <w:rsid w:val="007319A1"/>
    <w:rsid w:val="007321A8"/>
    <w:rsid w:val="00732A14"/>
    <w:rsid w:val="00733BA0"/>
    <w:rsid w:val="007340A6"/>
    <w:rsid w:val="00734226"/>
    <w:rsid w:val="00735297"/>
    <w:rsid w:val="0073541A"/>
    <w:rsid w:val="00735CCB"/>
    <w:rsid w:val="00735FF1"/>
    <w:rsid w:val="007362E6"/>
    <w:rsid w:val="00736326"/>
    <w:rsid w:val="007372D6"/>
    <w:rsid w:val="007402BB"/>
    <w:rsid w:val="007403FA"/>
    <w:rsid w:val="00740734"/>
    <w:rsid w:val="0074097E"/>
    <w:rsid w:val="00743164"/>
    <w:rsid w:val="007436C6"/>
    <w:rsid w:val="00743A0F"/>
    <w:rsid w:val="00744EEF"/>
    <w:rsid w:val="00745046"/>
    <w:rsid w:val="00745DAE"/>
    <w:rsid w:val="007467B0"/>
    <w:rsid w:val="007468D5"/>
    <w:rsid w:val="007470DA"/>
    <w:rsid w:val="00747778"/>
    <w:rsid w:val="00747A1E"/>
    <w:rsid w:val="00750801"/>
    <w:rsid w:val="00750EB1"/>
    <w:rsid w:val="00753F72"/>
    <w:rsid w:val="007543B3"/>
    <w:rsid w:val="0075646E"/>
    <w:rsid w:val="00756E04"/>
    <w:rsid w:val="00760935"/>
    <w:rsid w:val="00760CC9"/>
    <w:rsid w:val="00760DAB"/>
    <w:rsid w:val="007620A3"/>
    <w:rsid w:val="007624E3"/>
    <w:rsid w:val="007625D0"/>
    <w:rsid w:val="0076345C"/>
    <w:rsid w:val="00764317"/>
    <w:rsid w:val="00764867"/>
    <w:rsid w:val="00765387"/>
    <w:rsid w:val="00765835"/>
    <w:rsid w:val="00765F19"/>
    <w:rsid w:val="0076604B"/>
    <w:rsid w:val="0076752C"/>
    <w:rsid w:val="00770114"/>
    <w:rsid w:val="0077152F"/>
    <w:rsid w:val="00773FE0"/>
    <w:rsid w:val="00775FBE"/>
    <w:rsid w:val="00777086"/>
    <w:rsid w:val="0078045B"/>
    <w:rsid w:val="00780B63"/>
    <w:rsid w:val="00782083"/>
    <w:rsid w:val="00782A90"/>
    <w:rsid w:val="00783153"/>
    <w:rsid w:val="00784B56"/>
    <w:rsid w:val="00785813"/>
    <w:rsid w:val="007859D0"/>
    <w:rsid w:val="00785C6A"/>
    <w:rsid w:val="007863FA"/>
    <w:rsid w:val="00790208"/>
    <w:rsid w:val="00790A13"/>
    <w:rsid w:val="00790F3E"/>
    <w:rsid w:val="00791024"/>
    <w:rsid w:val="0079108E"/>
    <w:rsid w:val="00791C3D"/>
    <w:rsid w:val="00791FE7"/>
    <w:rsid w:val="007920CE"/>
    <w:rsid w:val="00792388"/>
    <w:rsid w:val="007931D2"/>
    <w:rsid w:val="007935A0"/>
    <w:rsid w:val="0079408E"/>
    <w:rsid w:val="007943BC"/>
    <w:rsid w:val="00794987"/>
    <w:rsid w:val="00794B7C"/>
    <w:rsid w:val="00794BAC"/>
    <w:rsid w:val="00795510"/>
    <w:rsid w:val="00796313"/>
    <w:rsid w:val="007965CD"/>
    <w:rsid w:val="007974A6"/>
    <w:rsid w:val="0079756B"/>
    <w:rsid w:val="007A01EF"/>
    <w:rsid w:val="007A22C4"/>
    <w:rsid w:val="007A2C0B"/>
    <w:rsid w:val="007A30BA"/>
    <w:rsid w:val="007A44D1"/>
    <w:rsid w:val="007A46F1"/>
    <w:rsid w:val="007A4B00"/>
    <w:rsid w:val="007A544C"/>
    <w:rsid w:val="007A5CF9"/>
    <w:rsid w:val="007A68A3"/>
    <w:rsid w:val="007B0880"/>
    <w:rsid w:val="007B0C88"/>
    <w:rsid w:val="007B19A2"/>
    <w:rsid w:val="007B1E94"/>
    <w:rsid w:val="007B2A24"/>
    <w:rsid w:val="007B41D6"/>
    <w:rsid w:val="007B4843"/>
    <w:rsid w:val="007B4D30"/>
    <w:rsid w:val="007B4E54"/>
    <w:rsid w:val="007B4E5E"/>
    <w:rsid w:val="007B53C4"/>
    <w:rsid w:val="007B5917"/>
    <w:rsid w:val="007B5AB4"/>
    <w:rsid w:val="007B65AD"/>
    <w:rsid w:val="007B7CFE"/>
    <w:rsid w:val="007B7E90"/>
    <w:rsid w:val="007C229F"/>
    <w:rsid w:val="007C2D90"/>
    <w:rsid w:val="007C36A5"/>
    <w:rsid w:val="007C3737"/>
    <w:rsid w:val="007C3841"/>
    <w:rsid w:val="007C3D40"/>
    <w:rsid w:val="007C545C"/>
    <w:rsid w:val="007C75E2"/>
    <w:rsid w:val="007D05B5"/>
    <w:rsid w:val="007D10C6"/>
    <w:rsid w:val="007D2775"/>
    <w:rsid w:val="007D2BA7"/>
    <w:rsid w:val="007D34C5"/>
    <w:rsid w:val="007D3563"/>
    <w:rsid w:val="007D5122"/>
    <w:rsid w:val="007D56B6"/>
    <w:rsid w:val="007D594F"/>
    <w:rsid w:val="007D5A19"/>
    <w:rsid w:val="007D6094"/>
    <w:rsid w:val="007D69F5"/>
    <w:rsid w:val="007D6F40"/>
    <w:rsid w:val="007D7BEC"/>
    <w:rsid w:val="007D7E25"/>
    <w:rsid w:val="007E07A5"/>
    <w:rsid w:val="007E2260"/>
    <w:rsid w:val="007E2C73"/>
    <w:rsid w:val="007E37A7"/>
    <w:rsid w:val="007E406E"/>
    <w:rsid w:val="007E4871"/>
    <w:rsid w:val="007E54E3"/>
    <w:rsid w:val="007E5E31"/>
    <w:rsid w:val="007E5E5E"/>
    <w:rsid w:val="007E6AA7"/>
    <w:rsid w:val="007E7B4D"/>
    <w:rsid w:val="007E7ED7"/>
    <w:rsid w:val="007F1497"/>
    <w:rsid w:val="007F20BB"/>
    <w:rsid w:val="007F250F"/>
    <w:rsid w:val="007F363E"/>
    <w:rsid w:val="007F3792"/>
    <w:rsid w:val="007F45FB"/>
    <w:rsid w:val="007F4B33"/>
    <w:rsid w:val="007F59BE"/>
    <w:rsid w:val="0080182F"/>
    <w:rsid w:val="008022D9"/>
    <w:rsid w:val="00802ABD"/>
    <w:rsid w:val="00802AD4"/>
    <w:rsid w:val="00803D6C"/>
    <w:rsid w:val="0080434A"/>
    <w:rsid w:val="00804352"/>
    <w:rsid w:val="00804567"/>
    <w:rsid w:val="00805286"/>
    <w:rsid w:val="00805334"/>
    <w:rsid w:val="0080581A"/>
    <w:rsid w:val="00806421"/>
    <w:rsid w:val="00806B5A"/>
    <w:rsid w:val="00810516"/>
    <w:rsid w:val="00810E6E"/>
    <w:rsid w:val="0081190E"/>
    <w:rsid w:val="00811C24"/>
    <w:rsid w:val="00812BBC"/>
    <w:rsid w:val="008140B2"/>
    <w:rsid w:val="00814BAC"/>
    <w:rsid w:val="008157BE"/>
    <w:rsid w:val="008175A3"/>
    <w:rsid w:val="0082027A"/>
    <w:rsid w:val="00820D72"/>
    <w:rsid w:val="008219AA"/>
    <w:rsid w:val="00821B6F"/>
    <w:rsid w:val="008227C4"/>
    <w:rsid w:val="008228B9"/>
    <w:rsid w:val="00823776"/>
    <w:rsid w:val="00823EC0"/>
    <w:rsid w:val="0082491F"/>
    <w:rsid w:val="008259CC"/>
    <w:rsid w:val="008259CD"/>
    <w:rsid w:val="00825FC4"/>
    <w:rsid w:val="00825FF0"/>
    <w:rsid w:val="00826113"/>
    <w:rsid w:val="00826840"/>
    <w:rsid w:val="008273EA"/>
    <w:rsid w:val="00827A57"/>
    <w:rsid w:val="00830152"/>
    <w:rsid w:val="00830223"/>
    <w:rsid w:val="00830A6B"/>
    <w:rsid w:val="00830E98"/>
    <w:rsid w:val="008327B8"/>
    <w:rsid w:val="00832E74"/>
    <w:rsid w:val="00833612"/>
    <w:rsid w:val="00833C34"/>
    <w:rsid w:val="008347D3"/>
    <w:rsid w:val="008353BA"/>
    <w:rsid w:val="00835506"/>
    <w:rsid w:val="00835B23"/>
    <w:rsid w:val="00836BDD"/>
    <w:rsid w:val="0084055E"/>
    <w:rsid w:val="0084067A"/>
    <w:rsid w:val="008428EF"/>
    <w:rsid w:val="00843996"/>
    <w:rsid w:val="00844432"/>
    <w:rsid w:val="0084573E"/>
    <w:rsid w:val="008460B6"/>
    <w:rsid w:val="0084693F"/>
    <w:rsid w:val="00847851"/>
    <w:rsid w:val="00850D4E"/>
    <w:rsid w:val="00851C4E"/>
    <w:rsid w:val="00852A12"/>
    <w:rsid w:val="00852B82"/>
    <w:rsid w:val="008534F7"/>
    <w:rsid w:val="008535FE"/>
    <w:rsid w:val="00853ACB"/>
    <w:rsid w:val="00854723"/>
    <w:rsid w:val="0085498D"/>
    <w:rsid w:val="00854E50"/>
    <w:rsid w:val="00855E0A"/>
    <w:rsid w:val="00856551"/>
    <w:rsid w:val="00856CF9"/>
    <w:rsid w:val="00860597"/>
    <w:rsid w:val="00860C60"/>
    <w:rsid w:val="008614E3"/>
    <w:rsid w:val="00861ADF"/>
    <w:rsid w:val="00861C79"/>
    <w:rsid w:val="00861E9F"/>
    <w:rsid w:val="00862E5C"/>
    <w:rsid w:val="00863CC8"/>
    <w:rsid w:val="0086449D"/>
    <w:rsid w:val="00865EB6"/>
    <w:rsid w:val="00866F0A"/>
    <w:rsid w:val="0086754E"/>
    <w:rsid w:val="00867669"/>
    <w:rsid w:val="00867E7D"/>
    <w:rsid w:val="00870BE1"/>
    <w:rsid w:val="00871444"/>
    <w:rsid w:val="00871EFB"/>
    <w:rsid w:val="00873EC8"/>
    <w:rsid w:val="0087418A"/>
    <w:rsid w:val="00874764"/>
    <w:rsid w:val="00875143"/>
    <w:rsid w:val="0087754D"/>
    <w:rsid w:val="00880B59"/>
    <w:rsid w:val="0088678D"/>
    <w:rsid w:val="008868D2"/>
    <w:rsid w:val="00887015"/>
    <w:rsid w:val="00887F13"/>
    <w:rsid w:val="00891056"/>
    <w:rsid w:val="008916C9"/>
    <w:rsid w:val="00892E1A"/>
    <w:rsid w:val="008933C2"/>
    <w:rsid w:val="008936D4"/>
    <w:rsid w:val="00893996"/>
    <w:rsid w:val="008944E0"/>
    <w:rsid w:val="0089561F"/>
    <w:rsid w:val="00896506"/>
    <w:rsid w:val="00897FAF"/>
    <w:rsid w:val="008A016C"/>
    <w:rsid w:val="008A1B34"/>
    <w:rsid w:val="008A39A8"/>
    <w:rsid w:val="008A3C12"/>
    <w:rsid w:val="008A3F53"/>
    <w:rsid w:val="008A4D44"/>
    <w:rsid w:val="008A556E"/>
    <w:rsid w:val="008A614E"/>
    <w:rsid w:val="008A6289"/>
    <w:rsid w:val="008A7249"/>
    <w:rsid w:val="008A7A6A"/>
    <w:rsid w:val="008B00D6"/>
    <w:rsid w:val="008B027D"/>
    <w:rsid w:val="008B05A7"/>
    <w:rsid w:val="008B0C23"/>
    <w:rsid w:val="008B0E61"/>
    <w:rsid w:val="008B119E"/>
    <w:rsid w:val="008B16C5"/>
    <w:rsid w:val="008B19D7"/>
    <w:rsid w:val="008B1BB7"/>
    <w:rsid w:val="008B2823"/>
    <w:rsid w:val="008B2B91"/>
    <w:rsid w:val="008B3364"/>
    <w:rsid w:val="008B34D2"/>
    <w:rsid w:val="008B3BB5"/>
    <w:rsid w:val="008B50C7"/>
    <w:rsid w:val="008B72EA"/>
    <w:rsid w:val="008B7898"/>
    <w:rsid w:val="008B7AE4"/>
    <w:rsid w:val="008C0227"/>
    <w:rsid w:val="008C0911"/>
    <w:rsid w:val="008C1082"/>
    <w:rsid w:val="008C178F"/>
    <w:rsid w:val="008C1DF2"/>
    <w:rsid w:val="008C23AD"/>
    <w:rsid w:val="008C240E"/>
    <w:rsid w:val="008C2AE7"/>
    <w:rsid w:val="008C3445"/>
    <w:rsid w:val="008C3D7E"/>
    <w:rsid w:val="008C42A1"/>
    <w:rsid w:val="008C780D"/>
    <w:rsid w:val="008C7D40"/>
    <w:rsid w:val="008D026C"/>
    <w:rsid w:val="008D08F0"/>
    <w:rsid w:val="008D0DDB"/>
    <w:rsid w:val="008D0FB3"/>
    <w:rsid w:val="008D1473"/>
    <w:rsid w:val="008D2911"/>
    <w:rsid w:val="008D2F52"/>
    <w:rsid w:val="008D3168"/>
    <w:rsid w:val="008D4D48"/>
    <w:rsid w:val="008D5578"/>
    <w:rsid w:val="008D5A4C"/>
    <w:rsid w:val="008D5C53"/>
    <w:rsid w:val="008D603C"/>
    <w:rsid w:val="008D68A6"/>
    <w:rsid w:val="008D6F4F"/>
    <w:rsid w:val="008D7F97"/>
    <w:rsid w:val="008E1371"/>
    <w:rsid w:val="008E1DEF"/>
    <w:rsid w:val="008E2447"/>
    <w:rsid w:val="008E3609"/>
    <w:rsid w:val="008E3D4B"/>
    <w:rsid w:val="008E4415"/>
    <w:rsid w:val="008E5AD3"/>
    <w:rsid w:val="008E64EC"/>
    <w:rsid w:val="008F0746"/>
    <w:rsid w:val="008F1687"/>
    <w:rsid w:val="008F275D"/>
    <w:rsid w:val="008F307F"/>
    <w:rsid w:val="008F4A7F"/>
    <w:rsid w:val="008F4D77"/>
    <w:rsid w:val="008F5A29"/>
    <w:rsid w:val="008F6430"/>
    <w:rsid w:val="008F6736"/>
    <w:rsid w:val="008F6C99"/>
    <w:rsid w:val="008F6DDE"/>
    <w:rsid w:val="008F700D"/>
    <w:rsid w:val="008F70F8"/>
    <w:rsid w:val="008F7EC4"/>
    <w:rsid w:val="008F7F29"/>
    <w:rsid w:val="009007E0"/>
    <w:rsid w:val="00900D15"/>
    <w:rsid w:val="00901538"/>
    <w:rsid w:val="00901F49"/>
    <w:rsid w:val="00902184"/>
    <w:rsid w:val="00902762"/>
    <w:rsid w:val="009029F1"/>
    <w:rsid w:val="00903393"/>
    <w:rsid w:val="00903F6B"/>
    <w:rsid w:val="00903FE7"/>
    <w:rsid w:val="009044C5"/>
    <w:rsid w:val="00904675"/>
    <w:rsid w:val="00904EA6"/>
    <w:rsid w:val="00905767"/>
    <w:rsid w:val="00906701"/>
    <w:rsid w:val="00906A8D"/>
    <w:rsid w:val="009100C6"/>
    <w:rsid w:val="009109FB"/>
    <w:rsid w:val="00911472"/>
    <w:rsid w:val="0091150B"/>
    <w:rsid w:val="0091199E"/>
    <w:rsid w:val="0091226D"/>
    <w:rsid w:val="0091319D"/>
    <w:rsid w:val="009163D1"/>
    <w:rsid w:val="00916F41"/>
    <w:rsid w:val="0091759F"/>
    <w:rsid w:val="00920BB2"/>
    <w:rsid w:val="009211EB"/>
    <w:rsid w:val="00921E68"/>
    <w:rsid w:val="009222EB"/>
    <w:rsid w:val="00922AA3"/>
    <w:rsid w:val="009232C6"/>
    <w:rsid w:val="0092349C"/>
    <w:rsid w:val="009243B7"/>
    <w:rsid w:val="00925441"/>
    <w:rsid w:val="00926138"/>
    <w:rsid w:val="009261B1"/>
    <w:rsid w:val="009276C1"/>
    <w:rsid w:val="00931523"/>
    <w:rsid w:val="00931F9D"/>
    <w:rsid w:val="00933255"/>
    <w:rsid w:val="0093348A"/>
    <w:rsid w:val="009344F7"/>
    <w:rsid w:val="00934AC8"/>
    <w:rsid w:val="00935B02"/>
    <w:rsid w:val="00937287"/>
    <w:rsid w:val="00937703"/>
    <w:rsid w:val="00937773"/>
    <w:rsid w:val="009422E8"/>
    <w:rsid w:val="009428AE"/>
    <w:rsid w:val="00942A6A"/>
    <w:rsid w:val="00942D5C"/>
    <w:rsid w:val="00944C68"/>
    <w:rsid w:val="00944FA6"/>
    <w:rsid w:val="0094525B"/>
    <w:rsid w:val="0094648E"/>
    <w:rsid w:val="00946DF6"/>
    <w:rsid w:val="00950121"/>
    <w:rsid w:val="00950AE5"/>
    <w:rsid w:val="00950C3E"/>
    <w:rsid w:val="009510AB"/>
    <w:rsid w:val="00951A88"/>
    <w:rsid w:val="0095214C"/>
    <w:rsid w:val="00954E9A"/>
    <w:rsid w:val="00955A4B"/>
    <w:rsid w:val="00957D6A"/>
    <w:rsid w:val="00957FDA"/>
    <w:rsid w:val="0096007A"/>
    <w:rsid w:val="00960900"/>
    <w:rsid w:val="00961E4B"/>
    <w:rsid w:val="00962210"/>
    <w:rsid w:val="00962AC5"/>
    <w:rsid w:val="00962F3B"/>
    <w:rsid w:val="0096396E"/>
    <w:rsid w:val="0096443D"/>
    <w:rsid w:val="00964840"/>
    <w:rsid w:val="009657BF"/>
    <w:rsid w:val="0096590E"/>
    <w:rsid w:val="009662C3"/>
    <w:rsid w:val="00966C5C"/>
    <w:rsid w:val="009675C6"/>
    <w:rsid w:val="00967B65"/>
    <w:rsid w:val="009704D8"/>
    <w:rsid w:val="00970D54"/>
    <w:rsid w:val="009712D9"/>
    <w:rsid w:val="00971A6F"/>
    <w:rsid w:val="00971BAC"/>
    <w:rsid w:val="0097278A"/>
    <w:rsid w:val="00973256"/>
    <w:rsid w:val="0097374D"/>
    <w:rsid w:val="009747D9"/>
    <w:rsid w:val="00975594"/>
    <w:rsid w:val="0097578D"/>
    <w:rsid w:val="0097585F"/>
    <w:rsid w:val="00975ADD"/>
    <w:rsid w:val="009762AE"/>
    <w:rsid w:val="00976764"/>
    <w:rsid w:val="00976E30"/>
    <w:rsid w:val="009770E0"/>
    <w:rsid w:val="0097711B"/>
    <w:rsid w:val="00980313"/>
    <w:rsid w:val="009807C0"/>
    <w:rsid w:val="009813DA"/>
    <w:rsid w:val="00981D9B"/>
    <w:rsid w:val="0098264C"/>
    <w:rsid w:val="00982B55"/>
    <w:rsid w:val="00982DCD"/>
    <w:rsid w:val="00984025"/>
    <w:rsid w:val="00984465"/>
    <w:rsid w:val="00984479"/>
    <w:rsid w:val="00984795"/>
    <w:rsid w:val="00984885"/>
    <w:rsid w:val="00984C2B"/>
    <w:rsid w:val="00985003"/>
    <w:rsid w:val="00985EDC"/>
    <w:rsid w:val="00986578"/>
    <w:rsid w:val="00986B30"/>
    <w:rsid w:val="00987644"/>
    <w:rsid w:val="0099009E"/>
    <w:rsid w:val="00990683"/>
    <w:rsid w:val="0099068E"/>
    <w:rsid w:val="00991EAD"/>
    <w:rsid w:val="00992791"/>
    <w:rsid w:val="00992F25"/>
    <w:rsid w:val="00993CA5"/>
    <w:rsid w:val="00996748"/>
    <w:rsid w:val="009978F0"/>
    <w:rsid w:val="00997D03"/>
    <w:rsid w:val="009A1143"/>
    <w:rsid w:val="009A1801"/>
    <w:rsid w:val="009A1D1C"/>
    <w:rsid w:val="009A1D9B"/>
    <w:rsid w:val="009A257E"/>
    <w:rsid w:val="009A4199"/>
    <w:rsid w:val="009A41D9"/>
    <w:rsid w:val="009A4D32"/>
    <w:rsid w:val="009A4F0A"/>
    <w:rsid w:val="009A586E"/>
    <w:rsid w:val="009A5B5B"/>
    <w:rsid w:val="009A5DB0"/>
    <w:rsid w:val="009A6764"/>
    <w:rsid w:val="009A6ED2"/>
    <w:rsid w:val="009A7199"/>
    <w:rsid w:val="009A776E"/>
    <w:rsid w:val="009B0244"/>
    <w:rsid w:val="009B1DCF"/>
    <w:rsid w:val="009B2B67"/>
    <w:rsid w:val="009B31C5"/>
    <w:rsid w:val="009B3759"/>
    <w:rsid w:val="009B3765"/>
    <w:rsid w:val="009B3E45"/>
    <w:rsid w:val="009B415E"/>
    <w:rsid w:val="009B5875"/>
    <w:rsid w:val="009B650B"/>
    <w:rsid w:val="009C194A"/>
    <w:rsid w:val="009C1B37"/>
    <w:rsid w:val="009C2FBA"/>
    <w:rsid w:val="009C5703"/>
    <w:rsid w:val="009C6B01"/>
    <w:rsid w:val="009C7958"/>
    <w:rsid w:val="009C7BA3"/>
    <w:rsid w:val="009D002B"/>
    <w:rsid w:val="009D0BD0"/>
    <w:rsid w:val="009D101A"/>
    <w:rsid w:val="009D298F"/>
    <w:rsid w:val="009D3BAB"/>
    <w:rsid w:val="009D41B4"/>
    <w:rsid w:val="009D4805"/>
    <w:rsid w:val="009D63FB"/>
    <w:rsid w:val="009D6957"/>
    <w:rsid w:val="009E1923"/>
    <w:rsid w:val="009E1991"/>
    <w:rsid w:val="009E1A95"/>
    <w:rsid w:val="009E1F7A"/>
    <w:rsid w:val="009E23BF"/>
    <w:rsid w:val="009E2F5B"/>
    <w:rsid w:val="009E367E"/>
    <w:rsid w:val="009E37AD"/>
    <w:rsid w:val="009E422A"/>
    <w:rsid w:val="009E4E38"/>
    <w:rsid w:val="009E510E"/>
    <w:rsid w:val="009E5749"/>
    <w:rsid w:val="009E5D5F"/>
    <w:rsid w:val="009E71B2"/>
    <w:rsid w:val="009E7788"/>
    <w:rsid w:val="009F2405"/>
    <w:rsid w:val="009F29D8"/>
    <w:rsid w:val="009F2C6A"/>
    <w:rsid w:val="009F383A"/>
    <w:rsid w:val="009F476B"/>
    <w:rsid w:val="009F4983"/>
    <w:rsid w:val="009F4B89"/>
    <w:rsid w:val="009F614E"/>
    <w:rsid w:val="009F73B3"/>
    <w:rsid w:val="009F74D6"/>
    <w:rsid w:val="009F7C76"/>
    <w:rsid w:val="009F7FB6"/>
    <w:rsid w:val="00A00027"/>
    <w:rsid w:val="00A00090"/>
    <w:rsid w:val="00A00EC1"/>
    <w:rsid w:val="00A02963"/>
    <w:rsid w:val="00A041D1"/>
    <w:rsid w:val="00A04490"/>
    <w:rsid w:val="00A048DB"/>
    <w:rsid w:val="00A049CD"/>
    <w:rsid w:val="00A05355"/>
    <w:rsid w:val="00A05B0F"/>
    <w:rsid w:val="00A05C06"/>
    <w:rsid w:val="00A070C1"/>
    <w:rsid w:val="00A10697"/>
    <w:rsid w:val="00A111F2"/>
    <w:rsid w:val="00A11C83"/>
    <w:rsid w:val="00A13894"/>
    <w:rsid w:val="00A13C6A"/>
    <w:rsid w:val="00A1526A"/>
    <w:rsid w:val="00A152BA"/>
    <w:rsid w:val="00A15F97"/>
    <w:rsid w:val="00A1733C"/>
    <w:rsid w:val="00A17941"/>
    <w:rsid w:val="00A179B2"/>
    <w:rsid w:val="00A20DF7"/>
    <w:rsid w:val="00A20E6B"/>
    <w:rsid w:val="00A20F98"/>
    <w:rsid w:val="00A21CCA"/>
    <w:rsid w:val="00A232D3"/>
    <w:rsid w:val="00A23450"/>
    <w:rsid w:val="00A2494D"/>
    <w:rsid w:val="00A25389"/>
    <w:rsid w:val="00A25FAE"/>
    <w:rsid w:val="00A2638E"/>
    <w:rsid w:val="00A26A8E"/>
    <w:rsid w:val="00A27A81"/>
    <w:rsid w:val="00A30025"/>
    <w:rsid w:val="00A30FBE"/>
    <w:rsid w:val="00A3161C"/>
    <w:rsid w:val="00A31E7B"/>
    <w:rsid w:val="00A320A3"/>
    <w:rsid w:val="00A33DED"/>
    <w:rsid w:val="00A343CA"/>
    <w:rsid w:val="00A345B6"/>
    <w:rsid w:val="00A3485A"/>
    <w:rsid w:val="00A3501E"/>
    <w:rsid w:val="00A35273"/>
    <w:rsid w:val="00A355EF"/>
    <w:rsid w:val="00A35809"/>
    <w:rsid w:val="00A3591C"/>
    <w:rsid w:val="00A366D7"/>
    <w:rsid w:val="00A37653"/>
    <w:rsid w:val="00A37714"/>
    <w:rsid w:val="00A37ADE"/>
    <w:rsid w:val="00A4033D"/>
    <w:rsid w:val="00A40493"/>
    <w:rsid w:val="00A423C4"/>
    <w:rsid w:val="00A43312"/>
    <w:rsid w:val="00A44938"/>
    <w:rsid w:val="00A459D3"/>
    <w:rsid w:val="00A46004"/>
    <w:rsid w:val="00A462CF"/>
    <w:rsid w:val="00A468B5"/>
    <w:rsid w:val="00A46DC1"/>
    <w:rsid w:val="00A474A4"/>
    <w:rsid w:val="00A475D4"/>
    <w:rsid w:val="00A5088F"/>
    <w:rsid w:val="00A513D0"/>
    <w:rsid w:val="00A53339"/>
    <w:rsid w:val="00A544BD"/>
    <w:rsid w:val="00A55776"/>
    <w:rsid w:val="00A55A74"/>
    <w:rsid w:val="00A5695B"/>
    <w:rsid w:val="00A56ACA"/>
    <w:rsid w:val="00A577AD"/>
    <w:rsid w:val="00A57E37"/>
    <w:rsid w:val="00A6076B"/>
    <w:rsid w:val="00A61ABE"/>
    <w:rsid w:val="00A61B65"/>
    <w:rsid w:val="00A61CA6"/>
    <w:rsid w:val="00A62E7A"/>
    <w:rsid w:val="00A630AF"/>
    <w:rsid w:val="00A633B9"/>
    <w:rsid w:val="00A63E3E"/>
    <w:rsid w:val="00A6457A"/>
    <w:rsid w:val="00A64893"/>
    <w:rsid w:val="00A6612D"/>
    <w:rsid w:val="00A66C70"/>
    <w:rsid w:val="00A66DA4"/>
    <w:rsid w:val="00A67D75"/>
    <w:rsid w:val="00A70633"/>
    <w:rsid w:val="00A70AA0"/>
    <w:rsid w:val="00A72593"/>
    <w:rsid w:val="00A725C8"/>
    <w:rsid w:val="00A72615"/>
    <w:rsid w:val="00A72E7D"/>
    <w:rsid w:val="00A73206"/>
    <w:rsid w:val="00A74616"/>
    <w:rsid w:val="00A74B1F"/>
    <w:rsid w:val="00A758E8"/>
    <w:rsid w:val="00A75F3C"/>
    <w:rsid w:val="00A76351"/>
    <w:rsid w:val="00A764ED"/>
    <w:rsid w:val="00A7663B"/>
    <w:rsid w:val="00A77297"/>
    <w:rsid w:val="00A776F5"/>
    <w:rsid w:val="00A80782"/>
    <w:rsid w:val="00A808E6"/>
    <w:rsid w:val="00A81201"/>
    <w:rsid w:val="00A82879"/>
    <w:rsid w:val="00A83D0B"/>
    <w:rsid w:val="00A83F1D"/>
    <w:rsid w:val="00A84855"/>
    <w:rsid w:val="00A84A09"/>
    <w:rsid w:val="00A85FCE"/>
    <w:rsid w:val="00A86407"/>
    <w:rsid w:val="00A87C6B"/>
    <w:rsid w:val="00A90045"/>
    <w:rsid w:val="00A91382"/>
    <w:rsid w:val="00A91804"/>
    <w:rsid w:val="00A91EBD"/>
    <w:rsid w:val="00A93215"/>
    <w:rsid w:val="00A935A4"/>
    <w:rsid w:val="00A93677"/>
    <w:rsid w:val="00A9471F"/>
    <w:rsid w:val="00A94E7F"/>
    <w:rsid w:val="00A9529D"/>
    <w:rsid w:val="00A963A2"/>
    <w:rsid w:val="00A96B04"/>
    <w:rsid w:val="00A96BE4"/>
    <w:rsid w:val="00AA0100"/>
    <w:rsid w:val="00AA0B5B"/>
    <w:rsid w:val="00AA12B0"/>
    <w:rsid w:val="00AA17B3"/>
    <w:rsid w:val="00AA2488"/>
    <w:rsid w:val="00AA359B"/>
    <w:rsid w:val="00AA35F4"/>
    <w:rsid w:val="00AA53F0"/>
    <w:rsid w:val="00AA68F4"/>
    <w:rsid w:val="00AA783D"/>
    <w:rsid w:val="00AA7FE3"/>
    <w:rsid w:val="00AB07F4"/>
    <w:rsid w:val="00AB0BD2"/>
    <w:rsid w:val="00AB1DE1"/>
    <w:rsid w:val="00AB1F7C"/>
    <w:rsid w:val="00AB1FC3"/>
    <w:rsid w:val="00AB20DC"/>
    <w:rsid w:val="00AB25D4"/>
    <w:rsid w:val="00AB2E97"/>
    <w:rsid w:val="00AB3843"/>
    <w:rsid w:val="00AB3CF2"/>
    <w:rsid w:val="00AB3DA3"/>
    <w:rsid w:val="00AB3E0F"/>
    <w:rsid w:val="00AB3E38"/>
    <w:rsid w:val="00AB4236"/>
    <w:rsid w:val="00AB4296"/>
    <w:rsid w:val="00AB4958"/>
    <w:rsid w:val="00AB5F3B"/>
    <w:rsid w:val="00AB632F"/>
    <w:rsid w:val="00AB73B5"/>
    <w:rsid w:val="00AB7588"/>
    <w:rsid w:val="00AC0415"/>
    <w:rsid w:val="00AC1F99"/>
    <w:rsid w:val="00AC22AE"/>
    <w:rsid w:val="00AC2D9F"/>
    <w:rsid w:val="00AC36EB"/>
    <w:rsid w:val="00AC733E"/>
    <w:rsid w:val="00AC7DC1"/>
    <w:rsid w:val="00AD00FF"/>
    <w:rsid w:val="00AD0343"/>
    <w:rsid w:val="00AD17B9"/>
    <w:rsid w:val="00AD3B2C"/>
    <w:rsid w:val="00AD3F5A"/>
    <w:rsid w:val="00AD4716"/>
    <w:rsid w:val="00AD67A1"/>
    <w:rsid w:val="00AD7A78"/>
    <w:rsid w:val="00AD7CAC"/>
    <w:rsid w:val="00AE0B4C"/>
    <w:rsid w:val="00AE1167"/>
    <w:rsid w:val="00AE15B9"/>
    <w:rsid w:val="00AE21CB"/>
    <w:rsid w:val="00AE225B"/>
    <w:rsid w:val="00AE3079"/>
    <w:rsid w:val="00AE4289"/>
    <w:rsid w:val="00AE49F8"/>
    <w:rsid w:val="00AE4C41"/>
    <w:rsid w:val="00AE4ED8"/>
    <w:rsid w:val="00AE57FC"/>
    <w:rsid w:val="00AE594D"/>
    <w:rsid w:val="00AE6300"/>
    <w:rsid w:val="00AE6899"/>
    <w:rsid w:val="00AE6C06"/>
    <w:rsid w:val="00AF0A68"/>
    <w:rsid w:val="00AF0DDD"/>
    <w:rsid w:val="00AF145E"/>
    <w:rsid w:val="00AF1814"/>
    <w:rsid w:val="00AF1E0C"/>
    <w:rsid w:val="00AF350F"/>
    <w:rsid w:val="00AF3E78"/>
    <w:rsid w:val="00AF41EA"/>
    <w:rsid w:val="00AF4D21"/>
    <w:rsid w:val="00AF51CD"/>
    <w:rsid w:val="00AF6942"/>
    <w:rsid w:val="00AF6C3A"/>
    <w:rsid w:val="00B00723"/>
    <w:rsid w:val="00B00E97"/>
    <w:rsid w:val="00B0281E"/>
    <w:rsid w:val="00B038B4"/>
    <w:rsid w:val="00B038F0"/>
    <w:rsid w:val="00B0629C"/>
    <w:rsid w:val="00B06840"/>
    <w:rsid w:val="00B06BE8"/>
    <w:rsid w:val="00B0713B"/>
    <w:rsid w:val="00B11F19"/>
    <w:rsid w:val="00B124E4"/>
    <w:rsid w:val="00B133CE"/>
    <w:rsid w:val="00B1400A"/>
    <w:rsid w:val="00B146DF"/>
    <w:rsid w:val="00B14E90"/>
    <w:rsid w:val="00B1542B"/>
    <w:rsid w:val="00B1561B"/>
    <w:rsid w:val="00B15CB7"/>
    <w:rsid w:val="00B16EED"/>
    <w:rsid w:val="00B176FF"/>
    <w:rsid w:val="00B17F03"/>
    <w:rsid w:val="00B204DD"/>
    <w:rsid w:val="00B205E3"/>
    <w:rsid w:val="00B206B8"/>
    <w:rsid w:val="00B21FCA"/>
    <w:rsid w:val="00B223A2"/>
    <w:rsid w:val="00B22451"/>
    <w:rsid w:val="00B22C38"/>
    <w:rsid w:val="00B23315"/>
    <w:rsid w:val="00B23786"/>
    <w:rsid w:val="00B23ACF"/>
    <w:rsid w:val="00B24FAD"/>
    <w:rsid w:val="00B25236"/>
    <w:rsid w:val="00B25A96"/>
    <w:rsid w:val="00B25E76"/>
    <w:rsid w:val="00B274A5"/>
    <w:rsid w:val="00B27B31"/>
    <w:rsid w:val="00B27F50"/>
    <w:rsid w:val="00B30411"/>
    <w:rsid w:val="00B30622"/>
    <w:rsid w:val="00B31900"/>
    <w:rsid w:val="00B33AEE"/>
    <w:rsid w:val="00B34372"/>
    <w:rsid w:val="00B345C4"/>
    <w:rsid w:val="00B3613F"/>
    <w:rsid w:val="00B367D3"/>
    <w:rsid w:val="00B36C47"/>
    <w:rsid w:val="00B37D9A"/>
    <w:rsid w:val="00B40040"/>
    <w:rsid w:val="00B40456"/>
    <w:rsid w:val="00B41AA7"/>
    <w:rsid w:val="00B41F9D"/>
    <w:rsid w:val="00B4299D"/>
    <w:rsid w:val="00B42F28"/>
    <w:rsid w:val="00B43AA1"/>
    <w:rsid w:val="00B44FB9"/>
    <w:rsid w:val="00B456D5"/>
    <w:rsid w:val="00B4691C"/>
    <w:rsid w:val="00B46DA4"/>
    <w:rsid w:val="00B46ECE"/>
    <w:rsid w:val="00B46FDD"/>
    <w:rsid w:val="00B52431"/>
    <w:rsid w:val="00B525FD"/>
    <w:rsid w:val="00B53346"/>
    <w:rsid w:val="00B53402"/>
    <w:rsid w:val="00B53F7F"/>
    <w:rsid w:val="00B54786"/>
    <w:rsid w:val="00B54D17"/>
    <w:rsid w:val="00B55521"/>
    <w:rsid w:val="00B56661"/>
    <w:rsid w:val="00B57D81"/>
    <w:rsid w:val="00B57E67"/>
    <w:rsid w:val="00B6016C"/>
    <w:rsid w:val="00B60A05"/>
    <w:rsid w:val="00B61092"/>
    <w:rsid w:val="00B61DEB"/>
    <w:rsid w:val="00B62694"/>
    <w:rsid w:val="00B64511"/>
    <w:rsid w:val="00B65C3C"/>
    <w:rsid w:val="00B66841"/>
    <w:rsid w:val="00B711A3"/>
    <w:rsid w:val="00B715C6"/>
    <w:rsid w:val="00B7221F"/>
    <w:rsid w:val="00B72523"/>
    <w:rsid w:val="00B72BC9"/>
    <w:rsid w:val="00B73239"/>
    <w:rsid w:val="00B76C89"/>
    <w:rsid w:val="00B77809"/>
    <w:rsid w:val="00B8108A"/>
    <w:rsid w:val="00B81252"/>
    <w:rsid w:val="00B82358"/>
    <w:rsid w:val="00B82A70"/>
    <w:rsid w:val="00B83202"/>
    <w:rsid w:val="00B84291"/>
    <w:rsid w:val="00B84552"/>
    <w:rsid w:val="00B84620"/>
    <w:rsid w:val="00B852F4"/>
    <w:rsid w:val="00B859CE"/>
    <w:rsid w:val="00B866E7"/>
    <w:rsid w:val="00B875E5"/>
    <w:rsid w:val="00B8766F"/>
    <w:rsid w:val="00B87698"/>
    <w:rsid w:val="00B902CB"/>
    <w:rsid w:val="00B91A3D"/>
    <w:rsid w:val="00B91D74"/>
    <w:rsid w:val="00B9240D"/>
    <w:rsid w:val="00B93E65"/>
    <w:rsid w:val="00B93EC8"/>
    <w:rsid w:val="00B94036"/>
    <w:rsid w:val="00B94090"/>
    <w:rsid w:val="00B94168"/>
    <w:rsid w:val="00B943D9"/>
    <w:rsid w:val="00B94D37"/>
    <w:rsid w:val="00B9530D"/>
    <w:rsid w:val="00B968A2"/>
    <w:rsid w:val="00B96E89"/>
    <w:rsid w:val="00B96F63"/>
    <w:rsid w:val="00B97E14"/>
    <w:rsid w:val="00BA082E"/>
    <w:rsid w:val="00BA0AE1"/>
    <w:rsid w:val="00BA17D1"/>
    <w:rsid w:val="00BA182D"/>
    <w:rsid w:val="00BA3391"/>
    <w:rsid w:val="00BA4041"/>
    <w:rsid w:val="00BA6225"/>
    <w:rsid w:val="00BA70E4"/>
    <w:rsid w:val="00BA7503"/>
    <w:rsid w:val="00BA768D"/>
    <w:rsid w:val="00BA769A"/>
    <w:rsid w:val="00BA7B58"/>
    <w:rsid w:val="00BA7C2C"/>
    <w:rsid w:val="00BA7E6E"/>
    <w:rsid w:val="00BB0BFE"/>
    <w:rsid w:val="00BB0E59"/>
    <w:rsid w:val="00BB20A3"/>
    <w:rsid w:val="00BB20FF"/>
    <w:rsid w:val="00BB2187"/>
    <w:rsid w:val="00BB3CA6"/>
    <w:rsid w:val="00BB451C"/>
    <w:rsid w:val="00BB4EBD"/>
    <w:rsid w:val="00BB508A"/>
    <w:rsid w:val="00BB5761"/>
    <w:rsid w:val="00BB6275"/>
    <w:rsid w:val="00BB65D9"/>
    <w:rsid w:val="00BB6A20"/>
    <w:rsid w:val="00BB7206"/>
    <w:rsid w:val="00BB7F5B"/>
    <w:rsid w:val="00BC0CC6"/>
    <w:rsid w:val="00BC0E9F"/>
    <w:rsid w:val="00BC2B47"/>
    <w:rsid w:val="00BC3B88"/>
    <w:rsid w:val="00BC3DEF"/>
    <w:rsid w:val="00BC4C5D"/>
    <w:rsid w:val="00BC5068"/>
    <w:rsid w:val="00BC609F"/>
    <w:rsid w:val="00BC73CF"/>
    <w:rsid w:val="00BD1374"/>
    <w:rsid w:val="00BD1D0C"/>
    <w:rsid w:val="00BD28DD"/>
    <w:rsid w:val="00BD31AA"/>
    <w:rsid w:val="00BD3EEA"/>
    <w:rsid w:val="00BD4919"/>
    <w:rsid w:val="00BD4C49"/>
    <w:rsid w:val="00BD534B"/>
    <w:rsid w:val="00BD5782"/>
    <w:rsid w:val="00BD5AF6"/>
    <w:rsid w:val="00BD79D4"/>
    <w:rsid w:val="00BD7D8F"/>
    <w:rsid w:val="00BE025F"/>
    <w:rsid w:val="00BE037C"/>
    <w:rsid w:val="00BE14EB"/>
    <w:rsid w:val="00BE1597"/>
    <w:rsid w:val="00BE225D"/>
    <w:rsid w:val="00BE2466"/>
    <w:rsid w:val="00BE279D"/>
    <w:rsid w:val="00BE5CF2"/>
    <w:rsid w:val="00BE6EBF"/>
    <w:rsid w:val="00BE7351"/>
    <w:rsid w:val="00BE7898"/>
    <w:rsid w:val="00BF0AF0"/>
    <w:rsid w:val="00BF0C4A"/>
    <w:rsid w:val="00BF2AB8"/>
    <w:rsid w:val="00BF2B3E"/>
    <w:rsid w:val="00BF2BAB"/>
    <w:rsid w:val="00BF3F00"/>
    <w:rsid w:val="00BF433F"/>
    <w:rsid w:val="00BF653A"/>
    <w:rsid w:val="00C00119"/>
    <w:rsid w:val="00C005EB"/>
    <w:rsid w:val="00C00FB4"/>
    <w:rsid w:val="00C01F20"/>
    <w:rsid w:val="00C033D2"/>
    <w:rsid w:val="00C05E3A"/>
    <w:rsid w:val="00C10148"/>
    <w:rsid w:val="00C10EB6"/>
    <w:rsid w:val="00C10FF8"/>
    <w:rsid w:val="00C11DAD"/>
    <w:rsid w:val="00C13134"/>
    <w:rsid w:val="00C1340A"/>
    <w:rsid w:val="00C137A6"/>
    <w:rsid w:val="00C14DEA"/>
    <w:rsid w:val="00C15444"/>
    <w:rsid w:val="00C161E2"/>
    <w:rsid w:val="00C20870"/>
    <w:rsid w:val="00C20E5A"/>
    <w:rsid w:val="00C21795"/>
    <w:rsid w:val="00C21B98"/>
    <w:rsid w:val="00C2240E"/>
    <w:rsid w:val="00C23C83"/>
    <w:rsid w:val="00C23F9D"/>
    <w:rsid w:val="00C24AA8"/>
    <w:rsid w:val="00C24B36"/>
    <w:rsid w:val="00C251DB"/>
    <w:rsid w:val="00C2538D"/>
    <w:rsid w:val="00C25408"/>
    <w:rsid w:val="00C25DE4"/>
    <w:rsid w:val="00C2630B"/>
    <w:rsid w:val="00C26D9C"/>
    <w:rsid w:val="00C2732B"/>
    <w:rsid w:val="00C27942"/>
    <w:rsid w:val="00C302A8"/>
    <w:rsid w:val="00C30368"/>
    <w:rsid w:val="00C3043D"/>
    <w:rsid w:val="00C30C1D"/>
    <w:rsid w:val="00C3270A"/>
    <w:rsid w:val="00C32FE5"/>
    <w:rsid w:val="00C32FEE"/>
    <w:rsid w:val="00C33A1A"/>
    <w:rsid w:val="00C33C91"/>
    <w:rsid w:val="00C35435"/>
    <w:rsid w:val="00C378FE"/>
    <w:rsid w:val="00C4045A"/>
    <w:rsid w:val="00C4106C"/>
    <w:rsid w:val="00C41966"/>
    <w:rsid w:val="00C41B53"/>
    <w:rsid w:val="00C41CBB"/>
    <w:rsid w:val="00C4239D"/>
    <w:rsid w:val="00C45E25"/>
    <w:rsid w:val="00C4642E"/>
    <w:rsid w:val="00C475A0"/>
    <w:rsid w:val="00C47803"/>
    <w:rsid w:val="00C47BA2"/>
    <w:rsid w:val="00C500CE"/>
    <w:rsid w:val="00C522B5"/>
    <w:rsid w:val="00C53447"/>
    <w:rsid w:val="00C5354A"/>
    <w:rsid w:val="00C53B4E"/>
    <w:rsid w:val="00C53D63"/>
    <w:rsid w:val="00C5473C"/>
    <w:rsid w:val="00C55560"/>
    <w:rsid w:val="00C56581"/>
    <w:rsid w:val="00C570C7"/>
    <w:rsid w:val="00C571AF"/>
    <w:rsid w:val="00C603C9"/>
    <w:rsid w:val="00C606CD"/>
    <w:rsid w:val="00C61968"/>
    <w:rsid w:val="00C61A90"/>
    <w:rsid w:val="00C62211"/>
    <w:rsid w:val="00C623D7"/>
    <w:rsid w:val="00C626CE"/>
    <w:rsid w:val="00C62788"/>
    <w:rsid w:val="00C6387F"/>
    <w:rsid w:val="00C64274"/>
    <w:rsid w:val="00C643B0"/>
    <w:rsid w:val="00C64BAF"/>
    <w:rsid w:val="00C64C9A"/>
    <w:rsid w:val="00C656B5"/>
    <w:rsid w:val="00C65F8C"/>
    <w:rsid w:val="00C66639"/>
    <w:rsid w:val="00C67510"/>
    <w:rsid w:val="00C704D4"/>
    <w:rsid w:val="00C71AA6"/>
    <w:rsid w:val="00C71D6B"/>
    <w:rsid w:val="00C722E7"/>
    <w:rsid w:val="00C730FD"/>
    <w:rsid w:val="00C73723"/>
    <w:rsid w:val="00C73B85"/>
    <w:rsid w:val="00C753BF"/>
    <w:rsid w:val="00C75A56"/>
    <w:rsid w:val="00C75BE2"/>
    <w:rsid w:val="00C76668"/>
    <w:rsid w:val="00C771E1"/>
    <w:rsid w:val="00C77A9B"/>
    <w:rsid w:val="00C803C7"/>
    <w:rsid w:val="00C813B5"/>
    <w:rsid w:val="00C815E5"/>
    <w:rsid w:val="00C81E3A"/>
    <w:rsid w:val="00C8224A"/>
    <w:rsid w:val="00C826CB"/>
    <w:rsid w:val="00C840CC"/>
    <w:rsid w:val="00C84510"/>
    <w:rsid w:val="00C8584B"/>
    <w:rsid w:val="00C85ACD"/>
    <w:rsid w:val="00C85E13"/>
    <w:rsid w:val="00C8621C"/>
    <w:rsid w:val="00C8673E"/>
    <w:rsid w:val="00C86795"/>
    <w:rsid w:val="00C87210"/>
    <w:rsid w:val="00C8752A"/>
    <w:rsid w:val="00C87A9C"/>
    <w:rsid w:val="00C87F7D"/>
    <w:rsid w:val="00C87F9F"/>
    <w:rsid w:val="00C91E97"/>
    <w:rsid w:val="00C92955"/>
    <w:rsid w:val="00C92CC1"/>
    <w:rsid w:val="00C94382"/>
    <w:rsid w:val="00C94DD7"/>
    <w:rsid w:val="00C957F3"/>
    <w:rsid w:val="00C9699B"/>
    <w:rsid w:val="00C96B99"/>
    <w:rsid w:val="00C97AAE"/>
    <w:rsid w:val="00CA228D"/>
    <w:rsid w:val="00CA241F"/>
    <w:rsid w:val="00CA3EDA"/>
    <w:rsid w:val="00CA4B51"/>
    <w:rsid w:val="00CA597E"/>
    <w:rsid w:val="00CA6093"/>
    <w:rsid w:val="00CA66EC"/>
    <w:rsid w:val="00CA7391"/>
    <w:rsid w:val="00CA73D4"/>
    <w:rsid w:val="00CA7578"/>
    <w:rsid w:val="00CB1A3D"/>
    <w:rsid w:val="00CB1C9D"/>
    <w:rsid w:val="00CB2171"/>
    <w:rsid w:val="00CB2202"/>
    <w:rsid w:val="00CB27E1"/>
    <w:rsid w:val="00CB2EA5"/>
    <w:rsid w:val="00CB345D"/>
    <w:rsid w:val="00CB377F"/>
    <w:rsid w:val="00CB3BDA"/>
    <w:rsid w:val="00CB5C80"/>
    <w:rsid w:val="00CB697A"/>
    <w:rsid w:val="00CB6B9B"/>
    <w:rsid w:val="00CB72CA"/>
    <w:rsid w:val="00CC021B"/>
    <w:rsid w:val="00CC0529"/>
    <w:rsid w:val="00CC1DAD"/>
    <w:rsid w:val="00CC1EA7"/>
    <w:rsid w:val="00CC22CF"/>
    <w:rsid w:val="00CC2703"/>
    <w:rsid w:val="00CC3655"/>
    <w:rsid w:val="00CC3ECC"/>
    <w:rsid w:val="00CC5D45"/>
    <w:rsid w:val="00CC5F43"/>
    <w:rsid w:val="00CC5FF3"/>
    <w:rsid w:val="00CC788F"/>
    <w:rsid w:val="00CD0FAA"/>
    <w:rsid w:val="00CD1C6B"/>
    <w:rsid w:val="00CD22B4"/>
    <w:rsid w:val="00CD2480"/>
    <w:rsid w:val="00CD2C95"/>
    <w:rsid w:val="00CD3007"/>
    <w:rsid w:val="00CD4A93"/>
    <w:rsid w:val="00CD4B07"/>
    <w:rsid w:val="00CD4B79"/>
    <w:rsid w:val="00CD5BF8"/>
    <w:rsid w:val="00CD5CEA"/>
    <w:rsid w:val="00CD6122"/>
    <w:rsid w:val="00CD6421"/>
    <w:rsid w:val="00CD720D"/>
    <w:rsid w:val="00CD7A77"/>
    <w:rsid w:val="00CE0316"/>
    <w:rsid w:val="00CE19AE"/>
    <w:rsid w:val="00CE22AC"/>
    <w:rsid w:val="00CE27C3"/>
    <w:rsid w:val="00CE32A4"/>
    <w:rsid w:val="00CE44BE"/>
    <w:rsid w:val="00CE5128"/>
    <w:rsid w:val="00CE592F"/>
    <w:rsid w:val="00CE5BEC"/>
    <w:rsid w:val="00CE5D09"/>
    <w:rsid w:val="00CE5E85"/>
    <w:rsid w:val="00CE6E67"/>
    <w:rsid w:val="00CE73E4"/>
    <w:rsid w:val="00CE7491"/>
    <w:rsid w:val="00CF0627"/>
    <w:rsid w:val="00CF081A"/>
    <w:rsid w:val="00CF0EEC"/>
    <w:rsid w:val="00CF38DC"/>
    <w:rsid w:val="00CF3969"/>
    <w:rsid w:val="00CF4D9C"/>
    <w:rsid w:val="00CF513E"/>
    <w:rsid w:val="00CF5386"/>
    <w:rsid w:val="00CF5AF5"/>
    <w:rsid w:val="00CF61CD"/>
    <w:rsid w:val="00CF61D2"/>
    <w:rsid w:val="00CF6A3D"/>
    <w:rsid w:val="00CF6A65"/>
    <w:rsid w:val="00CF76E5"/>
    <w:rsid w:val="00CF7700"/>
    <w:rsid w:val="00CF7AA1"/>
    <w:rsid w:val="00CF7ECC"/>
    <w:rsid w:val="00D00F35"/>
    <w:rsid w:val="00D01E04"/>
    <w:rsid w:val="00D023B1"/>
    <w:rsid w:val="00D02837"/>
    <w:rsid w:val="00D034D5"/>
    <w:rsid w:val="00D03518"/>
    <w:rsid w:val="00D038C7"/>
    <w:rsid w:val="00D041BA"/>
    <w:rsid w:val="00D04F01"/>
    <w:rsid w:val="00D05036"/>
    <w:rsid w:val="00D05F0F"/>
    <w:rsid w:val="00D05F3E"/>
    <w:rsid w:val="00D111AA"/>
    <w:rsid w:val="00D1184D"/>
    <w:rsid w:val="00D11C0D"/>
    <w:rsid w:val="00D12CBD"/>
    <w:rsid w:val="00D13BD6"/>
    <w:rsid w:val="00D14DD5"/>
    <w:rsid w:val="00D16A59"/>
    <w:rsid w:val="00D16BD9"/>
    <w:rsid w:val="00D172D4"/>
    <w:rsid w:val="00D20106"/>
    <w:rsid w:val="00D22675"/>
    <w:rsid w:val="00D231A2"/>
    <w:rsid w:val="00D23480"/>
    <w:rsid w:val="00D265DD"/>
    <w:rsid w:val="00D27161"/>
    <w:rsid w:val="00D27CB6"/>
    <w:rsid w:val="00D3006B"/>
    <w:rsid w:val="00D303E1"/>
    <w:rsid w:val="00D31177"/>
    <w:rsid w:val="00D311FE"/>
    <w:rsid w:val="00D31610"/>
    <w:rsid w:val="00D3260E"/>
    <w:rsid w:val="00D33238"/>
    <w:rsid w:val="00D33DF6"/>
    <w:rsid w:val="00D34F56"/>
    <w:rsid w:val="00D3564D"/>
    <w:rsid w:val="00D3754E"/>
    <w:rsid w:val="00D37A90"/>
    <w:rsid w:val="00D40561"/>
    <w:rsid w:val="00D407B3"/>
    <w:rsid w:val="00D418EF"/>
    <w:rsid w:val="00D4202A"/>
    <w:rsid w:val="00D43852"/>
    <w:rsid w:val="00D4447C"/>
    <w:rsid w:val="00D46A9E"/>
    <w:rsid w:val="00D5052F"/>
    <w:rsid w:val="00D50C45"/>
    <w:rsid w:val="00D50CF9"/>
    <w:rsid w:val="00D5118A"/>
    <w:rsid w:val="00D520C7"/>
    <w:rsid w:val="00D52633"/>
    <w:rsid w:val="00D5332D"/>
    <w:rsid w:val="00D53511"/>
    <w:rsid w:val="00D5393F"/>
    <w:rsid w:val="00D542BA"/>
    <w:rsid w:val="00D5487F"/>
    <w:rsid w:val="00D55F81"/>
    <w:rsid w:val="00D56518"/>
    <w:rsid w:val="00D566F2"/>
    <w:rsid w:val="00D56FE0"/>
    <w:rsid w:val="00D570BC"/>
    <w:rsid w:val="00D5767E"/>
    <w:rsid w:val="00D57863"/>
    <w:rsid w:val="00D5793F"/>
    <w:rsid w:val="00D57AAE"/>
    <w:rsid w:val="00D60B96"/>
    <w:rsid w:val="00D60C63"/>
    <w:rsid w:val="00D60F4E"/>
    <w:rsid w:val="00D613D2"/>
    <w:rsid w:val="00D61480"/>
    <w:rsid w:val="00D61867"/>
    <w:rsid w:val="00D61BA7"/>
    <w:rsid w:val="00D61EBE"/>
    <w:rsid w:val="00D61F96"/>
    <w:rsid w:val="00D621B1"/>
    <w:rsid w:val="00D62657"/>
    <w:rsid w:val="00D626D8"/>
    <w:rsid w:val="00D6312C"/>
    <w:rsid w:val="00D64AC1"/>
    <w:rsid w:val="00D65127"/>
    <w:rsid w:val="00D6650A"/>
    <w:rsid w:val="00D66835"/>
    <w:rsid w:val="00D67491"/>
    <w:rsid w:val="00D67A7C"/>
    <w:rsid w:val="00D70472"/>
    <w:rsid w:val="00D70919"/>
    <w:rsid w:val="00D712C5"/>
    <w:rsid w:val="00D71D67"/>
    <w:rsid w:val="00D722C2"/>
    <w:rsid w:val="00D725A0"/>
    <w:rsid w:val="00D72644"/>
    <w:rsid w:val="00D72C19"/>
    <w:rsid w:val="00D72ED6"/>
    <w:rsid w:val="00D73B98"/>
    <w:rsid w:val="00D73E44"/>
    <w:rsid w:val="00D74035"/>
    <w:rsid w:val="00D75D4F"/>
    <w:rsid w:val="00D77281"/>
    <w:rsid w:val="00D81F33"/>
    <w:rsid w:val="00D82018"/>
    <w:rsid w:val="00D8202D"/>
    <w:rsid w:val="00D82307"/>
    <w:rsid w:val="00D82432"/>
    <w:rsid w:val="00D82C79"/>
    <w:rsid w:val="00D83DAE"/>
    <w:rsid w:val="00D85B19"/>
    <w:rsid w:val="00D85D0F"/>
    <w:rsid w:val="00D863E3"/>
    <w:rsid w:val="00D87EEE"/>
    <w:rsid w:val="00D901ED"/>
    <w:rsid w:val="00D915F7"/>
    <w:rsid w:val="00D927C3"/>
    <w:rsid w:val="00D93C08"/>
    <w:rsid w:val="00D94058"/>
    <w:rsid w:val="00D94168"/>
    <w:rsid w:val="00D94B69"/>
    <w:rsid w:val="00D95958"/>
    <w:rsid w:val="00D96A3C"/>
    <w:rsid w:val="00D96BD9"/>
    <w:rsid w:val="00D96FF8"/>
    <w:rsid w:val="00DA060F"/>
    <w:rsid w:val="00DA098E"/>
    <w:rsid w:val="00DA12CF"/>
    <w:rsid w:val="00DA19F1"/>
    <w:rsid w:val="00DA24EB"/>
    <w:rsid w:val="00DA285A"/>
    <w:rsid w:val="00DA2A0E"/>
    <w:rsid w:val="00DA2B83"/>
    <w:rsid w:val="00DA3A2E"/>
    <w:rsid w:val="00DA3CCE"/>
    <w:rsid w:val="00DA49D5"/>
    <w:rsid w:val="00DA4B20"/>
    <w:rsid w:val="00DA58E8"/>
    <w:rsid w:val="00DA63B2"/>
    <w:rsid w:val="00DA65D2"/>
    <w:rsid w:val="00DA6960"/>
    <w:rsid w:val="00DA7A69"/>
    <w:rsid w:val="00DB0FBD"/>
    <w:rsid w:val="00DB194A"/>
    <w:rsid w:val="00DB1B45"/>
    <w:rsid w:val="00DB3CA3"/>
    <w:rsid w:val="00DB411A"/>
    <w:rsid w:val="00DB4651"/>
    <w:rsid w:val="00DB6B8B"/>
    <w:rsid w:val="00DB72F2"/>
    <w:rsid w:val="00DB7FAA"/>
    <w:rsid w:val="00DC0461"/>
    <w:rsid w:val="00DC090A"/>
    <w:rsid w:val="00DC192F"/>
    <w:rsid w:val="00DC19E1"/>
    <w:rsid w:val="00DC1B41"/>
    <w:rsid w:val="00DC445F"/>
    <w:rsid w:val="00DC49F3"/>
    <w:rsid w:val="00DC5D46"/>
    <w:rsid w:val="00DC633A"/>
    <w:rsid w:val="00DC78F2"/>
    <w:rsid w:val="00DC7B0C"/>
    <w:rsid w:val="00DC7F66"/>
    <w:rsid w:val="00DD0968"/>
    <w:rsid w:val="00DD0D32"/>
    <w:rsid w:val="00DD2660"/>
    <w:rsid w:val="00DD480F"/>
    <w:rsid w:val="00DD4AB0"/>
    <w:rsid w:val="00DD4E79"/>
    <w:rsid w:val="00DD544D"/>
    <w:rsid w:val="00DD5719"/>
    <w:rsid w:val="00DD661E"/>
    <w:rsid w:val="00DD68E8"/>
    <w:rsid w:val="00DD6F89"/>
    <w:rsid w:val="00DD714B"/>
    <w:rsid w:val="00DD7694"/>
    <w:rsid w:val="00DE0EB1"/>
    <w:rsid w:val="00DE1B00"/>
    <w:rsid w:val="00DE1CE9"/>
    <w:rsid w:val="00DE2673"/>
    <w:rsid w:val="00DE2D9C"/>
    <w:rsid w:val="00DE504E"/>
    <w:rsid w:val="00DE52B7"/>
    <w:rsid w:val="00DE5F88"/>
    <w:rsid w:val="00DE6251"/>
    <w:rsid w:val="00DE62A2"/>
    <w:rsid w:val="00DE65EC"/>
    <w:rsid w:val="00DE6D2D"/>
    <w:rsid w:val="00DE7573"/>
    <w:rsid w:val="00DF008C"/>
    <w:rsid w:val="00DF10F9"/>
    <w:rsid w:val="00DF1174"/>
    <w:rsid w:val="00DF1DD4"/>
    <w:rsid w:val="00DF20CA"/>
    <w:rsid w:val="00DF2BB1"/>
    <w:rsid w:val="00DF3F60"/>
    <w:rsid w:val="00DF4DAE"/>
    <w:rsid w:val="00DF5A08"/>
    <w:rsid w:val="00DF608F"/>
    <w:rsid w:val="00DF7605"/>
    <w:rsid w:val="00DF7710"/>
    <w:rsid w:val="00DF7F54"/>
    <w:rsid w:val="00E011B9"/>
    <w:rsid w:val="00E0216F"/>
    <w:rsid w:val="00E02237"/>
    <w:rsid w:val="00E0297C"/>
    <w:rsid w:val="00E02BB0"/>
    <w:rsid w:val="00E040EF"/>
    <w:rsid w:val="00E04A47"/>
    <w:rsid w:val="00E05656"/>
    <w:rsid w:val="00E0638E"/>
    <w:rsid w:val="00E063CB"/>
    <w:rsid w:val="00E06BDC"/>
    <w:rsid w:val="00E06D08"/>
    <w:rsid w:val="00E1046E"/>
    <w:rsid w:val="00E10C36"/>
    <w:rsid w:val="00E123FC"/>
    <w:rsid w:val="00E133F9"/>
    <w:rsid w:val="00E138EA"/>
    <w:rsid w:val="00E13E79"/>
    <w:rsid w:val="00E14185"/>
    <w:rsid w:val="00E149AE"/>
    <w:rsid w:val="00E1523F"/>
    <w:rsid w:val="00E15E34"/>
    <w:rsid w:val="00E1697A"/>
    <w:rsid w:val="00E16AB4"/>
    <w:rsid w:val="00E174BD"/>
    <w:rsid w:val="00E214D1"/>
    <w:rsid w:val="00E21981"/>
    <w:rsid w:val="00E21FDB"/>
    <w:rsid w:val="00E22A59"/>
    <w:rsid w:val="00E22BCA"/>
    <w:rsid w:val="00E22FA1"/>
    <w:rsid w:val="00E24ECF"/>
    <w:rsid w:val="00E268B1"/>
    <w:rsid w:val="00E26AB6"/>
    <w:rsid w:val="00E27227"/>
    <w:rsid w:val="00E27609"/>
    <w:rsid w:val="00E27AF5"/>
    <w:rsid w:val="00E27C07"/>
    <w:rsid w:val="00E27FE2"/>
    <w:rsid w:val="00E31566"/>
    <w:rsid w:val="00E31818"/>
    <w:rsid w:val="00E33056"/>
    <w:rsid w:val="00E349BF"/>
    <w:rsid w:val="00E350B5"/>
    <w:rsid w:val="00E36A1B"/>
    <w:rsid w:val="00E37BA1"/>
    <w:rsid w:val="00E40C3F"/>
    <w:rsid w:val="00E4151A"/>
    <w:rsid w:val="00E42DDC"/>
    <w:rsid w:val="00E43FF7"/>
    <w:rsid w:val="00E457A6"/>
    <w:rsid w:val="00E46EE7"/>
    <w:rsid w:val="00E47FE1"/>
    <w:rsid w:val="00E503BA"/>
    <w:rsid w:val="00E51CA8"/>
    <w:rsid w:val="00E51E86"/>
    <w:rsid w:val="00E51FB1"/>
    <w:rsid w:val="00E52910"/>
    <w:rsid w:val="00E52FDC"/>
    <w:rsid w:val="00E538A5"/>
    <w:rsid w:val="00E538BE"/>
    <w:rsid w:val="00E54614"/>
    <w:rsid w:val="00E55F3A"/>
    <w:rsid w:val="00E57D89"/>
    <w:rsid w:val="00E61A8E"/>
    <w:rsid w:val="00E61AC9"/>
    <w:rsid w:val="00E62DCD"/>
    <w:rsid w:val="00E6308D"/>
    <w:rsid w:val="00E645AC"/>
    <w:rsid w:val="00E64F66"/>
    <w:rsid w:val="00E65A4E"/>
    <w:rsid w:val="00E65DE2"/>
    <w:rsid w:val="00E6707E"/>
    <w:rsid w:val="00E670DE"/>
    <w:rsid w:val="00E67F4A"/>
    <w:rsid w:val="00E702AF"/>
    <w:rsid w:val="00E70EEE"/>
    <w:rsid w:val="00E7210F"/>
    <w:rsid w:val="00E7227C"/>
    <w:rsid w:val="00E7232E"/>
    <w:rsid w:val="00E7277A"/>
    <w:rsid w:val="00E73197"/>
    <w:rsid w:val="00E73DC8"/>
    <w:rsid w:val="00E7500D"/>
    <w:rsid w:val="00E755AF"/>
    <w:rsid w:val="00E75B13"/>
    <w:rsid w:val="00E75F3B"/>
    <w:rsid w:val="00E7703C"/>
    <w:rsid w:val="00E827D9"/>
    <w:rsid w:val="00E82D2D"/>
    <w:rsid w:val="00E8338C"/>
    <w:rsid w:val="00E856F3"/>
    <w:rsid w:val="00E86CAC"/>
    <w:rsid w:val="00E86E43"/>
    <w:rsid w:val="00E87ABF"/>
    <w:rsid w:val="00E90AC9"/>
    <w:rsid w:val="00E91EDE"/>
    <w:rsid w:val="00E92205"/>
    <w:rsid w:val="00E927D0"/>
    <w:rsid w:val="00E93265"/>
    <w:rsid w:val="00E934BF"/>
    <w:rsid w:val="00E93C65"/>
    <w:rsid w:val="00E93FAE"/>
    <w:rsid w:val="00E94456"/>
    <w:rsid w:val="00E952C3"/>
    <w:rsid w:val="00E95931"/>
    <w:rsid w:val="00E95E63"/>
    <w:rsid w:val="00E9659F"/>
    <w:rsid w:val="00E96848"/>
    <w:rsid w:val="00E97101"/>
    <w:rsid w:val="00E97781"/>
    <w:rsid w:val="00EA0303"/>
    <w:rsid w:val="00EA0419"/>
    <w:rsid w:val="00EA084D"/>
    <w:rsid w:val="00EA119A"/>
    <w:rsid w:val="00EA21C3"/>
    <w:rsid w:val="00EA2430"/>
    <w:rsid w:val="00EA2691"/>
    <w:rsid w:val="00EA2A55"/>
    <w:rsid w:val="00EA335B"/>
    <w:rsid w:val="00EA3A83"/>
    <w:rsid w:val="00EA3D48"/>
    <w:rsid w:val="00EA423C"/>
    <w:rsid w:val="00EA47EC"/>
    <w:rsid w:val="00EA4AD7"/>
    <w:rsid w:val="00EA5669"/>
    <w:rsid w:val="00EA6234"/>
    <w:rsid w:val="00EA646A"/>
    <w:rsid w:val="00EA67AE"/>
    <w:rsid w:val="00EA710A"/>
    <w:rsid w:val="00EA74F4"/>
    <w:rsid w:val="00EA7D4B"/>
    <w:rsid w:val="00EB1AAD"/>
    <w:rsid w:val="00EB2356"/>
    <w:rsid w:val="00EB2448"/>
    <w:rsid w:val="00EB483B"/>
    <w:rsid w:val="00EB513C"/>
    <w:rsid w:val="00EB515A"/>
    <w:rsid w:val="00EB59EE"/>
    <w:rsid w:val="00EB5A52"/>
    <w:rsid w:val="00EB5D1A"/>
    <w:rsid w:val="00EB647A"/>
    <w:rsid w:val="00EB6C85"/>
    <w:rsid w:val="00EC068C"/>
    <w:rsid w:val="00EC0829"/>
    <w:rsid w:val="00EC0E00"/>
    <w:rsid w:val="00EC0F8B"/>
    <w:rsid w:val="00EC1F56"/>
    <w:rsid w:val="00EC29F7"/>
    <w:rsid w:val="00EC32A8"/>
    <w:rsid w:val="00EC37CB"/>
    <w:rsid w:val="00EC452D"/>
    <w:rsid w:val="00EC4719"/>
    <w:rsid w:val="00EC4B9F"/>
    <w:rsid w:val="00EC5062"/>
    <w:rsid w:val="00EC551F"/>
    <w:rsid w:val="00EC5D05"/>
    <w:rsid w:val="00EC5ECB"/>
    <w:rsid w:val="00ED0811"/>
    <w:rsid w:val="00ED1343"/>
    <w:rsid w:val="00ED1E40"/>
    <w:rsid w:val="00ED2DFB"/>
    <w:rsid w:val="00ED2FFC"/>
    <w:rsid w:val="00ED3851"/>
    <w:rsid w:val="00ED424A"/>
    <w:rsid w:val="00ED4DDD"/>
    <w:rsid w:val="00ED52AA"/>
    <w:rsid w:val="00ED77C8"/>
    <w:rsid w:val="00ED791B"/>
    <w:rsid w:val="00EE0130"/>
    <w:rsid w:val="00EE027A"/>
    <w:rsid w:val="00EE0440"/>
    <w:rsid w:val="00EE0FA4"/>
    <w:rsid w:val="00EE0FCC"/>
    <w:rsid w:val="00EE1993"/>
    <w:rsid w:val="00EE2F6D"/>
    <w:rsid w:val="00EE420B"/>
    <w:rsid w:val="00EE4A56"/>
    <w:rsid w:val="00EE4AF4"/>
    <w:rsid w:val="00EE4C77"/>
    <w:rsid w:val="00EE4CE5"/>
    <w:rsid w:val="00EE507C"/>
    <w:rsid w:val="00EE51AF"/>
    <w:rsid w:val="00EE5629"/>
    <w:rsid w:val="00EE5BBB"/>
    <w:rsid w:val="00EE5EBD"/>
    <w:rsid w:val="00EE605F"/>
    <w:rsid w:val="00EE72B5"/>
    <w:rsid w:val="00EF0956"/>
    <w:rsid w:val="00EF0D6A"/>
    <w:rsid w:val="00EF0ED4"/>
    <w:rsid w:val="00EF12C9"/>
    <w:rsid w:val="00EF13BE"/>
    <w:rsid w:val="00EF2024"/>
    <w:rsid w:val="00EF3208"/>
    <w:rsid w:val="00EF3387"/>
    <w:rsid w:val="00EF35E7"/>
    <w:rsid w:val="00EF5284"/>
    <w:rsid w:val="00EF5D35"/>
    <w:rsid w:val="00EF6128"/>
    <w:rsid w:val="00EF624D"/>
    <w:rsid w:val="00EF7230"/>
    <w:rsid w:val="00F001B6"/>
    <w:rsid w:val="00F004E8"/>
    <w:rsid w:val="00F00539"/>
    <w:rsid w:val="00F00A29"/>
    <w:rsid w:val="00F00FAA"/>
    <w:rsid w:val="00F00FFE"/>
    <w:rsid w:val="00F01A7F"/>
    <w:rsid w:val="00F021A4"/>
    <w:rsid w:val="00F0248F"/>
    <w:rsid w:val="00F02D61"/>
    <w:rsid w:val="00F02F73"/>
    <w:rsid w:val="00F0328B"/>
    <w:rsid w:val="00F03743"/>
    <w:rsid w:val="00F03C9D"/>
    <w:rsid w:val="00F05724"/>
    <w:rsid w:val="00F05943"/>
    <w:rsid w:val="00F06046"/>
    <w:rsid w:val="00F06678"/>
    <w:rsid w:val="00F07EC3"/>
    <w:rsid w:val="00F10E86"/>
    <w:rsid w:val="00F114D6"/>
    <w:rsid w:val="00F117DA"/>
    <w:rsid w:val="00F11A64"/>
    <w:rsid w:val="00F11A82"/>
    <w:rsid w:val="00F12887"/>
    <w:rsid w:val="00F12D63"/>
    <w:rsid w:val="00F12D73"/>
    <w:rsid w:val="00F1386E"/>
    <w:rsid w:val="00F13A57"/>
    <w:rsid w:val="00F14AB8"/>
    <w:rsid w:val="00F15304"/>
    <w:rsid w:val="00F1559E"/>
    <w:rsid w:val="00F16159"/>
    <w:rsid w:val="00F1659A"/>
    <w:rsid w:val="00F16926"/>
    <w:rsid w:val="00F16DC3"/>
    <w:rsid w:val="00F17E22"/>
    <w:rsid w:val="00F203F6"/>
    <w:rsid w:val="00F2044C"/>
    <w:rsid w:val="00F2102F"/>
    <w:rsid w:val="00F212D6"/>
    <w:rsid w:val="00F21CBA"/>
    <w:rsid w:val="00F2215E"/>
    <w:rsid w:val="00F22663"/>
    <w:rsid w:val="00F23D93"/>
    <w:rsid w:val="00F246BD"/>
    <w:rsid w:val="00F24FE5"/>
    <w:rsid w:val="00F250A2"/>
    <w:rsid w:val="00F25B96"/>
    <w:rsid w:val="00F25C34"/>
    <w:rsid w:val="00F25E4F"/>
    <w:rsid w:val="00F262DC"/>
    <w:rsid w:val="00F26DE0"/>
    <w:rsid w:val="00F27367"/>
    <w:rsid w:val="00F27749"/>
    <w:rsid w:val="00F27C87"/>
    <w:rsid w:val="00F27C95"/>
    <w:rsid w:val="00F30B73"/>
    <w:rsid w:val="00F3111B"/>
    <w:rsid w:val="00F317A2"/>
    <w:rsid w:val="00F31E3D"/>
    <w:rsid w:val="00F32596"/>
    <w:rsid w:val="00F3427F"/>
    <w:rsid w:val="00F34731"/>
    <w:rsid w:val="00F35AC8"/>
    <w:rsid w:val="00F37108"/>
    <w:rsid w:val="00F37CE0"/>
    <w:rsid w:val="00F4105D"/>
    <w:rsid w:val="00F4133C"/>
    <w:rsid w:val="00F42E9B"/>
    <w:rsid w:val="00F43DA2"/>
    <w:rsid w:val="00F43E94"/>
    <w:rsid w:val="00F4403D"/>
    <w:rsid w:val="00F442EA"/>
    <w:rsid w:val="00F449EC"/>
    <w:rsid w:val="00F44C83"/>
    <w:rsid w:val="00F45019"/>
    <w:rsid w:val="00F456E0"/>
    <w:rsid w:val="00F45DB8"/>
    <w:rsid w:val="00F46275"/>
    <w:rsid w:val="00F46461"/>
    <w:rsid w:val="00F46CC2"/>
    <w:rsid w:val="00F5111A"/>
    <w:rsid w:val="00F511ED"/>
    <w:rsid w:val="00F51D38"/>
    <w:rsid w:val="00F52B00"/>
    <w:rsid w:val="00F52BA9"/>
    <w:rsid w:val="00F5394A"/>
    <w:rsid w:val="00F545DD"/>
    <w:rsid w:val="00F55CEE"/>
    <w:rsid w:val="00F55DCA"/>
    <w:rsid w:val="00F55EFD"/>
    <w:rsid w:val="00F574F2"/>
    <w:rsid w:val="00F57F6E"/>
    <w:rsid w:val="00F616E0"/>
    <w:rsid w:val="00F621E6"/>
    <w:rsid w:val="00F62B23"/>
    <w:rsid w:val="00F631D8"/>
    <w:rsid w:val="00F63511"/>
    <w:rsid w:val="00F63565"/>
    <w:rsid w:val="00F640F5"/>
    <w:rsid w:val="00F64D21"/>
    <w:rsid w:val="00F6566E"/>
    <w:rsid w:val="00F66B00"/>
    <w:rsid w:val="00F67A4D"/>
    <w:rsid w:val="00F70233"/>
    <w:rsid w:val="00F70C25"/>
    <w:rsid w:val="00F70EEA"/>
    <w:rsid w:val="00F7114C"/>
    <w:rsid w:val="00F71EE2"/>
    <w:rsid w:val="00F7341B"/>
    <w:rsid w:val="00F735CD"/>
    <w:rsid w:val="00F74143"/>
    <w:rsid w:val="00F74359"/>
    <w:rsid w:val="00F75D18"/>
    <w:rsid w:val="00F75E19"/>
    <w:rsid w:val="00F76032"/>
    <w:rsid w:val="00F8091F"/>
    <w:rsid w:val="00F80BB8"/>
    <w:rsid w:val="00F813F8"/>
    <w:rsid w:val="00F81774"/>
    <w:rsid w:val="00F81D16"/>
    <w:rsid w:val="00F82C10"/>
    <w:rsid w:val="00F83DE0"/>
    <w:rsid w:val="00F845E0"/>
    <w:rsid w:val="00F853F4"/>
    <w:rsid w:val="00F860F7"/>
    <w:rsid w:val="00F875AD"/>
    <w:rsid w:val="00F87A72"/>
    <w:rsid w:val="00F90278"/>
    <w:rsid w:val="00F90628"/>
    <w:rsid w:val="00F9192F"/>
    <w:rsid w:val="00F92636"/>
    <w:rsid w:val="00F9267D"/>
    <w:rsid w:val="00F9275B"/>
    <w:rsid w:val="00F94E11"/>
    <w:rsid w:val="00F95191"/>
    <w:rsid w:val="00F96A5E"/>
    <w:rsid w:val="00F97B20"/>
    <w:rsid w:val="00FA1E61"/>
    <w:rsid w:val="00FA35FE"/>
    <w:rsid w:val="00FA494D"/>
    <w:rsid w:val="00FA5154"/>
    <w:rsid w:val="00FA5494"/>
    <w:rsid w:val="00FA55ED"/>
    <w:rsid w:val="00FA5AB5"/>
    <w:rsid w:val="00FB07E9"/>
    <w:rsid w:val="00FB0823"/>
    <w:rsid w:val="00FB1003"/>
    <w:rsid w:val="00FB11BB"/>
    <w:rsid w:val="00FB1282"/>
    <w:rsid w:val="00FB16D5"/>
    <w:rsid w:val="00FB1F5F"/>
    <w:rsid w:val="00FB4356"/>
    <w:rsid w:val="00FB4B72"/>
    <w:rsid w:val="00FB4D9B"/>
    <w:rsid w:val="00FB531E"/>
    <w:rsid w:val="00FB5921"/>
    <w:rsid w:val="00FB67FD"/>
    <w:rsid w:val="00FB68B2"/>
    <w:rsid w:val="00FB6AF0"/>
    <w:rsid w:val="00FB772B"/>
    <w:rsid w:val="00FC0406"/>
    <w:rsid w:val="00FC227B"/>
    <w:rsid w:val="00FC2405"/>
    <w:rsid w:val="00FC29F9"/>
    <w:rsid w:val="00FC2D2F"/>
    <w:rsid w:val="00FC2E7B"/>
    <w:rsid w:val="00FC3502"/>
    <w:rsid w:val="00FC4072"/>
    <w:rsid w:val="00FC4B9D"/>
    <w:rsid w:val="00FC55FE"/>
    <w:rsid w:val="00FC661C"/>
    <w:rsid w:val="00FC69BF"/>
    <w:rsid w:val="00FC70F3"/>
    <w:rsid w:val="00FC7F2E"/>
    <w:rsid w:val="00FD059E"/>
    <w:rsid w:val="00FD05FA"/>
    <w:rsid w:val="00FD0D05"/>
    <w:rsid w:val="00FD0DFB"/>
    <w:rsid w:val="00FD161E"/>
    <w:rsid w:val="00FD1692"/>
    <w:rsid w:val="00FD2660"/>
    <w:rsid w:val="00FD364F"/>
    <w:rsid w:val="00FD495C"/>
    <w:rsid w:val="00FD5B63"/>
    <w:rsid w:val="00FD66C6"/>
    <w:rsid w:val="00FD6767"/>
    <w:rsid w:val="00FD7564"/>
    <w:rsid w:val="00FD75F2"/>
    <w:rsid w:val="00FD7867"/>
    <w:rsid w:val="00FE0246"/>
    <w:rsid w:val="00FE063C"/>
    <w:rsid w:val="00FE0E80"/>
    <w:rsid w:val="00FE1F88"/>
    <w:rsid w:val="00FE2344"/>
    <w:rsid w:val="00FE274F"/>
    <w:rsid w:val="00FE2A00"/>
    <w:rsid w:val="00FE2DB4"/>
    <w:rsid w:val="00FE2E40"/>
    <w:rsid w:val="00FE3CBE"/>
    <w:rsid w:val="00FE4911"/>
    <w:rsid w:val="00FE543F"/>
    <w:rsid w:val="00FE5858"/>
    <w:rsid w:val="00FE5C4A"/>
    <w:rsid w:val="00FE66BB"/>
    <w:rsid w:val="00FE7138"/>
    <w:rsid w:val="00FF0594"/>
    <w:rsid w:val="00FF2327"/>
    <w:rsid w:val="00FF2F15"/>
    <w:rsid w:val="00FF3B14"/>
    <w:rsid w:val="00FF3B3C"/>
    <w:rsid w:val="00FF3D25"/>
    <w:rsid w:val="00FF5E4A"/>
    <w:rsid w:val="00FF5F3C"/>
    <w:rsid w:val="00FF6587"/>
    <w:rsid w:val="00FF6D9D"/>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70F659"/>
  <w14:defaultImageDpi w14:val="32767"/>
  <w15:chartTrackingRefBased/>
  <w15:docId w15:val="{A4F00765-9B39-F84D-A33D-A6CE7A005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3202"/>
    <w:pPr>
      <w:spacing w:line="360" w:lineRule="auto"/>
    </w:pPr>
    <w:rPr>
      <w:rFonts w:ascii="Helvetica Neue Light" w:hAnsi="Helvetica Neue Light"/>
    </w:rPr>
  </w:style>
  <w:style w:type="paragraph" w:styleId="Heading1">
    <w:name w:val="heading 1"/>
    <w:basedOn w:val="Normal"/>
    <w:next w:val="Normal"/>
    <w:link w:val="Heading1Char"/>
    <w:uiPriority w:val="9"/>
    <w:qFormat/>
    <w:rsid w:val="00B83202"/>
    <w:pPr>
      <w:keepNext/>
      <w:keepLines/>
      <w:spacing w:before="240"/>
      <w:outlineLvl w:val="0"/>
    </w:pPr>
    <w:rPr>
      <w:rFonts w:ascii="Helvetica Neue Thin" w:eastAsiaTheme="majorEastAsia" w:hAnsi="Helvetica Neue Thi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336F"/>
    <w:pPr>
      <w:keepNext/>
      <w:keepLines/>
      <w:spacing w:before="40"/>
      <w:outlineLvl w:val="1"/>
    </w:pPr>
    <w:rPr>
      <w:rFonts w:ascii="Helvetica Neue Thin" w:eastAsiaTheme="majorEastAsia" w:hAnsi="Helvetica Neue Thin"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20C7"/>
    <w:pPr>
      <w:keepNext/>
      <w:keepLines/>
      <w:spacing w:before="12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2046E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unhideWhenUsed/>
    <w:rsid w:val="00CA228D"/>
    <w:pPr>
      <w:ind w:left="480" w:hanging="480"/>
    </w:pPr>
    <w:rPr>
      <w:rFonts w:asciiTheme="minorHAnsi" w:hAnsiTheme="minorHAnsi"/>
      <w:caps/>
      <w:sz w:val="20"/>
      <w:szCs w:val="20"/>
    </w:rPr>
  </w:style>
  <w:style w:type="character" w:customStyle="1" w:styleId="Heading1Char">
    <w:name w:val="Heading 1 Char"/>
    <w:basedOn w:val="DefaultParagraphFont"/>
    <w:link w:val="Heading1"/>
    <w:uiPriority w:val="9"/>
    <w:rsid w:val="00B83202"/>
    <w:rPr>
      <w:rFonts w:ascii="Helvetica Neue Thin" w:eastAsiaTheme="majorEastAsia" w:hAnsi="Helvetica Neue Thin" w:cstheme="majorBidi"/>
      <w:color w:val="2F5496" w:themeColor="accent1" w:themeShade="BF"/>
      <w:sz w:val="32"/>
      <w:szCs w:val="32"/>
    </w:rPr>
  </w:style>
  <w:style w:type="character" w:customStyle="1" w:styleId="Heading2Char">
    <w:name w:val="Heading 2 Char"/>
    <w:basedOn w:val="DefaultParagraphFont"/>
    <w:link w:val="Heading2"/>
    <w:uiPriority w:val="9"/>
    <w:rsid w:val="006B336F"/>
    <w:rPr>
      <w:rFonts w:ascii="Helvetica Neue Thin" w:eastAsiaTheme="majorEastAsia" w:hAnsi="Helvetica Neue Thin" w:cstheme="majorBidi"/>
      <w:color w:val="2F5496" w:themeColor="accent1" w:themeShade="BF"/>
      <w:sz w:val="26"/>
      <w:szCs w:val="26"/>
    </w:rPr>
  </w:style>
  <w:style w:type="paragraph" w:styleId="TOCHeading">
    <w:name w:val="TOC Heading"/>
    <w:basedOn w:val="Heading1"/>
    <w:next w:val="Normal"/>
    <w:uiPriority w:val="39"/>
    <w:unhideWhenUsed/>
    <w:qFormat/>
    <w:rsid w:val="00745046"/>
    <w:pPr>
      <w:spacing w:before="480" w:line="276" w:lineRule="auto"/>
      <w:outlineLvl w:val="9"/>
    </w:pPr>
    <w:rPr>
      <w:rFonts w:asciiTheme="majorHAnsi" w:hAnsiTheme="majorHAnsi"/>
      <w:b/>
      <w:bCs/>
      <w:sz w:val="28"/>
      <w:szCs w:val="28"/>
      <w:lang w:val="en-US"/>
    </w:rPr>
  </w:style>
  <w:style w:type="paragraph" w:styleId="TOC1">
    <w:name w:val="toc 1"/>
    <w:basedOn w:val="Normal"/>
    <w:next w:val="Normal"/>
    <w:autoRedefine/>
    <w:uiPriority w:val="39"/>
    <w:unhideWhenUsed/>
    <w:rsid w:val="00745046"/>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745046"/>
    <w:pPr>
      <w:ind w:left="240"/>
    </w:pPr>
    <w:rPr>
      <w:rFonts w:asciiTheme="minorHAnsi" w:hAnsiTheme="minorHAnsi"/>
      <w:smallCaps/>
      <w:sz w:val="20"/>
      <w:szCs w:val="20"/>
    </w:rPr>
  </w:style>
  <w:style w:type="character" w:styleId="Hyperlink">
    <w:name w:val="Hyperlink"/>
    <w:basedOn w:val="DefaultParagraphFont"/>
    <w:uiPriority w:val="99"/>
    <w:unhideWhenUsed/>
    <w:rsid w:val="00745046"/>
    <w:rPr>
      <w:color w:val="0563C1" w:themeColor="hyperlink"/>
      <w:u w:val="single"/>
    </w:rPr>
  </w:style>
  <w:style w:type="paragraph" w:styleId="TOC3">
    <w:name w:val="toc 3"/>
    <w:basedOn w:val="Normal"/>
    <w:next w:val="Normal"/>
    <w:autoRedefine/>
    <w:uiPriority w:val="39"/>
    <w:unhideWhenUsed/>
    <w:rsid w:val="00745046"/>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745046"/>
    <w:pPr>
      <w:ind w:left="720"/>
    </w:pPr>
    <w:rPr>
      <w:rFonts w:asciiTheme="minorHAnsi" w:hAnsiTheme="minorHAnsi"/>
      <w:sz w:val="18"/>
      <w:szCs w:val="18"/>
    </w:rPr>
  </w:style>
  <w:style w:type="paragraph" w:styleId="TOC5">
    <w:name w:val="toc 5"/>
    <w:basedOn w:val="Normal"/>
    <w:next w:val="Normal"/>
    <w:autoRedefine/>
    <w:uiPriority w:val="39"/>
    <w:semiHidden/>
    <w:unhideWhenUsed/>
    <w:rsid w:val="00745046"/>
    <w:pPr>
      <w:ind w:left="960"/>
    </w:pPr>
    <w:rPr>
      <w:rFonts w:asciiTheme="minorHAnsi" w:hAnsiTheme="minorHAnsi"/>
      <w:sz w:val="18"/>
      <w:szCs w:val="18"/>
    </w:rPr>
  </w:style>
  <w:style w:type="paragraph" w:styleId="TOC6">
    <w:name w:val="toc 6"/>
    <w:basedOn w:val="Normal"/>
    <w:next w:val="Normal"/>
    <w:autoRedefine/>
    <w:uiPriority w:val="39"/>
    <w:semiHidden/>
    <w:unhideWhenUsed/>
    <w:rsid w:val="00745046"/>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745046"/>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745046"/>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745046"/>
    <w:pPr>
      <w:ind w:left="1920"/>
    </w:pPr>
    <w:rPr>
      <w:rFonts w:asciiTheme="minorHAnsi" w:hAnsiTheme="minorHAnsi"/>
      <w:sz w:val="18"/>
      <w:szCs w:val="18"/>
    </w:rPr>
  </w:style>
  <w:style w:type="character" w:customStyle="1" w:styleId="Heading3Char">
    <w:name w:val="Heading 3 Char"/>
    <w:basedOn w:val="DefaultParagraphFont"/>
    <w:link w:val="Heading3"/>
    <w:uiPriority w:val="9"/>
    <w:rsid w:val="00D520C7"/>
    <w:rPr>
      <w:rFonts w:ascii="Helvetica Neue Light" w:eastAsiaTheme="majorEastAsia" w:hAnsi="Helvetica Neue Light" w:cstheme="majorBidi"/>
      <w:color w:val="1F3763" w:themeColor="accent1" w:themeShade="7F"/>
    </w:rPr>
  </w:style>
  <w:style w:type="paragraph" w:styleId="FootnoteText">
    <w:name w:val="footnote text"/>
    <w:basedOn w:val="Normal"/>
    <w:link w:val="FootnoteTextChar"/>
    <w:uiPriority w:val="99"/>
    <w:unhideWhenUsed/>
    <w:rsid w:val="00D33238"/>
    <w:pPr>
      <w:spacing w:line="240" w:lineRule="auto"/>
    </w:pPr>
    <w:rPr>
      <w:sz w:val="20"/>
      <w:szCs w:val="20"/>
    </w:rPr>
  </w:style>
  <w:style w:type="character" w:customStyle="1" w:styleId="FootnoteTextChar">
    <w:name w:val="Footnote Text Char"/>
    <w:basedOn w:val="DefaultParagraphFont"/>
    <w:link w:val="FootnoteText"/>
    <w:uiPriority w:val="99"/>
    <w:rsid w:val="00D33238"/>
    <w:rPr>
      <w:rFonts w:ascii="Helvetica Neue Light" w:hAnsi="Helvetica Neue Light"/>
      <w:sz w:val="20"/>
      <w:szCs w:val="20"/>
    </w:rPr>
  </w:style>
  <w:style w:type="character" w:styleId="FootnoteReference">
    <w:name w:val="footnote reference"/>
    <w:basedOn w:val="DefaultParagraphFont"/>
    <w:uiPriority w:val="99"/>
    <w:unhideWhenUsed/>
    <w:rsid w:val="00D33238"/>
    <w:rPr>
      <w:vertAlign w:val="superscript"/>
    </w:rPr>
  </w:style>
  <w:style w:type="paragraph" w:styleId="Bibliography">
    <w:name w:val="Bibliography"/>
    <w:basedOn w:val="Normal"/>
    <w:next w:val="Normal"/>
    <w:uiPriority w:val="37"/>
    <w:semiHidden/>
    <w:unhideWhenUsed/>
    <w:rsid w:val="007A68A3"/>
  </w:style>
  <w:style w:type="character" w:styleId="UnresolvedMention">
    <w:name w:val="Unresolved Mention"/>
    <w:basedOn w:val="DefaultParagraphFont"/>
    <w:uiPriority w:val="99"/>
    <w:rsid w:val="0023071F"/>
    <w:rPr>
      <w:color w:val="605E5C"/>
      <w:shd w:val="clear" w:color="auto" w:fill="E1DFDD"/>
    </w:rPr>
  </w:style>
  <w:style w:type="character" w:styleId="FollowedHyperlink">
    <w:name w:val="FollowedHyperlink"/>
    <w:basedOn w:val="DefaultParagraphFont"/>
    <w:uiPriority w:val="99"/>
    <w:semiHidden/>
    <w:unhideWhenUsed/>
    <w:rsid w:val="006F14AC"/>
    <w:rPr>
      <w:color w:val="954F72" w:themeColor="followedHyperlink"/>
      <w:u w:val="single"/>
    </w:rPr>
  </w:style>
  <w:style w:type="paragraph" w:styleId="Header">
    <w:name w:val="header"/>
    <w:basedOn w:val="Normal"/>
    <w:link w:val="HeaderChar"/>
    <w:uiPriority w:val="99"/>
    <w:unhideWhenUsed/>
    <w:rsid w:val="006F14AC"/>
    <w:pPr>
      <w:tabs>
        <w:tab w:val="center" w:pos="4513"/>
        <w:tab w:val="right" w:pos="9026"/>
      </w:tabs>
      <w:spacing w:line="240" w:lineRule="auto"/>
    </w:pPr>
  </w:style>
  <w:style w:type="character" w:customStyle="1" w:styleId="HeaderChar">
    <w:name w:val="Header Char"/>
    <w:basedOn w:val="DefaultParagraphFont"/>
    <w:link w:val="Header"/>
    <w:uiPriority w:val="99"/>
    <w:rsid w:val="006F14AC"/>
    <w:rPr>
      <w:rFonts w:ascii="Helvetica Neue Light" w:hAnsi="Helvetica Neue Light"/>
    </w:rPr>
  </w:style>
  <w:style w:type="paragraph" w:styleId="Footer">
    <w:name w:val="footer"/>
    <w:basedOn w:val="Normal"/>
    <w:link w:val="FooterChar"/>
    <w:uiPriority w:val="99"/>
    <w:unhideWhenUsed/>
    <w:rsid w:val="006F14AC"/>
    <w:pPr>
      <w:tabs>
        <w:tab w:val="center" w:pos="4513"/>
        <w:tab w:val="right" w:pos="9026"/>
      </w:tabs>
      <w:spacing w:line="240" w:lineRule="auto"/>
    </w:pPr>
  </w:style>
  <w:style w:type="character" w:customStyle="1" w:styleId="FooterChar">
    <w:name w:val="Footer Char"/>
    <w:basedOn w:val="DefaultParagraphFont"/>
    <w:link w:val="Footer"/>
    <w:uiPriority w:val="99"/>
    <w:rsid w:val="006F14AC"/>
    <w:rPr>
      <w:rFonts w:ascii="Helvetica Neue Light" w:hAnsi="Helvetica Neue Light"/>
    </w:rPr>
  </w:style>
  <w:style w:type="paragraph" w:styleId="Quote">
    <w:name w:val="Quote"/>
    <w:basedOn w:val="Normal"/>
    <w:next w:val="Normal"/>
    <w:link w:val="QuoteChar"/>
    <w:uiPriority w:val="29"/>
    <w:qFormat/>
    <w:rsid w:val="009163D1"/>
    <w:pPr>
      <w:spacing w:before="200" w:after="160"/>
      <w:ind w:left="864" w:right="864"/>
    </w:pPr>
    <w:rPr>
      <w:color w:val="404040" w:themeColor="text1" w:themeTint="BF"/>
    </w:rPr>
  </w:style>
  <w:style w:type="character" w:customStyle="1" w:styleId="QuoteChar">
    <w:name w:val="Quote Char"/>
    <w:basedOn w:val="DefaultParagraphFont"/>
    <w:link w:val="Quote"/>
    <w:uiPriority w:val="29"/>
    <w:rsid w:val="009163D1"/>
    <w:rPr>
      <w:rFonts w:ascii="Helvetica Neue Light" w:hAnsi="Helvetica Neue Light"/>
      <w:color w:val="404040" w:themeColor="text1" w:themeTint="BF"/>
    </w:rPr>
  </w:style>
  <w:style w:type="character" w:styleId="Emphasis">
    <w:name w:val="Emphasis"/>
    <w:basedOn w:val="DefaultParagraphFont"/>
    <w:uiPriority w:val="20"/>
    <w:qFormat/>
    <w:rsid w:val="001F0911"/>
    <w:rPr>
      <w:i/>
      <w:iCs/>
    </w:rPr>
  </w:style>
  <w:style w:type="table" w:styleId="TableGrid">
    <w:name w:val="Table Grid"/>
    <w:basedOn w:val="TableNormal"/>
    <w:uiPriority w:val="39"/>
    <w:rsid w:val="000A68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17D1"/>
    <w:pPr>
      <w:spacing w:after="200" w:line="240" w:lineRule="auto"/>
    </w:pPr>
    <w:rPr>
      <w:i/>
      <w:iCs/>
      <w:color w:val="44546A" w:themeColor="text2"/>
      <w:sz w:val="18"/>
      <w:szCs w:val="18"/>
    </w:rPr>
  </w:style>
  <w:style w:type="paragraph" w:styleId="ListParagraph">
    <w:name w:val="List Paragraph"/>
    <w:basedOn w:val="Normal"/>
    <w:uiPriority w:val="34"/>
    <w:qFormat/>
    <w:rsid w:val="00B0713B"/>
    <w:pPr>
      <w:ind w:left="720"/>
      <w:contextualSpacing/>
    </w:pPr>
  </w:style>
  <w:style w:type="character" w:styleId="PageNumber">
    <w:name w:val="page number"/>
    <w:basedOn w:val="DefaultParagraphFont"/>
    <w:uiPriority w:val="99"/>
    <w:semiHidden/>
    <w:unhideWhenUsed/>
    <w:rsid w:val="00E02BB0"/>
  </w:style>
  <w:style w:type="paragraph" w:styleId="NormalWeb">
    <w:name w:val="Normal (Web)"/>
    <w:basedOn w:val="Normal"/>
    <w:uiPriority w:val="99"/>
    <w:unhideWhenUsed/>
    <w:rsid w:val="00E457A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2046E3"/>
    <w:rPr>
      <w:rFonts w:asciiTheme="majorHAnsi" w:eastAsiaTheme="majorEastAsia" w:hAnsiTheme="majorHAnsi" w:cstheme="majorBidi"/>
      <w:i/>
      <w:iCs/>
      <w:color w:val="2F5496" w:themeColor="accent1" w:themeShade="BF"/>
    </w:rPr>
  </w:style>
  <w:style w:type="paragraph" w:styleId="Index1">
    <w:name w:val="index 1"/>
    <w:basedOn w:val="Normal"/>
    <w:next w:val="Normal"/>
    <w:autoRedefine/>
    <w:uiPriority w:val="99"/>
    <w:unhideWhenUsed/>
    <w:rsid w:val="00706C8A"/>
    <w:pPr>
      <w:ind w:left="240" w:hanging="240"/>
    </w:pPr>
    <w:rPr>
      <w:rFonts w:asciiTheme="minorHAnsi" w:hAnsiTheme="minorHAnsi" w:cstheme="minorHAnsi"/>
      <w:sz w:val="20"/>
      <w:szCs w:val="20"/>
    </w:rPr>
  </w:style>
  <w:style w:type="paragraph" w:styleId="Index2">
    <w:name w:val="index 2"/>
    <w:basedOn w:val="Normal"/>
    <w:next w:val="Normal"/>
    <w:autoRedefine/>
    <w:uiPriority w:val="99"/>
    <w:unhideWhenUsed/>
    <w:rsid w:val="00706C8A"/>
    <w:pPr>
      <w:ind w:left="480" w:hanging="240"/>
    </w:pPr>
    <w:rPr>
      <w:rFonts w:asciiTheme="minorHAnsi" w:hAnsiTheme="minorHAnsi" w:cstheme="minorHAnsi"/>
      <w:sz w:val="20"/>
      <w:szCs w:val="20"/>
    </w:rPr>
  </w:style>
  <w:style w:type="paragraph" w:styleId="Index3">
    <w:name w:val="index 3"/>
    <w:basedOn w:val="Normal"/>
    <w:next w:val="Normal"/>
    <w:autoRedefine/>
    <w:uiPriority w:val="99"/>
    <w:unhideWhenUsed/>
    <w:rsid w:val="00706C8A"/>
    <w:pPr>
      <w:ind w:left="720" w:hanging="240"/>
    </w:pPr>
    <w:rPr>
      <w:rFonts w:asciiTheme="minorHAnsi" w:hAnsiTheme="minorHAnsi" w:cstheme="minorHAnsi"/>
      <w:sz w:val="20"/>
      <w:szCs w:val="20"/>
    </w:rPr>
  </w:style>
  <w:style w:type="paragraph" w:styleId="Index4">
    <w:name w:val="index 4"/>
    <w:basedOn w:val="Normal"/>
    <w:next w:val="Normal"/>
    <w:autoRedefine/>
    <w:uiPriority w:val="99"/>
    <w:unhideWhenUsed/>
    <w:rsid w:val="00706C8A"/>
    <w:pPr>
      <w:ind w:left="960" w:hanging="240"/>
    </w:pPr>
    <w:rPr>
      <w:rFonts w:asciiTheme="minorHAnsi" w:hAnsiTheme="minorHAnsi" w:cstheme="minorHAnsi"/>
      <w:sz w:val="20"/>
      <w:szCs w:val="20"/>
    </w:rPr>
  </w:style>
  <w:style w:type="paragraph" w:styleId="Index5">
    <w:name w:val="index 5"/>
    <w:basedOn w:val="Normal"/>
    <w:next w:val="Normal"/>
    <w:autoRedefine/>
    <w:uiPriority w:val="99"/>
    <w:unhideWhenUsed/>
    <w:rsid w:val="00706C8A"/>
    <w:pPr>
      <w:ind w:left="1200" w:hanging="240"/>
    </w:pPr>
    <w:rPr>
      <w:rFonts w:asciiTheme="minorHAnsi" w:hAnsiTheme="minorHAnsi" w:cstheme="minorHAnsi"/>
      <w:sz w:val="20"/>
      <w:szCs w:val="20"/>
    </w:rPr>
  </w:style>
  <w:style w:type="paragraph" w:styleId="Index6">
    <w:name w:val="index 6"/>
    <w:basedOn w:val="Normal"/>
    <w:next w:val="Normal"/>
    <w:autoRedefine/>
    <w:uiPriority w:val="99"/>
    <w:unhideWhenUsed/>
    <w:rsid w:val="00706C8A"/>
    <w:pPr>
      <w:ind w:left="1440" w:hanging="240"/>
    </w:pPr>
    <w:rPr>
      <w:rFonts w:asciiTheme="minorHAnsi" w:hAnsiTheme="minorHAnsi" w:cstheme="minorHAnsi"/>
      <w:sz w:val="20"/>
      <w:szCs w:val="20"/>
    </w:rPr>
  </w:style>
  <w:style w:type="paragraph" w:styleId="Index7">
    <w:name w:val="index 7"/>
    <w:basedOn w:val="Normal"/>
    <w:next w:val="Normal"/>
    <w:autoRedefine/>
    <w:uiPriority w:val="99"/>
    <w:unhideWhenUsed/>
    <w:rsid w:val="00706C8A"/>
    <w:pPr>
      <w:ind w:left="1680" w:hanging="240"/>
    </w:pPr>
    <w:rPr>
      <w:rFonts w:asciiTheme="minorHAnsi" w:hAnsiTheme="minorHAnsi" w:cstheme="minorHAnsi"/>
      <w:sz w:val="20"/>
      <w:szCs w:val="20"/>
    </w:rPr>
  </w:style>
  <w:style w:type="paragraph" w:styleId="Index8">
    <w:name w:val="index 8"/>
    <w:basedOn w:val="Normal"/>
    <w:next w:val="Normal"/>
    <w:autoRedefine/>
    <w:uiPriority w:val="99"/>
    <w:unhideWhenUsed/>
    <w:rsid w:val="00706C8A"/>
    <w:pPr>
      <w:ind w:left="1920" w:hanging="240"/>
    </w:pPr>
    <w:rPr>
      <w:rFonts w:asciiTheme="minorHAnsi" w:hAnsiTheme="minorHAnsi" w:cstheme="minorHAnsi"/>
      <w:sz w:val="20"/>
      <w:szCs w:val="20"/>
    </w:rPr>
  </w:style>
  <w:style w:type="paragraph" w:styleId="Index9">
    <w:name w:val="index 9"/>
    <w:basedOn w:val="Normal"/>
    <w:next w:val="Normal"/>
    <w:autoRedefine/>
    <w:uiPriority w:val="99"/>
    <w:unhideWhenUsed/>
    <w:rsid w:val="00706C8A"/>
    <w:pPr>
      <w:ind w:left="2160" w:hanging="240"/>
    </w:pPr>
    <w:rPr>
      <w:rFonts w:asciiTheme="minorHAnsi" w:hAnsiTheme="minorHAnsi" w:cstheme="minorHAnsi"/>
      <w:sz w:val="20"/>
      <w:szCs w:val="20"/>
    </w:rPr>
  </w:style>
  <w:style w:type="paragraph" w:styleId="IndexHeading">
    <w:name w:val="index heading"/>
    <w:basedOn w:val="Normal"/>
    <w:next w:val="Index1"/>
    <w:uiPriority w:val="99"/>
    <w:unhideWhenUsed/>
    <w:rsid w:val="00706C8A"/>
    <w:rPr>
      <w:rFonts w:asciiTheme="minorHAnsi" w:hAnsiTheme="minorHAnsi" w:cstheme="minorHAnsi"/>
      <w:sz w:val="20"/>
      <w:szCs w:val="20"/>
    </w:rPr>
  </w:style>
  <w:style w:type="paragraph" w:customStyle="1" w:styleId="arithmatic">
    <w:name w:val="arithmatic"/>
    <w:basedOn w:val="Quote"/>
    <w:qFormat/>
    <w:rsid w:val="007E54E3"/>
    <w:pPr>
      <w:spacing w:line="240" w:lineRule="auto"/>
      <w:ind w:left="862" w:right="862"/>
    </w:pPr>
    <w:rPr>
      <w:rFonts w:ascii="Courier" w:hAnsi="Courier" w:cs="Cordia New"/>
    </w:rPr>
  </w:style>
  <w:style w:type="paragraph" w:styleId="NoSpacing">
    <w:name w:val="No Spacing"/>
    <w:uiPriority w:val="1"/>
    <w:qFormat/>
    <w:rsid w:val="005535D3"/>
    <w:rPr>
      <w:rFonts w:ascii="Helvetica Neue Light" w:hAnsi="Helvetica Neue Light"/>
    </w:rPr>
  </w:style>
  <w:style w:type="paragraph" w:styleId="Title">
    <w:name w:val="Title"/>
    <w:basedOn w:val="Normal"/>
    <w:next w:val="Normal"/>
    <w:link w:val="TitleChar"/>
    <w:uiPriority w:val="10"/>
    <w:qFormat/>
    <w:rsid w:val="00F02F73"/>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F7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65033">
      <w:bodyDiv w:val="1"/>
      <w:marLeft w:val="0"/>
      <w:marRight w:val="0"/>
      <w:marTop w:val="0"/>
      <w:marBottom w:val="0"/>
      <w:divBdr>
        <w:top w:val="none" w:sz="0" w:space="0" w:color="auto"/>
        <w:left w:val="none" w:sz="0" w:space="0" w:color="auto"/>
        <w:bottom w:val="none" w:sz="0" w:space="0" w:color="auto"/>
        <w:right w:val="none" w:sz="0" w:space="0" w:color="auto"/>
      </w:divBdr>
      <w:divsChild>
        <w:div w:id="678316237">
          <w:marLeft w:val="0"/>
          <w:marRight w:val="0"/>
          <w:marTop w:val="0"/>
          <w:marBottom w:val="0"/>
          <w:divBdr>
            <w:top w:val="none" w:sz="0" w:space="0" w:color="auto"/>
            <w:left w:val="none" w:sz="0" w:space="0" w:color="auto"/>
            <w:bottom w:val="none" w:sz="0" w:space="0" w:color="auto"/>
            <w:right w:val="none" w:sz="0" w:space="0" w:color="auto"/>
          </w:divBdr>
          <w:divsChild>
            <w:div w:id="235633917">
              <w:marLeft w:val="0"/>
              <w:marRight w:val="0"/>
              <w:marTop w:val="0"/>
              <w:marBottom w:val="0"/>
              <w:divBdr>
                <w:top w:val="none" w:sz="0" w:space="0" w:color="auto"/>
                <w:left w:val="none" w:sz="0" w:space="0" w:color="auto"/>
                <w:bottom w:val="none" w:sz="0" w:space="0" w:color="auto"/>
                <w:right w:val="none" w:sz="0" w:space="0" w:color="auto"/>
              </w:divBdr>
              <w:divsChild>
                <w:div w:id="202639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13933">
      <w:bodyDiv w:val="1"/>
      <w:marLeft w:val="0"/>
      <w:marRight w:val="0"/>
      <w:marTop w:val="0"/>
      <w:marBottom w:val="0"/>
      <w:divBdr>
        <w:top w:val="none" w:sz="0" w:space="0" w:color="auto"/>
        <w:left w:val="none" w:sz="0" w:space="0" w:color="auto"/>
        <w:bottom w:val="none" w:sz="0" w:space="0" w:color="auto"/>
        <w:right w:val="none" w:sz="0" w:space="0" w:color="auto"/>
      </w:divBdr>
      <w:divsChild>
        <w:div w:id="1546717959">
          <w:marLeft w:val="0"/>
          <w:marRight w:val="0"/>
          <w:marTop w:val="0"/>
          <w:marBottom w:val="0"/>
          <w:divBdr>
            <w:top w:val="none" w:sz="0" w:space="0" w:color="auto"/>
            <w:left w:val="none" w:sz="0" w:space="0" w:color="auto"/>
            <w:bottom w:val="none" w:sz="0" w:space="0" w:color="auto"/>
            <w:right w:val="none" w:sz="0" w:space="0" w:color="auto"/>
          </w:divBdr>
          <w:divsChild>
            <w:div w:id="70470323">
              <w:marLeft w:val="0"/>
              <w:marRight w:val="0"/>
              <w:marTop w:val="0"/>
              <w:marBottom w:val="0"/>
              <w:divBdr>
                <w:top w:val="none" w:sz="0" w:space="0" w:color="auto"/>
                <w:left w:val="none" w:sz="0" w:space="0" w:color="auto"/>
                <w:bottom w:val="none" w:sz="0" w:space="0" w:color="auto"/>
                <w:right w:val="none" w:sz="0" w:space="0" w:color="auto"/>
              </w:divBdr>
              <w:divsChild>
                <w:div w:id="50301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862639">
      <w:bodyDiv w:val="1"/>
      <w:marLeft w:val="0"/>
      <w:marRight w:val="0"/>
      <w:marTop w:val="0"/>
      <w:marBottom w:val="0"/>
      <w:divBdr>
        <w:top w:val="none" w:sz="0" w:space="0" w:color="auto"/>
        <w:left w:val="none" w:sz="0" w:space="0" w:color="auto"/>
        <w:bottom w:val="none" w:sz="0" w:space="0" w:color="auto"/>
        <w:right w:val="none" w:sz="0" w:space="0" w:color="auto"/>
      </w:divBdr>
      <w:divsChild>
        <w:div w:id="602079806">
          <w:marLeft w:val="0"/>
          <w:marRight w:val="0"/>
          <w:marTop w:val="0"/>
          <w:marBottom w:val="0"/>
          <w:divBdr>
            <w:top w:val="none" w:sz="0" w:space="0" w:color="auto"/>
            <w:left w:val="none" w:sz="0" w:space="0" w:color="auto"/>
            <w:bottom w:val="none" w:sz="0" w:space="0" w:color="auto"/>
            <w:right w:val="none" w:sz="0" w:space="0" w:color="auto"/>
          </w:divBdr>
          <w:divsChild>
            <w:div w:id="765005722">
              <w:marLeft w:val="0"/>
              <w:marRight w:val="0"/>
              <w:marTop w:val="0"/>
              <w:marBottom w:val="0"/>
              <w:divBdr>
                <w:top w:val="none" w:sz="0" w:space="0" w:color="auto"/>
                <w:left w:val="none" w:sz="0" w:space="0" w:color="auto"/>
                <w:bottom w:val="none" w:sz="0" w:space="0" w:color="auto"/>
                <w:right w:val="none" w:sz="0" w:space="0" w:color="auto"/>
              </w:divBdr>
              <w:divsChild>
                <w:div w:id="181320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94570">
      <w:bodyDiv w:val="1"/>
      <w:marLeft w:val="0"/>
      <w:marRight w:val="0"/>
      <w:marTop w:val="0"/>
      <w:marBottom w:val="0"/>
      <w:divBdr>
        <w:top w:val="none" w:sz="0" w:space="0" w:color="auto"/>
        <w:left w:val="none" w:sz="0" w:space="0" w:color="auto"/>
        <w:bottom w:val="none" w:sz="0" w:space="0" w:color="auto"/>
        <w:right w:val="none" w:sz="0" w:space="0" w:color="auto"/>
      </w:divBdr>
      <w:divsChild>
        <w:div w:id="1973168328">
          <w:marLeft w:val="0"/>
          <w:marRight w:val="0"/>
          <w:marTop w:val="0"/>
          <w:marBottom w:val="0"/>
          <w:divBdr>
            <w:top w:val="none" w:sz="0" w:space="0" w:color="auto"/>
            <w:left w:val="none" w:sz="0" w:space="0" w:color="auto"/>
            <w:bottom w:val="none" w:sz="0" w:space="0" w:color="auto"/>
            <w:right w:val="none" w:sz="0" w:space="0" w:color="auto"/>
          </w:divBdr>
          <w:divsChild>
            <w:div w:id="1057821857">
              <w:marLeft w:val="0"/>
              <w:marRight w:val="0"/>
              <w:marTop w:val="0"/>
              <w:marBottom w:val="0"/>
              <w:divBdr>
                <w:top w:val="none" w:sz="0" w:space="0" w:color="auto"/>
                <w:left w:val="none" w:sz="0" w:space="0" w:color="auto"/>
                <w:bottom w:val="none" w:sz="0" w:space="0" w:color="auto"/>
                <w:right w:val="none" w:sz="0" w:space="0" w:color="auto"/>
              </w:divBdr>
              <w:divsChild>
                <w:div w:id="101287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808401">
      <w:bodyDiv w:val="1"/>
      <w:marLeft w:val="0"/>
      <w:marRight w:val="0"/>
      <w:marTop w:val="0"/>
      <w:marBottom w:val="0"/>
      <w:divBdr>
        <w:top w:val="none" w:sz="0" w:space="0" w:color="auto"/>
        <w:left w:val="none" w:sz="0" w:space="0" w:color="auto"/>
        <w:bottom w:val="none" w:sz="0" w:space="0" w:color="auto"/>
        <w:right w:val="none" w:sz="0" w:space="0" w:color="auto"/>
      </w:divBdr>
      <w:divsChild>
        <w:div w:id="830826677">
          <w:marLeft w:val="0"/>
          <w:marRight w:val="0"/>
          <w:marTop w:val="0"/>
          <w:marBottom w:val="0"/>
          <w:divBdr>
            <w:top w:val="none" w:sz="0" w:space="0" w:color="auto"/>
            <w:left w:val="none" w:sz="0" w:space="0" w:color="auto"/>
            <w:bottom w:val="none" w:sz="0" w:space="0" w:color="auto"/>
            <w:right w:val="none" w:sz="0" w:space="0" w:color="auto"/>
          </w:divBdr>
          <w:divsChild>
            <w:div w:id="115178316">
              <w:marLeft w:val="0"/>
              <w:marRight w:val="0"/>
              <w:marTop w:val="0"/>
              <w:marBottom w:val="0"/>
              <w:divBdr>
                <w:top w:val="none" w:sz="0" w:space="0" w:color="auto"/>
                <w:left w:val="none" w:sz="0" w:space="0" w:color="auto"/>
                <w:bottom w:val="none" w:sz="0" w:space="0" w:color="auto"/>
                <w:right w:val="none" w:sz="0" w:space="0" w:color="auto"/>
              </w:divBdr>
              <w:divsChild>
                <w:div w:id="23528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450016">
      <w:bodyDiv w:val="1"/>
      <w:marLeft w:val="0"/>
      <w:marRight w:val="0"/>
      <w:marTop w:val="0"/>
      <w:marBottom w:val="0"/>
      <w:divBdr>
        <w:top w:val="none" w:sz="0" w:space="0" w:color="auto"/>
        <w:left w:val="none" w:sz="0" w:space="0" w:color="auto"/>
        <w:bottom w:val="none" w:sz="0" w:space="0" w:color="auto"/>
        <w:right w:val="none" w:sz="0" w:space="0" w:color="auto"/>
      </w:divBdr>
    </w:div>
    <w:div w:id="407465419">
      <w:bodyDiv w:val="1"/>
      <w:marLeft w:val="0"/>
      <w:marRight w:val="0"/>
      <w:marTop w:val="0"/>
      <w:marBottom w:val="0"/>
      <w:divBdr>
        <w:top w:val="none" w:sz="0" w:space="0" w:color="auto"/>
        <w:left w:val="none" w:sz="0" w:space="0" w:color="auto"/>
        <w:bottom w:val="none" w:sz="0" w:space="0" w:color="auto"/>
        <w:right w:val="none" w:sz="0" w:space="0" w:color="auto"/>
      </w:divBdr>
    </w:div>
    <w:div w:id="523907763">
      <w:bodyDiv w:val="1"/>
      <w:marLeft w:val="0"/>
      <w:marRight w:val="0"/>
      <w:marTop w:val="0"/>
      <w:marBottom w:val="0"/>
      <w:divBdr>
        <w:top w:val="none" w:sz="0" w:space="0" w:color="auto"/>
        <w:left w:val="none" w:sz="0" w:space="0" w:color="auto"/>
        <w:bottom w:val="none" w:sz="0" w:space="0" w:color="auto"/>
        <w:right w:val="none" w:sz="0" w:space="0" w:color="auto"/>
      </w:divBdr>
      <w:divsChild>
        <w:div w:id="452213775">
          <w:marLeft w:val="0"/>
          <w:marRight w:val="0"/>
          <w:marTop w:val="0"/>
          <w:marBottom w:val="0"/>
          <w:divBdr>
            <w:top w:val="none" w:sz="0" w:space="0" w:color="auto"/>
            <w:left w:val="none" w:sz="0" w:space="0" w:color="auto"/>
            <w:bottom w:val="none" w:sz="0" w:space="0" w:color="auto"/>
            <w:right w:val="none" w:sz="0" w:space="0" w:color="auto"/>
          </w:divBdr>
          <w:divsChild>
            <w:div w:id="1673485069">
              <w:marLeft w:val="0"/>
              <w:marRight w:val="0"/>
              <w:marTop w:val="0"/>
              <w:marBottom w:val="0"/>
              <w:divBdr>
                <w:top w:val="none" w:sz="0" w:space="0" w:color="auto"/>
                <w:left w:val="none" w:sz="0" w:space="0" w:color="auto"/>
                <w:bottom w:val="none" w:sz="0" w:space="0" w:color="auto"/>
                <w:right w:val="none" w:sz="0" w:space="0" w:color="auto"/>
              </w:divBdr>
              <w:divsChild>
                <w:div w:id="204886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610816">
      <w:bodyDiv w:val="1"/>
      <w:marLeft w:val="0"/>
      <w:marRight w:val="0"/>
      <w:marTop w:val="0"/>
      <w:marBottom w:val="0"/>
      <w:divBdr>
        <w:top w:val="none" w:sz="0" w:space="0" w:color="auto"/>
        <w:left w:val="none" w:sz="0" w:space="0" w:color="auto"/>
        <w:bottom w:val="none" w:sz="0" w:space="0" w:color="auto"/>
        <w:right w:val="none" w:sz="0" w:space="0" w:color="auto"/>
      </w:divBdr>
    </w:div>
    <w:div w:id="712385556">
      <w:bodyDiv w:val="1"/>
      <w:marLeft w:val="0"/>
      <w:marRight w:val="0"/>
      <w:marTop w:val="0"/>
      <w:marBottom w:val="0"/>
      <w:divBdr>
        <w:top w:val="none" w:sz="0" w:space="0" w:color="auto"/>
        <w:left w:val="none" w:sz="0" w:space="0" w:color="auto"/>
        <w:bottom w:val="none" w:sz="0" w:space="0" w:color="auto"/>
        <w:right w:val="none" w:sz="0" w:space="0" w:color="auto"/>
      </w:divBdr>
      <w:divsChild>
        <w:div w:id="1169754901">
          <w:marLeft w:val="0"/>
          <w:marRight w:val="0"/>
          <w:marTop w:val="0"/>
          <w:marBottom w:val="0"/>
          <w:divBdr>
            <w:top w:val="none" w:sz="0" w:space="0" w:color="auto"/>
            <w:left w:val="none" w:sz="0" w:space="0" w:color="auto"/>
            <w:bottom w:val="none" w:sz="0" w:space="0" w:color="auto"/>
            <w:right w:val="none" w:sz="0" w:space="0" w:color="auto"/>
          </w:divBdr>
          <w:divsChild>
            <w:div w:id="1179658972">
              <w:marLeft w:val="0"/>
              <w:marRight w:val="0"/>
              <w:marTop w:val="0"/>
              <w:marBottom w:val="0"/>
              <w:divBdr>
                <w:top w:val="none" w:sz="0" w:space="0" w:color="auto"/>
                <w:left w:val="none" w:sz="0" w:space="0" w:color="auto"/>
                <w:bottom w:val="none" w:sz="0" w:space="0" w:color="auto"/>
                <w:right w:val="none" w:sz="0" w:space="0" w:color="auto"/>
              </w:divBdr>
              <w:divsChild>
                <w:div w:id="188379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096110">
      <w:bodyDiv w:val="1"/>
      <w:marLeft w:val="0"/>
      <w:marRight w:val="0"/>
      <w:marTop w:val="0"/>
      <w:marBottom w:val="0"/>
      <w:divBdr>
        <w:top w:val="none" w:sz="0" w:space="0" w:color="auto"/>
        <w:left w:val="none" w:sz="0" w:space="0" w:color="auto"/>
        <w:bottom w:val="none" w:sz="0" w:space="0" w:color="auto"/>
        <w:right w:val="none" w:sz="0" w:space="0" w:color="auto"/>
      </w:divBdr>
      <w:divsChild>
        <w:div w:id="1084884433">
          <w:marLeft w:val="0"/>
          <w:marRight w:val="0"/>
          <w:marTop w:val="0"/>
          <w:marBottom w:val="0"/>
          <w:divBdr>
            <w:top w:val="none" w:sz="0" w:space="0" w:color="auto"/>
            <w:left w:val="none" w:sz="0" w:space="0" w:color="auto"/>
            <w:bottom w:val="none" w:sz="0" w:space="0" w:color="auto"/>
            <w:right w:val="none" w:sz="0" w:space="0" w:color="auto"/>
          </w:divBdr>
          <w:divsChild>
            <w:div w:id="1504473725">
              <w:marLeft w:val="0"/>
              <w:marRight w:val="0"/>
              <w:marTop w:val="0"/>
              <w:marBottom w:val="0"/>
              <w:divBdr>
                <w:top w:val="none" w:sz="0" w:space="0" w:color="auto"/>
                <w:left w:val="none" w:sz="0" w:space="0" w:color="auto"/>
                <w:bottom w:val="none" w:sz="0" w:space="0" w:color="auto"/>
                <w:right w:val="none" w:sz="0" w:space="0" w:color="auto"/>
              </w:divBdr>
              <w:divsChild>
                <w:div w:id="1710836677">
                  <w:marLeft w:val="0"/>
                  <w:marRight w:val="0"/>
                  <w:marTop w:val="0"/>
                  <w:marBottom w:val="0"/>
                  <w:divBdr>
                    <w:top w:val="none" w:sz="0" w:space="0" w:color="auto"/>
                    <w:left w:val="none" w:sz="0" w:space="0" w:color="auto"/>
                    <w:bottom w:val="none" w:sz="0" w:space="0" w:color="auto"/>
                    <w:right w:val="none" w:sz="0" w:space="0" w:color="auto"/>
                  </w:divBdr>
                  <w:divsChild>
                    <w:div w:id="19015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603214">
      <w:bodyDiv w:val="1"/>
      <w:marLeft w:val="0"/>
      <w:marRight w:val="0"/>
      <w:marTop w:val="0"/>
      <w:marBottom w:val="0"/>
      <w:divBdr>
        <w:top w:val="none" w:sz="0" w:space="0" w:color="auto"/>
        <w:left w:val="none" w:sz="0" w:space="0" w:color="auto"/>
        <w:bottom w:val="none" w:sz="0" w:space="0" w:color="auto"/>
        <w:right w:val="none" w:sz="0" w:space="0" w:color="auto"/>
      </w:divBdr>
    </w:div>
    <w:div w:id="833255876">
      <w:bodyDiv w:val="1"/>
      <w:marLeft w:val="0"/>
      <w:marRight w:val="0"/>
      <w:marTop w:val="0"/>
      <w:marBottom w:val="0"/>
      <w:divBdr>
        <w:top w:val="none" w:sz="0" w:space="0" w:color="auto"/>
        <w:left w:val="none" w:sz="0" w:space="0" w:color="auto"/>
        <w:bottom w:val="none" w:sz="0" w:space="0" w:color="auto"/>
        <w:right w:val="none" w:sz="0" w:space="0" w:color="auto"/>
      </w:divBdr>
      <w:divsChild>
        <w:div w:id="755126976">
          <w:marLeft w:val="0"/>
          <w:marRight w:val="0"/>
          <w:marTop w:val="0"/>
          <w:marBottom w:val="0"/>
          <w:divBdr>
            <w:top w:val="none" w:sz="0" w:space="0" w:color="auto"/>
            <w:left w:val="none" w:sz="0" w:space="0" w:color="auto"/>
            <w:bottom w:val="none" w:sz="0" w:space="0" w:color="auto"/>
            <w:right w:val="none" w:sz="0" w:space="0" w:color="auto"/>
          </w:divBdr>
          <w:divsChild>
            <w:div w:id="1904489540">
              <w:marLeft w:val="0"/>
              <w:marRight w:val="0"/>
              <w:marTop w:val="0"/>
              <w:marBottom w:val="0"/>
              <w:divBdr>
                <w:top w:val="none" w:sz="0" w:space="0" w:color="auto"/>
                <w:left w:val="none" w:sz="0" w:space="0" w:color="auto"/>
                <w:bottom w:val="none" w:sz="0" w:space="0" w:color="auto"/>
                <w:right w:val="none" w:sz="0" w:space="0" w:color="auto"/>
              </w:divBdr>
              <w:divsChild>
                <w:div w:id="56449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469093">
      <w:bodyDiv w:val="1"/>
      <w:marLeft w:val="0"/>
      <w:marRight w:val="0"/>
      <w:marTop w:val="0"/>
      <w:marBottom w:val="0"/>
      <w:divBdr>
        <w:top w:val="none" w:sz="0" w:space="0" w:color="auto"/>
        <w:left w:val="none" w:sz="0" w:space="0" w:color="auto"/>
        <w:bottom w:val="none" w:sz="0" w:space="0" w:color="auto"/>
        <w:right w:val="none" w:sz="0" w:space="0" w:color="auto"/>
      </w:divBdr>
      <w:divsChild>
        <w:div w:id="1096973859">
          <w:marLeft w:val="0"/>
          <w:marRight w:val="0"/>
          <w:marTop w:val="0"/>
          <w:marBottom w:val="0"/>
          <w:divBdr>
            <w:top w:val="none" w:sz="0" w:space="0" w:color="auto"/>
            <w:left w:val="none" w:sz="0" w:space="0" w:color="auto"/>
            <w:bottom w:val="none" w:sz="0" w:space="0" w:color="auto"/>
            <w:right w:val="none" w:sz="0" w:space="0" w:color="auto"/>
          </w:divBdr>
          <w:divsChild>
            <w:div w:id="1754744331">
              <w:marLeft w:val="0"/>
              <w:marRight w:val="0"/>
              <w:marTop w:val="0"/>
              <w:marBottom w:val="0"/>
              <w:divBdr>
                <w:top w:val="none" w:sz="0" w:space="0" w:color="auto"/>
                <w:left w:val="none" w:sz="0" w:space="0" w:color="auto"/>
                <w:bottom w:val="none" w:sz="0" w:space="0" w:color="auto"/>
                <w:right w:val="none" w:sz="0" w:space="0" w:color="auto"/>
              </w:divBdr>
              <w:divsChild>
                <w:div w:id="8954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209838">
      <w:bodyDiv w:val="1"/>
      <w:marLeft w:val="0"/>
      <w:marRight w:val="0"/>
      <w:marTop w:val="0"/>
      <w:marBottom w:val="0"/>
      <w:divBdr>
        <w:top w:val="none" w:sz="0" w:space="0" w:color="auto"/>
        <w:left w:val="none" w:sz="0" w:space="0" w:color="auto"/>
        <w:bottom w:val="none" w:sz="0" w:space="0" w:color="auto"/>
        <w:right w:val="none" w:sz="0" w:space="0" w:color="auto"/>
      </w:divBdr>
      <w:divsChild>
        <w:div w:id="1727876873">
          <w:marLeft w:val="0"/>
          <w:marRight w:val="0"/>
          <w:marTop w:val="0"/>
          <w:marBottom w:val="0"/>
          <w:divBdr>
            <w:top w:val="none" w:sz="0" w:space="0" w:color="auto"/>
            <w:left w:val="none" w:sz="0" w:space="0" w:color="auto"/>
            <w:bottom w:val="none" w:sz="0" w:space="0" w:color="auto"/>
            <w:right w:val="none" w:sz="0" w:space="0" w:color="auto"/>
          </w:divBdr>
          <w:divsChild>
            <w:div w:id="577248441">
              <w:marLeft w:val="0"/>
              <w:marRight w:val="0"/>
              <w:marTop w:val="0"/>
              <w:marBottom w:val="0"/>
              <w:divBdr>
                <w:top w:val="none" w:sz="0" w:space="0" w:color="auto"/>
                <w:left w:val="none" w:sz="0" w:space="0" w:color="auto"/>
                <w:bottom w:val="none" w:sz="0" w:space="0" w:color="auto"/>
                <w:right w:val="none" w:sz="0" w:space="0" w:color="auto"/>
              </w:divBdr>
              <w:divsChild>
                <w:div w:id="188902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915491">
      <w:bodyDiv w:val="1"/>
      <w:marLeft w:val="0"/>
      <w:marRight w:val="0"/>
      <w:marTop w:val="0"/>
      <w:marBottom w:val="0"/>
      <w:divBdr>
        <w:top w:val="none" w:sz="0" w:space="0" w:color="auto"/>
        <w:left w:val="none" w:sz="0" w:space="0" w:color="auto"/>
        <w:bottom w:val="none" w:sz="0" w:space="0" w:color="auto"/>
        <w:right w:val="none" w:sz="0" w:space="0" w:color="auto"/>
      </w:divBdr>
      <w:divsChild>
        <w:div w:id="183442522">
          <w:marLeft w:val="0"/>
          <w:marRight w:val="0"/>
          <w:marTop w:val="0"/>
          <w:marBottom w:val="0"/>
          <w:divBdr>
            <w:top w:val="none" w:sz="0" w:space="0" w:color="auto"/>
            <w:left w:val="none" w:sz="0" w:space="0" w:color="auto"/>
            <w:bottom w:val="none" w:sz="0" w:space="0" w:color="auto"/>
            <w:right w:val="none" w:sz="0" w:space="0" w:color="auto"/>
          </w:divBdr>
          <w:divsChild>
            <w:div w:id="450783463">
              <w:marLeft w:val="0"/>
              <w:marRight w:val="0"/>
              <w:marTop w:val="0"/>
              <w:marBottom w:val="0"/>
              <w:divBdr>
                <w:top w:val="none" w:sz="0" w:space="0" w:color="auto"/>
                <w:left w:val="none" w:sz="0" w:space="0" w:color="auto"/>
                <w:bottom w:val="none" w:sz="0" w:space="0" w:color="auto"/>
                <w:right w:val="none" w:sz="0" w:space="0" w:color="auto"/>
              </w:divBdr>
              <w:divsChild>
                <w:div w:id="59894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555058">
      <w:bodyDiv w:val="1"/>
      <w:marLeft w:val="0"/>
      <w:marRight w:val="0"/>
      <w:marTop w:val="0"/>
      <w:marBottom w:val="0"/>
      <w:divBdr>
        <w:top w:val="none" w:sz="0" w:space="0" w:color="auto"/>
        <w:left w:val="none" w:sz="0" w:space="0" w:color="auto"/>
        <w:bottom w:val="none" w:sz="0" w:space="0" w:color="auto"/>
        <w:right w:val="none" w:sz="0" w:space="0" w:color="auto"/>
      </w:divBdr>
      <w:divsChild>
        <w:div w:id="1681542304">
          <w:marLeft w:val="0"/>
          <w:marRight w:val="0"/>
          <w:marTop w:val="0"/>
          <w:marBottom w:val="0"/>
          <w:divBdr>
            <w:top w:val="none" w:sz="0" w:space="0" w:color="auto"/>
            <w:left w:val="none" w:sz="0" w:space="0" w:color="auto"/>
            <w:bottom w:val="none" w:sz="0" w:space="0" w:color="auto"/>
            <w:right w:val="none" w:sz="0" w:space="0" w:color="auto"/>
          </w:divBdr>
          <w:divsChild>
            <w:div w:id="489374734">
              <w:marLeft w:val="0"/>
              <w:marRight w:val="0"/>
              <w:marTop w:val="0"/>
              <w:marBottom w:val="0"/>
              <w:divBdr>
                <w:top w:val="none" w:sz="0" w:space="0" w:color="auto"/>
                <w:left w:val="none" w:sz="0" w:space="0" w:color="auto"/>
                <w:bottom w:val="none" w:sz="0" w:space="0" w:color="auto"/>
                <w:right w:val="none" w:sz="0" w:space="0" w:color="auto"/>
              </w:divBdr>
              <w:divsChild>
                <w:div w:id="176422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768140">
      <w:bodyDiv w:val="1"/>
      <w:marLeft w:val="0"/>
      <w:marRight w:val="0"/>
      <w:marTop w:val="0"/>
      <w:marBottom w:val="0"/>
      <w:divBdr>
        <w:top w:val="none" w:sz="0" w:space="0" w:color="auto"/>
        <w:left w:val="none" w:sz="0" w:space="0" w:color="auto"/>
        <w:bottom w:val="none" w:sz="0" w:space="0" w:color="auto"/>
        <w:right w:val="none" w:sz="0" w:space="0" w:color="auto"/>
      </w:divBdr>
      <w:divsChild>
        <w:div w:id="890848416">
          <w:marLeft w:val="0"/>
          <w:marRight w:val="0"/>
          <w:marTop w:val="0"/>
          <w:marBottom w:val="0"/>
          <w:divBdr>
            <w:top w:val="none" w:sz="0" w:space="0" w:color="auto"/>
            <w:left w:val="none" w:sz="0" w:space="0" w:color="auto"/>
            <w:bottom w:val="none" w:sz="0" w:space="0" w:color="auto"/>
            <w:right w:val="none" w:sz="0" w:space="0" w:color="auto"/>
          </w:divBdr>
          <w:divsChild>
            <w:div w:id="1263994785">
              <w:marLeft w:val="0"/>
              <w:marRight w:val="0"/>
              <w:marTop w:val="0"/>
              <w:marBottom w:val="0"/>
              <w:divBdr>
                <w:top w:val="none" w:sz="0" w:space="0" w:color="auto"/>
                <w:left w:val="none" w:sz="0" w:space="0" w:color="auto"/>
                <w:bottom w:val="none" w:sz="0" w:space="0" w:color="auto"/>
                <w:right w:val="none" w:sz="0" w:space="0" w:color="auto"/>
              </w:divBdr>
              <w:divsChild>
                <w:div w:id="178395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851074">
      <w:bodyDiv w:val="1"/>
      <w:marLeft w:val="0"/>
      <w:marRight w:val="0"/>
      <w:marTop w:val="0"/>
      <w:marBottom w:val="0"/>
      <w:divBdr>
        <w:top w:val="none" w:sz="0" w:space="0" w:color="auto"/>
        <w:left w:val="none" w:sz="0" w:space="0" w:color="auto"/>
        <w:bottom w:val="none" w:sz="0" w:space="0" w:color="auto"/>
        <w:right w:val="none" w:sz="0" w:space="0" w:color="auto"/>
      </w:divBdr>
      <w:divsChild>
        <w:div w:id="292250876">
          <w:marLeft w:val="0"/>
          <w:marRight w:val="0"/>
          <w:marTop w:val="0"/>
          <w:marBottom w:val="0"/>
          <w:divBdr>
            <w:top w:val="none" w:sz="0" w:space="0" w:color="auto"/>
            <w:left w:val="none" w:sz="0" w:space="0" w:color="auto"/>
            <w:bottom w:val="none" w:sz="0" w:space="0" w:color="auto"/>
            <w:right w:val="none" w:sz="0" w:space="0" w:color="auto"/>
          </w:divBdr>
          <w:divsChild>
            <w:div w:id="407072309">
              <w:marLeft w:val="0"/>
              <w:marRight w:val="0"/>
              <w:marTop w:val="0"/>
              <w:marBottom w:val="0"/>
              <w:divBdr>
                <w:top w:val="none" w:sz="0" w:space="0" w:color="auto"/>
                <w:left w:val="none" w:sz="0" w:space="0" w:color="auto"/>
                <w:bottom w:val="none" w:sz="0" w:space="0" w:color="auto"/>
                <w:right w:val="none" w:sz="0" w:space="0" w:color="auto"/>
              </w:divBdr>
              <w:divsChild>
                <w:div w:id="126137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799292">
      <w:bodyDiv w:val="1"/>
      <w:marLeft w:val="0"/>
      <w:marRight w:val="0"/>
      <w:marTop w:val="0"/>
      <w:marBottom w:val="0"/>
      <w:divBdr>
        <w:top w:val="none" w:sz="0" w:space="0" w:color="auto"/>
        <w:left w:val="none" w:sz="0" w:space="0" w:color="auto"/>
        <w:bottom w:val="none" w:sz="0" w:space="0" w:color="auto"/>
        <w:right w:val="none" w:sz="0" w:space="0" w:color="auto"/>
      </w:divBdr>
    </w:div>
    <w:div w:id="1223449375">
      <w:bodyDiv w:val="1"/>
      <w:marLeft w:val="0"/>
      <w:marRight w:val="0"/>
      <w:marTop w:val="0"/>
      <w:marBottom w:val="0"/>
      <w:divBdr>
        <w:top w:val="none" w:sz="0" w:space="0" w:color="auto"/>
        <w:left w:val="none" w:sz="0" w:space="0" w:color="auto"/>
        <w:bottom w:val="none" w:sz="0" w:space="0" w:color="auto"/>
        <w:right w:val="none" w:sz="0" w:space="0" w:color="auto"/>
      </w:divBdr>
    </w:div>
    <w:div w:id="1251348639">
      <w:bodyDiv w:val="1"/>
      <w:marLeft w:val="0"/>
      <w:marRight w:val="0"/>
      <w:marTop w:val="0"/>
      <w:marBottom w:val="0"/>
      <w:divBdr>
        <w:top w:val="none" w:sz="0" w:space="0" w:color="auto"/>
        <w:left w:val="none" w:sz="0" w:space="0" w:color="auto"/>
        <w:bottom w:val="none" w:sz="0" w:space="0" w:color="auto"/>
        <w:right w:val="none" w:sz="0" w:space="0" w:color="auto"/>
      </w:divBdr>
      <w:divsChild>
        <w:div w:id="617638955">
          <w:marLeft w:val="0"/>
          <w:marRight w:val="0"/>
          <w:marTop w:val="0"/>
          <w:marBottom w:val="0"/>
          <w:divBdr>
            <w:top w:val="none" w:sz="0" w:space="0" w:color="auto"/>
            <w:left w:val="none" w:sz="0" w:space="0" w:color="auto"/>
            <w:bottom w:val="none" w:sz="0" w:space="0" w:color="auto"/>
            <w:right w:val="none" w:sz="0" w:space="0" w:color="auto"/>
          </w:divBdr>
          <w:divsChild>
            <w:div w:id="89854438">
              <w:marLeft w:val="0"/>
              <w:marRight w:val="0"/>
              <w:marTop w:val="0"/>
              <w:marBottom w:val="0"/>
              <w:divBdr>
                <w:top w:val="none" w:sz="0" w:space="0" w:color="auto"/>
                <w:left w:val="none" w:sz="0" w:space="0" w:color="auto"/>
                <w:bottom w:val="none" w:sz="0" w:space="0" w:color="auto"/>
                <w:right w:val="none" w:sz="0" w:space="0" w:color="auto"/>
              </w:divBdr>
              <w:divsChild>
                <w:div w:id="127744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463669">
      <w:bodyDiv w:val="1"/>
      <w:marLeft w:val="0"/>
      <w:marRight w:val="0"/>
      <w:marTop w:val="0"/>
      <w:marBottom w:val="0"/>
      <w:divBdr>
        <w:top w:val="none" w:sz="0" w:space="0" w:color="auto"/>
        <w:left w:val="none" w:sz="0" w:space="0" w:color="auto"/>
        <w:bottom w:val="none" w:sz="0" w:space="0" w:color="auto"/>
        <w:right w:val="none" w:sz="0" w:space="0" w:color="auto"/>
      </w:divBdr>
      <w:divsChild>
        <w:div w:id="218636045">
          <w:marLeft w:val="0"/>
          <w:marRight w:val="0"/>
          <w:marTop w:val="0"/>
          <w:marBottom w:val="0"/>
          <w:divBdr>
            <w:top w:val="none" w:sz="0" w:space="0" w:color="auto"/>
            <w:left w:val="none" w:sz="0" w:space="0" w:color="auto"/>
            <w:bottom w:val="none" w:sz="0" w:space="0" w:color="auto"/>
            <w:right w:val="none" w:sz="0" w:space="0" w:color="auto"/>
          </w:divBdr>
          <w:divsChild>
            <w:div w:id="1720081541">
              <w:marLeft w:val="0"/>
              <w:marRight w:val="0"/>
              <w:marTop w:val="0"/>
              <w:marBottom w:val="0"/>
              <w:divBdr>
                <w:top w:val="none" w:sz="0" w:space="0" w:color="auto"/>
                <w:left w:val="none" w:sz="0" w:space="0" w:color="auto"/>
                <w:bottom w:val="none" w:sz="0" w:space="0" w:color="auto"/>
                <w:right w:val="none" w:sz="0" w:space="0" w:color="auto"/>
              </w:divBdr>
              <w:divsChild>
                <w:div w:id="120979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815582">
      <w:bodyDiv w:val="1"/>
      <w:marLeft w:val="0"/>
      <w:marRight w:val="0"/>
      <w:marTop w:val="0"/>
      <w:marBottom w:val="0"/>
      <w:divBdr>
        <w:top w:val="none" w:sz="0" w:space="0" w:color="auto"/>
        <w:left w:val="none" w:sz="0" w:space="0" w:color="auto"/>
        <w:bottom w:val="none" w:sz="0" w:space="0" w:color="auto"/>
        <w:right w:val="none" w:sz="0" w:space="0" w:color="auto"/>
      </w:divBdr>
    </w:div>
    <w:div w:id="1425343526">
      <w:bodyDiv w:val="1"/>
      <w:marLeft w:val="0"/>
      <w:marRight w:val="0"/>
      <w:marTop w:val="0"/>
      <w:marBottom w:val="0"/>
      <w:divBdr>
        <w:top w:val="none" w:sz="0" w:space="0" w:color="auto"/>
        <w:left w:val="none" w:sz="0" w:space="0" w:color="auto"/>
        <w:bottom w:val="none" w:sz="0" w:space="0" w:color="auto"/>
        <w:right w:val="none" w:sz="0" w:space="0" w:color="auto"/>
      </w:divBdr>
      <w:divsChild>
        <w:div w:id="20320566">
          <w:marLeft w:val="0"/>
          <w:marRight w:val="0"/>
          <w:marTop w:val="0"/>
          <w:marBottom w:val="0"/>
          <w:divBdr>
            <w:top w:val="none" w:sz="0" w:space="0" w:color="auto"/>
            <w:left w:val="none" w:sz="0" w:space="0" w:color="auto"/>
            <w:bottom w:val="none" w:sz="0" w:space="0" w:color="auto"/>
            <w:right w:val="none" w:sz="0" w:space="0" w:color="auto"/>
          </w:divBdr>
          <w:divsChild>
            <w:div w:id="1679624426">
              <w:marLeft w:val="0"/>
              <w:marRight w:val="0"/>
              <w:marTop w:val="0"/>
              <w:marBottom w:val="0"/>
              <w:divBdr>
                <w:top w:val="none" w:sz="0" w:space="0" w:color="auto"/>
                <w:left w:val="none" w:sz="0" w:space="0" w:color="auto"/>
                <w:bottom w:val="none" w:sz="0" w:space="0" w:color="auto"/>
                <w:right w:val="none" w:sz="0" w:space="0" w:color="auto"/>
              </w:divBdr>
              <w:divsChild>
                <w:div w:id="86725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28375">
      <w:bodyDiv w:val="1"/>
      <w:marLeft w:val="0"/>
      <w:marRight w:val="0"/>
      <w:marTop w:val="0"/>
      <w:marBottom w:val="0"/>
      <w:divBdr>
        <w:top w:val="none" w:sz="0" w:space="0" w:color="auto"/>
        <w:left w:val="none" w:sz="0" w:space="0" w:color="auto"/>
        <w:bottom w:val="none" w:sz="0" w:space="0" w:color="auto"/>
        <w:right w:val="none" w:sz="0" w:space="0" w:color="auto"/>
      </w:divBdr>
      <w:divsChild>
        <w:div w:id="552499571">
          <w:marLeft w:val="0"/>
          <w:marRight w:val="0"/>
          <w:marTop w:val="0"/>
          <w:marBottom w:val="0"/>
          <w:divBdr>
            <w:top w:val="none" w:sz="0" w:space="0" w:color="auto"/>
            <w:left w:val="none" w:sz="0" w:space="0" w:color="auto"/>
            <w:bottom w:val="none" w:sz="0" w:space="0" w:color="auto"/>
            <w:right w:val="none" w:sz="0" w:space="0" w:color="auto"/>
          </w:divBdr>
          <w:divsChild>
            <w:div w:id="1327317324">
              <w:marLeft w:val="0"/>
              <w:marRight w:val="0"/>
              <w:marTop w:val="0"/>
              <w:marBottom w:val="0"/>
              <w:divBdr>
                <w:top w:val="none" w:sz="0" w:space="0" w:color="auto"/>
                <w:left w:val="none" w:sz="0" w:space="0" w:color="auto"/>
                <w:bottom w:val="none" w:sz="0" w:space="0" w:color="auto"/>
                <w:right w:val="none" w:sz="0" w:space="0" w:color="auto"/>
              </w:divBdr>
              <w:divsChild>
                <w:div w:id="100751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314892">
      <w:bodyDiv w:val="1"/>
      <w:marLeft w:val="0"/>
      <w:marRight w:val="0"/>
      <w:marTop w:val="0"/>
      <w:marBottom w:val="0"/>
      <w:divBdr>
        <w:top w:val="none" w:sz="0" w:space="0" w:color="auto"/>
        <w:left w:val="none" w:sz="0" w:space="0" w:color="auto"/>
        <w:bottom w:val="none" w:sz="0" w:space="0" w:color="auto"/>
        <w:right w:val="none" w:sz="0" w:space="0" w:color="auto"/>
      </w:divBdr>
      <w:divsChild>
        <w:div w:id="355353630">
          <w:marLeft w:val="0"/>
          <w:marRight w:val="0"/>
          <w:marTop w:val="0"/>
          <w:marBottom w:val="0"/>
          <w:divBdr>
            <w:top w:val="none" w:sz="0" w:space="0" w:color="auto"/>
            <w:left w:val="none" w:sz="0" w:space="0" w:color="auto"/>
            <w:bottom w:val="none" w:sz="0" w:space="0" w:color="auto"/>
            <w:right w:val="none" w:sz="0" w:space="0" w:color="auto"/>
          </w:divBdr>
          <w:divsChild>
            <w:div w:id="836306148">
              <w:marLeft w:val="0"/>
              <w:marRight w:val="0"/>
              <w:marTop w:val="0"/>
              <w:marBottom w:val="0"/>
              <w:divBdr>
                <w:top w:val="none" w:sz="0" w:space="0" w:color="auto"/>
                <w:left w:val="none" w:sz="0" w:space="0" w:color="auto"/>
                <w:bottom w:val="none" w:sz="0" w:space="0" w:color="auto"/>
                <w:right w:val="none" w:sz="0" w:space="0" w:color="auto"/>
              </w:divBdr>
              <w:divsChild>
                <w:div w:id="93574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974738">
      <w:bodyDiv w:val="1"/>
      <w:marLeft w:val="0"/>
      <w:marRight w:val="0"/>
      <w:marTop w:val="0"/>
      <w:marBottom w:val="0"/>
      <w:divBdr>
        <w:top w:val="none" w:sz="0" w:space="0" w:color="auto"/>
        <w:left w:val="none" w:sz="0" w:space="0" w:color="auto"/>
        <w:bottom w:val="none" w:sz="0" w:space="0" w:color="auto"/>
        <w:right w:val="none" w:sz="0" w:space="0" w:color="auto"/>
      </w:divBdr>
    </w:div>
    <w:div w:id="1707827745">
      <w:bodyDiv w:val="1"/>
      <w:marLeft w:val="0"/>
      <w:marRight w:val="0"/>
      <w:marTop w:val="0"/>
      <w:marBottom w:val="0"/>
      <w:divBdr>
        <w:top w:val="none" w:sz="0" w:space="0" w:color="auto"/>
        <w:left w:val="none" w:sz="0" w:space="0" w:color="auto"/>
        <w:bottom w:val="none" w:sz="0" w:space="0" w:color="auto"/>
        <w:right w:val="none" w:sz="0" w:space="0" w:color="auto"/>
      </w:divBdr>
    </w:div>
    <w:div w:id="1771118601">
      <w:bodyDiv w:val="1"/>
      <w:marLeft w:val="0"/>
      <w:marRight w:val="0"/>
      <w:marTop w:val="0"/>
      <w:marBottom w:val="0"/>
      <w:divBdr>
        <w:top w:val="none" w:sz="0" w:space="0" w:color="auto"/>
        <w:left w:val="none" w:sz="0" w:space="0" w:color="auto"/>
        <w:bottom w:val="none" w:sz="0" w:space="0" w:color="auto"/>
        <w:right w:val="none" w:sz="0" w:space="0" w:color="auto"/>
      </w:divBdr>
      <w:divsChild>
        <w:div w:id="1582906008">
          <w:marLeft w:val="0"/>
          <w:marRight w:val="0"/>
          <w:marTop w:val="0"/>
          <w:marBottom w:val="0"/>
          <w:divBdr>
            <w:top w:val="none" w:sz="0" w:space="0" w:color="auto"/>
            <w:left w:val="none" w:sz="0" w:space="0" w:color="auto"/>
            <w:bottom w:val="none" w:sz="0" w:space="0" w:color="auto"/>
            <w:right w:val="none" w:sz="0" w:space="0" w:color="auto"/>
          </w:divBdr>
          <w:divsChild>
            <w:div w:id="590047572">
              <w:marLeft w:val="0"/>
              <w:marRight w:val="0"/>
              <w:marTop w:val="0"/>
              <w:marBottom w:val="0"/>
              <w:divBdr>
                <w:top w:val="none" w:sz="0" w:space="0" w:color="auto"/>
                <w:left w:val="none" w:sz="0" w:space="0" w:color="auto"/>
                <w:bottom w:val="none" w:sz="0" w:space="0" w:color="auto"/>
                <w:right w:val="none" w:sz="0" w:space="0" w:color="auto"/>
              </w:divBdr>
              <w:divsChild>
                <w:div w:id="4641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245351">
      <w:bodyDiv w:val="1"/>
      <w:marLeft w:val="0"/>
      <w:marRight w:val="0"/>
      <w:marTop w:val="0"/>
      <w:marBottom w:val="0"/>
      <w:divBdr>
        <w:top w:val="none" w:sz="0" w:space="0" w:color="auto"/>
        <w:left w:val="none" w:sz="0" w:space="0" w:color="auto"/>
        <w:bottom w:val="none" w:sz="0" w:space="0" w:color="auto"/>
        <w:right w:val="none" w:sz="0" w:space="0" w:color="auto"/>
      </w:divBdr>
    </w:div>
    <w:div w:id="1876891681">
      <w:bodyDiv w:val="1"/>
      <w:marLeft w:val="0"/>
      <w:marRight w:val="0"/>
      <w:marTop w:val="0"/>
      <w:marBottom w:val="0"/>
      <w:divBdr>
        <w:top w:val="none" w:sz="0" w:space="0" w:color="auto"/>
        <w:left w:val="none" w:sz="0" w:space="0" w:color="auto"/>
        <w:bottom w:val="none" w:sz="0" w:space="0" w:color="auto"/>
        <w:right w:val="none" w:sz="0" w:space="0" w:color="auto"/>
      </w:divBdr>
    </w:div>
    <w:div w:id="1940789644">
      <w:bodyDiv w:val="1"/>
      <w:marLeft w:val="0"/>
      <w:marRight w:val="0"/>
      <w:marTop w:val="0"/>
      <w:marBottom w:val="0"/>
      <w:divBdr>
        <w:top w:val="none" w:sz="0" w:space="0" w:color="auto"/>
        <w:left w:val="none" w:sz="0" w:space="0" w:color="auto"/>
        <w:bottom w:val="none" w:sz="0" w:space="0" w:color="auto"/>
        <w:right w:val="none" w:sz="0" w:space="0" w:color="auto"/>
      </w:divBdr>
      <w:divsChild>
        <w:div w:id="462046409">
          <w:marLeft w:val="0"/>
          <w:marRight w:val="0"/>
          <w:marTop w:val="0"/>
          <w:marBottom w:val="0"/>
          <w:divBdr>
            <w:top w:val="none" w:sz="0" w:space="0" w:color="auto"/>
            <w:left w:val="none" w:sz="0" w:space="0" w:color="auto"/>
            <w:bottom w:val="none" w:sz="0" w:space="0" w:color="auto"/>
            <w:right w:val="none" w:sz="0" w:space="0" w:color="auto"/>
          </w:divBdr>
          <w:divsChild>
            <w:div w:id="783232130">
              <w:marLeft w:val="0"/>
              <w:marRight w:val="0"/>
              <w:marTop w:val="0"/>
              <w:marBottom w:val="0"/>
              <w:divBdr>
                <w:top w:val="none" w:sz="0" w:space="0" w:color="auto"/>
                <w:left w:val="none" w:sz="0" w:space="0" w:color="auto"/>
                <w:bottom w:val="none" w:sz="0" w:space="0" w:color="auto"/>
                <w:right w:val="none" w:sz="0" w:space="0" w:color="auto"/>
              </w:divBdr>
              <w:divsChild>
                <w:div w:id="23948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716446">
      <w:bodyDiv w:val="1"/>
      <w:marLeft w:val="0"/>
      <w:marRight w:val="0"/>
      <w:marTop w:val="0"/>
      <w:marBottom w:val="0"/>
      <w:divBdr>
        <w:top w:val="none" w:sz="0" w:space="0" w:color="auto"/>
        <w:left w:val="none" w:sz="0" w:space="0" w:color="auto"/>
        <w:bottom w:val="none" w:sz="0" w:space="0" w:color="auto"/>
        <w:right w:val="none" w:sz="0" w:space="0" w:color="auto"/>
      </w:divBdr>
    </w:div>
    <w:div w:id="1994916685">
      <w:bodyDiv w:val="1"/>
      <w:marLeft w:val="0"/>
      <w:marRight w:val="0"/>
      <w:marTop w:val="0"/>
      <w:marBottom w:val="0"/>
      <w:divBdr>
        <w:top w:val="none" w:sz="0" w:space="0" w:color="auto"/>
        <w:left w:val="none" w:sz="0" w:space="0" w:color="auto"/>
        <w:bottom w:val="none" w:sz="0" w:space="0" w:color="auto"/>
        <w:right w:val="none" w:sz="0" w:space="0" w:color="auto"/>
      </w:divBdr>
    </w:div>
    <w:div w:id="2139569547">
      <w:bodyDiv w:val="1"/>
      <w:marLeft w:val="0"/>
      <w:marRight w:val="0"/>
      <w:marTop w:val="0"/>
      <w:marBottom w:val="0"/>
      <w:divBdr>
        <w:top w:val="none" w:sz="0" w:space="0" w:color="auto"/>
        <w:left w:val="none" w:sz="0" w:space="0" w:color="auto"/>
        <w:bottom w:val="none" w:sz="0" w:space="0" w:color="auto"/>
        <w:right w:val="none" w:sz="0" w:space="0" w:color="auto"/>
      </w:divBdr>
      <w:divsChild>
        <w:div w:id="907768263">
          <w:marLeft w:val="0"/>
          <w:marRight w:val="0"/>
          <w:marTop w:val="0"/>
          <w:marBottom w:val="0"/>
          <w:divBdr>
            <w:top w:val="none" w:sz="0" w:space="0" w:color="auto"/>
            <w:left w:val="none" w:sz="0" w:space="0" w:color="auto"/>
            <w:bottom w:val="none" w:sz="0" w:space="0" w:color="auto"/>
            <w:right w:val="none" w:sz="0" w:space="0" w:color="auto"/>
          </w:divBdr>
          <w:divsChild>
            <w:div w:id="105538792">
              <w:marLeft w:val="0"/>
              <w:marRight w:val="0"/>
              <w:marTop w:val="0"/>
              <w:marBottom w:val="0"/>
              <w:divBdr>
                <w:top w:val="none" w:sz="0" w:space="0" w:color="auto"/>
                <w:left w:val="none" w:sz="0" w:space="0" w:color="auto"/>
                <w:bottom w:val="none" w:sz="0" w:space="0" w:color="auto"/>
                <w:right w:val="none" w:sz="0" w:space="0" w:color="auto"/>
              </w:divBdr>
              <w:divsChild>
                <w:div w:id="157662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www.csus.edu/indiv/r/rileymt/vettius%20valens%20entire.pdf" TargetMode="External"/><Relationship Id="rId26" Type="http://schemas.openxmlformats.org/officeDocument/2006/relationships/hyperlink" Target="http://www.projecthindsight.com" TargetMode="External"/><Relationship Id="rId3" Type="http://schemas.openxmlformats.org/officeDocument/2006/relationships/styles" Target="styles.xml"/><Relationship Id="rId21" Type="http://schemas.openxmlformats.org/officeDocument/2006/relationships/hyperlink" Target="https://www.facebook.com/houlding1/posts/10157451152796360" TargetMode="Externa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www.facebook.com/xxxxxxx" TargetMode="External"/><Relationship Id="rId25" Type="http://schemas.openxmlformats.org/officeDocument/2006/relationships/hyperlink" Target="http://www.projecthindsight.com/geninfo/ph_retro.html" TargetMode="External"/><Relationship Id="rId2" Type="http://schemas.openxmlformats.org/officeDocument/2006/relationships/numbering" Target="numbering.xml"/><Relationship Id="rId16" Type="http://schemas.openxmlformats.org/officeDocument/2006/relationships/hyperlink" Target="https://www.facebook.com/xxxxxxx" TargetMode="External"/><Relationship Id="rId20" Type="http://schemas.openxmlformats.org/officeDocument/2006/relationships/hyperlink" Target="https://theafi.files.wordpress.com/2011/01/nick-campion_the-traditional-revival1.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hyperlink" Target="http://www.projecthindsight.com/geninfo/about.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tro.com/astrology/in_art_e.htm" TargetMode="External"/><Relationship Id="rId23" Type="http://schemas.openxmlformats.org/officeDocument/2006/relationships/hyperlink" Target="http://www.projecthindsight.com/geninfo/about.html" TargetMode="External"/><Relationship Id="rId28" Type="http://schemas.openxmlformats.org/officeDocument/2006/relationships/hyperlink" Target="https://theastrologypodcast.com/2015/11/21/whole-sign-houses-the-best-system/" TargetMode="External"/><Relationship Id="rId10" Type="http://schemas.openxmlformats.org/officeDocument/2006/relationships/image" Target="media/image2.emf"/><Relationship Id="rId19" Type="http://schemas.openxmlformats.org/officeDocument/2006/relationships/hyperlink" Target="https://academic.martingansten.com/abou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Users/kiernanp/Documents/University/MA%20Cultural%20Astronomy%20Astrology/Dissertation/Dissertation.docx" TargetMode="External"/><Relationship Id="rId14" Type="http://schemas.openxmlformats.org/officeDocument/2006/relationships/hyperlink" Target="https://www.facebook.com/xxxxxxx" TargetMode="External"/><Relationship Id="rId22" Type="http://schemas.openxmlformats.org/officeDocument/2006/relationships/hyperlink" Target="https://www.scribd.com/doc/6495552/An-Astrological-House-Formulary" TargetMode="External"/><Relationship Id="rId27" Type="http://schemas.openxmlformats.org/officeDocument/2006/relationships/hyperlink" Target="https://theastrologypodcast.com/2015/11/26/debate-about-ancient-house-division/" TargetMode="External"/><Relationship Id="rId30"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theastrologypodcast.com/2015/11/26/debate-about-ancient-house-division/" TargetMode="External"/><Relationship Id="rId13" Type="http://schemas.openxmlformats.org/officeDocument/2006/relationships/hyperlink" Target="https://www.facebook.com/xxxxxxx" TargetMode="External"/><Relationship Id="rId3" Type="http://schemas.openxmlformats.org/officeDocument/2006/relationships/hyperlink" Target="http://www.projecthindsight.com/geninfo/about.html" TargetMode="External"/><Relationship Id="rId7" Type="http://schemas.openxmlformats.org/officeDocument/2006/relationships/hyperlink" Target="https://theastrologypodcast.com/2015/11/21/whole-sign-houses-the-best-system/" TargetMode="External"/><Relationship Id="rId12" Type="http://schemas.openxmlformats.org/officeDocument/2006/relationships/hyperlink" Target="https://www.facebook.com/houlding1/posts/10157451152796360" TargetMode="External"/><Relationship Id="rId2" Type="http://schemas.openxmlformats.org/officeDocument/2006/relationships/hyperlink" Target="https://www.scribd.com/doc/6495552/An-Astrological-House-Formulary" TargetMode="External"/><Relationship Id="rId1" Type="http://schemas.openxmlformats.org/officeDocument/2006/relationships/hyperlink" Target="http://aoir.org/reports/ethics2.pdf" TargetMode="External"/><Relationship Id="rId6" Type="http://schemas.openxmlformats.org/officeDocument/2006/relationships/hyperlink" Target="https://theafi.files.wordpress.com/2011/01/nick-campion_the-traditional-revival1.pdf" TargetMode="External"/><Relationship Id="rId11" Type="http://schemas.openxmlformats.org/officeDocument/2006/relationships/hyperlink" Target="https://www.facebook.com/xxxxxxx" TargetMode="External"/><Relationship Id="rId5" Type="http://schemas.openxmlformats.org/officeDocument/2006/relationships/hyperlink" Target="http://www.projecthindsight.com" TargetMode="External"/><Relationship Id="rId10" Type="http://schemas.openxmlformats.org/officeDocument/2006/relationships/hyperlink" Target="https://www.facebook.com/xxxxxxx" TargetMode="External"/><Relationship Id="rId4" Type="http://schemas.openxmlformats.org/officeDocument/2006/relationships/hyperlink" Target="http://www.projecthindsight.com/geninfo/about.html" TargetMode="External"/><Relationship Id="rId9" Type="http://schemas.openxmlformats.org/officeDocument/2006/relationships/hyperlink" Target="https://academic.martingansten.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2410D8F7-EF3F-2040-933E-0397B28CA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7329</TotalTime>
  <Pages>69</Pages>
  <Words>18743</Words>
  <Characters>106841</Characters>
  <Application>Microsoft Office Word</Application>
  <DocSecurity>0</DocSecurity>
  <Lines>890</Lines>
  <Paragraphs>250</Paragraphs>
  <ScaleCrop>false</ScaleCrop>
  <HeadingPairs>
    <vt:vector size="4" baseType="variant">
      <vt:variant>
        <vt:lpstr>Title</vt:lpstr>
      </vt:variant>
      <vt:variant>
        <vt:i4>1</vt:i4>
      </vt:variant>
      <vt:variant>
        <vt:lpstr>Headings</vt:lpstr>
      </vt:variant>
      <vt:variant>
        <vt:i4>76</vt:i4>
      </vt:variant>
    </vt:vector>
  </HeadingPairs>
  <TitlesOfParts>
    <vt:vector size="77" baseType="lpstr">
      <vt:lpstr/>
      <vt:lpstr>Table of Figures</vt:lpstr>
      <vt:lpstr/>
      <vt:lpstr>Table of Abbreviations</vt:lpstr>
      <vt:lpstr>Acknowledgements</vt:lpstr>
      <vt:lpstr>Abstract</vt:lpstr>
      <vt:lpstr>Chapter 1: Introduction</vt:lpstr>
      <vt:lpstr>Chapter 2: Methodology and Ethics</vt:lpstr>
      <vt:lpstr>    2.1: Reflexivity</vt:lpstr>
      <vt:lpstr>    2.2: Translation Issues</vt:lpstr>
      <vt:lpstr>Chapter 3: Astrology </vt:lpstr>
      <vt:lpstr>    3.1: What is Astrology</vt:lpstr>
      <vt:lpstr>    3.2: Astronomical Considerations</vt:lpstr>
      <vt:lpstr>    3.3: Defining ‘Horoscope’</vt:lpstr>
      <vt:lpstr>    3.4: The Four Angles</vt:lpstr>
      <vt:lpstr>    3.5: House Systems</vt:lpstr>
      <vt:lpstr>        3.5.1: Whole Sign Houses</vt:lpstr>
      <vt:lpstr>        3.5.2: Equal Houses</vt:lpstr>
      <vt:lpstr>        3.5.3: Porphyry Houses</vt:lpstr>
      <vt:lpstr>        3.5.4: Campanus Houses</vt:lpstr>
      <vt:lpstr>Chapter 4: Literary Review</vt:lpstr>
      <vt:lpstr>    4.1: Historiography</vt:lpstr>
      <vt:lpstr>        4.1.1: Modernism and Postmodernism</vt:lpstr>
      <vt:lpstr>        4.1.2: Invention vs Evolution</vt:lpstr>
      <vt:lpstr>        4.1.3: Interpreting Surviving Texts</vt:lpstr>
      <vt:lpstr>        4.1.4: Invented Tradition</vt:lpstr>
      <vt:lpstr>    4.2: (Re)Discovering Whole Sign Houses</vt:lpstr>
      <vt:lpstr>        4.2.1: A Forgotten System</vt:lpstr>
      <vt:lpstr>        4.2.2: In Academia</vt:lpstr>
      <vt:lpstr>        4.2.3: Rediscovery</vt:lpstr>
      <vt:lpstr>        4.2.4: Topics and Strength</vt:lpstr>
      <vt:lpstr>        4.2.5: Recent Debate</vt:lpstr>
      <vt:lpstr>    4.3: House System Debate</vt:lpstr>
      <vt:lpstr>    4.4 Summation</vt:lpstr>
      <vt:lpstr>Chapter 5: Ancient Astrological Calculation</vt:lpstr>
      <vt:lpstr>    5.1: Ascensional Times</vt:lpstr>
      <vt:lpstr>    5.2: Calculation</vt:lpstr>
      <vt:lpstr>        5.2.1: Ascendant</vt:lpstr>
      <vt:lpstr>        5.2.2: Midheaven</vt:lpstr>
      <vt:lpstr>    5.3: House System Calculation</vt:lpstr>
      <vt:lpstr>Chapter 6: Loci in Greek Horoscopes</vt:lpstr>
      <vt:lpstr>    6.1: Survey</vt:lpstr>
      <vt:lpstr>    6.2: Referencing Houses</vt:lpstr>
      <vt:lpstr>        6.2.1: No. 95</vt:lpstr>
      <vt:lpstr>        6.2.2: No. 250.1</vt:lpstr>
      <vt:lpstr>    6.4: House System in Greek Horoscopes</vt:lpstr>
      <vt:lpstr>Chapter 7: Literary Sources</vt:lpstr>
      <vt:lpstr>    7.1: Marcus Manilius</vt:lpstr>
      <vt:lpstr>        7.1.1: Manilius and Angles/Cardines</vt:lpstr>
      <vt:lpstr>        7.1.2: Manilius and Quadrant Houses</vt:lpstr>
      <vt:lpstr>        7.1.3: Manilius, Signs and Houses</vt:lpstr>
      <vt:lpstr>        7.1.3: Manilius and ‘Zenith’</vt:lpstr>
      <vt:lpstr>        7.1.4: Manilius’s House System</vt:lpstr>
      <vt:lpstr>    7.2: Vettius Valens</vt:lpstr>
      <vt:lpstr>        7.2.1: Valens and Whole Sign Houses </vt:lpstr>
      <vt:lpstr>        7.2.2: Valens and Equal Houses</vt:lpstr>
      <vt:lpstr>        7.2.3: Valens and Quadrant Houses</vt:lpstr>
      <vt:lpstr>        7.2.4: Valens and Preferring Precision</vt:lpstr>
      <vt:lpstr>        7.2.5: Valens’s House System</vt:lpstr>
      <vt:lpstr>    7.3 Ptolemy</vt:lpstr>
      <vt:lpstr>    7.4 Firmicus Maternus</vt:lpstr>
      <vt:lpstr>    7.5 An excerpt from Olympiodorus</vt:lpstr>
      <vt:lpstr>    7.6 House Systems in Literary Sources </vt:lpstr>
      <vt:lpstr>Chapter 8: Contemporary Discussion</vt:lpstr>
      <vt:lpstr>    8.1: WSH on Twitter</vt:lpstr>
      <vt:lpstr>        8.1.1: WSH: A Recognised House System</vt:lpstr>
      <vt:lpstr>        8.1.2: WSH and Originality</vt:lpstr>
      <vt:lpstr>        8.1.3: Twitter Summation</vt:lpstr>
      <vt:lpstr>    8.2: WSH on Facebook</vt:lpstr>
      <vt:lpstr>        8.2.1: Tradition and Gatekeeping</vt:lpstr>
      <vt:lpstr>        8.2.2: Defining a House System</vt:lpstr>
      <vt:lpstr>        8.2.3: Facebook Summation</vt:lpstr>
      <vt:lpstr>    8.3 WSH and Social Media</vt:lpstr>
      <vt:lpstr>9: WSH: An Invented Tradition?</vt:lpstr>
      <vt:lpstr>    9.1: WSH, the Original House System?</vt:lpstr>
      <vt:lpstr>    9.2: WSH, the Preferred House System?</vt:lpstr>
      <vt:lpstr>    9.2: WSH: An Invented Tradition</vt:lpstr>
    </vt:vector>
  </TitlesOfParts>
  <Company/>
  <LinksUpToDate>false</LinksUpToDate>
  <CharactersWithSpaces>125334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xpaulk@outlook.com</dc:creator>
  <cp:keywords/>
  <dc:description/>
  <cp:lastModifiedBy>xpaulk@outlook.com</cp:lastModifiedBy>
  <cp:revision>2972</cp:revision>
  <dcterms:created xsi:type="dcterms:W3CDTF">2021-04-07T13:21:00Z</dcterms:created>
  <dcterms:modified xsi:type="dcterms:W3CDTF">2021-09-27T13:49:00Z</dcterms:modified>
</cp:coreProperties>
</file>