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56E6" w:rsidRDefault="000C581B" w:rsidP="000C581B">
      <w:pPr>
        <w:spacing w:line="360" w:lineRule="auto"/>
        <w:rPr>
          <w:rFonts w:ascii="Times New Roman" w:hAnsi="Times New Roman" w:cs="Times New Roman"/>
          <w:sz w:val="24"/>
          <w:szCs w:val="24"/>
        </w:rPr>
      </w:pPr>
      <w:r>
        <w:rPr>
          <w:rFonts w:ascii="Times New Roman" w:hAnsi="Times New Roman" w:cs="Times New Roman"/>
          <w:sz w:val="24"/>
          <w:szCs w:val="24"/>
        </w:rPr>
        <w:t xml:space="preserve">3. Discuss the ways in which charters were transmitted into cartularies. What problems might cartulary copies pose for the historian. You should give some examples. </w:t>
      </w:r>
    </w:p>
    <w:p w:rsidR="000C581B" w:rsidRPr="00353F0E" w:rsidRDefault="000C581B" w:rsidP="000C581B">
      <w:pPr>
        <w:spacing w:line="360" w:lineRule="auto"/>
        <w:ind w:left="2160" w:firstLine="720"/>
        <w:rPr>
          <w:rFonts w:ascii="Times New Roman" w:hAnsi="Times New Roman" w:cs="Times New Roman"/>
          <w:b/>
          <w:sz w:val="24"/>
          <w:szCs w:val="24"/>
        </w:rPr>
      </w:pPr>
      <w:r w:rsidRPr="00353F0E">
        <w:rPr>
          <w:rFonts w:ascii="Times New Roman" w:hAnsi="Times New Roman" w:cs="Times New Roman"/>
          <w:b/>
          <w:sz w:val="24"/>
          <w:szCs w:val="24"/>
        </w:rPr>
        <w:t>“Lost in Translation”</w:t>
      </w:r>
    </w:p>
    <w:p w:rsidR="005B0F0A" w:rsidRDefault="000C581B" w:rsidP="000C581B">
      <w:pPr>
        <w:spacing w:line="360" w:lineRule="auto"/>
        <w:rPr>
          <w:rFonts w:ascii="Times New Roman" w:hAnsi="Times New Roman" w:cs="Times New Roman"/>
          <w:sz w:val="24"/>
          <w:szCs w:val="24"/>
        </w:rPr>
      </w:pPr>
      <w:r>
        <w:rPr>
          <w:rFonts w:ascii="Times New Roman" w:hAnsi="Times New Roman" w:cs="Times New Roman"/>
          <w:sz w:val="24"/>
          <w:szCs w:val="24"/>
        </w:rPr>
        <w:t>The st</w:t>
      </w:r>
      <w:r w:rsidR="00E414F9">
        <w:rPr>
          <w:rFonts w:ascii="Times New Roman" w:hAnsi="Times New Roman" w:cs="Times New Roman"/>
          <w:sz w:val="24"/>
          <w:szCs w:val="24"/>
        </w:rPr>
        <w:t>ory of cartularies,</w:t>
      </w:r>
      <w:r>
        <w:rPr>
          <w:rFonts w:ascii="Times New Roman" w:hAnsi="Times New Roman" w:cs="Times New Roman"/>
          <w:sz w:val="24"/>
          <w:szCs w:val="24"/>
        </w:rPr>
        <w:t xml:space="preserve"> </w:t>
      </w:r>
      <w:r w:rsidR="00A274BF">
        <w:rPr>
          <w:rFonts w:ascii="Times New Roman" w:hAnsi="Times New Roman" w:cs="Times New Roman"/>
          <w:sz w:val="24"/>
          <w:szCs w:val="24"/>
        </w:rPr>
        <w:t>“</w:t>
      </w:r>
      <w:r w:rsidR="00010D11">
        <w:rPr>
          <w:rFonts w:ascii="Times New Roman" w:hAnsi="Times New Roman" w:cs="Times New Roman"/>
          <w:sz w:val="24"/>
          <w:szCs w:val="24"/>
        </w:rPr>
        <w:t>…</w:t>
      </w:r>
      <w:r>
        <w:rPr>
          <w:rFonts w:ascii="Times New Roman" w:hAnsi="Times New Roman" w:cs="Times New Roman"/>
          <w:sz w:val="24"/>
          <w:szCs w:val="24"/>
        </w:rPr>
        <w:t xml:space="preserve">a collection of title deeds copied into a register for greater security” </w:t>
      </w:r>
      <w:r>
        <w:rPr>
          <w:rStyle w:val="FootnoteReference"/>
          <w:rFonts w:ascii="Times New Roman" w:hAnsi="Times New Roman" w:cs="Times New Roman"/>
          <w:sz w:val="24"/>
          <w:szCs w:val="24"/>
        </w:rPr>
        <w:footnoteReference w:id="1"/>
      </w:r>
      <w:r w:rsidR="00E414F9">
        <w:rPr>
          <w:rFonts w:ascii="Times New Roman" w:hAnsi="Times New Roman" w:cs="Times New Roman"/>
          <w:sz w:val="24"/>
          <w:szCs w:val="24"/>
        </w:rPr>
        <w:t xml:space="preserve"> or “a stitching together of forgeries, translations and transcriptions, all rectified and “codified” to meet contemporary custom and historical desire”</w:t>
      </w:r>
      <w:r w:rsidR="00E414F9">
        <w:rPr>
          <w:rStyle w:val="FootnoteReference"/>
          <w:rFonts w:ascii="Times New Roman" w:hAnsi="Times New Roman" w:cs="Times New Roman"/>
          <w:sz w:val="24"/>
          <w:szCs w:val="24"/>
        </w:rPr>
        <w:footnoteReference w:id="2"/>
      </w:r>
      <w:r w:rsidR="000B59AE">
        <w:rPr>
          <w:rFonts w:ascii="Times New Roman" w:hAnsi="Times New Roman" w:cs="Times New Roman"/>
          <w:sz w:val="24"/>
          <w:szCs w:val="24"/>
        </w:rPr>
        <w:t>,</w:t>
      </w:r>
      <w:r w:rsidR="00E414F9">
        <w:rPr>
          <w:rFonts w:ascii="Times New Roman" w:hAnsi="Times New Roman" w:cs="Times New Roman"/>
          <w:sz w:val="24"/>
          <w:szCs w:val="24"/>
        </w:rPr>
        <w:t xml:space="preserve"> revolves around truth. Cartularies announced themselves as a true copy of the charters, deeds, letters, writs and sometimes even recipes, that they contained. </w:t>
      </w:r>
      <w:r w:rsidR="00A274BF">
        <w:rPr>
          <w:rFonts w:ascii="Times New Roman" w:hAnsi="Times New Roman" w:cs="Times New Roman"/>
          <w:sz w:val="24"/>
          <w:szCs w:val="24"/>
        </w:rPr>
        <w:t>The main producers of these cartularies were the religious houses of the post – Norman conquest</w:t>
      </w:r>
      <w:r w:rsidR="00010D11">
        <w:rPr>
          <w:rFonts w:ascii="Times New Roman" w:hAnsi="Times New Roman" w:cs="Times New Roman"/>
          <w:sz w:val="24"/>
          <w:szCs w:val="24"/>
        </w:rPr>
        <w:t xml:space="preserve"> era </w:t>
      </w:r>
      <w:r w:rsidR="00A274BF">
        <w:rPr>
          <w:rFonts w:ascii="Times New Roman" w:hAnsi="Times New Roman" w:cs="Times New Roman"/>
          <w:sz w:val="24"/>
          <w:szCs w:val="24"/>
        </w:rPr>
        <w:t>in England</w:t>
      </w:r>
      <w:r w:rsidR="00010D11">
        <w:rPr>
          <w:rFonts w:ascii="Times New Roman" w:hAnsi="Times New Roman" w:cs="Times New Roman"/>
          <w:sz w:val="24"/>
          <w:szCs w:val="24"/>
        </w:rPr>
        <w:t>,</w:t>
      </w:r>
      <w:r w:rsidR="00987C7B">
        <w:rPr>
          <w:rFonts w:ascii="Times New Roman" w:hAnsi="Times New Roman" w:cs="Times New Roman"/>
          <w:sz w:val="24"/>
          <w:szCs w:val="24"/>
        </w:rPr>
        <w:t xml:space="preserve"> anxious to acquire and retain land amongst the proliferation of monastic houses in this period. The main ingredient</w:t>
      </w:r>
      <w:r w:rsidR="00010D11">
        <w:rPr>
          <w:rFonts w:ascii="Times New Roman" w:hAnsi="Times New Roman" w:cs="Times New Roman"/>
          <w:sz w:val="24"/>
          <w:szCs w:val="24"/>
        </w:rPr>
        <w:t>s</w:t>
      </w:r>
      <w:r w:rsidR="00987C7B">
        <w:rPr>
          <w:rFonts w:ascii="Times New Roman" w:hAnsi="Times New Roman" w:cs="Times New Roman"/>
          <w:sz w:val="24"/>
          <w:szCs w:val="24"/>
        </w:rPr>
        <w:t xml:space="preserve"> of the cartulary w</w:t>
      </w:r>
      <w:r w:rsidR="00010D11">
        <w:rPr>
          <w:rFonts w:ascii="Times New Roman" w:hAnsi="Times New Roman" w:cs="Times New Roman"/>
          <w:sz w:val="24"/>
          <w:szCs w:val="24"/>
        </w:rPr>
        <w:t>ere</w:t>
      </w:r>
      <w:r w:rsidR="00987C7B">
        <w:rPr>
          <w:rFonts w:ascii="Times New Roman" w:hAnsi="Times New Roman" w:cs="Times New Roman"/>
          <w:sz w:val="24"/>
          <w:szCs w:val="24"/>
        </w:rPr>
        <w:t xml:space="preserve"> the charters held by the houses. </w:t>
      </w:r>
      <w:r w:rsidR="00D920E5">
        <w:rPr>
          <w:rFonts w:ascii="Times New Roman" w:hAnsi="Times New Roman" w:cs="Times New Roman"/>
          <w:sz w:val="24"/>
          <w:szCs w:val="24"/>
        </w:rPr>
        <w:t xml:space="preserve">Charters were </w:t>
      </w:r>
      <w:r w:rsidR="00130FE0">
        <w:rPr>
          <w:rFonts w:ascii="Times New Roman" w:hAnsi="Times New Roman" w:cs="Times New Roman"/>
          <w:sz w:val="24"/>
          <w:szCs w:val="24"/>
        </w:rPr>
        <w:t xml:space="preserve">a </w:t>
      </w:r>
      <w:r w:rsidR="00D920E5">
        <w:rPr>
          <w:rFonts w:ascii="Times New Roman" w:hAnsi="Times New Roman" w:cs="Times New Roman"/>
          <w:sz w:val="24"/>
          <w:szCs w:val="24"/>
        </w:rPr>
        <w:t>public do</w:t>
      </w:r>
      <w:r w:rsidR="00075EFB">
        <w:rPr>
          <w:rFonts w:ascii="Times New Roman" w:hAnsi="Times New Roman" w:cs="Times New Roman"/>
          <w:sz w:val="24"/>
          <w:szCs w:val="24"/>
        </w:rPr>
        <w:t>cument</w:t>
      </w:r>
      <w:r w:rsidR="00130FE0">
        <w:rPr>
          <w:rFonts w:ascii="Times New Roman" w:hAnsi="Times New Roman" w:cs="Times New Roman"/>
          <w:sz w:val="24"/>
          <w:szCs w:val="24"/>
        </w:rPr>
        <w:t>, written o</w:t>
      </w:r>
      <w:r w:rsidR="00010D11">
        <w:rPr>
          <w:rFonts w:ascii="Times New Roman" w:hAnsi="Times New Roman" w:cs="Times New Roman"/>
          <w:sz w:val="24"/>
          <w:szCs w:val="24"/>
        </w:rPr>
        <w:t>n</w:t>
      </w:r>
      <w:r w:rsidR="00130FE0">
        <w:rPr>
          <w:rFonts w:ascii="Times New Roman" w:hAnsi="Times New Roman" w:cs="Times New Roman"/>
          <w:sz w:val="24"/>
          <w:szCs w:val="24"/>
        </w:rPr>
        <w:t xml:space="preserve"> a single piece of parchment, </w:t>
      </w:r>
      <w:r w:rsidR="00075EFB">
        <w:rPr>
          <w:rFonts w:ascii="Times New Roman" w:hAnsi="Times New Roman" w:cs="Times New Roman"/>
          <w:sz w:val="24"/>
          <w:szCs w:val="24"/>
        </w:rPr>
        <w:t>recording the title to property, and this was usually land in the agricultural Middle Ages.</w:t>
      </w:r>
    </w:p>
    <w:p w:rsidR="00D920E5" w:rsidRDefault="00075EFB" w:rsidP="000C581B">
      <w:pPr>
        <w:spacing w:line="360" w:lineRule="auto"/>
        <w:rPr>
          <w:rFonts w:ascii="Times New Roman" w:hAnsi="Times New Roman" w:cs="Times New Roman"/>
          <w:sz w:val="24"/>
          <w:szCs w:val="24"/>
        </w:rPr>
      </w:pPr>
      <w:r>
        <w:rPr>
          <w:rFonts w:ascii="Times New Roman" w:hAnsi="Times New Roman" w:cs="Times New Roman"/>
          <w:sz w:val="24"/>
          <w:szCs w:val="24"/>
        </w:rPr>
        <w:t>The Norman Conquest brought about major changes</w:t>
      </w:r>
      <w:r w:rsidR="005D1880">
        <w:rPr>
          <w:rFonts w:ascii="Times New Roman" w:hAnsi="Times New Roman" w:cs="Times New Roman"/>
          <w:sz w:val="24"/>
          <w:szCs w:val="24"/>
        </w:rPr>
        <w:t xml:space="preserve"> </w:t>
      </w:r>
      <w:r w:rsidR="00942EFF">
        <w:rPr>
          <w:rFonts w:ascii="Times New Roman" w:hAnsi="Times New Roman" w:cs="Times New Roman"/>
          <w:sz w:val="24"/>
          <w:szCs w:val="24"/>
        </w:rPr>
        <w:t xml:space="preserve">not least </w:t>
      </w:r>
      <w:r w:rsidR="005D1880">
        <w:rPr>
          <w:rFonts w:ascii="Times New Roman" w:hAnsi="Times New Roman" w:cs="Times New Roman"/>
          <w:sz w:val="24"/>
          <w:szCs w:val="24"/>
        </w:rPr>
        <w:t>in the literacy</w:t>
      </w:r>
      <w:r>
        <w:rPr>
          <w:rFonts w:ascii="Times New Roman" w:hAnsi="Times New Roman" w:cs="Times New Roman"/>
          <w:sz w:val="24"/>
          <w:szCs w:val="24"/>
        </w:rPr>
        <w:t xml:space="preserve"> </w:t>
      </w:r>
      <w:r w:rsidR="005D1880">
        <w:rPr>
          <w:rFonts w:ascii="Times New Roman" w:hAnsi="Times New Roman" w:cs="Times New Roman"/>
          <w:sz w:val="24"/>
          <w:szCs w:val="24"/>
        </w:rPr>
        <w:t xml:space="preserve">of the </w:t>
      </w:r>
      <w:r>
        <w:rPr>
          <w:rFonts w:ascii="Times New Roman" w:hAnsi="Times New Roman" w:cs="Times New Roman"/>
          <w:sz w:val="24"/>
          <w:szCs w:val="24"/>
        </w:rPr>
        <w:t xml:space="preserve">general population of England. </w:t>
      </w:r>
      <w:r w:rsidR="00942EFF">
        <w:rPr>
          <w:rFonts w:ascii="Times New Roman" w:hAnsi="Times New Roman" w:cs="Times New Roman"/>
          <w:sz w:val="24"/>
          <w:szCs w:val="24"/>
        </w:rPr>
        <w:t xml:space="preserve">The Anglo-Saxon tradition of bookland, making </w:t>
      </w:r>
      <w:r w:rsidR="00D91B39">
        <w:rPr>
          <w:rFonts w:ascii="Times New Roman" w:hAnsi="Times New Roman" w:cs="Times New Roman"/>
          <w:sz w:val="24"/>
          <w:szCs w:val="24"/>
        </w:rPr>
        <w:t xml:space="preserve">landowners through the granting of a landbook, had been in decline just before the Norman Conquest and a new era of land- based documents began with the Normans. There was a </w:t>
      </w:r>
      <w:r>
        <w:rPr>
          <w:rFonts w:ascii="Times New Roman" w:hAnsi="Times New Roman" w:cs="Times New Roman"/>
          <w:sz w:val="24"/>
          <w:szCs w:val="24"/>
        </w:rPr>
        <w:t xml:space="preserve">proliferation of </w:t>
      </w:r>
      <w:r w:rsidR="00D91B39">
        <w:rPr>
          <w:rFonts w:ascii="Times New Roman" w:hAnsi="Times New Roman" w:cs="Times New Roman"/>
          <w:sz w:val="24"/>
          <w:szCs w:val="24"/>
        </w:rPr>
        <w:t>written documents</w:t>
      </w:r>
      <w:r>
        <w:rPr>
          <w:rFonts w:ascii="Times New Roman" w:hAnsi="Times New Roman" w:cs="Times New Roman"/>
          <w:sz w:val="24"/>
          <w:szCs w:val="24"/>
        </w:rPr>
        <w:t xml:space="preserve"> in the twelfth and thirteenth centuries</w:t>
      </w:r>
      <w:r w:rsidR="00D91B39">
        <w:rPr>
          <w:rFonts w:ascii="Times New Roman" w:hAnsi="Times New Roman" w:cs="Times New Roman"/>
          <w:sz w:val="24"/>
          <w:szCs w:val="24"/>
        </w:rPr>
        <w:t xml:space="preserve"> and this</w:t>
      </w:r>
      <w:r>
        <w:rPr>
          <w:rFonts w:ascii="Times New Roman" w:hAnsi="Times New Roman" w:cs="Times New Roman"/>
          <w:sz w:val="24"/>
          <w:szCs w:val="24"/>
        </w:rPr>
        <w:t xml:space="preserve"> speaks to an increasing reliance on them as proof, as evidence, as reliable. There was a gradual shift from reliance on memory as truth to a reliance on documents as truth. Documents were now written in Latin, thereby further separating the act of reading from writing</w:t>
      </w:r>
      <w:r w:rsidR="005D1880">
        <w:rPr>
          <w:rFonts w:ascii="Times New Roman" w:hAnsi="Times New Roman" w:cs="Times New Roman"/>
          <w:sz w:val="24"/>
          <w:szCs w:val="24"/>
        </w:rPr>
        <w:t xml:space="preserve">. Geary cites examples of </w:t>
      </w:r>
      <w:r w:rsidR="00010D11">
        <w:rPr>
          <w:rFonts w:ascii="Times New Roman" w:hAnsi="Times New Roman" w:cs="Times New Roman"/>
          <w:sz w:val="24"/>
          <w:szCs w:val="24"/>
        </w:rPr>
        <w:t xml:space="preserve">Frankish </w:t>
      </w:r>
      <w:r w:rsidR="005D1880">
        <w:rPr>
          <w:rFonts w:ascii="Times New Roman" w:hAnsi="Times New Roman" w:cs="Times New Roman"/>
          <w:sz w:val="24"/>
          <w:szCs w:val="24"/>
        </w:rPr>
        <w:t xml:space="preserve">charters written in </w:t>
      </w:r>
      <w:r w:rsidR="00E241EE">
        <w:rPr>
          <w:rFonts w:ascii="Times New Roman" w:hAnsi="Times New Roman" w:cs="Times New Roman"/>
          <w:sz w:val="24"/>
          <w:szCs w:val="24"/>
        </w:rPr>
        <w:t>Latin,</w:t>
      </w:r>
      <w:r w:rsidR="005D1880">
        <w:rPr>
          <w:rFonts w:ascii="Times New Roman" w:hAnsi="Times New Roman" w:cs="Times New Roman"/>
          <w:sz w:val="24"/>
          <w:szCs w:val="24"/>
        </w:rPr>
        <w:t xml:space="preserve"> but the exact names of the boundaries are written </w:t>
      </w:r>
      <w:r w:rsidR="00010D11">
        <w:rPr>
          <w:rFonts w:ascii="Times New Roman" w:hAnsi="Times New Roman" w:cs="Times New Roman"/>
          <w:sz w:val="24"/>
          <w:szCs w:val="24"/>
        </w:rPr>
        <w:t xml:space="preserve">in German </w:t>
      </w:r>
      <w:r w:rsidR="005D1880">
        <w:rPr>
          <w:rFonts w:ascii="Times New Roman" w:hAnsi="Times New Roman" w:cs="Times New Roman"/>
          <w:sz w:val="24"/>
          <w:szCs w:val="24"/>
        </w:rPr>
        <w:t>as “Kazozeheim, Chungsheid and Chriestadt”</w:t>
      </w:r>
      <w:r w:rsidR="000B59AE">
        <w:rPr>
          <w:rFonts w:ascii="Times New Roman" w:hAnsi="Times New Roman" w:cs="Times New Roman"/>
          <w:sz w:val="24"/>
          <w:szCs w:val="24"/>
        </w:rPr>
        <w:t>.</w:t>
      </w:r>
      <w:r w:rsidR="005D1880">
        <w:rPr>
          <w:rStyle w:val="FootnoteReference"/>
          <w:rFonts w:ascii="Times New Roman" w:hAnsi="Times New Roman" w:cs="Times New Roman"/>
          <w:sz w:val="24"/>
          <w:szCs w:val="24"/>
        </w:rPr>
        <w:footnoteReference w:id="3"/>
      </w:r>
      <w:r w:rsidR="000B59AE">
        <w:rPr>
          <w:rFonts w:ascii="Times New Roman" w:hAnsi="Times New Roman" w:cs="Times New Roman"/>
          <w:sz w:val="24"/>
          <w:szCs w:val="24"/>
        </w:rPr>
        <w:t xml:space="preserve"> </w:t>
      </w:r>
      <w:r w:rsidR="00E241EE">
        <w:rPr>
          <w:rFonts w:ascii="Times New Roman" w:hAnsi="Times New Roman" w:cs="Times New Roman"/>
          <w:sz w:val="24"/>
          <w:szCs w:val="24"/>
        </w:rPr>
        <w:t>These borders had been ridden and examined by witnesses and this process of establishing the accuracy of the description of the exact piece of land, was an ancient one. In Anglo-Saxon England</w:t>
      </w:r>
      <w:r w:rsidR="00B8492F">
        <w:rPr>
          <w:rFonts w:ascii="Times New Roman" w:hAnsi="Times New Roman" w:cs="Times New Roman"/>
          <w:sz w:val="24"/>
          <w:szCs w:val="24"/>
        </w:rPr>
        <w:t>, Latin charters with descriptions of borders in Old English,</w:t>
      </w:r>
      <w:r w:rsidR="00B8492F">
        <w:rPr>
          <w:rStyle w:val="FootnoteReference"/>
          <w:rFonts w:ascii="Times New Roman" w:hAnsi="Times New Roman" w:cs="Times New Roman"/>
          <w:sz w:val="24"/>
          <w:szCs w:val="24"/>
        </w:rPr>
        <w:footnoteReference w:id="4"/>
      </w:r>
      <w:r w:rsidR="00B8492F">
        <w:rPr>
          <w:rFonts w:ascii="Times New Roman" w:hAnsi="Times New Roman" w:cs="Times New Roman"/>
          <w:sz w:val="24"/>
          <w:szCs w:val="24"/>
        </w:rPr>
        <w:t xml:space="preserve"> had </w:t>
      </w:r>
      <w:r w:rsidR="00E241EE">
        <w:rPr>
          <w:rFonts w:ascii="Times New Roman" w:hAnsi="Times New Roman" w:cs="Times New Roman"/>
          <w:sz w:val="24"/>
          <w:szCs w:val="24"/>
        </w:rPr>
        <w:t xml:space="preserve">similar </w:t>
      </w:r>
      <w:r w:rsidR="00B8492F">
        <w:rPr>
          <w:rFonts w:ascii="Times New Roman" w:hAnsi="Times New Roman" w:cs="Times New Roman"/>
          <w:sz w:val="24"/>
          <w:szCs w:val="24"/>
        </w:rPr>
        <w:t xml:space="preserve">reasons </w:t>
      </w:r>
      <w:r w:rsidR="00E241EE">
        <w:rPr>
          <w:rFonts w:ascii="Times New Roman" w:hAnsi="Times New Roman" w:cs="Times New Roman"/>
          <w:sz w:val="24"/>
          <w:szCs w:val="24"/>
        </w:rPr>
        <w:t xml:space="preserve">for the use of the vernacular, to provide accuracy </w:t>
      </w:r>
      <w:r w:rsidR="00E241EE">
        <w:rPr>
          <w:rFonts w:ascii="Times New Roman" w:hAnsi="Times New Roman" w:cs="Times New Roman"/>
          <w:sz w:val="24"/>
          <w:szCs w:val="24"/>
        </w:rPr>
        <w:lastRenderedPageBreak/>
        <w:t xml:space="preserve">and accessibility to the illiterate audience that the charter was being read to – the use of Latin would distance the listener further from the content. </w:t>
      </w:r>
    </w:p>
    <w:p w:rsidR="0063189A" w:rsidRDefault="0063189A" w:rsidP="0063189A">
      <w:pPr>
        <w:spacing w:line="360" w:lineRule="auto"/>
        <w:rPr>
          <w:rFonts w:ascii="Times New Roman" w:hAnsi="Times New Roman" w:cs="Times New Roman"/>
          <w:sz w:val="24"/>
          <w:szCs w:val="24"/>
        </w:rPr>
      </w:pPr>
      <w:r>
        <w:rPr>
          <w:rFonts w:ascii="Times New Roman" w:hAnsi="Times New Roman" w:cs="Times New Roman"/>
          <w:sz w:val="24"/>
          <w:szCs w:val="24"/>
        </w:rPr>
        <w:t xml:space="preserve">All levels of society used written documents by the end of the thirteenth century. In twelfth century England the King had a chancellor, presiding over the Chancery where his writing of documents took place but Clanchy cites the example of the Peterborough cartulary </w:t>
      </w:r>
      <w:r w:rsidRPr="0063189A">
        <w:rPr>
          <w:rFonts w:ascii="Times New Roman" w:hAnsi="Times New Roman" w:cs="Times New Roman"/>
          <w:i/>
          <w:sz w:val="24"/>
          <w:szCs w:val="24"/>
        </w:rPr>
        <w:t>Cartae</w:t>
      </w:r>
      <w:r>
        <w:rPr>
          <w:rFonts w:ascii="Times New Roman" w:hAnsi="Times New Roman" w:cs="Times New Roman"/>
          <w:sz w:val="24"/>
          <w:szCs w:val="24"/>
        </w:rPr>
        <w:t xml:space="preserve"> </w:t>
      </w:r>
      <w:r w:rsidRPr="0063189A">
        <w:rPr>
          <w:rFonts w:ascii="Times New Roman" w:hAnsi="Times New Roman" w:cs="Times New Roman"/>
          <w:i/>
          <w:sz w:val="24"/>
          <w:szCs w:val="24"/>
        </w:rPr>
        <w:t>Navitorum</w:t>
      </w:r>
      <w:r>
        <w:rPr>
          <w:rFonts w:ascii="Times New Roman" w:hAnsi="Times New Roman" w:cs="Times New Roman"/>
          <w:sz w:val="24"/>
          <w:szCs w:val="24"/>
        </w:rPr>
        <w:t xml:space="preserve"> which contains charters drawn up by peasants </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Charters were authenticated in a variety of ways moving from an oral based tradition to a written one, although neither is exclusive of the other. The eleventh century saw little use of documents </w:t>
      </w:r>
      <w:r w:rsidR="00010D11">
        <w:rPr>
          <w:rFonts w:ascii="Times New Roman" w:hAnsi="Times New Roman" w:cs="Times New Roman"/>
          <w:sz w:val="24"/>
          <w:szCs w:val="24"/>
        </w:rPr>
        <w:t>regarding</w:t>
      </w:r>
      <w:r w:rsidR="0048332E">
        <w:rPr>
          <w:rFonts w:ascii="Times New Roman" w:hAnsi="Times New Roman" w:cs="Times New Roman"/>
          <w:sz w:val="24"/>
          <w:szCs w:val="24"/>
        </w:rPr>
        <w:t xml:space="preserve"> land transfer of tenancy; the twelfth century saw the monks insisting on the use of documents for donations from landowners and in the thirteenth century a vastly increasing number of laymen using documents for land transfers. Th</w:t>
      </w:r>
      <w:r w:rsidR="00B8492F">
        <w:rPr>
          <w:rFonts w:ascii="Times New Roman" w:hAnsi="Times New Roman" w:cs="Times New Roman"/>
          <w:sz w:val="24"/>
          <w:szCs w:val="24"/>
        </w:rPr>
        <w:t>ere</w:t>
      </w:r>
      <w:r w:rsidR="0048332E">
        <w:rPr>
          <w:rFonts w:ascii="Times New Roman" w:hAnsi="Times New Roman" w:cs="Times New Roman"/>
          <w:sz w:val="24"/>
          <w:szCs w:val="24"/>
        </w:rPr>
        <w:t xml:space="preserve"> is a correlation between trust of written documents, truth of written documents and the use of them by everyone in society.  </w:t>
      </w:r>
    </w:p>
    <w:p w:rsidR="00130FE0" w:rsidRDefault="00E241EE" w:rsidP="000C581B">
      <w:pPr>
        <w:spacing w:line="360" w:lineRule="auto"/>
        <w:rPr>
          <w:rFonts w:ascii="Times New Roman" w:hAnsi="Times New Roman" w:cs="Times New Roman"/>
          <w:sz w:val="24"/>
          <w:szCs w:val="24"/>
        </w:rPr>
      </w:pPr>
      <w:r>
        <w:rPr>
          <w:rFonts w:ascii="Times New Roman" w:hAnsi="Times New Roman" w:cs="Times New Roman"/>
          <w:sz w:val="24"/>
          <w:szCs w:val="24"/>
        </w:rPr>
        <w:t xml:space="preserve">Memory, especially of the oldest person in the community had been accepted as the most reliable witness in law. </w:t>
      </w:r>
      <w:r w:rsidR="00010D11">
        <w:rPr>
          <w:rFonts w:ascii="Times New Roman" w:hAnsi="Times New Roman" w:cs="Times New Roman"/>
          <w:sz w:val="24"/>
          <w:szCs w:val="24"/>
        </w:rPr>
        <w:t xml:space="preserve">They would make personal statements and oaths in court to verify information or knowledge of an event. </w:t>
      </w:r>
      <w:r>
        <w:rPr>
          <w:rFonts w:ascii="Times New Roman" w:hAnsi="Times New Roman" w:cs="Times New Roman"/>
          <w:sz w:val="24"/>
          <w:szCs w:val="24"/>
        </w:rPr>
        <w:t>Through the twelfth and thirteenth centuries this authority of the oral witness was gradually replaced with written proof, fu</w:t>
      </w:r>
      <w:r w:rsidR="00942EFF">
        <w:rPr>
          <w:rFonts w:ascii="Times New Roman" w:hAnsi="Times New Roman" w:cs="Times New Roman"/>
          <w:sz w:val="24"/>
          <w:szCs w:val="24"/>
        </w:rPr>
        <w:t>r</w:t>
      </w:r>
      <w:r>
        <w:rPr>
          <w:rFonts w:ascii="Times New Roman" w:hAnsi="Times New Roman" w:cs="Times New Roman"/>
          <w:sz w:val="24"/>
          <w:szCs w:val="24"/>
        </w:rPr>
        <w:t xml:space="preserve">ther authenticated with lists of </w:t>
      </w:r>
      <w:r w:rsidR="00942EFF">
        <w:rPr>
          <w:rFonts w:ascii="Times New Roman" w:hAnsi="Times New Roman" w:cs="Times New Roman"/>
          <w:sz w:val="24"/>
          <w:szCs w:val="24"/>
        </w:rPr>
        <w:t xml:space="preserve">witnesses, signatures and seals. </w:t>
      </w:r>
      <w:r w:rsidR="00010D11">
        <w:rPr>
          <w:rFonts w:ascii="Times New Roman" w:hAnsi="Times New Roman" w:cs="Times New Roman"/>
          <w:sz w:val="24"/>
          <w:szCs w:val="24"/>
        </w:rPr>
        <w:t>The first charters were not dated or signed, therefore the process of accepting them as reliable was a slow one. The sign of the cross and later a seal was used to authenticate documents. The other method was the list of witnesses</w:t>
      </w:r>
      <w:r w:rsidR="00C80E68">
        <w:rPr>
          <w:rFonts w:ascii="Times New Roman" w:hAnsi="Times New Roman" w:cs="Times New Roman"/>
          <w:sz w:val="24"/>
          <w:szCs w:val="24"/>
        </w:rPr>
        <w:t xml:space="preserve"> listed on the charter. </w:t>
      </w:r>
      <w:r w:rsidR="00942EFF">
        <w:rPr>
          <w:rFonts w:ascii="Times New Roman" w:hAnsi="Times New Roman" w:cs="Times New Roman"/>
          <w:sz w:val="24"/>
          <w:szCs w:val="24"/>
        </w:rPr>
        <w:t>The list of witnesses could be the people present when a donation was made, and they acted as aural witnesses. Their names are recorded on the charter. In later charters the witnesses were the donors, so they were donor, author and witness</w:t>
      </w:r>
      <w:r w:rsidR="00D91B39">
        <w:rPr>
          <w:rFonts w:ascii="Times New Roman" w:hAnsi="Times New Roman" w:cs="Times New Roman"/>
          <w:sz w:val="24"/>
          <w:szCs w:val="24"/>
        </w:rPr>
        <w:t xml:space="preserve"> of a charter.</w:t>
      </w:r>
      <w:r w:rsidR="00C80E68">
        <w:rPr>
          <w:rFonts w:ascii="Times New Roman" w:hAnsi="Times New Roman" w:cs="Times New Roman"/>
          <w:sz w:val="24"/>
          <w:szCs w:val="24"/>
        </w:rPr>
        <w:t xml:space="preserve"> As charters began to be date</w:t>
      </w:r>
      <w:r w:rsidR="006C4FE8">
        <w:rPr>
          <w:rFonts w:ascii="Times New Roman" w:hAnsi="Times New Roman" w:cs="Times New Roman"/>
          <w:sz w:val="24"/>
          <w:szCs w:val="24"/>
        </w:rPr>
        <w:t>d</w:t>
      </w:r>
      <w:r w:rsidR="00C80E68">
        <w:rPr>
          <w:rFonts w:ascii="Times New Roman" w:hAnsi="Times New Roman" w:cs="Times New Roman"/>
          <w:sz w:val="24"/>
          <w:szCs w:val="24"/>
        </w:rPr>
        <w:t xml:space="preserve"> at the end of the twelfth century, the list of witnesses disappeared in </w:t>
      </w:r>
      <w:r w:rsidR="006B306D">
        <w:rPr>
          <w:rFonts w:ascii="Times New Roman" w:hAnsi="Times New Roman" w:cs="Times New Roman"/>
          <w:sz w:val="24"/>
          <w:szCs w:val="24"/>
        </w:rPr>
        <w:t>Normandy,</w:t>
      </w:r>
      <w:r w:rsidR="00C80E68">
        <w:rPr>
          <w:rFonts w:ascii="Times New Roman" w:hAnsi="Times New Roman" w:cs="Times New Roman"/>
          <w:sz w:val="24"/>
          <w:szCs w:val="24"/>
        </w:rPr>
        <w:t xml:space="preserve"> but the English retained them. Gradually a standard form of charter was used which was acceptable in all courts, royal and ecclesiastical and the sealed charter was this form. English and Norman diplomatic made contributions to the types of documents in circulation in the twelfth century, writs from England, Chirograph form from France and sealed charters from England. Chirographs were two copies of the same agreement on a single page of parchment which was cut, often in a wavy line down or across the page where the word CHIROGRAPH</w:t>
      </w:r>
      <w:r w:rsidR="006C4FE8">
        <w:rPr>
          <w:rFonts w:ascii="Times New Roman" w:hAnsi="Times New Roman" w:cs="Times New Roman"/>
          <w:sz w:val="24"/>
          <w:szCs w:val="24"/>
        </w:rPr>
        <w:t>UM</w:t>
      </w:r>
      <w:r w:rsidR="00C80E68">
        <w:rPr>
          <w:rFonts w:ascii="Times New Roman" w:hAnsi="Times New Roman" w:cs="Times New Roman"/>
          <w:sz w:val="24"/>
          <w:szCs w:val="24"/>
        </w:rPr>
        <w:t xml:space="preserve"> had been written. Seals were also attached</w:t>
      </w:r>
      <w:r w:rsidR="006B306D">
        <w:rPr>
          <w:rFonts w:ascii="Times New Roman" w:hAnsi="Times New Roman" w:cs="Times New Roman"/>
          <w:sz w:val="24"/>
          <w:szCs w:val="24"/>
        </w:rPr>
        <w:t>;</w:t>
      </w:r>
      <w:r w:rsidR="00C80E68">
        <w:rPr>
          <w:rFonts w:ascii="Times New Roman" w:hAnsi="Times New Roman" w:cs="Times New Roman"/>
          <w:sz w:val="24"/>
          <w:szCs w:val="24"/>
        </w:rPr>
        <w:t xml:space="preserve"> </w:t>
      </w:r>
      <w:r w:rsidR="006B306D">
        <w:rPr>
          <w:rFonts w:ascii="Times New Roman" w:hAnsi="Times New Roman" w:cs="Times New Roman"/>
          <w:sz w:val="24"/>
          <w:szCs w:val="24"/>
        </w:rPr>
        <w:lastRenderedPageBreak/>
        <w:t>e</w:t>
      </w:r>
      <w:r w:rsidR="00C80E68">
        <w:rPr>
          <w:rFonts w:ascii="Times New Roman" w:hAnsi="Times New Roman" w:cs="Times New Roman"/>
          <w:sz w:val="24"/>
          <w:szCs w:val="24"/>
        </w:rPr>
        <w:t xml:space="preserve">laborate lengths to go to so that the “spectacular fault” of forgery could be detected. </w:t>
      </w:r>
      <w:r w:rsidR="00EF1DEE">
        <w:rPr>
          <w:rFonts w:ascii="Times New Roman" w:hAnsi="Times New Roman" w:cs="Times New Roman"/>
          <w:sz w:val="24"/>
          <w:szCs w:val="24"/>
        </w:rPr>
        <w:t xml:space="preserve">More of this later. </w:t>
      </w:r>
    </w:p>
    <w:p w:rsidR="003155D5" w:rsidRDefault="00EF1DEE" w:rsidP="0079549B">
      <w:pPr>
        <w:spacing w:line="360" w:lineRule="auto"/>
        <w:rPr>
          <w:rFonts w:ascii="Times New Roman" w:hAnsi="Times New Roman" w:cs="Times New Roman"/>
          <w:sz w:val="24"/>
          <w:szCs w:val="24"/>
        </w:rPr>
      </w:pPr>
      <w:r>
        <w:rPr>
          <w:rFonts w:ascii="Times New Roman" w:hAnsi="Times New Roman" w:cs="Times New Roman"/>
          <w:sz w:val="24"/>
          <w:szCs w:val="24"/>
        </w:rPr>
        <w:t>Cartularies</w:t>
      </w:r>
      <w:r w:rsidR="002D233D">
        <w:rPr>
          <w:rFonts w:ascii="Times New Roman" w:hAnsi="Times New Roman" w:cs="Times New Roman"/>
          <w:sz w:val="24"/>
          <w:szCs w:val="24"/>
        </w:rPr>
        <w:t>, according to Clanchy are “a collection of title deeds copied into a register for greater security</w:t>
      </w:r>
      <w:r w:rsidR="00571B47">
        <w:rPr>
          <w:rFonts w:ascii="Times New Roman" w:hAnsi="Times New Roman" w:cs="Times New Roman"/>
          <w:sz w:val="24"/>
          <w:szCs w:val="24"/>
        </w:rPr>
        <w:t>”. They do not have “ancient origins in England” and some early copies are in a roll format.</w:t>
      </w:r>
      <w:r w:rsidR="00571B47">
        <w:rPr>
          <w:rStyle w:val="FootnoteReference"/>
          <w:rFonts w:ascii="Times New Roman" w:hAnsi="Times New Roman" w:cs="Times New Roman"/>
          <w:sz w:val="24"/>
          <w:szCs w:val="24"/>
        </w:rPr>
        <w:footnoteReference w:id="6"/>
      </w:r>
      <w:r w:rsidR="00571B47">
        <w:rPr>
          <w:rFonts w:ascii="Times New Roman" w:hAnsi="Times New Roman" w:cs="Times New Roman"/>
          <w:sz w:val="24"/>
          <w:szCs w:val="24"/>
        </w:rPr>
        <w:t xml:space="preserve">. They were written to preserve the record that the original documents – charters, writs, letters – contained; as a response to the pressure from the Norman overlords for evidence of title and grant of lands or </w:t>
      </w:r>
      <w:r w:rsidR="002B3A99">
        <w:rPr>
          <w:rFonts w:ascii="Times New Roman" w:hAnsi="Times New Roman" w:cs="Times New Roman"/>
          <w:sz w:val="24"/>
          <w:szCs w:val="24"/>
        </w:rPr>
        <w:t>because of</w:t>
      </w:r>
      <w:r w:rsidR="00571B47">
        <w:rPr>
          <w:rFonts w:ascii="Times New Roman" w:hAnsi="Times New Roman" w:cs="Times New Roman"/>
          <w:sz w:val="24"/>
          <w:szCs w:val="24"/>
        </w:rPr>
        <w:t xml:space="preserve"> “the insecurity brought about by the </w:t>
      </w:r>
      <w:r w:rsidR="002B3A99">
        <w:rPr>
          <w:rFonts w:ascii="Times New Roman" w:hAnsi="Times New Roman" w:cs="Times New Roman"/>
          <w:sz w:val="24"/>
          <w:szCs w:val="24"/>
        </w:rPr>
        <w:t>Norman</w:t>
      </w:r>
      <w:r w:rsidR="00571B47">
        <w:rPr>
          <w:rFonts w:ascii="Times New Roman" w:hAnsi="Times New Roman" w:cs="Times New Roman"/>
          <w:sz w:val="24"/>
          <w:szCs w:val="24"/>
        </w:rPr>
        <w:t xml:space="preserve"> conquest and the civil war of Stephen’s reign”. </w:t>
      </w:r>
      <w:r w:rsidR="00571B47">
        <w:rPr>
          <w:rStyle w:val="FootnoteReference"/>
          <w:rFonts w:ascii="Times New Roman" w:hAnsi="Times New Roman" w:cs="Times New Roman"/>
          <w:sz w:val="24"/>
          <w:szCs w:val="24"/>
        </w:rPr>
        <w:footnoteReference w:id="7"/>
      </w:r>
      <w:r w:rsidR="002B3A99">
        <w:rPr>
          <w:rFonts w:ascii="Times New Roman" w:hAnsi="Times New Roman" w:cs="Times New Roman"/>
          <w:sz w:val="24"/>
          <w:szCs w:val="24"/>
        </w:rPr>
        <w:t xml:space="preserve"> </w:t>
      </w:r>
      <w:r w:rsidR="006B306D">
        <w:rPr>
          <w:rFonts w:ascii="Times New Roman" w:hAnsi="Times New Roman" w:cs="Times New Roman"/>
          <w:sz w:val="24"/>
          <w:szCs w:val="24"/>
        </w:rPr>
        <w:t xml:space="preserve">One of the main functions of cartularies was to record a copy of documents kept in various locations so that there was an independent record of the title to a piece of land or a property should </w:t>
      </w:r>
      <w:r w:rsidR="00B65731">
        <w:rPr>
          <w:rFonts w:ascii="Times New Roman" w:hAnsi="Times New Roman" w:cs="Times New Roman"/>
          <w:sz w:val="24"/>
          <w:szCs w:val="24"/>
        </w:rPr>
        <w:t xml:space="preserve">a </w:t>
      </w:r>
      <w:r w:rsidR="006B306D">
        <w:rPr>
          <w:rFonts w:ascii="Times New Roman" w:hAnsi="Times New Roman" w:cs="Times New Roman"/>
          <w:sz w:val="24"/>
          <w:szCs w:val="24"/>
        </w:rPr>
        <w:t xml:space="preserve">fire or loss destroy the originals. </w:t>
      </w:r>
      <w:r w:rsidR="006B306D">
        <w:rPr>
          <w:rStyle w:val="FootnoteReference"/>
          <w:rFonts w:ascii="Times New Roman" w:hAnsi="Times New Roman" w:cs="Times New Roman"/>
          <w:sz w:val="24"/>
          <w:szCs w:val="24"/>
        </w:rPr>
        <w:footnoteReference w:id="8"/>
      </w:r>
      <w:r w:rsidR="0079549B">
        <w:rPr>
          <w:rFonts w:ascii="Times New Roman" w:hAnsi="Times New Roman" w:cs="Times New Roman"/>
          <w:sz w:val="24"/>
          <w:szCs w:val="24"/>
        </w:rPr>
        <w:t xml:space="preserve"> They are mainly associated with religious houses and were compiled by monks as scribes in monasteries. Usually the important significant documents relevant to the title or granting of gifts, the major deed of gift from the founder, royal grants, papal grants or bulls were gathered into a cartulary.</w:t>
      </w:r>
      <w:r w:rsidR="0079549B">
        <w:rPr>
          <w:rStyle w:val="FootnoteReference"/>
          <w:rFonts w:ascii="Times New Roman" w:hAnsi="Times New Roman" w:cs="Times New Roman"/>
          <w:sz w:val="24"/>
          <w:szCs w:val="24"/>
        </w:rPr>
        <w:footnoteReference w:id="9"/>
      </w:r>
      <w:r w:rsidR="0079549B">
        <w:rPr>
          <w:rFonts w:ascii="Times New Roman" w:hAnsi="Times New Roman" w:cs="Times New Roman"/>
          <w:sz w:val="24"/>
          <w:szCs w:val="24"/>
        </w:rPr>
        <w:t>. Once the records had assumed a book form the originals declined in importance and were often neglected or disposed of</w:t>
      </w:r>
      <w:r w:rsidR="001D2BF0">
        <w:rPr>
          <w:rFonts w:ascii="Times New Roman" w:hAnsi="Times New Roman" w:cs="Times New Roman"/>
          <w:sz w:val="24"/>
          <w:szCs w:val="24"/>
        </w:rPr>
        <w:t>. Kosto and Winroth quote Constance. B. Bouchard who has argued that cartularies are “more commemorative than combative: they were concerned with the eternal salvation of their donors as much as establishing legal title”</w:t>
      </w:r>
      <w:r w:rsidR="001D2BF0">
        <w:rPr>
          <w:rStyle w:val="FootnoteReference"/>
          <w:rFonts w:ascii="Times New Roman" w:hAnsi="Times New Roman" w:cs="Times New Roman"/>
          <w:sz w:val="24"/>
          <w:szCs w:val="24"/>
        </w:rPr>
        <w:footnoteReference w:id="10"/>
      </w:r>
      <w:r w:rsidR="001D2BF0">
        <w:rPr>
          <w:rFonts w:ascii="Times New Roman" w:hAnsi="Times New Roman" w:cs="Times New Roman"/>
          <w:sz w:val="24"/>
          <w:szCs w:val="24"/>
        </w:rPr>
        <w:t xml:space="preserve">. The demands made on scribes – the historians and archivists - of the religious houses were many – from the King, the benefactors, the monks, </w:t>
      </w:r>
      <w:r w:rsidR="007602A4">
        <w:rPr>
          <w:rFonts w:ascii="Times New Roman" w:hAnsi="Times New Roman" w:cs="Times New Roman"/>
          <w:sz w:val="24"/>
          <w:szCs w:val="24"/>
        </w:rPr>
        <w:t xml:space="preserve">the patron saint. Added to this, in England following the Norman conquest, monasteries had to constantly justify their existence. </w:t>
      </w:r>
      <w:r w:rsidR="003155D5">
        <w:rPr>
          <w:rFonts w:ascii="Times New Roman" w:hAnsi="Times New Roman" w:cs="Times New Roman"/>
          <w:sz w:val="24"/>
          <w:szCs w:val="24"/>
        </w:rPr>
        <w:t>B.R. Kemp has studied the cartularies of Reading Abbey, founded in 1121 by Henry I.</w:t>
      </w:r>
      <w:r w:rsidR="005B0F0A">
        <w:rPr>
          <w:rFonts w:ascii="Times New Roman" w:hAnsi="Times New Roman" w:cs="Times New Roman"/>
          <w:sz w:val="24"/>
          <w:szCs w:val="24"/>
        </w:rPr>
        <w:t xml:space="preserve"> </w:t>
      </w:r>
      <w:r w:rsidR="003155D5">
        <w:rPr>
          <w:rFonts w:ascii="Times New Roman" w:hAnsi="Times New Roman" w:cs="Times New Roman"/>
          <w:sz w:val="24"/>
          <w:szCs w:val="24"/>
        </w:rPr>
        <w:t>There are three surviving cartulary volumes and the large number of divers</w:t>
      </w:r>
      <w:r w:rsidR="005B0F0A">
        <w:rPr>
          <w:rFonts w:ascii="Times New Roman" w:hAnsi="Times New Roman" w:cs="Times New Roman"/>
          <w:sz w:val="24"/>
          <w:szCs w:val="24"/>
        </w:rPr>
        <w:t>e</w:t>
      </w:r>
      <w:r w:rsidR="003155D5">
        <w:rPr>
          <w:rFonts w:ascii="Times New Roman" w:hAnsi="Times New Roman" w:cs="Times New Roman"/>
          <w:sz w:val="24"/>
          <w:szCs w:val="24"/>
        </w:rPr>
        <w:t xml:space="preserve"> documents reflect the “abbey’s response to the growth of royal justice and administration in the late twelfth century and the challenges presented to the house by the increased activism of the king’s courts and the expansion of common law forms of action in the thirteenth and fourteenth centuries”</w:t>
      </w:r>
      <w:r w:rsidR="000B59AE">
        <w:rPr>
          <w:rFonts w:ascii="Times New Roman" w:hAnsi="Times New Roman" w:cs="Times New Roman"/>
          <w:sz w:val="24"/>
          <w:szCs w:val="24"/>
        </w:rPr>
        <w:t>.</w:t>
      </w:r>
      <w:r w:rsidR="003155D5">
        <w:rPr>
          <w:rStyle w:val="FootnoteReference"/>
          <w:rFonts w:ascii="Times New Roman" w:hAnsi="Times New Roman" w:cs="Times New Roman"/>
          <w:sz w:val="24"/>
          <w:szCs w:val="24"/>
        </w:rPr>
        <w:footnoteReference w:id="11"/>
      </w:r>
    </w:p>
    <w:p w:rsidR="006F6862" w:rsidRDefault="0036024C" w:rsidP="0079549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Clerics of the older houses, particularly the Benedictine house favoured by the Anglo-Saxons embarked on a major reorganisation of the records and documents in their archives in a desperate attempt to prove their claims to the land, tenancies, gifts that had been bestowed on their houses. The abbey of Ely compiled the “Liber Eliensis” – a Latin cartulary citing the benefactors of the abbey “who had restored the place and what was in their wills”</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There were gaps in the </w:t>
      </w:r>
      <w:r w:rsidR="005F3C7A">
        <w:rPr>
          <w:rFonts w:ascii="Times New Roman" w:hAnsi="Times New Roman" w:cs="Times New Roman"/>
          <w:sz w:val="24"/>
          <w:szCs w:val="24"/>
        </w:rPr>
        <w:t>records,</w:t>
      </w:r>
      <w:r>
        <w:rPr>
          <w:rFonts w:ascii="Times New Roman" w:hAnsi="Times New Roman" w:cs="Times New Roman"/>
          <w:sz w:val="24"/>
          <w:szCs w:val="24"/>
        </w:rPr>
        <w:t xml:space="preserve"> so the monks forged, “certain monasteries and cathedral chapters” could be described a “forgery factories”</w:t>
      </w:r>
      <w:r w:rsidR="00D941AD">
        <w:rPr>
          <w:rFonts w:ascii="Times New Roman" w:hAnsi="Times New Roman" w:cs="Times New Roman"/>
          <w:sz w:val="24"/>
          <w:szCs w:val="24"/>
        </w:rPr>
        <w:t>. The amount of forgery</w:t>
      </w:r>
      <w:r w:rsidR="005F3C7A">
        <w:rPr>
          <w:rFonts w:ascii="Times New Roman" w:hAnsi="Times New Roman" w:cs="Times New Roman"/>
          <w:sz w:val="24"/>
          <w:szCs w:val="24"/>
        </w:rPr>
        <w:t xml:space="preserve"> can be appreciated if it is stated that the majority of Anglo – Norman documents are tainted in some way, by the leading scholar on the subject, M.T Clanchy – “forgery was the rule rather than the exception”</w:t>
      </w:r>
      <w:r w:rsidR="000B59AE">
        <w:rPr>
          <w:rFonts w:ascii="Times New Roman" w:hAnsi="Times New Roman" w:cs="Times New Roman"/>
          <w:sz w:val="24"/>
          <w:szCs w:val="24"/>
        </w:rPr>
        <w:t>.</w:t>
      </w:r>
      <w:r w:rsidR="005F3C7A">
        <w:rPr>
          <w:rStyle w:val="FootnoteReference"/>
          <w:rFonts w:ascii="Times New Roman" w:hAnsi="Times New Roman" w:cs="Times New Roman"/>
          <w:sz w:val="24"/>
          <w:szCs w:val="24"/>
        </w:rPr>
        <w:footnoteReference w:id="13"/>
      </w:r>
    </w:p>
    <w:p w:rsidR="0079549B" w:rsidRDefault="005F3C7A" w:rsidP="0079549B">
      <w:pPr>
        <w:spacing w:line="360" w:lineRule="auto"/>
        <w:rPr>
          <w:rFonts w:ascii="Times New Roman" w:hAnsi="Times New Roman" w:cs="Times New Roman"/>
          <w:sz w:val="24"/>
          <w:szCs w:val="24"/>
        </w:rPr>
      </w:pPr>
      <w:r>
        <w:rPr>
          <w:rFonts w:ascii="Times New Roman" w:hAnsi="Times New Roman" w:cs="Times New Roman"/>
          <w:sz w:val="24"/>
          <w:szCs w:val="24"/>
        </w:rPr>
        <w:t>L</w:t>
      </w:r>
      <w:r w:rsidR="007602A4">
        <w:rPr>
          <w:rFonts w:ascii="Times New Roman" w:hAnsi="Times New Roman" w:cs="Times New Roman"/>
          <w:sz w:val="24"/>
          <w:szCs w:val="24"/>
        </w:rPr>
        <w:t xml:space="preserve">icence was taken </w:t>
      </w:r>
      <w:r>
        <w:rPr>
          <w:rFonts w:ascii="Times New Roman" w:hAnsi="Times New Roman" w:cs="Times New Roman"/>
          <w:sz w:val="24"/>
          <w:szCs w:val="24"/>
        </w:rPr>
        <w:t>in the production of</w:t>
      </w:r>
      <w:r w:rsidR="007602A4">
        <w:rPr>
          <w:rFonts w:ascii="Times New Roman" w:hAnsi="Times New Roman" w:cs="Times New Roman"/>
          <w:sz w:val="24"/>
          <w:szCs w:val="24"/>
        </w:rPr>
        <w:t xml:space="preserve"> charters and cartularies</w:t>
      </w:r>
      <w:r>
        <w:rPr>
          <w:rFonts w:ascii="Times New Roman" w:hAnsi="Times New Roman" w:cs="Times New Roman"/>
          <w:sz w:val="24"/>
          <w:szCs w:val="24"/>
        </w:rPr>
        <w:t>.</w:t>
      </w:r>
      <w:r w:rsidR="007602A4">
        <w:rPr>
          <w:rFonts w:ascii="Times New Roman" w:hAnsi="Times New Roman" w:cs="Times New Roman"/>
          <w:sz w:val="24"/>
          <w:szCs w:val="24"/>
        </w:rPr>
        <w:t xml:space="preserve"> The originals could have been forgeries, or reinvented documents so that the cartulary compounded this. This was a constant problem in the medieval courts and the lengths taken to try and prevent forgery have been described above. The cartulary was seen as a sworn copy of the originals and therefore carried some weight of authenticity, although this was often misplaced. </w:t>
      </w:r>
      <w:r w:rsidR="005B0F0A">
        <w:rPr>
          <w:rFonts w:ascii="Times New Roman" w:hAnsi="Times New Roman" w:cs="Times New Roman"/>
          <w:sz w:val="24"/>
          <w:szCs w:val="24"/>
        </w:rPr>
        <w:t xml:space="preserve">Forgery of original documents was of varied standards. Salter </w:t>
      </w:r>
      <w:r w:rsidR="00AB2ADE">
        <w:rPr>
          <w:rFonts w:ascii="Times New Roman" w:hAnsi="Times New Roman" w:cs="Times New Roman"/>
          <w:sz w:val="24"/>
          <w:szCs w:val="24"/>
        </w:rPr>
        <w:t xml:space="preserve">discusses the work of Mr Hilary Jenkinson in 1915 and his examination </w:t>
      </w:r>
      <w:r w:rsidR="005B0F0A">
        <w:rPr>
          <w:rFonts w:ascii="Times New Roman" w:hAnsi="Times New Roman" w:cs="Times New Roman"/>
          <w:sz w:val="24"/>
          <w:szCs w:val="24"/>
        </w:rPr>
        <w:t>of two forged charters of Henry II which were forged in the reign of Edward III. The forgers were able to deceive “the elite” of the day with their imitation of the ancient handwriting but there is sufficient evidence to say definitively that t</w:t>
      </w:r>
      <w:r w:rsidR="00AB2ADE">
        <w:rPr>
          <w:rFonts w:ascii="Times New Roman" w:hAnsi="Times New Roman" w:cs="Times New Roman"/>
          <w:sz w:val="24"/>
          <w:szCs w:val="24"/>
        </w:rPr>
        <w:t xml:space="preserve">hey are forgeries including grammatical errors, inaccurate witness names, and incongruous forms of ending not compatible with charters of Henry II. But he does caution against rejecting all documents which “make use of incorrect diplomatic”. </w:t>
      </w:r>
      <w:r w:rsidR="00AB2ADE">
        <w:rPr>
          <w:rStyle w:val="FootnoteReference"/>
          <w:rFonts w:ascii="Times New Roman" w:hAnsi="Times New Roman" w:cs="Times New Roman"/>
          <w:sz w:val="24"/>
          <w:szCs w:val="24"/>
        </w:rPr>
        <w:footnoteReference w:id="14"/>
      </w:r>
    </w:p>
    <w:p w:rsidR="006E2ABC" w:rsidRDefault="002B3A99" w:rsidP="000C581B">
      <w:pPr>
        <w:spacing w:line="360" w:lineRule="auto"/>
        <w:rPr>
          <w:rFonts w:ascii="Times New Roman" w:hAnsi="Times New Roman" w:cs="Times New Roman"/>
          <w:sz w:val="24"/>
          <w:szCs w:val="24"/>
        </w:rPr>
      </w:pPr>
      <w:r>
        <w:rPr>
          <w:rFonts w:ascii="Times New Roman" w:hAnsi="Times New Roman" w:cs="Times New Roman"/>
          <w:sz w:val="24"/>
          <w:szCs w:val="24"/>
        </w:rPr>
        <w:t>Maxwell describes cartularies as “a stitching together of forgeries, translations and transcriptions….to meet contemporary custom and historical desire”</w:t>
      </w:r>
      <w:r w:rsidR="000B59AE">
        <w:rPr>
          <w:rFonts w:ascii="Times New Roman" w:hAnsi="Times New Roman" w:cs="Times New Roman"/>
          <w:sz w:val="24"/>
          <w:szCs w:val="24"/>
        </w:rPr>
        <w:t>.</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He is referring to the documents that make up the Vierzon cartulary which was compiled in the Berrichon Abbey of St. Pierre at Vierzon in the 1150s or 1160s. This cartulary is unusual as it has been embellished with illuminations. The documents</w:t>
      </w:r>
      <w:r w:rsidR="00763B10">
        <w:rPr>
          <w:rFonts w:ascii="Times New Roman" w:hAnsi="Times New Roman" w:cs="Times New Roman"/>
          <w:sz w:val="24"/>
          <w:szCs w:val="24"/>
        </w:rPr>
        <w:t>, of which 116 are charters,</w:t>
      </w:r>
      <w:r>
        <w:rPr>
          <w:rFonts w:ascii="Times New Roman" w:hAnsi="Times New Roman" w:cs="Times New Roman"/>
          <w:sz w:val="24"/>
          <w:szCs w:val="24"/>
        </w:rPr>
        <w:t xml:space="preserve"> are a mixture of legal texts and Maxwell surmises that in the act of transcribing the monks were recalling </w:t>
      </w:r>
      <w:r>
        <w:rPr>
          <w:rFonts w:ascii="Times New Roman" w:hAnsi="Times New Roman" w:cs="Times New Roman"/>
          <w:sz w:val="24"/>
          <w:szCs w:val="24"/>
        </w:rPr>
        <w:lastRenderedPageBreak/>
        <w:t xml:space="preserve">these moments from the history of the monastery. </w:t>
      </w:r>
      <w:r w:rsidR="00763B10">
        <w:rPr>
          <w:rFonts w:ascii="Times New Roman" w:hAnsi="Times New Roman" w:cs="Times New Roman"/>
          <w:sz w:val="24"/>
          <w:szCs w:val="24"/>
        </w:rPr>
        <w:t>The cartulary tells the story of Vierzon in one smooth logical sequence. This flow of history was aided by the transcribing using interpolation and interpretation of the original charters. The added evidence from the illustrations which are “sites of reinvention”</w:t>
      </w:r>
      <w:r w:rsidR="00763B10">
        <w:rPr>
          <w:rStyle w:val="FootnoteReference"/>
          <w:rFonts w:ascii="Times New Roman" w:hAnsi="Times New Roman" w:cs="Times New Roman"/>
          <w:sz w:val="24"/>
          <w:szCs w:val="24"/>
        </w:rPr>
        <w:footnoteReference w:id="16"/>
      </w:r>
      <w:r w:rsidR="00DC58A7">
        <w:rPr>
          <w:rFonts w:ascii="Times New Roman" w:hAnsi="Times New Roman" w:cs="Times New Roman"/>
          <w:sz w:val="24"/>
          <w:szCs w:val="24"/>
        </w:rPr>
        <w:t xml:space="preserve"> and </w:t>
      </w:r>
      <w:r w:rsidR="00763B10">
        <w:rPr>
          <w:rFonts w:ascii="Times New Roman" w:hAnsi="Times New Roman" w:cs="Times New Roman"/>
          <w:sz w:val="24"/>
          <w:szCs w:val="24"/>
        </w:rPr>
        <w:t>the copying, transcribing, forging and manipulating of monograms and seals</w:t>
      </w:r>
      <w:r w:rsidR="00DC58A7">
        <w:rPr>
          <w:rFonts w:ascii="Times New Roman" w:hAnsi="Times New Roman" w:cs="Times New Roman"/>
          <w:sz w:val="24"/>
          <w:szCs w:val="24"/>
        </w:rPr>
        <w:t xml:space="preserve"> lead Maxwell to conclude that the codex was fabricated. The scribe and the illuminator were partaking in a performance to validate the codex transcription, by struggling to give a true translation and then inserting images.</w:t>
      </w:r>
      <w:r w:rsidR="006E2ABC">
        <w:rPr>
          <w:rFonts w:ascii="Times New Roman" w:hAnsi="Times New Roman" w:cs="Times New Roman"/>
          <w:sz w:val="24"/>
          <w:szCs w:val="24"/>
        </w:rPr>
        <w:t xml:space="preserve"> </w:t>
      </w:r>
      <w:r w:rsidR="00B65731">
        <w:rPr>
          <w:rFonts w:ascii="Times New Roman" w:hAnsi="Times New Roman" w:cs="Times New Roman"/>
          <w:sz w:val="24"/>
          <w:szCs w:val="24"/>
        </w:rPr>
        <w:t>In a selection of the texts, t</w:t>
      </w:r>
      <w:r w:rsidR="006E2ABC">
        <w:rPr>
          <w:rFonts w:ascii="Times New Roman" w:hAnsi="Times New Roman" w:cs="Times New Roman"/>
          <w:sz w:val="24"/>
          <w:szCs w:val="24"/>
        </w:rPr>
        <w:t>he cartulary contains images of the signatures and monograms on the original charters but omits the seals</w:t>
      </w:r>
      <w:r w:rsidR="007039B7">
        <w:rPr>
          <w:rFonts w:ascii="Times New Roman" w:hAnsi="Times New Roman" w:cs="Times New Roman"/>
          <w:sz w:val="24"/>
          <w:szCs w:val="24"/>
        </w:rPr>
        <w:t xml:space="preserve">, but these are replaced by the figure of the relevant Abbott at the start of each relevant section. </w:t>
      </w:r>
      <w:r w:rsidR="00B65731">
        <w:rPr>
          <w:rFonts w:ascii="Times New Roman" w:hAnsi="Times New Roman" w:cs="Times New Roman"/>
          <w:sz w:val="24"/>
          <w:szCs w:val="24"/>
        </w:rPr>
        <w:t xml:space="preserve">A number of the illuminations were inspired by seals and so closely resemble seals that the actual seals on the original documents may have been the models for the illuminations. </w:t>
      </w:r>
      <w:r w:rsidR="007039B7">
        <w:rPr>
          <w:rFonts w:ascii="Times New Roman" w:hAnsi="Times New Roman" w:cs="Times New Roman"/>
          <w:sz w:val="24"/>
          <w:szCs w:val="24"/>
        </w:rPr>
        <w:t xml:space="preserve">One tenth of the documents that the scribe was working with in Vierzon were twelfth century forgeries which creates a problem when we look at what the cartulary would have been used for. It was a legally binding document, as binding as the original, and would have been used as evidence in disputes, although there is no proof that the Vierzon cartulary was ever used in a court. The mere fact of its existence may have been sufficient to deter any would-be accusers. </w:t>
      </w:r>
      <w:r w:rsidR="006C4FE8">
        <w:rPr>
          <w:rFonts w:ascii="Times New Roman" w:hAnsi="Times New Roman" w:cs="Times New Roman"/>
          <w:sz w:val="24"/>
          <w:szCs w:val="24"/>
        </w:rPr>
        <w:t>The Vierzon cartulary is composed of true copies of original documents, transformed copies of originals and reinvented gap-fillers, all written and illustrated by a scribe and an illuminator into a new “original document for a new diplomatic moment”</w:t>
      </w:r>
      <w:r w:rsidR="000B59AE">
        <w:rPr>
          <w:rFonts w:ascii="Times New Roman" w:hAnsi="Times New Roman" w:cs="Times New Roman"/>
          <w:sz w:val="24"/>
          <w:szCs w:val="24"/>
        </w:rPr>
        <w:t>.</w:t>
      </w:r>
      <w:r w:rsidR="006C4FE8">
        <w:rPr>
          <w:rStyle w:val="FootnoteReference"/>
          <w:rFonts w:ascii="Times New Roman" w:hAnsi="Times New Roman" w:cs="Times New Roman"/>
          <w:sz w:val="24"/>
          <w:szCs w:val="24"/>
        </w:rPr>
        <w:footnoteReference w:id="17"/>
      </w:r>
    </w:p>
    <w:p w:rsidR="000B01BC" w:rsidRDefault="00651CA5" w:rsidP="000C581B">
      <w:pPr>
        <w:spacing w:line="360" w:lineRule="auto"/>
        <w:rPr>
          <w:rFonts w:ascii="Times New Roman" w:hAnsi="Times New Roman" w:cs="Times New Roman"/>
          <w:sz w:val="24"/>
          <w:szCs w:val="24"/>
        </w:rPr>
      </w:pPr>
      <w:r>
        <w:rPr>
          <w:rFonts w:ascii="Times New Roman" w:hAnsi="Times New Roman" w:cs="Times New Roman"/>
          <w:sz w:val="24"/>
          <w:szCs w:val="24"/>
        </w:rPr>
        <w:t>Battle Abbey was founded by William the Conqueror and as such enjoyed comprehensive liberties, both secular and ecclesiastical. Two cartularies of 1240 and 1330 “preserve an abundance of royal, episcopal, archiepiscopal and papal charters on the subject of Battle’s liberties”.</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Severe doubt has been cast on the charters to the extent that none can now be relied upon. The Abbey claimed exemption from all subjection to bishops, particularly of the bishops of Chichester, according to the chronicler. </w:t>
      </w:r>
      <w:r w:rsidR="001F6055">
        <w:rPr>
          <w:rFonts w:ascii="Times New Roman" w:hAnsi="Times New Roman" w:cs="Times New Roman"/>
          <w:sz w:val="24"/>
          <w:szCs w:val="24"/>
        </w:rPr>
        <w:t xml:space="preserve">William I Harleian Charter 83A 12 is the charter that confirmed the exemption of the Abbey and was read before Archbishop Theobald in Lambeth palace and was forged after the death of Stephen in 1154. William II BM Egerton Charter 2211 is the foundation charter, including the sensational exemption clause and recent </w:t>
      </w:r>
      <w:r w:rsidR="001F6055">
        <w:rPr>
          <w:rFonts w:ascii="Times New Roman" w:hAnsi="Times New Roman" w:cs="Times New Roman"/>
          <w:sz w:val="24"/>
          <w:szCs w:val="24"/>
        </w:rPr>
        <w:lastRenderedPageBreak/>
        <w:t xml:space="preserve">study has shown this also to be a forgery. Two further charters were brought before Henry II in 1154 – 57 as the evidence for the exemption of Battle Abbey; that it should be as independent as Canterbury. The Abbey was </w:t>
      </w:r>
      <w:r w:rsidR="008A344D">
        <w:rPr>
          <w:rFonts w:ascii="Times New Roman" w:hAnsi="Times New Roman" w:cs="Times New Roman"/>
          <w:sz w:val="24"/>
          <w:szCs w:val="24"/>
        </w:rPr>
        <w:t>victorious,</w:t>
      </w:r>
      <w:r w:rsidR="001F6055">
        <w:rPr>
          <w:rFonts w:ascii="Times New Roman" w:hAnsi="Times New Roman" w:cs="Times New Roman"/>
          <w:sz w:val="24"/>
          <w:szCs w:val="24"/>
        </w:rPr>
        <w:t xml:space="preserve"> and all claim had to be renounced by Bishop Hilary. </w:t>
      </w:r>
      <w:r w:rsidR="008A344D">
        <w:rPr>
          <w:rFonts w:ascii="Times New Roman" w:hAnsi="Times New Roman" w:cs="Times New Roman"/>
          <w:sz w:val="24"/>
          <w:szCs w:val="24"/>
        </w:rPr>
        <w:t>Further forgeries up to 1215 “had created charters of each Anglo – Norman King and bishop who had honoured their exemption, not systematically but meeting each new challenge as it arose, over some sixty years, with a new forged charter”.</w:t>
      </w:r>
      <w:r w:rsidR="008A344D">
        <w:rPr>
          <w:rStyle w:val="FootnoteReference"/>
          <w:rFonts w:ascii="Times New Roman" w:hAnsi="Times New Roman" w:cs="Times New Roman"/>
          <w:sz w:val="24"/>
          <w:szCs w:val="24"/>
        </w:rPr>
        <w:footnoteReference w:id="19"/>
      </w:r>
    </w:p>
    <w:p w:rsidR="00810F62" w:rsidRDefault="005F3C7A" w:rsidP="000C581B">
      <w:pPr>
        <w:spacing w:line="360" w:lineRule="auto"/>
        <w:rPr>
          <w:rFonts w:ascii="Times New Roman" w:hAnsi="Times New Roman" w:cs="Times New Roman"/>
          <w:sz w:val="24"/>
          <w:szCs w:val="24"/>
        </w:rPr>
      </w:pPr>
      <w:r>
        <w:rPr>
          <w:rFonts w:ascii="Times New Roman" w:hAnsi="Times New Roman" w:cs="Times New Roman"/>
          <w:sz w:val="24"/>
          <w:szCs w:val="24"/>
        </w:rPr>
        <w:t xml:space="preserve">Where does this leave truth? </w:t>
      </w:r>
      <w:r w:rsidR="00974031">
        <w:rPr>
          <w:rFonts w:ascii="Times New Roman" w:hAnsi="Times New Roman" w:cs="Times New Roman"/>
          <w:sz w:val="24"/>
          <w:szCs w:val="24"/>
        </w:rPr>
        <w:t>Clanchy argues that forgery was sometimes necessary. An oral statement or original Anglo</w:t>
      </w:r>
      <w:r w:rsidR="00265376">
        <w:rPr>
          <w:rFonts w:ascii="Times New Roman" w:hAnsi="Times New Roman" w:cs="Times New Roman"/>
          <w:sz w:val="24"/>
          <w:szCs w:val="24"/>
        </w:rPr>
        <w:t>-</w:t>
      </w:r>
      <w:r w:rsidR="00974031">
        <w:rPr>
          <w:rFonts w:ascii="Times New Roman" w:hAnsi="Times New Roman" w:cs="Times New Roman"/>
          <w:sz w:val="24"/>
          <w:szCs w:val="24"/>
        </w:rPr>
        <w:t>Saxon charter may have been regar</w:t>
      </w:r>
      <w:r w:rsidR="00265376">
        <w:rPr>
          <w:rFonts w:ascii="Times New Roman" w:hAnsi="Times New Roman" w:cs="Times New Roman"/>
          <w:sz w:val="24"/>
          <w:szCs w:val="24"/>
        </w:rPr>
        <w:t>d</w:t>
      </w:r>
      <w:r w:rsidR="00974031">
        <w:rPr>
          <w:rFonts w:ascii="Times New Roman" w:hAnsi="Times New Roman" w:cs="Times New Roman"/>
          <w:sz w:val="24"/>
          <w:szCs w:val="24"/>
        </w:rPr>
        <w:t>ed as unfamiliar and therefore unreliable wher</w:t>
      </w:r>
      <w:r w:rsidR="00265376">
        <w:rPr>
          <w:rFonts w:ascii="Times New Roman" w:hAnsi="Times New Roman" w:cs="Times New Roman"/>
          <w:sz w:val="24"/>
          <w:szCs w:val="24"/>
        </w:rPr>
        <w:t>eas</w:t>
      </w:r>
      <w:r w:rsidR="00974031">
        <w:rPr>
          <w:rFonts w:ascii="Times New Roman" w:hAnsi="Times New Roman" w:cs="Times New Roman"/>
          <w:sz w:val="24"/>
          <w:szCs w:val="24"/>
        </w:rPr>
        <w:t xml:space="preserve"> a good forged Anglo</w:t>
      </w:r>
      <w:r w:rsidR="00265376">
        <w:rPr>
          <w:rFonts w:ascii="Times New Roman" w:hAnsi="Times New Roman" w:cs="Times New Roman"/>
          <w:sz w:val="24"/>
          <w:szCs w:val="24"/>
        </w:rPr>
        <w:t>-N</w:t>
      </w:r>
      <w:r w:rsidR="00974031">
        <w:rPr>
          <w:rFonts w:ascii="Times New Roman" w:hAnsi="Times New Roman" w:cs="Times New Roman"/>
          <w:sz w:val="24"/>
          <w:szCs w:val="24"/>
        </w:rPr>
        <w:t>orman charter</w:t>
      </w:r>
      <w:r w:rsidR="00265376">
        <w:rPr>
          <w:rFonts w:ascii="Times New Roman" w:hAnsi="Times New Roman" w:cs="Times New Roman"/>
          <w:sz w:val="24"/>
          <w:szCs w:val="24"/>
        </w:rPr>
        <w:t xml:space="preserve"> was acceptable in a court of law. “Forgers recreated the past in an acceptable literate form ….and it succeeded because it was ordered and condoned by the greatest scholars, prelates and administrators”</w:t>
      </w:r>
      <w:r w:rsidR="000B59AE">
        <w:rPr>
          <w:rFonts w:ascii="Times New Roman" w:hAnsi="Times New Roman" w:cs="Times New Roman"/>
          <w:sz w:val="24"/>
          <w:szCs w:val="24"/>
        </w:rPr>
        <w:t>.</w:t>
      </w:r>
      <w:r w:rsidR="00265376">
        <w:rPr>
          <w:rStyle w:val="FootnoteReference"/>
          <w:rFonts w:ascii="Times New Roman" w:hAnsi="Times New Roman" w:cs="Times New Roman"/>
          <w:sz w:val="24"/>
          <w:szCs w:val="24"/>
        </w:rPr>
        <w:footnoteReference w:id="20"/>
      </w:r>
      <w:r w:rsidR="00265376">
        <w:rPr>
          <w:rFonts w:ascii="Times New Roman" w:hAnsi="Times New Roman" w:cs="Times New Roman"/>
          <w:sz w:val="24"/>
          <w:szCs w:val="24"/>
        </w:rPr>
        <w:t xml:space="preserve"> Eadmer of Canterbury was certainly involved in the Canterbury forgeries of 1121/22 and Walter, Abbott of Battle was responsible for the Battle Abbey forgeries, despite these gentlemen asserting that they told the truth in the prologues to their works.  </w:t>
      </w:r>
      <w:r>
        <w:rPr>
          <w:rFonts w:ascii="Times New Roman" w:hAnsi="Times New Roman" w:cs="Times New Roman"/>
          <w:sz w:val="24"/>
          <w:szCs w:val="24"/>
        </w:rPr>
        <w:t>The level of forgery undermined the court system and the rise in the acceptability of the written word as authentic witness, plateaued and then declined. Courts returned to using oaths, duel or ordeal to settle cases</w:t>
      </w:r>
      <w:r w:rsidR="000B59AE">
        <w:rPr>
          <w:rFonts w:ascii="Times New Roman" w:hAnsi="Times New Roman" w:cs="Times New Roman"/>
          <w:sz w:val="24"/>
          <w:szCs w:val="24"/>
        </w:rPr>
        <w:t>.</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w:t>
      </w:r>
      <w:r w:rsidR="00133433">
        <w:rPr>
          <w:rFonts w:ascii="Times New Roman" w:hAnsi="Times New Roman" w:cs="Times New Roman"/>
          <w:sz w:val="24"/>
          <w:szCs w:val="24"/>
        </w:rPr>
        <w:t xml:space="preserve">The initial decline in literacy was offset by a rise in literacy in government and law in the late twelfth and early thirteenth centuries because court officials had to come up with a system to distinguish real from fake, they had to identify the “fake news”. Trust in written documents did return when some uniformity was established in record types in Angevin England. </w:t>
      </w:r>
      <w:r w:rsidR="00265376">
        <w:rPr>
          <w:rFonts w:ascii="Times New Roman" w:hAnsi="Times New Roman" w:cs="Times New Roman"/>
          <w:sz w:val="24"/>
          <w:szCs w:val="24"/>
        </w:rPr>
        <w:t xml:space="preserve">The distinctions are further clouded by the authors of cartularies fully believing the original documents they were transcribing were ancient and true, thus </w:t>
      </w:r>
      <w:r w:rsidR="00810F62">
        <w:rPr>
          <w:rFonts w:ascii="Times New Roman" w:hAnsi="Times New Roman" w:cs="Times New Roman"/>
          <w:sz w:val="24"/>
          <w:szCs w:val="24"/>
        </w:rPr>
        <w:t>fooling themselves and the readers. There were no standards or criteria for distinguishing the real from the fake. Clanchy also points out that the intention of a donor, not specifically stated in a charter, could be interpreted and a charter drawn up to authenticate the intention – the clerics were filling the gaps. The Papacy did have means and methods to detect forgeries but often these were ignored as a decision had to be reached in a case and both sides could have forged documents. A certain level of unreliability was tolerated.</w:t>
      </w:r>
    </w:p>
    <w:p w:rsidR="00032715" w:rsidRDefault="00032715" w:rsidP="000C581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problems with original documents regarding authenticity are multiplied when a historian looks at a cartulary. The originals may be forgeries, may be transcribed inaccurately, may be re-invented to tell the story of the religious order or landowner </w:t>
      </w:r>
      <w:r w:rsidR="00CA04B5">
        <w:rPr>
          <w:rFonts w:ascii="Times New Roman" w:hAnsi="Times New Roman" w:cs="Times New Roman"/>
          <w:sz w:val="24"/>
          <w:szCs w:val="24"/>
        </w:rPr>
        <w:t xml:space="preserve">or claimant </w:t>
      </w:r>
      <w:r>
        <w:rPr>
          <w:rFonts w:ascii="Times New Roman" w:hAnsi="Times New Roman" w:cs="Times New Roman"/>
          <w:sz w:val="24"/>
          <w:szCs w:val="24"/>
        </w:rPr>
        <w:t xml:space="preserve">and their right to the land, or grant </w:t>
      </w:r>
      <w:r w:rsidR="00CA04B5">
        <w:rPr>
          <w:rFonts w:ascii="Times New Roman" w:hAnsi="Times New Roman" w:cs="Times New Roman"/>
          <w:sz w:val="24"/>
          <w:szCs w:val="24"/>
        </w:rPr>
        <w:t xml:space="preserve">or gift in question. The cartulary is in itself a genuine document and must be looked at as such. The reasons why it was compiled, how it was </w:t>
      </w:r>
      <w:r w:rsidR="00E3067F">
        <w:rPr>
          <w:rFonts w:ascii="Times New Roman" w:hAnsi="Times New Roman" w:cs="Times New Roman"/>
          <w:sz w:val="24"/>
          <w:szCs w:val="24"/>
        </w:rPr>
        <w:t>written,</w:t>
      </w:r>
      <w:r w:rsidR="00CA04B5">
        <w:rPr>
          <w:rFonts w:ascii="Times New Roman" w:hAnsi="Times New Roman" w:cs="Times New Roman"/>
          <w:sz w:val="24"/>
          <w:szCs w:val="24"/>
        </w:rPr>
        <w:t xml:space="preserve"> and the process are invaluable to historians –</w:t>
      </w:r>
      <w:bookmarkStart w:id="8" w:name="_GoBack"/>
      <w:bookmarkEnd w:id="8"/>
      <w:r w:rsidR="00CA04B5">
        <w:rPr>
          <w:rFonts w:ascii="Times New Roman" w:hAnsi="Times New Roman" w:cs="Times New Roman"/>
          <w:sz w:val="24"/>
          <w:szCs w:val="24"/>
        </w:rPr>
        <w:t xml:space="preserve"> they are </w:t>
      </w:r>
      <w:r w:rsidR="00E3067F">
        <w:rPr>
          <w:rFonts w:ascii="Times New Roman" w:hAnsi="Times New Roman" w:cs="Times New Roman"/>
          <w:sz w:val="24"/>
          <w:szCs w:val="24"/>
        </w:rPr>
        <w:t xml:space="preserve">primary source </w:t>
      </w:r>
      <w:r w:rsidR="00CA04B5">
        <w:rPr>
          <w:rFonts w:ascii="Times New Roman" w:hAnsi="Times New Roman" w:cs="Times New Roman"/>
          <w:sz w:val="24"/>
          <w:szCs w:val="24"/>
        </w:rPr>
        <w:t>evidence from the middle ages and must be valued</w:t>
      </w:r>
      <w:r w:rsidR="000B59AE">
        <w:rPr>
          <w:rFonts w:ascii="Times New Roman" w:hAnsi="Times New Roman" w:cs="Times New Roman"/>
          <w:sz w:val="24"/>
          <w:szCs w:val="24"/>
        </w:rPr>
        <w:t xml:space="preserve"> in their own right. </w:t>
      </w:r>
    </w:p>
    <w:p w:rsidR="000B59AE" w:rsidRDefault="000B59AE" w:rsidP="000C581B">
      <w:pPr>
        <w:spacing w:line="360" w:lineRule="auto"/>
        <w:rPr>
          <w:rFonts w:ascii="Times New Roman" w:hAnsi="Times New Roman" w:cs="Times New Roman"/>
          <w:sz w:val="24"/>
          <w:szCs w:val="24"/>
        </w:rPr>
      </w:pPr>
    </w:p>
    <w:p w:rsidR="000B59AE" w:rsidRPr="00F50182" w:rsidRDefault="000B59AE" w:rsidP="000C581B">
      <w:pPr>
        <w:spacing w:line="360" w:lineRule="auto"/>
        <w:rPr>
          <w:rFonts w:ascii="Times New Roman" w:hAnsi="Times New Roman" w:cs="Times New Roman"/>
          <w:sz w:val="24"/>
          <w:szCs w:val="24"/>
          <w:u w:val="single"/>
        </w:rPr>
      </w:pPr>
      <w:r w:rsidRPr="00F50182">
        <w:rPr>
          <w:rFonts w:ascii="Times New Roman" w:hAnsi="Times New Roman" w:cs="Times New Roman"/>
          <w:sz w:val="24"/>
          <w:szCs w:val="24"/>
          <w:u w:val="single"/>
        </w:rPr>
        <w:t>BIBLIOGRAPHY</w:t>
      </w:r>
    </w:p>
    <w:p w:rsidR="000B59AE" w:rsidRDefault="000B59AE" w:rsidP="000C581B">
      <w:pPr>
        <w:spacing w:line="360" w:lineRule="auto"/>
        <w:rPr>
          <w:rFonts w:ascii="Times New Roman" w:hAnsi="Times New Roman" w:cs="Times New Roman"/>
          <w:sz w:val="24"/>
          <w:szCs w:val="24"/>
        </w:rPr>
      </w:pPr>
      <w:r>
        <w:rPr>
          <w:rFonts w:ascii="Times New Roman" w:hAnsi="Times New Roman" w:cs="Times New Roman"/>
          <w:sz w:val="24"/>
          <w:szCs w:val="24"/>
        </w:rPr>
        <w:t>Books</w:t>
      </w:r>
    </w:p>
    <w:p w:rsidR="000B59AE" w:rsidRDefault="000B59AE" w:rsidP="000C581B">
      <w:pPr>
        <w:spacing w:line="360" w:lineRule="auto"/>
        <w:rPr>
          <w:rFonts w:ascii="Times New Roman" w:hAnsi="Times New Roman" w:cs="Times New Roman"/>
          <w:sz w:val="24"/>
          <w:szCs w:val="24"/>
        </w:rPr>
      </w:pPr>
      <w:r>
        <w:rPr>
          <w:rFonts w:ascii="Times New Roman" w:hAnsi="Times New Roman" w:cs="Times New Roman"/>
          <w:sz w:val="24"/>
          <w:szCs w:val="24"/>
        </w:rPr>
        <w:t>Clanchy, M.T</w:t>
      </w:r>
      <w:r w:rsidRPr="000B59AE">
        <w:rPr>
          <w:rFonts w:ascii="Times New Roman" w:hAnsi="Times New Roman" w:cs="Times New Roman"/>
          <w:i/>
          <w:sz w:val="24"/>
          <w:szCs w:val="24"/>
        </w:rPr>
        <w:t>., From Memory to Written Record, England 1166 – 1307</w:t>
      </w:r>
      <w:r>
        <w:rPr>
          <w:rFonts w:ascii="Times New Roman" w:hAnsi="Times New Roman" w:cs="Times New Roman"/>
          <w:sz w:val="24"/>
          <w:szCs w:val="24"/>
        </w:rPr>
        <w:t xml:space="preserve"> (Oxford, Blackwell Publishing,2005)</w:t>
      </w:r>
    </w:p>
    <w:p w:rsidR="000B59AE" w:rsidRDefault="00942C2A" w:rsidP="000C581B">
      <w:pPr>
        <w:spacing w:line="360" w:lineRule="auto"/>
        <w:rPr>
          <w:rFonts w:ascii="Times New Roman" w:hAnsi="Times New Roman" w:cs="Times New Roman"/>
          <w:sz w:val="24"/>
          <w:szCs w:val="24"/>
        </w:rPr>
      </w:pPr>
      <w:r>
        <w:rPr>
          <w:rFonts w:ascii="Times New Roman" w:hAnsi="Times New Roman" w:cs="Times New Roman"/>
          <w:sz w:val="24"/>
          <w:szCs w:val="24"/>
        </w:rPr>
        <w:t xml:space="preserve">Elton, G.R., </w:t>
      </w:r>
      <w:r w:rsidRPr="00942C2A">
        <w:rPr>
          <w:rFonts w:ascii="Times New Roman" w:hAnsi="Times New Roman" w:cs="Times New Roman"/>
          <w:i/>
          <w:sz w:val="24"/>
          <w:szCs w:val="24"/>
        </w:rPr>
        <w:t>England 1200 – 1640</w:t>
      </w:r>
      <w:r>
        <w:rPr>
          <w:rFonts w:ascii="Times New Roman" w:hAnsi="Times New Roman" w:cs="Times New Roman"/>
          <w:sz w:val="24"/>
          <w:szCs w:val="24"/>
        </w:rPr>
        <w:t xml:space="preserve"> (London, Sources of History Ltd, 1969)</w:t>
      </w:r>
    </w:p>
    <w:p w:rsidR="00942C2A" w:rsidRDefault="00F50182" w:rsidP="000C581B">
      <w:pPr>
        <w:spacing w:line="360" w:lineRule="auto"/>
        <w:rPr>
          <w:rFonts w:ascii="Times New Roman" w:hAnsi="Times New Roman" w:cs="Times New Roman"/>
          <w:sz w:val="24"/>
          <w:szCs w:val="24"/>
        </w:rPr>
      </w:pPr>
      <w:r>
        <w:rPr>
          <w:rFonts w:ascii="Times New Roman" w:hAnsi="Times New Roman" w:cs="Times New Roman"/>
          <w:sz w:val="24"/>
          <w:szCs w:val="24"/>
        </w:rPr>
        <w:t>Articles</w:t>
      </w:r>
    </w:p>
    <w:p w:rsidR="005B5DB9" w:rsidRPr="005B5DB9" w:rsidRDefault="005B5DB9" w:rsidP="005B5DB9">
      <w:pPr>
        <w:pStyle w:val="FootnoteText"/>
        <w:spacing w:line="360" w:lineRule="auto"/>
        <w:rPr>
          <w:rFonts w:ascii="Times New Roman" w:hAnsi="Times New Roman" w:cs="Times New Roman"/>
          <w:sz w:val="24"/>
          <w:szCs w:val="24"/>
        </w:rPr>
      </w:pPr>
      <w:r w:rsidRPr="005B5DB9">
        <w:rPr>
          <w:rFonts w:ascii="Times New Roman" w:hAnsi="Times New Roman" w:cs="Times New Roman"/>
          <w:sz w:val="24"/>
          <w:szCs w:val="24"/>
        </w:rPr>
        <w:t>Clanchy.M.T.,</w:t>
      </w:r>
      <w:r w:rsidRPr="005B5DB9">
        <w:rPr>
          <w:rFonts w:ascii="Times New Roman" w:hAnsi="Times New Roman" w:cs="Times New Roman"/>
          <w:sz w:val="24"/>
          <w:szCs w:val="24"/>
        </w:rPr>
        <w:t xml:space="preserve"> Review of A.J Kosto and A Winroth, </w:t>
      </w:r>
      <w:r w:rsidRPr="005B5DB9">
        <w:rPr>
          <w:rFonts w:ascii="Times New Roman" w:hAnsi="Times New Roman" w:cs="Times New Roman"/>
          <w:i/>
          <w:sz w:val="24"/>
          <w:szCs w:val="24"/>
        </w:rPr>
        <w:t xml:space="preserve">Charters, Cartularies and Archives: The Preservation and Transmission of Documents </w:t>
      </w:r>
      <w:proofErr w:type="gramStart"/>
      <w:r w:rsidRPr="005B5DB9">
        <w:rPr>
          <w:rFonts w:ascii="Times New Roman" w:hAnsi="Times New Roman" w:cs="Times New Roman"/>
          <w:i/>
          <w:sz w:val="24"/>
          <w:szCs w:val="24"/>
        </w:rPr>
        <w:t>In</w:t>
      </w:r>
      <w:proofErr w:type="gramEnd"/>
      <w:r w:rsidRPr="005B5DB9">
        <w:rPr>
          <w:rFonts w:ascii="Times New Roman" w:hAnsi="Times New Roman" w:cs="Times New Roman"/>
          <w:i/>
          <w:sz w:val="24"/>
          <w:szCs w:val="24"/>
        </w:rPr>
        <w:t xml:space="preserve"> the Medieval West (</w:t>
      </w:r>
      <w:r w:rsidRPr="005B5DB9">
        <w:rPr>
          <w:rFonts w:ascii="Times New Roman" w:hAnsi="Times New Roman" w:cs="Times New Roman"/>
          <w:sz w:val="24"/>
          <w:szCs w:val="24"/>
        </w:rPr>
        <w:t>Colloquium of the Commission Internationale de Diplomatique (Princeton and New York, Sept 1999)</w:t>
      </w:r>
    </w:p>
    <w:p w:rsidR="005B5DB9" w:rsidRDefault="005B5DB9" w:rsidP="005B5DB9">
      <w:pPr>
        <w:spacing w:line="360" w:lineRule="auto"/>
        <w:rPr>
          <w:rFonts w:ascii="Times New Roman" w:hAnsi="Times New Roman" w:cs="Times New Roman"/>
          <w:sz w:val="24"/>
          <w:szCs w:val="24"/>
        </w:rPr>
      </w:pPr>
      <w:r>
        <w:rPr>
          <w:rFonts w:ascii="Times New Roman" w:hAnsi="Times New Roman" w:cs="Times New Roman"/>
          <w:sz w:val="24"/>
          <w:szCs w:val="24"/>
        </w:rPr>
        <w:t xml:space="preserve">Brooks, N., The Early Charters of Canterbury Cathedral, </w:t>
      </w:r>
      <w:r w:rsidRPr="00F50182">
        <w:rPr>
          <w:rFonts w:ascii="Times New Roman" w:hAnsi="Times New Roman" w:cs="Times New Roman"/>
          <w:i/>
          <w:sz w:val="24"/>
          <w:szCs w:val="24"/>
        </w:rPr>
        <w:t>British Academy Review</w:t>
      </w:r>
      <w:r>
        <w:rPr>
          <w:rFonts w:ascii="Times New Roman" w:hAnsi="Times New Roman" w:cs="Times New Roman"/>
          <w:sz w:val="24"/>
          <w:szCs w:val="24"/>
        </w:rPr>
        <w:t xml:space="preserve"> (Sept 2013)</w:t>
      </w:r>
    </w:p>
    <w:p w:rsidR="00F50182" w:rsidRDefault="00F50182" w:rsidP="000C581B">
      <w:pPr>
        <w:spacing w:line="360" w:lineRule="auto"/>
        <w:rPr>
          <w:rFonts w:ascii="Times New Roman" w:hAnsi="Times New Roman" w:cs="Times New Roman"/>
          <w:sz w:val="24"/>
          <w:szCs w:val="24"/>
        </w:rPr>
      </w:pPr>
      <w:r>
        <w:rPr>
          <w:rFonts w:ascii="Times New Roman" w:hAnsi="Times New Roman" w:cs="Times New Roman"/>
          <w:sz w:val="24"/>
          <w:szCs w:val="24"/>
        </w:rPr>
        <w:t>G</w:t>
      </w:r>
      <w:r>
        <w:rPr>
          <w:rFonts w:ascii="Times New Roman" w:hAnsi="Times New Roman" w:cs="Times New Roman"/>
          <w:sz w:val="24"/>
          <w:szCs w:val="24"/>
        </w:rPr>
        <w:t>.R. Davis, Breay. C., Harrison.J., Smith.DM., Medieval Cartularies of Great Britain and Ireland, (review by J.</w:t>
      </w:r>
      <w:r w:rsidR="005B5DB9">
        <w:rPr>
          <w:rFonts w:ascii="Times New Roman" w:hAnsi="Times New Roman" w:cs="Times New Roman"/>
          <w:sz w:val="24"/>
          <w:szCs w:val="24"/>
        </w:rPr>
        <w:t>S. Moore</w:t>
      </w:r>
      <w:r>
        <w:rPr>
          <w:rFonts w:ascii="Times New Roman" w:hAnsi="Times New Roman" w:cs="Times New Roman"/>
          <w:sz w:val="24"/>
          <w:szCs w:val="24"/>
        </w:rPr>
        <w:t xml:space="preserve">, </w:t>
      </w:r>
      <w:r w:rsidRPr="00F50182">
        <w:rPr>
          <w:rFonts w:ascii="Times New Roman" w:hAnsi="Times New Roman" w:cs="Times New Roman"/>
          <w:i/>
          <w:sz w:val="24"/>
          <w:szCs w:val="24"/>
        </w:rPr>
        <w:t>The Economic History Review,</w:t>
      </w:r>
      <w:r>
        <w:rPr>
          <w:rFonts w:ascii="Times New Roman" w:hAnsi="Times New Roman" w:cs="Times New Roman"/>
          <w:sz w:val="24"/>
          <w:szCs w:val="24"/>
        </w:rPr>
        <w:t xml:space="preserve"> Vol </w:t>
      </w:r>
      <w:r w:rsidR="005B5DB9">
        <w:rPr>
          <w:rFonts w:ascii="Times New Roman" w:hAnsi="Times New Roman" w:cs="Times New Roman"/>
          <w:sz w:val="24"/>
          <w:szCs w:val="24"/>
        </w:rPr>
        <w:t>64. No</w:t>
      </w:r>
      <w:r>
        <w:rPr>
          <w:rFonts w:ascii="Times New Roman" w:hAnsi="Times New Roman" w:cs="Times New Roman"/>
          <w:sz w:val="24"/>
          <w:szCs w:val="24"/>
        </w:rPr>
        <w:t xml:space="preserve"> 2 (May 2011)</w:t>
      </w:r>
      <w:r w:rsidR="005B5DB9">
        <w:rPr>
          <w:rFonts w:ascii="Times New Roman" w:hAnsi="Times New Roman" w:cs="Times New Roman"/>
          <w:sz w:val="24"/>
          <w:szCs w:val="24"/>
        </w:rPr>
        <w:t xml:space="preserve"> </w:t>
      </w:r>
      <w:r>
        <w:rPr>
          <w:rFonts w:ascii="Times New Roman" w:hAnsi="Times New Roman" w:cs="Times New Roman"/>
          <w:sz w:val="24"/>
          <w:szCs w:val="24"/>
        </w:rPr>
        <w:t>p671-2</w:t>
      </w:r>
    </w:p>
    <w:p w:rsidR="00F50182" w:rsidRDefault="005B5DB9" w:rsidP="000C581B">
      <w:pPr>
        <w:spacing w:line="360" w:lineRule="auto"/>
        <w:rPr>
          <w:rFonts w:ascii="Times New Roman" w:hAnsi="Times New Roman" w:cs="Times New Roman"/>
          <w:sz w:val="24"/>
          <w:szCs w:val="24"/>
        </w:rPr>
      </w:pPr>
      <w:r>
        <w:rPr>
          <w:rFonts w:ascii="Times New Roman" w:hAnsi="Times New Roman" w:cs="Times New Roman"/>
          <w:sz w:val="24"/>
          <w:szCs w:val="24"/>
        </w:rPr>
        <w:t>Geary.P. J</w:t>
      </w:r>
      <w:r w:rsidR="00F50182">
        <w:rPr>
          <w:rFonts w:ascii="Times New Roman" w:hAnsi="Times New Roman" w:cs="Times New Roman"/>
          <w:sz w:val="24"/>
          <w:szCs w:val="24"/>
        </w:rPr>
        <w:t xml:space="preserve">, Land, Language and Memory in Europe from 700-1100, </w:t>
      </w:r>
      <w:r w:rsidR="00F50182" w:rsidRPr="00F50182">
        <w:rPr>
          <w:rFonts w:ascii="Times New Roman" w:hAnsi="Times New Roman" w:cs="Times New Roman"/>
          <w:i/>
          <w:sz w:val="24"/>
          <w:szCs w:val="24"/>
        </w:rPr>
        <w:t xml:space="preserve">Transactions of the Royal Historical </w:t>
      </w:r>
      <w:r w:rsidRPr="00F50182">
        <w:rPr>
          <w:rFonts w:ascii="Times New Roman" w:hAnsi="Times New Roman" w:cs="Times New Roman"/>
          <w:i/>
          <w:sz w:val="24"/>
          <w:szCs w:val="24"/>
        </w:rPr>
        <w:t>Society</w:t>
      </w:r>
      <w:r>
        <w:rPr>
          <w:rFonts w:ascii="Times New Roman" w:hAnsi="Times New Roman" w:cs="Times New Roman"/>
          <w:sz w:val="24"/>
          <w:szCs w:val="24"/>
        </w:rPr>
        <w:t>, Vol</w:t>
      </w:r>
      <w:r w:rsidR="00F50182">
        <w:rPr>
          <w:rFonts w:ascii="Times New Roman" w:hAnsi="Times New Roman" w:cs="Times New Roman"/>
          <w:sz w:val="24"/>
          <w:szCs w:val="24"/>
        </w:rPr>
        <w:t xml:space="preserve"> 9 (1999)</w:t>
      </w:r>
      <w:r>
        <w:rPr>
          <w:rFonts w:ascii="Times New Roman" w:hAnsi="Times New Roman" w:cs="Times New Roman"/>
          <w:sz w:val="24"/>
          <w:szCs w:val="24"/>
        </w:rPr>
        <w:t xml:space="preserve"> </w:t>
      </w:r>
      <w:r w:rsidR="00F50182">
        <w:rPr>
          <w:rFonts w:ascii="Times New Roman" w:hAnsi="Times New Roman" w:cs="Times New Roman"/>
          <w:sz w:val="24"/>
          <w:szCs w:val="24"/>
        </w:rPr>
        <w:t xml:space="preserve">p169 </w:t>
      </w:r>
      <w:r>
        <w:rPr>
          <w:rFonts w:ascii="Times New Roman" w:hAnsi="Times New Roman" w:cs="Times New Roman"/>
          <w:sz w:val="24"/>
          <w:szCs w:val="24"/>
        </w:rPr>
        <w:t>-</w:t>
      </w:r>
      <w:r w:rsidR="00F50182">
        <w:rPr>
          <w:rFonts w:ascii="Times New Roman" w:hAnsi="Times New Roman" w:cs="Times New Roman"/>
          <w:sz w:val="24"/>
          <w:szCs w:val="24"/>
        </w:rPr>
        <w:t>184</w:t>
      </w:r>
    </w:p>
    <w:p w:rsidR="00F50182" w:rsidRDefault="001221C8" w:rsidP="000C581B">
      <w:pPr>
        <w:spacing w:line="360" w:lineRule="auto"/>
        <w:rPr>
          <w:rFonts w:ascii="Times New Roman" w:hAnsi="Times New Roman" w:cs="Times New Roman"/>
          <w:sz w:val="24"/>
          <w:szCs w:val="24"/>
        </w:rPr>
      </w:pPr>
      <w:r>
        <w:rPr>
          <w:rFonts w:ascii="Times New Roman" w:hAnsi="Times New Roman" w:cs="Times New Roman"/>
          <w:sz w:val="24"/>
          <w:szCs w:val="24"/>
        </w:rPr>
        <w:t>Gulley</w:t>
      </w:r>
      <w:r w:rsidR="005B5DB9">
        <w:rPr>
          <w:rFonts w:ascii="Times New Roman" w:hAnsi="Times New Roman" w:cs="Times New Roman"/>
          <w:sz w:val="24"/>
          <w:szCs w:val="24"/>
        </w:rPr>
        <w:t xml:space="preserve">.J.L.M., The Bruton Cartulary, </w:t>
      </w:r>
      <w:r w:rsidR="005B5DB9" w:rsidRPr="005B5DB9">
        <w:rPr>
          <w:rFonts w:ascii="Times New Roman" w:hAnsi="Times New Roman" w:cs="Times New Roman"/>
          <w:i/>
          <w:sz w:val="24"/>
          <w:szCs w:val="24"/>
        </w:rPr>
        <w:t>The British Museum Quarterly</w:t>
      </w:r>
      <w:r w:rsidR="005B5DB9">
        <w:rPr>
          <w:rFonts w:ascii="Times New Roman" w:hAnsi="Times New Roman" w:cs="Times New Roman"/>
          <w:sz w:val="24"/>
          <w:szCs w:val="24"/>
        </w:rPr>
        <w:t>, Vol 27, No1/2 (Autumn 1963) p5-9</w:t>
      </w:r>
    </w:p>
    <w:p w:rsidR="005B5DB9" w:rsidRDefault="005B5DB9" w:rsidP="000C581B">
      <w:pPr>
        <w:spacing w:line="360" w:lineRule="auto"/>
        <w:rPr>
          <w:rFonts w:ascii="Times New Roman" w:hAnsi="Times New Roman" w:cs="Times New Roman"/>
          <w:sz w:val="24"/>
          <w:szCs w:val="24"/>
        </w:rPr>
      </w:pPr>
      <w:r>
        <w:rPr>
          <w:rFonts w:ascii="Times New Roman" w:hAnsi="Times New Roman" w:cs="Times New Roman"/>
          <w:sz w:val="24"/>
          <w:szCs w:val="24"/>
        </w:rPr>
        <w:t xml:space="preserve">Kemp.B.R., Reading Abbey Cartularies, (review by W.R. Jones) </w:t>
      </w:r>
      <w:bookmarkStart w:id="9" w:name="_Hlk9609202"/>
      <w:r w:rsidRPr="005B5DB9">
        <w:rPr>
          <w:rFonts w:ascii="Times New Roman" w:hAnsi="Times New Roman" w:cs="Times New Roman"/>
          <w:i/>
          <w:sz w:val="24"/>
          <w:szCs w:val="24"/>
        </w:rPr>
        <w:t>Albion: A Quarterly Journal Concerned with British Studies</w:t>
      </w:r>
      <w:bookmarkEnd w:id="9"/>
      <w:r w:rsidRPr="005B5DB9">
        <w:rPr>
          <w:rFonts w:ascii="Times New Roman" w:hAnsi="Times New Roman" w:cs="Times New Roman"/>
          <w:i/>
          <w:sz w:val="24"/>
          <w:szCs w:val="24"/>
        </w:rPr>
        <w:t>.</w:t>
      </w:r>
      <w:r>
        <w:rPr>
          <w:rFonts w:ascii="Times New Roman" w:hAnsi="Times New Roman" w:cs="Times New Roman"/>
          <w:sz w:val="24"/>
          <w:szCs w:val="24"/>
        </w:rPr>
        <w:t xml:space="preserve"> Vol 21. No 1 (Spring 1989)</w:t>
      </w:r>
    </w:p>
    <w:p w:rsidR="005B5DB9" w:rsidRDefault="005B5DB9" w:rsidP="000C581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Maxwell.R.A., Sealing Signs and Art of Transcribing in the Vierzon Cartulary, </w:t>
      </w:r>
      <w:r w:rsidRPr="005B5DB9">
        <w:rPr>
          <w:rFonts w:ascii="Times New Roman" w:hAnsi="Times New Roman" w:cs="Times New Roman"/>
          <w:i/>
          <w:sz w:val="24"/>
          <w:szCs w:val="24"/>
        </w:rPr>
        <w:t>The Art Bulletin.</w:t>
      </w:r>
      <w:r>
        <w:rPr>
          <w:rFonts w:ascii="Times New Roman" w:hAnsi="Times New Roman" w:cs="Times New Roman"/>
          <w:sz w:val="24"/>
          <w:szCs w:val="24"/>
        </w:rPr>
        <w:t>Vol 81. No.4 (December 1999)</w:t>
      </w:r>
    </w:p>
    <w:p w:rsidR="005B5DB9" w:rsidRDefault="005B5DB9" w:rsidP="000C581B">
      <w:pPr>
        <w:spacing w:line="360" w:lineRule="auto"/>
        <w:rPr>
          <w:rFonts w:ascii="Times New Roman" w:hAnsi="Times New Roman" w:cs="Times New Roman"/>
          <w:sz w:val="24"/>
          <w:szCs w:val="24"/>
        </w:rPr>
      </w:pPr>
      <w:r>
        <w:rPr>
          <w:rFonts w:ascii="Times New Roman" w:hAnsi="Times New Roman" w:cs="Times New Roman"/>
          <w:sz w:val="24"/>
          <w:szCs w:val="24"/>
        </w:rPr>
        <w:t xml:space="preserve">O’Brien.B., Forgery and Literacy of the Early Common Law, </w:t>
      </w:r>
      <w:r w:rsidR="00DF0BB3" w:rsidRPr="005B5DB9">
        <w:rPr>
          <w:rFonts w:ascii="Times New Roman" w:hAnsi="Times New Roman" w:cs="Times New Roman"/>
          <w:i/>
          <w:sz w:val="24"/>
          <w:szCs w:val="24"/>
        </w:rPr>
        <w:t xml:space="preserve">Albion: A Quarterly Journal Concerned with British </w:t>
      </w:r>
      <w:r w:rsidR="00DF0BB3" w:rsidRPr="005B5DB9">
        <w:rPr>
          <w:rFonts w:ascii="Times New Roman" w:hAnsi="Times New Roman" w:cs="Times New Roman"/>
          <w:i/>
          <w:sz w:val="24"/>
          <w:szCs w:val="24"/>
        </w:rPr>
        <w:t>Studies</w:t>
      </w:r>
      <w:r w:rsidR="00DF0BB3">
        <w:rPr>
          <w:rFonts w:ascii="Times New Roman" w:hAnsi="Times New Roman" w:cs="Times New Roman"/>
          <w:i/>
          <w:sz w:val="24"/>
          <w:szCs w:val="24"/>
        </w:rPr>
        <w:t>,</w:t>
      </w:r>
      <w:r w:rsidR="00DF0BB3" w:rsidRPr="00DF0BB3">
        <w:rPr>
          <w:rFonts w:ascii="Times New Roman" w:hAnsi="Times New Roman" w:cs="Times New Roman"/>
          <w:sz w:val="24"/>
          <w:szCs w:val="24"/>
        </w:rPr>
        <w:t xml:space="preserve"> Vol.27.No</w:t>
      </w:r>
      <w:proofErr w:type="gramStart"/>
      <w:r w:rsidR="00DF0BB3" w:rsidRPr="00DF0BB3">
        <w:rPr>
          <w:rFonts w:ascii="Times New Roman" w:hAnsi="Times New Roman" w:cs="Times New Roman"/>
          <w:sz w:val="24"/>
          <w:szCs w:val="24"/>
        </w:rPr>
        <w:t>1,(</w:t>
      </w:r>
      <w:proofErr w:type="gramEnd"/>
      <w:r w:rsidR="00DF0BB3" w:rsidRPr="00DF0BB3">
        <w:rPr>
          <w:rFonts w:ascii="Times New Roman" w:hAnsi="Times New Roman" w:cs="Times New Roman"/>
          <w:sz w:val="24"/>
          <w:szCs w:val="24"/>
        </w:rPr>
        <w:t>Spring 1995)</w:t>
      </w:r>
    </w:p>
    <w:p w:rsidR="00DF0BB3" w:rsidRDefault="00DF0BB3" w:rsidP="000C581B">
      <w:pPr>
        <w:spacing w:line="360" w:lineRule="auto"/>
        <w:rPr>
          <w:rFonts w:ascii="Times New Roman" w:hAnsi="Times New Roman" w:cs="Times New Roman"/>
          <w:sz w:val="24"/>
          <w:szCs w:val="24"/>
        </w:rPr>
      </w:pPr>
      <w:r>
        <w:rPr>
          <w:rFonts w:ascii="Times New Roman" w:hAnsi="Times New Roman" w:cs="Times New Roman"/>
          <w:sz w:val="24"/>
          <w:szCs w:val="24"/>
        </w:rPr>
        <w:t xml:space="preserve">Power.D., ‘The Transformation of Norman Charters in the twelfth century’, from </w:t>
      </w:r>
      <w:r w:rsidRPr="00892D4A">
        <w:rPr>
          <w:rFonts w:ascii="Times New Roman" w:hAnsi="Times New Roman" w:cs="Times New Roman"/>
          <w:i/>
          <w:sz w:val="24"/>
          <w:szCs w:val="24"/>
        </w:rPr>
        <w:t>People, Texts and Artefacts, Cultural Transmission in the Medieval Norman Worlds.</w:t>
      </w:r>
      <w:r>
        <w:rPr>
          <w:rFonts w:ascii="Times New Roman" w:hAnsi="Times New Roman" w:cs="Times New Roman"/>
          <w:sz w:val="24"/>
          <w:szCs w:val="24"/>
        </w:rPr>
        <w:t xml:space="preserve"> Edited by David Bates, Edoardo D’Angelo and Elizabeth von Houts (London, School of Advanced Study,2017)</w:t>
      </w:r>
    </w:p>
    <w:p w:rsidR="00892D4A" w:rsidRDefault="00892D4A" w:rsidP="000C581B">
      <w:pPr>
        <w:spacing w:line="360" w:lineRule="auto"/>
        <w:rPr>
          <w:rFonts w:ascii="Times New Roman" w:hAnsi="Times New Roman" w:cs="Times New Roman"/>
          <w:sz w:val="24"/>
          <w:szCs w:val="24"/>
        </w:rPr>
      </w:pPr>
      <w:r>
        <w:rPr>
          <w:rFonts w:ascii="Times New Roman" w:hAnsi="Times New Roman" w:cs="Times New Roman"/>
          <w:sz w:val="24"/>
          <w:szCs w:val="24"/>
        </w:rPr>
        <w:t xml:space="preserve">Riden.P., The Middle Ages, </w:t>
      </w:r>
      <w:r w:rsidRPr="00892D4A">
        <w:rPr>
          <w:rFonts w:ascii="Times New Roman" w:hAnsi="Times New Roman" w:cs="Times New Roman"/>
          <w:i/>
          <w:sz w:val="24"/>
          <w:szCs w:val="24"/>
        </w:rPr>
        <w:t xml:space="preserve">Record Sources for Local History </w:t>
      </w:r>
      <w:r>
        <w:rPr>
          <w:rFonts w:ascii="Times New Roman" w:hAnsi="Times New Roman" w:cs="Times New Roman"/>
          <w:sz w:val="24"/>
          <w:szCs w:val="24"/>
        </w:rPr>
        <w:t>(B.T. Batsford Ltd) p.22-50</w:t>
      </w:r>
    </w:p>
    <w:p w:rsidR="00892D4A" w:rsidRDefault="00892D4A" w:rsidP="000C581B">
      <w:pPr>
        <w:spacing w:line="360" w:lineRule="auto"/>
        <w:rPr>
          <w:rFonts w:ascii="Times New Roman" w:hAnsi="Times New Roman" w:cs="Times New Roman"/>
          <w:sz w:val="24"/>
          <w:szCs w:val="24"/>
        </w:rPr>
      </w:pPr>
      <w:r>
        <w:rPr>
          <w:rFonts w:ascii="Times New Roman" w:hAnsi="Times New Roman" w:cs="Times New Roman"/>
          <w:sz w:val="24"/>
          <w:szCs w:val="24"/>
        </w:rPr>
        <w:t xml:space="preserve">Salter.H.E., Forged Charters of Henry II, </w:t>
      </w:r>
      <w:r w:rsidRPr="00892D4A">
        <w:rPr>
          <w:rFonts w:ascii="Times New Roman" w:hAnsi="Times New Roman" w:cs="Times New Roman"/>
          <w:i/>
          <w:sz w:val="24"/>
          <w:szCs w:val="24"/>
        </w:rPr>
        <w:t xml:space="preserve">The English Historical </w:t>
      </w:r>
      <w:r>
        <w:rPr>
          <w:rFonts w:ascii="Times New Roman" w:hAnsi="Times New Roman" w:cs="Times New Roman"/>
          <w:i/>
          <w:sz w:val="24"/>
          <w:szCs w:val="24"/>
        </w:rPr>
        <w:t>R</w:t>
      </w:r>
      <w:r w:rsidRPr="00892D4A">
        <w:rPr>
          <w:rFonts w:ascii="Times New Roman" w:hAnsi="Times New Roman" w:cs="Times New Roman"/>
          <w:i/>
          <w:sz w:val="24"/>
          <w:szCs w:val="24"/>
        </w:rPr>
        <w:t>eview</w:t>
      </w:r>
      <w:r>
        <w:rPr>
          <w:rFonts w:ascii="Times New Roman" w:hAnsi="Times New Roman" w:cs="Times New Roman"/>
          <w:sz w:val="24"/>
          <w:szCs w:val="24"/>
        </w:rPr>
        <w:t>, Vol 34. No 133 (Jan 1919)</w:t>
      </w:r>
    </w:p>
    <w:p w:rsidR="00892D4A" w:rsidRPr="00DF0BB3" w:rsidRDefault="00892D4A" w:rsidP="000C581B">
      <w:pPr>
        <w:spacing w:line="360" w:lineRule="auto"/>
        <w:rPr>
          <w:rFonts w:ascii="Times New Roman" w:hAnsi="Times New Roman" w:cs="Times New Roman"/>
          <w:sz w:val="24"/>
          <w:szCs w:val="24"/>
        </w:rPr>
      </w:pPr>
      <w:r>
        <w:rPr>
          <w:rFonts w:ascii="Times New Roman" w:hAnsi="Times New Roman" w:cs="Times New Roman"/>
          <w:sz w:val="24"/>
          <w:szCs w:val="24"/>
        </w:rPr>
        <w:t xml:space="preserve">Searle.E., Battle Abbey and Exemption: The Forged Charters, </w:t>
      </w:r>
      <w:r w:rsidRPr="00892D4A">
        <w:rPr>
          <w:rFonts w:ascii="Times New Roman" w:hAnsi="Times New Roman" w:cs="Times New Roman"/>
          <w:i/>
          <w:sz w:val="24"/>
          <w:szCs w:val="24"/>
        </w:rPr>
        <w:t>The English Historical Review.</w:t>
      </w:r>
      <w:r>
        <w:rPr>
          <w:rFonts w:ascii="Times New Roman" w:hAnsi="Times New Roman" w:cs="Times New Roman"/>
          <w:sz w:val="24"/>
          <w:szCs w:val="24"/>
        </w:rPr>
        <w:t xml:space="preserve"> Vol 83. No 328 (July 1968)</w:t>
      </w:r>
    </w:p>
    <w:p w:rsidR="00F50182" w:rsidRDefault="00F50182" w:rsidP="000C581B">
      <w:pPr>
        <w:spacing w:line="360" w:lineRule="auto"/>
        <w:rPr>
          <w:rFonts w:ascii="Times New Roman" w:hAnsi="Times New Roman" w:cs="Times New Roman"/>
          <w:sz w:val="24"/>
          <w:szCs w:val="24"/>
        </w:rPr>
      </w:pPr>
    </w:p>
    <w:p w:rsidR="00810F62" w:rsidRDefault="00810F62" w:rsidP="000C581B">
      <w:pPr>
        <w:spacing w:line="360" w:lineRule="auto"/>
        <w:rPr>
          <w:rFonts w:ascii="Times New Roman" w:hAnsi="Times New Roman" w:cs="Times New Roman"/>
          <w:sz w:val="24"/>
          <w:szCs w:val="24"/>
        </w:rPr>
      </w:pPr>
    </w:p>
    <w:p w:rsidR="00D91B39" w:rsidRDefault="00D91B39" w:rsidP="000C581B">
      <w:pPr>
        <w:spacing w:line="360" w:lineRule="auto"/>
        <w:rPr>
          <w:rFonts w:ascii="Times New Roman" w:hAnsi="Times New Roman" w:cs="Times New Roman"/>
          <w:sz w:val="24"/>
          <w:szCs w:val="24"/>
        </w:rPr>
      </w:pPr>
    </w:p>
    <w:p w:rsidR="00987C7B" w:rsidRDefault="00987C7B" w:rsidP="000C581B">
      <w:pPr>
        <w:spacing w:line="360" w:lineRule="auto"/>
        <w:rPr>
          <w:rFonts w:ascii="Times New Roman" w:hAnsi="Times New Roman" w:cs="Times New Roman"/>
          <w:sz w:val="24"/>
          <w:szCs w:val="24"/>
        </w:rPr>
      </w:pPr>
    </w:p>
    <w:p w:rsidR="00A274BF" w:rsidRPr="000C581B" w:rsidRDefault="00A274BF" w:rsidP="000C581B">
      <w:pPr>
        <w:spacing w:line="360" w:lineRule="auto"/>
        <w:rPr>
          <w:rFonts w:ascii="Times New Roman" w:hAnsi="Times New Roman" w:cs="Times New Roman"/>
          <w:sz w:val="24"/>
          <w:szCs w:val="24"/>
        </w:rPr>
      </w:pPr>
    </w:p>
    <w:sectPr w:rsidR="00A274BF" w:rsidRPr="000C58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2A76" w:rsidRDefault="00B02A76" w:rsidP="000C581B">
      <w:pPr>
        <w:spacing w:after="0" w:line="240" w:lineRule="auto"/>
      </w:pPr>
      <w:r>
        <w:separator/>
      </w:r>
    </w:p>
  </w:endnote>
  <w:endnote w:type="continuationSeparator" w:id="0">
    <w:p w:rsidR="00B02A76" w:rsidRDefault="00B02A76" w:rsidP="000C58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2A76" w:rsidRDefault="00B02A76" w:rsidP="000C581B">
      <w:pPr>
        <w:spacing w:after="0" w:line="240" w:lineRule="auto"/>
      </w:pPr>
      <w:r>
        <w:separator/>
      </w:r>
    </w:p>
  </w:footnote>
  <w:footnote w:type="continuationSeparator" w:id="0">
    <w:p w:rsidR="00B02A76" w:rsidRDefault="00B02A76" w:rsidP="000C581B">
      <w:pPr>
        <w:spacing w:after="0" w:line="240" w:lineRule="auto"/>
      </w:pPr>
      <w:r>
        <w:continuationSeparator/>
      </w:r>
    </w:p>
  </w:footnote>
  <w:footnote w:id="1">
    <w:p w:rsidR="000C581B" w:rsidRDefault="000C581B">
      <w:pPr>
        <w:pStyle w:val="FootnoteText"/>
      </w:pPr>
      <w:r>
        <w:rPr>
          <w:rStyle w:val="FootnoteReference"/>
        </w:rPr>
        <w:footnoteRef/>
      </w:r>
      <w:r>
        <w:t xml:space="preserve"> </w:t>
      </w:r>
      <w:bookmarkStart w:id="0" w:name="_Hlk9448934"/>
      <w:r>
        <w:t xml:space="preserve">M. T. Clanchy, </w:t>
      </w:r>
      <w:r w:rsidRPr="00A40351">
        <w:rPr>
          <w:i/>
        </w:rPr>
        <w:t>From Memory to Written Record, England 1066 – 1307</w:t>
      </w:r>
      <w:r>
        <w:t xml:space="preserve"> (Oxford</w:t>
      </w:r>
      <w:r w:rsidR="00937A63">
        <w:t>:</w:t>
      </w:r>
      <w:r w:rsidR="005D1880">
        <w:t xml:space="preserve"> </w:t>
      </w:r>
      <w:r w:rsidR="00937A63">
        <w:t>Blackwell,</w:t>
      </w:r>
      <w:r>
        <w:t xml:space="preserve"> 2005)</w:t>
      </w:r>
      <w:bookmarkEnd w:id="0"/>
    </w:p>
  </w:footnote>
  <w:footnote w:id="2">
    <w:p w:rsidR="00E414F9" w:rsidRDefault="00E414F9">
      <w:pPr>
        <w:pStyle w:val="FootnoteText"/>
      </w:pPr>
      <w:r>
        <w:rPr>
          <w:rStyle w:val="FootnoteReference"/>
        </w:rPr>
        <w:footnoteRef/>
      </w:r>
      <w:r>
        <w:t xml:space="preserve"> </w:t>
      </w:r>
      <w:bookmarkStart w:id="1" w:name="_Hlk9520013"/>
      <w:r>
        <w:t xml:space="preserve">Robert. A. Maxwell, </w:t>
      </w:r>
      <w:r w:rsidR="005D1880">
        <w:t>‘</w:t>
      </w:r>
      <w:r w:rsidRPr="005D1880">
        <w:t>Sealing Signs and the Art of Transcribing in the Vierzon Cartulary</w:t>
      </w:r>
      <w:r w:rsidR="005D1880">
        <w:t>’,</w:t>
      </w:r>
      <w:r>
        <w:t xml:space="preserve"> </w:t>
      </w:r>
      <w:r w:rsidRPr="005D1880">
        <w:rPr>
          <w:i/>
        </w:rPr>
        <w:t>The Art Bulletin</w:t>
      </w:r>
      <w:r>
        <w:t xml:space="preserve"> (Dec 1999) p 576 - 597</w:t>
      </w:r>
    </w:p>
    <w:bookmarkEnd w:id="1"/>
  </w:footnote>
  <w:footnote w:id="3">
    <w:p w:rsidR="005D1880" w:rsidRDefault="005D1880">
      <w:pPr>
        <w:pStyle w:val="FootnoteText"/>
      </w:pPr>
      <w:r>
        <w:rPr>
          <w:rStyle w:val="FootnoteReference"/>
        </w:rPr>
        <w:footnoteRef/>
      </w:r>
      <w:r>
        <w:t xml:space="preserve"> Patrick.</w:t>
      </w:r>
      <w:r w:rsidR="00E241EE">
        <w:t xml:space="preserve"> </w:t>
      </w:r>
      <w:r>
        <w:t>J.</w:t>
      </w:r>
      <w:r w:rsidR="00E241EE">
        <w:t xml:space="preserve"> </w:t>
      </w:r>
      <w:r>
        <w:t>Geary,</w:t>
      </w:r>
      <w:r w:rsidR="00E241EE">
        <w:t xml:space="preserve"> </w:t>
      </w:r>
      <w:r>
        <w:t>’Language and Memory in Europe 700 – 1100’,</w:t>
      </w:r>
      <w:r w:rsidR="00E241EE">
        <w:t xml:space="preserve"> </w:t>
      </w:r>
      <w:r w:rsidRPr="00010D11">
        <w:rPr>
          <w:i/>
        </w:rPr>
        <w:t>Transactions of the Royal Historical Society</w:t>
      </w:r>
      <w:r>
        <w:t xml:space="preserve"> Vol.</w:t>
      </w:r>
      <w:proofErr w:type="gramStart"/>
      <w:r>
        <w:t>9,(</w:t>
      </w:r>
      <w:proofErr w:type="gramEnd"/>
      <w:r>
        <w:t>1999), p 169 - 184</w:t>
      </w:r>
    </w:p>
  </w:footnote>
  <w:footnote w:id="4">
    <w:p w:rsidR="00B8492F" w:rsidRDefault="00B8492F">
      <w:pPr>
        <w:pStyle w:val="FootnoteText"/>
      </w:pPr>
      <w:r>
        <w:rPr>
          <w:rStyle w:val="FootnoteReference"/>
        </w:rPr>
        <w:footnoteRef/>
      </w:r>
      <w:r>
        <w:t xml:space="preserve"> Ibid</w:t>
      </w:r>
    </w:p>
  </w:footnote>
  <w:footnote w:id="5">
    <w:p w:rsidR="0063189A" w:rsidRDefault="0063189A" w:rsidP="0063189A">
      <w:pPr>
        <w:pStyle w:val="FootnoteText"/>
      </w:pPr>
      <w:r>
        <w:rPr>
          <w:rStyle w:val="FootnoteReference"/>
        </w:rPr>
        <w:footnoteRef/>
      </w:r>
      <w:r>
        <w:t xml:space="preserve"> </w:t>
      </w:r>
      <w:bookmarkStart w:id="2" w:name="_Hlk9519636"/>
      <w:r>
        <w:t xml:space="preserve">M. T. Clanchy, </w:t>
      </w:r>
      <w:r w:rsidRPr="00A40351">
        <w:rPr>
          <w:i/>
        </w:rPr>
        <w:t>From Memory to Written Record, England 1066 – 1307</w:t>
      </w:r>
      <w:r>
        <w:t xml:space="preserve"> (Oxford: Blackwell, 2005)</w:t>
      </w:r>
    </w:p>
    <w:bookmarkEnd w:id="2"/>
  </w:footnote>
  <w:footnote w:id="6">
    <w:p w:rsidR="00571B47" w:rsidRDefault="00571B47">
      <w:pPr>
        <w:pStyle w:val="FootnoteText"/>
      </w:pPr>
      <w:r>
        <w:rPr>
          <w:rStyle w:val="FootnoteReference"/>
        </w:rPr>
        <w:footnoteRef/>
      </w:r>
      <w:r>
        <w:t xml:space="preserve"> </w:t>
      </w:r>
      <w:bookmarkStart w:id="3" w:name="_Hlk9534673"/>
      <w:r>
        <w:t xml:space="preserve">M. T. Clanchy, </w:t>
      </w:r>
      <w:r w:rsidRPr="00A40351">
        <w:rPr>
          <w:i/>
        </w:rPr>
        <w:t>From Memory to Written Record, England 1066 – 1307</w:t>
      </w:r>
      <w:r>
        <w:t xml:space="preserve"> (Oxford: Blackwell, 2005) </w:t>
      </w:r>
      <w:bookmarkEnd w:id="3"/>
      <w:r>
        <w:t>p. 101</w:t>
      </w:r>
    </w:p>
  </w:footnote>
  <w:footnote w:id="7">
    <w:p w:rsidR="00571B47" w:rsidRDefault="00571B47">
      <w:pPr>
        <w:pStyle w:val="FootnoteText"/>
      </w:pPr>
      <w:r>
        <w:rPr>
          <w:rStyle w:val="FootnoteReference"/>
        </w:rPr>
        <w:footnoteRef/>
      </w:r>
      <w:r>
        <w:t xml:space="preserve"> Ibid</w:t>
      </w:r>
    </w:p>
  </w:footnote>
  <w:footnote w:id="8">
    <w:p w:rsidR="006B306D" w:rsidRDefault="006B306D">
      <w:pPr>
        <w:pStyle w:val="FootnoteText"/>
      </w:pPr>
      <w:r>
        <w:rPr>
          <w:rStyle w:val="FootnoteReference"/>
        </w:rPr>
        <w:footnoteRef/>
      </w:r>
      <w:r>
        <w:t xml:space="preserve"> J.L.M Gulley, The Bruton Chartulary, </w:t>
      </w:r>
      <w:r w:rsidRPr="00E65E6F">
        <w:rPr>
          <w:i/>
        </w:rPr>
        <w:t>The British Museum Quarterly</w:t>
      </w:r>
      <w:r w:rsidR="00E65E6F">
        <w:t>, Vol 27, no.1/2 (Autumn 1963) p.5-9</w:t>
      </w:r>
    </w:p>
  </w:footnote>
  <w:footnote w:id="9">
    <w:p w:rsidR="0079549B" w:rsidRDefault="0079549B" w:rsidP="0079549B">
      <w:pPr>
        <w:pStyle w:val="FootnoteText"/>
      </w:pPr>
      <w:r>
        <w:rPr>
          <w:rStyle w:val="FootnoteReference"/>
        </w:rPr>
        <w:footnoteRef/>
      </w:r>
      <w:r>
        <w:t xml:space="preserve"> P. Riden, </w:t>
      </w:r>
      <w:r w:rsidRPr="0079549B">
        <w:rPr>
          <w:i/>
        </w:rPr>
        <w:t>The Middle Ages, Record Sources for Local History</w:t>
      </w:r>
      <w:r>
        <w:t xml:space="preserve"> (B.T. Batsford Ltd) p 22-50</w:t>
      </w:r>
    </w:p>
  </w:footnote>
  <w:footnote w:id="10">
    <w:p w:rsidR="001D2BF0" w:rsidRPr="001D2BF0" w:rsidRDefault="001D2BF0">
      <w:pPr>
        <w:pStyle w:val="FootnoteText"/>
      </w:pPr>
      <w:r>
        <w:rPr>
          <w:rStyle w:val="FootnoteReference"/>
        </w:rPr>
        <w:footnoteRef/>
      </w:r>
      <w:r>
        <w:t xml:space="preserve"> </w:t>
      </w:r>
      <w:bookmarkStart w:id="4" w:name="_Hlk9608917"/>
      <w:r>
        <w:t xml:space="preserve">M.T. Clanchy, Review of A.J Kosto and A Winroth, </w:t>
      </w:r>
      <w:r w:rsidRPr="001D2BF0">
        <w:rPr>
          <w:i/>
        </w:rPr>
        <w:t xml:space="preserve">Charters, Cartularies and Archives: The Preservation and Transmission of Documents </w:t>
      </w:r>
      <w:proofErr w:type="gramStart"/>
      <w:r w:rsidRPr="001D2BF0">
        <w:rPr>
          <w:i/>
        </w:rPr>
        <w:t>In</w:t>
      </w:r>
      <w:proofErr w:type="gramEnd"/>
      <w:r w:rsidRPr="001D2BF0">
        <w:rPr>
          <w:i/>
        </w:rPr>
        <w:t xml:space="preserve"> the Medieval West</w:t>
      </w:r>
      <w:r>
        <w:rPr>
          <w:i/>
        </w:rPr>
        <w:t xml:space="preserve"> (</w:t>
      </w:r>
      <w:r w:rsidRPr="001D2BF0">
        <w:t>Colloquium of the Commission Internationale de Diplomatique</w:t>
      </w:r>
      <w:r>
        <w:t xml:space="preserve"> </w:t>
      </w:r>
      <w:r w:rsidRPr="001D2BF0">
        <w:t>(Princeton and New</w:t>
      </w:r>
      <w:r>
        <w:t xml:space="preserve"> </w:t>
      </w:r>
      <w:r w:rsidRPr="001D2BF0">
        <w:t>York, Sept 1999)</w:t>
      </w:r>
    </w:p>
    <w:bookmarkEnd w:id="4"/>
  </w:footnote>
  <w:footnote w:id="11">
    <w:p w:rsidR="003155D5" w:rsidRDefault="003155D5">
      <w:pPr>
        <w:pStyle w:val="FootnoteText"/>
      </w:pPr>
      <w:r>
        <w:rPr>
          <w:rStyle w:val="FootnoteReference"/>
        </w:rPr>
        <w:footnoteRef/>
      </w:r>
      <w:r>
        <w:t xml:space="preserve"> W. R. Jones, review of B.R. Kemp, Reading Abbey Cartularies, Albion: A Quarterly Journal Concerned with British Studies, Vol 21, No 1 (Spring 1989)</w:t>
      </w:r>
      <w:r w:rsidR="0036024C">
        <w:t xml:space="preserve"> </w:t>
      </w:r>
      <w:r>
        <w:t>p 88-99</w:t>
      </w:r>
    </w:p>
  </w:footnote>
  <w:footnote w:id="12">
    <w:p w:rsidR="0036024C" w:rsidRDefault="0036024C">
      <w:pPr>
        <w:pStyle w:val="FootnoteText"/>
      </w:pPr>
      <w:r>
        <w:rPr>
          <w:rStyle w:val="FootnoteReference"/>
        </w:rPr>
        <w:footnoteRef/>
      </w:r>
      <w:r>
        <w:t xml:space="preserve"> </w:t>
      </w:r>
      <w:bookmarkStart w:id="5" w:name="_Hlk9535052"/>
      <w:r>
        <w:t xml:space="preserve">B. O’Brien, Forgery and Literacy of the Early Common Law, </w:t>
      </w:r>
      <w:r w:rsidRPr="0036024C">
        <w:rPr>
          <w:i/>
        </w:rPr>
        <w:t>Albion: A Quarterly Journal Concerned with British Studies,</w:t>
      </w:r>
      <w:r>
        <w:t xml:space="preserve"> Vol 27, No 1 (Spring 1995) p 1- 18</w:t>
      </w:r>
    </w:p>
    <w:bookmarkEnd w:id="5"/>
  </w:footnote>
  <w:footnote w:id="13">
    <w:p w:rsidR="005F3C7A" w:rsidRDefault="005F3C7A">
      <w:pPr>
        <w:pStyle w:val="FootnoteText"/>
      </w:pPr>
      <w:r>
        <w:rPr>
          <w:rStyle w:val="FootnoteReference"/>
        </w:rPr>
        <w:footnoteRef/>
      </w:r>
      <w:r>
        <w:t xml:space="preserve"> </w:t>
      </w:r>
      <w:bookmarkStart w:id="6" w:name="_Hlk9535870"/>
      <w:r>
        <w:t xml:space="preserve">M. T. Clanchy, </w:t>
      </w:r>
      <w:r w:rsidRPr="00A40351">
        <w:rPr>
          <w:i/>
        </w:rPr>
        <w:t>From Memory to Written Record, England 1066 – 1307</w:t>
      </w:r>
      <w:r>
        <w:t xml:space="preserve"> (Oxford: Blackwell, 2005) p</w:t>
      </w:r>
      <w:bookmarkEnd w:id="6"/>
      <w:r>
        <w:t>.318</w:t>
      </w:r>
    </w:p>
  </w:footnote>
  <w:footnote w:id="14">
    <w:p w:rsidR="005F3C7A" w:rsidRDefault="00AB2ADE">
      <w:pPr>
        <w:pStyle w:val="FootnoteText"/>
      </w:pPr>
      <w:r>
        <w:rPr>
          <w:rStyle w:val="FootnoteReference"/>
        </w:rPr>
        <w:footnoteRef/>
      </w:r>
      <w:r>
        <w:t xml:space="preserve"> H.E. Salter, Two Forged Charters of Henry II, </w:t>
      </w:r>
      <w:r w:rsidRPr="00AB2ADE">
        <w:rPr>
          <w:i/>
        </w:rPr>
        <w:t>The English Historical Review</w:t>
      </w:r>
      <w:r>
        <w:t xml:space="preserve">, Vol 34. No 133 </w:t>
      </w:r>
    </w:p>
    <w:p w:rsidR="00AB2ADE" w:rsidRDefault="00AB2ADE">
      <w:pPr>
        <w:pStyle w:val="FootnoteText"/>
      </w:pPr>
      <w:r>
        <w:t>(</w:t>
      </w:r>
      <w:proofErr w:type="gramStart"/>
      <w:r>
        <w:t>Jan,</w:t>
      </w:r>
      <w:proofErr w:type="gramEnd"/>
      <w:r>
        <w:t xml:space="preserve"> 1919) p 65</w:t>
      </w:r>
      <w:r w:rsidR="005F3C7A">
        <w:t xml:space="preserve"> - </w:t>
      </w:r>
      <w:r>
        <w:t>68</w:t>
      </w:r>
    </w:p>
  </w:footnote>
  <w:footnote w:id="15">
    <w:p w:rsidR="002B3A99" w:rsidRDefault="002B3A99">
      <w:pPr>
        <w:pStyle w:val="FootnoteText"/>
      </w:pPr>
      <w:r>
        <w:rPr>
          <w:rStyle w:val="FootnoteReference"/>
        </w:rPr>
        <w:footnoteRef/>
      </w:r>
      <w:r>
        <w:t xml:space="preserve"> </w:t>
      </w:r>
      <w:bookmarkStart w:id="7" w:name="_Hlk9526370"/>
      <w:r>
        <w:t>Robert. A. Maxwell, ‘</w:t>
      </w:r>
      <w:r w:rsidRPr="005D1880">
        <w:t>Sealing Signs and the Art of Transcribing in the Vierzon Cartulary</w:t>
      </w:r>
      <w:r>
        <w:t xml:space="preserve">’, </w:t>
      </w:r>
      <w:r w:rsidRPr="005D1880">
        <w:rPr>
          <w:i/>
        </w:rPr>
        <w:t>The Art Bulletin</w:t>
      </w:r>
      <w:r>
        <w:t xml:space="preserve"> (Dec 1999) p 576 - 597</w:t>
      </w:r>
    </w:p>
    <w:bookmarkEnd w:id="7"/>
  </w:footnote>
  <w:footnote w:id="16">
    <w:p w:rsidR="00763B10" w:rsidRDefault="00763B10">
      <w:pPr>
        <w:pStyle w:val="FootnoteText"/>
      </w:pPr>
      <w:r>
        <w:rPr>
          <w:rStyle w:val="FootnoteReference"/>
        </w:rPr>
        <w:footnoteRef/>
      </w:r>
      <w:r>
        <w:t xml:space="preserve"> Ibid</w:t>
      </w:r>
    </w:p>
  </w:footnote>
  <w:footnote w:id="17">
    <w:p w:rsidR="006C4FE8" w:rsidRDefault="006C4FE8">
      <w:pPr>
        <w:pStyle w:val="FootnoteText"/>
      </w:pPr>
      <w:r>
        <w:rPr>
          <w:rStyle w:val="FootnoteReference"/>
        </w:rPr>
        <w:footnoteRef/>
      </w:r>
      <w:r>
        <w:t xml:space="preserve"> Robert. A. Maxwell, ‘</w:t>
      </w:r>
      <w:r w:rsidRPr="005D1880">
        <w:t>Sealing Signs and the Art of Transcribing in the Vierzon Cartulary</w:t>
      </w:r>
      <w:r>
        <w:t xml:space="preserve">’, </w:t>
      </w:r>
      <w:r w:rsidRPr="005D1880">
        <w:rPr>
          <w:i/>
        </w:rPr>
        <w:t>The Art Bulletin</w:t>
      </w:r>
      <w:r>
        <w:t xml:space="preserve"> (Dec 1999) p 576 - 597</w:t>
      </w:r>
    </w:p>
  </w:footnote>
  <w:footnote w:id="18">
    <w:p w:rsidR="00651CA5" w:rsidRPr="00651CA5" w:rsidRDefault="00651CA5">
      <w:pPr>
        <w:pStyle w:val="FootnoteText"/>
      </w:pPr>
      <w:r>
        <w:rPr>
          <w:rStyle w:val="FootnoteReference"/>
        </w:rPr>
        <w:footnoteRef/>
      </w:r>
      <w:r>
        <w:t xml:space="preserve"> E. Searle, Battle Abbey and the Exemption: The Forged Charters, </w:t>
      </w:r>
      <w:r w:rsidRPr="00651CA5">
        <w:rPr>
          <w:i/>
        </w:rPr>
        <w:t xml:space="preserve">The English Historical </w:t>
      </w:r>
      <w:proofErr w:type="spellStart"/>
      <w:proofErr w:type="gramStart"/>
      <w:r w:rsidRPr="00651CA5">
        <w:rPr>
          <w:i/>
        </w:rPr>
        <w:t>review</w:t>
      </w:r>
      <w:r>
        <w:rPr>
          <w:i/>
        </w:rPr>
        <w:t>,</w:t>
      </w:r>
      <w:r>
        <w:t>Vol</w:t>
      </w:r>
      <w:proofErr w:type="spellEnd"/>
      <w:r>
        <w:t>.</w:t>
      </w:r>
      <w:proofErr w:type="gramEnd"/>
      <w:r>
        <w:t xml:space="preserve"> 83, no 328 (July 1968) p 449 - 480</w:t>
      </w:r>
    </w:p>
  </w:footnote>
  <w:footnote w:id="19">
    <w:p w:rsidR="008A344D" w:rsidRDefault="008A344D">
      <w:pPr>
        <w:pStyle w:val="FootnoteText"/>
      </w:pPr>
      <w:r>
        <w:rPr>
          <w:rStyle w:val="FootnoteReference"/>
        </w:rPr>
        <w:footnoteRef/>
      </w:r>
      <w:r>
        <w:t xml:space="preserve"> E. Searle, Battle Abbey and Exemption: The Forged Charters, </w:t>
      </w:r>
      <w:r w:rsidRPr="008A344D">
        <w:rPr>
          <w:i/>
        </w:rPr>
        <w:t>The English Historical review</w:t>
      </w:r>
      <w:r>
        <w:t>, Vol 83, no 328 (July 1968) p 449 - 480</w:t>
      </w:r>
    </w:p>
  </w:footnote>
  <w:footnote w:id="20">
    <w:p w:rsidR="00265376" w:rsidRDefault="00265376">
      <w:pPr>
        <w:pStyle w:val="FootnoteText"/>
      </w:pPr>
      <w:r>
        <w:rPr>
          <w:rStyle w:val="FootnoteReference"/>
        </w:rPr>
        <w:footnoteRef/>
      </w:r>
      <w:r>
        <w:t xml:space="preserve"> M. T. Clanchy, </w:t>
      </w:r>
      <w:r w:rsidRPr="00A40351">
        <w:rPr>
          <w:i/>
        </w:rPr>
        <w:t>From Memory to Written Record, England 1066 – 1307</w:t>
      </w:r>
      <w:r>
        <w:t xml:space="preserve"> (Oxford: Blackwell, 2005) p 379</w:t>
      </w:r>
    </w:p>
  </w:footnote>
  <w:footnote w:id="21">
    <w:p w:rsidR="005F3C7A" w:rsidRDefault="005F3C7A" w:rsidP="005F3C7A">
      <w:pPr>
        <w:pStyle w:val="FootnoteText"/>
      </w:pPr>
      <w:r>
        <w:rPr>
          <w:rStyle w:val="FootnoteReference"/>
        </w:rPr>
        <w:footnoteRef/>
      </w:r>
      <w:r>
        <w:t xml:space="preserve"> B. O’Brien, Forgery and Literacy of the Early Common Law, </w:t>
      </w:r>
      <w:r w:rsidRPr="0036024C">
        <w:rPr>
          <w:i/>
        </w:rPr>
        <w:t>Albion: A Quarterly Journal Concerned with British Studies,</w:t>
      </w:r>
      <w:r>
        <w:t xml:space="preserve"> Vol 27, No 1 (Spring 1995) p 1- 18</w:t>
      </w:r>
    </w:p>
    <w:p w:rsidR="005F3C7A" w:rsidRDefault="005F3C7A">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81B"/>
    <w:rsid w:val="00010D11"/>
    <w:rsid w:val="00016E1F"/>
    <w:rsid w:val="00032715"/>
    <w:rsid w:val="000655E9"/>
    <w:rsid w:val="00075EFB"/>
    <w:rsid w:val="000B01BC"/>
    <w:rsid w:val="000B59AE"/>
    <w:rsid w:val="000C581B"/>
    <w:rsid w:val="001221C8"/>
    <w:rsid w:val="00130FE0"/>
    <w:rsid w:val="00133433"/>
    <w:rsid w:val="001D2BF0"/>
    <w:rsid w:val="001F6055"/>
    <w:rsid w:val="00265376"/>
    <w:rsid w:val="002B3A99"/>
    <w:rsid w:val="002D233D"/>
    <w:rsid w:val="003056E6"/>
    <w:rsid w:val="003155D5"/>
    <w:rsid w:val="00353F0E"/>
    <w:rsid w:val="0036024C"/>
    <w:rsid w:val="003A1CA8"/>
    <w:rsid w:val="0048332E"/>
    <w:rsid w:val="00571B47"/>
    <w:rsid w:val="005B0F0A"/>
    <w:rsid w:val="005B5DB9"/>
    <w:rsid w:val="005D1880"/>
    <w:rsid w:val="005F3C7A"/>
    <w:rsid w:val="0063189A"/>
    <w:rsid w:val="00651CA5"/>
    <w:rsid w:val="006B306D"/>
    <w:rsid w:val="006C4FE8"/>
    <w:rsid w:val="006E2ABC"/>
    <w:rsid w:val="006F6862"/>
    <w:rsid w:val="007039B7"/>
    <w:rsid w:val="007602A4"/>
    <w:rsid w:val="00763B10"/>
    <w:rsid w:val="0079549B"/>
    <w:rsid w:val="00810F62"/>
    <w:rsid w:val="00892D4A"/>
    <w:rsid w:val="008A344D"/>
    <w:rsid w:val="00937A63"/>
    <w:rsid w:val="00942C2A"/>
    <w:rsid w:val="00942EFF"/>
    <w:rsid w:val="00974031"/>
    <w:rsid w:val="00987C7B"/>
    <w:rsid w:val="00A274BF"/>
    <w:rsid w:val="00A40351"/>
    <w:rsid w:val="00A51999"/>
    <w:rsid w:val="00AB2ADE"/>
    <w:rsid w:val="00AC193C"/>
    <w:rsid w:val="00B02A76"/>
    <w:rsid w:val="00B65731"/>
    <w:rsid w:val="00B8492F"/>
    <w:rsid w:val="00C80E68"/>
    <w:rsid w:val="00CA04B5"/>
    <w:rsid w:val="00D91B39"/>
    <w:rsid w:val="00D920E5"/>
    <w:rsid w:val="00D941AD"/>
    <w:rsid w:val="00DC58A7"/>
    <w:rsid w:val="00DF0BB3"/>
    <w:rsid w:val="00E241EE"/>
    <w:rsid w:val="00E3067F"/>
    <w:rsid w:val="00E414F9"/>
    <w:rsid w:val="00E65E6F"/>
    <w:rsid w:val="00E86E4C"/>
    <w:rsid w:val="00EA737F"/>
    <w:rsid w:val="00EF1DEE"/>
    <w:rsid w:val="00EF2EE4"/>
    <w:rsid w:val="00F50182"/>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99B7F"/>
  <w15:chartTrackingRefBased/>
  <w15:docId w15:val="{CCC62255-F7DF-4FAD-BD7D-DC6C60E8F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C58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581B"/>
    <w:rPr>
      <w:sz w:val="20"/>
      <w:szCs w:val="20"/>
    </w:rPr>
  </w:style>
  <w:style w:type="character" w:styleId="FootnoteReference">
    <w:name w:val="footnote reference"/>
    <w:basedOn w:val="DefaultParagraphFont"/>
    <w:uiPriority w:val="99"/>
    <w:semiHidden/>
    <w:unhideWhenUsed/>
    <w:rsid w:val="000C581B"/>
    <w:rPr>
      <w:vertAlign w:val="superscript"/>
    </w:rPr>
  </w:style>
  <w:style w:type="paragraph" w:styleId="Header">
    <w:name w:val="header"/>
    <w:basedOn w:val="Normal"/>
    <w:link w:val="HeaderChar"/>
    <w:uiPriority w:val="99"/>
    <w:unhideWhenUsed/>
    <w:rsid w:val="006C4F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FE8"/>
  </w:style>
  <w:style w:type="paragraph" w:styleId="Footer">
    <w:name w:val="footer"/>
    <w:basedOn w:val="Normal"/>
    <w:link w:val="FooterChar"/>
    <w:uiPriority w:val="99"/>
    <w:unhideWhenUsed/>
    <w:rsid w:val="006C4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6154D-74D5-4614-912F-F10D074C4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1</Pages>
  <Words>2561</Words>
  <Characters>14599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Oonagh Comerford</dc:creator>
  <cp:keywords/>
  <dc:description/>
  <cp:lastModifiedBy>Oonagh Comerford</cp:lastModifiedBy>
  <cp:revision>27</cp:revision>
  <dcterms:created xsi:type="dcterms:W3CDTF">2019-05-22T17:43:00Z</dcterms:created>
  <dcterms:modified xsi:type="dcterms:W3CDTF">2019-05-24T16:08:00Z</dcterms:modified>
</cp:coreProperties>
</file>