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0825975"/>
        <w:docPartObj>
          <w:docPartGallery w:val="Cover Pages"/>
          <w:docPartUnique/>
        </w:docPartObj>
      </w:sdtPr>
      <w:sdtContent>
        <w:p w14:paraId="182643AB" w14:textId="08405D23" w:rsidR="002D633B" w:rsidRPr="008E282C" w:rsidRDefault="002D633B">
          <w:r w:rsidRPr="008E282C">
            <w:rPr>
              <w:noProof/>
            </w:rPr>
            <mc:AlternateContent>
              <mc:Choice Requires="wpg">
                <w:drawing>
                  <wp:anchor distT="0" distB="0" distL="114300" distR="114300" simplePos="0" relativeHeight="251659264" behindDoc="1" locked="0" layoutInCell="1" allowOverlap="1" wp14:anchorId="0EFEC520" wp14:editId="5EDD137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6887A1" w14:textId="38B6CE61" w:rsidR="002D633B" w:rsidRDefault="002D633B">
                                      <w:pPr>
                                        <w:pStyle w:val="NoSpacing"/>
                                        <w:spacing w:before="120"/>
                                        <w:jc w:val="center"/>
                                        <w:rPr>
                                          <w:color w:val="FFFFFF" w:themeColor="background1"/>
                                        </w:rPr>
                                      </w:pPr>
                                      <w:r>
                                        <w:rPr>
                                          <w:color w:val="FFFFFF" w:themeColor="background1"/>
                                        </w:rPr>
                                        <w:t>Jac Cullen</w:t>
                                      </w:r>
                                    </w:p>
                                  </w:sdtContent>
                                </w:sdt>
                                <w:p w14:paraId="26280840" w14:textId="1649F933" w:rsidR="002D633B" w:rsidRDefault="002D633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2400132</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B0B43">
                                        <w:rPr>
                                          <w:color w:val="FFFFFF" w:themeColor="background1"/>
                                        </w:rPr>
                                        <w:t>Business Portfolio – ACBA5018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195E190" w14:textId="1AA5FA76" w:rsidR="002D633B" w:rsidRDefault="002D633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Business management for construction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FEC52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6887A1" w14:textId="38B6CE61" w:rsidR="002D633B" w:rsidRDefault="002D633B">
                                <w:pPr>
                                  <w:pStyle w:val="NoSpacing"/>
                                  <w:spacing w:before="120"/>
                                  <w:jc w:val="center"/>
                                  <w:rPr>
                                    <w:color w:val="FFFFFF" w:themeColor="background1"/>
                                  </w:rPr>
                                </w:pPr>
                                <w:r>
                                  <w:rPr>
                                    <w:color w:val="FFFFFF" w:themeColor="background1"/>
                                  </w:rPr>
                                  <w:t>Jac Cullen</w:t>
                                </w:r>
                              </w:p>
                            </w:sdtContent>
                          </w:sdt>
                          <w:p w14:paraId="26280840" w14:textId="1649F933" w:rsidR="002D633B" w:rsidRDefault="002D633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2400132</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4B0B43">
                                  <w:rPr>
                                    <w:color w:val="FFFFFF" w:themeColor="background1"/>
                                  </w:rPr>
                                  <w:t>Business Portfolio – ACBA5018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195E190" w14:textId="1AA5FA76" w:rsidR="002D633B" w:rsidRDefault="002D633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Business management for construction</w:t>
                                </w:r>
                              </w:p>
                            </w:sdtContent>
                          </w:sdt>
                        </w:txbxContent>
                      </v:textbox>
                    </v:shape>
                    <w10:wrap anchorx="page" anchory="page"/>
                  </v:group>
                </w:pict>
              </mc:Fallback>
            </mc:AlternateContent>
          </w:r>
        </w:p>
        <w:p w14:paraId="562217DF" w14:textId="76EAF53B" w:rsidR="002D633B" w:rsidRPr="008E282C" w:rsidRDefault="002D633B">
          <w:r w:rsidRPr="008E282C">
            <w:br w:type="page"/>
          </w:r>
        </w:p>
      </w:sdtContent>
    </w:sdt>
    <w:p w14:paraId="3226A4D3" w14:textId="3603E27C" w:rsidR="004B0B43" w:rsidRPr="008E282C" w:rsidRDefault="004B0B43"/>
    <w:p w14:paraId="2A57523A" w14:textId="6F32944E" w:rsidR="008E282C" w:rsidRPr="008E282C" w:rsidRDefault="008E282C"/>
    <w:sdt>
      <w:sdtPr>
        <w:id w:val="-186551517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2FA5761" w14:textId="64D487B7" w:rsidR="008E282C" w:rsidRDefault="008E282C">
          <w:pPr>
            <w:pStyle w:val="TOCHeading"/>
          </w:pPr>
          <w:r>
            <w:t>Contents</w:t>
          </w:r>
        </w:p>
        <w:p w14:paraId="41422CBF" w14:textId="33C80E67" w:rsidR="008E282C" w:rsidRDefault="008E282C">
          <w:pPr>
            <w:pStyle w:val="TOC1"/>
            <w:tabs>
              <w:tab w:val="left" w:pos="480"/>
              <w:tab w:val="right" w:leader="dot" w:pos="9016"/>
            </w:tabs>
            <w:rPr>
              <w:noProof/>
            </w:rPr>
          </w:pPr>
          <w:r>
            <w:fldChar w:fldCharType="begin"/>
          </w:r>
          <w:r>
            <w:instrText xml:space="preserve"> TOC \o "1-3" \h \z \u </w:instrText>
          </w:r>
          <w:r>
            <w:fldChar w:fldCharType="separate"/>
          </w:r>
          <w:hyperlink w:anchor="_Toc218634707" w:history="1">
            <w:r w:rsidRPr="00E80776">
              <w:rPr>
                <w:rStyle w:val="Hyperlink"/>
                <w:noProof/>
              </w:rPr>
              <w:t>1.</w:t>
            </w:r>
            <w:r>
              <w:rPr>
                <w:noProof/>
              </w:rPr>
              <w:tab/>
            </w:r>
            <w:r w:rsidRPr="00E80776">
              <w:rPr>
                <w:rStyle w:val="Hyperlink"/>
                <w:noProof/>
              </w:rPr>
              <w:t>Resource management</w:t>
            </w:r>
            <w:r>
              <w:rPr>
                <w:noProof/>
                <w:webHidden/>
              </w:rPr>
              <w:tab/>
            </w:r>
            <w:r>
              <w:rPr>
                <w:noProof/>
                <w:webHidden/>
              </w:rPr>
              <w:fldChar w:fldCharType="begin"/>
            </w:r>
            <w:r>
              <w:rPr>
                <w:noProof/>
                <w:webHidden/>
              </w:rPr>
              <w:instrText xml:space="preserve"> PAGEREF _Toc218634707 \h </w:instrText>
            </w:r>
            <w:r>
              <w:rPr>
                <w:noProof/>
                <w:webHidden/>
              </w:rPr>
            </w:r>
            <w:r>
              <w:rPr>
                <w:noProof/>
                <w:webHidden/>
              </w:rPr>
              <w:fldChar w:fldCharType="separate"/>
            </w:r>
            <w:r>
              <w:rPr>
                <w:noProof/>
                <w:webHidden/>
              </w:rPr>
              <w:t>2</w:t>
            </w:r>
            <w:r>
              <w:rPr>
                <w:noProof/>
                <w:webHidden/>
              </w:rPr>
              <w:fldChar w:fldCharType="end"/>
            </w:r>
          </w:hyperlink>
        </w:p>
        <w:p w14:paraId="22BB77B3" w14:textId="70325FF6" w:rsidR="008E282C" w:rsidRDefault="008E282C">
          <w:pPr>
            <w:pStyle w:val="TOC1"/>
            <w:tabs>
              <w:tab w:val="left" w:pos="480"/>
              <w:tab w:val="right" w:leader="dot" w:pos="9016"/>
            </w:tabs>
            <w:rPr>
              <w:noProof/>
            </w:rPr>
          </w:pPr>
          <w:hyperlink w:anchor="_Toc218634708" w:history="1">
            <w:r w:rsidRPr="00E80776">
              <w:rPr>
                <w:rStyle w:val="Hyperlink"/>
                <w:rFonts w:eastAsia="Times New Roman"/>
                <w:noProof/>
                <w:lang w:eastAsia="en-GB"/>
              </w:rPr>
              <w:t>2.</w:t>
            </w:r>
            <w:r>
              <w:rPr>
                <w:noProof/>
              </w:rPr>
              <w:tab/>
            </w:r>
            <w:r w:rsidRPr="00E80776">
              <w:rPr>
                <w:rStyle w:val="Hyperlink"/>
                <w:rFonts w:eastAsia="Times New Roman"/>
                <w:noProof/>
                <w:lang w:eastAsia="en-GB"/>
              </w:rPr>
              <w:t>Overview of the companies management structure</w:t>
            </w:r>
            <w:r>
              <w:rPr>
                <w:noProof/>
                <w:webHidden/>
              </w:rPr>
              <w:tab/>
            </w:r>
            <w:r>
              <w:rPr>
                <w:noProof/>
                <w:webHidden/>
              </w:rPr>
              <w:fldChar w:fldCharType="begin"/>
            </w:r>
            <w:r>
              <w:rPr>
                <w:noProof/>
                <w:webHidden/>
              </w:rPr>
              <w:instrText xml:space="preserve"> PAGEREF _Toc218634708 \h </w:instrText>
            </w:r>
            <w:r>
              <w:rPr>
                <w:noProof/>
                <w:webHidden/>
              </w:rPr>
            </w:r>
            <w:r>
              <w:rPr>
                <w:noProof/>
                <w:webHidden/>
              </w:rPr>
              <w:fldChar w:fldCharType="separate"/>
            </w:r>
            <w:r>
              <w:rPr>
                <w:noProof/>
                <w:webHidden/>
              </w:rPr>
              <w:t>2</w:t>
            </w:r>
            <w:r>
              <w:rPr>
                <w:noProof/>
                <w:webHidden/>
              </w:rPr>
              <w:fldChar w:fldCharType="end"/>
            </w:r>
          </w:hyperlink>
        </w:p>
        <w:p w14:paraId="0CEBDF7A" w14:textId="09B26A54" w:rsidR="008E282C" w:rsidRDefault="008E282C">
          <w:pPr>
            <w:pStyle w:val="TOC1"/>
            <w:tabs>
              <w:tab w:val="left" w:pos="480"/>
              <w:tab w:val="right" w:leader="dot" w:pos="9016"/>
            </w:tabs>
            <w:rPr>
              <w:noProof/>
            </w:rPr>
          </w:pPr>
          <w:hyperlink w:anchor="_Toc218634709" w:history="1">
            <w:r w:rsidRPr="00E80776">
              <w:rPr>
                <w:rStyle w:val="Hyperlink"/>
                <w:noProof/>
                <w:lang w:eastAsia="en-GB"/>
              </w:rPr>
              <w:t>3.</w:t>
            </w:r>
            <w:r>
              <w:rPr>
                <w:noProof/>
              </w:rPr>
              <w:tab/>
            </w:r>
            <w:r w:rsidRPr="00E80776">
              <w:rPr>
                <w:rStyle w:val="Hyperlink"/>
                <w:noProof/>
                <w:lang w:eastAsia="en-GB"/>
              </w:rPr>
              <w:t>Plant Management in North Wales</w:t>
            </w:r>
            <w:r>
              <w:rPr>
                <w:noProof/>
                <w:webHidden/>
              </w:rPr>
              <w:tab/>
            </w:r>
            <w:r>
              <w:rPr>
                <w:noProof/>
                <w:webHidden/>
              </w:rPr>
              <w:fldChar w:fldCharType="begin"/>
            </w:r>
            <w:r>
              <w:rPr>
                <w:noProof/>
                <w:webHidden/>
              </w:rPr>
              <w:instrText xml:space="preserve"> PAGEREF _Toc218634709 \h </w:instrText>
            </w:r>
            <w:r>
              <w:rPr>
                <w:noProof/>
                <w:webHidden/>
              </w:rPr>
            </w:r>
            <w:r>
              <w:rPr>
                <w:noProof/>
                <w:webHidden/>
              </w:rPr>
              <w:fldChar w:fldCharType="separate"/>
            </w:r>
            <w:r>
              <w:rPr>
                <w:noProof/>
                <w:webHidden/>
              </w:rPr>
              <w:t>3</w:t>
            </w:r>
            <w:r>
              <w:rPr>
                <w:noProof/>
                <w:webHidden/>
              </w:rPr>
              <w:fldChar w:fldCharType="end"/>
            </w:r>
          </w:hyperlink>
        </w:p>
        <w:p w14:paraId="4FE90FCE" w14:textId="1DF49371" w:rsidR="008E282C" w:rsidRDefault="008E282C">
          <w:pPr>
            <w:pStyle w:val="TOC1"/>
            <w:tabs>
              <w:tab w:val="left" w:pos="480"/>
              <w:tab w:val="right" w:leader="dot" w:pos="9016"/>
            </w:tabs>
            <w:rPr>
              <w:noProof/>
            </w:rPr>
          </w:pPr>
          <w:hyperlink w:anchor="_Toc218634710" w:history="1">
            <w:r w:rsidRPr="00E80776">
              <w:rPr>
                <w:rStyle w:val="Hyperlink"/>
                <w:noProof/>
                <w:lang w:eastAsia="en-GB"/>
              </w:rPr>
              <w:t>4.</w:t>
            </w:r>
            <w:r>
              <w:rPr>
                <w:noProof/>
              </w:rPr>
              <w:tab/>
            </w:r>
            <w:r w:rsidRPr="00E80776">
              <w:rPr>
                <w:rStyle w:val="Hyperlink"/>
                <w:noProof/>
                <w:lang w:eastAsia="en-GB"/>
              </w:rPr>
              <w:t>Plant Management in South Wales</w:t>
            </w:r>
            <w:r>
              <w:rPr>
                <w:noProof/>
                <w:webHidden/>
              </w:rPr>
              <w:tab/>
            </w:r>
            <w:r>
              <w:rPr>
                <w:noProof/>
                <w:webHidden/>
              </w:rPr>
              <w:fldChar w:fldCharType="begin"/>
            </w:r>
            <w:r>
              <w:rPr>
                <w:noProof/>
                <w:webHidden/>
              </w:rPr>
              <w:instrText xml:space="preserve"> PAGEREF _Toc218634710 \h </w:instrText>
            </w:r>
            <w:r>
              <w:rPr>
                <w:noProof/>
                <w:webHidden/>
              </w:rPr>
            </w:r>
            <w:r>
              <w:rPr>
                <w:noProof/>
                <w:webHidden/>
              </w:rPr>
              <w:fldChar w:fldCharType="separate"/>
            </w:r>
            <w:r>
              <w:rPr>
                <w:noProof/>
                <w:webHidden/>
              </w:rPr>
              <w:t>3</w:t>
            </w:r>
            <w:r>
              <w:rPr>
                <w:noProof/>
                <w:webHidden/>
              </w:rPr>
              <w:fldChar w:fldCharType="end"/>
            </w:r>
          </w:hyperlink>
        </w:p>
        <w:p w14:paraId="3B102C6D" w14:textId="1F81DA91" w:rsidR="008E282C" w:rsidRDefault="008E282C">
          <w:pPr>
            <w:pStyle w:val="TOC1"/>
            <w:tabs>
              <w:tab w:val="left" w:pos="480"/>
              <w:tab w:val="right" w:leader="dot" w:pos="9016"/>
            </w:tabs>
            <w:rPr>
              <w:noProof/>
            </w:rPr>
          </w:pPr>
          <w:hyperlink w:anchor="_Toc218634711" w:history="1">
            <w:r w:rsidRPr="00E80776">
              <w:rPr>
                <w:rStyle w:val="Hyperlink"/>
                <w:noProof/>
                <w:lang w:eastAsia="en-GB"/>
              </w:rPr>
              <w:t>5.</w:t>
            </w:r>
            <w:r>
              <w:rPr>
                <w:noProof/>
              </w:rPr>
              <w:tab/>
            </w:r>
            <w:r w:rsidRPr="00E80776">
              <w:rPr>
                <w:rStyle w:val="Hyperlink"/>
                <w:noProof/>
                <w:lang w:eastAsia="en-GB"/>
              </w:rPr>
              <w:t>Comparison of the two approaches</w:t>
            </w:r>
            <w:r>
              <w:rPr>
                <w:noProof/>
                <w:webHidden/>
              </w:rPr>
              <w:tab/>
            </w:r>
            <w:r>
              <w:rPr>
                <w:noProof/>
                <w:webHidden/>
              </w:rPr>
              <w:fldChar w:fldCharType="begin"/>
            </w:r>
            <w:r>
              <w:rPr>
                <w:noProof/>
                <w:webHidden/>
              </w:rPr>
              <w:instrText xml:space="preserve"> PAGEREF _Toc218634711 \h </w:instrText>
            </w:r>
            <w:r>
              <w:rPr>
                <w:noProof/>
                <w:webHidden/>
              </w:rPr>
            </w:r>
            <w:r>
              <w:rPr>
                <w:noProof/>
                <w:webHidden/>
              </w:rPr>
              <w:fldChar w:fldCharType="separate"/>
            </w:r>
            <w:r>
              <w:rPr>
                <w:noProof/>
                <w:webHidden/>
              </w:rPr>
              <w:t>4</w:t>
            </w:r>
            <w:r>
              <w:rPr>
                <w:noProof/>
                <w:webHidden/>
              </w:rPr>
              <w:fldChar w:fldCharType="end"/>
            </w:r>
          </w:hyperlink>
        </w:p>
        <w:p w14:paraId="76851C39" w14:textId="582CF788" w:rsidR="008E282C" w:rsidRDefault="008E282C">
          <w:pPr>
            <w:pStyle w:val="TOC1"/>
            <w:tabs>
              <w:tab w:val="left" w:pos="480"/>
              <w:tab w:val="right" w:leader="dot" w:pos="9016"/>
            </w:tabs>
            <w:rPr>
              <w:noProof/>
            </w:rPr>
          </w:pPr>
          <w:hyperlink w:anchor="_Toc218634712" w:history="1">
            <w:r w:rsidRPr="00E80776">
              <w:rPr>
                <w:rStyle w:val="Hyperlink"/>
                <w:noProof/>
                <w:lang w:eastAsia="en-GB"/>
              </w:rPr>
              <w:t>6.</w:t>
            </w:r>
            <w:r>
              <w:rPr>
                <w:noProof/>
              </w:rPr>
              <w:tab/>
            </w:r>
            <w:r w:rsidRPr="00E80776">
              <w:rPr>
                <w:rStyle w:val="Hyperlink"/>
                <w:noProof/>
                <w:lang w:eastAsia="en-GB"/>
              </w:rPr>
              <w:t>Most appropriate solution</w:t>
            </w:r>
            <w:r>
              <w:rPr>
                <w:noProof/>
                <w:webHidden/>
              </w:rPr>
              <w:tab/>
            </w:r>
            <w:r>
              <w:rPr>
                <w:noProof/>
                <w:webHidden/>
              </w:rPr>
              <w:fldChar w:fldCharType="begin"/>
            </w:r>
            <w:r>
              <w:rPr>
                <w:noProof/>
                <w:webHidden/>
              </w:rPr>
              <w:instrText xml:space="preserve"> PAGEREF _Toc218634712 \h </w:instrText>
            </w:r>
            <w:r>
              <w:rPr>
                <w:noProof/>
                <w:webHidden/>
              </w:rPr>
            </w:r>
            <w:r>
              <w:rPr>
                <w:noProof/>
                <w:webHidden/>
              </w:rPr>
              <w:fldChar w:fldCharType="separate"/>
            </w:r>
            <w:r>
              <w:rPr>
                <w:noProof/>
                <w:webHidden/>
              </w:rPr>
              <w:t>4</w:t>
            </w:r>
            <w:r>
              <w:rPr>
                <w:noProof/>
                <w:webHidden/>
              </w:rPr>
              <w:fldChar w:fldCharType="end"/>
            </w:r>
          </w:hyperlink>
        </w:p>
        <w:p w14:paraId="6B98B39C" w14:textId="1CBBB33E" w:rsidR="008E282C" w:rsidRDefault="008E282C">
          <w:pPr>
            <w:pStyle w:val="TOC1"/>
            <w:tabs>
              <w:tab w:val="left" w:pos="480"/>
              <w:tab w:val="right" w:leader="dot" w:pos="9016"/>
            </w:tabs>
            <w:rPr>
              <w:noProof/>
            </w:rPr>
          </w:pPr>
          <w:hyperlink w:anchor="_Toc218634713" w:history="1">
            <w:r w:rsidRPr="00E80776">
              <w:rPr>
                <w:rStyle w:val="Hyperlink"/>
                <w:noProof/>
                <w:lang w:eastAsia="en-GB"/>
              </w:rPr>
              <w:t>7.</w:t>
            </w:r>
            <w:r>
              <w:rPr>
                <w:noProof/>
              </w:rPr>
              <w:tab/>
            </w:r>
            <w:r w:rsidRPr="00E80776">
              <w:rPr>
                <w:rStyle w:val="Hyperlink"/>
                <w:noProof/>
                <w:lang w:eastAsia="en-GB"/>
              </w:rPr>
              <w:t>Conclusion</w:t>
            </w:r>
            <w:r>
              <w:rPr>
                <w:noProof/>
                <w:webHidden/>
              </w:rPr>
              <w:tab/>
            </w:r>
            <w:r>
              <w:rPr>
                <w:noProof/>
                <w:webHidden/>
              </w:rPr>
              <w:fldChar w:fldCharType="begin"/>
            </w:r>
            <w:r>
              <w:rPr>
                <w:noProof/>
                <w:webHidden/>
              </w:rPr>
              <w:instrText xml:space="preserve"> PAGEREF _Toc218634713 \h </w:instrText>
            </w:r>
            <w:r>
              <w:rPr>
                <w:noProof/>
                <w:webHidden/>
              </w:rPr>
            </w:r>
            <w:r>
              <w:rPr>
                <w:noProof/>
                <w:webHidden/>
              </w:rPr>
              <w:fldChar w:fldCharType="separate"/>
            </w:r>
            <w:r>
              <w:rPr>
                <w:noProof/>
                <w:webHidden/>
              </w:rPr>
              <w:t>6</w:t>
            </w:r>
            <w:r>
              <w:rPr>
                <w:noProof/>
                <w:webHidden/>
              </w:rPr>
              <w:fldChar w:fldCharType="end"/>
            </w:r>
          </w:hyperlink>
        </w:p>
        <w:p w14:paraId="08F71C0D" w14:textId="67D80213" w:rsidR="008E282C" w:rsidRDefault="008E282C">
          <w:r>
            <w:rPr>
              <w:b/>
              <w:bCs/>
              <w:noProof/>
            </w:rPr>
            <w:fldChar w:fldCharType="end"/>
          </w:r>
        </w:p>
      </w:sdtContent>
    </w:sdt>
    <w:p w14:paraId="4E14898F" w14:textId="5579524E" w:rsidR="004B0B43" w:rsidRDefault="004B0B43"/>
    <w:p w14:paraId="2CD23F4C" w14:textId="77777777" w:rsidR="008E282C" w:rsidRDefault="008E282C"/>
    <w:p w14:paraId="763D6833" w14:textId="77777777" w:rsidR="008E282C" w:rsidRDefault="008E282C"/>
    <w:p w14:paraId="21409F22" w14:textId="77777777" w:rsidR="008E282C" w:rsidRDefault="008E282C"/>
    <w:p w14:paraId="44AFE0CC" w14:textId="77777777" w:rsidR="008E282C" w:rsidRDefault="008E282C"/>
    <w:p w14:paraId="3D47469E" w14:textId="77777777" w:rsidR="008E282C" w:rsidRDefault="008E282C"/>
    <w:p w14:paraId="2EEE9E48" w14:textId="77777777" w:rsidR="008E282C" w:rsidRDefault="008E282C"/>
    <w:p w14:paraId="6483F683" w14:textId="77777777" w:rsidR="008E282C" w:rsidRDefault="008E282C"/>
    <w:p w14:paraId="2F7DA91F" w14:textId="77777777" w:rsidR="008E282C" w:rsidRDefault="008E282C"/>
    <w:p w14:paraId="02544013" w14:textId="77777777" w:rsidR="008E282C" w:rsidRDefault="008E282C"/>
    <w:p w14:paraId="5CD5F0F2" w14:textId="77777777" w:rsidR="008E282C" w:rsidRDefault="008E282C"/>
    <w:p w14:paraId="07F0D0EF" w14:textId="77777777" w:rsidR="008E282C" w:rsidRDefault="008E282C"/>
    <w:p w14:paraId="4FD8F0E1" w14:textId="77777777" w:rsidR="008E282C" w:rsidRDefault="008E282C"/>
    <w:p w14:paraId="790686AA" w14:textId="77777777" w:rsidR="008E282C" w:rsidRDefault="008E282C"/>
    <w:p w14:paraId="055E10EA" w14:textId="77777777" w:rsidR="008E282C" w:rsidRDefault="008E282C"/>
    <w:p w14:paraId="568E420A" w14:textId="77777777" w:rsidR="008E282C" w:rsidRPr="008E282C" w:rsidRDefault="008E282C"/>
    <w:p w14:paraId="5D78A8C5" w14:textId="57652E21" w:rsidR="0056283C" w:rsidRPr="008E282C" w:rsidRDefault="00784FF8" w:rsidP="00784FF8">
      <w:pPr>
        <w:pStyle w:val="Heading1"/>
        <w:numPr>
          <w:ilvl w:val="0"/>
          <w:numId w:val="1"/>
        </w:numPr>
        <w:rPr>
          <w:rFonts w:asciiTheme="minorHAnsi" w:hAnsiTheme="minorHAnsi"/>
        </w:rPr>
      </w:pPr>
      <w:bookmarkStart w:id="0" w:name="_Toc218634707"/>
      <w:r w:rsidRPr="008E282C">
        <w:rPr>
          <w:rFonts w:asciiTheme="minorHAnsi" w:hAnsiTheme="minorHAnsi"/>
        </w:rPr>
        <w:lastRenderedPageBreak/>
        <w:t>Resource management</w:t>
      </w:r>
      <w:bookmarkEnd w:id="0"/>
    </w:p>
    <w:p w14:paraId="6987F1D0" w14:textId="77777777" w:rsidR="00290436" w:rsidRPr="008E282C" w:rsidRDefault="00AE46C4" w:rsidP="006F79D8">
      <w:pPr>
        <w:spacing w:after="0" w:line="240" w:lineRule="auto"/>
        <w:ind w:left="360"/>
        <w:rPr>
          <w:rFonts w:eastAsia="Times New Roman" w:cs="Times New Roman"/>
          <w:kern w:val="0"/>
          <w:lang w:eastAsia="en-GB"/>
          <w14:ligatures w14:val="none"/>
        </w:rPr>
      </w:pPr>
      <w:r w:rsidRPr="008E282C">
        <w:rPr>
          <w:rFonts w:eastAsia="Times New Roman" w:cs="Times New Roman"/>
          <w:kern w:val="0"/>
          <w:lang w:eastAsia="en-GB"/>
          <w14:ligatures w14:val="none"/>
        </w:rPr>
        <w:t>The effective management of construction plant is a critical factor in achieving project efficiency, cost control, and operational flexibility. Construction organisations often adopt different plant management strategies depending on factors such as project type, geographical location, workload certainty, and capital availability. This report evaluates the effectiveness of the plant management approaches currently adopted by the company, which operates across Wales using a management structure divided by both project type and geography.</w:t>
      </w:r>
    </w:p>
    <w:p w14:paraId="36BBC1DC" w14:textId="46BD5C3A" w:rsidR="00AC1D5B" w:rsidRPr="008E282C" w:rsidRDefault="00312320" w:rsidP="006F79D8">
      <w:pPr>
        <w:spacing w:after="0" w:line="240" w:lineRule="auto"/>
        <w:ind w:left="360"/>
        <w:rPr>
          <w:rFonts w:eastAsia="Times New Roman" w:cs="Times New Roman"/>
          <w:kern w:val="0"/>
          <w:lang w:eastAsia="en-GB"/>
          <w14:ligatures w14:val="none"/>
        </w:rPr>
      </w:pPr>
      <w:r w:rsidRPr="008E282C">
        <w:rPr>
          <w:rFonts w:eastAsia="Times New Roman" w:cs="Times New Roman"/>
          <w:kern w:val="0"/>
          <w:lang w:eastAsia="en-GB"/>
          <w14:ligatures w14:val="none"/>
        </w:rPr>
        <w:t>Delivering infrastructure, housing, and commercial projects, the company has two headquarters, one in Swansea and the other in Wrexham. In South Wales, each project group owns its own plant and only uses highly specialised equipment, while in North Wales, the company mainly hires equipment beyond simple excavators. This report examines the advantages and disadvantages of these strategies and offers a well-reasoned suggestion for the best course of action moving forward.</w:t>
      </w:r>
    </w:p>
    <w:p w14:paraId="36B857EB" w14:textId="2B73E63D" w:rsidR="00312320" w:rsidRPr="008E282C" w:rsidRDefault="00312320" w:rsidP="00AC1D5B">
      <w:pPr>
        <w:rPr>
          <w:rFonts w:eastAsia="Times New Roman" w:cs="Times New Roman"/>
          <w:kern w:val="0"/>
          <w:lang w:eastAsia="en-GB"/>
          <w14:ligatures w14:val="none"/>
        </w:rPr>
      </w:pPr>
    </w:p>
    <w:p w14:paraId="77FD4961" w14:textId="77777777" w:rsidR="00312320" w:rsidRPr="008E282C" w:rsidRDefault="00312320" w:rsidP="008D5CC0">
      <w:pPr>
        <w:pStyle w:val="ListParagraph"/>
        <w:spacing w:after="0" w:line="240" w:lineRule="auto"/>
        <w:rPr>
          <w:rFonts w:eastAsia="Times New Roman" w:cs="Times New Roman"/>
          <w:kern w:val="0"/>
          <w:lang w:eastAsia="en-GB"/>
          <w14:ligatures w14:val="none"/>
        </w:rPr>
      </w:pPr>
    </w:p>
    <w:p w14:paraId="6EC92473" w14:textId="5C403B40" w:rsidR="00312320" w:rsidRPr="008E282C" w:rsidRDefault="0005311A" w:rsidP="0005311A">
      <w:pPr>
        <w:pStyle w:val="Heading1"/>
        <w:numPr>
          <w:ilvl w:val="0"/>
          <w:numId w:val="1"/>
        </w:numPr>
        <w:rPr>
          <w:rFonts w:asciiTheme="minorHAnsi" w:eastAsia="Times New Roman" w:hAnsiTheme="minorHAnsi"/>
          <w:lang w:eastAsia="en-GB"/>
        </w:rPr>
      </w:pPr>
      <w:bookmarkStart w:id="1" w:name="_Toc218634708"/>
      <w:r w:rsidRPr="008E282C">
        <w:rPr>
          <w:rFonts w:asciiTheme="minorHAnsi" w:eastAsia="Times New Roman" w:hAnsiTheme="minorHAnsi"/>
          <w:lang w:eastAsia="en-GB"/>
        </w:rPr>
        <w:t xml:space="preserve">Overview of the </w:t>
      </w:r>
      <w:proofErr w:type="spellStart"/>
      <w:r w:rsidRPr="008E282C">
        <w:rPr>
          <w:rFonts w:asciiTheme="minorHAnsi" w:eastAsia="Times New Roman" w:hAnsiTheme="minorHAnsi"/>
          <w:lang w:eastAsia="en-GB"/>
        </w:rPr>
        <w:t>companies</w:t>
      </w:r>
      <w:proofErr w:type="spellEnd"/>
      <w:r w:rsidRPr="008E282C">
        <w:rPr>
          <w:rFonts w:asciiTheme="minorHAnsi" w:eastAsia="Times New Roman" w:hAnsiTheme="minorHAnsi"/>
          <w:lang w:eastAsia="en-GB"/>
        </w:rPr>
        <w:t xml:space="preserve"> management</w:t>
      </w:r>
      <w:r w:rsidR="00E15028" w:rsidRPr="008E282C">
        <w:rPr>
          <w:rFonts w:asciiTheme="minorHAnsi" w:eastAsia="Times New Roman" w:hAnsiTheme="minorHAnsi"/>
          <w:lang w:eastAsia="en-GB"/>
        </w:rPr>
        <w:t xml:space="preserve"> </w:t>
      </w:r>
      <w:r w:rsidRPr="008E282C">
        <w:rPr>
          <w:rFonts w:asciiTheme="minorHAnsi" w:eastAsia="Times New Roman" w:hAnsiTheme="minorHAnsi"/>
          <w:lang w:eastAsia="en-GB"/>
        </w:rPr>
        <w:t>structure</w:t>
      </w:r>
      <w:bookmarkEnd w:id="1"/>
    </w:p>
    <w:p w14:paraId="635E3BED" w14:textId="1F4B24DC" w:rsidR="00AC1D5B" w:rsidRPr="008E282C" w:rsidRDefault="00E15028" w:rsidP="006F79D8">
      <w:pPr>
        <w:spacing w:after="0" w:line="240" w:lineRule="auto"/>
        <w:ind w:left="360"/>
        <w:rPr>
          <w:rFonts w:eastAsia="Times New Roman" w:cs="Times New Roman"/>
          <w:kern w:val="0"/>
          <w:lang w:eastAsia="en-GB"/>
          <w14:ligatures w14:val="none"/>
        </w:rPr>
      </w:pPr>
      <w:r w:rsidRPr="008E282C">
        <w:rPr>
          <w:rFonts w:eastAsia="Times New Roman" w:cs="Times New Roman"/>
          <w:kern w:val="0"/>
          <w:lang w:eastAsia="en-GB"/>
          <w14:ligatures w14:val="none"/>
        </w:rPr>
        <w:t>The organisation uses a matrix-style management structure that assigns responsibilities based on project type and geography. While regional headquarters in Wrexham and Swansea oversee local operations, supply chains, and workforce allocation, this enables specialised knowledge to grow within commercial, housing, and infrastructure teams.</w:t>
      </w:r>
      <w:r w:rsidRPr="008E282C">
        <w:rPr>
          <w:rFonts w:eastAsia="Times New Roman" w:cs="Times New Roman"/>
          <w:kern w:val="0"/>
          <w:lang w:eastAsia="en-GB"/>
          <w14:ligatures w14:val="none"/>
        </w:rPr>
        <w:br/>
      </w:r>
      <w:r w:rsidRPr="008E282C">
        <w:rPr>
          <w:rFonts w:eastAsia="Times New Roman" w:cs="Times New Roman"/>
          <w:kern w:val="0"/>
          <w:lang w:eastAsia="en-GB"/>
          <w14:ligatures w14:val="none"/>
        </w:rPr>
        <w:br/>
        <w:t>Although this structure has benefits in terms of project specialisation and local market knowledge, it also adds complexity to the management of shared resources like construction equipment. A lack of uniformity in plant management policy is indicated by the disparities in procurement tactics between North and South Wales, which could result in inefficiencies, asset duplication, and unequal cost control throughout the company.</w:t>
      </w:r>
    </w:p>
    <w:p w14:paraId="20D1DDD2" w14:textId="77777777" w:rsidR="00AC1D5B" w:rsidRPr="008E282C" w:rsidRDefault="00AC1D5B">
      <w:pPr>
        <w:rPr>
          <w:rFonts w:eastAsia="Times New Roman" w:cs="Times New Roman"/>
          <w:kern w:val="0"/>
          <w:lang w:eastAsia="en-GB"/>
          <w14:ligatures w14:val="none"/>
        </w:rPr>
      </w:pPr>
      <w:r w:rsidRPr="008E282C">
        <w:rPr>
          <w:rFonts w:eastAsia="Times New Roman" w:cs="Times New Roman"/>
          <w:kern w:val="0"/>
          <w:lang w:eastAsia="en-GB"/>
          <w14:ligatures w14:val="none"/>
        </w:rPr>
        <w:br w:type="page"/>
      </w:r>
    </w:p>
    <w:p w14:paraId="494FB091" w14:textId="56326548" w:rsidR="0005311A" w:rsidRPr="008E282C" w:rsidRDefault="00901880" w:rsidP="00901880">
      <w:pPr>
        <w:pStyle w:val="Heading1"/>
        <w:numPr>
          <w:ilvl w:val="0"/>
          <w:numId w:val="1"/>
        </w:numPr>
        <w:rPr>
          <w:rFonts w:asciiTheme="minorHAnsi" w:hAnsiTheme="minorHAnsi"/>
          <w:lang w:eastAsia="en-GB"/>
        </w:rPr>
      </w:pPr>
      <w:bookmarkStart w:id="2" w:name="_Toc218634709"/>
      <w:r w:rsidRPr="008E282C">
        <w:rPr>
          <w:rFonts w:asciiTheme="minorHAnsi" w:hAnsiTheme="minorHAnsi"/>
          <w:lang w:eastAsia="en-GB"/>
        </w:rPr>
        <w:lastRenderedPageBreak/>
        <w:t>Plant Management in North Wales</w:t>
      </w:r>
      <w:bookmarkEnd w:id="2"/>
    </w:p>
    <w:p w14:paraId="1AE3F3CB" w14:textId="325535D3" w:rsidR="00340217" w:rsidRPr="008E282C" w:rsidRDefault="00340217" w:rsidP="00340217">
      <w:pPr>
        <w:rPr>
          <w:lang w:eastAsia="en-GB"/>
        </w:rPr>
      </w:pPr>
      <w:r w:rsidRPr="008E282C">
        <w:rPr>
          <w:lang w:eastAsia="en-GB"/>
        </w:rPr>
        <w:t>In North Wales, the company owns basic plant such as standard excavators, while hiring in additional or specialist plant as required by individual projects. This approach offers a high level of flexibility, particularly in a region where workload may fluctuate and project types can vary significantly.</w:t>
      </w:r>
    </w:p>
    <w:p w14:paraId="34105F75" w14:textId="77777777" w:rsidR="00570E84" w:rsidRPr="008E282C" w:rsidRDefault="00570E84" w:rsidP="00570E84">
      <w:pPr>
        <w:rPr>
          <w:lang w:eastAsia="en-GB"/>
        </w:rPr>
      </w:pPr>
    </w:p>
    <w:p w14:paraId="098F9344" w14:textId="5A731BE2" w:rsidR="00570E84" w:rsidRPr="008E282C" w:rsidRDefault="00570E84" w:rsidP="00570E84">
      <w:pPr>
        <w:rPr>
          <w:lang w:eastAsia="en-GB"/>
        </w:rPr>
      </w:pPr>
      <w:r w:rsidRPr="008E282C">
        <w:rPr>
          <w:lang w:eastAsia="en-GB"/>
        </w:rPr>
        <w:t>Advantages :</w:t>
      </w:r>
      <w:r w:rsidRPr="00570E84">
        <w:rPr>
          <w:lang w:eastAsia="en-GB"/>
        </w:rPr>
        <w:br/>
        <w:t xml:space="preserve">Reduced capital investment is one of this strategy's main advantages. Large upfront costs as well as continuing ownership costs like depreciation, storage, insurance, and maintenance can be avoided by hiring a plant. For specialised equipment that might only be needed occasionally, this is especially beneficial. Additionally, the hire-based model gives the business access to up-to-date, well-maintained equipment without taking on the long-term risk of </w:t>
      </w:r>
      <w:r w:rsidR="008E282C" w:rsidRPr="00570E84">
        <w:rPr>
          <w:lang w:eastAsia="en-GB"/>
        </w:rPr>
        <w:t>obsolescence. Hiring</w:t>
      </w:r>
      <w:r w:rsidRPr="00570E84">
        <w:rPr>
          <w:lang w:eastAsia="en-GB"/>
        </w:rPr>
        <w:t xml:space="preserve"> a plant also gives you the flexibility to adapt to program or scope changes. Equipment can be exchanged or returned without the limitations of owned assets if project requirements change.</w:t>
      </w:r>
    </w:p>
    <w:p w14:paraId="137BB100" w14:textId="77777777" w:rsidR="00B311FD" w:rsidRPr="008E282C" w:rsidRDefault="00B311FD" w:rsidP="00570E84">
      <w:pPr>
        <w:rPr>
          <w:lang w:eastAsia="en-GB"/>
        </w:rPr>
      </w:pPr>
    </w:p>
    <w:p w14:paraId="7FFEE422" w14:textId="3B92DA5F" w:rsidR="00B311FD" w:rsidRPr="008E282C" w:rsidRDefault="00AC1D5B" w:rsidP="00570E84">
      <w:pPr>
        <w:rPr>
          <w:lang w:eastAsia="en-GB"/>
        </w:rPr>
      </w:pPr>
      <w:r w:rsidRPr="008E282C">
        <w:rPr>
          <w:lang w:eastAsia="en-GB"/>
        </w:rPr>
        <w:t>Disadvantages</w:t>
      </w:r>
      <w:r w:rsidR="00B311FD" w:rsidRPr="008E282C">
        <w:rPr>
          <w:lang w:eastAsia="en-GB"/>
        </w:rPr>
        <w:t>:</w:t>
      </w:r>
    </w:p>
    <w:p w14:paraId="304F0562" w14:textId="1BE6DAEB" w:rsidR="00AC1D5B" w:rsidRPr="008E282C" w:rsidRDefault="00B311FD" w:rsidP="00B311FD">
      <w:pPr>
        <w:rPr>
          <w:lang w:eastAsia="en-GB"/>
        </w:rPr>
      </w:pPr>
      <w:r w:rsidRPr="00B311FD">
        <w:rPr>
          <w:lang w:eastAsia="en-GB"/>
        </w:rPr>
        <w:t>Even though hired plant is flexible, it can eventually result in higher operating costs, particularly if equipment is needed for long periods of time. Additionally, availability may be a problem, especially during periods of high construction activity, which could lead to delays or expensive hire rates. Additionally, frequent hiring may lessen control over plant familiarity and standardisation, which could have an effect on safety and productivity.</w:t>
      </w:r>
    </w:p>
    <w:p w14:paraId="3EA630DB" w14:textId="551C3003" w:rsidR="006C2793" w:rsidRPr="008E282C" w:rsidRDefault="006C2793" w:rsidP="006C2793">
      <w:pPr>
        <w:pStyle w:val="Heading1"/>
        <w:numPr>
          <w:ilvl w:val="0"/>
          <w:numId w:val="1"/>
        </w:numPr>
        <w:rPr>
          <w:rFonts w:asciiTheme="minorHAnsi" w:hAnsiTheme="minorHAnsi"/>
          <w:lang w:eastAsia="en-GB"/>
        </w:rPr>
      </w:pPr>
      <w:bookmarkStart w:id="3" w:name="_Toc218634710"/>
      <w:r w:rsidRPr="008E282C">
        <w:rPr>
          <w:rFonts w:asciiTheme="minorHAnsi" w:hAnsiTheme="minorHAnsi"/>
          <w:lang w:eastAsia="en-GB"/>
        </w:rPr>
        <w:t>Plant Management in South Wales</w:t>
      </w:r>
      <w:bookmarkEnd w:id="3"/>
    </w:p>
    <w:p w14:paraId="5A718D0C" w14:textId="7566972A" w:rsidR="006C2793" w:rsidRPr="008E282C" w:rsidRDefault="00367214" w:rsidP="006C2793">
      <w:pPr>
        <w:rPr>
          <w:lang w:eastAsia="en-GB"/>
        </w:rPr>
      </w:pPr>
      <w:r w:rsidRPr="008E282C">
        <w:rPr>
          <w:lang w:eastAsia="en-GB"/>
        </w:rPr>
        <w:t>In South Wales, each project group purchases and owns its own plant, with only highly specialised equipment being hired in. This represents a more capital-intensive approach and suggests a higher degree of confidence in sustained workload.</w:t>
      </w:r>
    </w:p>
    <w:p w14:paraId="05F99992" w14:textId="511BF760" w:rsidR="00367214" w:rsidRPr="008E282C" w:rsidRDefault="00AC1D5B" w:rsidP="006C2793">
      <w:pPr>
        <w:rPr>
          <w:lang w:eastAsia="en-GB"/>
        </w:rPr>
      </w:pPr>
      <w:r w:rsidRPr="008E282C">
        <w:rPr>
          <w:lang w:eastAsia="en-GB"/>
        </w:rPr>
        <w:t>Advantages :</w:t>
      </w:r>
    </w:p>
    <w:p w14:paraId="59DF1252" w14:textId="7AF3A49D" w:rsidR="00AC1D5B" w:rsidRPr="00AC1D5B" w:rsidRDefault="00AC1D5B" w:rsidP="00AC1D5B">
      <w:pPr>
        <w:rPr>
          <w:lang w:eastAsia="en-GB"/>
        </w:rPr>
      </w:pPr>
      <w:r w:rsidRPr="00AC1D5B">
        <w:rPr>
          <w:lang w:eastAsia="en-GB"/>
        </w:rPr>
        <w:t>When equipment is used regularly and consistently, plant ownership offers long-term cost advantages. Over time, the cost per use decreases and there is more control over equipment condition, availability, and maintenance schedules. Additionally, ownership encourages standardisation, which can enhance safety performance, operator familiarity, and productivity.</w:t>
      </w:r>
      <w:r w:rsidRPr="008E282C">
        <w:rPr>
          <w:lang w:eastAsia="en-GB"/>
        </w:rPr>
        <w:t xml:space="preserve"> </w:t>
      </w:r>
      <w:r w:rsidRPr="00AC1D5B">
        <w:rPr>
          <w:lang w:eastAsia="en-GB"/>
        </w:rPr>
        <w:t>For repetitive project types with predictable plant requirements, like housing developments or typical commercial builds, this strategy works especially well.</w:t>
      </w:r>
    </w:p>
    <w:p w14:paraId="1E97FE62" w14:textId="48C19F37" w:rsidR="00AC1D5B" w:rsidRPr="008E282C" w:rsidRDefault="0049319F" w:rsidP="006C2793">
      <w:pPr>
        <w:rPr>
          <w:lang w:eastAsia="en-GB"/>
        </w:rPr>
      </w:pPr>
      <w:r w:rsidRPr="008E282C">
        <w:rPr>
          <w:lang w:eastAsia="en-GB"/>
        </w:rPr>
        <w:lastRenderedPageBreak/>
        <w:t>Disadvantages:</w:t>
      </w:r>
    </w:p>
    <w:p w14:paraId="2AA0A9C6" w14:textId="77777777" w:rsidR="0049319F" w:rsidRPr="0049319F" w:rsidRDefault="0049319F" w:rsidP="0049319F">
      <w:pPr>
        <w:rPr>
          <w:lang w:eastAsia="en-GB"/>
        </w:rPr>
      </w:pPr>
      <w:r w:rsidRPr="0049319F">
        <w:rPr>
          <w:lang w:eastAsia="en-GB"/>
        </w:rPr>
        <w:t>However, there are a number of risks associated with this strategy. Purchasing a plant necessitates a large capital outlay and consumes funds that could be allocated to other areas of the company. Additionally, if workload decreases or if plant is owned by individual project groups rather than shared throughout the region, there is a chance of underutilisation.</w:t>
      </w:r>
      <w:r w:rsidRPr="0049319F">
        <w:rPr>
          <w:lang w:eastAsia="en-GB"/>
        </w:rPr>
        <w:br/>
      </w:r>
      <w:r w:rsidRPr="0049319F">
        <w:rPr>
          <w:lang w:eastAsia="en-GB"/>
        </w:rPr>
        <w:br/>
        <w:t>When several teams own comparable equipment that isn't being used to its full potential, decentralised ownership may result in asset duplication. Additionally, owned plant may be kept even if it is no longer the best choice for a given project, which can limit flexibility.</w:t>
      </w:r>
    </w:p>
    <w:p w14:paraId="464C8019" w14:textId="77777777" w:rsidR="0049319F" w:rsidRPr="008E282C" w:rsidRDefault="0049319F" w:rsidP="006C2793">
      <w:pPr>
        <w:rPr>
          <w:lang w:eastAsia="en-GB"/>
        </w:rPr>
      </w:pPr>
    </w:p>
    <w:p w14:paraId="3A84CB0E" w14:textId="3FCD36E5" w:rsidR="00133520" w:rsidRPr="008E282C" w:rsidRDefault="00133520" w:rsidP="00133520">
      <w:pPr>
        <w:pStyle w:val="Heading1"/>
        <w:numPr>
          <w:ilvl w:val="0"/>
          <w:numId w:val="1"/>
        </w:numPr>
        <w:rPr>
          <w:rFonts w:asciiTheme="minorHAnsi" w:hAnsiTheme="minorHAnsi"/>
          <w:lang w:eastAsia="en-GB"/>
        </w:rPr>
      </w:pPr>
      <w:bookmarkStart w:id="4" w:name="_Toc218634711"/>
      <w:r w:rsidRPr="008E282C">
        <w:rPr>
          <w:rFonts w:asciiTheme="minorHAnsi" w:hAnsiTheme="minorHAnsi"/>
          <w:lang w:eastAsia="en-GB"/>
        </w:rPr>
        <w:t>Comparison of the two approaches</w:t>
      </w:r>
      <w:bookmarkEnd w:id="4"/>
    </w:p>
    <w:p w14:paraId="200C0E88" w14:textId="77777777" w:rsidR="006F79D8" w:rsidRPr="008E282C" w:rsidRDefault="006F79D8" w:rsidP="006F79D8">
      <w:pPr>
        <w:spacing w:after="0" w:line="240" w:lineRule="auto"/>
        <w:rPr>
          <w:rFonts w:eastAsia="Times New Roman" w:cs="Times New Roman"/>
          <w:kern w:val="0"/>
          <w:lang w:eastAsia="en-GB"/>
          <w14:ligatures w14:val="none"/>
        </w:rPr>
      </w:pPr>
      <w:r w:rsidRPr="008E282C">
        <w:rPr>
          <w:rFonts w:eastAsia="Times New Roman" w:cs="Times New Roman"/>
          <w:kern w:val="0"/>
          <w:lang w:eastAsia="en-GB"/>
          <w14:ligatures w14:val="none"/>
        </w:rPr>
        <w:t>It is evident from a comparison of the North and South Wales approaches that each was created in response to regional operational circumstances. While the South Wales ownership model concentrates on cost effectiveness and control, the North Wales hire-based strategy places more emphasis on flexibility and risk reduction.</w:t>
      </w:r>
      <w:r w:rsidRPr="008E282C">
        <w:rPr>
          <w:rFonts w:eastAsia="Times New Roman" w:cs="Times New Roman"/>
          <w:kern w:val="0"/>
          <w:lang w:eastAsia="en-GB"/>
          <w14:ligatures w14:val="none"/>
        </w:rPr>
        <w:br/>
      </w:r>
      <w:r w:rsidRPr="008E282C">
        <w:rPr>
          <w:rFonts w:eastAsia="Times New Roman" w:cs="Times New Roman"/>
          <w:kern w:val="0"/>
          <w:lang w:eastAsia="en-GB"/>
          <w14:ligatures w14:val="none"/>
        </w:rPr>
        <w:br/>
        <w:t>At the organisational level, however, the disparity between regions poses difficulties. It can be challenging to establish standard operating procedures or benchmark performance due to disparate cost structures, asset management strategies, and plant utilisation levels. The risk of inefficiencies is also increased by the absence of a unified plant management strategy, especially when owned plant in one area may be underutilised while similar equipment is being hired in another.</w:t>
      </w:r>
    </w:p>
    <w:p w14:paraId="5EC6A71F" w14:textId="77777777" w:rsidR="00133520" w:rsidRPr="008E282C" w:rsidRDefault="00133520" w:rsidP="00133520">
      <w:pPr>
        <w:rPr>
          <w:lang w:eastAsia="en-GB"/>
        </w:rPr>
      </w:pPr>
    </w:p>
    <w:p w14:paraId="722E8E91" w14:textId="77777777" w:rsidR="00570E84" w:rsidRPr="008E282C" w:rsidRDefault="00570E84" w:rsidP="00340217">
      <w:pPr>
        <w:rPr>
          <w:lang w:eastAsia="en-GB"/>
        </w:rPr>
      </w:pPr>
    </w:p>
    <w:p w14:paraId="3126576F" w14:textId="33DBAB23" w:rsidR="00901880" w:rsidRPr="008E282C" w:rsidRDefault="00290436" w:rsidP="00290436">
      <w:pPr>
        <w:pStyle w:val="Heading1"/>
        <w:numPr>
          <w:ilvl w:val="0"/>
          <w:numId w:val="1"/>
        </w:numPr>
        <w:rPr>
          <w:rFonts w:asciiTheme="minorHAnsi" w:hAnsiTheme="minorHAnsi"/>
          <w:lang w:eastAsia="en-GB"/>
        </w:rPr>
      </w:pPr>
      <w:bookmarkStart w:id="5" w:name="_Toc218634712"/>
      <w:r w:rsidRPr="008E282C">
        <w:rPr>
          <w:rFonts w:asciiTheme="minorHAnsi" w:hAnsiTheme="minorHAnsi"/>
          <w:lang w:eastAsia="en-GB"/>
        </w:rPr>
        <w:t>Most appropriate solution</w:t>
      </w:r>
      <w:bookmarkEnd w:id="5"/>
    </w:p>
    <w:p w14:paraId="1F22D380" w14:textId="77777777" w:rsidR="00A25860" w:rsidRPr="008E282C" w:rsidRDefault="00A25860" w:rsidP="00A25860">
      <w:pPr>
        <w:spacing w:after="0" w:line="240" w:lineRule="auto"/>
        <w:rPr>
          <w:rFonts w:eastAsia="Times New Roman" w:cs="Times New Roman"/>
          <w:kern w:val="0"/>
          <w:lang w:eastAsia="en-GB"/>
          <w14:ligatures w14:val="none"/>
        </w:rPr>
      </w:pPr>
      <w:r w:rsidRPr="008E282C">
        <w:rPr>
          <w:rFonts w:eastAsia="Times New Roman" w:cs="Times New Roman"/>
          <w:kern w:val="0"/>
          <w:lang w:eastAsia="en-GB"/>
          <w14:ligatures w14:val="none"/>
        </w:rPr>
        <w:t>Adopting a centrally coordinated hybrid plant management strategy that fits the company's geographically divided and project-type-based management structure while combining the flexibility of plant hire with the cost-effectiveness and operational control of plant ownership is the best course of action. Standard excavators, dumpers, telehandlers, and small compaction equipment are examples of frequently used, non-specialist equipment that the company would still own under this strategy. However, these assets would be owned and managed at a regional or corporate level rather than by individual project teams.</w:t>
      </w:r>
    </w:p>
    <w:p w14:paraId="5711CCF1" w14:textId="77777777" w:rsidR="00125BD8" w:rsidRPr="008E282C" w:rsidRDefault="00125BD8" w:rsidP="00125BD8">
      <w:pPr>
        <w:rPr>
          <w:lang w:eastAsia="en-GB"/>
        </w:rPr>
      </w:pPr>
    </w:p>
    <w:p w14:paraId="76C2A260" w14:textId="027993F6" w:rsidR="00125BD8" w:rsidRPr="008E282C" w:rsidRDefault="00125BD8" w:rsidP="00125BD8">
      <w:pPr>
        <w:rPr>
          <w:lang w:eastAsia="en-GB"/>
        </w:rPr>
      </w:pPr>
      <w:r w:rsidRPr="00125BD8">
        <w:rPr>
          <w:lang w:eastAsia="en-GB"/>
        </w:rPr>
        <w:t xml:space="preserve">The duplication of assets that currently results from decentralised purchasing in South Wales, where several project groups may own comparable plant items that are not </w:t>
      </w:r>
      <w:r w:rsidRPr="00125BD8">
        <w:rPr>
          <w:lang w:eastAsia="en-GB"/>
        </w:rPr>
        <w:lastRenderedPageBreak/>
        <w:t>regularly used, would be reduced by centralising ownership. The company would be in a better position to allocate equipment based on actual demand rather than project-specific ownership by combining plant resources across commercial, housing, and infrastructure projects in both North and South Wales. This would increase utilisation rates and decrease idle time.</w:t>
      </w:r>
    </w:p>
    <w:p w14:paraId="32EFB0CE" w14:textId="33133DD6" w:rsidR="00E9715D" w:rsidRPr="008E282C" w:rsidRDefault="00E9715D" w:rsidP="00E9715D">
      <w:pPr>
        <w:rPr>
          <w:lang w:eastAsia="en-GB"/>
        </w:rPr>
      </w:pPr>
      <w:r w:rsidRPr="00E9715D">
        <w:rPr>
          <w:lang w:eastAsia="en-GB"/>
        </w:rPr>
        <w:t>In North Wales, where demand patterns are more erratic and workload certainty may be lower, specialist plant</w:t>
      </w:r>
      <w:r w:rsidR="00AA702D" w:rsidRPr="008E282C">
        <w:rPr>
          <w:lang w:eastAsia="en-GB"/>
        </w:rPr>
        <w:t xml:space="preserve"> </w:t>
      </w:r>
      <w:r w:rsidRPr="00E9715D">
        <w:rPr>
          <w:lang w:eastAsia="en-GB"/>
        </w:rPr>
        <w:t>which is usually costly, rarely used, or highly project-specific</w:t>
      </w:r>
      <w:r w:rsidR="00AA702D" w:rsidRPr="008E282C">
        <w:rPr>
          <w:lang w:eastAsia="en-GB"/>
        </w:rPr>
        <w:t xml:space="preserve"> </w:t>
      </w:r>
      <w:r w:rsidRPr="00E9715D">
        <w:rPr>
          <w:lang w:eastAsia="en-GB"/>
        </w:rPr>
        <w:t>would still be hired as needed. This preserves flexibility while reducing financial risk associated with assets that might soon become outdated or underutilised. As the single point of control for plant allocation, maintenance scheduling, compliance, and replacement planning, a central plant management function would be essential to the coordination of this hybrid strategy.</w:t>
      </w:r>
    </w:p>
    <w:p w14:paraId="46BC4177" w14:textId="77777777" w:rsidR="00E43E67" w:rsidRPr="00E43E67" w:rsidRDefault="00E43E67" w:rsidP="00E43E67">
      <w:pPr>
        <w:rPr>
          <w:lang w:eastAsia="en-GB"/>
        </w:rPr>
      </w:pPr>
      <w:r w:rsidRPr="00E43E67">
        <w:rPr>
          <w:lang w:eastAsia="en-GB"/>
        </w:rPr>
        <w:t>This role would support both the Wrexham and Swansea headquarters, guaranteeing the effective distribution of plant resources across project types and geographic boundaries, as well as offering consistency in cost control and decision-making. The implementation of a central plant manager or plant management team would improve the organization's visibility of plant availability and utilisation, allowing for proactive planning and lowering the possibility of circumstances in which one region hires plant while another keeps comparable equipment idle.</w:t>
      </w:r>
    </w:p>
    <w:p w14:paraId="4327C5FE" w14:textId="77777777" w:rsidR="00CC4160" w:rsidRPr="00CC4160" w:rsidRDefault="00CC4160" w:rsidP="00CC4160">
      <w:pPr>
        <w:rPr>
          <w:lang w:eastAsia="en-GB"/>
        </w:rPr>
      </w:pPr>
      <w:r w:rsidRPr="00CC4160">
        <w:rPr>
          <w:lang w:eastAsia="en-GB"/>
        </w:rPr>
        <w:t>This strategy would also be strengthened by the use of a centralised digital plant booking and tracking system, which would offer real-time information on plant location, usage, condition, and future demand. In addition to allowing the central plant team to optimise allocations and find opportunities for redeployment, such systems would enable project and site managers to request plant based on program requirements. Better forecasting and investment decisions are supported by this data-driven approach, which guarantees that plant purchases are supported by long-term demand rather than temporary project pressures. In terms of finances, the hybrid approach provides a well-rounded solution that maximises capital investment while limiting operating expenses.</w:t>
      </w:r>
    </w:p>
    <w:p w14:paraId="1926FA72" w14:textId="77777777" w:rsidR="000E79D7" w:rsidRPr="000E79D7" w:rsidRDefault="000E79D7" w:rsidP="000E79D7">
      <w:pPr>
        <w:rPr>
          <w:lang w:eastAsia="en-GB"/>
        </w:rPr>
      </w:pPr>
      <w:r w:rsidRPr="000E79D7">
        <w:rPr>
          <w:lang w:eastAsia="en-GB"/>
        </w:rPr>
        <w:t>The business can eventually reduce cost per use and avoid having too much capital invested in infrequently used assets by restricting ownership to high-utilization plants. However, continuing to rely on hiring specialised equipment guarantees that projects can access the best plant for particular tasks and are not limited by ownership restrictions. Because the business is less vulnerable to changes in workload or local market conditions, this strategy also increases resilience.</w:t>
      </w:r>
    </w:p>
    <w:p w14:paraId="353F8587" w14:textId="06E70694" w:rsidR="00AA702D" w:rsidRPr="008E282C" w:rsidRDefault="002C7E44" w:rsidP="00E9715D">
      <w:pPr>
        <w:rPr>
          <w:lang w:eastAsia="en-GB"/>
        </w:rPr>
      </w:pPr>
      <w:r w:rsidRPr="008E282C">
        <w:rPr>
          <w:lang w:eastAsia="en-GB"/>
        </w:rPr>
        <w:t xml:space="preserve">From an operational perspective, central coordination enhances standardisation of plant types, which can improve operator familiarity, safety performance, and maintenance efficiency. Standardised fleets reduce training requirements and simplify </w:t>
      </w:r>
      <w:r w:rsidRPr="008E282C">
        <w:rPr>
          <w:lang w:eastAsia="en-GB"/>
        </w:rPr>
        <w:lastRenderedPageBreak/>
        <w:t>spare parts management, contributing to improved productivity across sites. Furthermore, central oversight supports consistent compliance with statutory inspections, maintenance regimes, and health and safety standards, reducing risk and administrative burden at project level.</w:t>
      </w:r>
    </w:p>
    <w:p w14:paraId="2CC137D0" w14:textId="77777777" w:rsidR="001F544C" w:rsidRPr="001F544C" w:rsidRDefault="001F544C" w:rsidP="001F544C">
      <w:pPr>
        <w:rPr>
          <w:lang w:eastAsia="en-GB"/>
        </w:rPr>
      </w:pPr>
      <w:r w:rsidRPr="001F544C">
        <w:rPr>
          <w:lang w:eastAsia="en-GB"/>
        </w:rPr>
        <w:t>Crucially, by encouraging project-type specialisation and minimising plant management fragmentation, the suggested solution fits in nicely with the organization's current management structure. Infrastructure, housing, and commercial teams continue to concentrate on completing projects, and plant management knowledge is concentrated in a specialised department, guaranteeing that plant choices are made proactively rather than impulsively.</w:t>
      </w:r>
    </w:p>
    <w:p w14:paraId="29FD0BE0" w14:textId="77777777" w:rsidR="001F544C" w:rsidRPr="001F544C" w:rsidRDefault="001F544C" w:rsidP="001F544C">
      <w:pPr>
        <w:rPr>
          <w:lang w:eastAsia="en-GB"/>
        </w:rPr>
      </w:pPr>
      <w:r w:rsidRPr="001F544C">
        <w:rPr>
          <w:lang w:eastAsia="en-GB"/>
        </w:rPr>
        <w:t>Project managers can focus on program, cost, and quality outcomes without being sidetracked by asset management issues thanks to this division of duties, which also encourages clearer accountability. In conclusion, because it combines flexibility, efficiency, and control into a single framework, a centrally coordinated hybrid plant management strategy is the most practical and long-term solution for the business.</w:t>
      </w:r>
    </w:p>
    <w:p w14:paraId="78A8D589" w14:textId="77777777" w:rsidR="00266993" w:rsidRPr="00266993" w:rsidRDefault="00266993" w:rsidP="00266993">
      <w:pPr>
        <w:rPr>
          <w:lang w:eastAsia="en-GB"/>
        </w:rPr>
      </w:pPr>
      <w:r w:rsidRPr="00266993">
        <w:rPr>
          <w:lang w:eastAsia="en-GB"/>
        </w:rPr>
        <w:t>The company can increase plant utilisation, lower costs, and improve overall operational performance across Wales-based headquarters and all project types by combining regional pooling of owned plant, selective use of hired specialist equipment, and centralised oversight supported by digital systems.</w:t>
      </w:r>
    </w:p>
    <w:p w14:paraId="7B3FEC92" w14:textId="77777777" w:rsidR="002C7E44" w:rsidRPr="008E282C" w:rsidRDefault="002C7E44" w:rsidP="00E9715D">
      <w:pPr>
        <w:rPr>
          <w:lang w:eastAsia="en-GB"/>
        </w:rPr>
      </w:pPr>
    </w:p>
    <w:p w14:paraId="63130D24" w14:textId="4F170E06" w:rsidR="00266993" w:rsidRPr="008E282C" w:rsidRDefault="00266993" w:rsidP="00266993">
      <w:pPr>
        <w:pStyle w:val="Heading1"/>
        <w:numPr>
          <w:ilvl w:val="0"/>
          <w:numId w:val="1"/>
        </w:numPr>
        <w:rPr>
          <w:rFonts w:asciiTheme="minorHAnsi" w:hAnsiTheme="minorHAnsi"/>
          <w:lang w:eastAsia="en-GB"/>
        </w:rPr>
      </w:pPr>
      <w:bookmarkStart w:id="6" w:name="_Toc218634713"/>
      <w:r w:rsidRPr="008E282C">
        <w:rPr>
          <w:rFonts w:asciiTheme="minorHAnsi" w:hAnsiTheme="minorHAnsi"/>
          <w:lang w:eastAsia="en-GB"/>
        </w:rPr>
        <w:t>Conclusion</w:t>
      </w:r>
      <w:bookmarkEnd w:id="6"/>
    </w:p>
    <w:p w14:paraId="003C4954" w14:textId="77777777" w:rsidR="00E26FB5" w:rsidRPr="008E282C" w:rsidRDefault="00E26FB5" w:rsidP="00E26FB5">
      <w:pPr>
        <w:spacing w:after="0" w:line="240" w:lineRule="auto"/>
        <w:rPr>
          <w:rFonts w:eastAsia="Times New Roman" w:cs="Times New Roman"/>
          <w:kern w:val="0"/>
          <w:lang w:eastAsia="en-GB"/>
          <w14:ligatures w14:val="none"/>
        </w:rPr>
      </w:pPr>
      <w:r w:rsidRPr="008E282C">
        <w:rPr>
          <w:rFonts w:eastAsia="Times New Roman" w:cs="Times New Roman"/>
          <w:kern w:val="0"/>
          <w:lang w:eastAsia="en-GB"/>
          <w14:ligatures w14:val="none"/>
        </w:rPr>
        <w:t>With a focus on operations in North and South Wales, this report has investigated the efficacy of the company's plant management strategies within a management structure separated by both geography and project type. The analysis has shown that, although the current strategies used in each region are reasonable reactions to regional circumstances and workload trends, they lack organisational strategic coherence. In North Wales, the use of hired equipment beyond simple excavators offers flexibility and lowers capital risk, especially in an area with fluctuating demand, but it can also lead to higher long-term costs and possible availability problems.</w:t>
      </w:r>
    </w:p>
    <w:p w14:paraId="42FA0FD2" w14:textId="77777777" w:rsidR="00CE7637" w:rsidRPr="00CE7637" w:rsidRDefault="00CE7637" w:rsidP="00CE7637">
      <w:pPr>
        <w:spacing w:after="0" w:line="240" w:lineRule="auto"/>
        <w:rPr>
          <w:rFonts w:eastAsia="Times New Roman" w:cs="Times New Roman"/>
          <w:kern w:val="0"/>
          <w:lang w:eastAsia="en-GB"/>
          <w14:ligatures w14:val="none"/>
        </w:rPr>
      </w:pPr>
      <w:r w:rsidRPr="00CE7637">
        <w:rPr>
          <w:rFonts w:eastAsia="Times New Roman" w:cs="Times New Roman"/>
          <w:kern w:val="0"/>
          <w:lang w:eastAsia="en-GB"/>
          <w14:ligatures w14:val="none"/>
        </w:rPr>
        <w:t>On the other hand, decentralised plant ownership by individual project groups in South Wales presents serious risks associated with underutilisation, asset duplication, and diminished financial flexibility, but it also offers better control, standardisation, and cost efficiency for frequently used equipment.</w:t>
      </w:r>
    </w:p>
    <w:p w14:paraId="32DB9B8D" w14:textId="77777777" w:rsidR="00CD1999" w:rsidRPr="00CD1999" w:rsidRDefault="00CD1999" w:rsidP="00CD1999">
      <w:pPr>
        <w:spacing w:after="0" w:line="240" w:lineRule="auto"/>
        <w:rPr>
          <w:rFonts w:eastAsia="Times New Roman" w:cs="Times New Roman"/>
          <w:kern w:val="0"/>
          <w:lang w:eastAsia="en-GB"/>
          <w14:ligatures w14:val="none"/>
        </w:rPr>
      </w:pPr>
      <w:r w:rsidRPr="00CD1999">
        <w:rPr>
          <w:rFonts w:eastAsia="Times New Roman" w:cs="Times New Roman"/>
          <w:kern w:val="0"/>
          <w:lang w:eastAsia="en-GB"/>
          <w14:ligatures w14:val="none"/>
        </w:rPr>
        <w:t xml:space="preserve">The assessment shows that the lack of a cohesive, centrally coordinated plant management strategy that can support the organization's geographically and functionally complex structure is the main flaw in the current arrangements rather than the decision between hiring and owning plant separately. It is challenging to attain consistent performance, benchmark efficiency, or maximise the value of plant assets throughout the company due to regional variations in procurement strategies, asset </w:t>
      </w:r>
      <w:r w:rsidRPr="00CD1999">
        <w:rPr>
          <w:rFonts w:eastAsia="Times New Roman" w:cs="Times New Roman"/>
          <w:kern w:val="0"/>
          <w:lang w:eastAsia="en-GB"/>
          <w14:ligatures w14:val="none"/>
        </w:rPr>
        <w:lastRenderedPageBreak/>
        <w:t>ownership, and utilisation practices. Additionally, when plant demand varies between commercial, housing, and infrastructure projects, decentralised decision-making at the project level raises the risk of reactive plant purchases and lost opportunities for redeployment.</w:t>
      </w:r>
    </w:p>
    <w:p w14:paraId="10FD5F99" w14:textId="4E330900" w:rsidR="00AD74F9" w:rsidRPr="008E282C" w:rsidRDefault="00AD74F9" w:rsidP="00AD74F9">
      <w:pPr>
        <w:spacing w:after="0" w:line="240" w:lineRule="auto"/>
        <w:rPr>
          <w:rFonts w:eastAsia="Times New Roman" w:cs="Times New Roman"/>
          <w:kern w:val="0"/>
          <w:lang w:eastAsia="en-GB"/>
          <w14:ligatures w14:val="none"/>
        </w:rPr>
      </w:pPr>
      <w:r w:rsidRPr="00AD74F9">
        <w:rPr>
          <w:rFonts w:eastAsia="Times New Roman" w:cs="Times New Roman"/>
          <w:kern w:val="0"/>
          <w:lang w:eastAsia="en-GB"/>
          <w14:ligatures w14:val="none"/>
        </w:rPr>
        <w:t xml:space="preserve">By combining the advantages of both current methods while reducing their individual drawbacks, the suggested centrally coordinated hybrid plant management strategy directly addresses these issues. The company can attain higher utilisation rates, lower cost per use, and more uniformity across projects by keeping ownership of high-utilization, non-specialist plant at the regional or corporate level. Simultaneously, maintaining the use of hired specialised equipment guarantees flexibility and lowers exposure to expensive assets that might only be needed occasionally. Plant resources can now be allocated proactively rather than reactively thanks to the establishment of a central plant management function that is backed by digital booking and tracking systems. This improves visibility, accountability, and data-driven decision-making. </w:t>
      </w:r>
      <w:r w:rsidRPr="008E282C">
        <w:rPr>
          <w:rFonts w:eastAsia="Times New Roman" w:cs="Times New Roman"/>
          <w:kern w:val="0"/>
          <w:lang w:eastAsia="en-GB"/>
          <w14:ligatures w14:val="none"/>
        </w:rPr>
        <w:t>This central oversight also improves compliance, maintenance planning, and safety performance, while reducing administrative burden on project teams.</w:t>
      </w:r>
    </w:p>
    <w:p w14:paraId="7C1E8FE6" w14:textId="77777777" w:rsidR="00356EC9" w:rsidRPr="00356EC9" w:rsidRDefault="00356EC9" w:rsidP="00356EC9">
      <w:pPr>
        <w:spacing w:after="0" w:line="240" w:lineRule="auto"/>
        <w:rPr>
          <w:rFonts w:eastAsia="Times New Roman" w:cs="Times New Roman"/>
          <w:kern w:val="0"/>
          <w:lang w:eastAsia="en-GB"/>
          <w14:ligatures w14:val="none"/>
        </w:rPr>
      </w:pPr>
      <w:r w:rsidRPr="00356EC9">
        <w:rPr>
          <w:rFonts w:eastAsia="Times New Roman" w:cs="Times New Roman"/>
          <w:kern w:val="0"/>
          <w:lang w:eastAsia="en-GB"/>
          <w14:ligatures w14:val="none"/>
        </w:rPr>
        <w:t>Crucially, by allowing project-type teams to concentrate on delivery while consolidating asset management expertise within a dedicated function, the suggested approach works well with the organization's current management structure. Clearer lines of accountability, more uniform operational procedures, and enhanced coordination between the Wrexham and Swansea headquarters are all facilitated by this division of duties. By enabling the sharing of plant resources across regions and project types in response to shifting workloads and market conditions, it also improves organisational resilience.</w:t>
      </w:r>
    </w:p>
    <w:p w14:paraId="70F5F8C1" w14:textId="77777777" w:rsidR="008E282C" w:rsidRPr="008E282C" w:rsidRDefault="008E282C" w:rsidP="008E282C">
      <w:pPr>
        <w:spacing w:after="0" w:line="240" w:lineRule="auto"/>
        <w:rPr>
          <w:rFonts w:eastAsia="Times New Roman" w:cs="Times New Roman"/>
          <w:kern w:val="0"/>
          <w:lang w:eastAsia="en-GB"/>
          <w14:ligatures w14:val="none"/>
        </w:rPr>
      </w:pPr>
      <w:r w:rsidRPr="008E282C">
        <w:rPr>
          <w:rFonts w:eastAsia="Times New Roman" w:cs="Times New Roman"/>
          <w:kern w:val="0"/>
          <w:lang w:eastAsia="en-GB"/>
          <w14:ligatures w14:val="none"/>
        </w:rPr>
        <w:t>In conclusion, even though the company's current regional plant management strategies provide immediate operational advantages, they are not the most effective or long-term option for a company that operates at scale throughout Wales. The most suitable and efficient method is a centrally coordinated hybrid plant management strategy, which offers better asset utilisation, increased flexibility, and cost control. By using this approach, the business would be in a strong position to support steady project performance, optimise the return on its plant investment, and improve its competitiveness in the construction sector.</w:t>
      </w:r>
    </w:p>
    <w:p w14:paraId="5F2F4D59" w14:textId="77777777" w:rsidR="00AD74F9" w:rsidRPr="00AD74F9" w:rsidRDefault="00AD74F9" w:rsidP="00AD74F9">
      <w:pPr>
        <w:spacing w:after="0" w:line="240" w:lineRule="auto"/>
        <w:rPr>
          <w:rFonts w:eastAsia="Times New Roman" w:cs="Times New Roman"/>
          <w:kern w:val="0"/>
          <w:lang w:eastAsia="en-GB"/>
          <w14:ligatures w14:val="none"/>
        </w:rPr>
      </w:pPr>
    </w:p>
    <w:p w14:paraId="1D400A29" w14:textId="77777777" w:rsidR="00CE7637" w:rsidRPr="008E282C" w:rsidRDefault="00CE7637" w:rsidP="00E26FB5">
      <w:pPr>
        <w:spacing w:after="0" w:line="240" w:lineRule="auto"/>
        <w:rPr>
          <w:rFonts w:eastAsia="Times New Roman" w:cs="Times New Roman"/>
          <w:kern w:val="0"/>
          <w:lang w:eastAsia="en-GB"/>
          <w14:ligatures w14:val="none"/>
        </w:rPr>
      </w:pPr>
    </w:p>
    <w:p w14:paraId="027AC44E" w14:textId="77777777" w:rsidR="00E26FB5" w:rsidRPr="008E282C" w:rsidRDefault="00E26FB5" w:rsidP="00E26FB5">
      <w:pPr>
        <w:rPr>
          <w:lang w:eastAsia="en-GB"/>
        </w:rPr>
      </w:pPr>
    </w:p>
    <w:p w14:paraId="505CD9D3" w14:textId="77777777" w:rsidR="00125BD8" w:rsidRPr="00125BD8" w:rsidRDefault="00125BD8" w:rsidP="00125BD8">
      <w:pPr>
        <w:rPr>
          <w:lang w:eastAsia="en-GB"/>
        </w:rPr>
      </w:pPr>
    </w:p>
    <w:p w14:paraId="17091646" w14:textId="77777777" w:rsidR="00290436" w:rsidRPr="008E282C" w:rsidRDefault="00290436" w:rsidP="00290436">
      <w:pPr>
        <w:rPr>
          <w:lang w:eastAsia="en-GB"/>
        </w:rPr>
      </w:pPr>
    </w:p>
    <w:p w14:paraId="3E13A9EB" w14:textId="3114F15B" w:rsidR="009D6FE2" w:rsidRPr="008E282C" w:rsidRDefault="009D6FE2" w:rsidP="009D6FE2">
      <w:pPr>
        <w:spacing w:after="0" w:line="240" w:lineRule="auto"/>
        <w:ind w:left="360"/>
        <w:rPr>
          <w:rFonts w:eastAsia="Times New Roman" w:cs="Times New Roman"/>
          <w:kern w:val="0"/>
          <w:lang w:eastAsia="en-GB"/>
          <w14:ligatures w14:val="none"/>
        </w:rPr>
      </w:pPr>
    </w:p>
    <w:p w14:paraId="5911C6B9" w14:textId="77777777" w:rsidR="002062A1" w:rsidRPr="008E282C" w:rsidRDefault="002062A1" w:rsidP="009D6FE2">
      <w:pPr>
        <w:spacing w:after="0" w:line="240" w:lineRule="auto"/>
        <w:ind w:left="360"/>
        <w:rPr>
          <w:rFonts w:eastAsia="Times New Roman" w:cs="Times New Roman"/>
          <w:kern w:val="0"/>
          <w:lang w:eastAsia="en-GB"/>
          <w14:ligatures w14:val="none"/>
        </w:rPr>
      </w:pPr>
    </w:p>
    <w:p w14:paraId="3B5FAED5" w14:textId="77777777" w:rsidR="00784FF8" w:rsidRPr="008E282C" w:rsidRDefault="00784FF8" w:rsidP="00784FF8"/>
    <w:p w14:paraId="604E5C73" w14:textId="77777777" w:rsidR="00FB2E87" w:rsidRPr="008E282C" w:rsidRDefault="00FB2E87" w:rsidP="00784FF8"/>
    <w:p w14:paraId="1E5F35BD" w14:textId="77777777" w:rsidR="0056283C" w:rsidRPr="008E282C" w:rsidRDefault="0056283C" w:rsidP="0056283C"/>
    <w:sectPr w:rsidR="0056283C" w:rsidRPr="008E282C" w:rsidSect="002D63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DF633D"/>
    <w:multiLevelType w:val="hybridMultilevel"/>
    <w:tmpl w:val="9B22D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8895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F20"/>
    <w:rsid w:val="0005311A"/>
    <w:rsid w:val="000E79D7"/>
    <w:rsid w:val="00125BD8"/>
    <w:rsid w:val="00133520"/>
    <w:rsid w:val="001630C2"/>
    <w:rsid w:val="001C1B0D"/>
    <w:rsid w:val="001F544C"/>
    <w:rsid w:val="002062A1"/>
    <w:rsid w:val="00266993"/>
    <w:rsid w:val="00290436"/>
    <w:rsid w:val="002C7E44"/>
    <w:rsid w:val="002D633B"/>
    <w:rsid w:val="002F487D"/>
    <w:rsid w:val="00312320"/>
    <w:rsid w:val="00340217"/>
    <w:rsid w:val="00356EC9"/>
    <w:rsid w:val="00367214"/>
    <w:rsid w:val="0049319F"/>
    <w:rsid w:val="004B0B43"/>
    <w:rsid w:val="0056283C"/>
    <w:rsid w:val="00570E84"/>
    <w:rsid w:val="005D66D5"/>
    <w:rsid w:val="006C2793"/>
    <w:rsid w:val="006F79D8"/>
    <w:rsid w:val="00784FF8"/>
    <w:rsid w:val="008D5CC0"/>
    <w:rsid w:val="008E282C"/>
    <w:rsid w:val="00901880"/>
    <w:rsid w:val="009D6FE2"/>
    <w:rsid w:val="00A25860"/>
    <w:rsid w:val="00AA702D"/>
    <w:rsid w:val="00AC1D5B"/>
    <w:rsid w:val="00AD74F9"/>
    <w:rsid w:val="00AE46C4"/>
    <w:rsid w:val="00B311FD"/>
    <w:rsid w:val="00C33DA7"/>
    <w:rsid w:val="00C708FF"/>
    <w:rsid w:val="00CC4160"/>
    <w:rsid w:val="00CD1999"/>
    <w:rsid w:val="00CE7637"/>
    <w:rsid w:val="00E15028"/>
    <w:rsid w:val="00E26FB5"/>
    <w:rsid w:val="00E43E67"/>
    <w:rsid w:val="00E9715D"/>
    <w:rsid w:val="00F94F20"/>
    <w:rsid w:val="00FB2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FF043"/>
  <w15:chartTrackingRefBased/>
  <w15:docId w15:val="{76C47648-6103-4D73-876E-33C72FABA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F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F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F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F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F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F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F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F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F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F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F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F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F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F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F20"/>
    <w:rPr>
      <w:rFonts w:eastAsiaTheme="majorEastAsia" w:cstheme="majorBidi"/>
      <w:color w:val="272727" w:themeColor="text1" w:themeTint="D8"/>
    </w:rPr>
  </w:style>
  <w:style w:type="paragraph" w:styleId="Title">
    <w:name w:val="Title"/>
    <w:basedOn w:val="Normal"/>
    <w:next w:val="Normal"/>
    <w:link w:val="TitleChar"/>
    <w:uiPriority w:val="10"/>
    <w:qFormat/>
    <w:rsid w:val="00F94F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F20"/>
    <w:pPr>
      <w:spacing w:before="160"/>
      <w:jc w:val="center"/>
    </w:pPr>
    <w:rPr>
      <w:i/>
      <w:iCs/>
      <w:color w:val="404040" w:themeColor="text1" w:themeTint="BF"/>
    </w:rPr>
  </w:style>
  <w:style w:type="character" w:customStyle="1" w:styleId="QuoteChar">
    <w:name w:val="Quote Char"/>
    <w:basedOn w:val="DefaultParagraphFont"/>
    <w:link w:val="Quote"/>
    <w:uiPriority w:val="29"/>
    <w:rsid w:val="00F94F20"/>
    <w:rPr>
      <w:i/>
      <w:iCs/>
      <w:color w:val="404040" w:themeColor="text1" w:themeTint="BF"/>
    </w:rPr>
  </w:style>
  <w:style w:type="paragraph" w:styleId="ListParagraph">
    <w:name w:val="List Paragraph"/>
    <w:basedOn w:val="Normal"/>
    <w:uiPriority w:val="34"/>
    <w:qFormat/>
    <w:rsid w:val="00F94F20"/>
    <w:pPr>
      <w:ind w:left="720"/>
      <w:contextualSpacing/>
    </w:pPr>
  </w:style>
  <w:style w:type="character" w:styleId="IntenseEmphasis">
    <w:name w:val="Intense Emphasis"/>
    <w:basedOn w:val="DefaultParagraphFont"/>
    <w:uiPriority w:val="21"/>
    <w:qFormat/>
    <w:rsid w:val="00F94F20"/>
    <w:rPr>
      <w:i/>
      <w:iCs/>
      <w:color w:val="0F4761" w:themeColor="accent1" w:themeShade="BF"/>
    </w:rPr>
  </w:style>
  <w:style w:type="paragraph" w:styleId="IntenseQuote">
    <w:name w:val="Intense Quote"/>
    <w:basedOn w:val="Normal"/>
    <w:next w:val="Normal"/>
    <w:link w:val="IntenseQuoteChar"/>
    <w:uiPriority w:val="30"/>
    <w:qFormat/>
    <w:rsid w:val="00F94F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F20"/>
    <w:rPr>
      <w:i/>
      <w:iCs/>
      <w:color w:val="0F4761" w:themeColor="accent1" w:themeShade="BF"/>
    </w:rPr>
  </w:style>
  <w:style w:type="character" w:styleId="IntenseReference">
    <w:name w:val="Intense Reference"/>
    <w:basedOn w:val="DefaultParagraphFont"/>
    <w:uiPriority w:val="32"/>
    <w:qFormat/>
    <w:rsid w:val="00F94F20"/>
    <w:rPr>
      <w:b/>
      <w:bCs/>
      <w:smallCaps/>
      <w:color w:val="0F4761" w:themeColor="accent1" w:themeShade="BF"/>
      <w:spacing w:val="5"/>
    </w:rPr>
  </w:style>
  <w:style w:type="paragraph" w:styleId="NoSpacing">
    <w:name w:val="No Spacing"/>
    <w:link w:val="NoSpacingChar"/>
    <w:uiPriority w:val="1"/>
    <w:qFormat/>
    <w:rsid w:val="002D633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D633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E282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E282C"/>
    <w:pPr>
      <w:spacing w:after="100"/>
    </w:pPr>
  </w:style>
  <w:style w:type="character" w:styleId="Hyperlink">
    <w:name w:val="Hyperlink"/>
    <w:basedOn w:val="DefaultParagraphFont"/>
    <w:uiPriority w:val="99"/>
    <w:unhideWhenUsed/>
    <w:rsid w:val="008E28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Business Portfolio – ACBA5018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4E468F-9D77-48A5-8668-8A172A7AE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2324</Words>
  <Characters>13247</Characters>
  <Application>Microsoft Office Word</Application>
  <DocSecurity>0</DocSecurity>
  <Lines>110</Lines>
  <Paragraphs>31</Paragraphs>
  <ScaleCrop>false</ScaleCrop>
  <Company>2400132</Company>
  <LinksUpToDate>false</LinksUpToDate>
  <CharactersWithSpaces>15540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 for construction</dc:title>
  <dc:subject/>
  <dc:creator>Jac Cullen</dc:creator>
  <cp:keywords/>
  <dc:description/>
  <cp:lastModifiedBy>Jac Cullen</cp:lastModifiedBy>
  <cp:revision>43</cp:revision>
  <dcterms:created xsi:type="dcterms:W3CDTF">2026-01-06T22:40:00Z</dcterms:created>
  <dcterms:modified xsi:type="dcterms:W3CDTF">2026-01-06T23:31:00Z</dcterms:modified>
</cp:coreProperties>
</file>