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879E8B" w14:textId="2BE9B2DC" w:rsidR="7C99521E" w:rsidRDefault="7C99521E" w:rsidP="004B5F01"/>
    <w:p w14:paraId="2A41209E" w14:textId="14A6562E" w:rsidR="7C99521E" w:rsidRDefault="56BDD7DB" w:rsidP="004B5F01">
      <w:pPr>
        <w:rPr>
          <w:rFonts w:eastAsia="Arial"/>
        </w:rPr>
      </w:pPr>
      <w:r>
        <w:rPr>
          <w:noProof/>
        </w:rPr>
        <w:drawing>
          <wp:inline distT="0" distB="0" distL="0" distR="0" wp14:anchorId="3A7E4B73" wp14:editId="60C2D8F7">
            <wp:extent cx="4286250" cy="1905000"/>
            <wp:effectExtent l="0" t="0" r="0" b="0"/>
            <wp:docPr id="794711796" name="drawing" title="Immag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711796" name="Picture 794711796"/>
                    <pic:cNvPicPr/>
                  </pic:nvPicPr>
                  <pic:blipFill>
                    <a:blip r:embed="rId8">
                      <a:extLst>
                        <a:ext uri="{28A0092B-C50C-407E-A947-70E740481C1C}">
                          <a14:useLocalDpi xmlns:a14="http://schemas.microsoft.com/office/drawing/2010/main"/>
                        </a:ext>
                      </a:extLst>
                    </a:blip>
                    <a:stretch>
                      <a:fillRect/>
                    </a:stretch>
                  </pic:blipFill>
                  <pic:spPr>
                    <a:xfrm>
                      <a:off x="0" y="0"/>
                      <a:ext cx="4286250" cy="1905000"/>
                    </a:xfrm>
                    <a:prstGeom prst="rect">
                      <a:avLst/>
                    </a:prstGeom>
                  </pic:spPr>
                </pic:pic>
              </a:graphicData>
            </a:graphic>
          </wp:inline>
        </w:drawing>
      </w:r>
      <w:r w:rsidRPr="51026BE9">
        <w:rPr>
          <w:rFonts w:eastAsia="Arial"/>
        </w:rPr>
        <w:t xml:space="preserve"> </w:t>
      </w:r>
    </w:p>
    <w:p w14:paraId="02B0525D" w14:textId="01ED0F59" w:rsidR="7C99521E" w:rsidRDefault="56BDD7DB" w:rsidP="004B5F01">
      <w:pPr>
        <w:rPr>
          <w:rFonts w:eastAsia="Arial"/>
        </w:rPr>
      </w:pPr>
      <w:r w:rsidRPr="51026BE9">
        <w:rPr>
          <w:rFonts w:eastAsia="Arial"/>
        </w:rPr>
        <w:t xml:space="preserve"> </w:t>
      </w:r>
    </w:p>
    <w:p w14:paraId="5C5C7090" w14:textId="12027BC6" w:rsidR="7C99521E" w:rsidRDefault="56BDD7DB" w:rsidP="004B5F01">
      <w:pPr>
        <w:rPr>
          <w:rFonts w:eastAsia="Arial"/>
        </w:rPr>
      </w:pPr>
      <w:r w:rsidRPr="51026BE9">
        <w:rPr>
          <w:rFonts w:eastAsia="Arial"/>
        </w:rPr>
        <w:t xml:space="preserve"> </w:t>
      </w:r>
    </w:p>
    <w:p w14:paraId="749793E5" w14:textId="007145AD" w:rsidR="7C99521E" w:rsidRDefault="56BDD7DB" w:rsidP="004B5F01">
      <w:pPr>
        <w:rPr>
          <w:rFonts w:eastAsia="Arial"/>
        </w:rPr>
      </w:pPr>
      <w:r w:rsidRPr="51026BE9">
        <w:rPr>
          <w:rFonts w:eastAsia="Arial"/>
        </w:rPr>
        <w:t xml:space="preserve"> </w:t>
      </w:r>
    </w:p>
    <w:p w14:paraId="5887E2C9" w14:textId="205E8A86" w:rsidR="7C99521E" w:rsidRDefault="56BDD7DB" w:rsidP="004B5F01">
      <w:pPr>
        <w:rPr>
          <w:rFonts w:eastAsia="Arial"/>
        </w:rPr>
      </w:pPr>
      <w:r w:rsidRPr="51026BE9">
        <w:rPr>
          <w:rFonts w:eastAsia="Arial"/>
        </w:rPr>
        <w:t xml:space="preserve"> </w:t>
      </w:r>
    </w:p>
    <w:p w14:paraId="72EB226C" w14:textId="0A037564" w:rsidR="7C99521E" w:rsidRDefault="6B263BB6" w:rsidP="004B5F01">
      <w:r w:rsidRPr="78D0E6A0">
        <w:rPr>
          <w:rFonts w:eastAsia="Arial"/>
        </w:rPr>
        <w:t xml:space="preserve">The importance of Management </w:t>
      </w:r>
    </w:p>
    <w:p w14:paraId="7A0560F8" w14:textId="0ABC17D7" w:rsidR="7C99521E" w:rsidRDefault="56BDD7DB" w:rsidP="004B5F01">
      <w:pPr>
        <w:rPr>
          <w:rFonts w:eastAsia="Arial"/>
        </w:rPr>
      </w:pPr>
      <w:r w:rsidRPr="51026BE9">
        <w:rPr>
          <w:rFonts w:eastAsia="Arial"/>
        </w:rPr>
        <w:t xml:space="preserve"> </w:t>
      </w:r>
    </w:p>
    <w:p w14:paraId="2F67D69F" w14:textId="1C55B305" w:rsidR="7C99521E" w:rsidRDefault="56BDD7DB" w:rsidP="004B5F01">
      <w:pPr>
        <w:rPr>
          <w:rFonts w:eastAsia="Arial"/>
        </w:rPr>
      </w:pPr>
      <w:r w:rsidRPr="51026BE9">
        <w:rPr>
          <w:rFonts w:eastAsia="Arial"/>
        </w:rPr>
        <w:t xml:space="preserve"> </w:t>
      </w:r>
    </w:p>
    <w:p w14:paraId="102D9EED" w14:textId="2FD2C535" w:rsidR="7C99521E" w:rsidRDefault="56BDD7DB" w:rsidP="004B5F01">
      <w:pPr>
        <w:rPr>
          <w:rFonts w:eastAsia="Arial"/>
        </w:rPr>
      </w:pPr>
      <w:r w:rsidRPr="51026BE9">
        <w:rPr>
          <w:rFonts w:eastAsia="Arial"/>
        </w:rPr>
        <w:t xml:space="preserve"> </w:t>
      </w:r>
    </w:p>
    <w:p w14:paraId="1C49A260" w14:textId="76989D2C" w:rsidR="7C99521E" w:rsidRDefault="56BDD7DB" w:rsidP="004B5F01">
      <w:r w:rsidRPr="51026BE9">
        <w:t xml:space="preserve"> </w:t>
      </w:r>
    </w:p>
    <w:p w14:paraId="08E263BC" w14:textId="17D55F35" w:rsidR="7C99521E" w:rsidRDefault="56BDD7DB" w:rsidP="004B5F01">
      <w:r w:rsidRPr="51026BE9">
        <w:rPr>
          <w:b/>
          <w:bCs/>
        </w:rPr>
        <w:t xml:space="preserve">Name &amp; Student ID:  </w:t>
      </w:r>
      <w:r w:rsidRPr="51026BE9">
        <w:t xml:space="preserve">Dana Pellegrini </w:t>
      </w:r>
      <w:proofErr w:type="spellStart"/>
      <w:r w:rsidRPr="51026BE9">
        <w:t>Babcinschii</w:t>
      </w:r>
      <w:proofErr w:type="spellEnd"/>
      <w:r w:rsidRPr="51026BE9">
        <w:t xml:space="preserve"> (2317100)</w:t>
      </w:r>
      <w:r w:rsidRPr="51026BE9">
        <w:rPr>
          <w:b/>
          <w:bCs/>
        </w:rPr>
        <w:t xml:space="preserve"> </w:t>
      </w:r>
    </w:p>
    <w:p w14:paraId="0F049191" w14:textId="7A20D928" w:rsidR="7C99521E" w:rsidRDefault="56BDD7DB" w:rsidP="004B5F01">
      <w:r w:rsidRPr="51026BE9">
        <w:rPr>
          <w:b/>
          <w:bCs/>
        </w:rPr>
        <w:t>Module:</w:t>
      </w:r>
      <w:r w:rsidR="4F27ED57" w:rsidRPr="51026BE9">
        <w:t xml:space="preserve"> Leadership and Management Theory and Practice</w:t>
      </w:r>
    </w:p>
    <w:p w14:paraId="5828A687" w14:textId="48C6F945" w:rsidR="7C99521E" w:rsidRDefault="56BDD7DB" w:rsidP="004B5F01">
      <w:r w:rsidRPr="004B5F01">
        <w:rPr>
          <w:b/>
          <w:bCs/>
        </w:rPr>
        <w:t>Module Code:</w:t>
      </w:r>
      <w:r w:rsidRPr="51026BE9">
        <w:t xml:space="preserve"> LCBB60</w:t>
      </w:r>
      <w:r w:rsidR="54927DA0" w:rsidRPr="51026BE9">
        <w:t>22</w:t>
      </w:r>
    </w:p>
    <w:p w14:paraId="01AB15EB" w14:textId="053D7CDD" w:rsidR="00953DCC" w:rsidRDefault="56BDD7DB" w:rsidP="00953DCC">
      <w:r w:rsidRPr="51026BE9">
        <w:rPr>
          <w:b/>
          <w:bCs/>
        </w:rPr>
        <w:t xml:space="preserve">Lecturer: </w:t>
      </w:r>
      <w:r w:rsidR="3296B4F2" w:rsidRPr="51026BE9">
        <w:t xml:space="preserve">Dr </w:t>
      </w:r>
      <w:proofErr w:type="spellStart"/>
      <w:r w:rsidR="3296B4F2" w:rsidRPr="51026BE9">
        <w:t>Piyumika</w:t>
      </w:r>
      <w:proofErr w:type="spellEnd"/>
      <w:r w:rsidR="3296B4F2" w:rsidRPr="51026BE9">
        <w:t xml:space="preserve"> K. Gamage</w:t>
      </w:r>
    </w:p>
    <w:p w14:paraId="4F36E189" w14:textId="77777777" w:rsidR="00953DCC" w:rsidRDefault="00953DCC">
      <w:pPr>
        <w:spacing w:line="279" w:lineRule="auto"/>
        <w:jc w:val="left"/>
        <w:rPr>
          <w:b/>
          <w:bCs/>
          <w:sz w:val="32"/>
          <w:szCs w:val="32"/>
        </w:rPr>
      </w:pPr>
      <w:r>
        <w:br w:type="page"/>
      </w:r>
    </w:p>
    <w:sdt>
      <w:sdtPr>
        <w:id w:val="-209882383"/>
        <w:docPartObj>
          <w:docPartGallery w:val="Table of Contents"/>
          <w:docPartUnique/>
        </w:docPartObj>
      </w:sdtPr>
      <w:sdtEndPr>
        <w:rPr>
          <w:rFonts w:ascii="Times New Roman" w:eastAsia="Times New Roman" w:hAnsi="Times New Roman" w:cs="Times New Roman"/>
          <w:b/>
          <w:bCs/>
          <w:noProof/>
          <w:color w:val="auto"/>
          <w:sz w:val="24"/>
          <w:szCs w:val="24"/>
          <w:lang w:val="en-GB" w:eastAsia="ja-JP"/>
        </w:rPr>
      </w:sdtEndPr>
      <w:sdtContent>
        <w:p w14:paraId="16C2CBE4" w14:textId="5A829F8D" w:rsidR="00D41387" w:rsidRPr="00D41387" w:rsidRDefault="00D41387">
          <w:pPr>
            <w:pStyle w:val="TOCHeading"/>
            <w:rPr>
              <w:rFonts w:ascii="Times New Roman" w:hAnsi="Times New Roman" w:cs="Times New Roman"/>
              <w:color w:val="auto"/>
            </w:rPr>
          </w:pPr>
          <w:r w:rsidRPr="00D41387">
            <w:rPr>
              <w:rFonts w:ascii="Times New Roman" w:hAnsi="Times New Roman" w:cs="Times New Roman"/>
              <w:color w:val="auto"/>
            </w:rPr>
            <w:t>Table of Contents</w:t>
          </w:r>
        </w:p>
        <w:p w14:paraId="17901CFB" w14:textId="4D16EA56" w:rsidR="00D41387" w:rsidRDefault="00D41387">
          <w:pPr>
            <w:pStyle w:val="TOC1"/>
            <w:tabs>
              <w:tab w:val="right" w:leader="dot" w:pos="9350"/>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227830679" w:history="1">
            <w:r w:rsidRPr="009657CC">
              <w:rPr>
                <w:rStyle w:val="Hyperlink"/>
                <w:noProof/>
              </w:rPr>
              <w:t>Introduction</w:t>
            </w:r>
            <w:r>
              <w:rPr>
                <w:noProof/>
                <w:webHidden/>
              </w:rPr>
              <w:tab/>
            </w:r>
            <w:r>
              <w:rPr>
                <w:noProof/>
                <w:webHidden/>
              </w:rPr>
              <w:fldChar w:fldCharType="begin"/>
            </w:r>
            <w:r>
              <w:rPr>
                <w:noProof/>
                <w:webHidden/>
              </w:rPr>
              <w:instrText xml:space="preserve"> PAGEREF _Toc227830679 \h </w:instrText>
            </w:r>
            <w:r>
              <w:rPr>
                <w:noProof/>
                <w:webHidden/>
              </w:rPr>
            </w:r>
            <w:r>
              <w:rPr>
                <w:noProof/>
                <w:webHidden/>
              </w:rPr>
              <w:fldChar w:fldCharType="separate"/>
            </w:r>
            <w:r>
              <w:rPr>
                <w:noProof/>
                <w:webHidden/>
              </w:rPr>
              <w:t>3</w:t>
            </w:r>
            <w:r>
              <w:rPr>
                <w:noProof/>
                <w:webHidden/>
              </w:rPr>
              <w:fldChar w:fldCharType="end"/>
            </w:r>
          </w:hyperlink>
        </w:p>
        <w:p w14:paraId="0EB48894" w14:textId="4CC45F79" w:rsidR="00D41387" w:rsidRDefault="00D41387">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27830680" w:history="1">
            <w:r w:rsidRPr="009657CC">
              <w:rPr>
                <w:rStyle w:val="Hyperlink"/>
                <w:noProof/>
              </w:rPr>
              <w:t>Main Body</w:t>
            </w:r>
            <w:r>
              <w:rPr>
                <w:noProof/>
                <w:webHidden/>
              </w:rPr>
              <w:tab/>
            </w:r>
            <w:r>
              <w:rPr>
                <w:noProof/>
                <w:webHidden/>
              </w:rPr>
              <w:fldChar w:fldCharType="begin"/>
            </w:r>
            <w:r>
              <w:rPr>
                <w:noProof/>
                <w:webHidden/>
              </w:rPr>
              <w:instrText xml:space="preserve"> PAGEREF _Toc227830680 \h </w:instrText>
            </w:r>
            <w:r>
              <w:rPr>
                <w:noProof/>
                <w:webHidden/>
              </w:rPr>
            </w:r>
            <w:r>
              <w:rPr>
                <w:noProof/>
                <w:webHidden/>
              </w:rPr>
              <w:fldChar w:fldCharType="separate"/>
            </w:r>
            <w:r>
              <w:rPr>
                <w:noProof/>
                <w:webHidden/>
              </w:rPr>
              <w:t>3</w:t>
            </w:r>
            <w:r>
              <w:rPr>
                <w:noProof/>
                <w:webHidden/>
              </w:rPr>
              <w:fldChar w:fldCharType="end"/>
            </w:r>
          </w:hyperlink>
        </w:p>
        <w:p w14:paraId="3EE83C81" w14:textId="31A3EDE7" w:rsidR="00D41387" w:rsidRDefault="00D41387">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27830681" w:history="1">
            <w:r w:rsidRPr="009657CC">
              <w:rPr>
                <w:rStyle w:val="Hyperlink"/>
                <w:noProof/>
              </w:rPr>
              <w:t>Conclusion</w:t>
            </w:r>
            <w:r>
              <w:rPr>
                <w:noProof/>
                <w:webHidden/>
              </w:rPr>
              <w:tab/>
            </w:r>
            <w:r>
              <w:rPr>
                <w:noProof/>
                <w:webHidden/>
              </w:rPr>
              <w:fldChar w:fldCharType="begin"/>
            </w:r>
            <w:r>
              <w:rPr>
                <w:noProof/>
                <w:webHidden/>
              </w:rPr>
              <w:instrText xml:space="preserve"> PAGEREF _Toc227830681 \h </w:instrText>
            </w:r>
            <w:r>
              <w:rPr>
                <w:noProof/>
                <w:webHidden/>
              </w:rPr>
            </w:r>
            <w:r>
              <w:rPr>
                <w:noProof/>
                <w:webHidden/>
              </w:rPr>
              <w:fldChar w:fldCharType="separate"/>
            </w:r>
            <w:r>
              <w:rPr>
                <w:noProof/>
                <w:webHidden/>
              </w:rPr>
              <w:t>8</w:t>
            </w:r>
            <w:r>
              <w:rPr>
                <w:noProof/>
                <w:webHidden/>
              </w:rPr>
              <w:fldChar w:fldCharType="end"/>
            </w:r>
          </w:hyperlink>
        </w:p>
        <w:p w14:paraId="6E65F72E" w14:textId="5A24CF9F" w:rsidR="00D41387" w:rsidRDefault="00D41387">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227830682" w:history="1">
            <w:r w:rsidRPr="009657CC">
              <w:rPr>
                <w:rStyle w:val="Hyperlink"/>
                <w:noProof/>
              </w:rPr>
              <w:t>Reference List</w:t>
            </w:r>
            <w:r>
              <w:rPr>
                <w:noProof/>
                <w:webHidden/>
              </w:rPr>
              <w:tab/>
            </w:r>
            <w:r>
              <w:rPr>
                <w:noProof/>
                <w:webHidden/>
              </w:rPr>
              <w:fldChar w:fldCharType="begin"/>
            </w:r>
            <w:r>
              <w:rPr>
                <w:noProof/>
                <w:webHidden/>
              </w:rPr>
              <w:instrText xml:space="preserve"> PAGEREF _Toc227830682 \h </w:instrText>
            </w:r>
            <w:r>
              <w:rPr>
                <w:noProof/>
                <w:webHidden/>
              </w:rPr>
            </w:r>
            <w:r>
              <w:rPr>
                <w:noProof/>
                <w:webHidden/>
              </w:rPr>
              <w:fldChar w:fldCharType="separate"/>
            </w:r>
            <w:r>
              <w:rPr>
                <w:noProof/>
                <w:webHidden/>
              </w:rPr>
              <w:t>10</w:t>
            </w:r>
            <w:r>
              <w:rPr>
                <w:noProof/>
                <w:webHidden/>
              </w:rPr>
              <w:fldChar w:fldCharType="end"/>
            </w:r>
          </w:hyperlink>
        </w:p>
        <w:p w14:paraId="00317499" w14:textId="58C88324" w:rsidR="00953DCC" w:rsidRDefault="00D41387" w:rsidP="00953DCC">
          <w:r>
            <w:rPr>
              <w:b/>
              <w:bCs/>
              <w:noProof/>
            </w:rPr>
            <w:fldChar w:fldCharType="end"/>
          </w:r>
        </w:p>
      </w:sdtContent>
    </w:sdt>
    <w:p w14:paraId="65188CA7" w14:textId="77777777" w:rsidR="00D41387" w:rsidRDefault="00D41387">
      <w:pPr>
        <w:spacing w:line="279" w:lineRule="auto"/>
        <w:jc w:val="left"/>
        <w:rPr>
          <w:b/>
          <w:bCs/>
          <w:sz w:val="32"/>
          <w:szCs w:val="32"/>
        </w:rPr>
      </w:pPr>
      <w:r>
        <w:br w:type="page"/>
      </w:r>
    </w:p>
    <w:p w14:paraId="2CEED29B" w14:textId="20011893" w:rsidR="1A0030F6" w:rsidRDefault="1A0030F6" w:rsidP="004B5F01">
      <w:pPr>
        <w:pStyle w:val="Heading1"/>
      </w:pPr>
      <w:bookmarkStart w:id="0" w:name="_Toc227830679"/>
      <w:r>
        <w:lastRenderedPageBreak/>
        <w:t>Introduction</w:t>
      </w:r>
      <w:bookmarkEnd w:id="0"/>
    </w:p>
    <w:p w14:paraId="40DBE227" w14:textId="4CF297DD" w:rsidR="063B0312" w:rsidRPr="004B5F01" w:rsidRDefault="1A0030F6" w:rsidP="004B5F01">
      <w:r w:rsidRPr="004B5F01">
        <w:t>Planning, organising, leading,</w:t>
      </w:r>
      <w:r w:rsidR="02F3D2EF" w:rsidRPr="004B5F01">
        <w:t xml:space="preserve"> and controlling</w:t>
      </w:r>
      <w:r w:rsidRPr="004B5F01">
        <w:t xml:space="preserve"> are all interconnected aspects of management</w:t>
      </w:r>
      <w:r w:rsidR="2C717A62" w:rsidRPr="004B5F01">
        <w:t>;</w:t>
      </w:r>
      <w:r w:rsidRPr="004B5F01">
        <w:t xml:space="preserve"> </w:t>
      </w:r>
      <w:r w:rsidR="050D725D" w:rsidRPr="004B5F01">
        <w:t>however,</w:t>
      </w:r>
      <w:r w:rsidRPr="004B5F01">
        <w:t xml:space="preserve"> controlling </w:t>
      </w:r>
      <w:r w:rsidR="555CF3B0" w:rsidRPr="004B5F01">
        <w:t xml:space="preserve">remains </w:t>
      </w:r>
      <w:r w:rsidRPr="004B5F01">
        <w:t xml:space="preserve">one of the most strategically significant as it connects managerial goals with </w:t>
      </w:r>
      <w:r w:rsidR="00244F28">
        <w:t>actual</w:t>
      </w:r>
      <w:r w:rsidRPr="004B5F01">
        <w:t xml:space="preserve"> organisational results. </w:t>
      </w:r>
      <w:r w:rsidR="18E622B9" w:rsidRPr="004B5F01">
        <w:t xml:space="preserve"> </w:t>
      </w:r>
      <w:r w:rsidR="063B0312" w:rsidRPr="004B5F01">
        <w:t xml:space="preserve">In contemporary organisations, control extends beyond just confirming goal achievement; it assists managers in monitoring performance, coordinating activities, and ensuring that operational behaviour matches with fundamental corporate objectives (Bedford, 2020). </w:t>
      </w:r>
      <w:r w:rsidRPr="004B5F01">
        <w:t xml:space="preserve">This is particularly crucial in contemporary commercial settings, when unpredictability, complexity, and performance expectations necessitate that managers swiftly address deviations and </w:t>
      </w:r>
      <w:r w:rsidR="2CF4A54C" w:rsidRPr="004B5F01">
        <w:t xml:space="preserve">emerging </w:t>
      </w:r>
      <w:r w:rsidRPr="004B5F01">
        <w:t xml:space="preserve">hazards. </w:t>
      </w:r>
      <w:r w:rsidR="58DD8550" w:rsidRPr="004B5F01">
        <w:t>According to Phan et al. (2023),</w:t>
      </w:r>
      <w:r w:rsidRPr="004B5F01">
        <w:t xml:space="preserve"> effectively constructed management control systems may enhance organisational capacities and elevate overall performance, especially when used to facilitate cooperation and adaptation rather than only for restrictive </w:t>
      </w:r>
      <w:r w:rsidR="2B967A26" w:rsidRPr="004B5F01">
        <w:t>monitoring.</w:t>
      </w:r>
      <w:r w:rsidRPr="004B5F01">
        <w:t xml:space="preserve"> </w:t>
      </w:r>
    </w:p>
    <w:p w14:paraId="7A1ED1CB" w14:textId="7E094183" w:rsidR="47081FFB" w:rsidRDefault="47081FFB" w:rsidP="004B5F01">
      <w:r>
        <w:t xml:space="preserve">Nonetheless, </w:t>
      </w:r>
      <w:r w:rsidR="5F62390E">
        <w:t>controlling is not always successful</w:t>
      </w:r>
      <w:r>
        <w:t xml:space="preserve">. Excessively strict controls, excessively focused on targets, or dependent on inadequate metrics may result in unexpected outcomes, including stress, lack of trust, and dysfunctional conduct. In this context, control may enhance resilience and efficacy, but only when it is meticulously crafted and implemented in accordance with the organization's circumstances (Weber, </w:t>
      </w:r>
      <w:proofErr w:type="spellStart"/>
      <w:r>
        <w:t>Pedell</w:t>
      </w:r>
      <w:proofErr w:type="spellEnd"/>
      <w:r>
        <w:t xml:space="preserve"> and </w:t>
      </w:r>
      <w:proofErr w:type="spellStart"/>
      <w:r>
        <w:t>Rötzel</w:t>
      </w:r>
      <w:proofErr w:type="spellEnd"/>
      <w:r>
        <w:t xml:space="preserve">, 2024). </w:t>
      </w:r>
    </w:p>
    <w:p w14:paraId="3A2E011E" w14:textId="3ED46B5C" w:rsidR="47081FFB" w:rsidRDefault="47081FFB" w:rsidP="004B5F01">
      <w:r>
        <w:t>This essay</w:t>
      </w:r>
      <w:r w:rsidR="24DFC17C">
        <w:t xml:space="preserve">, </w:t>
      </w:r>
      <w:r w:rsidR="13AFC63E">
        <w:t>therefore, argues</w:t>
      </w:r>
      <w:r w:rsidR="79D4F34B">
        <w:t xml:space="preserve"> </w:t>
      </w:r>
      <w:r>
        <w:t>that control is vital in all organisational forms; nevertheless, its advantages are contingent upon the efficacy with which managers combine supervision with flexibility, discernment, and behavioural awareness.</w:t>
      </w:r>
    </w:p>
    <w:p w14:paraId="441FDFC0" w14:textId="0230EB3A" w:rsidR="51026BE9" w:rsidRDefault="5049875F" w:rsidP="004B5F01">
      <w:pPr>
        <w:pStyle w:val="Heading1"/>
      </w:pPr>
      <w:bookmarkStart w:id="1" w:name="_Toc227830680"/>
      <w:r>
        <w:t>Main Body</w:t>
      </w:r>
      <w:bookmarkEnd w:id="1"/>
      <w:r>
        <w:t xml:space="preserve"> </w:t>
      </w:r>
    </w:p>
    <w:p w14:paraId="70750958" w14:textId="598AED55" w:rsidR="0CCB126C" w:rsidRDefault="0CCB126C" w:rsidP="004B5F01">
      <w:r>
        <w:t xml:space="preserve">The four primary functions of management, planning, organising, leading, and controlling, </w:t>
      </w:r>
      <w:r w:rsidR="5B4D05C5">
        <w:t>establish the framework through which companies achieve objectives, allocate resources, and maintain efficiency.</w:t>
      </w:r>
      <w:r w:rsidR="6044D041">
        <w:t xml:space="preserve"> Planning is crucial as it allows managers to foresee uncertainties, allocate resources, and </w:t>
      </w:r>
      <w:r w:rsidR="07B6519F">
        <w:t xml:space="preserve">prepare </w:t>
      </w:r>
      <w:r w:rsidR="6044D041">
        <w:t xml:space="preserve">for disruptions, particularly in unstable environments where resilience and competitive advantage </w:t>
      </w:r>
      <w:r w:rsidR="26147F67">
        <w:t xml:space="preserve">depend </w:t>
      </w:r>
      <w:r w:rsidR="6044D041">
        <w:t>on proficient forecasting and readiness (Eichholz, Hoffmann and Schwering, 2024).</w:t>
      </w:r>
      <w:r w:rsidR="0E0F3AD0">
        <w:t xml:space="preserve"> </w:t>
      </w:r>
      <w:r w:rsidR="0E0F3AD0" w:rsidRPr="78D0E6A0">
        <w:t xml:space="preserve">Organising is similarly crucial, as organisations are dependent upon defined structures, task allocations, and coordination methods to manage interconnected operations </w:t>
      </w:r>
      <w:r w:rsidR="0E0F3AD0" w:rsidRPr="78D0E6A0">
        <w:lastRenderedPageBreak/>
        <w:t xml:space="preserve">effectively. In </w:t>
      </w:r>
      <w:r w:rsidR="59C92B40" w:rsidRPr="78D0E6A0">
        <w:t xml:space="preserve">complex </w:t>
      </w:r>
      <w:r w:rsidR="0E0F3AD0" w:rsidRPr="78D0E6A0">
        <w:t xml:space="preserve">situations, inadequate organisational structures can diminish flexibility and obstruct collaboration, whereas efficient coordination fosters communication and operational efficacy (Fu, </w:t>
      </w:r>
      <w:bookmarkStart w:id="2" w:name="_Int_YMwgBoFr"/>
      <w:proofErr w:type="spellStart"/>
      <w:r w:rsidR="0E0F3AD0" w:rsidRPr="78D0E6A0">
        <w:t>Leiringer</w:t>
      </w:r>
      <w:bookmarkEnd w:id="2"/>
      <w:proofErr w:type="spellEnd"/>
      <w:r w:rsidR="0E0F3AD0" w:rsidRPr="78D0E6A0">
        <w:t xml:space="preserve"> and Gottlieb, 2024).</w:t>
      </w:r>
      <w:r w:rsidR="097C304C" w:rsidRPr="78D0E6A0">
        <w:t xml:space="preserve"> Leading provides purpose to these systems by influencing behaviour, communication, and cooperation. González-</w:t>
      </w:r>
      <w:proofErr w:type="spellStart"/>
      <w:r w:rsidR="097C304C" w:rsidRPr="78D0E6A0">
        <w:t>Mohíno</w:t>
      </w:r>
      <w:proofErr w:type="spellEnd"/>
      <w:r w:rsidR="097C304C" w:rsidRPr="78D0E6A0">
        <w:t xml:space="preserve"> et al. (2024) </w:t>
      </w:r>
      <w:r w:rsidR="096566BE" w:rsidRPr="78D0E6A0">
        <w:t xml:space="preserve">show </w:t>
      </w:r>
      <w:r w:rsidR="097C304C" w:rsidRPr="78D0E6A0">
        <w:t xml:space="preserve">that leadership strengthening coordination may mitigate </w:t>
      </w:r>
      <w:r w:rsidR="01D47792" w:rsidRPr="78D0E6A0">
        <w:t>conflicts</w:t>
      </w:r>
      <w:r w:rsidR="097C304C" w:rsidRPr="78D0E6A0">
        <w:t xml:space="preserve"> and improve creative and analytical skills, demonstrating that leadership </w:t>
      </w:r>
      <w:r w:rsidR="43D203AA" w:rsidRPr="78D0E6A0">
        <w:t>goes beyond simple</w:t>
      </w:r>
      <w:r w:rsidR="097C304C" w:rsidRPr="78D0E6A0">
        <w:t xml:space="preserve"> power </w:t>
      </w:r>
      <w:r w:rsidR="20557FB0" w:rsidRPr="78D0E6A0">
        <w:t xml:space="preserve">but incorporates </w:t>
      </w:r>
      <w:r w:rsidR="097C304C" w:rsidRPr="78D0E6A0">
        <w:t xml:space="preserve">collaboration and mutual knowledge transfer. Controlling is especially significant as it links managerial objectives with quantifiable organisational results. By means of control, managers may evaluate performance, identify discrepancies, and execute corrective </w:t>
      </w:r>
      <w:r w:rsidR="48548815" w:rsidRPr="78D0E6A0">
        <w:t>measures, guaranteeing</w:t>
      </w:r>
      <w:r w:rsidR="097C304C" w:rsidRPr="78D0E6A0">
        <w:t xml:space="preserve"> that organisational activities match with strategic objectives across time (Bedford, 2020; </w:t>
      </w:r>
      <w:proofErr w:type="spellStart"/>
      <w:r w:rsidR="097C304C" w:rsidRPr="78D0E6A0">
        <w:t>Hiebl</w:t>
      </w:r>
      <w:proofErr w:type="spellEnd"/>
      <w:r w:rsidR="097C304C" w:rsidRPr="78D0E6A0">
        <w:t xml:space="preserve"> et al., 2024).</w:t>
      </w:r>
      <w:r w:rsidR="41F69171" w:rsidRPr="78D0E6A0">
        <w:t xml:space="preserve"> Consequently, while all four functions are vital for efficient management, controlling necessitates </w:t>
      </w:r>
      <w:r w:rsidR="2929F558" w:rsidRPr="78D0E6A0">
        <w:t xml:space="preserve">closer </w:t>
      </w:r>
      <w:r w:rsidR="23495D21" w:rsidRPr="78D0E6A0">
        <w:t xml:space="preserve">observation </w:t>
      </w:r>
      <w:r w:rsidR="41F69171" w:rsidRPr="78D0E6A0">
        <w:t>as it is the function that translates strategy into quantifiable performance and corrective action.</w:t>
      </w:r>
    </w:p>
    <w:p w14:paraId="433287B5" w14:textId="402A119B" w:rsidR="5049875F" w:rsidRDefault="5049875F" w:rsidP="004B5F01">
      <w:r>
        <w:t>Control</w:t>
      </w:r>
      <w:r w:rsidR="10C4532C">
        <w:t xml:space="preserve"> </w:t>
      </w:r>
      <w:r>
        <w:t xml:space="preserve">transforms strategic </w:t>
      </w:r>
      <w:bookmarkStart w:id="3" w:name="_Int_9ciwiNiJ"/>
      <w:r>
        <w:t>objectives</w:t>
      </w:r>
      <w:bookmarkEnd w:id="3"/>
      <w:r>
        <w:t xml:space="preserve"> into </w:t>
      </w:r>
      <w:r w:rsidR="20766D41">
        <w:t xml:space="preserve">practice </w:t>
      </w:r>
      <w:r>
        <w:t>by allowing managers to assess performance, detect discrepancies, and implement corrective actions before deficiencies become entrenched. Management control should be seen not as a single checking mechanism, but as an amalgamation of connected activities that together shape behaviour, enhance coordination, and maintain alignment with corporate goals (Bedford, 2020).</w:t>
      </w:r>
      <w:r w:rsidR="59E1CC15">
        <w:t xml:space="preserve"> </w:t>
      </w:r>
      <w:r w:rsidR="1A0C203A">
        <w:t xml:space="preserve">Controlling is particularly important in contemporary organisations, where uncertainty, complexity and external disruption require managers to make informed and responsive decisions under changing conditions. Phan et al. (2023) demonstrate that management control systems can strengthen organisational resilience and workplace flexibility, suggesting that control supports not only accountability but also adaptability and improved organisational performance. This view is reinforced by Weber, </w:t>
      </w:r>
      <w:proofErr w:type="spellStart"/>
      <w:r w:rsidR="1A0C203A">
        <w:t>Pedell</w:t>
      </w:r>
      <w:proofErr w:type="spellEnd"/>
      <w:r w:rsidR="1A0C203A">
        <w:t xml:space="preserve"> and </w:t>
      </w:r>
      <w:proofErr w:type="spellStart"/>
      <w:r w:rsidR="1A0C203A">
        <w:t>Rötzel</w:t>
      </w:r>
      <w:proofErr w:type="spellEnd"/>
      <w:r w:rsidR="1A0C203A">
        <w:t xml:space="preserve"> (2024), who link control systems to organisational resilience, while </w:t>
      </w:r>
      <w:proofErr w:type="spellStart"/>
      <w:r w:rsidR="1A0C203A">
        <w:t>Hiebl</w:t>
      </w:r>
      <w:proofErr w:type="spellEnd"/>
      <w:r w:rsidR="1A0C203A">
        <w:t xml:space="preserve"> et al. (2024) further highlight the importance of integrating risk</w:t>
      </w:r>
      <w:r w:rsidR="1665BE65">
        <w:t xml:space="preserve"> mitigation</w:t>
      </w:r>
      <w:r w:rsidR="1A0C203A">
        <w:t xml:space="preserve"> into management control.</w:t>
      </w:r>
      <w:r w:rsidR="12D6CA47">
        <w:t xml:space="preserve"> Similarly, </w:t>
      </w:r>
      <w:r>
        <w:t xml:space="preserve">Eichholz, Hoffmann, and Schwering (2024) illustrate that risk-management </w:t>
      </w:r>
      <w:r w:rsidR="69FB584D">
        <w:t>orientation</w:t>
      </w:r>
      <w:r w:rsidR="64C12889">
        <w:t>,</w:t>
      </w:r>
      <w:r>
        <w:t xml:space="preserve"> and the budgetary planning function may </w:t>
      </w:r>
      <w:r w:rsidR="2BA7D394">
        <w:t xml:space="preserve">influence </w:t>
      </w:r>
      <w:r>
        <w:t xml:space="preserve">resilience and competitive advantage in crisis situations. </w:t>
      </w:r>
      <w:r w:rsidR="3D73CE04" w:rsidRPr="78D0E6A0">
        <w:t>Control is therefore crucial since it allows companies to monitor outcomes, proactively address disruptions, manage risks more efficiently, and maintain long-term success.</w:t>
      </w:r>
    </w:p>
    <w:p w14:paraId="58D71A72" w14:textId="7D25C38B" w:rsidR="5049875F" w:rsidRDefault="4A571614" w:rsidP="004B5F01">
      <w:r>
        <w:lastRenderedPageBreak/>
        <w:t xml:space="preserve">For instance, </w:t>
      </w:r>
      <w:r w:rsidR="5049875F">
        <w:t xml:space="preserve">Toyota </w:t>
      </w:r>
      <w:r w:rsidR="340C4D1C">
        <w:t xml:space="preserve">provides an </w:t>
      </w:r>
      <w:r w:rsidR="00B379CD">
        <w:t>strong</w:t>
      </w:r>
      <w:r w:rsidR="5049875F">
        <w:t xml:space="preserve"> </w:t>
      </w:r>
      <w:r w:rsidR="00B379CD">
        <w:t>practical example</w:t>
      </w:r>
      <w:r w:rsidR="597AA912">
        <w:t xml:space="preserve"> </w:t>
      </w:r>
      <w:r w:rsidR="6B666F34">
        <w:t xml:space="preserve">of effective </w:t>
      </w:r>
      <w:r w:rsidR="5049875F">
        <w:t xml:space="preserve">control in </w:t>
      </w:r>
      <w:r w:rsidR="6DB99823">
        <w:t xml:space="preserve">a </w:t>
      </w:r>
      <w:r w:rsidR="5049875F">
        <w:t xml:space="preserve">practical </w:t>
      </w:r>
      <w:r w:rsidR="1FA6C3C9">
        <w:t>environment</w:t>
      </w:r>
      <w:r w:rsidR="5049875F">
        <w:t xml:space="preserve">. </w:t>
      </w:r>
      <w:r w:rsidR="775739D5">
        <w:t xml:space="preserve">It </w:t>
      </w:r>
      <w:r w:rsidR="5049875F">
        <w:t xml:space="preserve">characterises its production system as a philosophy aimed at waste </w:t>
      </w:r>
      <w:r w:rsidR="7BBB4AE9">
        <w:t xml:space="preserve">reduction </w:t>
      </w:r>
      <w:r w:rsidR="5049875F">
        <w:t xml:space="preserve">and efficiency </w:t>
      </w:r>
      <w:r w:rsidR="787DA0E0">
        <w:t>improvement</w:t>
      </w:r>
      <w:r w:rsidR="5049875F">
        <w:t xml:space="preserve">, while its </w:t>
      </w:r>
      <w:proofErr w:type="spellStart"/>
      <w:r w:rsidR="6A9217A4">
        <w:t>j</w:t>
      </w:r>
      <w:r w:rsidR="5049875F" w:rsidRPr="78D0E6A0">
        <w:rPr>
          <w:i/>
          <w:iCs/>
        </w:rPr>
        <w:t>idoka</w:t>
      </w:r>
      <w:proofErr w:type="spellEnd"/>
      <w:r w:rsidR="5049875F">
        <w:t xml:space="preserve"> principle</w:t>
      </w:r>
      <w:r w:rsidR="4C86D729">
        <w:t>,</w:t>
      </w:r>
      <w:r w:rsidR="5049875F">
        <w:t xml:space="preserve"> </w:t>
      </w:r>
      <w:r w:rsidR="52DF8B36">
        <w:t xml:space="preserve">which </w:t>
      </w:r>
      <w:r w:rsidR="3415B4E6">
        <w:t xml:space="preserve">allows </w:t>
      </w:r>
      <w:r w:rsidR="5049875F">
        <w:t xml:space="preserve">production </w:t>
      </w:r>
      <w:r w:rsidR="7D6BC57E">
        <w:t xml:space="preserve">interventions </w:t>
      </w:r>
      <w:r w:rsidR="5049875F">
        <w:t>upon detecting abnormalities, ensur</w:t>
      </w:r>
      <w:r w:rsidR="359B3EBB">
        <w:t xml:space="preserve">es </w:t>
      </w:r>
      <w:r w:rsidR="5049875F">
        <w:t xml:space="preserve">immediate rectification of defects rather than allowing them to progress through the process (Toyota Motor Corporation, n.d.-a; Toyota Motor Corporation, n.d.-b). Toyota Motor Europe (n.d.) similarly describes the Toyota Production System as a </w:t>
      </w:r>
      <w:r w:rsidR="1F72E005">
        <w:t>L</w:t>
      </w:r>
      <w:r w:rsidR="5049875F">
        <w:t>ean and Just-in-Time methodology aimed at enhancing flow and efficiency.</w:t>
      </w:r>
      <w:r w:rsidR="244E2065">
        <w:t xml:space="preserve"> </w:t>
      </w:r>
      <w:r w:rsidR="340B5CFC">
        <w:t xml:space="preserve">Moreover, </w:t>
      </w:r>
      <w:bookmarkStart w:id="4" w:name="_Int_QkfYtITa"/>
      <w:proofErr w:type="spellStart"/>
      <w:r w:rsidR="5049875F">
        <w:t>Palhau</w:t>
      </w:r>
      <w:bookmarkEnd w:id="4"/>
      <w:proofErr w:type="spellEnd"/>
      <w:r w:rsidR="5049875F">
        <w:t xml:space="preserve"> et al. (2024) associate</w:t>
      </w:r>
      <w:r w:rsidR="7EF4134D">
        <w:t xml:space="preserve"> the</w:t>
      </w:r>
      <w:r w:rsidR="5049875F">
        <w:t xml:space="preserve"> Toyota </w:t>
      </w:r>
      <w:r w:rsidR="4D918B2B">
        <w:t xml:space="preserve">Way as </w:t>
      </w:r>
      <w:r w:rsidR="5049875F">
        <w:t xml:space="preserve">oriented activities with operational performance and enduring sustainable growth, whereas Schumacher et al. (2023) demonstrate that </w:t>
      </w:r>
      <w:r w:rsidR="33F1AA25">
        <w:t>L</w:t>
      </w:r>
      <w:r w:rsidR="5049875F">
        <w:t xml:space="preserve">ean production systems retain significant relevance in digitally transformed manufacturing contexts. In contrast, </w:t>
      </w:r>
      <w:r w:rsidR="0FC3B52A">
        <w:t xml:space="preserve">the study case of </w:t>
      </w:r>
      <w:r w:rsidR="5049875F">
        <w:t xml:space="preserve">Boeing </w:t>
      </w:r>
      <w:r w:rsidR="672B1697">
        <w:t xml:space="preserve">shows </w:t>
      </w:r>
      <w:r w:rsidR="5049875F">
        <w:t xml:space="preserve">the repercussions of insufficient oversight. Following the January </w:t>
      </w:r>
      <w:r w:rsidR="7F83931D">
        <w:t>2024 Alaska</w:t>
      </w:r>
      <w:r w:rsidR="5049875F">
        <w:t xml:space="preserve"> Airlines' 737-9</w:t>
      </w:r>
      <w:r w:rsidR="1A958211">
        <w:t xml:space="preserve"> incident</w:t>
      </w:r>
      <w:r w:rsidR="5049875F">
        <w:t>, the F</w:t>
      </w:r>
      <w:r w:rsidR="1E3BCC35">
        <w:t xml:space="preserve">ederal </w:t>
      </w:r>
      <w:r w:rsidR="5049875F">
        <w:t>A</w:t>
      </w:r>
      <w:r w:rsidR="0FF26A06">
        <w:t xml:space="preserve">viation </w:t>
      </w:r>
      <w:r w:rsidR="0310641C">
        <w:t>Administration identified</w:t>
      </w:r>
      <w:r w:rsidR="5049875F">
        <w:t xml:space="preserve"> </w:t>
      </w:r>
      <w:r w:rsidR="03FEFE6E">
        <w:t xml:space="preserve">discrepancies </w:t>
      </w:r>
      <w:r w:rsidR="5049875F">
        <w:t>in Boeing's manufacturing process control, parts handling and product oversight</w:t>
      </w:r>
      <w:r w:rsidR="1C178650">
        <w:t xml:space="preserve"> </w:t>
      </w:r>
      <w:r w:rsidR="1C178650" w:rsidRPr="78D0E6A0">
        <w:t>(</w:t>
      </w:r>
      <w:r w:rsidR="00197F8D" w:rsidRPr="00197F8D">
        <w:t>Federal Aviation Administration, 2024</w:t>
      </w:r>
      <w:r w:rsidR="1C178650" w:rsidRPr="78D0E6A0">
        <w:t>)</w:t>
      </w:r>
      <w:r w:rsidR="5049875F">
        <w:t xml:space="preserve">. Concurrently, the </w:t>
      </w:r>
      <w:r w:rsidR="25154424">
        <w:t>National Transport</w:t>
      </w:r>
      <w:r w:rsidR="122E08A7">
        <w:t>ation</w:t>
      </w:r>
      <w:r w:rsidR="25154424">
        <w:t xml:space="preserve"> Safety Board (2025) </w:t>
      </w:r>
      <w:r w:rsidR="5049875F">
        <w:t xml:space="preserve">determined that Boeing had supplied </w:t>
      </w:r>
      <w:r w:rsidR="07F489C8">
        <w:t xml:space="preserve">insufficient </w:t>
      </w:r>
      <w:r w:rsidR="5049875F">
        <w:t>training, guidance, and supervision to ensure consistent adherence to its parts</w:t>
      </w:r>
      <w:r w:rsidR="0E7EAC3B">
        <w:t>-</w:t>
      </w:r>
      <w:r w:rsidR="5049875F">
        <w:t xml:space="preserve">removal protocol (Federal Aviation Administration, 2024). </w:t>
      </w:r>
      <w:r w:rsidR="2A749ABC">
        <w:t>These shortcomings demonstrate that inadequate control systems can jeopardise not just operational efficiency but also safety, regulatory compliance, and corporate credibility. The Toyota and Boeing stories collectively illustrate that control is essential, since it strengthens quality, safety, coordination, and resilience across many different organisations.</w:t>
      </w:r>
    </w:p>
    <w:p w14:paraId="275DE4AA" w14:textId="3A3B9872" w:rsidR="4974F5ED" w:rsidRDefault="4974F5ED" w:rsidP="004B5F01">
      <w:r w:rsidRPr="78D0E6A0">
        <w:t xml:space="preserve">Control is essential for organisational efficacy, yet its advantages are not automatic. While control systems aim to boost coordination, accountability, and performance, they may also generate considerable organisational issues if inadequately designed or implemented too rigidly (Bedford, 2020). A primary concern is that control may become overly target-oriented, excessively standardised, or based on inadequate performance metrics, encouraging staff to prioritise quantitative outputs above professional judgement, ethical conduct, and long-term value development (Smith and Thomas, 2024). This is significant since managerial procedures frequently assumes that greater monitoring would naturally increase efficiency, but its implications in terms of control are somewhat more intricate. In certain contexts, control increases discipline and strategic clarity; in others, it constrains behaviour and diminishes opportunities for initiative, reflection, and accountability for decision-making (Weber, </w:t>
      </w:r>
      <w:proofErr w:type="spellStart"/>
      <w:r w:rsidRPr="78D0E6A0">
        <w:t>Pedell</w:t>
      </w:r>
      <w:proofErr w:type="spellEnd"/>
      <w:r w:rsidRPr="78D0E6A0">
        <w:t xml:space="preserve"> and </w:t>
      </w:r>
      <w:proofErr w:type="spellStart"/>
      <w:r w:rsidRPr="78D0E6A0">
        <w:t>Rötzel</w:t>
      </w:r>
      <w:proofErr w:type="spellEnd"/>
      <w:r w:rsidRPr="78D0E6A0">
        <w:t xml:space="preserve">, 2024). The efficacy </w:t>
      </w:r>
      <w:r w:rsidRPr="78D0E6A0">
        <w:lastRenderedPageBreak/>
        <w:t xml:space="preserve">of control relies not just on its presence, but on its design, purpose, and organisational context. Controlling </w:t>
      </w:r>
      <w:r w:rsidR="4641751B" w:rsidRPr="78D0E6A0">
        <w:t xml:space="preserve">must </w:t>
      </w:r>
      <w:r w:rsidRPr="78D0E6A0">
        <w:t>therefore be considered thoroughly, not as an automatically advantageous managerial function, but as an attribute which may either increase or decrease organisational performance based on its implementation.</w:t>
      </w:r>
    </w:p>
    <w:p w14:paraId="73699BE0" w14:textId="612417DD" w:rsidR="54E3D0A7" w:rsidRDefault="54E3D0A7" w:rsidP="004B5F01">
      <w:r>
        <w:t>Th</w:t>
      </w:r>
      <w:r w:rsidR="1DE0346D">
        <w:t>ese</w:t>
      </w:r>
      <w:r>
        <w:t xml:space="preserve"> discrepancies </w:t>
      </w:r>
      <w:r w:rsidR="40EC3D89">
        <w:t>become</w:t>
      </w:r>
      <w:r>
        <w:t xml:space="preserve"> more evident when examining how employees perceive control in practice. Frimanson, Hornbach, and Hartmann (2021) demonstrate that systems for evaluating performance can induce physiological stress responses, indicating that higher monitoring could increase pressure rather than improve efficacy. This disputes the presumption that employees would invariably react positively to more scrutiny. </w:t>
      </w:r>
      <w:r w:rsidR="31B66432">
        <w:t xml:space="preserve">Furthermore, </w:t>
      </w:r>
      <w:r>
        <w:t xml:space="preserve">Van Elten and van der Kolk (2025) illustrate that the level of accuracy of performance measurements influences whether control increases or decreases trust, indicating that inadequately constructed indicators may harm relationships and weaken the validity of performance management systems. </w:t>
      </w:r>
      <w:r w:rsidR="621E3D3A">
        <w:t xml:space="preserve">In addition, </w:t>
      </w:r>
      <w:r>
        <w:t xml:space="preserve">Müller, Gomez-Ruiz, and Naranjo-Gil (2025) argue that poorly designed management control systems can promote dysfunctional behaviours, including manipulation, budgetary slack, and negative attitudes among staff members. Smith and Thomas (2024) </w:t>
      </w:r>
      <w:r w:rsidR="195DEED8">
        <w:t xml:space="preserve">also </w:t>
      </w:r>
      <w:r>
        <w:t>claim that even strategically aligned measures may generate trade-offs and reduce commitment if the whole system is inconsistent with the overall organisational framework. Therefore, the problem resides not in control per se, but in the administrative inclination to reconcile metrics with efficiency</w:t>
      </w:r>
      <w:r w:rsidR="2A80B39F">
        <w:t xml:space="preserve"> as</w:t>
      </w:r>
      <w:r>
        <w:t xml:space="preserve"> </w:t>
      </w:r>
      <w:r w:rsidR="500EBD05">
        <w:t>what</w:t>
      </w:r>
      <w:r>
        <w:t xml:space="preserve"> is simple to quantify is not always the most significant</w:t>
      </w:r>
      <w:r w:rsidR="24B5CDD7">
        <w:t xml:space="preserve"> thing</w:t>
      </w:r>
      <w:r>
        <w:t>, and systems that prioritise short-term measurements may eventually jeopardise longer-term corporate objectives.</w:t>
      </w:r>
    </w:p>
    <w:p w14:paraId="388B9634" w14:textId="74E801AD" w:rsidR="678E5CBB" w:rsidRDefault="678E5CBB" w:rsidP="004B5F01">
      <w:r>
        <w:t xml:space="preserve">The limitations </w:t>
      </w:r>
      <w:r w:rsidR="2F8ECBA5">
        <w:t xml:space="preserve">become </w:t>
      </w:r>
      <w:r>
        <w:t>more evident when evaluated in practice. Wells Fargo, a prominent institution among the "Big Four Banks" in the U.S.</w:t>
      </w:r>
      <w:r w:rsidR="00D57CE9">
        <w:t xml:space="preserve">, </w:t>
      </w:r>
      <w:r>
        <w:t xml:space="preserve">shows the behavioural risks produced by inadequately constructed controls. The Consumer Financial Protection Bureau discovered that employees established unauthorised deposit and credit card accounts due to demanding sales targets and compensation incentives, illustrating how narrowly focused target-based control can promote unethical and dysfunctional behaviour instead of authentic improvement in performance (Consumer Financial Protection Bureau, 2016). The bank's compliance decree from late 2022 disclosed broader flaws in control and supervision across significant product lines, indicating that control issues may transcend a singular crisis when underlying systems are compromised (Consumer Financial Protection Bureau, 2022). Because its control issues were more closely </w:t>
      </w:r>
      <w:r>
        <w:lastRenderedPageBreak/>
        <w:t xml:space="preserve">associated with the effects of intense production pressure than with unethical selling practices, Amazon provides a similar but different example. The U.S. Senate HELP Committee suggested that Amazon's warehouse model triggered </w:t>
      </w:r>
      <w:r w:rsidR="65AF8D42">
        <w:t>an</w:t>
      </w:r>
      <w:r>
        <w:t xml:space="preserve"> "injury-productivity trade-off," associating demanding performance expectations with hazardous working conditions and elevated injury risks. Additionally, the broader investigation highlighted overarching concerns regarding employee treatment and the feasibility of such a highly pressured operational framework (U.S. Senate Committee on Health, Education, Labour and Pensions, 2024a; U.S. Senate Committee on Health, Education, Labour and Pensions, 2024b). The example of Wells Fargo illustrates how financial objectives may corrupt employee conduct and undermine ethical standards, whereas Amazon demonstrates how operational demands can adversely affect wellbeing and safety. Both cases demonstrate that inadequately constructed controls may lead to relatively efficient short-term results yet ultimately result in significant long-term damage. The primary issue of control, therefore, resides not in the concept itself, but in its potential for systems to become too limited, restrictive, or misleading.</w:t>
      </w:r>
    </w:p>
    <w:p w14:paraId="0724649B" w14:textId="3D305D43" w:rsidR="7007BF10" w:rsidRDefault="7007BF10" w:rsidP="004B5F01">
      <w:r>
        <w:t xml:space="preserve">These flaws, however, do not imply that control should be abandoned. They demonstrate that managers must meticulously construct control systems with </w:t>
      </w:r>
      <w:r w:rsidR="3F722558">
        <w:t xml:space="preserve">stronger </w:t>
      </w:r>
      <w:r>
        <w:t xml:space="preserve">strategic goal and increased behavioural awareness (Müller, Gomez-Ruiz, and Naranjo-Gil, 2025). Effective control should not depend exclusively on extreme short-term objectives or intensive monitoring KPIs; rather, it should integrate formal monitoring with learning, communication, planning, and ethical safeguards (Phan et al., 2023). Bedford's (2020) notion of management control combinations suggests that no one control mechanism is adequate in isolation; success is contingent upon the simultaneous operation of many approaches. This perspective offers a more nuanced and pragmatic comprehension of control, since it opposes the oversimplified notion that a singularly strong aim, a more rigorous metric, or a separate reporting channel can automatically increase organisational results. It argues that control is most effective when many methods complement one another and when managers acknowledge the trade-offs inherent in each evaluation system (Smith and Thomas, 2024). This indicates that managers must use judgement instead of supposing that success can be entirely dictated by numerical objectives, especially when poorly designed metrics may undermine trust and diminish legitimacy (van Elten &amp; van der Kolk, 2025). Effective control </w:t>
      </w:r>
      <w:bookmarkStart w:id="5" w:name="_Int_3sVYGM1R"/>
      <w:r>
        <w:t>takes into account</w:t>
      </w:r>
      <w:bookmarkEnd w:id="5"/>
      <w:r>
        <w:t xml:space="preserve"> not just technical aspects but also psychological and strategic dimensions, particularly when businesses seek to maintain resilience under uncertainty (Weber, </w:t>
      </w:r>
      <w:proofErr w:type="spellStart"/>
      <w:r>
        <w:lastRenderedPageBreak/>
        <w:t>Pedell</w:t>
      </w:r>
      <w:proofErr w:type="spellEnd"/>
      <w:r>
        <w:t xml:space="preserve"> and </w:t>
      </w:r>
      <w:proofErr w:type="spellStart"/>
      <w:r>
        <w:t>Rötzel</w:t>
      </w:r>
      <w:proofErr w:type="spellEnd"/>
      <w:r>
        <w:t>, 2024). Tu Le et al. (2024) viewpoint indicates that control should progressively facilitate long-term organisational growth rather than focus solely on short-term goals. Consequently, the success of control relies more on the design of systems that harmonise responsibility with flexibility, trust, and long-term organisational requirements rather than the intensity of monitoring.</w:t>
      </w:r>
    </w:p>
    <w:p w14:paraId="52CCE505" w14:textId="24B7A0CD" w:rsidR="7CF63C2F" w:rsidRDefault="7CF63C2F" w:rsidP="004B5F01">
      <w:r w:rsidRPr="78D0E6A0">
        <w:t xml:space="preserve">Recent study advocates for a more comprehensive and equitable approach to control. Phan et al. (2023) claim that control systems generate added value by fostering organisational capability rather than strictly assessing outcomes, whereas Weber, Pedell, and </w:t>
      </w:r>
      <w:proofErr w:type="spellStart"/>
      <w:r w:rsidRPr="78D0E6A0">
        <w:t>Rötzel</w:t>
      </w:r>
      <w:proofErr w:type="spellEnd"/>
      <w:r w:rsidRPr="78D0E6A0">
        <w:t xml:space="preserve"> (2024) claim that resilience-oriented controls are more effective in enabling organisations to navigate uncertainty and disruption constructively. </w:t>
      </w:r>
      <w:proofErr w:type="spellStart"/>
      <w:r w:rsidRPr="78D0E6A0">
        <w:t>Hiebl</w:t>
      </w:r>
      <w:proofErr w:type="spellEnd"/>
      <w:r w:rsidRPr="78D0E6A0">
        <w:t xml:space="preserve"> et al. (2024) emphasise the incorporation of risk into control systems, whereas Eichholz, Hoffmann, and Schwering (2024) demonstrate that planning and risk orientation in budgeting may enhance resilience and competitive advantage during crises. Simultaneously, mitigation requires more attention on workers' perceptions of control, since even technically proficient systems might collapse if seen unjust, impractical, or untrustworthy. Toyota </w:t>
      </w:r>
      <w:r w:rsidR="5D008241" w:rsidRPr="78D0E6A0">
        <w:t xml:space="preserve">offers </w:t>
      </w:r>
      <w:r w:rsidRPr="78D0E6A0">
        <w:t xml:space="preserve">a </w:t>
      </w:r>
      <w:r w:rsidR="71A4337C" w:rsidRPr="78D0E6A0">
        <w:t xml:space="preserve">positive model </w:t>
      </w:r>
      <w:r w:rsidRPr="78D0E6A0">
        <w:t>by integrating controls inside continuous improvement, proactive problem identification, and process learning, rather than resorting to punishment or blame (Toyota Motor Corporation, n.d.-a; Toyota Motor Europe, n.d.). This shows that control may be empowering rather than constraining when employed to facilitate growth rather than simply identify flaws. Managers could therefore alleviate the constraints of control by designing balanced, context</w:t>
      </w:r>
      <w:r w:rsidR="4120FC4F" w:rsidRPr="78D0E6A0">
        <w:t>-</w:t>
      </w:r>
      <w:r w:rsidRPr="78D0E6A0">
        <w:t>aware systems that promote performance, resilience, and responsibility while avoiding stress, manipulation, or harm. Ultimately, successful control involves linking monitoring with organisational learning, ethical behaviour, and long-term sustainability, rather than merely increasing monitoring.</w:t>
      </w:r>
    </w:p>
    <w:p w14:paraId="3F5EDC75" w14:textId="473CEDF9" w:rsidR="7CF63C2F" w:rsidRDefault="7CF63C2F" w:rsidP="004B5F01">
      <w:pPr>
        <w:pStyle w:val="Heading1"/>
      </w:pPr>
      <w:bookmarkStart w:id="6" w:name="_Toc227830681"/>
      <w:r w:rsidRPr="4E5F8C48">
        <w:t>Conclusion</w:t>
      </w:r>
      <w:bookmarkEnd w:id="6"/>
    </w:p>
    <w:p w14:paraId="35FBE72D" w14:textId="3262E9B1" w:rsidR="2DB9C995" w:rsidRDefault="46E95A5F" w:rsidP="004B5F01">
      <w:r w:rsidRPr="78D0E6A0">
        <w:t>In conclusion, controlling is a crucial managerial function as it allows organisations to convert strategic objectives into quantifiable results, ensure alignment between activities and goals, and address disruptions before they escalate into persistent issues (Bedford, 2020). This essay demonstrates that while planning, organising,</w:t>
      </w:r>
      <w:r w:rsidR="387CE3D6" w:rsidRPr="78D0E6A0">
        <w:t xml:space="preserve"> </w:t>
      </w:r>
      <w:r w:rsidRPr="78D0E6A0">
        <w:t>leading</w:t>
      </w:r>
      <w:r w:rsidR="4E5B9803" w:rsidRPr="78D0E6A0">
        <w:t>, and controlling</w:t>
      </w:r>
      <w:r w:rsidRPr="78D0E6A0">
        <w:t xml:space="preserve"> are all vital to good management, controlling requires particular </w:t>
      </w:r>
      <w:r w:rsidR="12E3BD08" w:rsidRPr="78D0E6A0">
        <w:t xml:space="preserve">attention </w:t>
      </w:r>
      <w:r w:rsidRPr="78D0E6A0">
        <w:t>as it connects managerial goal with real-</w:t>
      </w:r>
      <w:r w:rsidRPr="78D0E6A0">
        <w:lastRenderedPageBreak/>
        <w:t>world context (</w:t>
      </w:r>
      <w:proofErr w:type="spellStart"/>
      <w:r w:rsidRPr="78D0E6A0">
        <w:t>Hiebl</w:t>
      </w:r>
      <w:proofErr w:type="spellEnd"/>
      <w:r w:rsidRPr="78D0E6A0">
        <w:t xml:space="preserve"> et al., 2024). Nonetheless, analysis has also revealed that control is not always advantageous. Overly rigid control systems that are excessively target-driven or dependent on inadequate performance indicators can lead to unintended consequences, including stress, mistrust, unethical behaviour, and reduced organisational commitment (</w:t>
      </w:r>
      <w:bookmarkStart w:id="7" w:name="_Int_obNIgNDV"/>
      <w:proofErr w:type="spellStart"/>
      <w:r w:rsidRPr="78D0E6A0">
        <w:t>Frimanson</w:t>
      </w:r>
      <w:bookmarkEnd w:id="7"/>
      <w:proofErr w:type="spellEnd"/>
      <w:r w:rsidRPr="78D0E6A0">
        <w:t xml:space="preserve">, Hornbach, and Hartmann, 2021; </w:t>
      </w:r>
      <w:r w:rsidR="1908659F" w:rsidRPr="78D0E6A0">
        <w:t>V</w:t>
      </w:r>
      <w:r w:rsidRPr="78D0E6A0">
        <w:t xml:space="preserve">an Elten and van der Kolk, 2025). The cases of Wells Fargo and Amazon prove how inadequately structured controls may distort behaviour and inflict enduring harm, whereas Toyota exemplifies that control can be empowering when integrated with learning, coordination, and constant improvement (Consumer Financial Protection Bureau, 2016; U.S. Senate Committee on Health, Education, Labour and Pensions, 2024a; Toyota Motor Corporation, n.d.-a). The significance of control resides not just in the presence of monitoring tools, but in their design and the experience they provide within the organization. Controlling is essential in all organisations, but its benefits are fully understood only when managers implement balanced, context-sensitive, and behaviourally aware systems that promote accountability, resilience, and sustained organisational performance (Phan et al., 2023; Weber, Pedell, and </w:t>
      </w:r>
      <w:proofErr w:type="spellStart"/>
      <w:r w:rsidRPr="78D0E6A0">
        <w:t>Rötzel</w:t>
      </w:r>
      <w:proofErr w:type="spellEnd"/>
      <w:r w:rsidRPr="78D0E6A0">
        <w:t>, 2024).</w:t>
      </w:r>
    </w:p>
    <w:p w14:paraId="4F4E80A7" w14:textId="69E0A15D" w:rsidR="2DB9C995" w:rsidRDefault="2DB9C995" w:rsidP="004B5F01">
      <w:r>
        <w:br w:type="page"/>
      </w:r>
    </w:p>
    <w:p w14:paraId="01B8F7E1" w14:textId="7B9AE8A0" w:rsidR="2DB9C995" w:rsidRDefault="2DB9C995" w:rsidP="004B5F01">
      <w:pPr>
        <w:pStyle w:val="Heading1"/>
      </w:pPr>
      <w:bookmarkStart w:id="8" w:name="_Toc227830682"/>
      <w:r w:rsidRPr="78D0E6A0">
        <w:lastRenderedPageBreak/>
        <w:t>Reference List</w:t>
      </w:r>
      <w:bookmarkEnd w:id="8"/>
    </w:p>
    <w:p w14:paraId="24E7E5D3" w14:textId="4D1D332D" w:rsidR="6D1945CD" w:rsidRDefault="6D1945CD" w:rsidP="004B5F01">
      <w:r w:rsidRPr="78D0E6A0">
        <w:t xml:space="preserve">Bedford, D.S. (2020) ‘Conceptual and empirical issues in understanding management control combinations’, </w:t>
      </w:r>
      <w:r w:rsidRPr="78D0E6A0">
        <w:rPr>
          <w:i/>
          <w:iCs/>
        </w:rPr>
        <w:t>Accounting, Organizations and Society</w:t>
      </w:r>
      <w:r w:rsidRPr="78D0E6A0">
        <w:t xml:space="preserve">, 86, 101187. Available at: </w:t>
      </w:r>
      <w:hyperlink r:id="rId9">
        <w:r w:rsidRPr="78D0E6A0">
          <w:rPr>
            <w:rStyle w:val="Hyperlink"/>
          </w:rPr>
          <w:t>https://www.sciencedirect.com/science/article/abs/pii/S0361368220300714</w:t>
        </w:r>
      </w:hyperlink>
    </w:p>
    <w:p w14:paraId="017F6621" w14:textId="794AF831" w:rsidR="6D1945CD" w:rsidRDefault="6D1945CD" w:rsidP="004B5F01">
      <w:r w:rsidRPr="78D0E6A0">
        <w:t xml:space="preserve">Consumer Financial Protection Bureau (2016) Consumer Financial Protection Bureau fines Wells Fargo $100 million for widespread illegal practice of secretly opening unauthorized accounts. Available at: </w:t>
      </w:r>
      <w:hyperlink r:id="rId10">
        <w:r w:rsidRPr="78D0E6A0">
          <w:rPr>
            <w:rStyle w:val="Hyperlink"/>
          </w:rPr>
          <w:t>https://www.consumerfinance.gov/about-us/newsroom/consumer-financial-protection-bureau-fines-wells-fargo-100-million-widespread-illegal-practice-secretly-opening-unauthorized-accounts/</w:t>
        </w:r>
      </w:hyperlink>
      <w:r w:rsidRPr="78D0E6A0">
        <w:t xml:space="preserve"> (Accessed: 12 April 2026).</w:t>
      </w:r>
    </w:p>
    <w:p w14:paraId="18AEBB9B" w14:textId="0BFF7CCB" w:rsidR="6D1945CD" w:rsidRDefault="6D1945CD" w:rsidP="004B5F01">
      <w:r w:rsidRPr="78D0E6A0">
        <w:t xml:space="preserve">Consumer Financial Protection Bureau (2022) </w:t>
      </w:r>
      <w:r w:rsidRPr="78D0E6A0">
        <w:rPr>
          <w:i/>
          <w:iCs/>
        </w:rPr>
        <w:t>Wells Fargo Bank, N.A.</w:t>
      </w:r>
      <w:r w:rsidRPr="78D0E6A0">
        <w:t xml:space="preserve"> Available at: </w:t>
      </w:r>
      <w:hyperlink r:id="rId11">
        <w:r w:rsidRPr="78D0E6A0">
          <w:rPr>
            <w:rStyle w:val="Hyperlink"/>
          </w:rPr>
          <w:t>https://www.consumerfinance.gov/enforcement/actions/wells-fargo-bank-na-2022/</w:t>
        </w:r>
      </w:hyperlink>
      <w:r w:rsidRPr="78D0E6A0">
        <w:t xml:space="preserve"> (Accessed: 11 April 2026).</w:t>
      </w:r>
    </w:p>
    <w:p w14:paraId="2508A987" w14:textId="7F351E84" w:rsidR="6D1945CD" w:rsidRDefault="6D1945CD" w:rsidP="004B5F01">
      <w:r w:rsidRPr="78D0E6A0">
        <w:t xml:space="preserve">Eichholz, J., Hoffmann, N. and Schwering, A. (2024) ‘The role of risk management orientation and the planning function of budgeting in enhancing organizational resilience and its effect on competitive advantages during times of crises’, </w:t>
      </w:r>
      <w:r w:rsidRPr="78D0E6A0">
        <w:rPr>
          <w:i/>
          <w:iCs/>
        </w:rPr>
        <w:t>Journal of Management Control</w:t>
      </w:r>
      <w:r w:rsidRPr="78D0E6A0">
        <w:t xml:space="preserve">, 35, pp. 17–58. Available at: </w:t>
      </w:r>
      <w:hyperlink r:id="rId12">
        <w:r w:rsidRPr="78D0E6A0">
          <w:rPr>
            <w:rStyle w:val="Hyperlink"/>
          </w:rPr>
          <w:t>https://doi.org/10.1007/s00187-024-00371-8</w:t>
        </w:r>
      </w:hyperlink>
    </w:p>
    <w:p w14:paraId="6B53EDEB" w14:textId="465624CC" w:rsidR="6D1945CD" w:rsidRDefault="6D1945CD" w:rsidP="004B5F01">
      <w:proofErr w:type="spellStart"/>
      <w:r w:rsidRPr="78D0E6A0">
        <w:t>Fachrudin</w:t>
      </w:r>
      <w:proofErr w:type="spellEnd"/>
      <w:r w:rsidRPr="78D0E6A0">
        <w:t xml:space="preserve">, A., Setiawan, D., </w:t>
      </w:r>
      <w:proofErr w:type="spellStart"/>
      <w:r w:rsidRPr="78D0E6A0">
        <w:t>Djuminah</w:t>
      </w:r>
      <w:proofErr w:type="spellEnd"/>
      <w:r w:rsidRPr="78D0E6A0">
        <w:t xml:space="preserve">, D. and </w:t>
      </w:r>
      <w:proofErr w:type="spellStart"/>
      <w:r w:rsidRPr="78D0E6A0">
        <w:t>Risfandy</w:t>
      </w:r>
      <w:proofErr w:type="spellEnd"/>
      <w:r w:rsidRPr="78D0E6A0">
        <w:t xml:space="preserve">, T. (2024) ‘Exploring the recent development of management control systems study’, </w:t>
      </w:r>
      <w:r w:rsidRPr="78D0E6A0">
        <w:rPr>
          <w:i/>
          <w:iCs/>
        </w:rPr>
        <w:t>Cogent Business &amp; Management</w:t>
      </w:r>
      <w:r w:rsidRPr="78D0E6A0">
        <w:t xml:space="preserve">, 11(1), 2357709. Available at: </w:t>
      </w:r>
      <w:hyperlink r:id="rId13">
        <w:r w:rsidRPr="78D0E6A0">
          <w:rPr>
            <w:rStyle w:val="Hyperlink"/>
          </w:rPr>
          <w:t>https://doi.org/10.1080/23311975.2024.2357709</w:t>
        </w:r>
      </w:hyperlink>
    </w:p>
    <w:p w14:paraId="05FE655B" w14:textId="393F7C79" w:rsidR="6D1945CD" w:rsidRDefault="6D1945CD" w:rsidP="004B5F01">
      <w:r w:rsidRPr="78D0E6A0">
        <w:t xml:space="preserve">Federal Aviation Administration (2024) </w:t>
      </w:r>
      <w:r w:rsidRPr="78D0E6A0">
        <w:rPr>
          <w:i/>
          <w:iCs/>
        </w:rPr>
        <w:t>Updates on Boeing 737-9 MAX Aircraft</w:t>
      </w:r>
      <w:r w:rsidRPr="78D0E6A0">
        <w:t xml:space="preserve">. Available at: </w:t>
      </w:r>
      <w:hyperlink r:id="rId14">
        <w:r w:rsidRPr="78D0E6A0">
          <w:rPr>
            <w:rStyle w:val="Hyperlink"/>
          </w:rPr>
          <w:t>https://www.faa.gov/newsroom/updates-boeing-737-9-max-aircraft</w:t>
        </w:r>
      </w:hyperlink>
      <w:r w:rsidRPr="78D0E6A0">
        <w:t xml:space="preserve"> (Accessed: 11 April 2026).</w:t>
      </w:r>
    </w:p>
    <w:p w14:paraId="71BD3708" w14:textId="252F43A4" w:rsidR="6D1945CD" w:rsidRDefault="6D1945CD" w:rsidP="004B5F01">
      <w:r w:rsidRPr="78D0E6A0">
        <w:t xml:space="preserve">Frimanson, L., Hornbach, J. and Hartmann, F.G.H. (2021) ‘Performance evaluations and stress: field evidence of the hormonal effects of evaluation frequency’, </w:t>
      </w:r>
      <w:r w:rsidRPr="78D0E6A0">
        <w:rPr>
          <w:i/>
          <w:iCs/>
        </w:rPr>
        <w:t>Accounting, Organizations and Society</w:t>
      </w:r>
      <w:r w:rsidRPr="78D0E6A0">
        <w:t xml:space="preserve">, 95, 101279. Available at: </w:t>
      </w:r>
      <w:hyperlink r:id="rId15">
        <w:r w:rsidRPr="78D0E6A0">
          <w:rPr>
            <w:rStyle w:val="Hyperlink"/>
          </w:rPr>
          <w:t>https://www.sciencedirect.com/science/article/pii/S036136822100057X</w:t>
        </w:r>
      </w:hyperlink>
    </w:p>
    <w:p w14:paraId="3E09152F" w14:textId="53C18021" w:rsidR="6D1945CD" w:rsidRDefault="6D1945CD" w:rsidP="004B5F01">
      <w:r w:rsidRPr="78D0E6A0">
        <w:t xml:space="preserve">Fu, Y., </w:t>
      </w:r>
      <w:proofErr w:type="spellStart"/>
      <w:r w:rsidRPr="78D0E6A0">
        <w:t>Leiringer</w:t>
      </w:r>
      <w:proofErr w:type="spellEnd"/>
      <w:r w:rsidRPr="78D0E6A0">
        <w:t xml:space="preserve">, R. and Gottlieb, S.C. (2024) ‘Navigating institutional demands: organizational responses to institutional complexity in megaproject delivery’, </w:t>
      </w:r>
      <w:r w:rsidRPr="78D0E6A0">
        <w:rPr>
          <w:i/>
          <w:iCs/>
        </w:rPr>
        <w:t>International Journal of Project Management</w:t>
      </w:r>
      <w:r w:rsidRPr="78D0E6A0">
        <w:t xml:space="preserve">, 42, 102602. Available at: </w:t>
      </w:r>
      <w:hyperlink r:id="rId16">
        <w:r w:rsidRPr="78D0E6A0">
          <w:rPr>
            <w:rStyle w:val="Hyperlink"/>
          </w:rPr>
          <w:t>https://doi.org/10.1016/j.ijproman.2024.102602</w:t>
        </w:r>
      </w:hyperlink>
    </w:p>
    <w:p w14:paraId="6B795F75" w14:textId="14D2BAA4" w:rsidR="6D1945CD" w:rsidRDefault="6D1945CD" w:rsidP="004B5F01">
      <w:r w:rsidRPr="78D0E6A0">
        <w:lastRenderedPageBreak/>
        <w:t>González-</w:t>
      </w:r>
      <w:proofErr w:type="spellStart"/>
      <w:r w:rsidRPr="78D0E6A0">
        <w:t>Mohíno</w:t>
      </w:r>
      <w:proofErr w:type="spellEnd"/>
      <w:r w:rsidRPr="78D0E6A0">
        <w:t xml:space="preserve">, M., Donate, M.J., </w:t>
      </w:r>
      <w:proofErr w:type="spellStart"/>
      <w:r w:rsidRPr="78D0E6A0">
        <w:t>Guadamillas</w:t>
      </w:r>
      <w:proofErr w:type="spellEnd"/>
      <w:r w:rsidRPr="78D0E6A0">
        <w:t xml:space="preserve">, F. and Cabeza-Ramírez, L.J. (2024) ‘Knowledge-oriented leadership for improved coordination as a solution to relationship conflict: effects on innovation capabilities’, </w:t>
      </w:r>
      <w:r w:rsidRPr="78D0E6A0">
        <w:rPr>
          <w:i/>
          <w:iCs/>
        </w:rPr>
        <w:t>Knowledge Management Research &amp; Practice</w:t>
      </w:r>
      <w:r w:rsidRPr="78D0E6A0">
        <w:t xml:space="preserve">, 22(4), pp. 388–403. Available at: </w:t>
      </w:r>
      <w:hyperlink r:id="rId17">
        <w:r w:rsidRPr="78D0E6A0">
          <w:rPr>
            <w:rStyle w:val="Hyperlink"/>
          </w:rPr>
          <w:t>https://doi.org/10.1080/14778238.2024.2306338</w:t>
        </w:r>
      </w:hyperlink>
    </w:p>
    <w:p w14:paraId="2AB523C0" w14:textId="0D09F23B" w:rsidR="6D1945CD" w:rsidRDefault="6D1945CD" w:rsidP="004B5F01">
      <w:proofErr w:type="spellStart"/>
      <w:r w:rsidRPr="78D0E6A0">
        <w:t>Hiebl</w:t>
      </w:r>
      <w:proofErr w:type="spellEnd"/>
      <w:r w:rsidRPr="78D0E6A0">
        <w:t xml:space="preserve">, M.R.W. (2024) ‘The integration of risk into management control systems: towards a deeper understanding across multiple levels of analysis’, </w:t>
      </w:r>
      <w:r w:rsidRPr="78D0E6A0">
        <w:rPr>
          <w:i/>
          <w:iCs/>
        </w:rPr>
        <w:t>Journal of Management Control</w:t>
      </w:r>
      <w:r w:rsidRPr="78D0E6A0">
        <w:t xml:space="preserve">, 35, pp. 1–16. Available at: </w:t>
      </w:r>
      <w:hyperlink r:id="rId18">
        <w:r w:rsidRPr="78D0E6A0">
          <w:rPr>
            <w:rStyle w:val="Hyperlink"/>
          </w:rPr>
          <w:t>https://doi.org/10.1007/s00187-024-00373-6</w:t>
        </w:r>
      </w:hyperlink>
    </w:p>
    <w:p w14:paraId="6DA2E588" w14:textId="6574C473" w:rsidR="6D1945CD" w:rsidRDefault="6D1945CD" w:rsidP="004B5F01">
      <w:r w:rsidRPr="78D0E6A0">
        <w:t xml:space="preserve">Müller, J., Gómez-Ruiz, L. and Naranjo-Gil, D. (2025) ‘Do management control systems reduce dysfunctional behaviours? Insights from a literature review on the levers of control framework and research agenda’, </w:t>
      </w:r>
      <w:r w:rsidRPr="78D0E6A0">
        <w:rPr>
          <w:i/>
          <w:iCs/>
        </w:rPr>
        <w:t>Journal of Accounting &amp; Organizational Change</w:t>
      </w:r>
      <w:r w:rsidRPr="78D0E6A0">
        <w:t xml:space="preserve">. Available at: </w:t>
      </w:r>
      <w:hyperlink r:id="rId19">
        <w:r w:rsidRPr="78D0E6A0">
          <w:rPr>
            <w:rStyle w:val="Hyperlink"/>
          </w:rPr>
          <w:t>https://doi.org/10.1108/JAOC-10-2024-0354</w:t>
        </w:r>
      </w:hyperlink>
    </w:p>
    <w:p w14:paraId="7DC10DA4" w14:textId="4AFD69D8" w:rsidR="6D1945CD" w:rsidRDefault="6D1945CD" w:rsidP="004B5F01">
      <w:r w:rsidRPr="78D0E6A0">
        <w:t xml:space="preserve">National Transportation Safety Board (2025) </w:t>
      </w:r>
      <w:r w:rsidRPr="78D0E6A0">
        <w:rPr>
          <w:i/>
          <w:iCs/>
        </w:rPr>
        <w:t>In-flight separation of left mid exit door plug, Alaska Airlines flight 1282, Boeing 737-9, N704AL</w:t>
      </w:r>
      <w:r w:rsidRPr="78D0E6A0">
        <w:t xml:space="preserve">. Aviation Investigation Report AIR-25/04. Available at: </w:t>
      </w:r>
      <w:hyperlink r:id="rId20">
        <w:r w:rsidRPr="78D0E6A0">
          <w:rPr>
            <w:rStyle w:val="Hyperlink"/>
          </w:rPr>
          <w:t>https://www.ntsb.gov/investigations/AccidentReports/Reports/AIR2504.pdf</w:t>
        </w:r>
      </w:hyperlink>
      <w:r w:rsidRPr="78D0E6A0">
        <w:t xml:space="preserve"> (Accessed: 11 April 2026).</w:t>
      </w:r>
    </w:p>
    <w:p w14:paraId="5BF8CB49" w14:textId="2F3B075C" w:rsidR="6D1945CD" w:rsidRDefault="6D1945CD" w:rsidP="004B5F01">
      <w:proofErr w:type="spellStart"/>
      <w:r w:rsidRPr="78D0E6A0">
        <w:t>Palhau</w:t>
      </w:r>
      <w:proofErr w:type="spellEnd"/>
      <w:r w:rsidRPr="78D0E6A0">
        <w:t xml:space="preserve">, M., Sá, J.C., Ávila, P., Dinis-Carvalho, J., Rodrigues, C. and Santos, G. (2024) ‘Toyota Way – the heart of Toyota Production System and its impact on sustainable company growth’, </w:t>
      </w:r>
      <w:r w:rsidRPr="78D0E6A0">
        <w:rPr>
          <w:i/>
          <w:iCs/>
        </w:rPr>
        <w:t>Quality Innovation Prosperity</w:t>
      </w:r>
      <w:r w:rsidRPr="78D0E6A0">
        <w:t xml:space="preserve">. Available at: </w:t>
      </w:r>
      <w:hyperlink r:id="rId21">
        <w:r w:rsidRPr="78D0E6A0">
          <w:rPr>
            <w:rStyle w:val="Hyperlink"/>
          </w:rPr>
          <w:t>https://www.qip-journal.eu/index.php/QIP/article/view/2073</w:t>
        </w:r>
      </w:hyperlink>
    </w:p>
    <w:p w14:paraId="5D0A1235" w14:textId="20BF5BB3" w:rsidR="6D1945CD" w:rsidRDefault="6D1945CD" w:rsidP="004B5F01">
      <w:r w:rsidRPr="78D0E6A0">
        <w:t xml:space="preserve">Phan, T., Baird, K., Bhuyan, M. and Tung, A. (2023) ‘The associations between management control systems, organisational capabilities and performance’, </w:t>
      </w:r>
      <w:r w:rsidRPr="78D0E6A0">
        <w:rPr>
          <w:i/>
          <w:iCs/>
        </w:rPr>
        <w:t>Journal of Management Control</w:t>
      </w:r>
      <w:r w:rsidRPr="78D0E6A0">
        <w:t xml:space="preserve">, 34(4), pp. 435–462. Available at: </w:t>
      </w:r>
      <w:hyperlink r:id="rId22">
        <w:r w:rsidRPr="78D0E6A0">
          <w:rPr>
            <w:rStyle w:val="Hyperlink"/>
          </w:rPr>
          <w:t>https://doi.org/10.1007/s00187-024-00365-6</w:t>
        </w:r>
      </w:hyperlink>
    </w:p>
    <w:p w14:paraId="33370869" w14:textId="04BA35C5" w:rsidR="6D1945CD" w:rsidRDefault="6D1945CD" w:rsidP="004B5F01">
      <w:r w:rsidRPr="78D0E6A0">
        <w:t xml:space="preserve">Schumacher, S., Hall, R., Bildstein, A. and Bauernhansl, T. (2023) ‘Lean Production Systems 4.0: systematic literature review and field study on the digital transformation of lean methods and tools’, </w:t>
      </w:r>
      <w:r w:rsidRPr="78D0E6A0">
        <w:rPr>
          <w:i/>
          <w:iCs/>
        </w:rPr>
        <w:t>International Journal of Production Research</w:t>
      </w:r>
      <w:r w:rsidRPr="78D0E6A0">
        <w:t xml:space="preserve">, 61(24), pp. 8751–8773. Available at: </w:t>
      </w:r>
      <w:hyperlink r:id="rId23">
        <w:r w:rsidRPr="78D0E6A0">
          <w:rPr>
            <w:rStyle w:val="Hyperlink"/>
          </w:rPr>
          <w:t>https://doi.org/10.1080/00207543.2022.2159562</w:t>
        </w:r>
      </w:hyperlink>
    </w:p>
    <w:p w14:paraId="2CAB9EE9" w14:textId="0E886989" w:rsidR="6D1945CD" w:rsidRDefault="6D1945CD" w:rsidP="004B5F01">
      <w:r w:rsidRPr="78D0E6A0">
        <w:lastRenderedPageBreak/>
        <w:t xml:space="preserve">Smith, S.D. and Thomas, T.F. (2024) ‘The effects of strategic alignment and strategic clarity on multidimensional task performance’, </w:t>
      </w:r>
      <w:r w:rsidRPr="78D0E6A0">
        <w:rPr>
          <w:i/>
          <w:iCs/>
        </w:rPr>
        <w:t>Accounting, Organizations and Society</w:t>
      </w:r>
      <w:r w:rsidRPr="78D0E6A0">
        <w:t xml:space="preserve">, 112, 101524. Available at: </w:t>
      </w:r>
      <w:hyperlink r:id="rId24">
        <w:r w:rsidRPr="78D0E6A0">
          <w:rPr>
            <w:rStyle w:val="Hyperlink"/>
          </w:rPr>
          <w:t>https://www.sciencedirect.com/science/article/abs/pii/S0361368223000958</w:t>
        </w:r>
      </w:hyperlink>
    </w:p>
    <w:p w14:paraId="1E357A71" w14:textId="6ACC950B" w:rsidR="6D1945CD" w:rsidRDefault="6D1945CD" w:rsidP="004B5F01">
      <w:r w:rsidRPr="78D0E6A0">
        <w:t xml:space="preserve">Toyota Motor Corporation (n.d.-a) </w:t>
      </w:r>
      <w:r w:rsidRPr="78D0E6A0">
        <w:rPr>
          <w:i/>
          <w:iCs/>
        </w:rPr>
        <w:t>Toyota Production System</w:t>
      </w:r>
      <w:r w:rsidRPr="78D0E6A0">
        <w:t xml:space="preserve">. Available at: </w:t>
      </w:r>
      <w:hyperlink r:id="rId25">
        <w:r w:rsidRPr="78D0E6A0">
          <w:rPr>
            <w:rStyle w:val="Hyperlink"/>
          </w:rPr>
          <w:t>https://global.toyota/en/company/vision-and-philosophy/production-system/index.html</w:t>
        </w:r>
      </w:hyperlink>
      <w:r w:rsidRPr="78D0E6A0">
        <w:t xml:space="preserve"> (Accessed: 10 April 2026).</w:t>
      </w:r>
    </w:p>
    <w:p w14:paraId="19C843EE" w14:textId="7D3FCF37" w:rsidR="6D1945CD" w:rsidRDefault="6D1945CD" w:rsidP="004B5F01">
      <w:r w:rsidRPr="78D0E6A0">
        <w:t xml:space="preserve">Toyota Motor Corporation (n.d.-b) </w:t>
      </w:r>
      <w:r w:rsidRPr="78D0E6A0">
        <w:rPr>
          <w:i/>
          <w:iCs/>
        </w:rPr>
        <w:t>Toyota Virtual Plant Tour: Toyota Production System</w:t>
      </w:r>
      <w:r w:rsidRPr="78D0E6A0">
        <w:t xml:space="preserve">. Available at: </w:t>
      </w:r>
      <w:hyperlink r:id="rId26">
        <w:r w:rsidRPr="78D0E6A0">
          <w:rPr>
            <w:rStyle w:val="Hyperlink"/>
          </w:rPr>
          <w:t>https://global.toyota/en/company/plant-tours/production-system/index.html</w:t>
        </w:r>
      </w:hyperlink>
      <w:r w:rsidRPr="78D0E6A0">
        <w:t xml:space="preserve"> (Accessed: 10 April 2026).</w:t>
      </w:r>
    </w:p>
    <w:p w14:paraId="37651DAE" w14:textId="76E38716" w:rsidR="6D1945CD" w:rsidRDefault="6D1945CD" w:rsidP="004B5F01">
      <w:r w:rsidRPr="78D0E6A0">
        <w:t xml:space="preserve">Toyota Motor Europe (n.d.) </w:t>
      </w:r>
      <w:r w:rsidRPr="78D0E6A0">
        <w:rPr>
          <w:i/>
          <w:iCs/>
        </w:rPr>
        <w:t>Toyota Production System</w:t>
      </w:r>
      <w:r w:rsidRPr="78D0E6A0">
        <w:t xml:space="preserve">. Available at: </w:t>
      </w:r>
      <w:hyperlink r:id="rId27">
        <w:r w:rsidRPr="78D0E6A0">
          <w:rPr>
            <w:rStyle w:val="Hyperlink"/>
          </w:rPr>
          <w:t>https://www.toyota-europe.com/about-us/toyota-vision-and-philosophy/toyota-production-system</w:t>
        </w:r>
      </w:hyperlink>
      <w:r w:rsidRPr="78D0E6A0">
        <w:t xml:space="preserve"> (Accessed: 10 April 2026).</w:t>
      </w:r>
    </w:p>
    <w:p w14:paraId="610B4DF5" w14:textId="1E12669E" w:rsidR="6D1945CD" w:rsidRDefault="6D1945CD" w:rsidP="004B5F01">
      <w:r w:rsidRPr="78D0E6A0">
        <w:t xml:space="preserve">Tu Le, O.T., Hong Le, A.T., Thanh Vu, T.T., Cam Tran, T.T. and Van Nguyen, C. (2024) ‘Management control systems for sustainable development: a bibliographic study’, </w:t>
      </w:r>
      <w:r w:rsidRPr="78D0E6A0">
        <w:rPr>
          <w:i/>
          <w:iCs/>
        </w:rPr>
        <w:t>Cogent Business &amp; Management</w:t>
      </w:r>
      <w:r w:rsidRPr="78D0E6A0">
        <w:t xml:space="preserve">, 11(1), 2296699. Available at: </w:t>
      </w:r>
      <w:hyperlink r:id="rId28">
        <w:r w:rsidRPr="78D0E6A0">
          <w:rPr>
            <w:rStyle w:val="Hyperlink"/>
          </w:rPr>
          <w:t>https://doi.org/10.1080/23311975.2023.2296699</w:t>
        </w:r>
      </w:hyperlink>
    </w:p>
    <w:p w14:paraId="15B8DEC1" w14:textId="70C3CF38" w:rsidR="6D1945CD" w:rsidRDefault="6D1945CD" w:rsidP="004B5F01">
      <w:r w:rsidRPr="78D0E6A0">
        <w:t xml:space="preserve">U.S. Senate Committee on Health, Education, Labor and Pensions (2024a) </w:t>
      </w:r>
      <w:r w:rsidRPr="78D0E6A0">
        <w:rPr>
          <w:i/>
          <w:iCs/>
        </w:rPr>
        <w:t>The “injury-productivity trade-off”: how Amazon’s obsession with speed creates uniquely dangerous warehouses</w:t>
      </w:r>
      <w:r w:rsidRPr="78D0E6A0">
        <w:t xml:space="preserve">. Available at: </w:t>
      </w:r>
      <w:hyperlink r:id="rId29">
        <w:r w:rsidRPr="78D0E6A0">
          <w:rPr>
            <w:rStyle w:val="Hyperlink"/>
          </w:rPr>
          <w:t>https://www.help.senate.gov/imo/media/doc/amazon_investigation.pdf</w:t>
        </w:r>
      </w:hyperlink>
      <w:r w:rsidRPr="78D0E6A0">
        <w:t xml:space="preserve"> (Accessed: 17 April 2026).</w:t>
      </w:r>
    </w:p>
    <w:p w14:paraId="205C1547" w14:textId="55981BA9" w:rsidR="6D1945CD" w:rsidRDefault="6D1945CD" w:rsidP="004B5F01">
      <w:r w:rsidRPr="78D0E6A0">
        <w:t xml:space="preserve">U.S. Senate Committee on Health, Education, Labor and Pensions (2024b) </w:t>
      </w:r>
      <w:r w:rsidRPr="78D0E6A0">
        <w:rPr>
          <w:i/>
          <w:iCs/>
        </w:rPr>
        <w:t>Amazon investigation</w:t>
      </w:r>
      <w:r w:rsidRPr="78D0E6A0">
        <w:t xml:space="preserve">. Available at: </w:t>
      </w:r>
      <w:hyperlink r:id="rId30">
        <w:r w:rsidRPr="78D0E6A0">
          <w:rPr>
            <w:rStyle w:val="Hyperlink"/>
          </w:rPr>
          <w:t>https://www.help.senate.gov/amazon-investigation</w:t>
        </w:r>
      </w:hyperlink>
      <w:r w:rsidRPr="78D0E6A0">
        <w:t xml:space="preserve"> (Accessed: 10 April 2026).</w:t>
      </w:r>
    </w:p>
    <w:p w14:paraId="6FF1E96F" w14:textId="32D2AF8E" w:rsidR="6D1945CD" w:rsidRDefault="6D1945CD" w:rsidP="004B5F01">
      <w:r w:rsidRPr="78D0E6A0">
        <w:t xml:space="preserve">van Elten, H.J. and van der Kolk, B. (2025) ‘Performance management, metric quality, and trust: survey evidence from healthcare organizations’, </w:t>
      </w:r>
      <w:r w:rsidRPr="78D0E6A0">
        <w:rPr>
          <w:i/>
          <w:iCs/>
        </w:rPr>
        <w:t>The British Accounting Review</w:t>
      </w:r>
      <w:r w:rsidRPr="78D0E6A0">
        <w:t xml:space="preserve">, 57(6), 101511. Available at: </w:t>
      </w:r>
      <w:hyperlink r:id="rId31">
        <w:r w:rsidRPr="78D0E6A0">
          <w:rPr>
            <w:rStyle w:val="Hyperlink"/>
          </w:rPr>
          <w:t>https://www.sciencedirect.com/science/article/pii/S0890838924002919</w:t>
        </w:r>
      </w:hyperlink>
    </w:p>
    <w:p w14:paraId="030BA475" w14:textId="02533AD3" w:rsidR="6D1945CD" w:rsidRDefault="6D1945CD" w:rsidP="004B5F01">
      <w:r w:rsidRPr="78D0E6A0">
        <w:t xml:space="preserve">Weber, M.M., Pedell, B. and </w:t>
      </w:r>
      <w:proofErr w:type="spellStart"/>
      <w:r w:rsidRPr="78D0E6A0">
        <w:t>Rötzel</w:t>
      </w:r>
      <w:proofErr w:type="spellEnd"/>
      <w:r w:rsidRPr="78D0E6A0">
        <w:t xml:space="preserve">, P.G. (2024) ‘Resilience-oriented management control systems: a systematic review of the relationships between organizational resilience and </w:t>
      </w:r>
      <w:r w:rsidRPr="78D0E6A0">
        <w:lastRenderedPageBreak/>
        <w:t xml:space="preserve">management control systems’, </w:t>
      </w:r>
      <w:r w:rsidRPr="78D0E6A0">
        <w:rPr>
          <w:i/>
          <w:iCs/>
        </w:rPr>
        <w:t>Journal of Management Control</w:t>
      </w:r>
      <w:r w:rsidRPr="78D0E6A0">
        <w:t xml:space="preserve">, 35(4). Available at: </w:t>
      </w:r>
      <w:hyperlink r:id="rId32">
        <w:r w:rsidRPr="78D0E6A0">
          <w:rPr>
            <w:rStyle w:val="Hyperlink"/>
          </w:rPr>
          <w:t>https://doi.org/10.1007/s00187-024-00385-2</w:t>
        </w:r>
      </w:hyperlink>
    </w:p>
    <w:p w14:paraId="63A8E90A" w14:textId="4B5B95FF" w:rsidR="0ECE33BB" w:rsidRDefault="0ECE33BB" w:rsidP="004B5F01"/>
    <w:p w14:paraId="5D36FF22" w14:textId="3117C575" w:rsidR="0C567E95" w:rsidRDefault="0C567E95" w:rsidP="004B5F01"/>
    <w:sectPr w:rsidR="0C567E95">
      <w:footerReference w:type="default" r:id="rId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804963" w14:textId="77777777" w:rsidR="00492320" w:rsidRDefault="00492320" w:rsidP="00D41387">
      <w:pPr>
        <w:spacing w:after="0" w:line="240" w:lineRule="auto"/>
      </w:pPr>
      <w:r>
        <w:separator/>
      </w:r>
    </w:p>
  </w:endnote>
  <w:endnote w:type="continuationSeparator" w:id="0">
    <w:p w14:paraId="2AB42681" w14:textId="77777777" w:rsidR="00492320" w:rsidRDefault="00492320" w:rsidP="00D413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4137084"/>
      <w:docPartObj>
        <w:docPartGallery w:val="Page Numbers (Bottom of Page)"/>
        <w:docPartUnique/>
      </w:docPartObj>
    </w:sdtPr>
    <w:sdtEndPr>
      <w:rPr>
        <w:noProof/>
      </w:rPr>
    </w:sdtEndPr>
    <w:sdtContent>
      <w:p w14:paraId="662524CB" w14:textId="477407AA" w:rsidR="00D41387" w:rsidRDefault="00D4138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75DD48" w14:textId="77777777" w:rsidR="00D41387" w:rsidRDefault="00D413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6942FD" w14:textId="77777777" w:rsidR="00492320" w:rsidRDefault="00492320" w:rsidP="00D41387">
      <w:pPr>
        <w:spacing w:after="0" w:line="240" w:lineRule="auto"/>
      </w:pPr>
      <w:r>
        <w:separator/>
      </w:r>
    </w:p>
  </w:footnote>
  <w:footnote w:type="continuationSeparator" w:id="0">
    <w:p w14:paraId="64FD2DAF" w14:textId="77777777" w:rsidR="00492320" w:rsidRDefault="00492320" w:rsidP="00D4138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obNIgNDV" int2:invalidationBookmarkName="" int2:hashCode="XDK+OGokBqewV+" int2:id="YmiwAEM7">
      <int2:state int2:value="Rejected" int2:type="spell"/>
    </int2:bookmark>
    <int2:bookmark int2:bookmarkName="_Int_QkfYtITa" int2:invalidationBookmarkName="" int2:hashCode="VBU5z5sqhZ/Lqs" int2:id="DJcIxMCe">
      <int2:state int2:value="Rejected" int2:type="spell"/>
    </int2:bookmark>
    <int2:bookmark int2:bookmarkName="_Int_3sVYGM1R" int2:invalidationBookmarkName="" int2:hashCode="0h4HzmuWn9Euup" int2:id="nWQLslt5">
      <int2:state int2:value="Rejected" int2:type="style"/>
    </int2:bookmark>
    <int2:bookmark int2:bookmarkName="_Int_9ciwiNiJ" int2:invalidationBookmarkName="" int2:hashCode="e3+TZqNgMaC5Vf" int2:id="8kcyqerU">
      <int2:state int2:value="Rejected" int2:type="style"/>
    </int2:bookmark>
    <int2:bookmark int2:bookmarkName="_Int_YMwgBoFr" int2:invalidationBookmarkName="" int2:hashCode="F88wWDI57IWQRX" int2:id="QsGygeYJ">
      <int2:state int2:value="Rejected" int2:type="spell"/>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8D680B"/>
    <w:multiLevelType w:val="hybridMultilevel"/>
    <w:tmpl w:val="7CB01154"/>
    <w:lvl w:ilvl="0" w:tplc="1D4A1010">
      <w:start w:val="1"/>
      <w:numFmt w:val="bullet"/>
      <w:lvlText w:val=""/>
      <w:lvlJc w:val="left"/>
      <w:pPr>
        <w:ind w:left="720" w:hanging="360"/>
      </w:pPr>
      <w:rPr>
        <w:rFonts w:ascii="Symbol" w:hAnsi="Symbol" w:hint="default"/>
      </w:rPr>
    </w:lvl>
    <w:lvl w:ilvl="1" w:tplc="A844A4F6">
      <w:start w:val="1"/>
      <w:numFmt w:val="bullet"/>
      <w:lvlText w:val="o"/>
      <w:lvlJc w:val="left"/>
      <w:pPr>
        <w:ind w:left="1440" w:hanging="360"/>
      </w:pPr>
      <w:rPr>
        <w:rFonts w:ascii="Courier New" w:hAnsi="Courier New" w:hint="default"/>
      </w:rPr>
    </w:lvl>
    <w:lvl w:ilvl="2" w:tplc="03F88530">
      <w:start w:val="1"/>
      <w:numFmt w:val="bullet"/>
      <w:lvlText w:val=""/>
      <w:lvlJc w:val="left"/>
      <w:pPr>
        <w:ind w:left="2160" w:hanging="360"/>
      </w:pPr>
      <w:rPr>
        <w:rFonts w:ascii="Wingdings" w:hAnsi="Wingdings" w:hint="default"/>
      </w:rPr>
    </w:lvl>
    <w:lvl w:ilvl="3" w:tplc="230E4FC4">
      <w:start w:val="1"/>
      <w:numFmt w:val="bullet"/>
      <w:lvlText w:val=""/>
      <w:lvlJc w:val="left"/>
      <w:pPr>
        <w:ind w:left="2880" w:hanging="360"/>
      </w:pPr>
      <w:rPr>
        <w:rFonts w:ascii="Symbol" w:hAnsi="Symbol" w:hint="default"/>
      </w:rPr>
    </w:lvl>
    <w:lvl w:ilvl="4" w:tplc="6B029DEA">
      <w:start w:val="1"/>
      <w:numFmt w:val="bullet"/>
      <w:lvlText w:val="o"/>
      <w:lvlJc w:val="left"/>
      <w:pPr>
        <w:ind w:left="3600" w:hanging="360"/>
      </w:pPr>
      <w:rPr>
        <w:rFonts w:ascii="Courier New" w:hAnsi="Courier New" w:hint="default"/>
      </w:rPr>
    </w:lvl>
    <w:lvl w:ilvl="5" w:tplc="9460D594">
      <w:start w:val="1"/>
      <w:numFmt w:val="bullet"/>
      <w:lvlText w:val=""/>
      <w:lvlJc w:val="left"/>
      <w:pPr>
        <w:ind w:left="4320" w:hanging="360"/>
      </w:pPr>
      <w:rPr>
        <w:rFonts w:ascii="Wingdings" w:hAnsi="Wingdings" w:hint="default"/>
      </w:rPr>
    </w:lvl>
    <w:lvl w:ilvl="6" w:tplc="307A31BC">
      <w:start w:val="1"/>
      <w:numFmt w:val="bullet"/>
      <w:lvlText w:val=""/>
      <w:lvlJc w:val="left"/>
      <w:pPr>
        <w:ind w:left="5040" w:hanging="360"/>
      </w:pPr>
      <w:rPr>
        <w:rFonts w:ascii="Symbol" w:hAnsi="Symbol" w:hint="default"/>
      </w:rPr>
    </w:lvl>
    <w:lvl w:ilvl="7" w:tplc="41C45A80">
      <w:start w:val="1"/>
      <w:numFmt w:val="bullet"/>
      <w:lvlText w:val="o"/>
      <w:lvlJc w:val="left"/>
      <w:pPr>
        <w:ind w:left="5760" w:hanging="360"/>
      </w:pPr>
      <w:rPr>
        <w:rFonts w:ascii="Courier New" w:hAnsi="Courier New" w:hint="default"/>
      </w:rPr>
    </w:lvl>
    <w:lvl w:ilvl="8" w:tplc="64BE4508">
      <w:start w:val="1"/>
      <w:numFmt w:val="bullet"/>
      <w:lvlText w:val=""/>
      <w:lvlJc w:val="left"/>
      <w:pPr>
        <w:ind w:left="6480" w:hanging="360"/>
      </w:pPr>
      <w:rPr>
        <w:rFonts w:ascii="Wingdings" w:hAnsi="Wingdings" w:hint="default"/>
      </w:rPr>
    </w:lvl>
  </w:abstractNum>
  <w:abstractNum w:abstractNumId="1" w15:restartNumberingAfterBreak="0">
    <w:nsid w:val="17C76825"/>
    <w:multiLevelType w:val="hybridMultilevel"/>
    <w:tmpl w:val="74C8AF6E"/>
    <w:lvl w:ilvl="0" w:tplc="8E68B4D8">
      <w:start w:val="1"/>
      <w:numFmt w:val="bullet"/>
      <w:lvlText w:val=""/>
      <w:lvlJc w:val="left"/>
      <w:pPr>
        <w:ind w:left="720" w:hanging="360"/>
      </w:pPr>
      <w:rPr>
        <w:rFonts w:ascii="Symbol" w:hAnsi="Symbol" w:hint="default"/>
      </w:rPr>
    </w:lvl>
    <w:lvl w:ilvl="1" w:tplc="4D262CEC">
      <w:start w:val="1"/>
      <w:numFmt w:val="bullet"/>
      <w:lvlText w:val="o"/>
      <w:lvlJc w:val="left"/>
      <w:pPr>
        <w:ind w:left="1440" w:hanging="360"/>
      </w:pPr>
      <w:rPr>
        <w:rFonts w:ascii="Courier New" w:hAnsi="Courier New" w:hint="default"/>
      </w:rPr>
    </w:lvl>
    <w:lvl w:ilvl="2" w:tplc="DEA86B58">
      <w:start w:val="1"/>
      <w:numFmt w:val="bullet"/>
      <w:lvlText w:val=""/>
      <w:lvlJc w:val="left"/>
      <w:pPr>
        <w:ind w:left="2160" w:hanging="360"/>
      </w:pPr>
      <w:rPr>
        <w:rFonts w:ascii="Wingdings" w:hAnsi="Wingdings" w:hint="default"/>
      </w:rPr>
    </w:lvl>
    <w:lvl w:ilvl="3" w:tplc="AB9E4AF4">
      <w:start w:val="1"/>
      <w:numFmt w:val="bullet"/>
      <w:lvlText w:val=""/>
      <w:lvlJc w:val="left"/>
      <w:pPr>
        <w:ind w:left="2880" w:hanging="360"/>
      </w:pPr>
      <w:rPr>
        <w:rFonts w:ascii="Symbol" w:hAnsi="Symbol" w:hint="default"/>
      </w:rPr>
    </w:lvl>
    <w:lvl w:ilvl="4" w:tplc="D458D3A8">
      <w:start w:val="1"/>
      <w:numFmt w:val="bullet"/>
      <w:lvlText w:val="o"/>
      <w:lvlJc w:val="left"/>
      <w:pPr>
        <w:ind w:left="3600" w:hanging="360"/>
      </w:pPr>
      <w:rPr>
        <w:rFonts w:ascii="Courier New" w:hAnsi="Courier New" w:hint="default"/>
      </w:rPr>
    </w:lvl>
    <w:lvl w:ilvl="5" w:tplc="66C88F60">
      <w:start w:val="1"/>
      <w:numFmt w:val="bullet"/>
      <w:lvlText w:val=""/>
      <w:lvlJc w:val="left"/>
      <w:pPr>
        <w:ind w:left="4320" w:hanging="360"/>
      </w:pPr>
      <w:rPr>
        <w:rFonts w:ascii="Wingdings" w:hAnsi="Wingdings" w:hint="default"/>
      </w:rPr>
    </w:lvl>
    <w:lvl w:ilvl="6" w:tplc="BFD26B3A">
      <w:start w:val="1"/>
      <w:numFmt w:val="bullet"/>
      <w:lvlText w:val=""/>
      <w:lvlJc w:val="left"/>
      <w:pPr>
        <w:ind w:left="5040" w:hanging="360"/>
      </w:pPr>
      <w:rPr>
        <w:rFonts w:ascii="Symbol" w:hAnsi="Symbol" w:hint="default"/>
      </w:rPr>
    </w:lvl>
    <w:lvl w:ilvl="7" w:tplc="1D661F98">
      <w:start w:val="1"/>
      <w:numFmt w:val="bullet"/>
      <w:lvlText w:val="o"/>
      <w:lvlJc w:val="left"/>
      <w:pPr>
        <w:ind w:left="5760" w:hanging="360"/>
      </w:pPr>
      <w:rPr>
        <w:rFonts w:ascii="Courier New" w:hAnsi="Courier New" w:hint="default"/>
      </w:rPr>
    </w:lvl>
    <w:lvl w:ilvl="8" w:tplc="5B02C3CE">
      <w:start w:val="1"/>
      <w:numFmt w:val="bullet"/>
      <w:lvlText w:val=""/>
      <w:lvlJc w:val="left"/>
      <w:pPr>
        <w:ind w:left="6480" w:hanging="360"/>
      </w:pPr>
      <w:rPr>
        <w:rFonts w:ascii="Wingdings" w:hAnsi="Wingdings" w:hint="default"/>
      </w:rPr>
    </w:lvl>
  </w:abstractNum>
  <w:abstractNum w:abstractNumId="2" w15:restartNumberingAfterBreak="0">
    <w:nsid w:val="315811C7"/>
    <w:multiLevelType w:val="hybridMultilevel"/>
    <w:tmpl w:val="24682B0C"/>
    <w:lvl w:ilvl="0" w:tplc="DEB083BA">
      <w:start w:val="1"/>
      <w:numFmt w:val="decimal"/>
      <w:lvlText w:val="%1."/>
      <w:lvlJc w:val="left"/>
      <w:pPr>
        <w:ind w:left="720" w:hanging="360"/>
      </w:pPr>
    </w:lvl>
    <w:lvl w:ilvl="1" w:tplc="1FBCCEF4">
      <w:start w:val="1"/>
      <w:numFmt w:val="lowerLetter"/>
      <w:lvlText w:val="%2."/>
      <w:lvlJc w:val="left"/>
      <w:pPr>
        <w:ind w:left="1440" w:hanging="360"/>
      </w:pPr>
    </w:lvl>
    <w:lvl w:ilvl="2" w:tplc="E71259A2">
      <w:start w:val="1"/>
      <w:numFmt w:val="lowerRoman"/>
      <w:lvlText w:val="%3."/>
      <w:lvlJc w:val="right"/>
      <w:pPr>
        <w:ind w:left="2160" w:hanging="180"/>
      </w:pPr>
    </w:lvl>
    <w:lvl w:ilvl="3" w:tplc="1D129838">
      <w:start w:val="1"/>
      <w:numFmt w:val="decimal"/>
      <w:lvlText w:val="%4."/>
      <w:lvlJc w:val="left"/>
      <w:pPr>
        <w:ind w:left="2880" w:hanging="360"/>
      </w:pPr>
    </w:lvl>
    <w:lvl w:ilvl="4" w:tplc="362CBB10">
      <w:start w:val="1"/>
      <w:numFmt w:val="lowerLetter"/>
      <w:lvlText w:val="%5."/>
      <w:lvlJc w:val="left"/>
      <w:pPr>
        <w:ind w:left="3600" w:hanging="360"/>
      </w:pPr>
    </w:lvl>
    <w:lvl w:ilvl="5" w:tplc="EB42FE16">
      <w:start w:val="1"/>
      <w:numFmt w:val="lowerRoman"/>
      <w:lvlText w:val="%6."/>
      <w:lvlJc w:val="right"/>
      <w:pPr>
        <w:ind w:left="4320" w:hanging="180"/>
      </w:pPr>
    </w:lvl>
    <w:lvl w:ilvl="6" w:tplc="200CD75C">
      <w:start w:val="1"/>
      <w:numFmt w:val="decimal"/>
      <w:lvlText w:val="%7."/>
      <w:lvlJc w:val="left"/>
      <w:pPr>
        <w:ind w:left="5040" w:hanging="360"/>
      </w:pPr>
    </w:lvl>
    <w:lvl w:ilvl="7" w:tplc="741CF662">
      <w:start w:val="1"/>
      <w:numFmt w:val="lowerLetter"/>
      <w:lvlText w:val="%8."/>
      <w:lvlJc w:val="left"/>
      <w:pPr>
        <w:ind w:left="5760" w:hanging="360"/>
      </w:pPr>
    </w:lvl>
    <w:lvl w:ilvl="8" w:tplc="AC466C4C">
      <w:start w:val="1"/>
      <w:numFmt w:val="lowerRoman"/>
      <w:lvlText w:val="%9."/>
      <w:lvlJc w:val="right"/>
      <w:pPr>
        <w:ind w:left="6480" w:hanging="180"/>
      </w:pPr>
    </w:lvl>
  </w:abstractNum>
  <w:abstractNum w:abstractNumId="3" w15:restartNumberingAfterBreak="0">
    <w:nsid w:val="63CB8F01"/>
    <w:multiLevelType w:val="hybridMultilevel"/>
    <w:tmpl w:val="BE987F26"/>
    <w:lvl w:ilvl="0" w:tplc="381622A4">
      <w:start w:val="1"/>
      <w:numFmt w:val="bullet"/>
      <w:lvlText w:val=""/>
      <w:lvlJc w:val="left"/>
      <w:pPr>
        <w:ind w:left="720" w:hanging="360"/>
      </w:pPr>
      <w:rPr>
        <w:rFonts w:ascii="Symbol" w:hAnsi="Symbol" w:hint="default"/>
      </w:rPr>
    </w:lvl>
    <w:lvl w:ilvl="1" w:tplc="743824C0">
      <w:start w:val="1"/>
      <w:numFmt w:val="bullet"/>
      <w:lvlText w:val="o"/>
      <w:lvlJc w:val="left"/>
      <w:pPr>
        <w:ind w:left="1440" w:hanging="360"/>
      </w:pPr>
      <w:rPr>
        <w:rFonts w:ascii="Courier New" w:hAnsi="Courier New" w:hint="default"/>
      </w:rPr>
    </w:lvl>
    <w:lvl w:ilvl="2" w:tplc="2500FBBE">
      <w:start w:val="1"/>
      <w:numFmt w:val="bullet"/>
      <w:lvlText w:val=""/>
      <w:lvlJc w:val="left"/>
      <w:pPr>
        <w:ind w:left="2160" w:hanging="360"/>
      </w:pPr>
      <w:rPr>
        <w:rFonts w:ascii="Wingdings" w:hAnsi="Wingdings" w:hint="default"/>
      </w:rPr>
    </w:lvl>
    <w:lvl w:ilvl="3" w:tplc="4C8E3244">
      <w:start w:val="1"/>
      <w:numFmt w:val="bullet"/>
      <w:lvlText w:val=""/>
      <w:lvlJc w:val="left"/>
      <w:pPr>
        <w:ind w:left="2880" w:hanging="360"/>
      </w:pPr>
      <w:rPr>
        <w:rFonts w:ascii="Symbol" w:hAnsi="Symbol" w:hint="default"/>
      </w:rPr>
    </w:lvl>
    <w:lvl w:ilvl="4" w:tplc="D344782A">
      <w:start w:val="1"/>
      <w:numFmt w:val="bullet"/>
      <w:lvlText w:val="o"/>
      <w:lvlJc w:val="left"/>
      <w:pPr>
        <w:ind w:left="3600" w:hanging="360"/>
      </w:pPr>
      <w:rPr>
        <w:rFonts w:ascii="Courier New" w:hAnsi="Courier New" w:hint="default"/>
      </w:rPr>
    </w:lvl>
    <w:lvl w:ilvl="5" w:tplc="6A247136">
      <w:start w:val="1"/>
      <w:numFmt w:val="bullet"/>
      <w:lvlText w:val=""/>
      <w:lvlJc w:val="left"/>
      <w:pPr>
        <w:ind w:left="4320" w:hanging="360"/>
      </w:pPr>
      <w:rPr>
        <w:rFonts w:ascii="Wingdings" w:hAnsi="Wingdings" w:hint="default"/>
      </w:rPr>
    </w:lvl>
    <w:lvl w:ilvl="6" w:tplc="855ECB1A">
      <w:start w:val="1"/>
      <w:numFmt w:val="bullet"/>
      <w:lvlText w:val=""/>
      <w:lvlJc w:val="left"/>
      <w:pPr>
        <w:ind w:left="5040" w:hanging="360"/>
      </w:pPr>
      <w:rPr>
        <w:rFonts w:ascii="Symbol" w:hAnsi="Symbol" w:hint="default"/>
      </w:rPr>
    </w:lvl>
    <w:lvl w:ilvl="7" w:tplc="60A2BB4E">
      <w:start w:val="1"/>
      <w:numFmt w:val="bullet"/>
      <w:lvlText w:val="o"/>
      <w:lvlJc w:val="left"/>
      <w:pPr>
        <w:ind w:left="5760" w:hanging="360"/>
      </w:pPr>
      <w:rPr>
        <w:rFonts w:ascii="Courier New" w:hAnsi="Courier New" w:hint="default"/>
      </w:rPr>
    </w:lvl>
    <w:lvl w:ilvl="8" w:tplc="3D985A0E">
      <w:start w:val="1"/>
      <w:numFmt w:val="bullet"/>
      <w:lvlText w:val=""/>
      <w:lvlJc w:val="left"/>
      <w:pPr>
        <w:ind w:left="6480" w:hanging="360"/>
      </w:pPr>
      <w:rPr>
        <w:rFonts w:ascii="Wingdings" w:hAnsi="Wingdings" w:hint="default"/>
      </w:rPr>
    </w:lvl>
  </w:abstractNum>
  <w:num w:numId="1" w16cid:durableId="1162621265">
    <w:abstractNumId w:val="1"/>
  </w:num>
  <w:num w:numId="2" w16cid:durableId="277370172">
    <w:abstractNumId w:val="0"/>
  </w:num>
  <w:num w:numId="3" w16cid:durableId="1473788823">
    <w:abstractNumId w:val="2"/>
  </w:num>
  <w:num w:numId="4" w16cid:durableId="132639576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9D59D52"/>
    <w:rsid w:val="00067514"/>
    <w:rsid w:val="000A7844"/>
    <w:rsid w:val="0018070B"/>
    <w:rsid w:val="00197F8D"/>
    <w:rsid w:val="00244F28"/>
    <w:rsid w:val="00492320"/>
    <w:rsid w:val="004B5F01"/>
    <w:rsid w:val="00953DCC"/>
    <w:rsid w:val="00B379CD"/>
    <w:rsid w:val="00D41387"/>
    <w:rsid w:val="00D57CE9"/>
    <w:rsid w:val="00F04EA6"/>
    <w:rsid w:val="01B00AE8"/>
    <w:rsid w:val="01D47792"/>
    <w:rsid w:val="02F3D2EF"/>
    <w:rsid w:val="02F3F242"/>
    <w:rsid w:val="0310641C"/>
    <w:rsid w:val="0335F2C2"/>
    <w:rsid w:val="03FEFE6E"/>
    <w:rsid w:val="050D725D"/>
    <w:rsid w:val="056D4BA5"/>
    <w:rsid w:val="057018A6"/>
    <w:rsid w:val="063B0312"/>
    <w:rsid w:val="06549070"/>
    <w:rsid w:val="06DC0A9D"/>
    <w:rsid w:val="07418510"/>
    <w:rsid w:val="07B6519F"/>
    <w:rsid w:val="07F489C8"/>
    <w:rsid w:val="08204F5B"/>
    <w:rsid w:val="084E90DB"/>
    <w:rsid w:val="096566BE"/>
    <w:rsid w:val="0971A339"/>
    <w:rsid w:val="097C304C"/>
    <w:rsid w:val="0A29AEBB"/>
    <w:rsid w:val="0A6F9146"/>
    <w:rsid w:val="0B66F56B"/>
    <w:rsid w:val="0C567E95"/>
    <w:rsid w:val="0CCB126C"/>
    <w:rsid w:val="0DAC7B22"/>
    <w:rsid w:val="0DE79C82"/>
    <w:rsid w:val="0E0F3AD0"/>
    <w:rsid w:val="0E7EAC3B"/>
    <w:rsid w:val="0E9E3653"/>
    <w:rsid w:val="0ECE33BB"/>
    <w:rsid w:val="0FC3B52A"/>
    <w:rsid w:val="0FF26A06"/>
    <w:rsid w:val="10C4532C"/>
    <w:rsid w:val="113CD44E"/>
    <w:rsid w:val="11C12A4E"/>
    <w:rsid w:val="122E08A7"/>
    <w:rsid w:val="12D6CA47"/>
    <w:rsid w:val="12E3BD08"/>
    <w:rsid w:val="13109BBB"/>
    <w:rsid w:val="137070B0"/>
    <w:rsid w:val="139E9484"/>
    <w:rsid w:val="13AFC63E"/>
    <w:rsid w:val="13EB7FA9"/>
    <w:rsid w:val="152350C3"/>
    <w:rsid w:val="158F1771"/>
    <w:rsid w:val="15BFF706"/>
    <w:rsid w:val="1665BE65"/>
    <w:rsid w:val="1670D33B"/>
    <w:rsid w:val="18C7CF6C"/>
    <w:rsid w:val="18E622B9"/>
    <w:rsid w:val="18F157A3"/>
    <w:rsid w:val="1908659F"/>
    <w:rsid w:val="195DEED8"/>
    <w:rsid w:val="19D59D52"/>
    <w:rsid w:val="1A0030F6"/>
    <w:rsid w:val="1A0C203A"/>
    <w:rsid w:val="1A958211"/>
    <w:rsid w:val="1BEC55E4"/>
    <w:rsid w:val="1C178650"/>
    <w:rsid w:val="1DCAC686"/>
    <w:rsid w:val="1DE0346D"/>
    <w:rsid w:val="1E3BCC35"/>
    <w:rsid w:val="1EE98E36"/>
    <w:rsid w:val="1EF6C26F"/>
    <w:rsid w:val="1F6A2A33"/>
    <w:rsid w:val="1F72E005"/>
    <w:rsid w:val="1F87BDE8"/>
    <w:rsid w:val="1FA6C3C9"/>
    <w:rsid w:val="20557FB0"/>
    <w:rsid w:val="20766D41"/>
    <w:rsid w:val="20953D2F"/>
    <w:rsid w:val="20A054F6"/>
    <w:rsid w:val="214EDB06"/>
    <w:rsid w:val="21984115"/>
    <w:rsid w:val="21F951B0"/>
    <w:rsid w:val="22009F6A"/>
    <w:rsid w:val="22CCC454"/>
    <w:rsid w:val="230484E5"/>
    <w:rsid w:val="23495D21"/>
    <w:rsid w:val="239BD307"/>
    <w:rsid w:val="23BDEE40"/>
    <w:rsid w:val="23BF9F3C"/>
    <w:rsid w:val="23E33999"/>
    <w:rsid w:val="244E2065"/>
    <w:rsid w:val="245E5D42"/>
    <w:rsid w:val="24B5CDD7"/>
    <w:rsid w:val="24DFC17C"/>
    <w:rsid w:val="25154424"/>
    <w:rsid w:val="26147F67"/>
    <w:rsid w:val="2622DC53"/>
    <w:rsid w:val="267A699A"/>
    <w:rsid w:val="268F3AC1"/>
    <w:rsid w:val="26A34D80"/>
    <w:rsid w:val="26B52933"/>
    <w:rsid w:val="27457E3D"/>
    <w:rsid w:val="2842AB7C"/>
    <w:rsid w:val="291DEE69"/>
    <w:rsid w:val="2929F558"/>
    <w:rsid w:val="292C9F83"/>
    <w:rsid w:val="2945B752"/>
    <w:rsid w:val="2A5FDB72"/>
    <w:rsid w:val="2A749ABC"/>
    <w:rsid w:val="2A80B39F"/>
    <w:rsid w:val="2AC3EA43"/>
    <w:rsid w:val="2B8904AD"/>
    <w:rsid w:val="2B967A26"/>
    <w:rsid w:val="2BA7D394"/>
    <w:rsid w:val="2C0910F5"/>
    <w:rsid w:val="2C717A62"/>
    <w:rsid w:val="2CF4A54C"/>
    <w:rsid w:val="2D424DB3"/>
    <w:rsid w:val="2D460843"/>
    <w:rsid w:val="2DB306ED"/>
    <w:rsid w:val="2DB9C995"/>
    <w:rsid w:val="2DD8EA25"/>
    <w:rsid w:val="2E36A0C8"/>
    <w:rsid w:val="2F30D9C2"/>
    <w:rsid w:val="2F8ECBA5"/>
    <w:rsid w:val="30A24673"/>
    <w:rsid w:val="311B5ACD"/>
    <w:rsid w:val="31B66432"/>
    <w:rsid w:val="3246AF7E"/>
    <w:rsid w:val="3296B4F2"/>
    <w:rsid w:val="32EE8D2E"/>
    <w:rsid w:val="33F1AA25"/>
    <w:rsid w:val="33FC9B86"/>
    <w:rsid w:val="340B5CFC"/>
    <w:rsid w:val="340C4D1C"/>
    <w:rsid w:val="3415B4E6"/>
    <w:rsid w:val="359B3EBB"/>
    <w:rsid w:val="374FB3A5"/>
    <w:rsid w:val="387CE3D6"/>
    <w:rsid w:val="38A0A370"/>
    <w:rsid w:val="38D3AA11"/>
    <w:rsid w:val="39D702DB"/>
    <w:rsid w:val="3AEDAD2E"/>
    <w:rsid w:val="3B02F8BB"/>
    <w:rsid w:val="3B24081E"/>
    <w:rsid w:val="3B8FC80D"/>
    <w:rsid w:val="3BEACB88"/>
    <w:rsid w:val="3D73CE04"/>
    <w:rsid w:val="3ECC96B8"/>
    <w:rsid w:val="3F722558"/>
    <w:rsid w:val="3FF16784"/>
    <w:rsid w:val="404DB056"/>
    <w:rsid w:val="40AEBB3B"/>
    <w:rsid w:val="40C4C522"/>
    <w:rsid w:val="40E15341"/>
    <w:rsid w:val="40EC3D89"/>
    <w:rsid w:val="4100CD44"/>
    <w:rsid w:val="4120FC4F"/>
    <w:rsid w:val="417A954B"/>
    <w:rsid w:val="419F0960"/>
    <w:rsid w:val="41F69171"/>
    <w:rsid w:val="425FA8CD"/>
    <w:rsid w:val="43D203AA"/>
    <w:rsid w:val="440DA2BB"/>
    <w:rsid w:val="441138C0"/>
    <w:rsid w:val="44B40F24"/>
    <w:rsid w:val="44C90133"/>
    <w:rsid w:val="455564EA"/>
    <w:rsid w:val="4640453D"/>
    <w:rsid w:val="4641751B"/>
    <w:rsid w:val="46B304F7"/>
    <w:rsid w:val="46B7AB0C"/>
    <w:rsid w:val="46CEBEA2"/>
    <w:rsid w:val="46E95A5F"/>
    <w:rsid w:val="47081FFB"/>
    <w:rsid w:val="47630F73"/>
    <w:rsid w:val="47AD5D3D"/>
    <w:rsid w:val="47C8E318"/>
    <w:rsid w:val="48548815"/>
    <w:rsid w:val="491B3E77"/>
    <w:rsid w:val="494C9FAF"/>
    <w:rsid w:val="4962CA17"/>
    <w:rsid w:val="496EA9FA"/>
    <w:rsid w:val="4974F5ED"/>
    <w:rsid w:val="4A0D06FF"/>
    <w:rsid w:val="4A548953"/>
    <w:rsid w:val="4A571614"/>
    <w:rsid w:val="4A5DF35F"/>
    <w:rsid w:val="4BAEA1F5"/>
    <w:rsid w:val="4C86D729"/>
    <w:rsid w:val="4D19C945"/>
    <w:rsid w:val="4D781C76"/>
    <w:rsid w:val="4D918B2B"/>
    <w:rsid w:val="4DCB5E4C"/>
    <w:rsid w:val="4DD441F0"/>
    <w:rsid w:val="4E2210A5"/>
    <w:rsid w:val="4E5B9803"/>
    <w:rsid w:val="4E5F8C48"/>
    <w:rsid w:val="4EF0D8A0"/>
    <w:rsid w:val="4F27ED57"/>
    <w:rsid w:val="4F91E087"/>
    <w:rsid w:val="4FB8281F"/>
    <w:rsid w:val="500EBD05"/>
    <w:rsid w:val="5049875F"/>
    <w:rsid w:val="50747DC9"/>
    <w:rsid w:val="50759AD5"/>
    <w:rsid w:val="50EA3056"/>
    <w:rsid w:val="50EEADA1"/>
    <w:rsid w:val="51026BE9"/>
    <w:rsid w:val="512FC574"/>
    <w:rsid w:val="52A80D3A"/>
    <w:rsid w:val="52ACE8D0"/>
    <w:rsid w:val="52DF8B36"/>
    <w:rsid w:val="5384132C"/>
    <w:rsid w:val="538E9E9C"/>
    <w:rsid w:val="54374419"/>
    <w:rsid w:val="548462A7"/>
    <w:rsid w:val="54927DA0"/>
    <w:rsid w:val="54E3D0A7"/>
    <w:rsid w:val="555CF3B0"/>
    <w:rsid w:val="558FE9E4"/>
    <w:rsid w:val="55954BAA"/>
    <w:rsid w:val="56BDD7DB"/>
    <w:rsid w:val="56DA140C"/>
    <w:rsid w:val="56FEA727"/>
    <w:rsid w:val="58034C7F"/>
    <w:rsid w:val="58DD8550"/>
    <w:rsid w:val="597AA912"/>
    <w:rsid w:val="598D2165"/>
    <w:rsid w:val="59C766A1"/>
    <w:rsid w:val="59C92B40"/>
    <w:rsid w:val="59E1CC15"/>
    <w:rsid w:val="5B4D05C5"/>
    <w:rsid w:val="5BC55B09"/>
    <w:rsid w:val="5BE5B738"/>
    <w:rsid w:val="5C5A953F"/>
    <w:rsid w:val="5D008241"/>
    <w:rsid w:val="5D2AB112"/>
    <w:rsid w:val="5EFCA49D"/>
    <w:rsid w:val="5F62390E"/>
    <w:rsid w:val="6044D041"/>
    <w:rsid w:val="60E5AED5"/>
    <w:rsid w:val="621E3D3A"/>
    <w:rsid w:val="62721A03"/>
    <w:rsid w:val="633F9863"/>
    <w:rsid w:val="63AAFA87"/>
    <w:rsid w:val="64C12889"/>
    <w:rsid w:val="65AF8D42"/>
    <w:rsid w:val="667B425C"/>
    <w:rsid w:val="672B1697"/>
    <w:rsid w:val="675A60BD"/>
    <w:rsid w:val="6777EE76"/>
    <w:rsid w:val="678E5CBB"/>
    <w:rsid w:val="6858FA4A"/>
    <w:rsid w:val="69AC1106"/>
    <w:rsid w:val="69FB584D"/>
    <w:rsid w:val="6A9217A4"/>
    <w:rsid w:val="6AAE42C3"/>
    <w:rsid w:val="6AEF7EA9"/>
    <w:rsid w:val="6AFD3C2E"/>
    <w:rsid w:val="6B263BB6"/>
    <w:rsid w:val="6B32EC6A"/>
    <w:rsid w:val="6B5C0EA5"/>
    <w:rsid w:val="6B666F34"/>
    <w:rsid w:val="6B71C437"/>
    <w:rsid w:val="6D02AA98"/>
    <w:rsid w:val="6D1945CD"/>
    <w:rsid w:val="6D9B7896"/>
    <w:rsid w:val="6DB99823"/>
    <w:rsid w:val="6F3BC8B0"/>
    <w:rsid w:val="7007BF10"/>
    <w:rsid w:val="70581D8D"/>
    <w:rsid w:val="70634220"/>
    <w:rsid w:val="70642DB3"/>
    <w:rsid w:val="706B9457"/>
    <w:rsid w:val="708D536C"/>
    <w:rsid w:val="70D163E6"/>
    <w:rsid w:val="70ED4846"/>
    <w:rsid w:val="71566B31"/>
    <w:rsid w:val="71A4337C"/>
    <w:rsid w:val="72712098"/>
    <w:rsid w:val="72AFD6B9"/>
    <w:rsid w:val="732402C1"/>
    <w:rsid w:val="73390079"/>
    <w:rsid w:val="7417A0DC"/>
    <w:rsid w:val="76292E8C"/>
    <w:rsid w:val="76A3A87A"/>
    <w:rsid w:val="775739D5"/>
    <w:rsid w:val="7829DA3E"/>
    <w:rsid w:val="7841C598"/>
    <w:rsid w:val="787CF383"/>
    <w:rsid w:val="787DA0E0"/>
    <w:rsid w:val="78D0E6A0"/>
    <w:rsid w:val="7982D07B"/>
    <w:rsid w:val="79D4F34B"/>
    <w:rsid w:val="7B57C640"/>
    <w:rsid w:val="7BBB4AE9"/>
    <w:rsid w:val="7C33F5F6"/>
    <w:rsid w:val="7C59B14D"/>
    <w:rsid w:val="7C7E1689"/>
    <w:rsid w:val="7C99521E"/>
    <w:rsid w:val="7CF63C2F"/>
    <w:rsid w:val="7D6BC57E"/>
    <w:rsid w:val="7ED307D6"/>
    <w:rsid w:val="7EF4134D"/>
    <w:rsid w:val="7F83931D"/>
    <w:rsid w:val="7F8BA57B"/>
    <w:rsid w:val="7FA0D1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9CECE"/>
  <w15:chartTrackingRefBased/>
  <w15:docId w15:val="{E53D06B2-A2FE-459D-B6DD-BEA336DDB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5F01"/>
    <w:pPr>
      <w:spacing w:line="360" w:lineRule="auto"/>
      <w:jc w:val="both"/>
    </w:pPr>
    <w:rPr>
      <w:rFonts w:ascii="Times New Roman" w:eastAsia="Times New Roman" w:hAnsi="Times New Roman" w:cs="Times New Roman"/>
      <w:lang w:val="en-GB"/>
    </w:rPr>
  </w:style>
  <w:style w:type="paragraph" w:styleId="Heading1">
    <w:name w:val="heading 1"/>
    <w:basedOn w:val="Normal"/>
    <w:next w:val="Normal"/>
    <w:uiPriority w:val="9"/>
    <w:qFormat/>
    <w:rsid w:val="78D0E6A0"/>
    <w:pPr>
      <w:keepNext/>
      <w:keepLines/>
      <w:spacing w:before="360" w:after="80"/>
      <w:outlineLvl w:val="0"/>
    </w:pPr>
    <w:rPr>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78D0E6A0"/>
    <w:pPr>
      <w:ind w:left="720"/>
      <w:contextualSpacing/>
    </w:pPr>
  </w:style>
  <w:style w:type="character" w:styleId="Hyperlink">
    <w:name w:val="Hyperlink"/>
    <w:basedOn w:val="DefaultParagraphFont"/>
    <w:uiPriority w:val="99"/>
    <w:unhideWhenUsed/>
    <w:rsid w:val="0ECE33BB"/>
    <w:rPr>
      <w:color w:val="467886"/>
      <w:u w:val="single"/>
    </w:rPr>
  </w:style>
  <w:style w:type="paragraph" w:styleId="TOCHeading">
    <w:name w:val="TOC Heading"/>
    <w:basedOn w:val="Heading1"/>
    <w:next w:val="Normal"/>
    <w:uiPriority w:val="39"/>
    <w:unhideWhenUsed/>
    <w:qFormat/>
    <w:rsid w:val="00D41387"/>
    <w:pPr>
      <w:spacing w:before="240" w:after="0" w:line="259" w:lineRule="auto"/>
      <w:jc w:val="left"/>
      <w:outlineLvl w:val="9"/>
    </w:pPr>
    <w:rPr>
      <w:rFonts w:asciiTheme="majorHAnsi" w:eastAsiaTheme="majorEastAsia" w:hAnsiTheme="majorHAnsi" w:cstheme="majorBidi"/>
      <w:b w:val="0"/>
      <w:bCs w:val="0"/>
      <w:color w:val="0F4761" w:themeColor="accent1" w:themeShade="BF"/>
      <w:lang w:val="en-US" w:eastAsia="en-US"/>
    </w:rPr>
  </w:style>
  <w:style w:type="paragraph" w:styleId="TOC1">
    <w:name w:val="toc 1"/>
    <w:basedOn w:val="Normal"/>
    <w:next w:val="Normal"/>
    <w:autoRedefine/>
    <w:uiPriority w:val="39"/>
    <w:unhideWhenUsed/>
    <w:rsid w:val="00D41387"/>
    <w:pPr>
      <w:spacing w:after="100"/>
    </w:pPr>
  </w:style>
  <w:style w:type="paragraph" w:styleId="Header">
    <w:name w:val="header"/>
    <w:basedOn w:val="Normal"/>
    <w:link w:val="HeaderChar"/>
    <w:uiPriority w:val="99"/>
    <w:unhideWhenUsed/>
    <w:rsid w:val="00D413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1387"/>
    <w:rPr>
      <w:rFonts w:ascii="Times New Roman" w:eastAsia="Times New Roman" w:hAnsi="Times New Roman" w:cs="Times New Roman"/>
      <w:lang w:val="en-GB"/>
    </w:rPr>
  </w:style>
  <w:style w:type="paragraph" w:styleId="Footer">
    <w:name w:val="footer"/>
    <w:basedOn w:val="Normal"/>
    <w:link w:val="FooterChar"/>
    <w:uiPriority w:val="99"/>
    <w:unhideWhenUsed/>
    <w:rsid w:val="00D413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1387"/>
    <w:rPr>
      <w:rFonts w:ascii="Times New Roman" w:eastAsia="Times New Roman" w:hAnsi="Times New Roman" w:cs="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23311975.2024.2357709" TargetMode="External"/><Relationship Id="rId18" Type="http://schemas.openxmlformats.org/officeDocument/2006/relationships/hyperlink" Target="https://doi.org/10.1007/s00187-024-00373-6" TargetMode="External"/><Relationship Id="rId26" Type="http://schemas.openxmlformats.org/officeDocument/2006/relationships/hyperlink" Target="https://global.toyota/en/company/plant-tours/production-system/index.html?utm_source=chatgpt.com" TargetMode="External"/><Relationship Id="rId3" Type="http://schemas.openxmlformats.org/officeDocument/2006/relationships/styles" Target="styles.xml"/><Relationship Id="rId21" Type="http://schemas.openxmlformats.org/officeDocument/2006/relationships/hyperlink" Target="https://www.qip-journal.eu/index.php/QIP/article/view/2073?utm_source=chatgpt.com"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007/s00187-024-00371-8" TargetMode="External"/><Relationship Id="rId17" Type="http://schemas.openxmlformats.org/officeDocument/2006/relationships/hyperlink" Target="https://doi.org/10.1080/14778238.2024.2306338" TargetMode="External"/><Relationship Id="rId25" Type="http://schemas.openxmlformats.org/officeDocument/2006/relationships/hyperlink" Target="https://global.toyota/en/company/vision-and-philosophy/production-system/index.html?utm_source=chatgpt.com"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16/j.ijproman.2024.102602" TargetMode="External"/><Relationship Id="rId20" Type="http://schemas.openxmlformats.org/officeDocument/2006/relationships/hyperlink" Target="https://www.ntsb.gov/investigations/AccidentReports/Reports/AIR2504.pdf?utm_source=chatgpt.com" TargetMode="External"/><Relationship Id="rId29" Type="http://schemas.openxmlformats.org/officeDocument/2006/relationships/hyperlink" Target="https://www.help.senate.gov/imo/media/doc/amazon_investigation.pdf?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nsumerfinance.gov/enforcement/actions/wells-fargo-bank-na-2022/?utm_source=chatgpt.com" TargetMode="External"/><Relationship Id="rId24" Type="http://schemas.openxmlformats.org/officeDocument/2006/relationships/hyperlink" Target="https://www.sciencedirect.com/science/article/abs/pii/S0361368223000958?utm_source=chatgpt.com" TargetMode="External"/><Relationship Id="rId32" Type="http://schemas.openxmlformats.org/officeDocument/2006/relationships/hyperlink" Target="https://doi.org/10.1007/s00187-024-00385-2" TargetMode="External"/><Relationship Id="rId5" Type="http://schemas.openxmlformats.org/officeDocument/2006/relationships/webSettings" Target="webSettings.xml"/><Relationship Id="rId15" Type="http://schemas.openxmlformats.org/officeDocument/2006/relationships/hyperlink" Target="https://www.sciencedirect.com/science/article/pii/S036136822100057X?utm_source=chatgpt.com" TargetMode="External"/><Relationship Id="rId23" Type="http://schemas.openxmlformats.org/officeDocument/2006/relationships/hyperlink" Target="https://doi.org/10.1080/00207543.2022.2159562" TargetMode="External"/><Relationship Id="rId28" Type="http://schemas.openxmlformats.org/officeDocument/2006/relationships/hyperlink" Target="https://doi.org/10.1080/23311975.2023.2296699" TargetMode="External"/><Relationship Id="rId36" Type="http://schemas.microsoft.com/office/2020/10/relationships/intelligence" Target="intelligence2.xml"/><Relationship Id="rId10" Type="http://schemas.openxmlformats.org/officeDocument/2006/relationships/hyperlink" Target="https://www.consumerfinance.gov/about-us/newsroom/consumer-financial-protection-bureau-fines-wells-fargo-100-million-widespread-illegal-practice-secretly-opening-unauthorized-accounts/?utm_source=chatgpt.com" TargetMode="External"/><Relationship Id="rId19" Type="http://schemas.openxmlformats.org/officeDocument/2006/relationships/hyperlink" Target="https://doi.org/10.1108/JAOC-10-2024-0354?utm_source=chatgpt.com" TargetMode="External"/><Relationship Id="rId31" Type="http://schemas.openxmlformats.org/officeDocument/2006/relationships/hyperlink" Target="https://www.sciencedirect.com/science/article/pii/S0890838924002919?utm_source=chatgpt.com" TargetMode="External"/><Relationship Id="rId4" Type="http://schemas.openxmlformats.org/officeDocument/2006/relationships/settings" Target="settings.xml"/><Relationship Id="rId9" Type="http://schemas.openxmlformats.org/officeDocument/2006/relationships/hyperlink" Target="https://www.sciencedirect.com/science/article/abs/pii/S0361368220300714?utm_source=chatgpt.com" TargetMode="External"/><Relationship Id="rId14" Type="http://schemas.openxmlformats.org/officeDocument/2006/relationships/hyperlink" Target="https://www.faa.gov/newsroom/updates-boeing-737-9-max-aircraft?utm_source=chatgpt.com" TargetMode="External"/><Relationship Id="rId22" Type="http://schemas.openxmlformats.org/officeDocument/2006/relationships/hyperlink" Target="https://doi.org/10.1007/s00187-024-00365-6" TargetMode="External"/><Relationship Id="rId27" Type="http://schemas.openxmlformats.org/officeDocument/2006/relationships/hyperlink" Target="https://www.toyota-europe.com/about-us/toyota-vision-and-philosophy/toyota-production-system?utm_source=chatgpt.com" TargetMode="External"/><Relationship Id="rId30" Type="http://schemas.openxmlformats.org/officeDocument/2006/relationships/hyperlink" Target="https://www.help.senate.gov/amazon-investigation?utm_source=chatgpt.com"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37AB94-FDAD-430D-9B6F-158CF58924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3974</Words>
  <Characters>22657</Characters>
  <Application>Microsoft Office Word</Application>
  <DocSecurity>0</DocSecurity>
  <Lines>188</Lines>
  <Paragraphs>53</Paragraphs>
  <ScaleCrop>false</ScaleCrop>
  <Company/>
  <LinksUpToDate>false</LinksUpToDate>
  <CharactersWithSpaces>26578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Dana Pellegrini Babcinschii (2317100)</dc:creator>
  <cp:keywords/>
  <dc:description/>
  <cp:lastModifiedBy>Dana Pellegrini</cp:lastModifiedBy>
  <cp:revision>9</cp:revision>
  <dcterms:created xsi:type="dcterms:W3CDTF">2026-04-23T08:47:00Z</dcterms:created>
  <dcterms:modified xsi:type="dcterms:W3CDTF">2026-04-23T08:58:00Z</dcterms:modified>
</cp:coreProperties>
</file>