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imes New Roman" w:hAnsi="Arial" w:cs="Arial"/>
          <w:color w:val="000000" w:themeColor="text1"/>
          <w:sz w:val="24"/>
          <w:szCs w:val="24"/>
          <w:lang w:val="en-GB" w:eastAsia="en-GB"/>
        </w:rPr>
        <w:id w:val="-1294973787"/>
        <w:docPartObj>
          <w:docPartGallery w:val="Cover Pages"/>
          <w:docPartUnique/>
        </w:docPartObj>
      </w:sdtPr>
      <w:sdtEndPr>
        <w:rPr>
          <w:rFonts w:eastAsiaTheme="minorHAnsi"/>
          <w:i/>
          <w:color w:val="auto"/>
          <w:lang w:eastAsia="en-US"/>
        </w:rPr>
      </w:sdtEndPr>
      <w:sdtContent>
        <w:p w14:paraId="5B2BCBB3" w14:textId="7DB024A5" w:rsidR="00BF3042" w:rsidRPr="00170ACB" w:rsidRDefault="00BF3042" w:rsidP="00170ACB">
          <w:pPr>
            <w:pStyle w:val="NoSpacing"/>
            <w:spacing w:before="1540" w:after="240" w:line="360" w:lineRule="auto"/>
            <w:jc w:val="center"/>
            <w:rPr>
              <w:rFonts w:ascii="Arial" w:hAnsi="Arial" w:cs="Arial"/>
              <w:color w:val="000000" w:themeColor="text1"/>
            </w:rPr>
          </w:pPr>
          <w:r w:rsidRPr="00170ACB">
            <w:rPr>
              <w:rFonts w:ascii="Arial" w:hAnsi="Arial" w:cs="Arial"/>
              <w:noProof/>
              <w:color w:val="000000" w:themeColor="text1"/>
            </w:rPr>
            <w:drawing>
              <wp:anchor distT="0" distB="0" distL="114300" distR="114300" simplePos="0" relativeHeight="251661312" behindDoc="1" locked="0" layoutInCell="1" allowOverlap="1" wp14:anchorId="6140C615" wp14:editId="0ABA2808">
                <wp:simplePos x="0" y="0"/>
                <wp:positionH relativeFrom="margin">
                  <wp:posOffset>698929</wp:posOffset>
                </wp:positionH>
                <wp:positionV relativeFrom="paragraph">
                  <wp:posOffset>223</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C551E07" w14:textId="419B2733" w:rsidR="00A8429E" w:rsidRPr="00170ACB" w:rsidRDefault="00A8429E" w:rsidP="00170ACB">
          <w:pPr>
            <w:pStyle w:val="NoSpacing"/>
            <w:spacing w:before="1540" w:after="240" w:line="360" w:lineRule="auto"/>
            <w:rPr>
              <w:rFonts w:ascii="Arial" w:hAnsi="Arial" w:cs="Arial"/>
              <w:color w:val="000000" w:themeColor="text1"/>
            </w:rPr>
          </w:pPr>
        </w:p>
        <w:sdt>
          <w:sdtPr>
            <w:rPr>
              <w:rFonts w:ascii="Arial" w:hAnsi="Arial" w:cs="Arial"/>
              <w:color w:val="000000" w:themeColor="text1"/>
              <w:kern w:val="2"/>
              <w:sz w:val="40"/>
              <w:szCs w:val="40"/>
              <w:lang w:val="en-GB"/>
              <w14:ligatures w14:val="standardContextual"/>
            </w:rPr>
            <w:alias w:val="Title"/>
            <w:tag w:val=""/>
            <w:id w:val="1735040861"/>
            <w:placeholder>
              <w:docPart w:val="52BE798C6FA64A449DDDB191C5CDAE75"/>
            </w:placeholder>
            <w:dataBinding w:prefixMappings="xmlns:ns0='http://purl.org/dc/elements/1.1/' xmlns:ns1='http://schemas.openxmlformats.org/package/2006/metadata/core-properties' " w:xpath="/ns1:coreProperties[1]/ns0:title[1]" w:storeItemID="{6C3C8BC8-F283-45AE-878A-BAB7291924A1}"/>
            <w:text/>
          </w:sdtPr>
          <w:sdtEndPr/>
          <w:sdtContent>
            <w:p w14:paraId="586DACE9" w14:textId="53316A25" w:rsidR="00A8429E" w:rsidRPr="00170ACB" w:rsidRDefault="00BF3042" w:rsidP="00170ACB">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000000" w:themeColor="text1"/>
                  <w:sz w:val="40"/>
                  <w:szCs w:val="40"/>
                </w:rPr>
              </w:pPr>
              <w:r w:rsidRPr="00170ACB">
                <w:rPr>
                  <w:rFonts w:ascii="Arial" w:hAnsi="Arial" w:cs="Arial"/>
                  <w:color w:val="000000" w:themeColor="text1"/>
                  <w:kern w:val="2"/>
                  <w:sz w:val="40"/>
                  <w:szCs w:val="40"/>
                  <w:lang w:val="en-GB"/>
                  <w14:ligatures w14:val="standardContextual"/>
                </w:rPr>
                <w:t>Institute of Inner-City Learning Birmingham Campus BSc (Hons) Health and Social Care</w:t>
              </w:r>
            </w:p>
          </w:sdtContent>
        </w:sdt>
        <w:p w14:paraId="4F86A5BD" w14:textId="065D0157" w:rsidR="00A8429E" w:rsidRPr="00170ACB" w:rsidRDefault="00A8429E" w:rsidP="00170ACB">
          <w:pPr>
            <w:pStyle w:val="NoSpacing"/>
            <w:spacing w:before="480" w:line="360" w:lineRule="auto"/>
            <w:jc w:val="center"/>
            <w:rPr>
              <w:rFonts w:ascii="Arial" w:hAnsi="Arial" w:cs="Arial"/>
              <w:color w:val="000000" w:themeColor="text1"/>
            </w:rPr>
          </w:pPr>
        </w:p>
        <w:p w14:paraId="44C7550A" w14:textId="77777777" w:rsidR="00A8429E" w:rsidRPr="00170ACB" w:rsidRDefault="00A8429E" w:rsidP="00170ACB">
          <w:pPr>
            <w:spacing w:line="360" w:lineRule="auto"/>
            <w:rPr>
              <w:rFonts w:ascii="Arial" w:hAnsi="Arial" w:cs="Arial"/>
              <w:color w:val="000000" w:themeColor="text1"/>
              <w:sz w:val="22"/>
              <w:szCs w:val="22"/>
            </w:rPr>
          </w:pPr>
        </w:p>
        <w:p w14:paraId="22DFC763" w14:textId="77777777" w:rsidR="00A8429E" w:rsidRPr="00170ACB" w:rsidRDefault="00A8429E"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br w:type="page"/>
          </w:r>
        </w:p>
        <w:p w14:paraId="1C7FB2EA" w14:textId="77777777" w:rsidR="00BF3042" w:rsidRPr="00170ACB" w:rsidRDefault="00BF3042" w:rsidP="00170ACB">
          <w:pPr>
            <w:pStyle w:val="Heading2"/>
            <w:spacing w:line="360" w:lineRule="auto"/>
            <w:rPr>
              <w:rFonts w:cs="Arial"/>
              <w:szCs w:val="22"/>
            </w:rPr>
          </w:pPr>
          <w:bookmarkStart w:id="0" w:name="_Toc215043349"/>
          <w:r w:rsidRPr="00170ACB">
            <w:rPr>
              <w:rFonts w:cs="Arial"/>
              <w:szCs w:val="22"/>
            </w:rPr>
            <w:lastRenderedPageBreak/>
            <w:t>Disclaimer</w:t>
          </w:r>
          <w:bookmarkEnd w:id="0"/>
        </w:p>
        <w:p w14:paraId="69FF86C2" w14:textId="00017B25" w:rsidR="00BF3042" w:rsidRPr="00170ACB" w:rsidRDefault="00BF3042" w:rsidP="00170ACB">
          <w:pPr>
            <w:spacing w:before="62" w:line="360" w:lineRule="auto"/>
            <w:ind w:right="96"/>
            <w:rPr>
              <w:rFonts w:ascii="Arial" w:hAnsi="Arial" w:cs="Arial"/>
              <w:color w:val="000000" w:themeColor="text1"/>
              <w:sz w:val="22"/>
              <w:szCs w:val="22"/>
            </w:rPr>
          </w:pPr>
          <w:r w:rsidRPr="00170ACB">
            <w:rPr>
              <w:rFonts w:ascii="Arial" w:hAnsi="Arial" w:cs="Arial"/>
              <w:color w:val="000000" w:themeColor="text1"/>
              <w:sz w:val="22"/>
              <w:szCs w:val="22"/>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0AE1B2D2" w14:textId="77777777" w:rsidR="00BF3042" w:rsidRPr="00170ACB" w:rsidRDefault="00BF3042" w:rsidP="00170ACB">
          <w:pPr>
            <w:spacing w:line="360" w:lineRule="auto"/>
            <w:rPr>
              <w:rFonts w:ascii="Arial" w:hAnsi="Arial" w:cs="Arial"/>
              <w:b/>
              <w:color w:val="000000" w:themeColor="text1"/>
              <w:sz w:val="22"/>
              <w:szCs w:val="22"/>
            </w:rPr>
          </w:pPr>
        </w:p>
        <w:p w14:paraId="0F95DCD0" w14:textId="77777777" w:rsidR="00BF3042" w:rsidRPr="00170ACB" w:rsidRDefault="00BF3042" w:rsidP="00170ACB">
          <w:pPr>
            <w:spacing w:line="360" w:lineRule="auto"/>
            <w:rPr>
              <w:rFonts w:ascii="Arial" w:hAnsi="Arial" w:cs="Arial"/>
              <w:b/>
              <w:color w:val="000000" w:themeColor="text1"/>
              <w:sz w:val="22"/>
              <w:szCs w:val="22"/>
            </w:rPr>
          </w:pPr>
          <w:r w:rsidRPr="00170ACB">
            <w:rPr>
              <w:rFonts w:ascii="Arial" w:hAnsi="Arial" w:cs="Arial"/>
              <w:b/>
              <w:color w:val="000000" w:themeColor="text1"/>
              <w:sz w:val="22"/>
              <w:szCs w:val="22"/>
            </w:rPr>
            <w:t>DECLARATION</w:t>
          </w:r>
        </w:p>
        <w:p w14:paraId="0344C5B9" w14:textId="77777777"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t>This work has not previously been accepted in substance for any degree and is not being concurrently submitted in candidature for any degree</w:t>
          </w:r>
        </w:p>
        <w:p w14:paraId="0061F97E" w14:textId="1FE22222"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t>Signed…FAWAZ YASLAM………</w:t>
          </w:r>
        </w:p>
        <w:p w14:paraId="49ACFB7E" w14:textId="0F93E25A"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t>Date…17/11/2025…………………</w:t>
          </w:r>
        </w:p>
        <w:p w14:paraId="0C38DB66" w14:textId="77777777" w:rsidR="00BF3042" w:rsidRPr="00170ACB" w:rsidRDefault="00BF3042" w:rsidP="00170ACB">
          <w:pPr>
            <w:spacing w:line="360" w:lineRule="auto"/>
            <w:rPr>
              <w:rFonts w:ascii="Arial" w:hAnsi="Arial" w:cs="Arial"/>
              <w:bCs/>
              <w:color w:val="000000" w:themeColor="text1"/>
              <w:kern w:val="32"/>
              <w:sz w:val="22"/>
              <w:szCs w:val="22"/>
            </w:rPr>
          </w:pPr>
          <w:r w:rsidRPr="00170ACB">
            <w:rPr>
              <w:rFonts w:ascii="Arial" w:hAnsi="Arial" w:cs="Arial"/>
              <w:b/>
              <w:color w:val="000000" w:themeColor="text1"/>
              <w:sz w:val="22"/>
              <w:szCs w:val="22"/>
            </w:rPr>
            <w:t xml:space="preserve">STATEMENT 1 </w:t>
          </w:r>
        </w:p>
        <w:p w14:paraId="7C459E56" w14:textId="77777777"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t>This dissertation is being submitted in partial fulfilment of the requirements for the degree of BSc.</w:t>
          </w:r>
        </w:p>
        <w:p w14:paraId="0B9E7DA2" w14:textId="77777777"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t>Signed…FAWAZ YASLAM………</w:t>
          </w:r>
        </w:p>
        <w:p w14:paraId="5A466CB1" w14:textId="77777777"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t>Date…17/11/2025…………………</w:t>
          </w:r>
        </w:p>
        <w:p w14:paraId="3578B806" w14:textId="77777777"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b/>
              <w:color w:val="000000" w:themeColor="text1"/>
              <w:sz w:val="22"/>
              <w:szCs w:val="22"/>
            </w:rPr>
            <w:t>STATEMENT 2</w:t>
          </w:r>
        </w:p>
        <w:p w14:paraId="7338843C" w14:textId="77777777"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t>This dissertation is the result of my own independent work/investigation, except where otherwise stated. Other sources are acknowledged by footnotes giving explicit references.  A bibliography is appended.</w:t>
          </w:r>
        </w:p>
        <w:p w14:paraId="5AC4AF05" w14:textId="77777777"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t>Signed…FAWAZ YASLAM………</w:t>
          </w:r>
        </w:p>
        <w:p w14:paraId="467B4229" w14:textId="77777777"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t>Date…17/11/2025…………………</w:t>
          </w:r>
        </w:p>
        <w:p w14:paraId="6E7E25E8" w14:textId="77777777"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b/>
              <w:color w:val="000000" w:themeColor="text1"/>
              <w:sz w:val="22"/>
              <w:szCs w:val="22"/>
            </w:rPr>
            <w:t>STATEMENT 3</w:t>
          </w:r>
        </w:p>
        <w:p w14:paraId="78812825" w14:textId="77777777"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t>I hereby give consent for my dissertation, if accepted, to be available for photocopying and for interlibrary loan, and for the title and summary to be made available to outside organisations.</w:t>
          </w:r>
        </w:p>
        <w:p w14:paraId="01A5F597" w14:textId="77777777"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t>Signed…FAWAZ YASLAM………</w:t>
          </w:r>
        </w:p>
        <w:p w14:paraId="56CB5B66" w14:textId="77777777"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t>Date…17/11/2025…………………</w:t>
          </w:r>
        </w:p>
        <w:p w14:paraId="2AE9ACB1" w14:textId="77777777" w:rsidR="00BF3042" w:rsidRPr="00170ACB" w:rsidRDefault="00BF3042" w:rsidP="00170ACB">
          <w:pPr>
            <w:spacing w:line="360" w:lineRule="auto"/>
            <w:rPr>
              <w:rFonts w:ascii="Arial" w:hAnsi="Arial" w:cs="Arial"/>
              <w:b/>
              <w:color w:val="000000" w:themeColor="text1"/>
              <w:sz w:val="22"/>
              <w:szCs w:val="22"/>
            </w:rPr>
          </w:pPr>
          <w:r w:rsidRPr="00170ACB">
            <w:rPr>
              <w:rFonts w:ascii="Arial" w:hAnsi="Arial" w:cs="Arial"/>
              <w:b/>
              <w:color w:val="000000" w:themeColor="text1"/>
              <w:sz w:val="22"/>
              <w:szCs w:val="22"/>
            </w:rPr>
            <w:t>STATEMENT 4</w:t>
          </w:r>
        </w:p>
        <w:p w14:paraId="6192D758" w14:textId="77777777"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t>I hereby give consent for my dissertation, if accepted, to be available on the university’s IT system to those who have consent to use the system.</w:t>
          </w:r>
        </w:p>
        <w:p w14:paraId="527E4513" w14:textId="77777777"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t>Signed…FAWAZ YASLAM………</w:t>
          </w:r>
        </w:p>
        <w:p w14:paraId="512CDA38" w14:textId="77777777" w:rsidR="00BF3042" w:rsidRPr="00170ACB" w:rsidRDefault="00BF3042" w:rsidP="00170ACB">
          <w:pPr>
            <w:spacing w:line="360" w:lineRule="auto"/>
            <w:rPr>
              <w:rFonts w:ascii="Arial" w:hAnsi="Arial" w:cs="Arial"/>
              <w:color w:val="000000" w:themeColor="text1"/>
              <w:sz w:val="22"/>
              <w:szCs w:val="22"/>
            </w:rPr>
          </w:pPr>
          <w:r w:rsidRPr="00170ACB">
            <w:rPr>
              <w:rFonts w:ascii="Arial" w:hAnsi="Arial" w:cs="Arial"/>
              <w:color w:val="000000" w:themeColor="text1"/>
              <w:sz w:val="22"/>
              <w:szCs w:val="22"/>
            </w:rPr>
            <w:t>Date…17/11/2025…………………</w:t>
          </w:r>
        </w:p>
        <w:p w14:paraId="489F9B53" w14:textId="77777777" w:rsidR="00BF3042" w:rsidRPr="00170ACB" w:rsidRDefault="00BF3042" w:rsidP="00170ACB">
          <w:pPr>
            <w:spacing w:line="360" w:lineRule="auto"/>
            <w:rPr>
              <w:rFonts w:ascii="Arial" w:hAnsi="Arial" w:cs="Arial"/>
              <w:color w:val="000000" w:themeColor="text1"/>
              <w:sz w:val="22"/>
              <w:szCs w:val="22"/>
            </w:rPr>
          </w:pPr>
        </w:p>
        <w:p w14:paraId="3702F5F0" w14:textId="2F47A0DC" w:rsidR="00BF3042" w:rsidRPr="00170ACB" w:rsidRDefault="00BF3042" w:rsidP="00170ACB">
          <w:pPr>
            <w:pStyle w:val="p1"/>
            <w:spacing w:line="360" w:lineRule="auto"/>
            <w:jc w:val="center"/>
            <w:rPr>
              <w:rFonts w:ascii="Arial" w:hAnsi="Arial" w:cs="Arial"/>
              <w:color w:val="000000" w:themeColor="text1"/>
              <w:sz w:val="22"/>
              <w:szCs w:val="22"/>
            </w:rPr>
          </w:pPr>
        </w:p>
        <w:p w14:paraId="69F2EBD7" w14:textId="274E81BB" w:rsidR="00143557" w:rsidRPr="00170ACB" w:rsidRDefault="00143557" w:rsidP="00170ACB">
          <w:pPr>
            <w:pStyle w:val="p1"/>
            <w:spacing w:line="360" w:lineRule="auto"/>
            <w:jc w:val="center"/>
            <w:rPr>
              <w:rFonts w:ascii="Arial" w:hAnsi="Arial" w:cs="Arial"/>
              <w:color w:val="000000" w:themeColor="text1"/>
              <w:sz w:val="22"/>
              <w:szCs w:val="22"/>
            </w:rPr>
          </w:pPr>
        </w:p>
        <w:p w14:paraId="09D3A89F" w14:textId="17F88C65" w:rsidR="00143557" w:rsidRPr="00170ACB" w:rsidRDefault="00143557" w:rsidP="00170ACB">
          <w:pPr>
            <w:pStyle w:val="p1"/>
            <w:spacing w:line="360" w:lineRule="auto"/>
            <w:jc w:val="center"/>
            <w:rPr>
              <w:rFonts w:ascii="Arial" w:hAnsi="Arial" w:cs="Arial"/>
              <w:color w:val="000000" w:themeColor="text1"/>
              <w:sz w:val="22"/>
              <w:szCs w:val="22"/>
            </w:rPr>
          </w:pPr>
        </w:p>
        <w:p w14:paraId="352EADBF" w14:textId="5ACC54EC" w:rsidR="00143557" w:rsidRPr="00170ACB" w:rsidRDefault="00143557" w:rsidP="00170ACB">
          <w:pPr>
            <w:pStyle w:val="p1"/>
            <w:spacing w:line="360" w:lineRule="auto"/>
            <w:jc w:val="center"/>
            <w:rPr>
              <w:rFonts w:ascii="Arial" w:hAnsi="Arial" w:cs="Arial"/>
              <w:color w:val="000000" w:themeColor="text1"/>
              <w:sz w:val="22"/>
              <w:szCs w:val="22"/>
            </w:rPr>
          </w:pPr>
        </w:p>
        <w:p w14:paraId="6BE2C816" w14:textId="7622D279" w:rsidR="00143557" w:rsidRPr="00170ACB" w:rsidRDefault="00143557" w:rsidP="00170ACB">
          <w:pPr>
            <w:pStyle w:val="p1"/>
            <w:spacing w:line="360" w:lineRule="auto"/>
            <w:jc w:val="center"/>
            <w:rPr>
              <w:rFonts w:ascii="Arial" w:hAnsi="Arial" w:cs="Arial"/>
              <w:color w:val="000000" w:themeColor="text1"/>
              <w:sz w:val="22"/>
              <w:szCs w:val="22"/>
            </w:rPr>
          </w:pPr>
        </w:p>
        <w:p w14:paraId="30F16E1C" w14:textId="3919EF48" w:rsidR="00143557" w:rsidRPr="00170ACB" w:rsidRDefault="00143557" w:rsidP="00170ACB">
          <w:pPr>
            <w:pStyle w:val="p1"/>
            <w:spacing w:line="360" w:lineRule="auto"/>
            <w:jc w:val="center"/>
            <w:rPr>
              <w:rFonts w:ascii="Arial" w:hAnsi="Arial" w:cs="Arial"/>
              <w:color w:val="000000" w:themeColor="text1"/>
              <w:sz w:val="22"/>
              <w:szCs w:val="22"/>
            </w:rPr>
          </w:pPr>
        </w:p>
        <w:p w14:paraId="32FD5F18" w14:textId="3D35EF90" w:rsidR="00143557" w:rsidRPr="00170ACB" w:rsidRDefault="00143557" w:rsidP="00170ACB">
          <w:pPr>
            <w:pStyle w:val="p1"/>
            <w:spacing w:line="360" w:lineRule="auto"/>
            <w:jc w:val="center"/>
            <w:rPr>
              <w:rFonts w:ascii="Arial" w:hAnsi="Arial" w:cs="Arial"/>
              <w:color w:val="000000" w:themeColor="text1"/>
              <w:sz w:val="22"/>
              <w:szCs w:val="22"/>
            </w:rPr>
          </w:pPr>
        </w:p>
        <w:p w14:paraId="59344AF7" w14:textId="77777777" w:rsidR="00143557" w:rsidRPr="00170ACB" w:rsidRDefault="00143557" w:rsidP="00170ACB">
          <w:pPr>
            <w:pStyle w:val="p1"/>
            <w:spacing w:line="360" w:lineRule="auto"/>
            <w:jc w:val="center"/>
            <w:rPr>
              <w:rFonts w:ascii="Arial" w:hAnsi="Arial" w:cs="Arial"/>
              <w:color w:val="000000" w:themeColor="text1"/>
              <w:sz w:val="22"/>
              <w:szCs w:val="22"/>
            </w:rPr>
          </w:pPr>
        </w:p>
        <w:p w14:paraId="62E40C2A" w14:textId="77777777" w:rsidR="00BF3042" w:rsidRPr="00170ACB" w:rsidRDefault="00BF3042" w:rsidP="00170ACB">
          <w:pPr>
            <w:pStyle w:val="p1"/>
            <w:spacing w:line="360" w:lineRule="auto"/>
            <w:jc w:val="center"/>
            <w:rPr>
              <w:rFonts w:ascii="Arial" w:hAnsi="Arial" w:cs="Arial"/>
              <w:color w:val="000000" w:themeColor="text1"/>
              <w:sz w:val="22"/>
              <w:szCs w:val="22"/>
            </w:rPr>
          </w:pPr>
        </w:p>
        <w:p w14:paraId="603BD6B5" w14:textId="229E7354" w:rsidR="00BF3042" w:rsidRPr="00170ACB" w:rsidRDefault="00BF3042" w:rsidP="00170ACB">
          <w:pPr>
            <w:pStyle w:val="p1"/>
            <w:spacing w:line="360" w:lineRule="auto"/>
            <w:jc w:val="center"/>
            <w:rPr>
              <w:rFonts w:ascii="Arial" w:hAnsi="Arial" w:cs="Arial"/>
              <w:b/>
              <w:bCs/>
              <w:color w:val="000000" w:themeColor="text1"/>
              <w:sz w:val="32"/>
              <w:szCs w:val="32"/>
            </w:rPr>
          </w:pPr>
          <w:r w:rsidRPr="00170ACB">
            <w:rPr>
              <w:rFonts w:ascii="Arial" w:hAnsi="Arial" w:cs="Arial"/>
              <w:b/>
              <w:bCs/>
              <w:color w:val="000000" w:themeColor="text1"/>
              <w:sz w:val="32"/>
              <w:szCs w:val="32"/>
            </w:rPr>
            <w:t>Substance Misuse in England: Exploring the Link Between Low Income Status and Untreated Mental Health Disorders</w:t>
          </w:r>
        </w:p>
        <w:p w14:paraId="33BB2EBD" w14:textId="2EFCDE9B" w:rsidR="00BF3042" w:rsidRPr="00170ACB" w:rsidRDefault="00BF3042" w:rsidP="00170ACB">
          <w:pPr>
            <w:pStyle w:val="p1"/>
            <w:spacing w:line="360" w:lineRule="auto"/>
            <w:jc w:val="center"/>
            <w:rPr>
              <w:rFonts w:ascii="Arial" w:hAnsi="Arial" w:cs="Arial"/>
              <w:color w:val="000000" w:themeColor="text1"/>
              <w:sz w:val="22"/>
              <w:szCs w:val="22"/>
            </w:rPr>
          </w:pPr>
        </w:p>
        <w:p w14:paraId="35F4A0E6" w14:textId="462CD5E6" w:rsidR="00BF3042" w:rsidRPr="00170ACB" w:rsidRDefault="00BF3042" w:rsidP="00170ACB">
          <w:pPr>
            <w:pStyle w:val="p1"/>
            <w:spacing w:line="360" w:lineRule="auto"/>
            <w:jc w:val="center"/>
            <w:rPr>
              <w:rFonts w:ascii="Arial" w:hAnsi="Arial" w:cs="Arial"/>
              <w:color w:val="000000" w:themeColor="text1"/>
              <w:sz w:val="22"/>
              <w:szCs w:val="22"/>
            </w:rPr>
          </w:pPr>
        </w:p>
        <w:p w14:paraId="4116AF2C" w14:textId="1E4B03ED" w:rsidR="00143557" w:rsidRPr="00170ACB" w:rsidRDefault="00143557" w:rsidP="00170ACB">
          <w:pPr>
            <w:pStyle w:val="p1"/>
            <w:spacing w:line="360" w:lineRule="auto"/>
            <w:jc w:val="center"/>
            <w:rPr>
              <w:rFonts w:ascii="Arial" w:hAnsi="Arial" w:cs="Arial"/>
              <w:color w:val="000000" w:themeColor="text1"/>
              <w:sz w:val="22"/>
              <w:szCs w:val="22"/>
            </w:rPr>
          </w:pPr>
        </w:p>
        <w:p w14:paraId="3EE265E0" w14:textId="77777777" w:rsidR="00143557" w:rsidRPr="00170ACB" w:rsidRDefault="00143557" w:rsidP="00170ACB">
          <w:pPr>
            <w:pStyle w:val="p1"/>
            <w:spacing w:line="360" w:lineRule="auto"/>
            <w:jc w:val="center"/>
            <w:rPr>
              <w:rFonts w:ascii="Arial" w:hAnsi="Arial" w:cs="Arial"/>
              <w:color w:val="000000" w:themeColor="text1"/>
              <w:sz w:val="22"/>
              <w:szCs w:val="22"/>
            </w:rPr>
          </w:pPr>
        </w:p>
        <w:p w14:paraId="1E6C4AB3" w14:textId="77777777" w:rsidR="00BF3042" w:rsidRPr="00170ACB" w:rsidRDefault="00BF3042" w:rsidP="00170A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color w:val="000000" w:themeColor="text1"/>
              <w:sz w:val="22"/>
              <w:szCs w:val="22"/>
            </w:rPr>
          </w:pPr>
        </w:p>
        <w:p w14:paraId="6623FF33" w14:textId="520A0E5E" w:rsidR="00BF3042" w:rsidRPr="00170ACB" w:rsidRDefault="00BF3042" w:rsidP="00170A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
              <w:color w:val="000000" w:themeColor="text1"/>
              <w:sz w:val="22"/>
              <w:szCs w:val="22"/>
            </w:rPr>
          </w:pPr>
          <w:r w:rsidRPr="00170ACB">
            <w:rPr>
              <w:rFonts w:ascii="Arial" w:eastAsia="Arial Unicode MS" w:hAnsi="Arial" w:cs="Arial"/>
              <w:b/>
              <w:color w:val="000000" w:themeColor="text1"/>
              <w:sz w:val="22"/>
              <w:szCs w:val="22"/>
            </w:rPr>
            <w:t>FAWAZ ABDALA YASLAM – 2113070</w:t>
          </w:r>
        </w:p>
        <w:p w14:paraId="3F6AE1A5" w14:textId="77777777" w:rsidR="00BF3042" w:rsidRPr="00170ACB" w:rsidRDefault="00BF3042" w:rsidP="00170A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
              <w:i/>
              <w:color w:val="000000" w:themeColor="text1"/>
              <w:sz w:val="22"/>
              <w:szCs w:val="22"/>
            </w:rPr>
          </w:pPr>
        </w:p>
        <w:p w14:paraId="5915FC68" w14:textId="3B810822" w:rsidR="008515C6" w:rsidRPr="00170ACB" w:rsidRDefault="008515C6" w:rsidP="00170A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color w:val="000000" w:themeColor="text1"/>
              <w:sz w:val="22"/>
              <w:szCs w:val="22"/>
            </w:rPr>
          </w:pPr>
        </w:p>
        <w:p w14:paraId="6021DED6" w14:textId="0E6E9375" w:rsidR="008515C6" w:rsidRPr="00170ACB" w:rsidRDefault="008515C6" w:rsidP="00170A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color w:val="000000" w:themeColor="text1"/>
              <w:sz w:val="22"/>
              <w:szCs w:val="22"/>
            </w:rPr>
          </w:pPr>
        </w:p>
        <w:p w14:paraId="431BAF91" w14:textId="77777777" w:rsidR="008515C6" w:rsidRPr="00170ACB" w:rsidRDefault="008515C6" w:rsidP="00170A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color w:val="000000" w:themeColor="text1"/>
              <w:sz w:val="22"/>
              <w:szCs w:val="22"/>
            </w:rPr>
          </w:pPr>
        </w:p>
        <w:p w14:paraId="51E37011" w14:textId="77777777" w:rsidR="00BF3042" w:rsidRPr="00170ACB" w:rsidRDefault="00BF3042" w:rsidP="00170A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color w:val="000000" w:themeColor="text1"/>
              <w:sz w:val="22"/>
              <w:szCs w:val="22"/>
            </w:rPr>
          </w:pPr>
        </w:p>
        <w:p w14:paraId="1D4F1831" w14:textId="77777777" w:rsidR="00BF3042" w:rsidRPr="00170ACB" w:rsidRDefault="00BF3042" w:rsidP="00170AC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
              <w:bCs/>
              <w:color w:val="000000" w:themeColor="text1"/>
              <w:sz w:val="22"/>
              <w:szCs w:val="22"/>
            </w:rPr>
          </w:pPr>
          <w:r w:rsidRPr="00170ACB">
            <w:rPr>
              <w:rFonts w:ascii="Arial" w:eastAsia="Arial Unicode MS" w:hAnsi="Arial" w:cs="Arial"/>
              <w:b/>
              <w:bCs/>
              <w:color w:val="000000" w:themeColor="text1"/>
              <w:sz w:val="22"/>
              <w:szCs w:val="22"/>
            </w:rPr>
            <w:t>Dissertation submitted as part of the requirements for the award BSc (Hons) Health and Social Care</w:t>
          </w:r>
        </w:p>
        <w:p w14:paraId="7E5FC55F" w14:textId="77777777" w:rsidR="00BF3042" w:rsidRPr="00170ACB" w:rsidRDefault="00BF3042" w:rsidP="00170ACB">
          <w:pPr>
            <w:spacing w:line="360" w:lineRule="auto"/>
            <w:rPr>
              <w:rFonts w:ascii="Arial" w:hAnsi="Arial" w:cs="Arial"/>
              <w:color w:val="000000" w:themeColor="text1"/>
              <w:sz w:val="22"/>
              <w:szCs w:val="22"/>
            </w:rPr>
          </w:pPr>
        </w:p>
        <w:p w14:paraId="1B38230B" w14:textId="3366A16D" w:rsidR="00A8429E" w:rsidRPr="00170ACB" w:rsidRDefault="00A8429E" w:rsidP="00170ACB">
          <w:pPr>
            <w:spacing w:line="360" w:lineRule="auto"/>
            <w:rPr>
              <w:rFonts w:ascii="Arial" w:hAnsi="Arial" w:cs="Arial"/>
              <w:color w:val="000000" w:themeColor="text1"/>
              <w:sz w:val="22"/>
              <w:szCs w:val="22"/>
            </w:rPr>
          </w:pPr>
        </w:p>
        <w:p w14:paraId="034B9091" w14:textId="04F5C679" w:rsidR="00BF3042" w:rsidRPr="00170ACB" w:rsidRDefault="00BF3042" w:rsidP="00170ACB">
          <w:pPr>
            <w:spacing w:line="360" w:lineRule="auto"/>
            <w:rPr>
              <w:rFonts w:ascii="Arial" w:hAnsi="Arial" w:cs="Arial"/>
              <w:color w:val="000000" w:themeColor="text1"/>
              <w:sz w:val="22"/>
              <w:szCs w:val="22"/>
            </w:rPr>
          </w:pPr>
        </w:p>
        <w:p w14:paraId="63CBC17C" w14:textId="1ACAA55B" w:rsidR="00BF3042" w:rsidRPr="00170ACB" w:rsidRDefault="00BF3042" w:rsidP="00170ACB">
          <w:pPr>
            <w:spacing w:line="360" w:lineRule="auto"/>
            <w:rPr>
              <w:rFonts w:ascii="Arial" w:hAnsi="Arial" w:cs="Arial"/>
              <w:color w:val="000000" w:themeColor="text1"/>
              <w:sz w:val="22"/>
              <w:szCs w:val="22"/>
            </w:rPr>
          </w:pPr>
        </w:p>
        <w:p w14:paraId="6B364D27" w14:textId="1D3ABABF" w:rsidR="00BF3042" w:rsidRPr="00170ACB" w:rsidRDefault="00BF3042" w:rsidP="00170ACB">
          <w:pPr>
            <w:spacing w:line="360" w:lineRule="auto"/>
            <w:rPr>
              <w:rFonts w:ascii="Arial" w:hAnsi="Arial" w:cs="Arial"/>
              <w:color w:val="000000" w:themeColor="text1"/>
              <w:sz w:val="22"/>
              <w:szCs w:val="22"/>
            </w:rPr>
          </w:pPr>
        </w:p>
        <w:p w14:paraId="711AE250" w14:textId="2F69085B" w:rsidR="00BF3042" w:rsidRPr="00170ACB" w:rsidRDefault="00BF3042" w:rsidP="00170ACB">
          <w:pPr>
            <w:spacing w:line="360" w:lineRule="auto"/>
            <w:rPr>
              <w:rFonts w:ascii="Arial" w:hAnsi="Arial" w:cs="Arial"/>
              <w:color w:val="000000" w:themeColor="text1"/>
              <w:sz w:val="22"/>
              <w:szCs w:val="22"/>
            </w:rPr>
          </w:pPr>
        </w:p>
        <w:p w14:paraId="6B72571C" w14:textId="1C84B506" w:rsidR="00BF3042" w:rsidRPr="00170ACB" w:rsidRDefault="00BF3042" w:rsidP="00170ACB">
          <w:pPr>
            <w:spacing w:line="360" w:lineRule="auto"/>
            <w:rPr>
              <w:rFonts w:ascii="Arial" w:hAnsi="Arial" w:cs="Arial"/>
              <w:color w:val="000000" w:themeColor="text1"/>
              <w:sz w:val="22"/>
              <w:szCs w:val="22"/>
            </w:rPr>
          </w:pPr>
        </w:p>
        <w:p w14:paraId="2A2177BB" w14:textId="60FAFE86" w:rsidR="00BF3042" w:rsidRPr="00170ACB" w:rsidRDefault="00BF3042" w:rsidP="00170ACB">
          <w:pPr>
            <w:spacing w:line="360" w:lineRule="auto"/>
            <w:rPr>
              <w:rFonts w:ascii="Arial" w:hAnsi="Arial" w:cs="Arial"/>
              <w:color w:val="000000" w:themeColor="text1"/>
              <w:sz w:val="22"/>
              <w:szCs w:val="22"/>
            </w:rPr>
          </w:pPr>
        </w:p>
        <w:p w14:paraId="1803405C" w14:textId="4FC8CF8E" w:rsidR="00BF3042" w:rsidRPr="00170ACB" w:rsidRDefault="00BF3042" w:rsidP="00170ACB">
          <w:pPr>
            <w:spacing w:line="360" w:lineRule="auto"/>
            <w:rPr>
              <w:rFonts w:ascii="Arial" w:hAnsi="Arial" w:cs="Arial"/>
              <w:color w:val="000000" w:themeColor="text1"/>
              <w:sz w:val="22"/>
              <w:szCs w:val="22"/>
            </w:rPr>
          </w:pPr>
        </w:p>
        <w:p w14:paraId="3477035C" w14:textId="025F5D39" w:rsidR="00BF3042" w:rsidRPr="00170ACB" w:rsidRDefault="00BF3042" w:rsidP="00170ACB">
          <w:pPr>
            <w:spacing w:line="360" w:lineRule="auto"/>
            <w:rPr>
              <w:rFonts w:ascii="Arial" w:hAnsi="Arial" w:cs="Arial"/>
              <w:color w:val="000000" w:themeColor="text1"/>
              <w:sz w:val="22"/>
              <w:szCs w:val="22"/>
            </w:rPr>
          </w:pPr>
        </w:p>
        <w:p w14:paraId="1F8804DD" w14:textId="402F4BC2" w:rsidR="00BF3042" w:rsidRPr="00170ACB" w:rsidRDefault="00BF3042" w:rsidP="00170ACB">
          <w:pPr>
            <w:spacing w:line="360" w:lineRule="auto"/>
            <w:rPr>
              <w:rFonts w:ascii="Arial" w:hAnsi="Arial" w:cs="Arial"/>
              <w:color w:val="000000" w:themeColor="text1"/>
              <w:sz w:val="22"/>
              <w:szCs w:val="22"/>
            </w:rPr>
          </w:pPr>
        </w:p>
        <w:p w14:paraId="717A282A" w14:textId="7663D987" w:rsidR="00BF3042" w:rsidRPr="00170ACB" w:rsidRDefault="00BF3042" w:rsidP="00170ACB">
          <w:pPr>
            <w:spacing w:line="360" w:lineRule="auto"/>
            <w:rPr>
              <w:rFonts w:ascii="Arial" w:hAnsi="Arial" w:cs="Arial"/>
              <w:color w:val="000000" w:themeColor="text1"/>
              <w:sz w:val="22"/>
              <w:szCs w:val="22"/>
            </w:rPr>
          </w:pPr>
        </w:p>
        <w:p w14:paraId="6F9CFD10" w14:textId="74A533BD" w:rsidR="00BF3042" w:rsidRPr="00170ACB" w:rsidRDefault="00BF3042" w:rsidP="00170ACB">
          <w:pPr>
            <w:spacing w:line="360" w:lineRule="auto"/>
            <w:rPr>
              <w:rFonts w:ascii="Arial" w:hAnsi="Arial" w:cs="Arial"/>
              <w:color w:val="000000" w:themeColor="text1"/>
              <w:sz w:val="22"/>
              <w:szCs w:val="22"/>
            </w:rPr>
          </w:pPr>
        </w:p>
        <w:p w14:paraId="00BECD47" w14:textId="32D5DAC3" w:rsidR="00BF3042" w:rsidRPr="00170ACB" w:rsidRDefault="00BF3042" w:rsidP="00170ACB">
          <w:pPr>
            <w:spacing w:line="360" w:lineRule="auto"/>
            <w:rPr>
              <w:rFonts w:ascii="Arial" w:hAnsi="Arial" w:cs="Arial"/>
              <w:color w:val="000000" w:themeColor="text1"/>
              <w:sz w:val="22"/>
              <w:szCs w:val="22"/>
            </w:rPr>
          </w:pPr>
        </w:p>
        <w:p w14:paraId="513626A2" w14:textId="2574F83F" w:rsidR="00BF3042" w:rsidRPr="00170ACB" w:rsidRDefault="00BF3042" w:rsidP="00170ACB">
          <w:pPr>
            <w:spacing w:line="360" w:lineRule="auto"/>
            <w:rPr>
              <w:rFonts w:ascii="Arial" w:hAnsi="Arial" w:cs="Arial"/>
              <w:color w:val="000000" w:themeColor="text1"/>
              <w:sz w:val="22"/>
              <w:szCs w:val="22"/>
            </w:rPr>
          </w:pPr>
        </w:p>
        <w:p w14:paraId="706BCC86" w14:textId="77777777" w:rsidR="005A439E" w:rsidRPr="00170ACB" w:rsidRDefault="005A439E" w:rsidP="00170ACB">
          <w:pPr>
            <w:spacing w:line="360" w:lineRule="auto"/>
            <w:rPr>
              <w:rFonts w:ascii="Arial" w:hAnsi="Arial" w:cs="Arial"/>
              <w:color w:val="000000" w:themeColor="text1"/>
              <w:sz w:val="22"/>
              <w:szCs w:val="22"/>
            </w:rPr>
          </w:pPr>
        </w:p>
        <w:p w14:paraId="3690479F" w14:textId="58DBCA8A" w:rsidR="00BF3042" w:rsidRPr="00170ACB" w:rsidRDefault="00BF3042" w:rsidP="00170ACB">
          <w:pPr>
            <w:pStyle w:val="Heading2"/>
            <w:spacing w:line="360" w:lineRule="auto"/>
            <w:rPr>
              <w:rFonts w:eastAsia="Arial Unicode MS" w:cs="Arial"/>
              <w:szCs w:val="22"/>
            </w:rPr>
          </w:pPr>
          <w:bookmarkStart w:id="1" w:name="_Toc215043350"/>
          <w:r w:rsidRPr="00170ACB">
            <w:rPr>
              <w:rFonts w:eastAsia="Arial Unicode MS" w:cs="Arial"/>
              <w:szCs w:val="22"/>
            </w:rPr>
            <w:t>ACKNOWLEDGEMENTS</w:t>
          </w:r>
          <w:bookmarkEnd w:id="1"/>
          <w:r w:rsidRPr="00170ACB">
            <w:rPr>
              <w:rFonts w:eastAsia="Arial Unicode MS" w:cs="Arial"/>
              <w:szCs w:val="22"/>
            </w:rPr>
            <w:t xml:space="preserve"> </w:t>
          </w:r>
        </w:p>
        <w:p w14:paraId="6EA40A64" w14:textId="77777777" w:rsidR="00143557" w:rsidRPr="00170ACB" w:rsidRDefault="00143557" w:rsidP="00170ACB">
          <w:pPr>
            <w:spacing w:before="100" w:beforeAutospacing="1" w:after="100" w:afterAutospacing="1" w:line="360" w:lineRule="auto"/>
            <w:rPr>
              <w:rFonts w:ascii="Arial" w:hAnsi="Arial" w:cs="Arial"/>
              <w:color w:val="000000"/>
              <w:sz w:val="22"/>
              <w:szCs w:val="22"/>
            </w:rPr>
          </w:pPr>
          <w:r w:rsidRPr="00170ACB">
            <w:rPr>
              <w:rFonts w:ascii="Arial" w:hAnsi="Arial" w:cs="Arial"/>
              <w:color w:val="000000"/>
              <w:sz w:val="22"/>
              <w:szCs w:val="22"/>
            </w:rPr>
            <w:t>I want to take a moment to sincerely thank everyone who has been part of this journey with me. First and foremost, to my supervisor: thank you for your guidance, patience, and encouragement. Your thoughtful feedback and support helped me navigate the challenges of this research, and your belief in my abilities kept me going even when I doubted myself. I truly could not have done this without you.</w:t>
          </w:r>
        </w:p>
        <w:p w14:paraId="262FA0EE" w14:textId="77777777" w:rsidR="00143557" w:rsidRPr="00170ACB" w:rsidRDefault="00143557" w:rsidP="00170ACB">
          <w:pPr>
            <w:spacing w:before="100" w:beforeAutospacing="1" w:after="100" w:afterAutospacing="1" w:line="360" w:lineRule="auto"/>
            <w:rPr>
              <w:rFonts w:ascii="Arial" w:hAnsi="Arial" w:cs="Arial"/>
              <w:color w:val="000000"/>
              <w:sz w:val="22"/>
              <w:szCs w:val="22"/>
            </w:rPr>
          </w:pPr>
          <w:r w:rsidRPr="00170ACB">
            <w:rPr>
              <w:rFonts w:ascii="Arial" w:hAnsi="Arial" w:cs="Arial"/>
              <w:color w:val="000000"/>
              <w:sz w:val="22"/>
              <w:szCs w:val="22"/>
            </w:rPr>
            <w:t>To my classmates and friends, thank you for sharing this journey with me. Our conversations, laughter, and collaborative efforts not only enriched this work but also made the experience far more meaningful and enjoyable. Your ideas, insights, and encouragement reminded me that I was never working in isolation.</w:t>
          </w:r>
        </w:p>
        <w:p w14:paraId="0C3D9505" w14:textId="77777777" w:rsidR="00143557" w:rsidRPr="00170ACB" w:rsidRDefault="00143557" w:rsidP="00170ACB">
          <w:pPr>
            <w:spacing w:before="100" w:beforeAutospacing="1" w:after="100" w:afterAutospacing="1" w:line="360" w:lineRule="auto"/>
            <w:rPr>
              <w:rFonts w:ascii="Arial" w:hAnsi="Arial" w:cs="Arial"/>
              <w:color w:val="000000"/>
              <w:sz w:val="22"/>
              <w:szCs w:val="22"/>
            </w:rPr>
          </w:pPr>
          <w:r w:rsidRPr="00170ACB">
            <w:rPr>
              <w:rFonts w:ascii="Arial" w:hAnsi="Arial" w:cs="Arial"/>
              <w:color w:val="000000"/>
              <w:sz w:val="22"/>
              <w:szCs w:val="22"/>
            </w:rPr>
            <w:t>Finally, to everyone who has offered advice, support, or simply a listening ear along the way: your presence has made all the difference. This dissertation is as much yours as it is mine. I am deeply grateful for the people who walked alongside me, and I will carry that gratitude with me well beyond this project.</w:t>
          </w:r>
        </w:p>
        <w:p w14:paraId="5469C374" w14:textId="4CDD17CA" w:rsidR="00BF3042" w:rsidRPr="00170ACB" w:rsidRDefault="00A8429E" w:rsidP="00170A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color w:val="000000" w:themeColor="text1"/>
              <w:sz w:val="22"/>
              <w:szCs w:val="22"/>
            </w:rPr>
          </w:pPr>
          <w:r w:rsidRPr="00170ACB">
            <w:rPr>
              <w:rFonts w:ascii="Arial" w:hAnsi="Arial" w:cs="Arial"/>
              <w:color w:val="000000" w:themeColor="text1"/>
              <w:sz w:val="22"/>
              <w:szCs w:val="22"/>
            </w:rPr>
            <w:br w:type="page"/>
          </w:r>
        </w:p>
        <w:p w14:paraId="1CD3805C" w14:textId="77777777" w:rsidR="00BF3042" w:rsidRPr="00170ACB" w:rsidRDefault="00BF3042" w:rsidP="00170ACB">
          <w:pPr>
            <w:pStyle w:val="Heading1"/>
            <w:spacing w:line="360" w:lineRule="auto"/>
            <w:rPr>
              <w:rFonts w:cs="Arial"/>
              <w:color w:val="000000" w:themeColor="text1"/>
              <w:szCs w:val="22"/>
            </w:rPr>
          </w:pPr>
          <w:bookmarkStart w:id="2" w:name="_Toc215043351"/>
          <w:r w:rsidRPr="00170ACB">
            <w:rPr>
              <w:rStyle w:val="Strong"/>
              <w:rFonts w:cs="Arial"/>
              <w:b/>
              <w:bCs/>
              <w:color w:val="000000" w:themeColor="text1"/>
              <w:szCs w:val="22"/>
            </w:rPr>
            <w:lastRenderedPageBreak/>
            <w:t>Abstract</w:t>
          </w:r>
          <w:bookmarkEnd w:id="2"/>
          <w:r w:rsidRPr="00170ACB">
            <w:rPr>
              <w:rStyle w:val="Strong"/>
              <w:rFonts w:cs="Arial"/>
              <w:b/>
              <w:bCs/>
              <w:color w:val="000000" w:themeColor="text1"/>
              <w:szCs w:val="22"/>
            </w:rPr>
            <w:t xml:space="preserve"> </w:t>
          </w:r>
        </w:p>
        <w:p w14:paraId="66EE8F8E" w14:textId="77777777" w:rsidR="00143557" w:rsidRPr="00170ACB" w:rsidRDefault="00143557" w:rsidP="00170ACB">
          <w:pPr>
            <w:spacing w:before="100" w:beforeAutospacing="1" w:after="100" w:afterAutospacing="1" w:line="360" w:lineRule="auto"/>
            <w:rPr>
              <w:rFonts w:ascii="Arial" w:hAnsi="Arial" w:cs="Arial"/>
              <w:color w:val="000000"/>
              <w:sz w:val="22"/>
              <w:szCs w:val="22"/>
            </w:rPr>
          </w:pPr>
          <w:r w:rsidRPr="00170ACB">
            <w:rPr>
              <w:rFonts w:ascii="Arial" w:hAnsi="Arial" w:cs="Arial"/>
              <w:color w:val="000000"/>
              <w:sz w:val="22"/>
              <w:szCs w:val="22"/>
            </w:rPr>
            <w:t xml:space="preserve">This dissertation examines the complex relationship between low-income status, substance misuse, and untreated mental health disorders in England. People from </w:t>
          </w:r>
          <w:proofErr w:type="gramStart"/>
          <w:r w:rsidRPr="00170ACB">
            <w:rPr>
              <w:rFonts w:ascii="Arial" w:hAnsi="Arial" w:cs="Arial"/>
              <w:color w:val="000000"/>
              <w:sz w:val="22"/>
              <w:szCs w:val="22"/>
            </w:rPr>
            <w:t>economically disadvantaged</w:t>
          </w:r>
          <w:proofErr w:type="gramEnd"/>
          <w:r w:rsidRPr="00170ACB">
            <w:rPr>
              <w:rFonts w:ascii="Arial" w:hAnsi="Arial" w:cs="Arial"/>
              <w:color w:val="000000"/>
              <w:sz w:val="22"/>
              <w:szCs w:val="22"/>
            </w:rPr>
            <w:t xml:space="preserve"> backgrounds often face higher rates of substance misuse, which is frequently compounded by conditions such as anxiety, depression, and trauma. These overlapping challenges contribute to persistent cycles of social and health inequality.</w:t>
          </w:r>
        </w:p>
        <w:p w14:paraId="69062D4D" w14:textId="77777777" w:rsidR="00143557" w:rsidRPr="00170ACB" w:rsidRDefault="00143557" w:rsidP="00170ACB">
          <w:pPr>
            <w:spacing w:before="100" w:beforeAutospacing="1" w:after="100" w:afterAutospacing="1" w:line="360" w:lineRule="auto"/>
            <w:rPr>
              <w:rFonts w:ascii="Arial" w:hAnsi="Arial" w:cs="Arial"/>
              <w:color w:val="000000"/>
              <w:sz w:val="22"/>
              <w:szCs w:val="22"/>
            </w:rPr>
          </w:pPr>
          <w:r w:rsidRPr="00170ACB">
            <w:rPr>
              <w:rFonts w:ascii="Arial" w:hAnsi="Arial" w:cs="Arial"/>
              <w:color w:val="000000"/>
              <w:sz w:val="22"/>
              <w:szCs w:val="22"/>
            </w:rPr>
            <w:t>The study uses a systematic review and thematic analysis of academic literature, national datasets, and grey reports to explore how socioeconomic disadvantage and limited access to healthcare influence patterns of substance misuse. Data are drawn from sources including PubMed, Scopus, Web of Science, as well as publications from NHS Digital, Public Health England, and the Office for National Statistics.</w:t>
          </w:r>
        </w:p>
        <w:p w14:paraId="2D04C056" w14:textId="77777777" w:rsidR="00143557" w:rsidRPr="00170ACB" w:rsidRDefault="00143557" w:rsidP="00170ACB">
          <w:pPr>
            <w:spacing w:before="100" w:beforeAutospacing="1" w:after="100" w:afterAutospacing="1" w:line="360" w:lineRule="auto"/>
            <w:rPr>
              <w:rFonts w:ascii="Arial" w:hAnsi="Arial" w:cs="Arial"/>
              <w:color w:val="000000"/>
              <w:sz w:val="22"/>
              <w:szCs w:val="22"/>
            </w:rPr>
          </w:pPr>
          <w:r w:rsidRPr="00170ACB">
            <w:rPr>
              <w:rFonts w:ascii="Arial" w:hAnsi="Arial" w:cs="Arial"/>
              <w:color w:val="000000"/>
              <w:sz w:val="22"/>
              <w:szCs w:val="22"/>
            </w:rPr>
            <w:t>Through thematic analysis following Braun and Clarke’s (2006) framework, the research identifies recurring patterns related to socioeconomic disadvantage, mental health, and barriers to treatment. The findings are expected to show how economic hardship and untreated mental illness intersect to increase the risk of substance misuse, while also highlighting gaps in treatment accessibility. This study aims to inform public health strategies and policy interventions, contributing to more equitable outcomes in mental health and substance misuse for low-income populations in England.</w:t>
          </w:r>
        </w:p>
        <w:p w14:paraId="3CEBB068" w14:textId="77777777" w:rsidR="00BF3042" w:rsidRPr="00170ACB" w:rsidRDefault="00BF3042" w:rsidP="00170ACB">
          <w:pPr>
            <w:spacing w:line="360" w:lineRule="auto"/>
            <w:rPr>
              <w:rFonts w:ascii="Arial" w:hAnsi="Arial" w:cs="Arial"/>
              <w:color w:val="000000" w:themeColor="text1"/>
              <w:sz w:val="22"/>
              <w:szCs w:val="22"/>
            </w:rPr>
          </w:pPr>
        </w:p>
        <w:p w14:paraId="38DB5DAC" w14:textId="77777777" w:rsidR="00BF3042" w:rsidRPr="00170ACB" w:rsidRDefault="00BF3042" w:rsidP="00170ACB">
          <w:pPr>
            <w:spacing w:line="360" w:lineRule="auto"/>
            <w:rPr>
              <w:rFonts w:ascii="Arial" w:hAnsi="Arial" w:cs="Arial"/>
              <w:b/>
              <w:bCs/>
              <w:color w:val="000000" w:themeColor="text1"/>
              <w:sz w:val="22"/>
              <w:szCs w:val="22"/>
            </w:rPr>
          </w:pPr>
        </w:p>
        <w:p w14:paraId="52A56BCC" w14:textId="77777777" w:rsidR="00BF3042" w:rsidRPr="00170ACB" w:rsidRDefault="00BF3042" w:rsidP="00170ACB">
          <w:pPr>
            <w:spacing w:line="360" w:lineRule="auto"/>
            <w:rPr>
              <w:rFonts w:ascii="Arial" w:hAnsi="Arial" w:cs="Arial"/>
              <w:b/>
              <w:bCs/>
              <w:color w:val="000000" w:themeColor="text1"/>
              <w:sz w:val="22"/>
              <w:szCs w:val="22"/>
            </w:rPr>
          </w:pPr>
        </w:p>
        <w:p w14:paraId="2F25428F" w14:textId="77777777" w:rsidR="00BF3042" w:rsidRPr="00170ACB" w:rsidRDefault="00BF3042" w:rsidP="00170ACB">
          <w:pPr>
            <w:spacing w:line="360" w:lineRule="auto"/>
            <w:rPr>
              <w:rFonts w:ascii="Arial" w:hAnsi="Arial" w:cs="Arial"/>
              <w:b/>
              <w:bCs/>
              <w:color w:val="000000" w:themeColor="text1"/>
              <w:sz w:val="22"/>
              <w:szCs w:val="22"/>
            </w:rPr>
          </w:pPr>
        </w:p>
        <w:p w14:paraId="43772C6F" w14:textId="77777777" w:rsidR="00BF3042" w:rsidRPr="00170ACB" w:rsidRDefault="00BF3042" w:rsidP="00170ACB">
          <w:pPr>
            <w:spacing w:line="360" w:lineRule="auto"/>
            <w:rPr>
              <w:rFonts w:ascii="Arial" w:hAnsi="Arial" w:cs="Arial"/>
              <w:b/>
              <w:bCs/>
              <w:color w:val="000000" w:themeColor="text1"/>
              <w:sz w:val="22"/>
              <w:szCs w:val="22"/>
            </w:rPr>
          </w:pPr>
        </w:p>
        <w:p w14:paraId="4AB77B71" w14:textId="7C077D48" w:rsidR="00BF3042" w:rsidRPr="00170ACB" w:rsidRDefault="00BF3042" w:rsidP="00170A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color w:val="000000" w:themeColor="text1"/>
              <w:sz w:val="22"/>
              <w:szCs w:val="22"/>
            </w:rPr>
          </w:pPr>
        </w:p>
        <w:p w14:paraId="465E2E30" w14:textId="261ECB2B" w:rsidR="00BF3042" w:rsidRPr="00170ACB" w:rsidRDefault="00BF3042" w:rsidP="00170A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color w:val="000000" w:themeColor="text1"/>
              <w:sz w:val="22"/>
              <w:szCs w:val="22"/>
            </w:rPr>
          </w:pPr>
        </w:p>
        <w:p w14:paraId="06650166" w14:textId="6BF3522F" w:rsidR="00BF3042" w:rsidRPr="00170ACB" w:rsidRDefault="00BF3042" w:rsidP="00170A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color w:val="000000" w:themeColor="text1"/>
              <w:sz w:val="22"/>
              <w:szCs w:val="22"/>
            </w:rPr>
          </w:pPr>
        </w:p>
        <w:p w14:paraId="70A4D4C0" w14:textId="7E82B75E" w:rsidR="00BF3042" w:rsidRPr="00170ACB" w:rsidRDefault="00BF3042" w:rsidP="00170A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color w:val="000000" w:themeColor="text1"/>
              <w:sz w:val="22"/>
              <w:szCs w:val="22"/>
            </w:rPr>
          </w:pPr>
        </w:p>
        <w:p w14:paraId="77C18775" w14:textId="56768C83" w:rsidR="00BF3042" w:rsidRPr="00170ACB" w:rsidRDefault="00BF3042" w:rsidP="00170A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color w:val="000000" w:themeColor="text1"/>
              <w:sz w:val="22"/>
              <w:szCs w:val="22"/>
            </w:rPr>
          </w:pPr>
        </w:p>
        <w:p w14:paraId="1CF964EB" w14:textId="26A1515B" w:rsidR="00BF3042" w:rsidRPr="00170ACB" w:rsidRDefault="00BF3042" w:rsidP="00170A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color w:val="000000" w:themeColor="text1"/>
              <w:sz w:val="22"/>
              <w:szCs w:val="22"/>
            </w:rPr>
          </w:pPr>
        </w:p>
        <w:p w14:paraId="15BADC90" w14:textId="3CAC453F" w:rsidR="00BF3042" w:rsidRPr="00170ACB" w:rsidRDefault="00BF3042" w:rsidP="00170A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color w:val="000000" w:themeColor="text1"/>
              <w:sz w:val="22"/>
              <w:szCs w:val="22"/>
            </w:rPr>
          </w:pPr>
        </w:p>
        <w:p w14:paraId="36DCE2A3" w14:textId="77777777" w:rsidR="00F31AEC" w:rsidRPr="00170ACB" w:rsidRDefault="00F31AEC" w:rsidP="00170A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cs="Arial"/>
              <w:color w:val="000000" w:themeColor="text1"/>
              <w:sz w:val="22"/>
              <w:szCs w:val="22"/>
            </w:rPr>
          </w:pPr>
        </w:p>
        <w:sdt>
          <w:sdtPr>
            <w:rPr>
              <w:rFonts w:ascii="Arial" w:eastAsia="Times New Roman" w:hAnsi="Arial" w:cs="Arial"/>
              <w:b w:val="0"/>
              <w:bCs w:val="0"/>
              <w:color w:val="auto"/>
              <w:sz w:val="22"/>
              <w:szCs w:val="22"/>
              <w:lang w:val="en-GB" w:eastAsia="en-GB"/>
            </w:rPr>
            <w:id w:val="435883659"/>
            <w:docPartObj>
              <w:docPartGallery w:val="Table of Contents"/>
              <w:docPartUnique/>
            </w:docPartObj>
          </w:sdtPr>
          <w:sdtEndPr>
            <w:rPr>
              <w:noProof/>
            </w:rPr>
          </w:sdtEndPr>
          <w:sdtContent>
            <w:p w14:paraId="52EF658C" w14:textId="7159617D" w:rsidR="00F31AEC" w:rsidRPr="00170ACB" w:rsidRDefault="00F31AEC" w:rsidP="00170ACB">
              <w:pPr>
                <w:pStyle w:val="TOCHeading"/>
                <w:spacing w:line="360" w:lineRule="auto"/>
                <w:rPr>
                  <w:rFonts w:ascii="Arial" w:hAnsi="Arial" w:cs="Arial"/>
                  <w:sz w:val="22"/>
                  <w:szCs w:val="22"/>
                </w:rPr>
              </w:pPr>
              <w:r w:rsidRPr="00170ACB">
                <w:rPr>
                  <w:rFonts w:ascii="Arial" w:hAnsi="Arial" w:cs="Arial"/>
                  <w:sz w:val="22"/>
                  <w:szCs w:val="22"/>
                </w:rPr>
                <w:t>Table of Contents</w:t>
              </w:r>
            </w:p>
            <w:p w14:paraId="4CE05712" w14:textId="579ADCA2" w:rsidR="00C102E8" w:rsidRDefault="00F31AEC">
              <w:pPr>
                <w:pStyle w:val="TOC2"/>
                <w:rPr>
                  <w:rFonts w:asciiTheme="minorHAnsi" w:eastAsiaTheme="minorEastAsia" w:hAnsiTheme="minorHAnsi" w:cstheme="minorBidi"/>
                  <w:smallCaps w:val="0"/>
                  <w:sz w:val="24"/>
                  <w:szCs w:val="24"/>
                </w:rPr>
              </w:pPr>
              <w:r w:rsidRPr="00170ACB">
                <w:rPr>
                  <w:caps/>
                  <w:noProof w:val="0"/>
                  <w:sz w:val="22"/>
                  <w:szCs w:val="22"/>
                </w:rPr>
                <w:fldChar w:fldCharType="begin"/>
              </w:r>
              <w:r w:rsidRPr="00170ACB">
                <w:rPr>
                  <w:sz w:val="22"/>
                  <w:szCs w:val="22"/>
                </w:rPr>
                <w:instrText xml:space="preserve"> TOC \o "1-3" \h \z \u </w:instrText>
              </w:r>
              <w:r w:rsidRPr="00170ACB">
                <w:rPr>
                  <w:caps/>
                  <w:noProof w:val="0"/>
                  <w:sz w:val="22"/>
                  <w:szCs w:val="22"/>
                </w:rPr>
                <w:fldChar w:fldCharType="separate"/>
              </w:r>
              <w:hyperlink w:anchor="_Toc215043349" w:history="1">
                <w:r w:rsidR="00C102E8" w:rsidRPr="00D86B9A">
                  <w:rPr>
                    <w:rStyle w:val="Hyperlink"/>
                  </w:rPr>
                  <w:t>Disclaimer</w:t>
                </w:r>
                <w:r w:rsidR="00C102E8">
                  <w:rPr>
                    <w:webHidden/>
                  </w:rPr>
                  <w:tab/>
                </w:r>
                <w:r w:rsidR="00C102E8">
                  <w:rPr>
                    <w:webHidden/>
                  </w:rPr>
                  <w:fldChar w:fldCharType="begin"/>
                </w:r>
                <w:r w:rsidR="00C102E8">
                  <w:rPr>
                    <w:webHidden/>
                  </w:rPr>
                  <w:instrText xml:space="preserve"> PAGEREF _Toc215043349 \h </w:instrText>
                </w:r>
                <w:r w:rsidR="00C102E8">
                  <w:rPr>
                    <w:webHidden/>
                  </w:rPr>
                </w:r>
                <w:r w:rsidR="00C102E8">
                  <w:rPr>
                    <w:webHidden/>
                  </w:rPr>
                  <w:fldChar w:fldCharType="separate"/>
                </w:r>
                <w:r w:rsidR="00D34398">
                  <w:rPr>
                    <w:webHidden/>
                  </w:rPr>
                  <w:t>1</w:t>
                </w:r>
                <w:r w:rsidR="00C102E8">
                  <w:rPr>
                    <w:webHidden/>
                  </w:rPr>
                  <w:fldChar w:fldCharType="end"/>
                </w:r>
              </w:hyperlink>
            </w:p>
            <w:p w14:paraId="55791911" w14:textId="420B8B84" w:rsidR="00C102E8" w:rsidRDefault="008808A7">
              <w:pPr>
                <w:pStyle w:val="TOC2"/>
                <w:rPr>
                  <w:rFonts w:asciiTheme="minorHAnsi" w:eastAsiaTheme="minorEastAsia" w:hAnsiTheme="minorHAnsi" w:cstheme="minorBidi"/>
                  <w:smallCaps w:val="0"/>
                  <w:sz w:val="24"/>
                  <w:szCs w:val="24"/>
                </w:rPr>
              </w:pPr>
              <w:hyperlink w:anchor="_Toc215043350" w:history="1">
                <w:r w:rsidR="00C102E8" w:rsidRPr="00D86B9A">
                  <w:rPr>
                    <w:rStyle w:val="Hyperlink"/>
                  </w:rPr>
                  <w:t>ACKNOWLEDGEMENTS</w:t>
                </w:r>
                <w:r w:rsidR="00C102E8">
                  <w:rPr>
                    <w:webHidden/>
                  </w:rPr>
                  <w:tab/>
                </w:r>
                <w:r w:rsidR="00C102E8">
                  <w:rPr>
                    <w:webHidden/>
                  </w:rPr>
                  <w:fldChar w:fldCharType="begin"/>
                </w:r>
                <w:r w:rsidR="00C102E8">
                  <w:rPr>
                    <w:webHidden/>
                  </w:rPr>
                  <w:instrText xml:space="preserve"> PAGEREF _Toc215043350 \h </w:instrText>
                </w:r>
                <w:r w:rsidR="00C102E8">
                  <w:rPr>
                    <w:webHidden/>
                  </w:rPr>
                </w:r>
                <w:r w:rsidR="00C102E8">
                  <w:rPr>
                    <w:webHidden/>
                  </w:rPr>
                  <w:fldChar w:fldCharType="separate"/>
                </w:r>
                <w:r w:rsidR="00D34398">
                  <w:rPr>
                    <w:webHidden/>
                  </w:rPr>
                  <w:t>3</w:t>
                </w:r>
                <w:r w:rsidR="00C102E8">
                  <w:rPr>
                    <w:webHidden/>
                  </w:rPr>
                  <w:fldChar w:fldCharType="end"/>
                </w:r>
              </w:hyperlink>
            </w:p>
            <w:p w14:paraId="21C37E9D" w14:textId="7FE97B80" w:rsidR="00C102E8" w:rsidRDefault="008808A7">
              <w:pPr>
                <w:pStyle w:val="TOC1"/>
                <w:tabs>
                  <w:tab w:val="right" w:leader="dot" w:pos="9016"/>
                </w:tabs>
                <w:rPr>
                  <w:rFonts w:eastAsiaTheme="minorEastAsia" w:cstheme="minorBidi"/>
                  <w:b w:val="0"/>
                  <w:bCs w:val="0"/>
                  <w:caps w:val="0"/>
                  <w:noProof/>
                  <w:sz w:val="24"/>
                  <w:szCs w:val="24"/>
                </w:rPr>
              </w:pPr>
              <w:hyperlink w:anchor="_Toc215043351" w:history="1">
                <w:r w:rsidR="00C102E8" w:rsidRPr="00D86B9A">
                  <w:rPr>
                    <w:rStyle w:val="Hyperlink"/>
                    <w:rFonts w:eastAsiaTheme="majorEastAsia" w:cs="Arial"/>
                    <w:noProof/>
                  </w:rPr>
                  <w:t>Abstract</w:t>
                </w:r>
                <w:r w:rsidR="00C102E8">
                  <w:rPr>
                    <w:noProof/>
                    <w:webHidden/>
                  </w:rPr>
                  <w:tab/>
                </w:r>
                <w:r w:rsidR="00C102E8">
                  <w:rPr>
                    <w:noProof/>
                    <w:webHidden/>
                  </w:rPr>
                  <w:fldChar w:fldCharType="begin"/>
                </w:r>
                <w:r w:rsidR="00C102E8">
                  <w:rPr>
                    <w:noProof/>
                    <w:webHidden/>
                  </w:rPr>
                  <w:instrText xml:space="preserve"> PAGEREF _Toc215043351 \h </w:instrText>
                </w:r>
                <w:r w:rsidR="00C102E8">
                  <w:rPr>
                    <w:noProof/>
                    <w:webHidden/>
                  </w:rPr>
                </w:r>
                <w:r w:rsidR="00C102E8">
                  <w:rPr>
                    <w:noProof/>
                    <w:webHidden/>
                  </w:rPr>
                  <w:fldChar w:fldCharType="separate"/>
                </w:r>
                <w:r w:rsidR="00D34398">
                  <w:rPr>
                    <w:noProof/>
                    <w:webHidden/>
                  </w:rPr>
                  <w:t>4</w:t>
                </w:r>
                <w:r w:rsidR="00C102E8">
                  <w:rPr>
                    <w:noProof/>
                    <w:webHidden/>
                  </w:rPr>
                  <w:fldChar w:fldCharType="end"/>
                </w:r>
              </w:hyperlink>
            </w:p>
            <w:p w14:paraId="63DD13EA" w14:textId="46EE4731" w:rsidR="00C102E8" w:rsidRDefault="008808A7">
              <w:pPr>
                <w:pStyle w:val="TOC1"/>
                <w:tabs>
                  <w:tab w:val="right" w:leader="dot" w:pos="9016"/>
                </w:tabs>
                <w:rPr>
                  <w:rFonts w:eastAsiaTheme="minorEastAsia" w:cstheme="minorBidi"/>
                  <w:b w:val="0"/>
                  <w:bCs w:val="0"/>
                  <w:caps w:val="0"/>
                  <w:noProof/>
                  <w:sz w:val="24"/>
                  <w:szCs w:val="24"/>
                </w:rPr>
              </w:pPr>
              <w:hyperlink w:anchor="_Toc215043352" w:history="1">
                <w:r w:rsidR="00C102E8" w:rsidRPr="00D86B9A">
                  <w:rPr>
                    <w:rStyle w:val="Hyperlink"/>
                    <w:rFonts w:eastAsiaTheme="majorEastAsia" w:cs="Arial"/>
                    <w:noProof/>
                  </w:rPr>
                  <w:t>CHAPTER 1: INTRODUCTION</w:t>
                </w:r>
                <w:r w:rsidR="00C102E8">
                  <w:rPr>
                    <w:noProof/>
                    <w:webHidden/>
                  </w:rPr>
                  <w:tab/>
                </w:r>
                <w:r w:rsidR="00C102E8">
                  <w:rPr>
                    <w:noProof/>
                    <w:webHidden/>
                  </w:rPr>
                  <w:fldChar w:fldCharType="begin"/>
                </w:r>
                <w:r w:rsidR="00C102E8">
                  <w:rPr>
                    <w:noProof/>
                    <w:webHidden/>
                  </w:rPr>
                  <w:instrText xml:space="preserve"> PAGEREF _Toc215043352 \h </w:instrText>
                </w:r>
                <w:r w:rsidR="00C102E8">
                  <w:rPr>
                    <w:noProof/>
                    <w:webHidden/>
                  </w:rPr>
                </w:r>
                <w:r w:rsidR="00C102E8">
                  <w:rPr>
                    <w:noProof/>
                    <w:webHidden/>
                  </w:rPr>
                  <w:fldChar w:fldCharType="separate"/>
                </w:r>
                <w:r w:rsidR="00D34398">
                  <w:rPr>
                    <w:noProof/>
                    <w:webHidden/>
                  </w:rPr>
                  <w:t>7</w:t>
                </w:r>
                <w:r w:rsidR="00C102E8">
                  <w:rPr>
                    <w:noProof/>
                    <w:webHidden/>
                  </w:rPr>
                  <w:fldChar w:fldCharType="end"/>
                </w:r>
              </w:hyperlink>
            </w:p>
            <w:p w14:paraId="3351F1C4" w14:textId="24A9253B" w:rsidR="00C102E8" w:rsidRDefault="008808A7">
              <w:pPr>
                <w:pStyle w:val="TOC2"/>
                <w:rPr>
                  <w:rFonts w:asciiTheme="minorHAnsi" w:eastAsiaTheme="minorEastAsia" w:hAnsiTheme="minorHAnsi" w:cstheme="minorBidi"/>
                  <w:smallCaps w:val="0"/>
                  <w:sz w:val="24"/>
                  <w:szCs w:val="24"/>
                </w:rPr>
              </w:pPr>
              <w:hyperlink w:anchor="_Toc215043353" w:history="1">
                <w:r w:rsidR="00C102E8" w:rsidRPr="00D86B9A">
                  <w:rPr>
                    <w:rStyle w:val="Hyperlink"/>
                  </w:rPr>
                  <w:t>1.1 Research Focus and Title Evolution</w:t>
                </w:r>
                <w:r w:rsidR="00C102E8">
                  <w:rPr>
                    <w:webHidden/>
                  </w:rPr>
                  <w:tab/>
                </w:r>
                <w:r w:rsidR="00C102E8">
                  <w:rPr>
                    <w:webHidden/>
                  </w:rPr>
                  <w:fldChar w:fldCharType="begin"/>
                </w:r>
                <w:r w:rsidR="00C102E8">
                  <w:rPr>
                    <w:webHidden/>
                  </w:rPr>
                  <w:instrText xml:space="preserve"> PAGEREF _Toc215043353 \h </w:instrText>
                </w:r>
                <w:r w:rsidR="00C102E8">
                  <w:rPr>
                    <w:webHidden/>
                  </w:rPr>
                </w:r>
                <w:r w:rsidR="00C102E8">
                  <w:rPr>
                    <w:webHidden/>
                  </w:rPr>
                  <w:fldChar w:fldCharType="separate"/>
                </w:r>
                <w:r w:rsidR="00D34398">
                  <w:rPr>
                    <w:webHidden/>
                  </w:rPr>
                  <w:t>7</w:t>
                </w:r>
                <w:r w:rsidR="00C102E8">
                  <w:rPr>
                    <w:webHidden/>
                  </w:rPr>
                  <w:fldChar w:fldCharType="end"/>
                </w:r>
              </w:hyperlink>
            </w:p>
            <w:p w14:paraId="69B4CC69" w14:textId="149794C1" w:rsidR="00C102E8" w:rsidRDefault="008808A7">
              <w:pPr>
                <w:pStyle w:val="TOC2"/>
                <w:rPr>
                  <w:rFonts w:asciiTheme="minorHAnsi" w:eastAsiaTheme="minorEastAsia" w:hAnsiTheme="minorHAnsi" w:cstheme="minorBidi"/>
                  <w:smallCaps w:val="0"/>
                  <w:sz w:val="24"/>
                  <w:szCs w:val="24"/>
                </w:rPr>
              </w:pPr>
              <w:hyperlink w:anchor="_Toc215043354" w:history="1">
                <w:r w:rsidR="00C102E8" w:rsidRPr="00D86B9A">
                  <w:rPr>
                    <w:rStyle w:val="Hyperlink"/>
                  </w:rPr>
                  <w:t>1.2 Why This Research Matters</w:t>
                </w:r>
                <w:r w:rsidR="00C102E8">
                  <w:rPr>
                    <w:webHidden/>
                  </w:rPr>
                  <w:tab/>
                </w:r>
                <w:r w:rsidR="00C102E8">
                  <w:rPr>
                    <w:webHidden/>
                  </w:rPr>
                  <w:fldChar w:fldCharType="begin"/>
                </w:r>
                <w:r w:rsidR="00C102E8">
                  <w:rPr>
                    <w:webHidden/>
                  </w:rPr>
                  <w:instrText xml:space="preserve"> PAGEREF _Toc215043354 \h </w:instrText>
                </w:r>
                <w:r w:rsidR="00C102E8">
                  <w:rPr>
                    <w:webHidden/>
                  </w:rPr>
                </w:r>
                <w:r w:rsidR="00C102E8">
                  <w:rPr>
                    <w:webHidden/>
                  </w:rPr>
                  <w:fldChar w:fldCharType="separate"/>
                </w:r>
                <w:r w:rsidR="00D34398">
                  <w:rPr>
                    <w:webHidden/>
                  </w:rPr>
                  <w:t>8</w:t>
                </w:r>
                <w:r w:rsidR="00C102E8">
                  <w:rPr>
                    <w:webHidden/>
                  </w:rPr>
                  <w:fldChar w:fldCharType="end"/>
                </w:r>
              </w:hyperlink>
            </w:p>
            <w:p w14:paraId="5812BAAD" w14:textId="70ADE0FE" w:rsidR="00C102E8" w:rsidRDefault="008808A7">
              <w:pPr>
                <w:pStyle w:val="TOC2"/>
                <w:rPr>
                  <w:rFonts w:asciiTheme="minorHAnsi" w:eastAsiaTheme="minorEastAsia" w:hAnsiTheme="minorHAnsi" w:cstheme="minorBidi"/>
                  <w:smallCaps w:val="0"/>
                  <w:sz w:val="24"/>
                  <w:szCs w:val="24"/>
                </w:rPr>
              </w:pPr>
              <w:hyperlink w:anchor="_Toc215043355" w:history="1">
                <w:r w:rsidR="00C102E8" w:rsidRPr="00D86B9A">
                  <w:rPr>
                    <w:rStyle w:val="Hyperlink"/>
                  </w:rPr>
                  <w:t>1.3 Methodological Overview</w:t>
                </w:r>
                <w:r w:rsidR="00C102E8">
                  <w:rPr>
                    <w:webHidden/>
                  </w:rPr>
                  <w:tab/>
                </w:r>
                <w:r w:rsidR="00C102E8">
                  <w:rPr>
                    <w:webHidden/>
                  </w:rPr>
                  <w:fldChar w:fldCharType="begin"/>
                </w:r>
                <w:r w:rsidR="00C102E8">
                  <w:rPr>
                    <w:webHidden/>
                  </w:rPr>
                  <w:instrText xml:space="preserve"> PAGEREF _Toc215043355 \h </w:instrText>
                </w:r>
                <w:r w:rsidR="00C102E8">
                  <w:rPr>
                    <w:webHidden/>
                  </w:rPr>
                </w:r>
                <w:r w:rsidR="00C102E8">
                  <w:rPr>
                    <w:webHidden/>
                  </w:rPr>
                  <w:fldChar w:fldCharType="separate"/>
                </w:r>
                <w:r w:rsidR="00D34398">
                  <w:rPr>
                    <w:webHidden/>
                  </w:rPr>
                  <w:t>8</w:t>
                </w:r>
                <w:r w:rsidR="00C102E8">
                  <w:rPr>
                    <w:webHidden/>
                  </w:rPr>
                  <w:fldChar w:fldCharType="end"/>
                </w:r>
              </w:hyperlink>
            </w:p>
            <w:p w14:paraId="61905337" w14:textId="1460176D" w:rsidR="00C102E8" w:rsidRDefault="008808A7">
              <w:pPr>
                <w:pStyle w:val="TOC2"/>
                <w:rPr>
                  <w:rFonts w:asciiTheme="minorHAnsi" w:eastAsiaTheme="minorEastAsia" w:hAnsiTheme="minorHAnsi" w:cstheme="minorBidi"/>
                  <w:smallCaps w:val="0"/>
                  <w:sz w:val="24"/>
                  <w:szCs w:val="24"/>
                </w:rPr>
              </w:pPr>
              <w:hyperlink w:anchor="_Toc215043356" w:history="1">
                <w:r w:rsidR="00C102E8" w:rsidRPr="00D86B9A">
                  <w:rPr>
                    <w:rStyle w:val="Hyperlink"/>
                  </w:rPr>
                  <w:t>1.4 Definitions and Key Terms</w:t>
                </w:r>
                <w:r w:rsidR="00C102E8">
                  <w:rPr>
                    <w:webHidden/>
                  </w:rPr>
                  <w:tab/>
                </w:r>
                <w:r w:rsidR="00C102E8">
                  <w:rPr>
                    <w:webHidden/>
                  </w:rPr>
                  <w:fldChar w:fldCharType="begin"/>
                </w:r>
                <w:r w:rsidR="00C102E8">
                  <w:rPr>
                    <w:webHidden/>
                  </w:rPr>
                  <w:instrText xml:space="preserve"> PAGEREF _Toc215043356 \h </w:instrText>
                </w:r>
                <w:r w:rsidR="00C102E8">
                  <w:rPr>
                    <w:webHidden/>
                  </w:rPr>
                </w:r>
                <w:r w:rsidR="00C102E8">
                  <w:rPr>
                    <w:webHidden/>
                  </w:rPr>
                  <w:fldChar w:fldCharType="separate"/>
                </w:r>
                <w:r w:rsidR="00D34398">
                  <w:rPr>
                    <w:webHidden/>
                  </w:rPr>
                  <w:t>8</w:t>
                </w:r>
                <w:r w:rsidR="00C102E8">
                  <w:rPr>
                    <w:webHidden/>
                  </w:rPr>
                  <w:fldChar w:fldCharType="end"/>
                </w:r>
              </w:hyperlink>
            </w:p>
            <w:p w14:paraId="78D5530C" w14:textId="31B56595" w:rsidR="00C102E8" w:rsidRDefault="008808A7">
              <w:pPr>
                <w:pStyle w:val="TOC2"/>
                <w:rPr>
                  <w:rFonts w:asciiTheme="minorHAnsi" w:eastAsiaTheme="minorEastAsia" w:hAnsiTheme="minorHAnsi" w:cstheme="minorBidi"/>
                  <w:smallCaps w:val="0"/>
                  <w:sz w:val="24"/>
                  <w:szCs w:val="24"/>
                </w:rPr>
              </w:pPr>
              <w:hyperlink w:anchor="_Toc215043357" w:history="1">
                <w:r w:rsidR="00C102E8" w:rsidRPr="00D86B9A">
                  <w:rPr>
                    <w:rStyle w:val="Hyperlink"/>
                  </w:rPr>
                  <w:t>1.5 Background Context</w:t>
                </w:r>
                <w:r w:rsidR="00C102E8">
                  <w:rPr>
                    <w:webHidden/>
                  </w:rPr>
                  <w:tab/>
                </w:r>
                <w:r w:rsidR="00C102E8">
                  <w:rPr>
                    <w:webHidden/>
                  </w:rPr>
                  <w:fldChar w:fldCharType="begin"/>
                </w:r>
                <w:r w:rsidR="00C102E8">
                  <w:rPr>
                    <w:webHidden/>
                  </w:rPr>
                  <w:instrText xml:space="preserve"> PAGEREF _Toc215043357 \h </w:instrText>
                </w:r>
                <w:r w:rsidR="00C102E8">
                  <w:rPr>
                    <w:webHidden/>
                  </w:rPr>
                </w:r>
                <w:r w:rsidR="00C102E8">
                  <w:rPr>
                    <w:webHidden/>
                  </w:rPr>
                  <w:fldChar w:fldCharType="separate"/>
                </w:r>
                <w:r w:rsidR="00D34398">
                  <w:rPr>
                    <w:webHidden/>
                  </w:rPr>
                  <w:t>9</w:t>
                </w:r>
                <w:r w:rsidR="00C102E8">
                  <w:rPr>
                    <w:webHidden/>
                  </w:rPr>
                  <w:fldChar w:fldCharType="end"/>
                </w:r>
              </w:hyperlink>
            </w:p>
            <w:p w14:paraId="2ADFED0B" w14:textId="28624272" w:rsidR="00C102E8" w:rsidRDefault="008808A7">
              <w:pPr>
                <w:pStyle w:val="TOC2"/>
                <w:rPr>
                  <w:rFonts w:asciiTheme="minorHAnsi" w:eastAsiaTheme="minorEastAsia" w:hAnsiTheme="minorHAnsi" w:cstheme="minorBidi"/>
                  <w:smallCaps w:val="0"/>
                  <w:sz w:val="24"/>
                  <w:szCs w:val="24"/>
                </w:rPr>
              </w:pPr>
              <w:hyperlink w:anchor="_Toc215043358" w:history="1">
                <w:r w:rsidR="00C102E8" w:rsidRPr="00D86B9A">
                  <w:rPr>
                    <w:rStyle w:val="Hyperlink"/>
                  </w:rPr>
                  <w:t>1.6 Rationale</w:t>
                </w:r>
                <w:r w:rsidR="00C102E8">
                  <w:rPr>
                    <w:webHidden/>
                  </w:rPr>
                  <w:tab/>
                </w:r>
                <w:r w:rsidR="00C102E8">
                  <w:rPr>
                    <w:webHidden/>
                  </w:rPr>
                  <w:fldChar w:fldCharType="begin"/>
                </w:r>
                <w:r w:rsidR="00C102E8">
                  <w:rPr>
                    <w:webHidden/>
                  </w:rPr>
                  <w:instrText xml:space="preserve"> PAGEREF _Toc215043358 \h </w:instrText>
                </w:r>
                <w:r w:rsidR="00C102E8">
                  <w:rPr>
                    <w:webHidden/>
                  </w:rPr>
                </w:r>
                <w:r w:rsidR="00C102E8">
                  <w:rPr>
                    <w:webHidden/>
                  </w:rPr>
                  <w:fldChar w:fldCharType="separate"/>
                </w:r>
                <w:r w:rsidR="00D34398">
                  <w:rPr>
                    <w:webHidden/>
                  </w:rPr>
                  <w:t>9</w:t>
                </w:r>
                <w:r w:rsidR="00C102E8">
                  <w:rPr>
                    <w:webHidden/>
                  </w:rPr>
                  <w:fldChar w:fldCharType="end"/>
                </w:r>
              </w:hyperlink>
            </w:p>
            <w:p w14:paraId="6B95983C" w14:textId="2389E128" w:rsidR="00C102E8" w:rsidRDefault="008808A7">
              <w:pPr>
                <w:pStyle w:val="TOC2"/>
                <w:rPr>
                  <w:rFonts w:asciiTheme="minorHAnsi" w:eastAsiaTheme="minorEastAsia" w:hAnsiTheme="minorHAnsi" w:cstheme="minorBidi"/>
                  <w:smallCaps w:val="0"/>
                  <w:sz w:val="24"/>
                  <w:szCs w:val="24"/>
                </w:rPr>
              </w:pPr>
              <w:hyperlink w:anchor="_Toc215043359" w:history="1">
                <w:r w:rsidR="00C102E8" w:rsidRPr="00D86B9A">
                  <w:rPr>
                    <w:rStyle w:val="Hyperlink"/>
                  </w:rPr>
                  <w:t>1.7 Aim &amp; Objectives</w:t>
                </w:r>
                <w:r w:rsidR="00C102E8">
                  <w:rPr>
                    <w:webHidden/>
                  </w:rPr>
                  <w:tab/>
                </w:r>
                <w:r w:rsidR="00C102E8">
                  <w:rPr>
                    <w:webHidden/>
                  </w:rPr>
                  <w:fldChar w:fldCharType="begin"/>
                </w:r>
                <w:r w:rsidR="00C102E8">
                  <w:rPr>
                    <w:webHidden/>
                  </w:rPr>
                  <w:instrText xml:space="preserve"> PAGEREF _Toc215043359 \h </w:instrText>
                </w:r>
                <w:r w:rsidR="00C102E8">
                  <w:rPr>
                    <w:webHidden/>
                  </w:rPr>
                </w:r>
                <w:r w:rsidR="00C102E8">
                  <w:rPr>
                    <w:webHidden/>
                  </w:rPr>
                  <w:fldChar w:fldCharType="separate"/>
                </w:r>
                <w:r w:rsidR="00D34398">
                  <w:rPr>
                    <w:webHidden/>
                  </w:rPr>
                  <w:t>10</w:t>
                </w:r>
                <w:r w:rsidR="00C102E8">
                  <w:rPr>
                    <w:webHidden/>
                  </w:rPr>
                  <w:fldChar w:fldCharType="end"/>
                </w:r>
              </w:hyperlink>
            </w:p>
            <w:p w14:paraId="64FE1C72" w14:textId="5DDEA2B8" w:rsidR="00C102E8" w:rsidRDefault="008808A7">
              <w:pPr>
                <w:pStyle w:val="TOC2"/>
                <w:rPr>
                  <w:rFonts w:asciiTheme="minorHAnsi" w:eastAsiaTheme="minorEastAsia" w:hAnsiTheme="minorHAnsi" w:cstheme="minorBidi"/>
                  <w:smallCaps w:val="0"/>
                  <w:sz w:val="24"/>
                  <w:szCs w:val="24"/>
                </w:rPr>
              </w:pPr>
              <w:hyperlink w:anchor="_Toc215043360" w:history="1">
                <w:r w:rsidR="00C102E8" w:rsidRPr="00D86B9A">
                  <w:rPr>
                    <w:rStyle w:val="Hyperlink"/>
                  </w:rPr>
                  <w:t>1.8 Conclusion</w:t>
                </w:r>
                <w:r w:rsidR="00C102E8">
                  <w:rPr>
                    <w:webHidden/>
                  </w:rPr>
                  <w:tab/>
                </w:r>
                <w:r w:rsidR="00C102E8">
                  <w:rPr>
                    <w:webHidden/>
                  </w:rPr>
                  <w:fldChar w:fldCharType="begin"/>
                </w:r>
                <w:r w:rsidR="00C102E8">
                  <w:rPr>
                    <w:webHidden/>
                  </w:rPr>
                  <w:instrText xml:space="preserve"> PAGEREF _Toc215043360 \h </w:instrText>
                </w:r>
                <w:r w:rsidR="00C102E8">
                  <w:rPr>
                    <w:webHidden/>
                  </w:rPr>
                </w:r>
                <w:r w:rsidR="00C102E8">
                  <w:rPr>
                    <w:webHidden/>
                  </w:rPr>
                  <w:fldChar w:fldCharType="separate"/>
                </w:r>
                <w:r w:rsidR="00D34398">
                  <w:rPr>
                    <w:webHidden/>
                  </w:rPr>
                  <w:t>10</w:t>
                </w:r>
                <w:r w:rsidR="00C102E8">
                  <w:rPr>
                    <w:webHidden/>
                  </w:rPr>
                  <w:fldChar w:fldCharType="end"/>
                </w:r>
              </w:hyperlink>
            </w:p>
            <w:p w14:paraId="03963BED" w14:textId="72EEA216" w:rsidR="00C102E8" w:rsidRDefault="008808A7">
              <w:pPr>
                <w:pStyle w:val="TOC1"/>
                <w:tabs>
                  <w:tab w:val="right" w:leader="dot" w:pos="9016"/>
                </w:tabs>
                <w:rPr>
                  <w:rFonts w:eastAsiaTheme="minorEastAsia" w:cstheme="minorBidi"/>
                  <w:b w:val="0"/>
                  <w:bCs w:val="0"/>
                  <w:caps w:val="0"/>
                  <w:noProof/>
                  <w:sz w:val="24"/>
                  <w:szCs w:val="24"/>
                </w:rPr>
              </w:pPr>
              <w:hyperlink w:anchor="_Toc215043361" w:history="1">
                <w:r w:rsidR="00C102E8" w:rsidRPr="00D86B9A">
                  <w:rPr>
                    <w:rStyle w:val="Hyperlink"/>
                    <w:rFonts w:eastAsiaTheme="majorEastAsia" w:cs="Arial"/>
                    <w:noProof/>
                  </w:rPr>
                  <w:t>CHAPTER 2: BACKGROUND</w:t>
                </w:r>
                <w:r w:rsidR="00C102E8">
                  <w:rPr>
                    <w:noProof/>
                    <w:webHidden/>
                  </w:rPr>
                  <w:tab/>
                </w:r>
                <w:r w:rsidR="00C102E8">
                  <w:rPr>
                    <w:noProof/>
                    <w:webHidden/>
                  </w:rPr>
                  <w:fldChar w:fldCharType="begin"/>
                </w:r>
                <w:r w:rsidR="00C102E8">
                  <w:rPr>
                    <w:noProof/>
                    <w:webHidden/>
                  </w:rPr>
                  <w:instrText xml:space="preserve"> PAGEREF _Toc215043361 \h </w:instrText>
                </w:r>
                <w:r w:rsidR="00C102E8">
                  <w:rPr>
                    <w:noProof/>
                    <w:webHidden/>
                  </w:rPr>
                </w:r>
                <w:r w:rsidR="00C102E8">
                  <w:rPr>
                    <w:noProof/>
                    <w:webHidden/>
                  </w:rPr>
                  <w:fldChar w:fldCharType="separate"/>
                </w:r>
                <w:r w:rsidR="00D34398">
                  <w:rPr>
                    <w:noProof/>
                    <w:webHidden/>
                  </w:rPr>
                  <w:t>11</w:t>
                </w:r>
                <w:r w:rsidR="00C102E8">
                  <w:rPr>
                    <w:noProof/>
                    <w:webHidden/>
                  </w:rPr>
                  <w:fldChar w:fldCharType="end"/>
                </w:r>
              </w:hyperlink>
            </w:p>
            <w:p w14:paraId="3585A5E6" w14:textId="6DB504EE" w:rsidR="00C102E8" w:rsidRDefault="008808A7">
              <w:pPr>
                <w:pStyle w:val="TOC2"/>
                <w:rPr>
                  <w:rFonts w:asciiTheme="minorHAnsi" w:eastAsiaTheme="minorEastAsia" w:hAnsiTheme="minorHAnsi" w:cstheme="minorBidi"/>
                  <w:smallCaps w:val="0"/>
                  <w:sz w:val="24"/>
                  <w:szCs w:val="24"/>
                </w:rPr>
              </w:pPr>
              <w:hyperlink w:anchor="_Toc215043362" w:history="1">
                <w:r w:rsidR="00C102E8" w:rsidRPr="00D86B9A">
                  <w:rPr>
                    <w:rStyle w:val="Hyperlink"/>
                  </w:rPr>
                  <w:t>2.1 Introduction</w:t>
                </w:r>
                <w:r w:rsidR="00C102E8">
                  <w:rPr>
                    <w:webHidden/>
                  </w:rPr>
                  <w:tab/>
                </w:r>
                <w:r w:rsidR="00C102E8">
                  <w:rPr>
                    <w:webHidden/>
                  </w:rPr>
                  <w:fldChar w:fldCharType="begin"/>
                </w:r>
                <w:r w:rsidR="00C102E8">
                  <w:rPr>
                    <w:webHidden/>
                  </w:rPr>
                  <w:instrText xml:space="preserve"> PAGEREF _Toc215043362 \h </w:instrText>
                </w:r>
                <w:r w:rsidR="00C102E8">
                  <w:rPr>
                    <w:webHidden/>
                  </w:rPr>
                </w:r>
                <w:r w:rsidR="00C102E8">
                  <w:rPr>
                    <w:webHidden/>
                  </w:rPr>
                  <w:fldChar w:fldCharType="separate"/>
                </w:r>
                <w:r w:rsidR="00D34398">
                  <w:rPr>
                    <w:webHidden/>
                  </w:rPr>
                  <w:t>11</w:t>
                </w:r>
                <w:r w:rsidR="00C102E8">
                  <w:rPr>
                    <w:webHidden/>
                  </w:rPr>
                  <w:fldChar w:fldCharType="end"/>
                </w:r>
              </w:hyperlink>
            </w:p>
            <w:p w14:paraId="633A483C" w14:textId="31E129DE" w:rsidR="00C102E8" w:rsidRDefault="008808A7">
              <w:pPr>
                <w:pStyle w:val="TOC2"/>
                <w:rPr>
                  <w:rFonts w:asciiTheme="minorHAnsi" w:eastAsiaTheme="minorEastAsia" w:hAnsiTheme="minorHAnsi" w:cstheme="minorBidi"/>
                  <w:smallCaps w:val="0"/>
                  <w:sz w:val="24"/>
                  <w:szCs w:val="24"/>
                </w:rPr>
              </w:pPr>
              <w:hyperlink w:anchor="_Toc215043363" w:history="1">
                <w:r w:rsidR="00C102E8" w:rsidRPr="00D86B9A">
                  <w:rPr>
                    <w:rStyle w:val="Hyperlink"/>
                  </w:rPr>
                  <w:t>2.2 Historical Background</w:t>
                </w:r>
                <w:r w:rsidR="00C102E8">
                  <w:rPr>
                    <w:webHidden/>
                  </w:rPr>
                  <w:tab/>
                </w:r>
                <w:r w:rsidR="00C102E8">
                  <w:rPr>
                    <w:webHidden/>
                  </w:rPr>
                  <w:fldChar w:fldCharType="begin"/>
                </w:r>
                <w:r w:rsidR="00C102E8">
                  <w:rPr>
                    <w:webHidden/>
                  </w:rPr>
                  <w:instrText xml:space="preserve"> PAGEREF _Toc215043363 \h </w:instrText>
                </w:r>
                <w:r w:rsidR="00C102E8">
                  <w:rPr>
                    <w:webHidden/>
                  </w:rPr>
                </w:r>
                <w:r w:rsidR="00C102E8">
                  <w:rPr>
                    <w:webHidden/>
                  </w:rPr>
                  <w:fldChar w:fldCharType="separate"/>
                </w:r>
                <w:r w:rsidR="00D34398">
                  <w:rPr>
                    <w:webHidden/>
                  </w:rPr>
                  <w:t>11</w:t>
                </w:r>
                <w:r w:rsidR="00C102E8">
                  <w:rPr>
                    <w:webHidden/>
                  </w:rPr>
                  <w:fldChar w:fldCharType="end"/>
                </w:r>
              </w:hyperlink>
            </w:p>
            <w:p w14:paraId="4DF22446" w14:textId="229FD442" w:rsidR="00C102E8" w:rsidRDefault="008808A7">
              <w:pPr>
                <w:pStyle w:val="TOC2"/>
                <w:rPr>
                  <w:rFonts w:asciiTheme="minorHAnsi" w:eastAsiaTheme="minorEastAsia" w:hAnsiTheme="minorHAnsi" w:cstheme="minorBidi"/>
                  <w:smallCaps w:val="0"/>
                  <w:sz w:val="24"/>
                  <w:szCs w:val="24"/>
                </w:rPr>
              </w:pPr>
              <w:hyperlink w:anchor="_Toc215043364" w:history="1">
                <w:r w:rsidR="00C102E8" w:rsidRPr="00D86B9A">
                  <w:rPr>
                    <w:rStyle w:val="Hyperlink"/>
                  </w:rPr>
                  <w:t>2.3 Theoretical Background</w:t>
                </w:r>
                <w:r w:rsidR="00C102E8">
                  <w:rPr>
                    <w:webHidden/>
                  </w:rPr>
                  <w:tab/>
                </w:r>
                <w:r w:rsidR="00C102E8">
                  <w:rPr>
                    <w:webHidden/>
                  </w:rPr>
                  <w:fldChar w:fldCharType="begin"/>
                </w:r>
                <w:r w:rsidR="00C102E8">
                  <w:rPr>
                    <w:webHidden/>
                  </w:rPr>
                  <w:instrText xml:space="preserve"> PAGEREF _Toc215043364 \h </w:instrText>
                </w:r>
                <w:r w:rsidR="00C102E8">
                  <w:rPr>
                    <w:webHidden/>
                  </w:rPr>
                </w:r>
                <w:r w:rsidR="00C102E8">
                  <w:rPr>
                    <w:webHidden/>
                  </w:rPr>
                  <w:fldChar w:fldCharType="separate"/>
                </w:r>
                <w:r w:rsidR="00D34398">
                  <w:rPr>
                    <w:webHidden/>
                  </w:rPr>
                  <w:t>13</w:t>
                </w:r>
                <w:r w:rsidR="00C102E8">
                  <w:rPr>
                    <w:webHidden/>
                  </w:rPr>
                  <w:fldChar w:fldCharType="end"/>
                </w:r>
              </w:hyperlink>
            </w:p>
            <w:p w14:paraId="5D6682A5" w14:textId="7F45882A" w:rsidR="00C102E8" w:rsidRDefault="008808A7">
              <w:pPr>
                <w:pStyle w:val="TOC2"/>
                <w:rPr>
                  <w:rFonts w:asciiTheme="minorHAnsi" w:eastAsiaTheme="minorEastAsia" w:hAnsiTheme="minorHAnsi" w:cstheme="minorBidi"/>
                  <w:smallCaps w:val="0"/>
                  <w:sz w:val="24"/>
                  <w:szCs w:val="24"/>
                </w:rPr>
              </w:pPr>
              <w:hyperlink w:anchor="_Toc215043365" w:history="1">
                <w:r w:rsidR="00C102E8" w:rsidRPr="00D86B9A">
                  <w:rPr>
                    <w:rStyle w:val="Hyperlink"/>
                  </w:rPr>
                  <w:t>2.4 International Context</w:t>
                </w:r>
                <w:r w:rsidR="00C102E8">
                  <w:rPr>
                    <w:webHidden/>
                  </w:rPr>
                  <w:tab/>
                </w:r>
                <w:r w:rsidR="00C102E8">
                  <w:rPr>
                    <w:webHidden/>
                  </w:rPr>
                  <w:fldChar w:fldCharType="begin"/>
                </w:r>
                <w:r w:rsidR="00C102E8">
                  <w:rPr>
                    <w:webHidden/>
                  </w:rPr>
                  <w:instrText xml:space="preserve"> PAGEREF _Toc215043365 \h </w:instrText>
                </w:r>
                <w:r w:rsidR="00C102E8">
                  <w:rPr>
                    <w:webHidden/>
                  </w:rPr>
                </w:r>
                <w:r w:rsidR="00C102E8">
                  <w:rPr>
                    <w:webHidden/>
                  </w:rPr>
                  <w:fldChar w:fldCharType="separate"/>
                </w:r>
                <w:r w:rsidR="00D34398">
                  <w:rPr>
                    <w:webHidden/>
                  </w:rPr>
                  <w:t>14</w:t>
                </w:r>
                <w:r w:rsidR="00C102E8">
                  <w:rPr>
                    <w:webHidden/>
                  </w:rPr>
                  <w:fldChar w:fldCharType="end"/>
                </w:r>
              </w:hyperlink>
            </w:p>
            <w:p w14:paraId="40AEDF64" w14:textId="4C356B5E" w:rsidR="00C102E8" w:rsidRDefault="008808A7">
              <w:pPr>
                <w:pStyle w:val="TOC2"/>
                <w:rPr>
                  <w:rFonts w:asciiTheme="minorHAnsi" w:eastAsiaTheme="minorEastAsia" w:hAnsiTheme="minorHAnsi" w:cstheme="minorBidi"/>
                  <w:smallCaps w:val="0"/>
                  <w:sz w:val="24"/>
                  <w:szCs w:val="24"/>
                </w:rPr>
              </w:pPr>
              <w:hyperlink w:anchor="_Toc215043366" w:history="1">
                <w:r w:rsidR="00C102E8" w:rsidRPr="00D86B9A">
                  <w:rPr>
                    <w:rStyle w:val="Hyperlink"/>
                  </w:rPr>
                  <w:t>2.5 National and Local UK Context</w:t>
                </w:r>
                <w:r w:rsidR="00C102E8">
                  <w:rPr>
                    <w:webHidden/>
                  </w:rPr>
                  <w:tab/>
                </w:r>
                <w:r w:rsidR="00C102E8">
                  <w:rPr>
                    <w:webHidden/>
                  </w:rPr>
                  <w:fldChar w:fldCharType="begin"/>
                </w:r>
                <w:r w:rsidR="00C102E8">
                  <w:rPr>
                    <w:webHidden/>
                  </w:rPr>
                  <w:instrText xml:space="preserve"> PAGEREF _Toc215043366 \h </w:instrText>
                </w:r>
                <w:r w:rsidR="00C102E8">
                  <w:rPr>
                    <w:webHidden/>
                  </w:rPr>
                </w:r>
                <w:r w:rsidR="00C102E8">
                  <w:rPr>
                    <w:webHidden/>
                  </w:rPr>
                  <w:fldChar w:fldCharType="separate"/>
                </w:r>
                <w:r w:rsidR="00D34398">
                  <w:rPr>
                    <w:webHidden/>
                  </w:rPr>
                  <w:t>15</w:t>
                </w:r>
                <w:r w:rsidR="00C102E8">
                  <w:rPr>
                    <w:webHidden/>
                  </w:rPr>
                  <w:fldChar w:fldCharType="end"/>
                </w:r>
              </w:hyperlink>
            </w:p>
            <w:p w14:paraId="0FBCC4F1" w14:textId="2A441257" w:rsidR="00C102E8" w:rsidRDefault="008808A7">
              <w:pPr>
                <w:pStyle w:val="TOC2"/>
                <w:rPr>
                  <w:rFonts w:asciiTheme="minorHAnsi" w:eastAsiaTheme="minorEastAsia" w:hAnsiTheme="minorHAnsi" w:cstheme="minorBidi"/>
                  <w:smallCaps w:val="0"/>
                  <w:sz w:val="24"/>
                  <w:szCs w:val="24"/>
                </w:rPr>
              </w:pPr>
              <w:hyperlink w:anchor="_Toc215043367" w:history="1">
                <w:r w:rsidR="00C102E8" w:rsidRPr="00D86B9A">
                  <w:rPr>
                    <w:rStyle w:val="Hyperlink"/>
                  </w:rPr>
                  <w:t>2.6 Conclusion</w:t>
                </w:r>
                <w:r w:rsidR="00C102E8">
                  <w:rPr>
                    <w:webHidden/>
                  </w:rPr>
                  <w:tab/>
                </w:r>
                <w:r w:rsidR="00C102E8">
                  <w:rPr>
                    <w:webHidden/>
                  </w:rPr>
                  <w:fldChar w:fldCharType="begin"/>
                </w:r>
                <w:r w:rsidR="00C102E8">
                  <w:rPr>
                    <w:webHidden/>
                  </w:rPr>
                  <w:instrText xml:space="preserve"> PAGEREF _Toc215043367 \h </w:instrText>
                </w:r>
                <w:r w:rsidR="00C102E8">
                  <w:rPr>
                    <w:webHidden/>
                  </w:rPr>
                </w:r>
                <w:r w:rsidR="00C102E8">
                  <w:rPr>
                    <w:webHidden/>
                  </w:rPr>
                  <w:fldChar w:fldCharType="separate"/>
                </w:r>
                <w:r w:rsidR="00D34398">
                  <w:rPr>
                    <w:webHidden/>
                  </w:rPr>
                  <w:t>16</w:t>
                </w:r>
                <w:r w:rsidR="00C102E8">
                  <w:rPr>
                    <w:webHidden/>
                  </w:rPr>
                  <w:fldChar w:fldCharType="end"/>
                </w:r>
              </w:hyperlink>
            </w:p>
            <w:p w14:paraId="57DBFB36" w14:textId="62C60F61" w:rsidR="00C102E8" w:rsidRDefault="008808A7">
              <w:pPr>
                <w:pStyle w:val="TOC1"/>
                <w:tabs>
                  <w:tab w:val="right" w:leader="dot" w:pos="9016"/>
                </w:tabs>
                <w:rPr>
                  <w:rFonts w:eastAsiaTheme="minorEastAsia" w:cstheme="minorBidi"/>
                  <w:b w:val="0"/>
                  <w:bCs w:val="0"/>
                  <w:caps w:val="0"/>
                  <w:noProof/>
                  <w:sz w:val="24"/>
                  <w:szCs w:val="24"/>
                </w:rPr>
              </w:pPr>
              <w:hyperlink w:anchor="_Toc215043368" w:history="1">
                <w:r w:rsidR="00C102E8" w:rsidRPr="00D86B9A">
                  <w:rPr>
                    <w:rStyle w:val="Hyperlink"/>
                    <w:rFonts w:eastAsiaTheme="majorEastAsia" w:cs="Arial"/>
                    <w:noProof/>
                  </w:rPr>
                  <w:t>Chapter 3: Methods</w:t>
                </w:r>
                <w:r w:rsidR="00C102E8">
                  <w:rPr>
                    <w:noProof/>
                    <w:webHidden/>
                  </w:rPr>
                  <w:tab/>
                </w:r>
                <w:r w:rsidR="00C102E8">
                  <w:rPr>
                    <w:noProof/>
                    <w:webHidden/>
                  </w:rPr>
                  <w:fldChar w:fldCharType="begin"/>
                </w:r>
                <w:r w:rsidR="00C102E8">
                  <w:rPr>
                    <w:noProof/>
                    <w:webHidden/>
                  </w:rPr>
                  <w:instrText xml:space="preserve"> PAGEREF _Toc215043368 \h </w:instrText>
                </w:r>
                <w:r w:rsidR="00C102E8">
                  <w:rPr>
                    <w:noProof/>
                    <w:webHidden/>
                  </w:rPr>
                </w:r>
                <w:r w:rsidR="00C102E8">
                  <w:rPr>
                    <w:noProof/>
                    <w:webHidden/>
                  </w:rPr>
                  <w:fldChar w:fldCharType="separate"/>
                </w:r>
                <w:r w:rsidR="00D34398">
                  <w:rPr>
                    <w:noProof/>
                    <w:webHidden/>
                  </w:rPr>
                  <w:t>17</w:t>
                </w:r>
                <w:r w:rsidR="00C102E8">
                  <w:rPr>
                    <w:noProof/>
                    <w:webHidden/>
                  </w:rPr>
                  <w:fldChar w:fldCharType="end"/>
                </w:r>
              </w:hyperlink>
            </w:p>
            <w:p w14:paraId="2D412028" w14:textId="22C0439E" w:rsidR="00C102E8" w:rsidRDefault="008808A7">
              <w:pPr>
                <w:pStyle w:val="TOC2"/>
                <w:rPr>
                  <w:rFonts w:asciiTheme="minorHAnsi" w:eastAsiaTheme="minorEastAsia" w:hAnsiTheme="minorHAnsi" w:cstheme="minorBidi"/>
                  <w:smallCaps w:val="0"/>
                  <w:sz w:val="24"/>
                  <w:szCs w:val="24"/>
                </w:rPr>
              </w:pPr>
              <w:hyperlink w:anchor="_Toc215043369" w:history="1">
                <w:r w:rsidR="00C102E8" w:rsidRPr="00D86B9A">
                  <w:rPr>
                    <w:rStyle w:val="Hyperlink"/>
                  </w:rPr>
                  <w:t>3.1 Introduction</w:t>
                </w:r>
                <w:r w:rsidR="00C102E8">
                  <w:rPr>
                    <w:webHidden/>
                  </w:rPr>
                  <w:tab/>
                </w:r>
                <w:r w:rsidR="00C102E8">
                  <w:rPr>
                    <w:webHidden/>
                  </w:rPr>
                  <w:fldChar w:fldCharType="begin"/>
                </w:r>
                <w:r w:rsidR="00C102E8">
                  <w:rPr>
                    <w:webHidden/>
                  </w:rPr>
                  <w:instrText xml:space="preserve"> PAGEREF _Toc215043369 \h </w:instrText>
                </w:r>
                <w:r w:rsidR="00C102E8">
                  <w:rPr>
                    <w:webHidden/>
                  </w:rPr>
                </w:r>
                <w:r w:rsidR="00C102E8">
                  <w:rPr>
                    <w:webHidden/>
                  </w:rPr>
                  <w:fldChar w:fldCharType="separate"/>
                </w:r>
                <w:r w:rsidR="00D34398">
                  <w:rPr>
                    <w:webHidden/>
                  </w:rPr>
                  <w:t>17</w:t>
                </w:r>
                <w:r w:rsidR="00C102E8">
                  <w:rPr>
                    <w:webHidden/>
                  </w:rPr>
                  <w:fldChar w:fldCharType="end"/>
                </w:r>
              </w:hyperlink>
            </w:p>
            <w:p w14:paraId="367B7AB2" w14:textId="2CC221C4" w:rsidR="00C102E8" w:rsidRDefault="008808A7">
              <w:pPr>
                <w:pStyle w:val="TOC2"/>
                <w:rPr>
                  <w:rFonts w:asciiTheme="minorHAnsi" w:eastAsiaTheme="minorEastAsia" w:hAnsiTheme="minorHAnsi" w:cstheme="minorBidi"/>
                  <w:smallCaps w:val="0"/>
                  <w:sz w:val="24"/>
                  <w:szCs w:val="24"/>
                </w:rPr>
              </w:pPr>
              <w:hyperlink w:anchor="_Toc215043370" w:history="1">
                <w:r w:rsidR="00C102E8" w:rsidRPr="00D86B9A">
                  <w:rPr>
                    <w:rStyle w:val="Hyperlink"/>
                  </w:rPr>
                  <w:t>3.2 Search Strategy</w:t>
                </w:r>
                <w:r w:rsidR="00C102E8">
                  <w:rPr>
                    <w:webHidden/>
                  </w:rPr>
                  <w:tab/>
                </w:r>
                <w:r w:rsidR="00C102E8">
                  <w:rPr>
                    <w:webHidden/>
                  </w:rPr>
                  <w:fldChar w:fldCharType="begin"/>
                </w:r>
                <w:r w:rsidR="00C102E8">
                  <w:rPr>
                    <w:webHidden/>
                  </w:rPr>
                  <w:instrText xml:space="preserve"> PAGEREF _Toc215043370 \h </w:instrText>
                </w:r>
                <w:r w:rsidR="00C102E8">
                  <w:rPr>
                    <w:webHidden/>
                  </w:rPr>
                </w:r>
                <w:r w:rsidR="00C102E8">
                  <w:rPr>
                    <w:webHidden/>
                  </w:rPr>
                  <w:fldChar w:fldCharType="separate"/>
                </w:r>
                <w:r w:rsidR="00D34398">
                  <w:rPr>
                    <w:webHidden/>
                  </w:rPr>
                  <w:t>17</w:t>
                </w:r>
                <w:r w:rsidR="00C102E8">
                  <w:rPr>
                    <w:webHidden/>
                  </w:rPr>
                  <w:fldChar w:fldCharType="end"/>
                </w:r>
              </w:hyperlink>
            </w:p>
            <w:p w14:paraId="3A1EC22D" w14:textId="71090B73" w:rsidR="00C102E8" w:rsidRDefault="008808A7">
              <w:pPr>
                <w:pStyle w:val="TOC2"/>
                <w:rPr>
                  <w:rFonts w:asciiTheme="minorHAnsi" w:eastAsiaTheme="minorEastAsia" w:hAnsiTheme="minorHAnsi" w:cstheme="minorBidi"/>
                  <w:smallCaps w:val="0"/>
                  <w:sz w:val="24"/>
                  <w:szCs w:val="24"/>
                </w:rPr>
              </w:pPr>
              <w:hyperlink w:anchor="_Toc215043371" w:history="1">
                <w:r w:rsidR="00C102E8" w:rsidRPr="00D86B9A">
                  <w:rPr>
                    <w:rStyle w:val="Hyperlink"/>
                  </w:rPr>
                  <w:t>3.3 Searching for Information</w:t>
                </w:r>
                <w:r w:rsidR="00C102E8">
                  <w:rPr>
                    <w:webHidden/>
                  </w:rPr>
                  <w:tab/>
                </w:r>
                <w:r w:rsidR="00C102E8">
                  <w:rPr>
                    <w:webHidden/>
                  </w:rPr>
                  <w:fldChar w:fldCharType="begin"/>
                </w:r>
                <w:r w:rsidR="00C102E8">
                  <w:rPr>
                    <w:webHidden/>
                  </w:rPr>
                  <w:instrText xml:space="preserve"> PAGEREF _Toc215043371 \h </w:instrText>
                </w:r>
                <w:r w:rsidR="00C102E8">
                  <w:rPr>
                    <w:webHidden/>
                  </w:rPr>
                </w:r>
                <w:r w:rsidR="00C102E8">
                  <w:rPr>
                    <w:webHidden/>
                  </w:rPr>
                  <w:fldChar w:fldCharType="separate"/>
                </w:r>
                <w:r w:rsidR="00D34398">
                  <w:rPr>
                    <w:webHidden/>
                  </w:rPr>
                  <w:t>18</w:t>
                </w:r>
                <w:r w:rsidR="00C102E8">
                  <w:rPr>
                    <w:webHidden/>
                  </w:rPr>
                  <w:fldChar w:fldCharType="end"/>
                </w:r>
              </w:hyperlink>
            </w:p>
            <w:p w14:paraId="490C0513" w14:textId="4B8CFA8A" w:rsidR="00C102E8" w:rsidRDefault="008808A7">
              <w:pPr>
                <w:pStyle w:val="TOC2"/>
                <w:rPr>
                  <w:rFonts w:asciiTheme="minorHAnsi" w:eastAsiaTheme="minorEastAsia" w:hAnsiTheme="minorHAnsi" w:cstheme="minorBidi"/>
                  <w:smallCaps w:val="0"/>
                  <w:sz w:val="24"/>
                  <w:szCs w:val="24"/>
                </w:rPr>
              </w:pPr>
              <w:hyperlink w:anchor="_Toc215043372" w:history="1">
                <w:r w:rsidR="00C102E8" w:rsidRPr="00D86B9A">
                  <w:rPr>
                    <w:rStyle w:val="Hyperlink"/>
                  </w:rPr>
                  <w:t>3.4 Research Validation</w:t>
                </w:r>
                <w:r w:rsidR="00C102E8">
                  <w:rPr>
                    <w:webHidden/>
                  </w:rPr>
                  <w:tab/>
                </w:r>
                <w:r w:rsidR="00C102E8">
                  <w:rPr>
                    <w:webHidden/>
                  </w:rPr>
                  <w:fldChar w:fldCharType="begin"/>
                </w:r>
                <w:r w:rsidR="00C102E8">
                  <w:rPr>
                    <w:webHidden/>
                  </w:rPr>
                  <w:instrText xml:space="preserve"> PAGEREF _Toc215043372 \h </w:instrText>
                </w:r>
                <w:r w:rsidR="00C102E8">
                  <w:rPr>
                    <w:webHidden/>
                  </w:rPr>
                </w:r>
                <w:r w:rsidR="00C102E8">
                  <w:rPr>
                    <w:webHidden/>
                  </w:rPr>
                  <w:fldChar w:fldCharType="separate"/>
                </w:r>
                <w:r w:rsidR="00D34398">
                  <w:rPr>
                    <w:webHidden/>
                  </w:rPr>
                  <w:t>19</w:t>
                </w:r>
                <w:r w:rsidR="00C102E8">
                  <w:rPr>
                    <w:webHidden/>
                  </w:rPr>
                  <w:fldChar w:fldCharType="end"/>
                </w:r>
              </w:hyperlink>
            </w:p>
            <w:p w14:paraId="6D2B83BD" w14:textId="6D4ED46F" w:rsidR="00C102E8" w:rsidRDefault="008808A7">
              <w:pPr>
                <w:pStyle w:val="TOC2"/>
                <w:rPr>
                  <w:rFonts w:asciiTheme="minorHAnsi" w:eastAsiaTheme="minorEastAsia" w:hAnsiTheme="minorHAnsi" w:cstheme="minorBidi"/>
                  <w:smallCaps w:val="0"/>
                  <w:sz w:val="24"/>
                  <w:szCs w:val="24"/>
                </w:rPr>
              </w:pPr>
              <w:hyperlink w:anchor="_Toc215043373" w:history="1">
                <w:r w:rsidR="00C102E8" w:rsidRPr="00D86B9A">
                  <w:rPr>
                    <w:rStyle w:val="Hyperlink"/>
                  </w:rPr>
                  <w:t>3.5 Inclusion and Exclusion Criteria</w:t>
                </w:r>
                <w:r w:rsidR="00C102E8">
                  <w:rPr>
                    <w:webHidden/>
                  </w:rPr>
                  <w:tab/>
                </w:r>
                <w:r w:rsidR="00C102E8">
                  <w:rPr>
                    <w:webHidden/>
                  </w:rPr>
                  <w:fldChar w:fldCharType="begin"/>
                </w:r>
                <w:r w:rsidR="00C102E8">
                  <w:rPr>
                    <w:webHidden/>
                  </w:rPr>
                  <w:instrText xml:space="preserve"> PAGEREF _Toc215043373 \h </w:instrText>
                </w:r>
                <w:r w:rsidR="00C102E8">
                  <w:rPr>
                    <w:webHidden/>
                  </w:rPr>
                </w:r>
                <w:r w:rsidR="00C102E8">
                  <w:rPr>
                    <w:webHidden/>
                  </w:rPr>
                  <w:fldChar w:fldCharType="separate"/>
                </w:r>
                <w:r w:rsidR="00D34398">
                  <w:rPr>
                    <w:webHidden/>
                  </w:rPr>
                  <w:t>19</w:t>
                </w:r>
                <w:r w:rsidR="00C102E8">
                  <w:rPr>
                    <w:webHidden/>
                  </w:rPr>
                  <w:fldChar w:fldCharType="end"/>
                </w:r>
              </w:hyperlink>
            </w:p>
            <w:p w14:paraId="3969E1B2" w14:textId="6B87588E" w:rsidR="00C102E8" w:rsidRDefault="008808A7">
              <w:pPr>
                <w:pStyle w:val="TOC2"/>
                <w:rPr>
                  <w:rFonts w:asciiTheme="minorHAnsi" w:eastAsiaTheme="minorEastAsia" w:hAnsiTheme="minorHAnsi" w:cstheme="minorBidi"/>
                  <w:smallCaps w:val="0"/>
                  <w:sz w:val="24"/>
                  <w:szCs w:val="24"/>
                </w:rPr>
              </w:pPr>
              <w:hyperlink w:anchor="_Toc215043374" w:history="1">
                <w:r w:rsidR="00C102E8" w:rsidRPr="00D86B9A">
                  <w:rPr>
                    <w:rStyle w:val="Hyperlink"/>
                  </w:rPr>
                  <w:t>3.6 Analysing Research</w:t>
                </w:r>
                <w:r w:rsidR="00C102E8">
                  <w:rPr>
                    <w:webHidden/>
                  </w:rPr>
                  <w:tab/>
                </w:r>
                <w:r w:rsidR="00C102E8">
                  <w:rPr>
                    <w:webHidden/>
                  </w:rPr>
                  <w:fldChar w:fldCharType="begin"/>
                </w:r>
                <w:r w:rsidR="00C102E8">
                  <w:rPr>
                    <w:webHidden/>
                  </w:rPr>
                  <w:instrText xml:space="preserve"> PAGEREF _Toc215043374 \h </w:instrText>
                </w:r>
                <w:r w:rsidR="00C102E8">
                  <w:rPr>
                    <w:webHidden/>
                  </w:rPr>
                </w:r>
                <w:r w:rsidR="00C102E8">
                  <w:rPr>
                    <w:webHidden/>
                  </w:rPr>
                  <w:fldChar w:fldCharType="separate"/>
                </w:r>
                <w:r w:rsidR="00D34398">
                  <w:rPr>
                    <w:webHidden/>
                  </w:rPr>
                  <w:t>20</w:t>
                </w:r>
                <w:r w:rsidR="00C102E8">
                  <w:rPr>
                    <w:webHidden/>
                  </w:rPr>
                  <w:fldChar w:fldCharType="end"/>
                </w:r>
              </w:hyperlink>
            </w:p>
            <w:p w14:paraId="2E044334" w14:textId="144C8ACF" w:rsidR="00C102E8" w:rsidRDefault="008808A7">
              <w:pPr>
                <w:pStyle w:val="TOC2"/>
                <w:rPr>
                  <w:rFonts w:asciiTheme="minorHAnsi" w:eastAsiaTheme="minorEastAsia" w:hAnsiTheme="minorHAnsi" w:cstheme="minorBidi"/>
                  <w:smallCaps w:val="0"/>
                  <w:sz w:val="24"/>
                  <w:szCs w:val="24"/>
                </w:rPr>
              </w:pPr>
              <w:hyperlink w:anchor="_Toc215043375" w:history="1">
                <w:r w:rsidR="00C102E8" w:rsidRPr="00D86B9A">
                  <w:rPr>
                    <w:rStyle w:val="Hyperlink"/>
                  </w:rPr>
                  <w:t>3.7 Ethical Considerations</w:t>
                </w:r>
                <w:r w:rsidR="00C102E8">
                  <w:rPr>
                    <w:webHidden/>
                  </w:rPr>
                  <w:tab/>
                </w:r>
                <w:r w:rsidR="00C102E8">
                  <w:rPr>
                    <w:webHidden/>
                  </w:rPr>
                  <w:fldChar w:fldCharType="begin"/>
                </w:r>
                <w:r w:rsidR="00C102E8">
                  <w:rPr>
                    <w:webHidden/>
                  </w:rPr>
                  <w:instrText xml:space="preserve"> PAGEREF _Toc215043375 \h </w:instrText>
                </w:r>
                <w:r w:rsidR="00C102E8">
                  <w:rPr>
                    <w:webHidden/>
                  </w:rPr>
                </w:r>
                <w:r w:rsidR="00C102E8">
                  <w:rPr>
                    <w:webHidden/>
                  </w:rPr>
                  <w:fldChar w:fldCharType="separate"/>
                </w:r>
                <w:r w:rsidR="00D34398">
                  <w:rPr>
                    <w:webHidden/>
                  </w:rPr>
                  <w:t>21</w:t>
                </w:r>
                <w:r w:rsidR="00C102E8">
                  <w:rPr>
                    <w:webHidden/>
                  </w:rPr>
                  <w:fldChar w:fldCharType="end"/>
                </w:r>
              </w:hyperlink>
            </w:p>
            <w:p w14:paraId="7492FE0D" w14:textId="03C9F307" w:rsidR="00C102E8" w:rsidRDefault="008808A7">
              <w:pPr>
                <w:pStyle w:val="TOC2"/>
                <w:rPr>
                  <w:rFonts w:asciiTheme="minorHAnsi" w:eastAsiaTheme="minorEastAsia" w:hAnsiTheme="minorHAnsi" w:cstheme="minorBidi"/>
                  <w:smallCaps w:val="0"/>
                  <w:sz w:val="24"/>
                  <w:szCs w:val="24"/>
                </w:rPr>
              </w:pPr>
              <w:hyperlink w:anchor="_Toc215043376" w:history="1">
                <w:r w:rsidR="00C102E8" w:rsidRPr="00D86B9A">
                  <w:rPr>
                    <w:rStyle w:val="Hyperlink"/>
                  </w:rPr>
                  <w:t>3.8 Methodological Limitations</w:t>
                </w:r>
                <w:r w:rsidR="00C102E8">
                  <w:rPr>
                    <w:webHidden/>
                  </w:rPr>
                  <w:tab/>
                </w:r>
                <w:r w:rsidR="00C102E8">
                  <w:rPr>
                    <w:webHidden/>
                  </w:rPr>
                  <w:fldChar w:fldCharType="begin"/>
                </w:r>
                <w:r w:rsidR="00C102E8">
                  <w:rPr>
                    <w:webHidden/>
                  </w:rPr>
                  <w:instrText xml:space="preserve"> PAGEREF _Toc215043376 \h </w:instrText>
                </w:r>
                <w:r w:rsidR="00C102E8">
                  <w:rPr>
                    <w:webHidden/>
                  </w:rPr>
                </w:r>
                <w:r w:rsidR="00C102E8">
                  <w:rPr>
                    <w:webHidden/>
                  </w:rPr>
                  <w:fldChar w:fldCharType="separate"/>
                </w:r>
                <w:r w:rsidR="00D34398">
                  <w:rPr>
                    <w:webHidden/>
                  </w:rPr>
                  <w:t>21</w:t>
                </w:r>
                <w:r w:rsidR="00C102E8">
                  <w:rPr>
                    <w:webHidden/>
                  </w:rPr>
                  <w:fldChar w:fldCharType="end"/>
                </w:r>
              </w:hyperlink>
            </w:p>
            <w:p w14:paraId="46292299" w14:textId="3EFAC463" w:rsidR="00C102E8" w:rsidRDefault="008808A7">
              <w:pPr>
                <w:pStyle w:val="TOC2"/>
                <w:rPr>
                  <w:rFonts w:asciiTheme="minorHAnsi" w:eastAsiaTheme="minorEastAsia" w:hAnsiTheme="minorHAnsi" w:cstheme="minorBidi"/>
                  <w:smallCaps w:val="0"/>
                  <w:sz w:val="24"/>
                  <w:szCs w:val="24"/>
                </w:rPr>
              </w:pPr>
              <w:hyperlink w:anchor="_Toc215043377" w:history="1">
                <w:r w:rsidR="00C102E8" w:rsidRPr="00D86B9A">
                  <w:rPr>
                    <w:rStyle w:val="Hyperlink"/>
                  </w:rPr>
                  <w:t>3.9 Conclusion</w:t>
                </w:r>
                <w:r w:rsidR="00C102E8">
                  <w:rPr>
                    <w:webHidden/>
                  </w:rPr>
                  <w:tab/>
                </w:r>
                <w:r w:rsidR="00C102E8">
                  <w:rPr>
                    <w:webHidden/>
                  </w:rPr>
                  <w:fldChar w:fldCharType="begin"/>
                </w:r>
                <w:r w:rsidR="00C102E8">
                  <w:rPr>
                    <w:webHidden/>
                  </w:rPr>
                  <w:instrText xml:space="preserve"> PAGEREF _Toc215043377 \h </w:instrText>
                </w:r>
                <w:r w:rsidR="00C102E8">
                  <w:rPr>
                    <w:webHidden/>
                  </w:rPr>
                </w:r>
                <w:r w:rsidR="00C102E8">
                  <w:rPr>
                    <w:webHidden/>
                  </w:rPr>
                  <w:fldChar w:fldCharType="separate"/>
                </w:r>
                <w:r w:rsidR="00D34398">
                  <w:rPr>
                    <w:webHidden/>
                  </w:rPr>
                  <w:t>21</w:t>
                </w:r>
                <w:r w:rsidR="00C102E8">
                  <w:rPr>
                    <w:webHidden/>
                  </w:rPr>
                  <w:fldChar w:fldCharType="end"/>
                </w:r>
              </w:hyperlink>
            </w:p>
            <w:p w14:paraId="33211462" w14:textId="6634B3F9" w:rsidR="00C102E8" w:rsidRDefault="008808A7">
              <w:pPr>
                <w:pStyle w:val="TOC1"/>
                <w:tabs>
                  <w:tab w:val="right" w:leader="dot" w:pos="9016"/>
                </w:tabs>
                <w:rPr>
                  <w:rFonts w:eastAsiaTheme="minorEastAsia" w:cstheme="minorBidi"/>
                  <w:b w:val="0"/>
                  <w:bCs w:val="0"/>
                  <w:caps w:val="0"/>
                  <w:noProof/>
                  <w:sz w:val="24"/>
                  <w:szCs w:val="24"/>
                </w:rPr>
              </w:pPr>
              <w:hyperlink w:anchor="_Toc215043378" w:history="1">
                <w:r w:rsidR="00C102E8" w:rsidRPr="00D86B9A">
                  <w:rPr>
                    <w:rStyle w:val="Hyperlink"/>
                    <w:rFonts w:eastAsiaTheme="majorEastAsia" w:cs="Arial"/>
                    <w:noProof/>
                  </w:rPr>
                  <w:t>Chapter 4: Findings and Discussion</w:t>
                </w:r>
                <w:r w:rsidR="00C102E8">
                  <w:rPr>
                    <w:noProof/>
                    <w:webHidden/>
                  </w:rPr>
                  <w:tab/>
                </w:r>
                <w:r w:rsidR="00C102E8">
                  <w:rPr>
                    <w:noProof/>
                    <w:webHidden/>
                  </w:rPr>
                  <w:fldChar w:fldCharType="begin"/>
                </w:r>
                <w:r w:rsidR="00C102E8">
                  <w:rPr>
                    <w:noProof/>
                    <w:webHidden/>
                  </w:rPr>
                  <w:instrText xml:space="preserve"> PAGEREF _Toc215043378 \h </w:instrText>
                </w:r>
                <w:r w:rsidR="00C102E8">
                  <w:rPr>
                    <w:noProof/>
                    <w:webHidden/>
                  </w:rPr>
                </w:r>
                <w:r w:rsidR="00C102E8">
                  <w:rPr>
                    <w:noProof/>
                    <w:webHidden/>
                  </w:rPr>
                  <w:fldChar w:fldCharType="separate"/>
                </w:r>
                <w:r w:rsidR="00D34398">
                  <w:rPr>
                    <w:noProof/>
                    <w:webHidden/>
                  </w:rPr>
                  <w:t>22</w:t>
                </w:r>
                <w:r w:rsidR="00C102E8">
                  <w:rPr>
                    <w:noProof/>
                    <w:webHidden/>
                  </w:rPr>
                  <w:fldChar w:fldCharType="end"/>
                </w:r>
              </w:hyperlink>
            </w:p>
            <w:p w14:paraId="1717D469" w14:textId="0ED80E51" w:rsidR="00C102E8" w:rsidRDefault="008808A7">
              <w:pPr>
                <w:pStyle w:val="TOC2"/>
                <w:rPr>
                  <w:rFonts w:asciiTheme="minorHAnsi" w:eastAsiaTheme="minorEastAsia" w:hAnsiTheme="minorHAnsi" w:cstheme="minorBidi"/>
                  <w:smallCaps w:val="0"/>
                  <w:sz w:val="24"/>
                  <w:szCs w:val="24"/>
                </w:rPr>
              </w:pPr>
              <w:hyperlink w:anchor="_Toc215043379" w:history="1">
                <w:r w:rsidR="00C102E8" w:rsidRPr="00D86B9A">
                  <w:rPr>
                    <w:rStyle w:val="Hyperlink"/>
                    <w:rFonts w:eastAsiaTheme="majorEastAsia"/>
                  </w:rPr>
                  <w:t>4.1 Introduction</w:t>
                </w:r>
                <w:r w:rsidR="00C102E8">
                  <w:rPr>
                    <w:webHidden/>
                  </w:rPr>
                  <w:tab/>
                </w:r>
                <w:r w:rsidR="00C102E8">
                  <w:rPr>
                    <w:webHidden/>
                  </w:rPr>
                  <w:fldChar w:fldCharType="begin"/>
                </w:r>
                <w:r w:rsidR="00C102E8">
                  <w:rPr>
                    <w:webHidden/>
                  </w:rPr>
                  <w:instrText xml:space="preserve"> PAGEREF _Toc215043379 \h </w:instrText>
                </w:r>
                <w:r w:rsidR="00C102E8">
                  <w:rPr>
                    <w:webHidden/>
                  </w:rPr>
                </w:r>
                <w:r w:rsidR="00C102E8">
                  <w:rPr>
                    <w:webHidden/>
                  </w:rPr>
                  <w:fldChar w:fldCharType="separate"/>
                </w:r>
                <w:r w:rsidR="00D34398">
                  <w:rPr>
                    <w:webHidden/>
                  </w:rPr>
                  <w:t>22</w:t>
                </w:r>
                <w:r w:rsidR="00C102E8">
                  <w:rPr>
                    <w:webHidden/>
                  </w:rPr>
                  <w:fldChar w:fldCharType="end"/>
                </w:r>
              </w:hyperlink>
            </w:p>
            <w:p w14:paraId="083C8DB3" w14:textId="65AB4FF2" w:rsidR="00C102E8" w:rsidRDefault="008808A7">
              <w:pPr>
                <w:pStyle w:val="TOC1"/>
                <w:tabs>
                  <w:tab w:val="right" w:leader="dot" w:pos="9016"/>
                </w:tabs>
                <w:rPr>
                  <w:rFonts w:eastAsiaTheme="minorEastAsia" w:cstheme="minorBidi"/>
                  <w:b w:val="0"/>
                  <w:bCs w:val="0"/>
                  <w:caps w:val="0"/>
                  <w:noProof/>
                  <w:sz w:val="24"/>
                  <w:szCs w:val="24"/>
                </w:rPr>
              </w:pPr>
              <w:hyperlink w:anchor="_Toc215043380" w:history="1">
                <w:r w:rsidR="00C102E8" w:rsidRPr="00D86B9A">
                  <w:rPr>
                    <w:rStyle w:val="Hyperlink"/>
                    <w:rFonts w:eastAsiaTheme="majorEastAsia" w:cs="Arial"/>
                    <w:noProof/>
                  </w:rPr>
                  <w:t>4.2 Theme 1: Low-Income Status and Substance Misuse in England</w:t>
                </w:r>
                <w:r w:rsidR="00C102E8">
                  <w:rPr>
                    <w:noProof/>
                    <w:webHidden/>
                  </w:rPr>
                  <w:tab/>
                </w:r>
                <w:r w:rsidR="00C102E8">
                  <w:rPr>
                    <w:noProof/>
                    <w:webHidden/>
                  </w:rPr>
                  <w:fldChar w:fldCharType="begin"/>
                </w:r>
                <w:r w:rsidR="00C102E8">
                  <w:rPr>
                    <w:noProof/>
                    <w:webHidden/>
                  </w:rPr>
                  <w:instrText xml:space="preserve"> PAGEREF _Toc215043380 \h </w:instrText>
                </w:r>
                <w:r w:rsidR="00C102E8">
                  <w:rPr>
                    <w:noProof/>
                    <w:webHidden/>
                  </w:rPr>
                </w:r>
                <w:r w:rsidR="00C102E8">
                  <w:rPr>
                    <w:noProof/>
                    <w:webHidden/>
                  </w:rPr>
                  <w:fldChar w:fldCharType="separate"/>
                </w:r>
                <w:r w:rsidR="00D34398">
                  <w:rPr>
                    <w:noProof/>
                    <w:webHidden/>
                  </w:rPr>
                  <w:t>23</w:t>
                </w:r>
                <w:r w:rsidR="00C102E8">
                  <w:rPr>
                    <w:noProof/>
                    <w:webHidden/>
                  </w:rPr>
                  <w:fldChar w:fldCharType="end"/>
                </w:r>
              </w:hyperlink>
            </w:p>
            <w:p w14:paraId="1614BF6E" w14:textId="047AADE3" w:rsidR="00C102E8" w:rsidRDefault="008808A7">
              <w:pPr>
                <w:pStyle w:val="TOC2"/>
                <w:rPr>
                  <w:rFonts w:asciiTheme="minorHAnsi" w:eastAsiaTheme="minorEastAsia" w:hAnsiTheme="minorHAnsi" w:cstheme="minorBidi"/>
                  <w:smallCaps w:val="0"/>
                  <w:sz w:val="24"/>
                  <w:szCs w:val="24"/>
                </w:rPr>
              </w:pPr>
              <w:hyperlink w:anchor="_Toc215043381" w:history="1">
                <w:r w:rsidR="00C102E8" w:rsidRPr="00D86B9A">
                  <w:rPr>
                    <w:rStyle w:val="Hyperlink"/>
                  </w:rPr>
                  <w:t>1.Definition and Scope</w:t>
                </w:r>
                <w:r w:rsidR="00C102E8">
                  <w:rPr>
                    <w:webHidden/>
                  </w:rPr>
                  <w:tab/>
                </w:r>
                <w:r w:rsidR="00C102E8">
                  <w:rPr>
                    <w:webHidden/>
                  </w:rPr>
                  <w:fldChar w:fldCharType="begin"/>
                </w:r>
                <w:r w:rsidR="00C102E8">
                  <w:rPr>
                    <w:webHidden/>
                  </w:rPr>
                  <w:instrText xml:space="preserve"> PAGEREF _Toc215043381 \h </w:instrText>
                </w:r>
                <w:r w:rsidR="00C102E8">
                  <w:rPr>
                    <w:webHidden/>
                  </w:rPr>
                </w:r>
                <w:r w:rsidR="00C102E8">
                  <w:rPr>
                    <w:webHidden/>
                  </w:rPr>
                  <w:fldChar w:fldCharType="separate"/>
                </w:r>
                <w:r w:rsidR="00D34398">
                  <w:rPr>
                    <w:webHidden/>
                  </w:rPr>
                  <w:t>23</w:t>
                </w:r>
                <w:r w:rsidR="00C102E8">
                  <w:rPr>
                    <w:webHidden/>
                  </w:rPr>
                  <w:fldChar w:fldCharType="end"/>
                </w:r>
              </w:hyperlink>
            </w:p>
            <w:p w14:paraId="3500A9AA" w14:textId="27801079" w:rsidR="00C102E8" w:rsidRDefault="008808A7">
              <w:pPr>
                <w:pStyle w:val="TOC2"/>
                <w:rPr>
                  <w:rFonts w:asciiTheme="minorHAnsi" w:eastAsiaTheme="minorEastAsia" w:hAnsiTheme="minorHAnsi" w:cstheme="minorBidi"/>
                  <w:smallCaps w:val="0"/>
                  <w:sz w:val="24"/>
                  <w:szCs w:val="24"/>
                </w:rPr>
              </w:pPr>
              <w:hyperlink w:anchor="_Toc215043382" w:history="1">
                <w:r w:rsidR="00C102E8" w:rsidRPr="00D86B9A">
                  <w:rPr>
                    <w:rStyle w:val="Hyperlink"/>
                  </w:rPr>
                  <w:t>2.Background</w:t>
                </w:r>
                <w:r w:rsidR="00C102E8">
                  <w:rPr>
                    <w:webHidden/>
                  </w:rPr>
                  <w:tab/>
                </w:r>
                <w:r w:rsidR="00C102E8">
                  <w:rPr>
                    <w:webHidden/>
                  </w:rPr>
                  <w:fldChar w:fldCharType="begin"/>
                </w:r>
                <w:r w:rsidR="00C102E8">
                  <w:rPr>
                    <w:webHidden/>
                  </w:rPr>
                  <w:instrText xml:space="preserve"> PAGEREF _Toc215043382 \h </w:instrText>
                </w:r>
                <w:r w:rsidR="00C102E8">
                  <w:rPr>
                    <w:webHidden/>
                  </w:rPr>
                </w:r>
                <w:r w:rsidR="00C102E8">
                  <w:rPr>
                    <w:webHidden/>
                  </w:rPr>
                  <w:fldChar w:fldCharType="separate"/>
                </w:r>
                <w:r w:rsidR="00D34398">
                  <w:rPr>
                    <w:webHidden/>
                  </w:rPr>
                  <w:t>23</w:t>
                </w:r>
                <w:r w:rsidR="00C102E8">
                  <w:rPr>
                    <w:webHidden/>
                  </w:rPr>
                  <w:fldChar w:fldCharType="end"/>
                </w:r>
              </w:hyperlink>
            </w:p>
            <w:p w14:paraId="7579BC44" w14:textId="3783AD60" w:rsidR="00C102E8" w:rsidRDefault="008808A7">
              <w:pPr>
                <w:pStyle w:val="TOC2"/>
                <w:rPr>
                  <w:rFonts w:asciiTheme="minorHAnsi" w:eastAsiaTheme="minorEastAsia" w:hAnsiTheme="minorHAnsi" w:cstheme="minorBidi"/>
                  <w:smallCaps w:val="0"/>
                  <w:sz w:val="24"/>
                  <w:szCs w:val="24"/>
                </w:rPr>
              </w:pPr>
              <w:hyperlink w:anchor="_Toc215043383" w:history="1">
                <w:r w:rsidR="00C102E8" w:rsidRPr="00D86B9A">
                  <w:rPr>
                    <w:rStyle w:val="Hyperlink"/>
                  </w:rPr>
                  <w:t>3.Relevance to Research Question</w:t>
                </w:r>
                <w:r w:rsidR="00C102E8">
                  <w:rPr>
                    <w:webHidden/>
                  </w:rPr>
                  <w:tab/>
                </w:r>
                <w:r w:rsidR="00C102E8">
                  <w:rPr>
                    <w:webHidden/>
                  </w:rPr>
                  <w:fldChar w:fldCharType="begin"/>
                </w:r>
                <w:r w:rsidR="00C102E8">
                  <w:rPr>
                    <w:webHidden/>
                  </w:rPr>
                  <w:instrText xml:space="preserve"> PAGEREF _Toc215043383 \h </w:instrText>
                </w:r>
                <w:r w:rsidR="00C102E8">
                  <w:rPr>
                    <w:webHidden/>
                  </w:rPr>
                </w:r>
                <w:r w:rsidR="00C102E8">
                  <w:rPr>
                    <w:webHidden/>
                  </w:rPr>
                  <w:fldChar w:fldCharType="separate"/>
                </w:r>
                <w:r w:rsidR="00D34398">
                  <w:rPr>
                    <w:webHidden/>
                  </w:rPr>
                  <w:t>24</w:t>
                </w:r>
                <w:r w:rsidR="00C102E8">
                  <w:rPr>
                    <w:webHidden/>
                  </w:rPr>
                  <w:fldChar w:fldCharType="end"/>
                </w:r>
              </w:hyperlink>
            </w:p>
            <w:p w14:paraId="5A3870EA" w14:textId="5F02EDA7" w:rsidR="00C102E8" w:rsidRDefault="008808A7">
              <w:pPr>
                <w:pStyle w:val="TOC2"/>
                <w:rPr>
                  <w:rFonts w:asciiTheme="minorHAnsi" w:eastAsiaTheme="minorEastAsia" w:hAnsiTheme="minorHAnsi" w:cstheme="minorBidi"/>
                  <w:smallCaps w:val="0"/>
                  <w:sz w:val="24"/>
                  <w:szCs w:val="24"/>
                </w:rPr>
              </w:pPr>
              <w:hyperlink w:anchor="_Toc215043384" w:history="1">
                <w:r w:rsidR="00C102E8" w:rsidRPr="00D86B9A">
                  <w:rPr>
                    <w:rStyle w:val="Hyperlink"/>
                  </w:rPr>
                  <w:t>4.Data and Statistics</w:t>
                </w:r>
                <w:r w:rsidR="00C102E8">
                  <w:rPr>
                    <w:webHidden/>
                  </w:rPr>
                  <w:tab/>
                </w:r>
                <w:r w:rsidR="00C102E8">
                  <w:rPr>
                    <w:webHidden/>
                  </w:rPr>
                  <w:fldChar w:fldCharType="begin"/>
                </w:r>
                <w:r w:rsidR="00C102E8">
                  <w:rPr>
                    <w:webHidden/>
                  </w:rPr>
                  <w:instrText xml:space="preserve"> PAGEREF _Toc215043384 \h </w:instrText>
                </w:r>
                <w:r w:rsidR="00C102E8">
                  <w:rPr>
                    <w:webHidden/>
                  </w:rPr>
                </w:r>
                <w:r w:rsidR="00C102E8">
                  <w:rPr>
                    <w:webHidden/>
                  </w:rPr>
                  <w:fldChar w:fldCharType="separate"/>
                </w:r>
                <w:r w:rsidR="00D34398">
                  <w:rPr>
                    <w:webHidden/>
                  </w:rPr>
                  <w:t>24</w:t>
                </w:r>
                <w:r w:rsidR="00C102E8">
                  <w:rPr>
                    <w:webHidden/>
                  </w:rPr>
                  <w:fldChar w:fldCharType="end"/>
                </w:r>
              </w:hyperlink>
            </w:p>
            <w:p w14:paraId="4250B6B8" w14:textId="32BD8E75" w:rsidR="00C102E8" w:rsidRDefault="008808A7">
              <w:pPr>
                <w:pStyle w:val="TOC2"/>
                <w:rPr>
                  <w:rFonts w:asciiTheme="minorHAnsi" w:eastAsiaTheme="minorEastAsia" w:hAnsiTheme="minorHAnsi" w:cstheme="minorBidi"/>
                  <w:smallCaps w:val="0"/>
                  <w:sz w:val="24"/>
                  <w:szCs w:val="24"/>
                </w:rPr>
              </w:pPr>
              <w:hyperlink w:anchor="_Toc215043385" w:history="1">
                <w:r w:rsidR="00C102E8" w:rsidRPr="00D86B9A">
                  <w:rPr>
                    <w:rStyle w:val="Hyperlink"/>
                  </w:rPr>
                  <w:t>5.Theories, Policy, and Legislation</w:t>
                </w:r>
                <w:r w:rsidR="00C102E8">
                  <w:rPr>
                    <w:webHidden/>
                  </w:rPr>
                  <w:tab/>
                </w:r>
                <w:r w:rsidR="00C102E8">
                  <w:rPr>
                    <w:webHidden/>
                  </w:rPr>
                  <w:fldChar w:fldCharType="begin"/>
                </w:r>
                <w:r w:rsidR="00C102E8">
                  <w:rPr>
                    <w:webHidden/>
                  </w:rPr>
                  <w:instrText xml:space="preserve"> PAGEREF _Toc215043385 \h </w:instrText>
                </w:r>
                <w:r w:rsidR="00C102E8">
                  <w:rPr>
                    <w:webHidden/>
                  </w:rPr>
                </w:r>
                <w:r w:rsidR="00C102E8">
                  <w:rPr>
                    <w:webHidden/>
                  </w:rPr>
                  <w:fldChar w:fldCharType="separate"/>
                </w:r>
                <w:r w:rsidR="00D34398">
                  <w:rPr>
                    <w:webHidden/>
                  </w:rPr>
                  <w:t>24</w:t>
                </w:r>
                <w:r w:rsidR="00C102E8">
                  <w:rPr>
                    <w:webHidden/>
                  </w:rPr>
                  <w:fldChar w:fldCharType="end"/>
                </w:r>
              </w:hyperlink>
            </w:p>
            <w:p w14:paraId="2D7E9865" w14:textId="268CAF6A" w:rsidR="00C102E8" w:rsidRDefault="008808A7">
              <w:pPr>
                <w:pStyle w:val="TOC2"/>
                <w:rPr>
                  <w:rFonts w:asciiTheme="minorHAnsi" w:eastAsiaTheme="minorEastAsia" w:hAnsiTheme="minorHAnsi" w:cstheme="minorBidi"/>
                  <w:smallCaps w:val="0"/>
                  <w:sz w:val="24"/>
                  <w:szCs w:val="24"/>
                </w:rPr>
              </w:pPr>
              <w:hyperlink w:anchor="_Toc215043386" w:history="1">
                <w:r w:rsidR="00C102E8" w:rsidRPr="00D86B9A">
                  <w:rPr>
                    <w:rStyle w:val="Hyperlink"/>
                  </w:rPr>
                  <w:t>6.Examples from Articles</w:t>
                </w:r>
                <w:r w:rsidR="00C102E8">
                  <w:rPr>
                    <w:webHidden/>
                  </w:rPr>
                  <w:tab/>
                </w:r>
                <w:r w:rsidR="00C102E8">
                  <w:rPr>
                    <w:webHidden/>
                  </w:rPr>
                  <w:fldChar w:fldCharType="begin"/>
                </w:r>
                <w:r w:rsidR="00C102E8">
                  <w:rPr>
                    <w:webHidden/>
                  </w:rPr>
                  <w:instrText xml:space="preserve"> PAGEREF _Toc215043386 \h </w:instrText>
                </w:r>
                <w:r w:rsidR="00C102E8">
                  <w:rPr>
                    <w:webHidden/>
                  </w:rPr>
                </w:r>
                <w:r w:rsidR="00C102E8">
                  <w:rPr>
                    <w:webHidden/>
                  </w:rPr>
                  <w:fldChar w:fldCharType="separate"/>
                </w:r>
                <w:r w:rsidR="00D34398">
                  <w:rPr>
                    <w:webHidden/>
                  </w:rPr>
                  <w:t>25</w:t>
                </w:r>
                <w:r w:rsidR="00C102E8">
                  <w:rPr>
                    <w:webHidden/>
                  </w:rPr>
                  <w:fldChar w:fldCharType="end"/>
                </w:r>
              </w:hyperlink>
            </w:p>
            <w:p w14:paraId="6CA93594" w14:textId="3A24E4F5" w:rsidR="00C102E8" w:rsidRDefault="008808A7">
              <w:pPr>
                <w:pStyle w:val="TOC2"/>
                <w:rPr>
                  <w:rFonts w:asciiTheme="minorHAnsi" w:eastAsiaTheme="minorEastAsia" w:hAnsiTheme="minorHAnsi" w:cstheme="minorBidi"/>
                  <w:smallCaps w:val="0"/>
                  <w:sz w:val="24"/>
                  <w:szCs w:val="24"/>
                </w:rPr>
              </w:pPr>
              <w:hyperlink w:anchor="_Toc215043387" w:history="1">
                <w:r w:rsidR="00C102E8" w:rsidRPr="00D86B9A">
                  <w:rPr>
                    <w:rStyle w:val="Hyperlink"/>
                  </w:rPr>
                  <w:t>7.Connections to Other Themes</w:t>
                </w:r>
                <w:r w:rsidR="00C102E8">
                  <w:rPr>
                    <w:webHidden/>
                  </w:rPr>
                  <w:tab/>
                </w:r>
                <w:r w:rsidR="00C102E8">
                  <w:rPr>
                    <w:webHidden/>
                  </w:rPr>
                  <w:fldChar w:fldCharType="begin"/>
                </w:r>
                <w:r w:rsidR="00C102E8">
                  <w:rPr>
                    <w:webHidden/>
                  </w:rPr>
                  <w:instrText xml:space="preserve"> PAGEREF _Toc215043387 \h </w:instrText>
                </w:r>
                <w:r w:rsidR="00C102E8">
                  <w:rPr>
                    <w:webHidden/>
                  </w:rPr>
                </w:r>
                <w:r w:rsidR="00C102E8">
                  <w:rPr>
                    <w:webHidden/>
                  </w:rPr>
                  <w:fldChar w:fldCharType="separate"/>
                </w:r>
                <w:r w:rsidR="00D34398">
                  <w:rPr>
                    <w:webHidden/>
                  </w:rPr>
                  <w:t>25</w:t>
                </w:r>
                <w:r w:rsidR="00C102E8">
                  <w:rPr>
                    <w:webHidden/>
                  </w:rPr>
                  <w:fldChar w:fldCharType="end"/>
                </w:r>
              </w:hyperlink>
            </w:p>
            <w:p w14:paraId="32795545" w14:textId="0181E484" w:rsidR="00C102E8" w:rsidRDefault="008808A7">
              <w:pPr>
                <w:pStyle w:val="TOC1"/>
                <w:tabs>
                  <w:tab w:val="right" w:leader="dot" w:pos="9016"/>
                </w:tabs>
                <w:rPr>
                  <w:rFonts w:eastAsiaTheme="minorEastAsia" w:cstheme="minorBidi"/>
                  <w:b w:val="0"/>
                  <w:bCs w:val="0"/>
                  <w:caps w:val="0"/>
                  <w:noProof/>
                  <w:sz w:val="24"/>
                  <w:szCs w:val="24"/>
                </w:rPr>
              </w:pPr>
              <w:hyperlink w:anchor="_Toc215043388" w:history="1">
                <w:r w:rsidR="00C102E8" w:rsidRPr="00D86B9A">
                  <w:rPr>
                    <w:rStyle w:val="Hyperlink"/>
                    <w:rFonts w:eastAsiaTheme="majorEastAsia" w:cs="Arial"/>
                    <w:noProof/>
                  </w:rPr>
                  <w:t>4.3 Theme 2: Untreated Mental Health Disorders and Dual Diagnosis</w:t>
                </w:r>
                <w:r w:rsidR="00C102E8">
                  <w:rPr>
                    <w:noProof/>
                    <w:webHidden/>
                  </w:rPr>
                  <w:tab/>
                </w:r>
                <w:r w:rsidR="00C102E8">
                  <w:rPr>
                    <w:noProof/>
                    <w:webHidden/>
                  </w:rPr>
                  <w:fldChar w:fldCharType="begin"/>
                </w:r>
                <w:r w:rsidR="00C102E8">
                  <w:rPr>
                    <w:noProof/>
                    <w:webHidden/>
                  </w:rPr>
                  <w:instrText xml:space="preserve"> PAGEREF _Toc215043388 \h </w:instrText>
                </w:r>
                <w:r w:rsidR="00C102E8">
                  <w:rPr>
                    <w:noProof/>
                    <w:webHidden/>
                  </w:rPr>
                </w:r>
                <w:r w:rsidR="00C102E8">
                  <w:rPr>
                    <w:noProof/>
                    <w:webHidden/>
                  </w:rPr>
                  <w:fldChar w:fldCharType="separate"/>
                </w:r>
                <w:r w:rsidR="00D34398">
                  <w:rPr>
                    <w:noProof/>
                    <w:webHidden/>
                  </w:rPr>
                  <w:t>26</w:t>
                </w:r>
                <w:r w:rsidR="00C102E8">
                  <w:rPr>
                    <w:noProof/>
                    <w:webHidden/>
                  </w:rPr>
                  <w:fldChar w:fldCharType="end"/>
                </w:r>
              </w:hyperlink>
            </w:p>
            <w:p w14:paraId="73C8FE1F" w14:textId="5F8050F9" w:rsidR="00C102E8" w:rsidRDefault="008808A7">
              <w:pPr>
                <w:pStyle w:val="TOC2"/>
                <w:rPr>
                  <w:rFonts w:asciiTheme="minorHAnsi" w:eastAsiaTheme="minorEastAsia" w:hAnsiTheme="minorHAnsi" w:cstheme="minorBidi"/>
                  <w:smallCaps w:val="0"/>
                  <w:sz w:val="24"/>
                  <w:szCs w:val="24"/>
                </w:rPr>
              </w:pPr>
              <w:hyperlink w:anchor="_Toc215043389" w:history="1">
                <w:r w:rsidR="00C102E8" w:rsidRPr="00D86B9A">
                  <w:rPr>
                    <w:rStyle w:val="Hyperlink"/>
                  </w:rPr>
                  <w:t>1.Definition and Scope</w:t>
                </w:r>
                <w:r w:rsidR="00C102E8">
                  <w:rPr>
                    <w:webHidden/>
                  </w:rPr>
                  <w:tab/>
                </w:r>
                <w:r w:rsidR="00C102E8">
                  <w:rPr>
                    <w:webHidden/>
                  </w:rPr>
                  <w:fldChar w:fldCharType="begin"/>
                </w:r>
                <w:r w:rsidR="00C102E8">
                  <w:rPr>
                    <w:webHidden/>
                  </w:rPr>
                  <w:instrText xml:space="preserve"> PAGEREF _Toc215043389 \h </w:instrText>
                </w:r>
                <w:r w:rsidR="00C102E8">
                  <w:rPr>
                    <w:webHidden/>
                  </w:rPr>
                </w:r>
                <w:r w:rsidR="00C102E8">
                  <w:rPr>
                    <w:webHidden/>
                  </w:rPr>
                  <w:fldChar w:fldCharType="separate"/>
                </w:r>
                <w:r w:rsidR="00D34398">
                  <w:rPr>
                    <w:webHidden/>
                  </w:rPr>
                  <w:t>26</w:t>
                </w:r>
                <w:r w:rsidR="00C102E8">
                  <w:rPr>
                    <w:webHidden/>
                  </w:rPr>
                  <w:fldChar w:fldCharType="end"/>
                </w:r>
              </w:hyperlink>
            </w:p>
            <w:p w14:paraId="00C9E519" w14:textId="59A9E2DD" w:rsidR="00C102E8" w:rsidRDefault="008808A7">
              <w:pPr>
                <w:pStyle w:val="TOC2"/>
                <w:rPr>
                  <w:rFonts w:asciiTheme="minorHAnsi" w:eastAsiaTheme="minorEastAsia" w:hAnsiTheme="minorHAnsi" w:cstheme="minorBidi"/>
                  <w:smallCaps w:val="0"/>
                  <w:sz w:val="24"/>
                  <w:szCs w:val="24"/>
                </w:rPr>
              </w:pPr>
              <w:hyperlink w:anchor="_Toc215043390" w:history="1">
                <w:r w:rsidR="00C102E8" w:rsidRPr="00D86B9A">
                  <w:rPr>
                    <w:rStyle w:val="Hyperlink"/>
                  </w:rPr>
                  <w:t>2.Background</w:t>
                </w:r>
                <w:r w:rsidR="00C102E8">
                  <w:rPr>
                    <w:webHidden/>
                  </w:rPr>
                  <w:tab/>
                </w:r>
                <w:r w:rsidR="00C102E8">
                  <w:rPr>
                    <w:webHidden/>
                  </w:rPr>
                  <w:fldChar w:fldCharType="begin"/>
                </w:r>
                <w:r w:rsidR="00C102E8">
                  <w:rPr>
                    <w:webHidden/>
                  </w:rPr>
                  <w:instrText xml:space="preserve"> PAGEREF _Toc215043390 \h </w:instrText>
                </w:r>
                <w:r w:rsidR="00C102E8">
                  <w:rPr>
                    <w:webHidden/>
                  </w:rPr>
                </w:r>
                <w:r w:rsidR="00C102E8">
                  <w:rPr>
                    <w:webHidden/>
                  </w:rPr>
                  <w:fldChar w:fldCharType="separate"/>
                </w:r>
                <w:r w:rsidR="00D34398">
                  <w:rPr>
                    <w:webHidden/>
                  </w:rPr>
                  <w:t>26</w:t>
                </w:r>
                <w:r w:rsidR="00C102E8">
                  <w:rPr>
                    <w:webHidden/>
                  </w:rPr>
                  <w:fldChar w:fldCharType="end"/>
                </w:r>
              </w:hyperlink>
            </w:p>
            <w:p w14:paraId="5C66B10B" w14:textId="79F3C885" w:rsidR="00C102E8" w:rsidRDefault="008808A7">
              <w:pPr>
                <w:pStyle w:val="TOC2"/>
                <w:rPr>
                  <w:rFonts w:asciiTheme="minorHAnsi" w:eastAsiaTheme="minorEastAsia" w:hAnsiTheme="minorHAnsi" w:cstheme="minorBidi"/>
                  <w:smallCaps w:val="0"/>
                  <w:sz w:val="24"/>
                  <w:szCs w:val="24"/>
                </w:rPr>
              </w:pPr>
              <w:hyperlink w:anchor="_Toc215043391" w:history="1">
                <w:r w:rsidR="00C102E8" w:rsidRPr="00D86B9A">
                  <w:rPr>
                    <w:rStyle w:val="Hyperlink"/>
                  </w:rPr>
                  <w:t>3. Relevance to Research Question</w:t>
                </w:r>
                <w:r w:rsidR="00C102E8">
                  <w:rPr>
                    <w:webHidden/>
                  </w:rPr>
                  <w:tab/>
                </w:r>
                <w:r w:rsidR="00C102E8">
                  <w:rPr>
                    <w:webHidden/>
                  </w:rPr>
                  <w:fldChar w:fldCharType="begin"/>
                </w:r>
                <w:r w:rsidR="00C102E8">
                  <w:rPr>
                    <w:webHidden/>
                  </w:rPr>
                  <w:instrText xml:space="preserve"> PAGEREF _Toc215043391 \h </w:instrText>
                </w:r>
                <w:r w:rsidR="00C102E8">
                  <w:rPr>
                    <w:webHidden/>
                  </w:rPr>
                </w:r>
                <w:r w:rsidR="00C102E8">
                  <w:rPr>
                    <w:webHidden/>
                  </w:rPr>
                  <w:fldChar w:fldCharType="separate"/>
                </w:r>
                <w:r w:rsidR="00D34398">
                  <w:rPr>
                    <w:webHidden/>
                  </w:rPr>
                  <w:t>27</w:t>
                </w:r>
                <w:r w:rsidR="00C102E8">
                  <w:rPr>
                    <w:webHidden/>
                  </w:rPr>
                  <w:fldChar w:fldCharType="end"/>
                </w:r>
              </w:hyperlink>
            </w:p>
            <w:p w14:paraId="6AA2DF57" w14:textId="272F01B4" w:rsidR="00C102E8" w:rsidRDefault="008808A7">
              <w:pPr>
                <w:pStyle w:val="TOC2"/>
                <w:rPr>
                  <w:rFonts w:asciiTheme="minorHAnsi" w:eastAsiaTheme="minorEastAsia" w:hAnsiTheme="minorHAnsi" w:cstheme="minorBidi"/>
                  <w:smallCaps w:val="0"/>
                  <w:sz w:val="24"/>
                  <w:szCs w:val="24"/>
                </w:rPr>
              </w:pPr>
              <w:hyperlink w:anchor="_Toc215043392" w:history="1">
                <w:r w:rsidR="00C102E8" w:rsidRPr="00D86B9A">
                  <w:rPr>
                    <w:rStyle w:val="Hyperlink"/>
                  </w:rPr>
                  <w:t>4. Data and Statistics</w:t>
                </w:r>
                <w:r w:rsidR="00C102E8">
                  <w:rPr>
                    <w:webHidden/>
                  </w:rPr>
                  <w:tab/>
                </w:r>
                <w:r w:rsidR="00C102E8">
                  <w:rPr>
                    <w:webHidden/>
                  </w:rPr>
                  <w:fldChar w:fldCharType="begin"/>
                </w:r>
                <w:r w:rsidR="00C102E8">
                  <w:rPr>
                    <w:webHidden/>
                  </w:rPr>
                  <w:instrText xml:space="preserve"> PAGEREF _Toc215043392 \h </w:instrText>
                </w:r>
                <w:r w:rsidR="00C102E8">
                  <w:rPr>
                    <w:webHidden/>
                  </w:rPr>
                </w:r>
                <w:r w:rsidR="00C102E8">
                  <w:rPr>
                    <w:webHidden/>
                  </w:rPr>
                  <w:fldChar w:fldCharType="separate"/>
                </w:r>
                <w:r w:rsidR="00D34398">
                  <w:rPr>
                    <w:webHidden/>
                  </w:rPr>
                  <w:t>27</w:t>
                </w:r>
                <w:r w:rsidR="00C102E8">
                  <w:rPr>
                    <w:webHidden/>
                  </w:rPr>
                  <w:fldChar w:fldCharType="end"/>
                </w:r>
              </w:hyperlink>
            </w:p>
            <w:p w14:paraId="055F0AF0" w14:textId="01C028D1" w:rsidR="00C102E8" w:rsidRDefault="008808A7">
              <w:pPr>
                <w:pStyle w:val="TOC2"/>
                <w:rPr>
                  <w:rFonts w:asciiTheme="minorHAnsi" w:eastAsiaTheme="minorEastAsia" w:hAnsiTheme="minorHAnsi" w:cstheme="minorBidi"/>
                  <w:smallCaps w:val="0"/>
                  <w:sz w:val="24"/>
                  <w:szCs w:val="24"/>
                </w:rPr>
              </w:pPr>
              <w:hyperlink w:anchor="_Toc215043393" w:history="1">
                <w:r w:rsidR="00C102E8" w:rsidRPr="00D86B9A">
                  <w:rPr>
                    <w:rStyle w:val="Hyperlink"/>
                  </w:rPr>
                  <w:t>5. Theories, Policy, and Legislation</w:t>
                </w:r>
                <w:r w:rsidR="00C102E8">
                  <w:rPr>
                    <w:webHidden/>
                  </w:rPr>
                  <w:tab/>
                </w:r>
                <w:r w:rsidR="00C102E8">
                  <w:rPr>
                    <w:webHidden/>
                  </w:rPr>
                  <w:fldChar w:fldCharType="begin"/>
                </w:r>
                <w:r w:rsidR="00C102E8">
                  <w:rPr>
                    <w:webHidden/>
                  </w:rPr>
                  <w:instrText xml:space="preserve"> PAGEREF _Toc215043393 \h </w:instrText>
                </w:r>
                <w:r w:rsidR="00C102E8">
                  <w:rPr>
                    <w:webHidden/>
                  </w:rPr>
                </w:r>
                <w:r w:rsidR="00C102E8">
                  <w:rPr>
                    <w:webHidden/>
                  </w:rPr>
                  <w:fldChar w:fldCharType="separate"/>
                </w:r>
                <w:r w:rsidR="00D34398">
                  <w:rPr>
                    <w:webHidden/>
                  </w:rPr>
                  <w:t>27</w:t>
                </w:r>
                <w:r w:rsidR="00C102E8">
                  <w:rPr>
                    <w:webHidden/>
                  </w:rPr>
                  <w:fldChar w:fldCharType="end"/>
                </w:r>
              </w:hyperlink>
            </w:p>
            <w:p w14:paraId="2A33561B" w14:textId="2701D8D4" w:rsidR="00C102E8" w:rsidRDefault="008808A7">
              <w:pPr>
                <w:pStyle w:val="TOC2"/>
                <w:rPr>
                  <w:rFonts w:asciiTheme="minorHAnsi" w:eastAsiaTheme="minorEastAsia" w:hAnsiTheme="minorHAnsi" w:cstheme="minorBidi"/>
                  <w:smallCaps w:val="0"/>
                  <w:sz w:val="24"/>
                  <w:szCs w:val="24"/>
                </w:rPr>
              </w:pPr>
              <w:hyperlink w:anchor="_Toc215043394" w:history="1">
                <w:r w:rsidR="00C102E8" w:rsidRPr="00D86B9A">
                  <w:rPr>
                    <w:rStyle w:val="Hyperlink"/>
                  </w:rPr>
                  <w:t>6. Examples from Articles</w:t>
                </w:r>
                <w:r w:rsidR="00C102E8">
                  <w:rPr>
                    <w:webHidden/>
                  </w:rPr>
                  <w:tab/>
                </w:r>
                <w:r w:rsidR="00C102E8">
                  <w:rPr>
                    <w:webHidden/>
                  </w:rPr>
                  <w:fldChar w:fldCharType="begin"/>
                </w:r>
                <w:r w:rsidR="00C102E8">
                  <w:rPr>
                    <w:webHidden/>
                  </w:rPr>
                  <w:instrText xml:space="preserve"> PAGEREF _Toc215043394 \h </w:instrText>
                </w:r>
                <w:r w:rsidR="00C102E8">
                  <w:rPr>
                    <w:webHidden/>
                  </w:rPr>
                </w:r>
                <w:r w:rsidR="00C102E8">
                  <w:rPr>
                    <w:webHidden/>
                  </w:rPr>
                  <w:fldChar w:fldCharType="separate"/>
                </w:r>
                <w:r w:rsidR="00D34398">
                  <w:rPr>
                    <w:webHidden/>
                  </w:rPr>
                  <w:t>28</w:t>
                </w:r>
                <w:r w:rsidR="00C102E8">
                  <w:rPr>
                    <w:webHidden/>
                  </w:rPr>
                  <w:fldChar w:fldCharType="end"/>
                </w:r>
              </w:hyperlink>
            </w:p>
            <w:p w14:paraId="0E7B1723" w14:textId="5547B863" w:rsidR="00C102E8" w:rsidRDefault="008808A7">
              <w:pPr>
                <w:pStyle w:val="TOC2"/>
                <w:rPr>
                  <w:rFonts w:asciiTheme="minorHAnsi" w:eastAsiaTheme="minorEastAsia" w:hAnsiTheme="minorHAnsi" w:cstheme="minorBidi"/>
                  <w:smallCaps w:val="0"/>
                  <w:sz w:val="24"/>
                  <w:szCs w:val="24"/>
                </w:rPr>
              </w:pPr>
              <w:hyperlink w:anchor="_Toc215043395" w:history="1">
                <w:r w:rsidR="00C102E8" w:rsidRPr="00D86B9A">
                  <w:rPr>
                    <w:rStyle w:val="Hyperlink"/>
                  </w:rPr>
                  <w:t>7. Connections to Other Themes</w:t>
                </w:r>
                <w:r w:rsidR="00C102E8">
                  <w:rPr>
                    <w:webHidden/>
                  </w:rPr>
                  <w:tab/>
                </w:r>
                <w:r w:rsidR="00C102E8">
                  <w:rPr>
                    <w:webHidden/>
                  </w:rPr>
                  <w:fldChar w:fldCharType="begin"/>
                </w:r>
                <w:r w:rsidR="00C102E8">
                  <w:rPr>
                    <w:webHidden/>
                  </w:rPr>
                  <w:instrText xml:space="preserve"> PAGEREF _Toc215043395 \h </w:instrText>
                </w:r>
                <w:r w:rsidR="00C102E8">
                  <w:rPr>
                    <w:webHidden/>
                  </w:rPr>
                </w:r>
                <w:r w:rsidR="00C102E8">
                  <w:rPr>
                    <w:webHidden/>
                  </w:rPr>
                  <w:fldChar w:fldCharType="separate"/>
                </w:r>
                <w:r w:rsidR="00D34398">
                  <w:rPr>
                    <w:webHidden/>
                  </w:rPr>
                  <w:t>28</w:t>
                </w:r>
                <w:r w:rsidR="00C102E8">
                  <w:rPr>
                    <w:webHidden/>
                  </w:rPr>
                  <w:fldChar w:fldCharType="end"/>
                </w:r>
              </w:hyperlink>
            </w:p>
            <w:p w14:paraId="23335E93" w14:textId="78A8FB75" w:rsidR="00C102E8" w:rsidRDefault="008808A7">
              <w:pPr>
                <w:pStyle w:val="TOC1"/>
                <w:tabs>
                  <w:tab w:val="right" w:leader="dot" w:pos="9016"/>
                </w:tabs>
                <w:rPr>
                  <w:rFonts w:eastAsiaTheme="minorEastAsia" w:cstheme="minorBidi"/>
                  <w:b w:val="0"/>
                  <w:bCs w:val="0"/>
                  <w:caps w:val="0"/>
                  <w:noProof/>
                  <w:sz w:val="24"/>
                  <w:szCs w:val="24"/>
                </w:rPr>
              </w:pPr>
              <w:hyperlink w:anchor="_Toc215043396" w:history="1">
                <w:r w:rsidR="00C102E8" w:rsidRPr="00D86B9A">
                  <w:rPr>
                    <w:rStyle w:val="Hyperlink"/>
                    <w:rFonts w:eastAsiaTheme="majorEastAsia" w:cs="Arial"/>
                    <w:noProof/>
                  </w:rPr>
                  <w:t>4.4 Theme 3: Socioeconomic Barriers to Treatment Access</w:t>
                </w:r>
                <w:r w:rsidR="00C102E8">
                  <w:rPr>
                    <w:noProof/>
                    <w:webHidden/>
                  </w:rPr>
                  <w:tab/>
                </w:r>
                <w:r w:rsidR="00C102E8">
                  <w:rPr>
                    <w:noProof/>
                    <w:webHidden/>
                  </w:rPr>
                  <w:fldChar w:fldCharType="begin"/>
                </w:r>
                <w:r w:rsidR="00C102E8">
                  <w:rPr>
                    <w:noProof/>
                    <w:webHidden/>
                  </w:rPr>
                  <w:instrText xml:space="preserve"> PAGEREF _Toc215043396 \h </w:instrText>
                </w:r>
                <w:r w:rsidR="00C102E8">
                  <w:rPr>
                    <w:noProof/>
                    <w:webHidden/>
                  </w:rPr>
                </w:r>
                <w:r w:rsidR="00C102E8">
                  <w:rPr>
                    <w:noProof/>
                    <w:webHidden/>
                  </w:rPr>
                  <w:fldChar w:fldCharType="separate"/>
                </w:r>
                <w:r w:rsidR="00D34398">
                  <w:rPr>
                    <w:noProof/>
                    <w:webHidden/>
                  </w:rPr>
                  <w:t>29</w:t>
                </w:r>
                <w:r w:rsidR="00C102E8">
                  <w:rPr>
                    <w:noProof/>
                    <w:webHidden/>
                  </w:rPr>
                  <w:fldChar w:fldCharType="end"/>
                </w:r>
              </w:hyperlink>
            </w:p>
            <w:p w14:paraId="04C00479" w14:textId="07D1A4E8" w:rsidR="00C102E8" w:rsidRDefault="008808A7">
              <w:pPr>
                <w:pStyle w:val="TOC2"/>
                <w:rPr>
                  <w:rFonts w:asciiTheme="minorHAnsi" w:eastAsiaTheme="minorEastAsia" w:hAnsiTheme="minorHAnsi" w:cstheme="minorBidi"/>
                  <w:smallCaps w:val="0"/>
                  <w:sz w:val="24"/>
                  <w:szCs w:val="24"/>
                </w:rPr>
              </w:pPr>
              <w:hyperlink w:anchor="_Toc215043397" w:history="1">
                <w:r w:rsidR="00C102E8" w:rsidRPr="00D86B9A">
                  <w:rPr>
                    <w:rStyle w:val="Hyperlink"/>
                  </w:rPr>
                  <w:t>1. Definition and Scope</w:t>
                </w:r>
                <w:r w:rsidR="00C102E8">
                  <w:rPr>
                    <w:webHidden/>
                  </w:rPr>
                  <w:tab/>
                </w:r>
                <w:r w:rsidR="00C102E8">
                  <w:rPr>
                    <w:webHidden/>
                  </w:rPr>
                  <w:fldChar w:fldCharType="begin"/>
                </w:r>
                <w:r w:rsidR="00C102E8">
                  <w:rPr>
                    <w:webHidden/>
                  </w:rPr>
                  <w:instrText xml:space="preserve"> PAGEREF _Toc215043397 \h </w:instrText>
                </w:r>
                <w:r w:rsidR="00C102E8">
                  <w:rPr>
                    <w:webHidden/>
                  </w:rPr>
                </w:r>
                <w:r w:rsidR="00C102E8">
                  <w:rPr>
                    <w:webHidden/>
                  </w:rPr>
                  <w:fldChar w:fldCharType="separate"/>
                </w:r>
                <w:r w:rsidR="00D34398">
                  <w:rPr>
                    <w:webHidden/>
                  </w:rPr>
                  <w:t>29</w:t>
                </w:r>
                <w:r w:rsidR="00C102E8">
                  <w:rPr>
                    <w:webHidden/>
                  </w:rPr>
                  <w:fldChar w:fldCharType="end"/>
                </w:r>
              </w:hyperlink>
            </w:p>
            <w:p w14:paraId="55784BFB" w14:textId="33B8C809" w:rsidR="00C102E8" w:rsidRDefault="008808A7">
              <w:pPr>
                <w:pStyle w:val="TOC2"/>
                <w:rPr>
                  <w:rFonts w:asciiTheme="minorHAnsi" w:eastAsiaTheme="minorEastAsia" w:hAnsiTheme="minorHAnsi" w:cstheme="minorBidi"/>
                  <w:smallCaps w:val="0"/>
                  <w:sz w:val="24"/>
                  <w:szCs w:val="24"/>
                </w:rPr>
              </w:pPr>
              <w:hyperlink w:anchor="_Toc215043398" w:history="1">
                <w:r w:rsidR="00C102E8" w:rsidRPr="00D86B9A">
                  <w:rPr>
                    <w:rStyle w:val="Hyperlink"/>
                  </w:rPr>
                  <w:t>2. Background</w:t>
                </w:r>
                <w:r w:rsidR="00C102E8">
                  <w:rPr>
                    <w:webHidden/>
                  </w:rPr>
                  <w:tab/>
                </w:r>
                <w:r w:rsidR="00C102E8">
                  <w:rPr>
                    <w:webHidden/>
                  </w:rPr>
                  <w:fldChar w:fldCharType="begin"/>
                </w:r>
                <w:r w:rsidR="00C102E8">
                  <w:rPr>
                    <w:webHidden/>
                  </w:rPr>
                  <w:instrText xml:space="preserve"> PAGEREF _Toc215043398 \h </w:instrText>
                </w:r>
                <w:r w:rsidR="00C102E8">
                  <w:rPr>
                    <w:webHidden/>
                  </w:rPr>
                </w:r>
                <w:r w:rsidR="00C102E8">
                  <w:rPr>
                    <w:webHidden/>
                  </w:rPr>
                  <w:fldChar w:fldCharType="separate"/>
                </w:r>
                <w:r w:rsidR="00D34398">
                  <w:rPr>
                    <w:webHidden/>
                  </w:rPr>
                  <w:t>29</w:t>
                </w:r>
                <w:r w:rsidR="00C102E8">
                  <w:rPr>
                    <w:webHidden/>
                  </w:rPr>
                  <w:fldChar w:fldCharType="end"/>
                </w:r>
              </w:hyperlink>
            </w:p>
            <w:p w14:paraId="0307B49A" w14:textId="64E1CA06" w:rsidR="00C102E8" w:rsidRDefault="008808A7">
              <w:pPr>
                <w:pStyle w:val="TOC2"/>
                <w:rPr>
                  <w:rFonts w:asciiTheme="minorHAnsi" w:eastAsiaTheme="minorEastAsia" w:hAnsiTheme="minorHAnsi" w:cstheme="minorBidi"/>
                  <w:smallCaps w:val="0"/>
                  <w:sz w:val="24"/>
                  <w:szCs w:val="24"/>
                </w:rPr>
              </w:pPr>
              <w:hyperlink w:anchor="_Toc215043399" w:history="1">
                <w:r w:rsidR="00C102E8" w:rsidRPr="00D86B9A">
                  <w:rPr>
                    <w:rStyle w:val="Hyperlink"/>
                  </w:rPr>
                  <w:t>3. Relevance to Research Question</w:t>
                </w:r>
                <w:r w:rsidR="00C102E8">
                  <w:rPr>
                    <w:webHidden/>
                  </w:rPr>
                  <w:tab/>
                </w:r>
                <w:r w:rsidR="00C102E8">
                  <w:rPr>
                    <w:webHidden/>
                  </w:rPr>
                  <w:fldChar w:fldCharType="begin"/>
                </w:r>
                <w:r w:rsidR="00C102E8">
                  <w:rPr>
                    <w:webHidden/>
                  </w:rPr>
                  <w:instrText xml:space="preserve"> PAGEREF _Toc215043399 \h </w:instrText>
                </w:r>
                <w:r w:rsidR="00C102E8">
                  <w:rPr>
                    <w:webHidden/>
                  </w:rPr>
                </w:r>
                <w:r w:rsidR="00C102E8">
                  <w:rPr>
                    <w:webHidden/>
                  </w:rPr>
                  <w:fldChar w:fldCharType="separate"/>
                </w:r>
                <w:r w:rsidR="00D34398">
                  <w:rPr>
                    <w:webHidden/>
                  </w:rPr>
                  <w:t>30</w:t>
                </w:r>
                <w:r w:rsidR="00C102E8">
                  <w:rPr>
                    <w:webHidden/>
                  </w:rPr>
                  <w:fldChar w:fldCharType="end"/>
                </w:r>
              </w:hyperlink>
            </w:p>
            <w:p w14:paraId="59A8384F" w14:textId="7A770FA0" w:rsidR="00C102E8" w:rsidRDefault="008808A7">
              <w:pPr>
                <w:pStyle w:val="TOC2"/>
                <w:rPr>
                  <w:rFonts w:asciiTheme="minorHAnsi" w:eastAsiaTheme="minorEastAsia" w:hAnsiTheme="minorHAnsi" w:cstheme="minorBidi"/>
                  <w:smallCaps w:val="0"/>
                  <w:sz w:val="24"/>
                  <w:szCs w:val="24"/>
                </w:rPr>
              </w:pPr>
              <w:hyperlink w:anchor="_Toc215043400" w:history="1">
                <w:r w:rsidR="00C102E8" w:rsidRPr="00D86B9A">
                  <w:rPr>
                    <w:rStyle w:val="Hyperlink"/>
                  </w:rPr>
                  <w:t>4. Data and Statistics</w:t>
                </w:r>
                <w:r w:rsidR="00C102E8">
                  <w:rPr>
                    <w:webHidden/>
                  </w:rPr>
                  <w:tab/>
                </w:r>
                <w:r w:rsidR="00C102E8">
                  <w:rPr>
                    <w:webHidden/>
                  </w:rPr>
                  <w:fldChar w:fldCharType="begin"/>
                </w:r>
                <w:r w:rsidR="00C102E8">
                  <w:rPr>
                    <w:webHidden/>
                  </w:rPr>
                  <w:instrText xml:space="preserve"> PAGEREF _Toc215043400 \h </w:instrText>
                </w:r>
                <w:r w:rsidR="00C102E8">
                  <w:rPr>
                    <w:webHidden/>
                  </w:rPr>
                </w:r>
                <w:r w:rsidR="00C102E8">
                  <w:rPr>
                    <w:webHidden/>
                  </w:rPr>
                  <w:fldChar w:fldCharType="separate"/>
                </w:r>
                <w:r w:rsidR="00D34398">
                  <w:rPr>
                    <w:webHidden/>
                  </w:rPr>
                  <w:t>30</w:t>
                </w:r>
                <w:r w:rsidR="00C102E8">
                  <w:rPr>
                    <w:webHidden/>
                  </w:rPr>
                  <w:fldChar w:fldCharType="end"/>
                </w:r>
              </w:hyperlink>
            </w:p>
            <w:p w14:paraId="258509AB" w14:textId="4C0EB5D6" w:rsidR="00C102E8" w:rsidRDefault="008808A7">
              <w:pPr>
                <w:pStyle w:val="TOC2"/>
                <w:rPr>
                  <w:rFonts w:asciiTheme="minorHAnsi" w:eastAsiaTheme="minorEastAsia" w:hAnsiTheme="minorHAnsi" w:cstheme="minorBidi"/>
                  <w:smallCaps w:val="0"/>
                  <w:sz w:val="24"/>
                  <w:szCs w:val="24"/>
                </w:rPr>
              </w:pPr>
              <w:hyperlink w:anchor="_Toc215043401" w:history="1">
                <w:r w:rsidR="00C102E8" w:rsidRPr="00D86B9A">
                  <w:rPr>
                    <w:rStyle w:val="Hyperlink"/>
                  </w:rPr>
                  <w:t>5. Theories, Policy, and Legislation</w:t>
                </w:r>
                <w:r w:rsidR="00C102E8">
                  <w:rPr>
                    <w:webHidden/>
                  </w:rPr>
                  <w:tab/>
                </w:r>
                <w:r w:rsidR="00C102E8">
                  <w:rPr>
                    <w:webHidden/>
                  </w:rPr>
                  <w:fldChar w:fldCharType="begin"/>
                </w:r>
                <w:r w:rsidR="00C102E8">
                  <w:rPr>
                    <w:webHidden/>
                  </w:rPr>
                  <w:instrText xml:space="preserve"> PAGEREF _Toc215043401 \h </w:instrText>
                </w:r>
                <w:r w:rsidR="00C102E8">
                  <w:rPr>
                    <w:webHidden/>
                  </w:rPr>
                </w:r>
                <w:r w:rsidR="00C102E8">
                  <w:rPr>
                    <w:webHidden/>
                  </w:rPr>
                  <w:fldChar w:fldCharType="separate"/>
                </w:r>
                <w:r w:rsidR="00D34398">
                  <w:rPr>
                    <w:webHidden/>
                  </w:rPr>
                  <w:t>31</w:t>
                </w:r>
                <w:r w:rsidR="00C102E8">
                  <w:rPr>
                    <w:webHidden/>
                  </w:rPr>
                  <w:fldChar w:fldCharType="end"/>
                </w:r>
              </w:hyperlink>
            </w:p>
            <w:p w14:paraId="7BD09CDD" w14:textId="5B3C07E4" w:rsidR="00C102E8" w:rsidRDefault="008808A7">
              <w:pPr>
                <w:pStyle w:val="TOC2"/>
                <w:rPr>
                  <w:rFonts w:asciiTheme="minorHAnsi" w:eastAsiaTheme="minorEastAsia" w:hAnsiTheme="minorHAnsi" w:cstheme="minorBidi"/>
                  <w:smallCaps w:val="0"/>
                  <w:sz w:val="24"/>
                  <w:szCs w:val="24"/>
                </w:rPr>
              </w:pPr>
              <w:hyperlink w:anchor="_Toc215043402" w:history="1">
                <w:r w:rsidR="00C102E8" w:rsidRPr="00D86B9A">
                  <w:rPr>
                    <w:rStyle w:val="Hyperlink"/>
                  </w:rPr>
                  <w:t>6. Examples from Articles</w:t>
                </w:r>
                <w:r w:rsidR="00C102E8">
                  <w:rPr>
                    <w:webHidden/>
                  </w:rPr>
                  <w:tab/>
                </w:r>
                <w:r w:rsidR="00C102E8">
                  <w:rPr>
                    <w:webHidden/>
                  </w:rPr>
                  <w:fldChar w:fldCharType="begin"/>
                </w:r>
                <w:r w:rsidR="00C102E8">
                  <w:rPr>
                    <w:webHidden/>
                  </w:rPr>
                  <w:instrText xml:space="preserve"> PAGEREF _Toc215043402 \h </w:instrText>
                </w:r>
                <w:r w:rsidR="00C102E8">
                  <w:rPr>
                    <w:webHidden/>
                  </w:rPr>
                </w:r>
                <w:r w:rsidR="00C102E8">
                  <w:rPr>
                    <w:webHidden/>
                  </w:rPr>
                  <w:fldChar w:fldCharType="separate"/>
                </w:r>
                <w:r w:rsidR="00D34398">
                  <w:rPr>
                    <w:webHidden/>
                  </w:rPr>
                  <w:t>31</w:t>
                </w:r>
                <w:r w:rsidR="00C102E8">
                  <w:rPr>
                    <w:webHidden/>
                  </w:rPr>
                  <w:fldChar w:fldCharType="end"/>
                </w:r>
              </w:hyperlink>
            </w:p>
            <w:p w14:paraId="0D1ECFE3" w14:textId="5E592140" w:rsidR="00C102E8" w:rsidRDefault="008808A7">
              <w:pPr>
                <w:pStyle w:val="TOC2"/>
                <w:rPr>
                  <w:rFonts w:asciiTheme="minorHAnsi" w:eastAsiaTheme="minorEastAsia" w:hAnsiTheme="minorHAnsi" w:cstheme="minorBidi"/>
                  <w:smallCaps w:val="0"/>
                  <w:sz w:val="24"/>
                  <w:szCs w:val="24"/>
                </w:rPr>
              </w:pPr>
              <w:hyperlink w:anchor="_Toc215043403" w:history="1">
                <w:r w:rsidR="00C102E8" w:rsidRPr="00D86B9A">
                  <w:rPr>
                    <w:rStyle w:val="Hyperlink"/>
                  </w:rPr>
                  <w:t>7. Connections to Other Themes</w:t>
                </w:r>
                <w:r w:rsidR="00C102E8">
                  <w:rPr>
                    <w:webHidden/>
                  </w:rPr>
                  <w:tab/>
                </w:r>
                <w:r w:rsidR="00C102E8">
                  <w:rPr>
                    <w:webHidden/>
                  </w:rPr>
                  <w:fldChar w:fldCharType="begin"/>
                </w:r>
                <w:r w:rsidR="00C102E8">
                  <w:rPr>
                    <w:webHidden/>
                  </w:rPr>
                  <w:instrText xml:space="preserve"> PAGEREF _Toc215043403 \h </w:instrText>
                </w:r>
                <w:r w:rsidR="00C102E8">
                  <w:rPr>
                    <w:webHidden/>
                  </w:rPr>
                </w:r>
                <w:r w:rsidR="00C102E8">
                  <w:rPr>
                    <w:webHidden/>
                  </w:rPr>
                  <w:fldChar w:fldCharType="separate"/>
                </w:r>
                <w:r w:rsidR="00D34398">
                  <w:rPr>
                    <w:webHidden/>
                  </w:rPr>
                  <w:t>32</w:t>
                </w:r>
                <w:r w:rsidR="00C102E8">
                  <w:rPr>
                    <w:webHidden/>
                  </w:rPr>
                  <w:fldChar w:fldCharType="end"/>
                </w:r>
              </w:hyperlink>
            </w:p>
            <w:p w14:paraId="7219E5D8" w14:textId="62D2BB6E" w:rsidR="00C102E8" w:rsidRDefault="008808A7">
              <w:pPr>
                <w:pStyle w:val="TOC1"/>
                <w:tabs>
                  <w:tab w:val="right" w:leader="dot" w:pos="9016"/>
                </w:tabs>
                <w:rPr>
                  <w:rFonts w:eastAsiaTheme="minorEastAsia" w:cstheme="minorBidi"/>
                  <w:b w:val="0"/>
                  <w:bCs w:val="0"/>
                  <w:caps w:val="0"/>
                  <w:noProof/>
                  <w:sz w:val="24"/>
                  <w:szCs w:val="24"/>
                </w:rPr>
              </w:pPr>
              <w:hyperlink w:anchor="_Toc215043404" w:history="1">
                <w:r w:rsidR="00C102E8" w:rsidRPr="00D86B9A">
                  <w:rPr>
                    <w:rStyle w:val="Hyperlink"/>
                    <w:rFonts w:eastAsiaTheme="majorEastAsia" w:cs="Arial"/>
                    <w:noProof/>
                  </w:rPr>
                  <w:t>4.5 Theme 4: The Role of Policy, Legislation, and Social Determinants</w:t>
                </w:r>
                <w:r w:rsidR="00C102E8">
                  <w:rPr>
                    <w:noProof/>
                    <w:webHidden/>
                  </w:rPr>
                  <w:tab/>
                </w:r>
                <w:r w:rsidR="00C102E8">
                  <w:rPr>
                    <w:noProof/>
                    <w:webHidden/>
                  </w:rPr>
                  <w:fldChar w:fldCharType="begin"/>
                </w:r>
                <w:r w:rsidR="00C102E8">
                  <w:rPr>
                    <w:noProof/>
                    <w:webHidden/>
                  </w:rPr>
                  <w:instrText xml:space="preserve"> PAGEREF _Toc215043404 \h </w:instrText>
                </w:r>
                <w:r w:rsidR="00C102E8">
                  <w:rPr>
                    <w:noProof/>
                    <w:webHidden/>
                  </w:rPr>
                </w:r>
                <w:r w:rsidR="00C102E8">
                  <w:rPr>
                    <w:noProof/>
                    <w:webHidden/>
                  </w:rPr>
                  <w:fldChar w:fldCharType="separate"/>
                </w:r>
                <w:r w:rsidR="00D34398">
                  <w:rPr>
                    <w:noProof/>
                    <w:webHidden/>
                  </w:rPr>
                  <w:t>32</w:t>
                </w:r>
                <w:r w:rsidR="00C102E8">
                  <w:rPr>
                    <w:noProof/>
                    <w:webHidden/>
                  </w:rPr>
                  <w:fldChar w:fldCharType="end"/>
                </w:r>
              </w:hyperlink>
            </w:p>
            <w:p w14:paraId="66937A04" w14:textId="5A8D674A" w:rsidR="00C102E8" w:rsidRDefault="008808A7">
              <w:pPr>
                <w:pStyle w:val="TOC2"/>
                <w:rPr>
                  <w:rFonts w:asciiTheme="minorHAnsi" w:eastAsiaTheme="minorEastAsia" w:hAnsiTheme="minorHAnsi" w:cstheme="minorBidi"/>
                  <w:smallCaps w:val="0"/>
                  <w:sz w:val="24"/>
                  <w:szCs w:val="24"/>
                </w:rPr>
              </w:pPr>
              <w:hyperlink w:anchor="_Toc215043405" w:history="1">
                <w:r w:rsidR="00C102E8" w:rsidRPr="00D86B9A">
                  <w:rPr>
                    <w:rStyle w:val="Hyperlink"/>
                  </w:rPr>
                  <w:t>1. Definition and Scope</w:t>
                </w:r>
                <w:r w:rsidR="00C102E8">
                  <w:rPr>
                    <w:webHidden/>
                  </w:rPr>
                  <w:tab/>
                </w:r>
                <w:r w:rsidR="00C102E8">
                  <w:rPr>
                    <w:webHidden/>
                  </w:rPr>
                  <w:fldChar w:fldCharType="begin"/>
                </w:r>
                <w:r w:rsidR="00C102E8">
                  <w:rPr>
                    <w:webHidden/>
                  </w:rPr>
                  <w:instrText xml:space="preserve"> PAGEREF _Toc215043405 \h </w:instrText>
                </w:r>
                <w:r w:rsidR="00C102E8">
                  <w:rPr>
                    <w:webHidden/>
                  </w:rPr>
                </w:r>
                <w:r w:rsidR="00C102E8">
                  <w:rPr>
                    <w:webHidden/>
                  </w:rPr>
                  <w:fldChar w:fldCharType="separate"/>
                </w:r>
                <w:r w:rsidR="00D34398">
                  <w:rPr>
                    <w:webHidden/>
                  </w:rPr>
                  <w:t>32</w:t>
                </w:r>
                <w:r w:rsidR="00C102E8">
                  <w:rPr>
                    <w:webHidden/>
                  </w:rPr>
                  <w:fldChar w:fldCharType="end"/>
                </w:r>
              </w:hyperlink>
            </w:p>
            <w:p w14:paraId="42BCD0AE" w14:textId="208527BC" w:rsidR="00C102E8" w:rsidRDefault="008808A7">
              <w:pPr>
                <w:pStyle w:val="TOC2"/>
                <w:rPr>
                  <w:rFonts w:asciiTheme="minorHAnsi" w:eastAsiaTheme="minorEastAsia" w:hAnsiTheme="minorHAnsi" w:cstheme="minorBidi"/>
                  <w:smallCaps w:val="0"/>
                  <w:sz w:val="24"/>
                  <w:szCs w:val="24"/>
                </w:rPr>
              </w:pPr>
              <w:hyperlink w:anchor="_Toc215043406" w:history="1">
                <w:r w:rsidR="00C102E8" w:rsidRPr="00D86B9A">
                  <w:rPr>
                    <w:rStyle w:val="Hyperlink"/>
                  </w:rPr>
                  <w:t>2. Background</w:t>
                </w:r>
                <w:r w:rsidR="00C102E8">
                  <w:rPr>
                    <w:webHidden/>
                  </w:rPr>
                  <w:tab/>
                </w:r>
                <w:r w:rsidR="00C102E8">
                  <w:rPr>
                    <w:webHidden/>
                  </w:rPr>
                  <w:fldChar w:fldCharType="begin"/>
                </w:r>
                <w:r w:rsidR="00C102E8">
                  <w:rPr>
                    <w:webHidden/>
                  </w:rPr>
                  <w:instrText xml:space="preserve"> PAGEREF _Toc215043406 \h </w:instrText>
                </w:r>
                <w:r w:rsidR="00C102E8">
                  <w:rPr>
                    <w:webHidden/>
                  </w:rPr>
                </w:r>
                <w:r w:rsidR="00C102E8">
                  <w:rPr>
                    <w:webHidden/>
                  </w:rPr>
                  <w:fldChar w:fldCharType="separate"/>
                </w:r>
                <w:r w:rsidR="00D34398">
                  <w:rPr>
                    <w:webHidden/>
                  </w:rPr>
                  <w:t>32</w:t>
                </w:r>
                <w:r w:rsidR="00C102E8">
                  <w:rPr>
                    <w:webHidden/>
                  </w:rPr>
                  <w:fldChar w:fldCharType="end"/>
                </w:r>
              </w:hyperlink>
            </w:p>
            <w:p w14:paraId="609E8C42" w14:textId="41C06E02" w:rsidR="00C102E8" w:rsidRDefault="008808A7">
              <w:pPr>
                <w:pStyle w:val="TOC2"/>
                <w:rPr>
                  <w:rFonts w:asciiTheme="minorHAnsi" w:eastAsiaTheme="minorEastAsia" w:hAnsiTheme="minorHAnsi" w:cstheme="minorBidi"/>
                  <w:smallCaps w:val="0"/>
                  <w:sz w:val="24"/>
                  <w:szCs w:val="24"/>
                </w:rPr>
              </w:pPr>
              <w:hyperlink w:anchor="_Toc215043407" w:history="1">
                <w:r w:rsidR="00C102E8" w:rsidRPr="00D86B9A">
                  <w:rPr>
                    <w:rStyle w:val="Hyperlink"/>
                  </w:rPr>
                  <w:t>3. Relevance to Research Question</w:t>
                </w:r>
                <w:r w:rsidR="00C102E8">
                  <w:rPr>
                    <w:webHidden/>
                  </w:rPr>
                  <w:tab/>
                </w:r>
                <w:r w:rsidR="00C102E8">
                  <w:rPr>
                    <w:webHidden/>
                  </w:rPr>
                  <w:fldChar w:fldCharType="begin"/>
                </w:r>
                <w:r w:rsidR="00C102E8">
                  <w:rPr>
                    <w:webHidden/>
                  </w:rPr>
                  <w:instrText xml:space="preserve"> PAGEREF _Toc215043407 \h </w:instrText>
                </w:r>
                <w:r w:rsidR="00C102E8">
                  <w:rPr>
                    <w:webHidden/>
                  </w:rPr>
                </w:r>
                <w:r w:rsidR="00C102E8">
                  <w:rPr>
                    <w:webHidden/>
                  </w:rPr>
                  <w:fldChar w:fldCharType="separate"/>
                </w:r>
                <w:r w:rsidR="00D34398">
                  <w:rPr>
                    <w:webHidden/>
                  </w:rPr>
                  <w:t>33</w:t>
                </w:r>
                <w:r w:rsidR="00C102E8">
                  <w:rPr>
                    <w:webHidden/>
                  </w:rPr>
                  <w:fldChar w:fldCharType="end"/>
                </w:r>
              </w:hyperlink>
            </w:p>
            <w:p w14:paraId="3D77B324" w14:textId="5E001F07" w:rsidR="00C102E8" w:rsidRDefault="008808A7">
              <w:pPr>
                <w:pStyle w:val="TOC2"/>
                <w:rPr>
                  <w:rFonts w:asciiTheme="minorHAnsi" w:eastAsiaTheme="minorEastAsia" w:hAnsiTheme="minorHAnsi" w:cstheme="minorBidi"/>
                  <w:smallCaps w:val="0"/>
                  <w:sz w:val="24"/>
                  <w:szCs w:val="24"/>
                </w:rPr>
              </w:pPr>
              <w:hyperlink w:anchor="_Toc215043408" w:history="1">
                <w:r w:rsidR="00C102E8" w:rsidRPr="00D86B9A">
                  <w:rPr>
                    <w:rStyle w:val="Hyperlink"/>
                  </w:rPr>
                  <w:t>4. Theories, Policy, and Legislation</w:t>
                </w:r>
                <w:r w:rsidR="00C102E8">
                  <w:rPr>
                    <w:webHidden/>
                  </w:rPr>
                  <w:tab/>
                </w:r>
                <w:r w:rsidR="00C102E8">
                  <w:rPr>
                    <w:webHidden/>
                  </w:rPr>
                  <w:fldChar w:fldCharType="begin"/>
                </w:r>
                <w:r w:rsidR="00C102E8">
                  <w:rPr>
                    <w:webHidden/>
                  </w:rPr>
                  <w:instrText xml:space="preserve"> PAGEREF _Toc215043408 \h </w:instrText>
                </w:r>
                <w:r w:rsidR="00C102E8">
                  <w:rPr>
                    <w:webHidden/>
                  </w:rPr>
                </w:r>
                <w:r w:rsidR="00C102E8">
                  <w:rPr>
                    <w:webHidden/>
                  </w:rPr>
                  <w:fldChar w:fldCharType="separate"/>
                </w:r>
                <w:r w:rsidR="00D34398">
                  <w:rPr>
                    <w:webHidden/>
                  </w:rPr>
                  <w:t>33</w:t>
                </w:r>
                <w:r w:rsidR="00C102E8">
                  <w:rPr>
                    <w:webHidden/>
                  </w:rPr>
                  <w:fldChar w:fldCharType="end"/>
                </w:r>
              </w:hyperlink>
            </w:p>
            <w:p w14:paraId="34204CE3" w14:textId="6BA74C57" w:rsidR="00C102E8" w:rsidRDefault="008808A7">
              <w:pPr>
                <w:pStyle w:val="TOC2"/>
                <w:rPr>
                  <w:rFonts w:asciiTheme="minorHAnsi" w:eastAsiaTheme="minorEastAsia" w:hAnsiTheme="minorHAnsi" w:cstheme="minorBidi"/>
                  <w:smallCaps w:val="0"/>
                  <w:sz w:val="24"/>
                  <w:szCs w:val="24"/>
                </w:rPr>
              </w:pPr>
              <w:hyperlink w:anchor="_Toc215043409" w:history="1">
                <w:r w:rsidR="00C102E8" w:rsidRPr="00D86B9A">
                  <w:rPr>
                    <w:rStyle w:val="Hyperlink"/>
                  </w:rPr>
                  <w:t>5. Examples from Articles</w:t>
                </w:r>
                <w:r w:rsidR="00C102E8">
                  <w:rPr>
                    <w:webHidden/>
                  </w:rPr>
                  <w:tab/>
                </w:r>
                <w:r w:rsidR="00C102E8">
                  <w:rPr>
                    <w:webHidden/>
                  </w:rPr>
                  <w:fldChar w:fldCharType="begin"/>
                </w:r>
                <w:r w:rsidR="00C102E8">
                  <w:rPr>
                    <w:webHidden/>
                  </w:rPr>
                  <w:instrText xml:space="preserve"> PAGEREF _Toc215043409 \h </w:instrText>
                </w:r>
                <w:r w:rsidR="00C102E8">
                  <w:rPr>
                    <w:webHidden/>
                  </w:rPr>
                </w:r>
                <w:r w:rsidR="00C102E8">
                  <w:rPr>
                    <w:webHidden/>
                  </w:rPr>
                  <w:fldChar w:fldCharType="separate"/>
                </w:r>
                <w:r w:rsidR="00D34398">
                  <w:rPr>
                    <w:webHidden/>
                  </w:rPr>
                  <w:t>34</w:t>
                </w:r>
                <w:r w:rsidR="00C102E8">
                  <w:rPr>
                    <w:webHidden/>
                  </w:rPr>
                  <w:fldChar w:fldCharType="end"/>
                </w:r>
              </w:hyperlink>
            </w:p>
            <w:p w14:paraId="56326E04" w14:textId="44BE47CA" w:rsidR="00C102E8" w:rsidRDefault="008808A7">
              <w:pPr>
                <w:pStyle w:val="TOC2"/>
                <w:rPr>
                  <w:rFonts w:asciiTheme="minorHAnsi" w:eastAsiaTheme="minorEastAsia" w:hAnsiTheme="minorHAnsi" w:cstheme="minorBidi"/>
                  <w:smallCaps w:val="0"/>
                  <w:sz w:val="24"/>
                  <w:szCs w:val="24"/>
                </w:rPr>
              </w:pPr>
              <w:hyperlink w:anchor="_Toc215043410" w:history="1">
                <w:r w:rsidR="00C102E8" w:rsidRPr="00D86B9A">
                  <w:rPr>
                    <w:rStyle w:val="Hyperlink"/>
                  </w:rPr>
                  <w:t>6. Connections to Other Themes</w:t>
                </w:r>
                <w:r w:rsidR="00C102E8">
                  <w:rPr>
                    <w:webHidden/>
                  </w:rPr>
                  <w:tab/>
                </w:r>
                <w:r w:rsidR="00C102E8">
                  <w:rPr>
                    <w:webHidden/>
                  </w:rPr>
                  <w:fldChar w:fldCharType="begin"/>
                </w:r>
                <w:r w:rsidR="00C102E8">
                  <w:rPr>
                    <w:webHidden/>
                  </w:rPr>
                  <w:instrText xml:space="preserve"> PAGEREF _Toc215043410 \h </w:instrText>
                </w:r>
                <w:r w:rsidR="00C102E8">
                  <w:rPr>
                    <w:webHidden/>
                  </w:rPr>
                </w:r>
                <w:r w:rsidR="00C102E8">
                  <w:rPr>
                    <w:webHidden/>
                  </w:rPr>
                  <w:fldChar w:fldCharType="separate"/>
                </w:r>
                <w:r w:rsidR="00D34398">
                  <w:rPr>
                    <w:webHidden/>
                  </w:rPr>
                  <w:t>34</w:t>
                </w:r>
                <w:r w:rsidR="00C102E8">
                  <w:rPr>
                    <w:webHidden/>
                  </w:rPr>
                  <w:fldChar w:fldCharType="end"/>
                </w:r>
              </w:hyperlink>
            </w:p>
            <w:p w14:paraId="67B36937" w14:textId="4BA90642" w:rsidR="00C102E8" w:rsidRDefault="008808A7">
              <w:pPr>
                <w:pStyle w:val="TOC1"/>
                <w:tabs>
                  <w:tab w:val="right" w:leader="dot" w:pos="9016"/>
                </w:tabs>
                <w:rPr>
                  <w:rFonts w:eastAsiaTheme="minorEastAsia" w:cstheme="minorBidi"/>
                  <w:b w:val="0"/>
                  <w:bCs w:val="0"/>
                  <w:caps w:val="0"/>
                  <w:noProof/>
                  <w:sz w:val="24"/>
                  <w:szCs w:val="24"/>
                </w:rPr>
              </w:pPr>
              <w:hyperlink w:anchor="_Toc215043411" w:history="1">
                <w:r w:rsidR="00C102E8" w:rsidRPr="00D86B9A">
                  <w:rPr>
                    <w:rStyle w:val="Hyperlink"/>
                    <w:rFonts w:eastAsiaTheme="majorEastAsia" w:cs="Arial"/>
                    <w:noProof/>
                  </w:rPr>
                  <w:t>4.6 Theme 5: The Impact of COVID-19 on Substance Misuse and Mental Health Inequalities</w:t>
                </w:r>
                <w:r w:rsidR="00C102E8">
                  <w:rPr>
                    <w:noProof/>
                    <w:webHidden/>
                  </w:rPr>
                  <w:tab/>
                </w:r>
                <w:r w:rsidR="00C102E8">
                  <w:rPr>
                    <w:noProof/>
                    <w:webHidden/>
                  </w:rPr>
                  <w:fldChar w:fldCharType="begin"/>
                </w:r>
                <w:r w:rsidR="00C102E8">
                  <w:rPr>
                    <w:noProof/>
                    <w:webHidden/>
                  </w:rPr>
                  <w:instrText xml:space="preserve"> PAGEREF _Toc215043411 \h </w:instrText>
                </w:r>
                <w:r w:rsidR="00C102E8">
                  <w:rPr>
                    <w:noProof/>
                    <w:webHidden/>
                  </w:rPr>
                </w:r>
                <w:r w:rsidR="00C102E8">
                  <w:rPr>
                    <w:noProof/>
                    <w:webHidden/>
                  </w:rPr>
                  <w:fldChar w:fldCharType="separate"/>
                </w:r>
                <w:r w:rsidR="00D34398">
                  <w:rPr>
                    <w:noProof/>
                    <w:webHidden/>
                  </w:rPr>
                  <w:t>35</w:t>
                </w:r>
                <w:r w:rsidR="00C102E8">
                  <w:rPr>
                    <w:noProof/>
                    <w:webHidden/>
                  </w:rPr>
                  <w:fldChar w:fldCharType="end"/>
                </w:r>
              </w:hyperlink>
            </w:p>
            <w:p w14:paraId="68D8540C" w14:textId="1754900F" w:rsidR="00C102E8" w:rsidRDefault="008808A7">
              <w:pPr>
                <w:pStyle w:val="TOC2"/>
                <w:rPr>
                  <w:rFonts w:asciiTheme="minorHAnsi" w:eastAsiaTheme="minorEastAsia" w:hAnsiTheme="minorHAnsi" w:cstheme="minorBidi"/>
                  <w:smallCaps w:val="0"/>
                  <w:sz w:val="24"/>
                  <w:szCs w:val="24"/>
                </w:rPr>
              </w:pPr>
              <w:hyperlink w:anchor="_Toc215043412" w:history="1">
                <w:r w:rsidR="00C102E8" w:rsidRPr="00D86B9A">
                  <w:rPr>
                    <w:rStyle w:val="Hyperlink"/>
                  </w:rPr>
                  <w:t>1. Definition and Scope</w:t>
                </w:r>
                <w:r w:rsidR="00C102E8">
                  <w:rPr>
                    <w:webHidden/>
                  </w:rPr>
                  <w:tab/>
                </w:r>
                <w:r w:rsidR="00C102E8">
                  <w:rPr>
                    <w:webHidden/>
                  </w:rPr>
                  <w:fldChar w:fldCharType="begin"/>
                </w:r>
                <w:r w:rsidR="00C102E8">
                  <w:rPr>
                    <w:webHidden/>
                  </w:rPr>
                  <w:instrText xml:space="preserve"> PAGEREF _Toc215043412 \h </w:instrText>
                </w:r>
                <w:r w:rsidR="00C102E8">
                  <w:rPr>
                    <w:webHidden/>
                  </w:rPr>
                </w:r>
                <w:r w:rsidR="00C102E8">
                  <w:rPr>
                    <w:webHidden/>
                  </w:rPr>
                  <w:fldChar w:fldCharType="separate"/>
                </w:r>
                <w:r w:rsidR="00D34398">
                  <w:rPr>
                    <w:webHidden/>
                  </w:rPr>
                  <w:t>35</w:t>
                </w:r>
                <w:r w:rsidR="00C102E8">
                  <w:rPr>
                    <w:webHidden/>
                  </w:rPr>
                  <w:fldChar w:fldCharType="end"/>
                </w:r>
              </w:hyperlink>
            </w:p>
            <w:p w14:paraId="4E1D2DDF" w14:textId="59E6CC16" w:rsidR="00C102E8" w:rsidRDefault="008808A7">
              <w:pPr>
                <w:pStyle w:val="TOC2"/>
                <w:rPr>
                  <w:rFonts w:asciiTheme="minorHAnsi" w:eastAsiaTheme="minorEastAsia" w:hAnsiTheme="minorHAnsi" w:cstheme="minorBidi"/>
                  <w:smallCaps w:val="0"/>
                  <w:sz w:val="24"/>
                  <w:szCs w:val="24"/>
                </w:rPr>
              </w:pPr>
              <w:hyperlink w:anchor="_Toc215043413" w:history="1">
                <w:r w:rsidR="00C102E8" w:rsidRPr="00D86B9A">
                  <w:rPr>
                    <w:rStyle w:val="Hyperlink"/>
                  </w:rPr>
                  <w:t>2. Background Information</w:t>
                </w:r>
                <w:r w:rsidR="00C102E8">
                  <w:rPr>
                    <w:webHidden/>
                  </w:rPr>
                  <w:tab/>
                </w:r>
                <w:r w:rsidR="00C102E8">
                  <w:rPr>
                    <w:webHidden/>
                  </w:rPr>
                  <w:fldChar w:fldCharType="begin"/>
                </w:r>
                <w:r w:rsidR="00C102E8">
                  <w:rPr>
                    <w:webHidden/>
                  </w:rPr>
                  <w:instrText xml:space="preserve"> PAGEREF _Toc215043413 \h </w:instrText>
                </w:r>
                <w:r w:rsidR="00C102E8">
                  <w:rPr>
                    <w:webHidden/>
                  </w:rPr>
                </w:r>
                <w:r w:rsidR="00C102E8">
                  <w:rPr>
                    <w:webHidden/>
                  </w:rPr>
                  <w:fldChar w:fldCharType="separate"/>
                </w:r>
                <w:r w:rsidR="00D34398">
                  <w:rPr>
                    <w:webHidden/>
                  </w:rPr>
                  <w:t>35</w:t>
                </w:r>
                <w:r w:rsidR="00C102E8">
                  <w:rPr>
                    <w:webHidden/>
                  </w:rPr>
                  <w:fldChar w:fldCharType="end"/>
                </w:r>
              </w:hyperlink>
            </w:p>
            <w:p w14:paraId="507591DD" w14:textId="0AD53BB5" w:rsidR="00C102E8" w:rsidRDefault="008808A7">
              <w:pPr>
                <w:pStyle w:val="TOC2"/>
                <w:rPr>
                  <w:rFonts w:asciiTheme="minorHAnsi" w:eastAsiaTheme="minorEastAsia" w:hAnsiTheme="minorHAnsi" w:cstheme="minorBidi"/>
                  <w:smallCaps w:val="0"/>
                  <w:sz w:val="24"/>
                  <w:szCs w:val="24"/>
                </w:rPr>
              </w:pPr>
              <w:hyperlink w:anchor="_Toc215043414" w:history="1">
                <w:r w:rsidR="00C102E8" w:rsidRPr="00D86B9A">
                  <w:rPr>
                    <w:rStyle w:val="Hyperlink"/>
                  </w:rPr>
                  <w:t>3. Relevance to Research Question</w:t>
                </w:r>
                <w:r w:rsidR="00C102E8">
                  <w:rPr>
                    <w:webHidden/>
                  </w:rPr>
                  <w:tab/>
                </w:r>
                <w:r w:rsidR="00C102E8">
                  <w:rPr>
                    <w:webHidden/>
                  </w:rPr>
                  <w:fldChar w:fldCharType="begin"/>
                </w:r>
                <w:r w:rsidR="00C102E8">
                  <w:rPr>
                    <w:webHidden/>
                  </w:rPr>
                  <w:instrText xml:space="preserve"> PAGEREF _Toc215043414 \h </w:instrText>
                </w:r>
                <w:r w:rsidR="00C102E8">
                  <w:rPr>
                    <w:webHidden/>
                  </w:rPr>
                </w:r>
                <w:r w:rsidR="00C102E8">
                  <w:rPr>
                    <w:webHidden/>
                  </w:rPr>
                  <w:fldChar w:fldCharType="separate"/>
                </w:r>
                <w:r w:rsidR="00D34398">
                  <w:rPr>
                    <w:webHidden/>
                  </w:rPr>
                  <w:t>36</w:t>
                </w:r>
                <w:r w:rsidR="00C102E8">
                  <w:rPr>
                    <w:webHidden/>
                  </w:rPr>
                  <w:fldChar w:fldCharType="end"/>
                </w:r>
              </w:hyperlink>
            </w:p>
            <w:p w14:paraId="49699A8F" w14:textId="092C5B0B" w:rsidR="00C102E8" w:rsidRDefault="008808A7">
              <w:pPr>
                <w:pStyle w:val="TOC2"/>
                <w:rPr>
                  <w:rFonts w:asciiTheme="minorHAnsi" w:eastAsiaTheme="minorEastAsia" w:hAnsiTheme="minorHAnsi" w:cstheme="minorBidi"/>
                  <w:smallCaps w:val="0"/>
                  <w:sz w:val="24"/>
                  <w:szCs w:val="24"/>
                </w:rPr>
              </w:pPr>
              <w:hyperlink w:anchor="_Toc215043415" w:history="1">
                <w:r w:rsidR="00C102E8" w:rsidRPr="00D86B9A">
                  <w:rPr>
                    <w:rStyle w:val="Hyperlink"/>
                  </w:rPr>
                  <w:t>4. Data and Statistics</w:t>
                </w:r>
                <w:r w:rsidR="00C102E8">
                  <w:rPr>
                    <w:webHidden/>
                  </w:rPr>
                  <w:tab/>
                </w:r>
                <w:r w:rsidR="00C102E8">
                  <w:rPr>
                    <w:webHidden/>
                  </w:rPr>
                  <w:fldChar w:fldCharType="begin"/>
                </w:r>
                <w:r w:rsidR="00C102E8">
                  <w:rPr>
                    <w:webHidden/>
                  </w:rPr>
                  <w:instrText xml:space="preserve"> PAGEREF _Toc215043415 \h </w:instrText>
                </w:r>
                <w:r w:rsidR="00C102E8">
                  <w:rPr>
                    <w:webHidden/>
                  </w:rPr>
                </w:r>
                <w:r w:rsidR="00C102E8">
                  <w:rPr>
                    <w:webHidden/>
                  </w:rPr>
                  <w:fldChar w:fldCharType="separate"/>
                </w:r>
                <w:r w:rsidR="00D34398">
                  <w:rPr>
                    <w:webHidden/>
                  </w:rPr>
                  <w:t>36</w:t>
                </w:r>
                <w:r w:rsidR="00C102E8">
                  <w:rPr>
                    <w:webHidden/>
                  </w:rPr>
                  <w:fldChar w:fldCharType="end"/>
                </w:r>
              </w:hyperlink>
            </w:p>
            <w:p w14:paraId="735B4087" w14:textId="68D3CE0E" w:rsidR="00C102E8" w:rsidRDefault="008808A7">
              <w:pPr>
                <w:pStyle w:val="TOC2"/>
                <w:rPr>
                  <w:rFonts w:asciiTheme="minorHAnsi" w:eastAsiaTheme="minorEastAsia" w:hAnsiTheme="minorHAnsi" w:cstheme="minorBidi"/>
                  <w:smallCaps w:val="0"/>
                  <w:sz w:val="24"/>
                  <w:szCs w:val="24"/>
                </w:rPr>
              </w:pPr>
              <w:hyperlink w:anchor="_Toc215043416" w:history="1">
                <w:r w:rsidR="00C102E8" w:rsidRPr="00D86B9A">
                  <w:rPr>
                    <w:rStyle w:val="Hyperlink"/>
                  </w:rPr>
                  <w:t>5. Theories, Policy, and Legislation</w:t>
                </w:r>
                <w:r w:rsidR="00C102E8">
                  <w:rPr>
                    <w:webHidden/>
                  </w:rPr>
                  <w:tab/>
                </w:r>
                <w:r w:rsidR="00C102E8">
                  <w:rPr>
                    <w:webHidden/>
                  </w:rPr>
                  <w:fldChar w:fldCharType="begin"/>
                </w:r>
                <w:r w:rsidR="00C102E8">
                  <w:rPr>
                    <w:webHidden/>
                  </w:rPr>
                  <w:instrText xml:space="preserve"> PAGEREF _Toc215043416 \h </w:instrText>
                </w:r>
                <w:r w:rsidR="00C102E8">
                  <w:rPr>
                    <w:webHidden/>
                  </w:rPr>
                </w:r>
                <w:r w:rsidR="00C102E8">
                  <w:rPr>
                    <w:webHidden/>
                  </w:rPr>
                  <w:fldChar w:fldCharType="separate"/>
                </w:r>
                <w:r w:rsidR="00D34398">
                  <w:rPr>
                    <w:webHidden/>
                  </w:rPr>
                  <w:t>37</w:t>
                </w:r>
                <w:r w:rsidR="00C102E8">
                  <w:rPr>
                    <w:webHidden/>
                  </w:rPr>
                  <w:fldChar w:fldCharType="end"/>
                </w:r>
              </w:hyperlink>
            </w:p>
            <w:p w14:paraId="0EC7806B" w14:textId="6589DCC9" w:rsidR="00C102E8" w:rsidRDefault="008808A7">
              <w:pPr>
                <w:pStyle w:val="TOC2"/>
                <w:rPr>
                  <w:rFonts w:asciiTheme="minorHAnsi" w:eastAsiaTheme="minorEastAsia" w:hAnsiTheme="minorHAnsi" w:cstheme="minorBidi"/>
                  <w:smallCaps w:val="0"/>
                  <w:sz w:val="24"/>
                  <w:szCs w:val="24"/>
                </w:rPr>
              </w:pPr>
              <w:hyperlink w:anchor="_Toc215043417" w:history="1">
                <w:r w:rsidR="00C102E8" w:rsidRPr="00D86B9A">
                  <w:rPr>
                    <w:rStyle w:val="Hyperlink"/>
                  </w:rPr>
                  <w:t>6. Examples from Articles</w:t>
                </w:r>
                <w:r w:rsidR="00C102E8">
                  <w:rPr>
                    <w:webHidden/>
                  </w:rPr>
                  <w:tab/>
                </w:r>
                <w:r w:rsidR="00C102E8">
                  <w:rPr>
                    <w:webHidden/>
                  </w:rPr>
                  <w:fldChar w:fldCharType="begin"/>
                </w:r>
                <w:r w:rsidR="00C102E8">
                  <w:rPr>
                    <w:webHidden/>
                  </w:rPr>
                  <w:instrText xml:space="preserve"> PAGEREF _Toc215043417 \h </w:instrText>
                </w:r>
                <w:r w:rsidR="00C102E8">
                  <w:rPr>
                    <w:webHidden/>
                  </w:rPr>
                </w:r>
                <w:r w:rsidR="00C102E8">
                  <w:rPr>
                    <w:webHidden/>
                  </w:rPr>
                  <w:fldChar w:fldCharType="separate"/>
                </w:r>
                <w:r w:rsidR="00D34398">
                  <w:rPr>
                    <w:webHidden/>
                  </w:rPr>
                  <w:t>37</w:t>
                </w:r>
                <w:r w:rsidR="00C102E8">
                  <w:rPr>
                    <w:webHidden/>
                  </w:rPr>
                  <w:fldChar w:fldCharType="end"/>
                </w:r>
              </w:hyperlink>
            </w:p>
            <w:p w14:paraId="169648A3" w14:textId="63B054B4" w:rsidR="00C102E8" w:rsidRDefault="008808A7">
              <w:pPr>
                <w:pStyle w:val="TOC2"/>
                <w:rPr>
                  <w:rFonts w:asciiTheme="minorHAnsi" w:eastAsiaTheme="minorEastAsia" w:hAnsiTheme="minorHAnsi" w:cstheme="minorBidi"/>
                  <w:smallCaps w:val="0"/>
                  <w:sz w:val="24"/>
                  <w:szCs w:val="24"/>
                </w:rPr>
              </w:pPr>
              <w:hyperlink w:anchor="_Toc215043418" w:history="1">
                <w:r w:rsidR="00C102E8" w:rsidRPr="00D86B9A">
                  <w:rPr>
                    <w:rStyle w:val="Hyperlink"/>
                  </w:rPr>
                  <w:t>7. Connections to Other Themes</w:t>
                </w:r>
                <w:r w:rsidR="00C102E8">
                  <w:rPr>
                    <w:webHidden/>
                  </w:rPr>
                  <w:tab/>
                </w:r>
                <w:r w:rsidR="00C102E8">
                  <w:rPr>
                    <w:webHidden/>
                  </w:rPr>
                  <w:fldChar w:fldCharType="begin"/>
                </w:r>
                <w:r w:rsidR="00C102E8">
                  <w:rPr>
                    <w:webHidden/>
                  </w:rPr>
                  <w:instrText xml:space="preserve"> PAGEREF _Toc215043418 \h </w:instrText>
                </w:r>
                <w:r w:rsidR="00C102E8">
                  <w:rPr>
                    <w:webHidden/>
                  </w:rPr>
                </w:r>
                <w:r w:rsidR="00C102E8">
                  <w:rPr>
                    <w:webHidden/>
                  </w:rPr>
                  <w:fldChar w:fldCharType="separate"/>
                </w:r>
                <w:r w:rsidR="00D34398">
                  <w:rPr>
                    <w:webHidden/>
                  </w:rPr>
                  <w:t>38</w:t>
                </w:r>
                <w:r w:rsidR="00C102E8">
                  <w:rPr>
                    <w:webHidden/>
                  </w:rPr>
                  <w:fldChar w:fldCharType="end"/>
                </w:r>
              </w:hyperlink>
            </w:p>
            <w:p w14:paraId="1E6D5ECC" w14:textId="11624F6E" w:rsidR="00C102E8" w:rsidRDefault="008808A7">
              <w:pPr>
                <w:pStyle w:val="TOC2"/>
                <w:rPr>
                  <w:rFonts w:asciiTheme="minorHAnsi" w:eastAsiaTheme="minorEastAsia" w:hAnsiTheme="minorHAnsi" w:cstheme="minorBidi"/>
                  <w:smallCaps w:val="0"/>
                  <w:sz w:val="24"/>
                  <w:szCs w:val="24"/>
                </w:rPr>
              </w:pPr>
              <w:hyperlink w:anchor="_Toc215043419" w:history="1">
                <w:r w:rsidR="00C102E8" w:rsidRPr="00D86B9A">
                  <w:rPr>
                    <w:rStyle w:val="Hyperlink"/>
                  </w:rPr>
                  <w:t xml:space="preserve">4.7 </w:t>
                </w:r>
                <w:r w:rsidR="00C102E8" w:rsidRPr="00D86B9A">
                  <w:rPr>
                    <w:rStyle w:val="Hyperlink"/>
                    <w:rFonts w:eastAsiaTheme="majorEastAsia"/>
                  </w:rPr>
                  <w:t>Conclusion</w:t>
                </w:r>
                <w:r w:rsidR="00C102E8">
                  <w:rPr>
                    <w:webHidden/>
                  </w:rPr>
                  <w:tab/>
                </w:r>
                <w:r w:rsidR="00C102E8">
                  <w:rPr>
                    <w:webHidden/>
                  </w:rPr>
                  <w:fldChar w:fldCharType="begin"/>
                </w:r>
                <w:r w:rsidR="00C102E8">
                  <w:rPr>
                    <w:webHidden/>
                  </w:rPr>
                  <w:instrText xml:space="preserve"> PAGEREF _Toc215043419 \h </w:instrText>
                </w:r>
                <w:r w:rsidR="00C102E8">
                  <w:rPr>
                    <w:webHidden/>
                  </w:rPr>
                </w:r>
                <w:r w:rsidR="00C102E8">
                  <w:rPr>
                    <w:webHidden/>
                  </w:rPr>
                  <w:fldChar w:fldCharType="separate"/>
                </w:r>
                <w:r w:rsidR="00D34398">
                  <w:rPr>
                    <w:webHidden/>
                  </w:rPr>
                  <w:t>38</w:t>
                </w:r>
                <w:r w:rsidR="00C102E8">
                  <w:rPr>
                    <w:webHidden/>
                  </w:rPr>
                  <w:fldChar w:fldCharType="end"/>
                </w:r>
              </w:hyperlink>
            </w:p>
            <w:p w14:paraId="64DA79D2" w14:textId="566EDD66" w:rsidR="00C102E8" w:rsidRDefault="008808A7">
              <w:pPr>
                <w:pStyle w:val="TOC1"/>
                <w:tabs>
                  <w:tab w:val="right" w:leader="dot" w:pos="9016"/>
                </w:tabs>
                <w:rPr>
                  <w:rFonts w:eastAsiaTheme="minorEastAsia" w:cstheme="minorBidi"/>
                  <w:b w:val="0"/>
                  <w:bCs w:val="0"/>
                  <w:caps w:val="0"/>
                  <w:noProof/>
                  <w:sz w:val="24"/>
                  <w:szCs w:val="24"/>
                </w:rPr>
              </w:pPr>
              <w:hyperlink w:anchor="_Toc215043420" w:history="1">
                <w:r w:rsidR="00C102E8" w:rsidRPr="00D86B9A">
                  <w:rPr>
                    <w:rStyle w:val="Hyperlink"/>
                    <w:rFonts w:eastAsiaTheme="majorEastAsia"/>
                    <w:noProof/>
                  </w:rPr>
                  <w:t>Chapter 5: Conclusions and Recommendations</w:t>
                </w:r>
                <w:r w:rsidR="00C102E8">
                  <w:rPr>
                    <w:noProof/>
                    <w:webHidden/>
                  </w:rPr>
                  <w:tab/>
                </w:r>
                <w:r w:rsidR="00C102E8">
                  <w:rPr>
                    <w:noProof/>
                    <w:webHidden/>
                  </w:rPr>
                  <w:fldChar w:fldCharType="begin"/>
                </w:r>
                <w:r w:rsidR="00C102E8">
                  <w:rPr>
                    <w:noProof/>
                    <w:webHidden/>
                  </w:rPr>
                  <w:instrText xml:space="preserve"> PAGEREF _Toc215043420 \h </w:instrText>
                </w:r>
                <w:r w:rsidR="00C102E8">
                  <w:rPr>
                    <w:noProof/>
                    <w:webHidden/>
                  </w:rPr>
                </w:r>
                <w:r w:rsidR="00C102E8">
                  <w:rPr>
                    <w:noProof/>
                    <w:webHidden/>
                  </w:rPr>
                  <w:fldChar w:fldCharType="separate"/>
                </w:r>
                <w:r w:rsidR="00D34398">
                  <w:rPr>
                    <w:noProof/>
                    <w:webHidden/>
                  </w:rPr>
                  <w:t>40</w:t>
                </w:r>
                <w:r w:rsidR="00C102E8">
                  <w:rPr>
                    <w:noProof/>
                    <w:webHidden/>
                  </w:rPr>
                  <w:fldChar w:fldCharType="end"/>
                </w:r>
              </w:hyperlink>
            </w:p>
            <w:p w14:paraId="2C805298" w14:textId="6FC495F4" w:rsidR="00C102E8" w:rsidRDefault="008808A7">
              <w:pPr>
                <w:pStyle w:val="TOC2"/>
                <w:rPr>
                  <w:rFonts w:asciiTheme="minorHAnsi" w:eastAsiaTheme="minorEastAsia" w:hAnsiTheme="minorHAnsi" w:cstheme="minorBidi"/>
                  <w:smallCaps w:val="0"/>
                  <w:sz w:val="24"/>
                  <w:szCs w:val="24"/>
                </w:rPr>
              </w:pPr>
              <w:hyperlink w:anchor="_Toc215043421" w:history="1">
                <w:r w:rsidR="00C102E8" w:rsidRPr="00D86B9A">
                  <w:rPr>
                    <w:rStyle w:val="Hyperlink"/>
                    <w:rFonts w:eastAsiaTheme="majorEastAsia"/>
                  </w:rPr>
                  <w:t>5.1 Introduction</w:t>
                </w:r>
                <w:r w:rsidR="00C102E8">
                  <w:rPr>
                    <w:webHidden/>
                  </w:rPr>
                  <w:tab/>
                </w:r>
                <w:r w:rsidR="00C102E8">
                  <w:rPr>
                    <w:webHidden/>
                  </w:rPr>
                  <w:fldChar w:fldCharType="begin"/>
                </w:r>
                <w:r w:rsidR="00C102E8">
                  <w:rPr>
                    <w:webHidden/>
                  </w:rPr>
                  <w:instrText xml:space="preserve"> PAGEREF _Toc215043421 \h </w:instrText>
                </w:r>
                <w:r w:rsidR="00C102E8">
                  <w:rPr>
                    <w:webHidden/>
                  </w:rPr>
                </w:r>
                <w:r w:rsidR="00C102E8">
                  <w:rPr>
                    <w:webHidden/>
                  </w:rPr>
                  <w:fldChar w:fldCharType="separate"/>
                </w:r>
                <w:r w:rsidR="00D34398">
                  <w:rPr>
                    <w:webHidden/>
                  </w:rPr>
                  <w:t>40</w:t>
                </w:r>
                <w:r w:rsidR="00C102E8">
                  <w:rPr>
                    <w:webHidden/>
                  </w:rPr>
                  <w:fldChar w:fldCharType="end"/>
                </w:r>
              </w:hyperlink>
            </w:p>
            <w:p w14:paraId="51ED5ADF" w14:textId="4F03EF6E" w:rsidR="00C102E8" w:rsidRDefault="008808A7">
              <w:pPr>
                <w:pStyle w:val="TOC2"/>
                <w:rPr>
                  <w:rFonts w:asciiTheme="minorHAnsi" w:eastAsiaTheme="minorEastAsia" w:hAnsiTheme="minorHAnsi" w:cstheme="minorBidi"/>
                  <w:smallCaps w:val="0"/>
                  <w:sz w:val="24"/>
                  <w:szCs w:val="24"/>
                </w:rPr>
              </w:pPr>
              <w:hyperlink w:anchor="_Toc215043422" w:history="1">
                <w:r w:rsidR="00C102E8" w:rsidRPr="00D86B9A">
                  <w:rPr>
                    <w:rStyle w:val="Hyperlink"/>
                    <w:rFonts w:eastAsiaTheme="majorEastAsia"/>
                  </w:rPr>
                  <w:t>5.2 Summary of Key Findings</w:t>
                </w:r>
                <w:r w:rsidR="00C102E8">
                  <w:rPr>
                    <w:webHidden/>
                  </w:rPr>
                  <w:tab/>
                </w:r>
                <w:r w:rsidR="00C102E8">
                  <w:rPr>
                    <w:webHidden/>
                  </w:rPr>
                  <w:fldChar w:fldCharType="begin"/>
                </w:r>
                <w:r w:rsidR="00C102E8">
                  <w:rPr>
                    <w:webHidden/>
                  </w:rPr>
                  <w:instrText xml:space="preserve"> PAGEREF _Toc215043422 \h </w:instrText>
                </w:r>
                <w:r w:rsidR="00C102E8">
                  <w:rPr>
                    <w:webHidden/>
                  </w:rPr>
                </w:r>
                <w:r w:rsidR="00C102E8">
                  <w:rPr>
                    <w:webHidden/>
                  </w:rPr>
                  <w:fldChar w:fldCharType="separate"/>
                </w:r>
                <w:r w:rsidR="00D34398">
                  <w:rPr>
                    <w:webHidden/>
                  </w:rPr>
                  <w:t>40</w:t>
                </w:r>
                <w:r w:rsidR="00C102E8">
                  <w:rPr>
                    <w:webHidden/>
                  </w:rPr>
                  <w:fldChar w:fldCharType="end"/>
                </w:r>
              </w:hyperlink>
            </w:p>
            <w:p w14:paraId="19C40C0F" w14:textId="4FEA1AFF" w:rsidR="00C102E8" w:rsidRDefault="008808A7">
              <w:pPr>
                <w:pStyle w:val="TOC2"/>
                <w:rPr>
                  <w:rFonts w:asciiTheme="minorHAnsi" w:eastAsiaTheme="minorEastAsia" w:hAnsiTheme="minorHAnsi" w:cstheme="minorBidi"/>
                  <w:smallCaps w:val="0"/>
                  <w:sz w:val="24"/>
                  <w:szCs w:val="24"/>
                </w:rPr>
              </w:pPr>
              <w:hyperlink w:anchor="_Toc215043423" w:history="1">
                <w:r w:rsidR="00C102E8" w:rsidRPr="00D86B9A">
                  <w:rPr>
                    <w:rStyle w:val="Hyperlink"/>
                    <w:rFonts w:eastAsiaTheme="majorEastAsia"/>
                  </w:rPr>
                  <w:t>5.3 Theoretical and Practical Implications</w:t>
                </w:r>
                <w:r w:rsidR="00C102E8">
                  <w:rPr>
                    <w:webHidden/>
                  </w:rPr>
                  <w:tab/>
                </w:r>
                <w:r w:rsidR="00C102E8">
                  <w:rPr>
                    <w:webHidden/>
                  </w:rPr>
                  <w:fldChar w:fldCharType="begin"/>
                </w:r>
                <w:r w:rsidR="00C102E8">
                  <w:rPr>
                    <w:webHidden/>
                  </w:rPr>
                  <w:instrText xml:space="preserve"> PAGEREF _Toc215043423 \h </w:instrText>
                </w:r>
                <w:r w:rsidR="00C102E8">
                  <w:rPr>
                    <w:webHidden/>
                  </w:rPr>
                </w:r>
                <w:r w:rsidR="00C102E8">
                  <w:rPr>
                    <w:webHidden/>
                  </w:rPr>
                  <w:fldChar w:fldCharType="separate"/>
                </w:r>
                <w:r w:rsidR="00D34398">
                  <w:rPr>
                    <w:webHidden/>
                  </w:rPr>
                  <w:t>42</w:t>
                </w:r>
                <w:r w:rsidR="00C102E8">
                  <w:rPr>
                    <w:webHidden/>
                  </w:rPr>
                  <w:fldChar w:fldCharType="end"/>
                </w:r>
              </w:hyperlink>
            </w:p>
            <w:p w14:paraId="110F5645" w14:textId="1C844065" w:rsidR="00C102E8" w:rsidRDefault="008808A7">
              <w:pPr>
                <w:pStyle w:val="TOC2"/>
                <w:rPr>
                  <w:rFonts w:asciiTheme="minorHAnsi" w:eastAsiaTheme="minorEastAsia" w:hAnsiTheme="minorHAnsi" w:cstheme="minorBidi"/>
                  <w:smallCaps w:val="0"/>
                  <w:sz w:val="24"/>
                  <w:szCs w:val="24"/>
                </w:rPr>
              </w:pPr>
              <w:hyperlink w:anchor="_Toc215043424" w:history="1">
                <w:r w:rsidR="00C102E8" w:rsidRPr="00D86B9A">
                  <w:rPr>
                    <w:rStyle w:val="Hyperlink"/>
                    <w:rFonts w:eastAsiaTheme="majorEastAsia"/>
                  </w:rPr>
                  <w:t>5.4 Recommendations</w:t>
                </w:r>
                <w:r w:rsidR="00C102E8">
                  <w:rPr>
                    <w:webHidden/>
                  </w:rPr>
                  <w:tab/>
                </w:r>
                <w:r w:rsidR="00C102E8">
                  <w:rPr>
                    <w:webHidden/>
                  </w:rPr>
                  <w:fldChar w:fldCharType="begin"/>
                </w:r>
                <w:r w:rsidR="00C102E8">
                  <w:rPr>
                    <w:webHidden/>
                  </w:rPr>
                  <w:instrText xml:space="preserve"> PAGEREF _Toc215043424 \h </w:instrText>
                </w:r>
                <w:r w:rsidR="00C102E8">
                  <w:rPr>
                    <w:webHidden/>
                  </w:rPr>
                </w:r>
                <w:r w:rsidR="00C102E8">
                  <w:rPr>
                    <w:webHidden/>
                  </w:rPr>
                  <w:fldChar w:fldCharType="separate"/>
                </w:r>
                <w:r w:rsidR="00D34398">
                  <w:rPr>
                    <w:webHidden/>
                  </w:rPr>
                  <w:t>43</w:t>
                </w:r>
                <w:r w:rsidR="00C102E8">
                  <w:rPr>
                    <w:webHidden/>
                  </w:rPr>
                  <w:fldChar w:fldCharType="end"/>
                </w:r>
              </w:hyperlink>
            </w:p>
            <w:p w14:paraId="146D5F19" w14:textId="12171548" w:rsidR="00C102E8" w:rsidRDefault="008808A7">
              <w:pPr>
                <w:pStyle w:val="TOC2"/>
                <w:rPr>
                  <w:rFonts w:asciiTheme="minorHAnsi" w:eastAsiaTheme="minorEastAsia" w:hAnsiTheme="minorHAnsi" w:cstheme="minorBidi"/>
                  <w:smallCaps w:val="0"/>
                  <w:sz w:val="24"/>
                  <w:szCs w:val="24"/>
                </w:rPr>
              </w:pPr>
              <w:hyperlink w:anchor="_Toc215043425" w:history="1">
                <w:r w:rsidR="00C102E8" w:rsidRPr="00D86B9A">
                  <w:rPr>
                    <w:rStyle w:val="Hyperlink"/>
                    <w:rFonts w:eastAsiaTheme="majorEastAsia"/>
                  </w:rPr>
                  <w:t>5.5 Reflection on the Research Process</w:t>
                </w:r>
                <w:r w:rsidR="00C102E8">
                  <w:rPr>
                    <w:webHidden/>
                  </w:rPr>
                  <w:tab/>
                </w:r>
                <w:r w:rsidR="00C102E8">
                  <w:rPr>
                    <w:webHidden/>
                  </w:rPr>
                  <w:fldChar w:fldCharType="begin"/>
                </w:r>
                <w:r w:rsidR="00C102E8">
                  <w:rPr>
                    <w:webHidden/>
                  </w:rPr>
                  <w:instrText xml:space="preserve"> PAGEREF _Toc215043425 \h </w:instrText>
                </w:r>
                <w:r w:rsidR="00C102E8">
                  <w:rPr>
                    <w:webHidden/>
                  </w:rPr>
                </w:r>
                <w:r w:rsidR="00C102E8">
                  <w:rPr>
                    <w:webHidden/>
                  </w:rPr>
                  <w:fldChar w:fldCharType="separate"/>
                </w:r>
                <w:r w:rsidR="00D34398">
                  <w:rPr>
                    <w:webHidden/>
                  </w:rPr>
                  <w:t>45</w:t>
                </w:r>
                <w:r w:rsidR="00C102E8">
                  <w:rPr>
                    <w:webHidden/>
                  </w:rPr>
                  <w:fldChar w:fldCharType="end"/>
                </w:r>
              </w:hyperlink>
            </w:p>
            <w:p w14:paraId="42E6073E" w14:textId="49EBDF25" w:rsidR="00C102E8" w:rsidRDefault="008808A7">
              <w:pPr>
                <w:pStyle w:val="TOC2"/>
                <w:rPr>
                  <w:rFonts w:asciiTheme="minorHAnsi" w:eastAsiaTheme="minorEastAsia" w:hAnsiTheme="minorHAnsi" w:cstheme="minorBidi"/>
                  <w:smallCaps w:val="0"/>
                  <w:sz w:val="24"/>
                  <w:szCs w:val="24"/>
                </w:rPr>
              </w:pPr>
              <w:hyperlink w:anchor="_Toc215043426" w:history="1">
                <w:r w:rsidR="00C102E8" w:rsidRPr="00D86B9A">
                  <w:rPr>
                    <w:rStyle w:val="Hyperlink"/>
                    <w:rFonts w:eastAsiaTheme="majorEastAsia"/>
                  </w:rPr>
                  <w:t>5.6 Study Limitations</w:t>
                </w:r>
                <w:r w:rsidR="00C102E8">
                  <w:rPr>
                    <w:webHidden/>
                  </w:rPr>
                  <w:tab/>
                </w:r>
                <w:r w:rsidR="00C102E8">
                  <w:rPr>
                    <w:webHidden/>
                  </w:rPr>
                  <w:fldChar w:fldCharType="begin"/>
                </w:r>
                <w:r w:rsidR="00C102E8">
                  <w:rPr>
                    <w:webHidden/>
                  </w:rPr>
                  <w:instrText xml:space="preserve"> PAGEREF _Toc215043426 \h </w:instrText>
                </w:r>
                <w:r w:rsidR="00C102E8">
                  <w:rPr>
                    <w:webHidden/>
                  </w:rPr>
                </w:r>
                <w:r w:rsidR="00C102E8">
                  <w:rPr>
                    <w:webHidden/>
                  </w:rPr>
                  <w:fldChar w:fldCharType="separate"/>
                </w:r>
                <w:r w:rsidR="00D34398">
                  <w:rPr>
                    <w:webHidden/>
                  </w:rPr>
                  <w:t>45</w:t>
                </w:r>
                <w:r w:rsidR="00C102E8">
                  <w:rPr>
                    <w:webHidden/>
                  </w:rPr>
                  <w:fldChar w:fldCharType="end"/>
                </w:r>
              </w:hyperlink>
            </w:p>
            <w:p w14:paraId="0DB0A21B" w14:textId="2DA397C0" w:rsidR="00C102E8" w:rsidRDefault="008808A7">
              <w:pPr>
                <w:pStyle w:val="TOC2"/>
                <w:rPr>
                  <w:rFonts w:asciiTheme="minorHAnsi" w:eastAsiaTheme="minorEastAsia" w:hAnsiTheme="minorHAnsi" w:cstheme="minorBidi"/>
                  <w:smallCaps w:val="0"/>
                  <w:sz w:val="24"/>
                  <w:szCs w:val="24"/>
                </w:rPr>
              </w:pPr>
              <w:hyperlink w:anchor="_Toc215043427" w:history="1">
                <w:r w:rsidR="00C102E8" w:rsidRPr="00D86B9A">
                  <w:rPr>
                    <w:rStyle w:val="Hyperlink"/>
                    <w:rFonts w:eastAsiaTheme="majorEastAsia"/>
                  </w:rPr>
                  <w:t>5.7 Conclusion</w:t>
                </w:r>
                <w:r w:rsidR="00C102E8">
                  <w:rPr>
                    <w:webHidden/>
                  </w:rPr>
                  <w:tab/>
                </w:r>
                <w:r w:rsidR="00C102E8">
                  <w:rPr>
                    <w:webHidden/>
                  </w:rPr>
                  <w:fldChar w:fldCharType="begin"/>
                </w:r>
                <w:r w:rsidR="00C102E8">
                  <w:rPr>
                    <w:webHidden/>
                  </w:rPr>
                  <w:instrText xml:space="preserve"> PAGEREF _Toc215043427 \h </w:instrText>
                </w:r>
                <w:r w:rsidR="00C102E8">
                  <w:rPr>
                    <w:webHidden/>
                  </w:rPr>
                </w:r>
                <w:r w:rsidR="00C102E8">
                  <w:rPr>
                    <w:webHidden/>
                  </w:rPr>
                  <w:fldChar w:fldCharType="separate"/>
                </w:r>
                <w:r w:rsidR="00D34398">
                  <w:rPr>
                    <w:webHidden/>
                  </w:rPr>
                  <w:t>46</w:t>
                </w:r>
                <w:r w:rsidR="00C102E8">
                  <w:rPr>
                    <w:webHidden/>
                  </w:rPr>
                  <w:fldChar w:fldCharType="end"/>
                </w:r>
              </w:hyperlink>
            </w:p>
            <w:p w14:paraId="4C478B59" w14:textId="5FC23729" w:rsidR="00C102E8" w:rsidRDefault="008808A7">
              <w:pPr>
                <w:pStyle w:val="TOC1"/>
                <w:tabs>
                  <w:tab w:val="right" w:leader="dot" w:pos="9016"/>
                </w:tabs>
                <w:rPr>
                  <w:rFonts w:eastAsiaTheme="minorEastAsia" w:cstheme="minorBidi"/>
                  <w:b w:val="0"/>
                  <w:bCs w:val="0"/>
                  <w:caps w:val="0"/>
                  <w:noProof/>
                  <w:sz w:val="24"/>
                  <w:szCs w:val="24"/>
                </w:rPr>
              </w:pPr>
              <w:hyperlink w:anchor="_Toc215043428" w:history="1">
                <w:r w:rsidR="00C102E8" w:rsidRPr="00D86B9A">
                  <w:rPr>
                    <w:rStyle w:val="Hyperlink"/>
                    <w:rFonts w:eastAsiaTheme="majorEastAsia" w:cs="Arial"/>
                    <w:noProof/>
                  </w:rPr>
                  <w:t>References</w:t>
                </w:r>
                <w:r w:rsidR="00C102E8">
                  <w:rPr>
                    <w:noProof/>
                    <w:webHidden/>
                  </w:rPr>
                  <w:tab/>
                </w:r>
                <w:r w:rsidR="00C102E8">
                  <w:rPr>
                    <w:noProof/>
                    <w:webHidden/>
                  </w:rPr>
                  <w:fldChar w:fldCharType="begin"/>
                </w:r>
                <w:r w:rsidR="00C102E8">
                  <w:rPr>
                    <w:noProof/>
                    <w:webHidden/>
                  </w:rPr>
                  <w:instrText xml:space="preserve"> PAGEREF _Toc215043428 \h </w:instrText>
                </w:r>
                <w:r w:rsidR="00C102E8">
                  <w:rPr>
                    <w:noProof/>
                    <w:webHidden/>
                  </w:rPr>
                </w:r>
                <w:r w:rsidR="00C102E8">
                  <w:rPr>
                    <w:noProof/>
                    <w:webHidden/>
                  </w:rPr>
                  <w:fldChar w:fldCharType="separate"/>
                </w:r>
                <w:r w:rsidR="00D34398">
                  <w:rPr>
                    <w:noProof/>
                    <w:webHidden/>
                  </w:rPr>
                  <w:t>47</w:t>
                </w:r>
                <w:r w:rsidR="00C102E8">
                  <w:rPr>
                    <w:noProof/>
                    <w:webHidden/>
                  </w:rPr>
                  <w:fldChar w:fldCharType="end"/>
                </w:r>
              </w:hyperlink>
            </w:p>
            <w:p w14:paraId="6FB9AF3E" w14:textId="5FED59A2" w:rsidR="00C102E8" w:rsidRDefault="008808A7">
              <w:pPr>
                <w:pStyle w:val="TOC1"/>
                <w:tabs>
                  <w:tab w:val="right" w:leader="dot" w:pos="9016"/>
                </w:tabs>
                <w:rPr>
                  <w:rFonts w:eastAsiaTheme="minorEastAsia" w:cstheme="minorBidi"/>
                  <w:b w:val="0"/>
                  <w:bCs w:val="0"/>
                  <w:caps w:val="0"/>
                  <w:noProof/>
                  <w:sz w:val="24"/>
                  <w:szCs w:val="24"/>
                </w:rPr>
              </w:pPr>
              <w:hyperlink w:anchor="_Toc215043429" w:history="1">
                <w:r w:rsidR="00C102E8" w:rsidRPr="00D86B9A">
                  <w:rPr>
                    <w:rStyle w:val="Hyperlink"/>
                    <w:rFonts w:eastAsiaTheme="majorEastAsia" w:cs="Arial"/>
                    <w:noProof/>
                  </w:rPr>
                  <w:t>Appendices</w:t>
                </w:r>
                <w:r w:rsidR="00C102E8">
                  <w:rPr>
                    <w:noProof/>
                    <w:webHidden/>
                  </w:rPr>
                  <w:tab/>
                </w:r>
                <w:r w:rsidR="00C102E8">
                  <w:rPr>
                    <w:noProof/>
                    <w:webHidden/>
                  </w:rPr>
                  <w:fldChar w:fldCharType="begin"/>
                </w:r>
                <w:r w:rsidR="00C102E8">
                  <w:rPr>
                    <w:noProof/>
                    <w:webHidden/>
                  </w:rPr>
                  <w:instrText xml:space="preserve"> PAGEREF _Toc215043429 \h </w:instrText>
                </w:r>
                <w:r w:rsidR="00C102E8">
                  <w:rPr>
                    <w:noProof/>
                    <w:webHidden/>
                  </w:rPr>
                </w:r>
                <w:r w:rsidR="00C102E8">
                  <w:rPr>
                    <w:noProof/>
                    <w:webHidden/>
                  </w:rPr>
                  <w:fldChar w:fldCharType="separate"/>
                </w:r>
                <w:r w:rsidR="00D34398">
                  <w:rPr>
                    <w:noProof/>
                    <w:webHidden/>
                  </w:rPr>
                  <w:t>57</w:t>
                </w:r>
                <w:r w:rsidR="00C102E8">
                  <w:rPr>
                    <w:noProof/>
                    <w:webHidden/>
                  </w:rPr>
                  <w:fldChar w:fldCharType="end"/>
                </w:r>
              </w:hyperlink>
            </w:p>
            <w:p w14:paraId="4184DC87" w14:textId="2F809183" w:rsidR="00C102E8" w:rsidRDefault="008808A7">
              <w:pPr>
                <w:pStyle w:val="TOC2"/>
                <w:rPr>
                  <w:rFonts w:asciiTheme="minorHAnsi" w:eastAsiaTheme="minorEastAsia" w:hAnsiTheme="minorHAnsi" w:cstheme="minorBidi"/>
                  <w:smallCaps w:val="0"/>
                  <w:sz w:val="24"/>
                  <w:szCs w:val="24"/>
                </w:rPr>
              </w:pPr>
              <w:hyperlink w:anchor="_Toc215043430" w:history="1">
                <w:r w:rsidR="00C102E8" w:rsidRPr="00D86B9A">
                  <w:rPr>
                    <w:rStyle w:val="Hyperlink"/>
                  </w:rPr>
                  <w:t>Appendix A: Glossary of Key Terms</w:t>
                </w:r>
                <w:r w:rsidR="00C102E8">
                  <w:rPr>
                    <w:webHidden/>
                  </w:rPr>
                  <w:tab/>
                </w:r>
                <w:r w:rsidR="00C102E8">
                  <w:rPr>
                    <w:webHidden/>
                  </w:rPr>
                  <w:fldChar w:fldCharType="begin"/>
                </w:r>
                <w:r w:rsidR="00C102E8">
                  <w:rPr>
                    <w:webHidden/>
                  </w:rPr>
                  <w:instrText xml:space="preserve"> PAGEREF _Toc215043430 \h </w:instrText>
                </w:r>
                <w:r w:rsidR="00C102E8">
                  <w:rPr>
                    <w:webHidden/>
                  </w:rPr>
                </w:r>
                <w:r w:rsidR="00C102E8">
                  <w:rPr>
                    <w:webHidden/>
                  </w:rPr>
                  <w:fldChar w:fldCharType="separate"/>
                </w:r>
                <w:r w:rsidR="00D34398">
                  <w:rPr>
                    <w:webHidden/>
                  </w:rPr>
                  <w:t>57</w:t>
                </w:r>
                <w:r w:rsidR="00C102E8">
                  <w:rPr>
                    <w:webHidden/>
                  </w:rPr>
                  <w:fldChar w:fldCharType="end"/>
                </w:r>
              </w:hyperlink>
            </w:p>
            <w:p w14:paraId="210CFC63" w14:textId="681BEC81" w:rsidR="00C102E8" w:rsidRDefault="008808A7">
              <w:pPr>
                <w:pStyle w:val="TOC2"/>
                <w:rPr>
                  <w:rFonts w:asciiTheme="minorHAnsi" w:eastAsiaTheme="minorEastAsia" w:hAnsiTheme="minorHAnsi" w:cstheme="minorBidi"/>
                  <w:smallCaps w:val="0"/>
                  <w:sz w:val="24"/>
                  <w:szCs w:val="24"/>
                </w:rPr>
              </w:pPr>
              <w:hyperlink w:anchor="_Toc215043431" w:history="1">
                <w:r w:rsidR="00C102E8" w:rsidRPr="00D86B9A">
                  <w:rPr>
                    <w:rStyle w:val="Hyperlink"/>
                  </w:rPr>
                  <w:t>Appendix B: Search Strategy Tables</w:t>
                </w:r>
                <w:r w:rsidR="00C102E8">
                  <w:rPr>
                    <w:webHidden/>
                  </w:rPr>
                  <w:tab/>
                </w:r>
                <w:r w:rsidR="00C102E8">
                  <w:rPr>
                    <w:webHidden/>
                  </w:rPr>
                  <w:fldChar w:fldCharType="begin"/>
                </w:r>
                <w:r w:rsidR="00C102E8">
                  <w:rPr>
                    <w:webHidden/>
                  </w:rPr>
                  <w:instrText xml:space="preserve"> PAGEREF _Toc215043431 \h </w:instrText>
                </w:r>
                <w:r w:rsidR="00C102E8">
                  <w:rPr>
                    <w:webHidden/>
                  </w:rPr>
                </w:r>
                <w:r w:rsidR="00C102E8">
                  <w:rPr>
                    <w:webHidden/>
                  </w:rPr>
                  <w:fldChar w:fldCharType="separate"/>
                </w:r>
                <w:r w:rsidR="00D34398">
                  <w:rPr>
                    <w:webHidden/>
                  </w:rPr>
                  <w:t>58</w:t>
                </w:r>
                <w:r w:rsidR="00C102E8">
                  <w:rPr>
                    <w:webHidden/>
                  </w:rPr>
                  <w:fldChar w:fldCharType="end"/>
                </w:r>
              </w:hyperlink>
            </w:p>
            <w:p w14:paraId="0A3B3789" w14:textId="79BCFA72" w:rsidR="00C102E8" w:rsidRDefault="008808A7">
              <w:pPr>
                <w:pStyle w:val="TOC2"/>
                <w:rPr>
                  <w:rFonts w:asciiTheme="minorHAnsi" w:eastAsiaTheme="minorEastAsia" w:hAnsiTheme="minorHAnsi" w:cstheme="minorBidi"/>
                  <w:smallCaps w:val="0"/>
                  <w:sz w:val="24"/>
                  <w:szCs w:val="24"/>
                </w:rPr>
              </w:pPr>
              <w:hyperlink w:anchor="_Toc215043432" w:history="1">
                <w:r w:rsidR="00C102E8" w:rsidRPr="00D86B9A">
                  <w:rPr>
                    <w:rStyle w:val="Hyperlink"/>
                  </w:rPr>
                  <w:t>Appendix C: Summary of Key Findings &amp; Recommendations</w:t>
                </w:r>
                <w:r w:rsidR="00C102E8">
                  <w:rPr>
                    <w:webHidden/>
                  </w:rPr>
                  <w:tab/>
                </w:r>
                <w:r w:rsidR="00C102E8">
                  <w:rPr>
                    <w:webHidden/>
                  </w:rPr>
                  <w:fldChar w:fldCharType="begin"/>
                </w:r>
                <w:r w:rsidR="00C102E8">
                  <w:rPr>
                    <w:webHidden/>
                  </w:rPr>
                  <w:instrText xml:space="preserve"> PAGEREF _Toc215043432 \h </w:instrText>
                </w:r>
                <w:r w:rsidR="00C102E8">
                  <w:rPr>
                    <w:webHidden/>
                  </w:rPr>
                </w:r>
                <w:r w:rsidR="00C102E8">
                  <w:rPr>
                    <w:webHidden/>
                  </w:rPr>
                  <w:fldChar w:fldCharType="separate"/>
                </w:r>
                <w:r w:rsidR="00D34398">
                  <w:rPr>
                    <w:webHidden/>
                  </w:rPr>
                  <w:t>63</w:t>
                </w:r>
                <w:r w:rsidR="00C102E8">
                  <w:rPr>
                    <w:webHidden/>
                  </w:rPr>
                  <w:fldChar w:fldCharType="end"/>
                </w:r>
              </w:hyperlink>
            </w:p>
            <w:p w14:paraId="1CCE46E2" w14:textId="7FE7C3EB" w:rsidR="00C102E8" w:rsidRDefault="008808A7">
              <w:pPr>
                <w:pStyle w:val="TOC2"/>
                <w:rPr>
                  <w:rFonts w:asciiTheme="minorHAnsi" w:eastAsiaTheme="minorEastAsia" w:hAnsiTheme="minorHAnsi" w:cstheme="minorBidi"/>
                  <w:smallCaps w:val="0"/>
                  <w:sz w:val="24"/>
                  <w:szCs w:val="24"/>
                </w:rPr>
              </w:pPr>
              <w:hyperlink w:anchor="_Toc215043433" w:history="1">
                <w:r w:rsidR="00C102E8" w:rsidRPr="00D86B9A">
                  <w:rPr>
                    <w:rStyle w:val="Hyperlink"/>
                  </w:rPr>
                  <w:t>smaller table summarises action priorities</w:t>
                </w:r>
                <w:r w:rsidR="00C102E8">
                  <w:rPr>
                    <w:webHidden/>
                  </w:rPr>
                  <w:tab/>
                </w:r>
                <w:r w:rsidR="00C102E8">
                  <w:rPr>
                    <w:webHidden/>
                  </w:rPr>
                  <w:fldChar w:fldCharType="begin"/>
                </w:r>
                <w:r w:rsidR="00C102E8">
                  <w:rPr>
                    <w:webHidden/>
                  </w:rPr>
                  <w:instrText xml:space="preserve"> PAGEREF _Toc215043433 \h </w:instrText>
                </w:r>
                <w:r w:rsidR="00C102E8">
                  <w:rPr>
                    <w:webHidden/>
                  </w:rPr>
                </w:r>
                <w:r w:rsidR="00C102E8">
                  <w:rPr>
                    <w:webHidden/>
                  </w:rPr>
                  <w:fldChar w:fldCharType="separate"/>
                </w:r>
                <w:r w:rsidR="00D34398">
                  <w:rPr>
                    <w:webHidden/>
                  </w:rPr>
                  <w:t>63</w:t>
                </w:r>
                <w:r w:rsidR="00C102E8">
                  <w:rPr>
                    <w:webHidden/>
                  </w:rPr>
                  <w:fldChar w:fldCharType="end"/>
                </w:r>
              </w:hyperlink>
            </w:p>
            <w:p w14:paraId="308203D9" w14:textId="60537ED5" w:rsidR="00C102E8" w:rsidRDefault="008808A7">
              <w:pPr>
                <w:pStyle w:val="TOC2"/>
                <w:rPr>
                  <w:rFonts w:asciiTheme="minorHAnsi" w:eastAsiaTheme="minorEastAsia" w:hAnsiTheme="minorHAnsi" w:cstheme="minorBidi"/>
                  <w:smallCaps w:val="0"/>
                  <w:sz w:val="24"/>
                  <w:szCs w:val="24"/>
                </w:rPr>
              </w:pPr>
              <w:hyperlink w:anchor="_Toc215043434" w:history="1">
                <w:r w:rsidR="00C102E8" w:rsidRPr="00D86B9A">
                  <w:rPr>
                    <w:rStyle w:val="Hyperlink"/>
                  </w:rPr>
                  <w:t>Appendix D: Academic Methodology Poster</w:t>
                </w:r>
                <w:r w:rsidR="00C102E8">
                  <w:rPr>
                    <w:webHidden/>
                  </w:rPr>
                  <w:tab/>
                </w:r>
                <w:r w:rsidR="00C102E8">
                  <w:rPr>
                    <w:webHidden/>
                  </w:rPr>
                  <w:fldChar w:fldCharType="begin"/>
                </w:r>
                <w:r w:rsidR="00C102E8">
                  <w:rPr>
                    <w:webHidden/>
                  </w:rPr>
                  <w:instrText xml:space="preserve"> PAGEREF _Toc215043434 \h </w:instrText>
                </w:r>
                <w:r w:rsidR="00C102E8">
                  <w:rPr>
                    <w:webHidden/>
                  </w:rPr>
                </w:r>
                <w:r w:rsidR="00C102E8">
                  <w:rPr>
                    <w:webHidden/>
                  </w:rPr>
                  <w:fldChar w:fldCharType="separate"/>
                </w:r>
                <w:r w:rsidR="00D34398">
                  <w:rPr>
                    <w:webHidden/>
                  </w:rPr>
                  <w:t>64</w:t>
                </w:r>
                <w:r w:rsidR="00C102E8">
                  <w:rPr>
                    <w:webHidden/>
                  </w:rPr>
                  <w:fldChar w:fldCharType="end"/>
                </w:r>
              </w:hyperlink>
            </w:p>
            <w:p w14:paraId="2611F3FF" w14:textId="06DA7B12" w:rsidR="00DC1BB0" w:rsidRPr="00170ACB" w:rsidRDefault="00F31AEC" w:rsidP="00170ACB">
              <w:pPr>
                <w:spacing w:line="360" w:lineRule="auto"/>
                <w:rPr>
                  <w:rFonts w:ascii="Arial" w:eastAsiaTheme="minorHAnsi" w:hAnsi="Arial" w:cs="Arial"/>
                  <w:i/>
                  <w:sz w:val="22"/>
                  <w:szCs w:val="22"/>
                  <w:lang w:eastAsia="en-US"/>
                </w:rPr>
              </w:pPr>
              <w:r w:rsidRPr="00170ACB">
                <w:rPr>
                  <w:rFonts w:ascii="Arial" w:hAnsi="Arial" w:cs="Arial"/>
                  <w:b/>
                  <w:bCs/>
                  <w:noProof/>
                  <w:sz w:val="22"/>
                  <w:szCs w:val="22"/>
                </w:rPr>
                <w:fldChar w:fldCharType="end"/>
              </w:r>
            </w:p>
          </w:sdtContent>
        </w:sdt>
      </w:sdtContent>
    </w:sdt>
    <w:p w14:paraId="5B607858" w14:textId="5F0E587C" w:rsidR="00170ACB" w:rsidRDefault="00170ACB" w:rsidP="00170ACB">
      <w:pPr>
        <w:pStyle w:val="Heading1"/>
        <w:spacing w:line="360" w:lineRule="auto"/>
        <w:rPr>
          <w:rFonts w:cs="Arial"/>
          <w:szCs w:val="22"/>
        </w:rPr>
      </w:pPr>
    </w:p>
    <w:p w14:paraId="44657BA4" w14:textId="0EBE2E1D" w:rsidR="00A4510D" w:rsidRDefault="00A4510D" w:rsidP="00170ACB">
      <w:pPr>
        <w:pStyle w:val="Heading1"/>
        <w:spacing w:line="360" w:lineRule="auto"/>
        <w:rPr>
          <w:rFonts w:cs="Arial"/>
          <w:szCs w:val="22"/>
        </w:rPr>
      </w:pPr>
    </w:p>
    <w:p w14:paraId="30FBD917" w14:textId="48C416EE" w:rsidR="00A4510D" w:rsidRDefault="00A4510D" w:rsidP="00170ACB">
      <w:pPr>
        <w:pStyle w:val="Heading1"/>
        <w:spacing w:line="360" w:lineRule="auto"/>
        <w:rPr>
          <w:rFonts w:cs="Arial"/>
          <w:szCs w:val="22"/>
        </w:rPr>
      </w:pPr>
    </w:p>
    <w:p w14:paraId="25B07E8E" w14:textId="2C6806C8" w:rsidR="00A4510D" w:rsidRDefault="00A4510D" w:rsidP="00170ACB">
      <w:pPr>
        <w:pStyle w:val="Heading1"/>
        <w:spacing w:line="360" w:lineRule="auto"/>
        <w:rPr>
          <w:rFonts w:cs="Arial"/>
          <w:szCs w:val="22"/>
        </w:rPr>
      </w:pPr>
    </w:p>
    <w:p w14:paraId="2DD8F269" w14:textId="77777777" w:rsidR="00C102E8" w:rsidRPr="00170ACB" w:rsidRDefault="00C102E8" w:rsidP="00170ACB">
      <w:pPr>
        <w:pStyle w:val="Heading1"/>
        <w:spacing w:line="360" w:lineRule="auto"/>
        <w:rPr>
          <w:rFonts w:cs="Arial"/>
          <w:szCs w:val="22"/>
        </w:rPr>
      </w:pPr>
    </w:p>
    <w:p w14:paraId="52639FCE" w14:textId="77777777" w:rsidR="00170ACB" w:rsidRPr="00170ACB" w:rsidRDefault="00170ACB" w:rsidP="00170ACB">
      <w:pPr>
        <w:pStyle w:val="Heading1"/>
        <w:spacing w:line="360" w:lineRule="auto"/>
        <w:rPr>
          <w:rFonts w:cs="Arial"/>
          <w:szCs w:val="22"/>
        </w:rPr>
      </w:pPr>
    </w:p>
    <w:p w14:paraId="54AE709F" w14:textId="04A1AC5D" w:rsidR="00170ACB" w:rsidRPr="0000230A" w:rsidRDefault="00656CF3" w:rsidP="0000230A">
      <w:pPr>
        <w:pStyle w:val="Heading1"/>
        <w:spacing w:line="360" w:lineRule="auto"/>
        <w:rPr>
          <w:rFonts w:cs="Arial"/>
          <w:szCs w:val="22"/>
        </w:rPr>
      </w:pPr>
      <w:bookmarkStart w:id="3" w:name="_Toc215043352"/>
      <w:r w:rsidRPr="0000230A">
        <w:rPr>
          <w:rFonts w:cs="Arial"/>
          <w:szCs w:val="22"/>
        </w:rPr>
        <w:lastRenderedPageBreak/>
        <w:t>CHAPTER 1: INTRODUCTION</w:t>
      </w:r>
      <w:bookmarkEnd w:id="3"/>
    </w:p>
    <w:p w14:paraId="7EC7F4A3" w14:textId="050CAC71" w:rsidR="00C40CF1" w:rsidRPr="0000230A" w:rsidRDefault="00C40CF1" w:rsidP="0000230A">
      <w:pPr>
        <w:pStyle w:val="Heading2"/>
        <w:spacing w:line="360" w:lineRule="auto"/>
        <w:rPr>
          <w:rFonts w:cs="Arial"/>
          <w:szCs w:val="22"/>
        </w:rPr>
      </w:pPr>
      <w:bookmarkStart w:id="4" w:name="_Toc215043353"/>
      <w:r w:rsidRPr="0000230A">
        <w:rPr>
          <w:rFonts w:cs="Arial"/>
          <w:szCs w:val="22"/>
        </w:rPr>
        <w:t xml:space="preserve">1.1 </w:t>
      </w:r>
      <w:r w:rsidR="00E75ACC" w:rsidRPr="0000230A">
        <w:rPr>
          <w:rFonts w:cs="Arial"/>
          <w:szCs w:val="22"/>
        </w:rPr>
        <w:t>Research Focus and Title Evolution</w:t>
      </w:r>
      <w:bookmarkEnd w:id="4"/>
    </w:p>
    <w:p w14:paraId="67C24689" w14:textId="77777777" w:rsidR="00825E43" w:rsidRPr="00825E43" w:rsidRDefault="00825E43" w:rsidP="0000230A">
      <w:pPr>
        <w:spacing w:before="100" w:beforeAutospacing="1" w:after="100" w:afterAutospacing="1" w:line="360" w:lineRule="auto"/>
        <w:rPr>
          <w:rFonts w:ascii="Arial" w:hAnsi="Arial" w:cs="Arial"/>
          <w:color w:val="000000"/>
          <w:sz w:val="22"/>
          <w:szCs w:val="22"/>
        </w:rPr>
      </w:pPr>
      <w:r w:rsidRPr="00825E43">
        <w:rPr>
          <w:rFonts w:ascii="Arial" w:hAnsi="Arial" w:cs="Arial"/>
          <w:color w:val="000000"/>
          <w:sz w:val="22"/>
          <w:szCs w:val="22"/>
        </w:rPr>
        <w:t>This dissertation investigates the complex relationship between low-income status, substance misuse, and untreated mental health disorders in England. Although these issues frequently overlap in public health research, they are rarely examined together in a fully integrated manner. The original dissertation title, “Substance Abuse in the UK: A Demographic Investigation of Risk Patterns and Mental Health Correlates,” captured the broad theme, but early engagement with the literature revealed that socioeconomic inequality consistently emerged as the strongest and most persistent predictor of both substance misuse and mental health outcomes. This insight led to a refinement of the study’s focus.</w:t>
      </w:r>
    </w:p>
    <w:p w14:paraId="2318D455" w14:textId="77777777" w:rsidR="00825E43" w:rsidRPr="00825E43" w:rsidRDefault="00825E43" w:rsidP="0000230A">
      <w:pPr>
        <w:spacing w:before="100" w:beforeAutospacing="1" w:after="100" w:afterAutospacing="1" w:line="360" w:lineRule="auto"/>
        <w:rPr>
          <w:rFonts w:ascii="Arial" w:hAnsi="Arial" w:cs="Arial"/>
          <w:color w:val="000000"/>
          <w:sz w:val="22"/>
          <w:szCs w:val="22"/>
        </w:rPr>
      </w:pPr>
      <w:r w:rsidRPr="00825E43">
        <w:rPr>
          <w:rFonts w:ascii="Arial" w:hAnsi="Arial" w:cs="Arial"/>
          <w:color w:val="000000"/>
          <w:sz w:val="22"/>
          <w:szCs w:val="22"/>
        </w:rPr>
        <w:t>The central research question guiding this dissertation is:</w:t>
      </w:r>
      <w:r w:rsidRPr="00825E43">
        <w:rPr>
          <w:rFonts w:ascii="Arial" w:hAnsi="Arial" w:cs="Arial"/>
          <w:color w:val="000000"/>
          <w:sz w:val="22"/>
          <w:szCs w:val="22"/>
        </w:rPr>
        <w:br/>
      </w:r>
      <w:r w:rsidRPr="001B49EC">
        <w:rPr>
          <w:rFonts w:ascii="Arial" w:hAnsi="Arial" w:cs="Arial"/>
          <w:color w:val="000000"/>
          <w:sz w:val="22"/>
          <w:szCs w:val="22"/>
        </w:rPr>
        <w:t>“Is there a correlation between low-income status and higher rates of substance misuse in England, and how does this intersect with levels of untreated mental health disorders?”</w:t>
      </w:r>
    </w:p>
    <w:p w14:paraId="0A967D33" w14:textId="77777777" w:rsidR="00825E43" w:rsidRPr="00825E43" w:rsidRDefault="00825E43" w:rsidP="0000230A">
      <w:pPr>
        <w:spacing w:before="100" w:beforeAutospacing="1" w:after="100" w:afterAutospacing="1" w:line="360" w:lineRule="auto"/>
        <w:rPr>
          <w:rFonts w:ascii="Arial" w:hAnsi="Arial" w:cs="Arial"/>
          <w:color w:val="000000"/>
          <w:sz w:val="22"/>
          <w:szCs w:val="22"/>
        </w:rPr>
      </w:pPr>
      <w:r w:rsidRPr="00825E43">
        <w:rPr>
          <w:rFonts w:ascii="Arial" w:hAnsi="Arial" w:cs="Arial"/>
          <w:color w:val="000000"/>
          <w:sz w:val="22"/>
          <w:szCs w:val="22"/>
        </w:rPr>
        <w:t>This question goes beyond simply identifying associations. It seeks to explore how poverty, structural disadvantage, and barriers to care combine to shape health inequalities. The core premise of this study is that poverty does not merely coincide with poorer health outcomes; it actively produces and reinforces them. Individuals living on low incomes face greater exposure to chronic stress, trauma, housing insecurity, and reduced access to support services. These conditions increase the likelihood of substance misuse and make mental health difficulties more challenging to address effectively.</w:t>
      </w:r>
    </w:p>
    <w:p w14:paraId="4A4DC978" w14:textId="77777777" w:rsidR="00825E43" w:rsidRPr="00825E43" w:rsidRDefault="00825E43" w:rsidP="0000230A">
      <w:pPr>
        <w:spacing w:before="100" w:beforeAutospacing="1" w:after="100" w:afterAutospacing="1" w:line="360" w:lineRule="auto"/>
        <w:rPr>
          <w:rFonts w:ascii="Arial" w:hAnsi="Arial" w:cs="Arial"/>
          <w:color w:val="000000"/>
          <w:sz w:val="22"/>
          <w:szCs w:val="22"/>
        </w:rPr>
      </w:pPr>
      <w:r w:rsidRPr="00825E43">
        <w:rPr>
          <w:rFonts w:ascii="Arial" w:hAnsi="Arial" w:cs="Arial"/>
          <w:color w:val="000000"/>
          <w:sz w:val="22"/>
          <w:szCs w:val="22"/>
        </w:rPr>
        <w:t>By examining how these factors interact within the current English public health landscape, this dissertation aims to uncover the social, psychological, and structural mechanisms that underpin the intersection between socioeconomic deprivation, substance misuse, and untreated mental health disorders.</w:t>
      </w:r>
    </w:p>
    <w:p w14:paraId="15623C36" w14:textId="74690FE0" w:rsidR="00C01ACC" w:rsidRDefault="00C01ACC" w:rsidP="0000230A">
      <w:pPr>
        <w:spacing w:before="100" w:beforeAutospacing="1" w:after="100" w:afterAutospacing="1" w:line="360" w:lineRule="auto"/>
        <w:rPr>
          <w:rFonts w:ascii="Arial" w:hAnsi="Arial" w:cs="Arial"/>
          <w:color w:val="000000" w:themeColor="text1"/>
          <w:sz w:val="22"/>
          <w:szCs w:val="22"/>
        </w:rPr>
      </w:pPr>
    </w:p>
    <w:p w14:paraId="7D92F3A4" w14:textId="6611F8BC"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5A803211" w14:textId="77777777" w:rsidR="0000230A" w:rsidRPr="0000230A" w:rsidRDefault="0000230A" w:rsidP="0000230A">
      <w:pPr>
        <w:spacing w:before="100" w:beforeAutospacing="1" w:after="100" w:afterAutospacing="1" w:line="360" w:lineRule="auto"/>
        <w:rPr>
          <w:rFonts w:ascii="Arial" w:hAnsi="Arial" w:cs="Arial"/>
          <w:color w:val="000000" w:themeColor="text1"/>
          <w:sz w:val="22"/>
          <w:szCs w:val="22"/>
        </w:rPr>
      </w:pPr>
    </w:p>
    <w:p w14:paraId="3A603F2F" w14:textId="77777777" w:rsidR="00170ACB" w:rsidRPr="0000230A" w:rsidRDefault="00170ACB" w:rsidP="0000230A">
      <w:pPr>
        <w:spacing w:before="100" w:beforeAutospacing="1" w:after="100" w:afterAutospacing="1" w:line="360" w:lineRule="auto"/>
        <w:rPr>
          <w:rFonts w:ascii="Arial" w:hAnsi="Arial" w:cs="Arial"/>
          <w:color w:val="000000" w:themeColor="text1"/>
          <w:sz w:val="22"/>
          <w:szCs w:val="22"/>
        </w:rPr>
      </w:pPr>
    </w:p>
    <w:p w14:paraId="067F4854" w14:textId="7DD59045" w:rsidR="00C40CF1" w:rsidRPr="0000230A" w:rsidRDefault="00C40CF1" w:rsidP="0000230A">
      <w:pPr>
        <w:pStyle w:val="Heading2"/>
        <w:spacing w:line="360" w:lineRule="auto"/>
        <w:rPr>
          <w:rFonts w:cs="Arial"/>
          <w:szCs w:val="22"/>
        </w:rPr>
      </w:pPr>
      <w:bookmarkStart w:id="5" w:name="_Toc215043354"/>
      <w:bookmarkStart w:id="6" w:name="why-this-research-matters"/>
      <w:r w:rsidRPr="0000230A">
        <w:rPr>
          <w:rFonts w:cs="Arial"/>
          <w:szCs w:val="22"/>
        </w:rPr>
        <w:lastRenderedPageBreak/>
        <w:t>1.2 Why This Research Matters</w:t>
      </w:r>
      <w:bookmarkEnd w:id="5"/>
    </w:p>
    <w:p w14:paraId="5C067D87" w14:textId="77777777" w:rsidR="00C40CF1" w:rsidRPr="0000230A" w:rsidRDefault="00C40CF1" w:rsidP="0000230A">
      <w:pPr>
        <w:pStyle w:val="FirstParagraph"/>
        <w:spacing w:line="360" w:lineRule="auto"/>
        <w:rPr>
          <w:rFonts w:ascii="Arial" w:hAnsi="Arial" w:cs="Arial"/>
          <w:sz w:val="22"/>
          <w:szCs w:val="22"/>
        </w:rPr>
      </w:pPr>
      <w:r w:rsidRPr="0000230A">
        <w:rPr>
          <w:rFonts w:ascii="Arial" w:hAnsi="Arial" w:cs="Arial"/>
          <w:sz w:val="22"/>
          <w:szCs w:val="22"/>
        </w:rPr>
        <w:t>This research is important for three interrelated reasons:</w:t>
      </w:r>
    </w:p>
    <w:p w14:paraId="000A9B09" w14:textId="77777777" w:rsidR="00C40CF1" w:rsidRPr="0000230A" w:rsidRDefault="00C40CF1" w:rsidP="0000230A">
      <w:pPr>
        <w:spacing w:line="360" w:lineRule="auto"/>
        <w:rPr>
          <w:rFonts w:ascii="Arial" w:hAnsi="Arial" w:cs="Arial"/>
          <w:sz w:val="22"/>
          <w:szCs w:val="22"/>
        </w:rPr>
      </w:pPr>
      <w:bookmarkStart w:id="7" w:name="social-justice-and-health-inequity"/>
      <w:r w:rsidRPr="0000230A">
        <w:rPr>
          <w:rFonts w:ascii="Arial" w:hAnsi="Arial" w:cs="Arial"/>
          <w:sz w:val="22"/>
          <w:szCs w:val="22"/>
        </w:rPr>
        <w:t>1. Social Justice and Health Inequity</w:t>
      </w:r>
    </w:p>
    <w:p w14:paraId="31EA4678" w14:textId="77777777" w:rsidR="00C40CF1" w:rsidRPr="0000230A" w:rsidRDefault="00C40CF1" w:rsidP="0000230A">
      <w:pPr>
        <w:pStyle w:val="FirstParagraph"/>
        <w:spacing w:line="360" w:lineRule="auto"/>
        <w:rPr>
          <w:rFonts w:ascii="Arial" w:hAnsi="Arial" w:cs="Arial"/>
          <w:sz w:val="22"/>
          <w:szCs w:val="22"/>
        </w:rPr>
      </w:pPr>
      <w:r w:rsidRPr="0000230A">
        <w:rPr>
          <w:rFonts w:ascii="Arial" w:hAnsi="Arial" w:cs="Arial"/>
          <w:sz w:val="22"/>
          <w:szCs w:val="22"/>
        </w:rPr>
        <w:t>England exhibits stark and persistent inequalities in health outcomes. People living in the poorest areas experience significantly shorter lives and higher rates of chronic illness, mental distress, and substance misuse. Marmot’s (2020) review confirmed that life expectancy for women in the most deprived decile has fallen a historically unprecedented reversal. These inequalities are largely avoidable and therefore unjust.</w:t>
      </w:r>
    </w:p>
    <w:p w14:paraId="039E24CB" w14:textId="77777777" w:rsidR="00C40CF1" w:rsidRPr="0000230A" w:rsidRDefault="00C40CF1" w:rsidP="0000230A">
      <w:pPr>
        <w:spacing w:line="360" w:lineRule="auto"/>
        <w:rPr>
          <w:rFonts w:ascii="Arial" w:hAnsi="Arial" w:cs="Arial"/>
          <w:sz w:val="22"/>
          <w:szCs w:val="22"/>
        </w:rPr>
      </w:pPr>
      <w:bookmarkStart w:id="8" w:name="policy-relevance-and-service-integration"/>
      <w:bookmarkEnd w:id="7"/>
      <w:r w:rsidRPr="0000230A">
        <w:rPr>
          <w:rFonts w:ascii="Arial" w:hAnsi="Arial" w:cs="Arial"/>
          <w:sz w:val="22"/>
          <w:szCs w:val="22"/>
        </w:rPr>
        <w:t>2. Policy Relevance and Service Integration</w:t>
      </w:r>
    </w:p>
    <w:p w14:paraId="64F62D86" w14:textId="77777777" w:rsidR="00C40CF1" w:rsidRPr="0000230A" w:rsidRDefault="00C40CF1" w:rsidP="0000230A">
      <w:pPr>
        <w:pStyle w:val="FirstParagraph"/>
        <w:spacing w:line="360" w:lineRule="auto"/>
        <w:rPr>
          <w:rFonts w:ascii="Arial" w:hAnsi="Arial" w:cs="Arial"/>
          <w:sz w:val="22"/>
          <w:szCs w:val="22"/>
        </w:rPr>
      </w:pPr>
      <w:r w:rsidRPr="0000230A">
        <w:rPr>
          <w:rFonts w:ascii="Arial" w:hAnsi="Arial" w:cs="Arial"/>
          <w:sz w:val="22"/>
          <w:szCs w:val="22"/>
        </w:rPr>
        <w:t>England’s mental health and substance misuse services remain heavily siloed, despite widespread acknowledgement that dual diagnosis patients require integrated care. Understanding how socioeconomic disadvantage drives unmet need is essential for designing equitable health systems.</w:t>
      </w:r>
    </w:p>
    <w:p w14:paraId="533D6D35" w14:textId="77777777" w:rsidR="00C40CF1" w:rsidRPr="0000230A" w:rsidRDefault="00C40CF1" w:rsidP="0000230A">
      <w:pPr>
        <w:spacing w:line="360" w:lineRule="auto"/>
        <w:rPr>
          <w:rFonts w:ascii="Arial" w:hAnsi="Arial" w:cs="Arial"/>
          <w:sz w:val="22"/>
          <w:szCs w:val="22"/>
        </w:rPr>
      </w:pPr>
      <w:bookmarkStart w:id="9" w:name="evidence-gap"/>
      <w:bookmarkEnd w:id="8"/>
      <w:r w:rsidRPr="0000230A">
        <w:rPr>
          <w:rFonts w:ascii="Arial" w:hAnsi="Arial" w:cs="Arial"/>
          <w:sz w:val="22"/>
          <w:szCs w:val="22"/>
        </w:rPr>
        <w:t>3. Evidence Gap</w:t>
      </w:r>
    </w:p>
    <w:p w14:paraId="769369EF" w14:textId="77777777" w:rsidR="00C40CF1" w:rsidRPr="0000230A" w:rsidRDefault="00C40CF1" w:rsidP="0000230A">
      <w:pPr>
        <w:pStyle w:val="FirstParagraph"/>
        <w:spacing w:line="360" w:lineRule="auto"/>
        <w:rPr>
          <w:rFonts w:ascii="Arial" w:hAnsi="Arial" w:cs="Arial"/>
          <w:sz w:val="22"/>
          <w:szCs w:val="22"/>
        </w:rPr>
      </w:pPr>
      <w:r w:rsidRPr="0000230A">
        <w:rPr>
          <w:rFonts w:ascii="Arial" w:hAnsi="Arial" w:cs="Arial"/>
          <w:sz w:val="22"/>
          <w:szCs w:val="22"/>
        </w:rPr>
        <w:t>While there is substantial research on addiction or mental health individually, relatively few studies examine their intersection within low-income English populations, particularly using an inequality-focused lens. The COVID-19 pandemic has further intensified disparities, making this research even more timely.</w:t>
      </w:r>
    </w:p>
    <w:p w14:paraId="753DC0CE" w14:textId="77777777" w:rsidR="00C40CF1" w:rsidRPr="0000230A" w:rsidRDefault="00C40CF1" w:rsidP="0000230A">
      <w:pPr>
        <w:pStyle w:val="Heading2"/>
        <w:spacing w:line="360" w:lineRule="auto"/>
        <w:rPr>
          <w:rFonts w:cs="Arial"/>
          <w:szCs w:val="22"/>
        </w:rPr>
      </w:pPr>
      <w:bookmarkStart w:id="10" w:name="_Toc215043355"/>
      <w:bookmarkStart w:id="11" w:name="methodological-overview"/>
      <w:bookmarkEnd w:id="6"/>
      <w:bookmarkEnd w:id="9"/>
      <w:r w:rsidRPr="0000230A">
        <w:rPr>
          <w:rFonts w:cs="Arial"/>
          <w:szCs w:val="22"/>
        </w:rPr>
        <w:t>1.3 Methodological Overview</w:t>
      </w:r>
      <w:bookmarkEnd w:id="10"/>
    </w:p>
    <w:p w14:paraId="5D1A8C4E" w14:textId="77777777" w:rsidR="00C40CF1" w:rsidRPr="0000230A" w:rsidRDefault="00C40CF1" w:rsidP="0000230A">
      <w:pPr>
        <w:pStyle w:val="FirstParagraph"/>
        <w:spacing w:line="360" w:lineRule="auto"/>
        <w:rPr>
          <w:rFonts w:ascii="Arial" w:hAnsi="Arial" w:cs="Arial"/>
          <w:sz w:val="22"/>
          <w:szCs w:val="22"/>
        </w:rPr>
      </w:pPr>
      <w:r w:rsidRPr="0000230A">
        <w:rPr>
          <w:rFonts w:ascii="Arial" w:hAnsi="Arial" w:cs="Arial"/>
          <w:sz w:val="22"/>
          <w:szCs w:val="22"/>
        </w:rPr>
        <w:t>The study employs a systematic review and thematic analysis research design. Academic databases (including PubMed, Scopus, Web of Science, EBSCOhost, and ProQuest) and national sources (NHS Digital, ONS, Public Health England) were systematically searched. A total of 150+ articles were screened, 30 high-quality sources were included, and themes were generated using Braun &amp; Clarke’s (2006) six-phase thematic analysis process.</w:t>
      </w:r>
    </w:p>
    <w:p w14:paraId="5E8574B6" w14:textId="77777777" w:rsidR="00C40CF1" w:rsidRPr="0000230A" w:rsidRDefault="00C40CF1" w:rsidP="0000230A">
      <w:pPr>
        <w:pStyle w:val="Heading2"/>
        <w:spacing w:line="360" w:lineRule="auto"/>
        <w:rPr>
          <w:rFonts w:cs="Arial"/>
          <w:szCs w:val="22"/>
        </w:rPr>
      </w:pPr>
      <w:bookmarkStart w:id="12" w:name="_Toc215043356"/>
      <w:bookmarkStart w:id="13" w:name="definitions-and-key-terms"/>
      <w:bookmarkEnd w:id="11"/>
      <w:r w:rsidRPr="0000230A">
        <w:rPr>
          <w:rFonts w:cs="Arial"/>
          <w:szCs w:val="22"/>
        </w:rPr>
        <w:t>1.4 Definitions and Key Terms</w:t>
      </w:r>
      <w:bookmarkEnd w:id="12"/>
    </w:p>
    <w:p w14:paraId="40DB44EE" w14:textId="66514B5F" w:rsidR="00C40CF1" w:rsidRPr="0000230A" w:rsidRDefault="00C40CF1" w:rsidP="0000230A">
      <w:pPr>
        <w:pStyle w:val="FirstParagraph"/>
        <w:spacing w:line="360" w:lineRule="auto"/>
        <w:rPr>
          <w:rFonts w:ascii="Arial" w:hAnsi="Arial" w:cs="Arial"/>
          <w:sz w:val="22"/>
          <w:szCs w:val="22"/>
        </w:rPr>
      </w:pPr>
      <w:r w:rsidRPr="0000230A">
        <w:rPr>
          <w:rFonts w:ascii="Arial" w:hAnsi="Arial" w:cs="Arial"/>
          <w:sz w:val="22"/>
          <w:szCs w:val="22"/>
        </w:rPr>
        <w:t>To ensure conceptual clarity, key terms such as substance misuse, low-income status, socioeconomic status, untreated mental illness, health inequalities, comorbidity, and ACEs are defined in Appendix A.</w:t>
      </w:r>
    </w:p>
    <w:bookmarkEnd w:id="13"/>
    <w:p w14:paraId="6BD067D4" w14:textId="77777777" w:rsidR="0032712B" w:rsidRPr="0000230A" w:rsidRDefault="0032712B" w:rsidP="0000230A">
      <w:pPr>
        <w:spacing w:before="100" w:beforeAutospacing="1" w:after="100" w:afterAutospacing="1" w:line="360" w:lineRule="auto"/>
        <w:rPr>
          <w:rFonts w:ascii="Arial" w:hAnsi="Arial" w:cs="Arial"/>
          <w:color w:val="000000" w:themeColor="text1"/>
          <w:sz w:val="22"/>
          <w:szCs w:val="22"/>
        </w:rPr>
      </w:pPr>
    </w:p>
    <w:p w14:paraId="3CB689BE" w14:textId="4A251A81" w:rsidR="00656CF3" w:rsidRPr="0000230A" w:rsidRDefault="00656CF3" w:rsidP="0000230A">
      <w:pPr>
        <w:pStyle w:val="Heading2"/>
        <w:spacing w:line="360" w:lineRule="auto"/>
        <w:rPr>
          <w:rFonts w:cs="Arial"/>
          <w:szCs w:val="22"/>
        </w:rPr>
      </w:pPr>
      <w:bookmarkStart w:id="14" w:name="_Toc215043357"/>
      <w:r w:rsidRPr="0000230A">
        <w:rPr>
          <w:rFonts w:cs="Arial"/>
          <w:szCs w:val="22"/>
        </w:rPr>
        <w:lastRenderedPageBreak/>
        <w:t>1.</w:t>
      </w:r>
      <w:r w:rsidR="00C40CF1" w:rsidRPr="0000230A">
        <w:rPr>
          <w:rFonts w:cs="Arial"/>
          <w:szCs w:val="22"/>
        </w:rPr>
        <w:t>5</w:t>
      </w:r>
      <w:r w:rsidRPr="0000230A">
        <w:rPr>
          <w:rFonts w:cs="Arial"/>
          <w:szCs w:val="22"/>
        </w:rPr>
        <w:t xml:space="preserve"> </w:t>
      </w:r>
      <w:r w:rsidR="00C40CF1" w:rsidRPr="0000230A">
        <w:rPr>
          <w:rFonts w:cs="Arial"/>
          <w:szCs w:val="22"/>
        </w:rPr>
        <w:t>Background Context</w:t>
      </w:r>
      <w:bookmarkEnd w:id="14"/>
    </w:p>
    <w:p w14:paraId="56991861" w14:textId="77777777" w:rsidR="00C40CF1" w:rsidRPr="00C40CF1" w:rsidRDefault="00C40CF1" w:rsidP="0000230A">
      <w:pPr>
        <w:spacing w:before="100" w:beforeAutospacing="1" w:after="100" w:afterAutospacing="1" w:line="360" w:lineRule="auto"/>
        <w:rPr>
          <w:rFonts w:ascii="Arial" w:hAnsi="Arial" w:cs="Arial"/>
          <w:color w:val="000000"/>
          <w:sz w:val="22"/>
          <w:szCs w:val="22"/>
        </w:rPr>
      </w:pPr>
      <w:r w:rsidRPr="00C40CF1">
        <w:rPr>
          <w:rFonts w:ascii="Arial" w:hAnsi="Arial" w:cs="Arial"/>
          <w:color w:val="000000"/>
          <w:sz w:val="22"/>
          <w:szCs w:val="22"/>
        </w:rPr>
        <w:t>Health inequalities in England have not only persisted but widened in recent decades. The Marmot Review reported a fall in life expectancy for women in the most deprived areas, linked to worsening social conditions such as income insecurity, poor housing, and regional disadvantage. Substance misuse remains a major issue, with lower socioeconomic groups experiencing higher rates of hazardous use and worse outcomes (ONS, 2022). Mental health problems, including anxiety, depression, and trauma, are also more common in disadvantaged communities, yet access to treatment remains unequal (NHS Digital, 2022).</w:t>
      </w:r>
    </w:p>
    <w:p w14:paraId="4A491455" w14:textId="77777777" w:rsidR="00C40CF1" w:rsidRPr="00C40CF1" w:rsidRDefault="00C40CF1" w:rsidP="0000230A">
      <w:pPr>
        <w:spacing w:before="100" w:beforeAutospacing="1" w:after="100" w:afterAutospacing="1" w:line="360" w:lineRule="auto"/>
        <w:rPr>
          <w:rFonts w:ascii="Arial" w:hAnsi="Arial" w:cs="Arial"/>
          <w:color w:val="000000"/>
          <w:sz w:val="22"/>
          <w:szCs w:val="22"/>
        </w:rPr>
      </w:pPr>
      <w:r w:rsidRPr="00C40CF1">
        <w:rPr>
          <w:rFonts w:ascii="Arial" w:hAnsi="Arial" w:cs="Arial"/>
          <w:color w:val="000000"/>
          <w:sz w:val="22"/>
          <w:szCs w:val="22"/>
        </w:rPr>
        <w:t>These patterns were intensified by COVID-19. Lower-income populations faced greater stress, disrupted services, higher relapse rates, and faster declines in mental wellbeing (Kwong et al., 2020). Together, low income, social marginalisation, mental illness, and substance misuse reinforce one another, often made worse by limited access to effective support. Despite this, research that fully integrates income, substance use, and untreated mental health remains limited in England. This study addresses that gap by examining how these factors interact and how they can guide more targeted solutions.</w:t>
      </w:r>
    </w:p>
    <w:p w14:paraId="4DF247F0" w14:textId="6468025C" w:rsidR="00656CF3" w:rsidRPr="0000230A" w:rsidRDefault="00656CF3" w:rsidP="0000230A">
      <w:pPr>
        <w:pStyle w:val="Heading2"/>
        <w:spacing w:line="360" w:lineRule="auto"/>
        <w:rPr>
          <w:rFonts w:cs="Arial"/>
          <w:szCs w:val="22"/>
        </w:rPr>
      </w:pPr>
      <w:bookmarkStart w:id="15" w:name="_Toc215043358"/>
      <w:r w:rsidRPr="0000230A">
        <w:rPr>
          <w:rFonts w:cs="Arial"/>
          <w:szCs w:val="22"/>
        </w:rPr>
        <w:t>1.</w:t>
      </w:r>
      <w:r w:rsidR="00C40CF1" w:rsidRPr="0000230A">
        <w:rPr>
          <w:rFonts w:cs="Arial"/>
          <w:szCs w:val="22"/>
        </w:rPr>
        <w:t>6</w:t>
      </w:r>
      <w:r w:rsidRPr="0000230A">
        <w:rPr>
          <w:rFonts w:cs="Arial"/>
          <w:szCs w:val="22"/>
        </w:rPr>
        <w:t xml:space="preserve"> Rationale</w:t>
      </w:r>
      <w:bookmarkEnd w:id="15"/>
      <w:r w:rsidRPr="0000230A">
        <w:rPr>
          <w:rFonts w:cs="Arial"/>
          <w:szCs w:val="22"/>
        </w:rPr>
        <w:t xml:space="preserve"> </w:t>
      </w:r>
    </w:p>
    <w:p w14:paraId="58C35514" w14:textId="77777777" w:rsidR="00C40CF1" w:rsidRPr="0000230A" w:rsidRDefault="00C40CF1" w:rsidP="0000230A">
      <w:pPr>
        <w:spacing w:line="360" w:lineRule="auto"/>
        <w:rPr>
          <w:rFonts w:ascii="Arial" w:hAnsi="Arial" w:cs="Arial"/>
          <w:sz w:val="22"/>
          <w:szCs w:val="22"/>
        </w:rPr>
      </w:pPr>
      <w:r w:rsidRPr="0000230A">
        <w:rPr>
          <w:rFonts w:ascii="Arial" w:hAnsi="Arial" w:cs="Arial"/>
          <w:color w:val="000000"/>
          <w:sz w:val="22"/>
          <w:szCs w:val="22"/>
        </w:rPr>
        <w:t>Despite strong individual research strands on substance misuse, mental health, and socioeconomic inequality, very few England-focused studies analyse these issues collectively, particularly untreated mental ill-health among low-income groups. Many studies concentrate on general populations, non-UK contexts, or overlook access to services. This study addresses that gap by examining how low income increases the risk of substance misuse, contributes to untreated mental health problems, and restricts access to support. By reviewing existing evidence, it identifies patterns of vulnerability, highlights systemic barriers, and offers equity-focused recommendations for public health and policy.</w:t>
      </w:r>
    </w:p>
    <w:p w14:paraId="29C2433C" w14:textId="0C18F609" w:rsidR="00DC1BB0" w:rsidRPr="0000230A" w:rsidRDefault="00DC1BB0" w:rsidP="0000230A">
      <w:pPr>
        <w:spacing w:line="360" w:lineRule="auto"/>
        <w:rPr>
          <w:rFonts w:ascii="Arial" w:hAnsi="Arial" w:cs="Arial"/>
          <w:color w:val="000000"/>
          <w:sz w:val="22"/>
          <w:szCs w:val="22"/>
        </w:rPr>
      </w:pPr>
    </w:p>
    <w:p w14:paraId="34A370BE" w14:textId="7D28E8B6" w:rsidR="00DC1BB0" w:rsidRPr="0000230A" w:rsidRDefault="00DC1BB0" w:rsidP="0000230A">
      <w:pPr>
        <w:spacing w:line="360" w:lineRule="auto"/>
        <w:rPr>
          <w:rFonts w:ascii="Arial" w:hAnsi="Arial" w:cs="Arial"/>
          <w:color w:val="000000"/>
          <w:sz w:val="22"/>
          <w:szCs w:val="22"/>
        </w:rPr>
      </w:pPr>
    </w:p>
    <w:p w14:paraId="25747718" w14:textId="000999A2" w:rsidR="00DC1BB0" w:rsidRPr="0000230A" w:rsidRDefault="00DC1BB0" w:rsidP="0000230A">
      <w:pPr>
        <w:spacing w:line="360" w:lineRule="auto"/>
        <w:rPr>
          <w:rFonts w:ascii="Arial" w:hAnsi="Arial" w:cs="Arial"/>
          <w:color w:val="000000"/>
          <w:sz w:val="22"/>
          <w:szCs w:val="22"/>
        </w:rPr>
      </w:pPr>
    </w:p>
    <w:p w14:paraId="0B577B06" w14:textId="36175E3D" w:rsidR="00DC1BB0" w:rsidRPr="0000230A" w:rsidRDefault="00DC1BB0" w:rsidP="0000230A">
      <w:pPr>
        <w:spacing w:line="360" w:lineRule="auto"/>
        <w:rPr>
          <w:rFonts w:ascii="Arial" w:hAnsi="Arial" w:cs="Arial"/>
          <w:color w:val="000000"/>
          <w:sz w:val="22"/>
          <w:szCs w:val="22"/>
        </w:rPr>
      </w:pPr>
    </w:p>
    <w:p w14:paraId="460823F4" w14:textId="6636BF42" w:rsidR="00DC1BB0" w:rsidRPr="0000230A" w:rsidRDefault="00DC1BB0" w:rsidP="0000230A">
      <w:pPr>
        <w:spacing w:line="360" w:lineRule="auto"/>
        <w:rPr>
          <w:rFonts w:ascii="Arial" w:hAnsi="Arial" w:cs="Arial"/>
          <w:sz w:val="22"/>
          <w:szCs w:val="22"/>
        </w:rPr>
      </w:pPr>
    </w:p>
    <w:p w14:paraId="5D54369E" w14:textId="52FC9CE0" w:rsidR="00C40CF1" w:rsidRPr="0000230A" w:rsidRDefault="00C40CF1" w:rsidP="0000230A">
      <w:pPr>
        <w:spacing w:line="360" w:lineRule="auto"/>
        <w:rPr>
          <w:rFonts w:ascii="Arial" w:hAnsi="Arial" w:cs="Arial"/>
          <w:sz w:val="22"/>
          <w:szCs w:val="22"/>
        </w:rPr>
      </w:pPr>
    </w:p>
    <w:p w14:paraId="401B1843" w14:textId="4F767F9D" w:rsidR="00C40CF1" w:rsidRPr="0000230A" w:rsidRDefault="00C40CF1" w:rsidP="0000230A">
      <w:pPr>
        <w:spacing w:line="360" w:lineRule="auto"/>
        <w:rPr>
          <w:rFonts w:ascii="Arial" w:hAnsi="Arial" w:cs="Arial"/>
          <w:sz w:val="22"/>
          <w:szCs w:val="22"/>
        </w:rPr>
      </w:pPr>
    </w:p>
    <w:p w14:paraId="100A7EC8" w14:textId="77777777" w:rsidR="00C40CF1" w:rsidRPr="0000230A" w:rsidRDefault="00C40CF1" w:rsidP="0000230A">
      <w:pPr>
        <w:spacing w:line="360" w:lineRule="auto"/>
        <w:rPr>
          <w:rFonts w:ascii="Arial" w:hAnsi="Arial" w:cs="Arial"/>
          <w:sz w:val="22"/>
          <w:szCs w:val="22"/>
        </w:rPr>
      </w:pPr>
    </w:p>
    <w:p w14:paraId="2415FC28" w14:textId="77777777" w:rsidR="00C40CF1" w:rsidRPr="0000230A" w:rsidRDefault="00C40CF1" w:rsidP="0000230A">
      <w:pPr>
        <w:spacing w:line="360" w:lineRule="auto"/>
        <w:rPr>
          <w:rFonts w:ascii="Arial" w:hAnsi="Arial" w:cs="Arial"/>
          <w:sz w:val="22"/>
          <w:szCs w:val="22"/>
        </w:rPr>
      </w:pPr>
    </w:p>
    <w:p w14:paraId="753D6D1E" w14:textId="2ADE572F" w:rsidR="00656CF3" w:rsidRPr="0000230A" w:rsidRDefault="00656CF3" w:rsidP="0000230A">
      <w:pPr>
        <w:pStyle w:val="Heading2"/>
        <w:spacing w:line="360" w:lineRule="auto"/>
        <w:rPr>
          <w:rFonts w:cs="Arial"/>
          <w:szCs w:val="22"/>
        </w:rPr>
      </w:pPr>
      <w:bookmarkStart w:id="16" w:name="_Toc215043359"/>
      <w:r w:rsidRPr="0000230A">
        <w:rPr>
          <w:rFonts w:cs="Arial"/>
          <w:szCs w:val="22"/>
        </w:rPr>
        <w:lastRenderedPageBreak/>
        <w:t>1.</w:t>
      </w:r>
      <w:r w:rsidR="00C40CF1" w:rsidRPr="0000230A">
        <w:rPr>
          <w:rFonts w:cs="Arial"/>
          <w:szCs w:val="22"/>
        </w:rPr>
        <w:t>7</w:t>
      </w:r>
      <w:r w:rsidRPr="0000230A">
        <w:rPr>
          <w:rFonts w:cs="Arial"/>
          <w:szCs w:val="22"/>
        </w:rPr>
        <w:t xml:space="preserve"> Aim &amp; Objectives</w:t>
      </w:r>
      <w:bookmarkEnd w:id="16"/>
    </w:p>
    <w:p w14:paraId="1CB58E74" w14:textId="4FC9BD6F" w:rsidR="00A8429E" w:rsidRPr="0000230A" w:rsidRDefault="00656CF3"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sz w:val="22"/>
          <w:szCs w:val="22"/>
        </w:rPr>
        <w:t>Aim:</w:t>
      </w:r>
      <w:r w:rsidRPr="0000230A">
        <w:rPr>
          <w:rFonts w:ascii="Arial" w:hAnsi="Arial" w:cs="Arial"/>
          <w:color w:val="000000" w:themeColor="text1"/>
          <w:sz w:val="22"/>
          <w:szCs w:val="22"/>
        </w:rPr>
        <w:br/>
        <w:t>To explore how substance misuse correlates with low-income status and untreated mental health disorders in England.</w:t>
      </w:r>
    </w:p>
    <w:p w14:paraId="4086CB63" w14:textId="77777777" w:rsidR="00656CF3" w:rsidRPr="0000230A" w:rsidRDefault="00656CF3" w:rsidP="0000230A">
      <w:pPr>
        <w:spacing w:line="360" w:lineRule="auto"/>
        <w:rPr>
          <w:rFonts w:ascii="Arial" w:hAnsi="Arial" w:cs="Arial"/>
          <w:sz w:val="22"/>
          <w:szCs w:val="22"/>
        </w:rPr>
      </w:pPr>
      <w:r w:rsidRPr="0000230A">
        <w:rPr>
          <w:rFonts w:ascii="Arial" w:hAnsi="Arial" w:cs="Arial"/>
          <w:sz w:val="22"/>
          <w:szCs w:val="22"/>
        </w:rPr>
        <w:t>Objectives:</w:t>
      </w:r>
    </w:p>
    <w:p w14:paraId="0E355EFF" w14:textId="77777777" w:rsidR="00656CF3" w:rsidRPr="0000230A" w:rsidRDefault="00656CF3" w:rsidP="0000230A">
      <w:pPr>
        <w:numPr>
          <w:ilvl w:val="0"/>
          <w:numId w:val="4"/>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To critically review academic literature on the prevalence of substance misuse among low-income populations in England and its association with untreated mental health disorders.</w:t>
      </w:r>
    </w:p>
    <w:p w14:paraId="308A21CC" w14:textId="77777777" w:rsidR="00656CF3" w:rsidRPr="0000230A" w:rsidRDefault="00656CF3" w:rsidP="0000230A">
      <w:pPr>
        <w:numPr>
          <w:ilvl w:val="0"/>
          <w:numId w:val="4"/>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 xml:space="preserve">To investigate the intersection of socioeconomic disadvantage, substance misuse, and mental health conditions such as anxiety, </w:t>
      </w:r>
      <w:proofErr w:type="gramStart"/>
      <w:r w:rsidRPr="0000230A">
        <w:rPr>
          <w:rFonts w:ascii="Arial" w:hAnsi="Arial" w:cs="Arial"/>
          <w:color w:val="000000" w:themeColor="text1"/>
          <w:sz w:val="22"/>
          <w:szCs w:val="22"/>
        </w:rPr>
        <w:t>depression</w:t>
      </w:r>
      <w:proofErr w:type="gramEnd"/>
      <w:r w:rsidRPr="0000230A">
        <w:rPr>
          <w:rFonts w:ascii="Arial" w:hAnsi="Arial" w:cs="Arial"/>
          <w:color w:val="000000" w:themeColor="text1"/>
          <w:sz w:val="22"/>
          <w:szCs w:val="22"/>
        </w:rPr>
        <w:t xml:space="preserve"> and trauma within diverse demographic groups in England.</w:t>
      </w:r>
    </w:p>
    <w:p w14:paraId="3E3F5BB0" w14:textId="77777777" w:rsidR="00656CF3" w:rsidRPr="0000230A" w:rsidRDefault="00656CF3" w:rsidP="0000230A">
      <w:pPr>
        <w:numPr>
          <w:ilvl w:val="0"/>
          <w:numId w:val="4"/>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To identify disparities in access to substance misuse treatment and mental health services among low-income populations.</w:t>
      </w:r>
    </w:p>
    <w:p w14:paraId="1FAD3AD8" w14:textId="4B3F8EB9" w:rsidR="00656CF3" w:rsidRPr="0000230A" w:rsidRDefault="00656CF3" w:rsidP="0000230A">
      <w:pPr>
        <w:numPr>
          <w:ilvl w:val="0"/>
          <w:numId w:val="4"/>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To synthesise key findings via thematic analysis and provide evidence-based recommendations for public health and policy interventions aimed at reducing inequalities.</w:t>
      </w:r>
    </w:p>
    <w:p w14:paraId="268300A8" w14:textId="77777777" w:rsidR="00C40CF1" w:rsidRPr="0000230A" w:rsidRDefault="00C40CF1" w:rsidP="0000230A">
      <w:pPr>
        <w:spacing w:before="100" w:beforeAutospacing="1" w:after="100" w:afterAutospacing="1" w:line="360" w:lineRule="auto"/>
        <w:rPr>
          <w:rFonts w:ascii="Arial" w:hAnsi="Arial" w:cs="Arial"/>
          <w:color w:val="000000" w:themeColor="text1"/>
          <w:sz w:val="22"/>
          <w:szCs w:val="22"/>
        </w:rPr>
      </w:pPr>
    </w:p>
    <w:p w14:paraId="53B72405" w14:textId="414A4318" w:rsidR="00656CF3" w:rsidRPr="0000230A" w:rsidRDefault="00656CF3" w:rsidP="0000230A">
      <w:pPr>
        <w:pStyle w:val="Heading2"/>
        <w:spacing w:line="360" w:lineRule="auto"/>
        <w:rPr>
          <w:rFonts w:cs="Arial"/>
          <w:szCs w:val="22"/>
        </w:rPr>
      </w:pPr>
      <w:bookmarkStart w:id="17" w:name="_Toc215043360"/>
      <w:r w:rsidRPr="0000230A">
        <w:rPr>
          <w:rFonts w:cs="Arial"/>
          <w:szCs w:val="22"/>
        </w:rPr>
        <w:t>1.</w:t>
      </w:r>
      <w:r w:rsidR="00C40CF1" w:rsidRPr="0000230A">
        <w:rPr>
          <w:rFonts w:cs="Arial"/>
          <w:szCs w:val="22"/>
        </w:rPr>
        <w:t>8</w:t>
      </w:r>
      <w:r w:rsidRPr="0000230A">
        <w:rPr>
          <w:rFonts w:cs="Arial"/>
          <w:szCs w:val="22"/>
        </w:rPr>
        <w:t xml:space="preserve"> Conclusion</w:t>
      </w:r>
      <w:bookmarkEnd w:id="17"/>
    </w:p>
    <w:p w14:paraId="1F49C2A1" w14:textId="77777777" w:rsidR="00043EFA" w:rsidRPr="0000230A" w:rsidRDefault="00043EFA"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This chapter has set the stage for the dissertation by explaining the research's purpose, significance, and methodology. We have defined key concepts to anchor the discussion throughout the study. The background section has placed the issue within the broader context of socioeconomic disadvantages, mental health inequalities, and substance misuse in England, highlighting the urgency of tackling their intersections. The rationale has demonstrated the research gap and clarified the problem statement. Finally, the aim and objectives frame the path ahead.</w:t>
      </w:r>
    </w:p>
    <w:p w14:paraId="5782C845" w14:textId="7F139C85" w:rsidR="00BF3042" w:rsidRPr="0000230A" w:rsidRDefault="00043EFA"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In the next chapter, a thorough "literature review" will examine existing research and policy frameworks related to socioeconomic disadvantage, substance misuse, and untreated mental health in England. This will establish the theoretical and empirical foundation for the subsequent analysis.</w:t>
      </w:r>
    </w:p>
    <w:p w14:paraId="106077B8" w14:textId="77777777" w:rsidR="00DC1BB0" w:rsidRPr="0000230A" w:rsidRDefault="00DC1BB0" w:rsidP="0000230A">
      <w:pPr>
        <w:spacing w:before="100" w:beforeAutospacing="1" w:after="100" w:afterAutospacing="1" w:line="360" w:lineRule="auto"/>
        <w:rPr>
          <w:rFonts w:ascii="Arial" w:hAnsi="Arial" w:cs="Arial"/>
          <w:color w:val="000000" w:themeColor="text1"/>
          <w:sz w:val="22"/>
          <w:szCs w:val="22"/>
        </w:rPr>
      </w:pPr>
    </w:p>
    <w:p w14:paraId="694DB8EA" w14:textId="730BFBDC" w:rsidR="009276ED" w:rsidRPr="0000230A" w:rsidRDefault="009276ED" w:rsidP="0000230A">
      <w:pPr>
        <w:pStyle w:val="Heading1"/>
        <w:spacing w:line="360" w:lineRule="auto"/>
        <w:rPr>
          <w:rFonts w:cs="Arial"/>
          <w:szCs w:val="22"/>
        </w:rPr>
      </w:pPr>
      <w:bookmarkStart w:id="18" w:name="_Toc215043361"/>
      <w:r w:rsidRPr="0000230A">
        <w:rPr>
          <w:rStyle w:val="Strong"/>
          <w:rFonts w:cs="Arial"/>
          <w:b/>
          <w:bCs/>
          <w:szCs w:val="22"/>
        </w:rPr>
        <w:lastRenderedPageBreak/>
        <w:t>CHAPTER 2: BACKGROUND</w:t>
      </w:r>
      <w:bookmarkEnd w:id="18"/>
    </w:p>
    <w:p w14:paraId="65BBD9C6" w14:textId="77777777" w:rsidR="009276ED" w:rsidRPr="0000230A" w:rsidRDefault="009276ED" w:rsidP="0000230A">
      <w:pPr>
        <w:pStyle w:val="Heading2"/>
        <w:spacing w:line="360" w:lineRule="auto"/>
        <w:rPr>
          <w:rFonts w:cs="Arial"/>
          <w:szCs w:val="22"/>
        </w:rPr>
      </w:pPr>
      <w:bookmarkStart w:id="19" w:name="_Toc215043362"/>
      <w:r w:rsidRPr="0000230A">
        <w:rPr>
          <w:rStyle w:val="Strong"/>
          <w:rFonts w:cs="Arial"/>
          <w:b w:val="0"/>
          <w:bCs/>
          <w:szCs w:val="22"/>
        </w:rPr>
        <w:t>2.1 Introduction</w:t>
      </w:r>
      <w:bookmarkEnd w:id="19"/>
    </w:p>
    <w:p w14:paraId="5E12D74F" w14:textId="77777777" w:rsidR="00170ACB" w:rsidRPr="00170ACB" w:rsidRDefault="00170ACB" w:rsidP="0000230A">
      <w:pPr>
        <w:spacing w:before="100" w:beforeAutospacing="1" w:after="100" w:afterAutospacing="1" w:line="360" w:lineRule="auto"/>
        <w:rPr>
          <w:rFonts w:ascii="Arial" w:hAnsi="Arial" w:cs="Arial"/>
          <w:color w:val="000000"/>
          <w:sz w:val="22"/>
          <w:szCs w:val="22"/>
        </w:rPr>
      </w:pPr>
      <w:r w:rsidRPr="00170ACB">
        <w:rPr>
          <w:rFonts w:ascii="Arial" w:hAnsi="Arial" w:cs="Arial"/>
          <w:color w:val="000000"/>
          <w:sz w:val="22"/>
          <w:szCs w:val="22"/>
        </w:rPr>
        <w:t>This chapter provides the historical, theoretical, and contextual background necessary to understand the relationship between substance misuse, low-income status, and untreated mental health disorders in England. By outlining how these issues have developed and intersected, it offers the foundation for the methodological and analytical approach used later in this dissertation.</w:t>
      </w:r>
    </w:p>
    <w:p w14:paraId="13DAEBD6" w14:textId="38867A2C" w:rsidR="00170ACB" w:rsidRPr="00170ACB" w:rsidRDefault="00170ACB" w:rsidP="0000230A">
      <w:pPr>
        <w:spacing w:before="100" w:beforeAutospacing="1" w:after="100" w:afterAutospacing="1" w:line="360" w:lineRule="auto"/>
        <w:rPr>
          <w:rFonts w:ascii="Arial" w:hAnsi="Arial" w:cs="Arial"/>
          <w:color w:val="000000"/>
          <w:sz w:val="22"/>
          <w:szCs w:val="22"/>
        </w:rPr>
      </w:pPr>
      <w:r w:rsidRPr="00170ACB">
        <w:rPr>
          <w:rFonts w:ascii="Arial" w:hAnsi="Arial" w:cs="Arial"/>
          <w:color w:val="000000"/>
          <w:sz w:val="22"/>
          <w:szCs w:val="22"/>
        </w:rPr>
        <w:t>The chapter begins by tracing the historical development of substance misuse and societal responses, drawing on key policy milestones and institutional shifts that shaped contemporary understandings (Berridge, 2013; Mold &amp; Duke, 2020). It then introduces the theoretical frameworks informing this study, including the social determinants of health (Marmot, 2010), the stress</w:t>
      </w:r>
      <w:r w:rsidR="00C005CE" w:rsidRPr="0000230A">
        <w:rPr>
          <w:rFonts w:ascii="Arial" w:hAnsi="Arial" w:cs="Arial"/>
          <w:color w:val="000000"/>
          <w:sz w:val="22"/>
          <w:szCs w:val="22"/>
        </w:rPr>
        <w:t xml:space="preserve"> </w:t>
      </w:r>
      <w:r w:rsidRPr="00170ACB">
        <w:rPr>
          <w:rFonts w:ascii="Arial" w:hAnsi="Arial" w:cs="Arial"/>
          <w:color w:val="000000"/>
          <w:sz w:val="22"/>
          <w:szCs w:val="22"/>
        </w:rPr>
        <w:t>vulnerability model (Zubin &amp; Spring, 1977), and theories of social exclusion (Silver, 2007), which together explain how socioeconomic disadvantage and structural inequalities shape patterns of substance use and mental health.</w:t>
      </w:r>
    </w:p>
    <w:p w14:paraId="50962711" w14:textId="621F432B" w:rsidR="00170ACB" w:rsidRPr="0000230A" w:rsidRDefault="00170ACB" w:rsidP="0000230A">
      <w:pPr>
        <w:spacing w:before="100" w:beforeAutospacing="1" w:after="100" w:afterAutospacing="1" w:line="360" w:lineRule="auto"/>
        <w:rPr>
          <w:rFonts w:ascii="Arial" w:hAnsi="Arial" w:cs="Arial"/>
          <w:color w:val="000000"/>
          <w:sz w:val="22"/>
          <w:szCs w:val="22"/>
        </w:rPr>
      </w:pPr>
      <w:r w:rsidRPr="00170ACB">
        <w:rPr>
          <w:rFonts w:ascii="Arial" w:hAnsi="Arial" w:cs="Arial"/>
          <w:color w:val="000000"/>
          <w:sz w:val="22"/>
          <w:szCs w:val="22"/>
        </w:rPr>
        <w:t>The discussion then broadens to an international perspective, considering global approaches to addressing substance misuse and mental health inequalities (WHO, 2022). Finally, the chapter examines the national and local context within England, focusing on how government policies, socioeconomic disparities, and regional variations continue to influence access to support (Public Health England, 2019; Home Office, 2021).</w:t>
      </w:r>
    </w:p>
    <w:p w14:paraId="650761C7" w14:textId="77777777" w:rsidR="00825E43" w:rsidRPr="0000230A" w:rsidRDefault="00825E43" w:rsidP="0000230A">
      <w:pPr>
        <w:spacing w:line="360" w:lineRule="auto"/>
        <w:rPr>
          <w:rFonts w:ascii="Arial" w:hAnsi="Arial" w:cs="Arial"/>
          <w:sz w:val="22"/>
          <w:szCs w:val="22"/>
        </w:rPr>
      </w:pPr>
      <w:r w:rsidRPr="0000230A">
        <w:rPr>
          <w:rFonts w:ascii="Arial" w:hAnsi="Arial" w:cs="Arial"/>
          <w:color w:val="000000"/>
          <w:sz w:val="22"/>
          <w:szCs w:val="22"/>
        </w:rPr>
        <w:t>Existing research consistently shows a strong correlation between socioeconomic disadvantage and higher rates of substance misuse, often compounded by unmet mental health needs, which underpins the focus of this dissertation.</w:t>
      </w:r>
    </w:p>
    <w:p w14:paraId="45E7FFA4" w14:textId="619647F3" w:rsidR="009276ED" w:rsidRPr="0000230A" w:rsidRDefault="009276ED" w:rsidP="0000230A">
      <w:pPr>
        <w:spacing w:line="360" w:lineRule="auto"/>
        <w:rPr>
          <w:rFonts w:ascii="Arial" w:hAnsi="Arial" w:cs="Arial"/>
          <w:color w:val="000000" w:themeColor="text1"/>
          <w:sz w:val="22"/>
          <w:szCs w:val="22"/>
        </w:rPr>
      </w:pPr>
    </w:p>
    <w:p w14:paraId="49FB9AEF" w14:textId="77777777" w:rsidR="00170ACB" w:rsidRPr="0000230A" w:rsidRDefault="00170ACB" w:rsidP="0000230A">
      <w:pPr>
        <w:pStyle w:val="Heading2"/>
        <w:spacing w:line="360" w:lineRule="auto"/>
        <w:rPr>
          <w:rFonts w:cs="Arial"/>
          <w:szCs w:val="22"/>
        </w:rPr>
      </w:pPr>
      <w:bookmarkStart w:id="20" w:name="_Toc215043363"/>
      <w:r w:rsidRPr="0000230A">
        <w:rPr>
          <w:rStyle w:val="Strong"/>
          <w:rFonts w:cs="Arial"/>
          <w:b w:val="0"/>
          <w:bCs/>
          <w:color w:val="000000"/>
          <w:szCs w:val="22"/>
        </w:rPr>
        <w:t>2.2 Historical Background</w:t>
      </w:r>
      <w:bookmarkEnd w:id="20"/>
    </w:p>
    <w:p w14:paraId="5473AF65"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Patterns of substance misuse in the UK have been shaped by wider social, </w:t>
      </w:r>
      <w:proofErr w:type="gramStart"/>
      <w:r w:rsidRPr="0000230A">
        <w:rPr>
          <w:rFonts w:ascii="Arial" w:hAnsi="Arial" w:cs="Arial"/>
          <w:color w:val="000000"/>
          <w:sz w:val="22"/>
          <w:szCs w:val="22"/>
        </w:rPr>
        <w:t>economic</w:t>
      </w:r>
      <w:proofErr w:type="gramEnd"/>
      <w:r w:rsidRPr="0000230A">
        <w:rPr>
          <w:rFonts w:ascii="Arial" w:hAnsi="Arial" w:cs="Arial"/>
          <w:color w:val="000000"/>
          <w:sz w:val="22"/>
          <w:szCs w:val="22"/>
        </w:rPr>
        <w:t xml:space="preserve"> and cultural shifts. In the 19th century, substances such as opium and laudanum were widely available, commercially promoted and routinely prescribed, reflecting both medical uncertainty and a limited understanding of addiction as a clinical condition (Berridge, 2013). By the mid-20th century, emerging public health and sociological perspectives reframed addiction. Zinberg’s distinction between drug, set and setting, alongside Becker’s (1963) </w:t>
      </w:r>
      <w:r w:rsidRPr="0000230A">
        <w:rPr>
          <w:rFonts w:ascii="Arial" w:hAnsi="Arial" w:cs="Arial"/>
          <w:color w:val="000000"/>
          <w:sz w:val="22"/>
          <w:szCs w:val="22"/>
        </w:rPr>
        <w:lastRenderedPageBreak/>
        <w:t>labelling theory, shifted thinking away from moralistic interpretations and towards an understanding of drug use as shaped by social context and structural forces.</w:t>
      </w:r>
    </w:p>
    <w:p w14:paraId="751C9718" w14:textId="5F1FC506"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A significant turning point came with the Misuse of Drugs Act 1971, which introduced a tripartite classification system (A, B and C) and cemented a predominantly criminal justice led approach (Home Office, 1971). Critics argue that this framework entrenched punitive responses while diverting attention away from the socioeconomic and environmental determinants of substance misuse (Stevens, 2019).</w:t>
      </w:r>
    </w:p>
    <w:p w14:paraId="64DD7904" w14:textId="3C7E04B6"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The HIV/AIDS crisis during the 1980s led to the adoption of harm</w:t>
      </w:r>
      <w:r w:rsidR="00684878">
        <w:rPr>
          <w:rFonts w:ascii="Arial" w:hAnsi="Arial" w:cs="Arial"/>
          <w:color w:val="000000"/>
          <w:sz w:val="22"/>
          <w:szCs w:val="22"/>
        </w:rPr>
        <w:t xml:space="preserve"> </w:t>
      </w:r>
      <w:r w:rsidRPr="0000230A">
        <w:rPr>
          <w:rFonts w:ascii="Arial" w:hAnsi="Arial" w:cs="Arial"/>
          <w:color w:val="000000"/>
          <w:sz w:val="22"/>
          <w:szCs w:val="22"/>
        </w:rPr>
        <w:t>reduction strategies, including needle exchange schemes and safer-use education (Stimson, 1995; Des Jarlais et al., 1995). These measures acknowledged that inequalities related to poverty, unemployment, housing instability and limited access to health information were key contributors to drug-related harm.</w:t>
      </w:r>
    </w:p>
    <w:p w14:paraId="1F786DB0"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The 21st century has seen a renewed focus on the structural conditions underpinning substance misuse. The Marmot Review (2010) demonstrated how socioeconomic inequality contributes to poor health outcomes, including vulnerability to addiction, while the Independent Review of Drugs (Black, 2021) highlighted the effects of deprivation, trauma and service fragmentation on mental health and substance use. These analyses strengthened calls for integrated social and health policies that prioritise prevention, early </w:t>
      </w:r>
      <w:proofErr w:type="gramStart"/>
      <w:r w:rsidRPr="0000230A">
        <w:rPr>
          <w:rFonts w:ascii="Arial" w:hAnsi="Arial" w:cs="Arial"/>
          <w:color w:val="000000"/>
          <w:sz w:val="22"/>
          <w:szCs w:val="22"/>
        </w:rPr>
        <w:t>intervention</w:t>
      </w:r>
      <w:proofErr w:type="gramEnd"/>
      <w:r w:rsidRPr="0000230A">
        <w:rPr>
          <w:rFonts w:ascii="Arial" w:hAnsi="Arial" w:cs="Arial"/>
          <w:color w:val="000000"/>
          <w:sz w:val="22"/>
          <w:szCs w:val="22"/>
        </w:rPr>
        <w:t xml:space="preserve"> and recovery.</w:t>
      </w:r>
    </w:p>
    <w:p w14:paraId="6A14CD9B"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Overall, the historical trajectory of drug policy reflects broader societal attitudes towards poverty and responsibility. These historical developments help explain why low-income communities remain disproportionately affected; systemic disadvantage continues to shape both risk exposure and access to treatment and support (Room, 2005).</w:t>
      </w:r>
    </w:p>
    <w:p w14:paraId="3B2096E4" w14:textId="42DB697E" w:rsidR="00170ACB" w:rsidRDefault="00170ACB" w:rsidP="0000230A">
      <w:pPr>
        <w:spacing w:line="360" w:lineRule="auto"/>
        <w:rPr>
          <w:rFonts w:ascii="Arial" w:hAnsi="Arial" w:cs="Arial"/>
          <w:sz w:val="22"/>
          <w:szCs w:val="22"/>
        </w:rPr>
      </w:pPr>
    </w:p>
    <w:p w14:paraId="766AD153" w14:textId="7AED5316" w:rsidR="00C97774" w:rsidRDefault="00C97774" w:rsidP="0000230A">
      <w:pPr>
        <w:spacing w:line="360" w:lineRule="auto"/>
        <w:rPr>
          <w:rFonts w:ascii="Arial" w:hAnsi="Arial" w:cs="Arial"/>
          <w:sz w:val="22"/>
          <w:szCs w:val="22"/>
        </w:rPr>
      </w:pPr>
    </w:p>
    <w:p w14:paraId="7D996F98" w14:textId="465BCB9C" w:rsidR="00C97774" w:rsidRDefault="00C97774" w:rsidP="0000230A">
      <w:pPr>
        <w:spacing w:line="360" w:lineRule="auto"/>
        <w:rPr>
          <w:rFonts w:ascii="Arial" w:hAnsi="Arial" w:cs="Arial"/>
          <w:sz w:val="22"/>
          <w:szCs w:val="22"/>
        </w:rPr>
      </w:pPr>
    </w:p>
    <w:p w14:paraId="4A9EE7FA" w14:textId="456E23B6" w:rsidR="00C97774" w:rsidRDefault="00C97774" w:rsidP="0000230A">
      <w:pPr>
        <w:spacing w:line="360" w:lineRule="auto"/>
        <w:rPr>
          <w:rFonts w:ascii="Arial" w:hAnsi="Arial" w:cs="Arial"/>
          <w:sz w:val="22"/>
          <w:szCs w:val="22"/>
        </w:rPr>
      </w:pPr>
    </w:p>
    <w:p w14:paraId="2D5CDB4E" w14:textId="28260226" w:rsidR="00C97774" w:rsidRDefault="00C97774" w:rsidP="0000230A">
      <w:pPr>
        <w:spacing w:line="360" w:lineRule="auto"/>
        <w:rPr>
          <w:rFonts w:ascii="Arial" w:hAnsi="Arial" w:cs="Arial"/>
          <w:sz w:val="22"/>
          <w:szCs w:val="22"/>
        </w:rPr>
      </w:pPr>
    </w:p>
    <w:p w14:paraId="552D2B1E" w14:textId="71F0980A" w:rsidR="00C97774" w:rsidRDefault="00C97774" w:rsidP="0000230A">
      <w:pPr>
        <w:spacing w:line="360" w:lineRule="auto"/>
        <w:rPr>
          <w:rFonts w:ascii="Arial" w:hAnsi="Arial" w:cs="Arial"/>
          <w:sz w:val="22"/>
          <w:szCs w:val="22"/>
        </w:rPr>
      </w:pPr>
    </w:p>
    <w:p w14:paraId="3605BCC8" w14:textId="313E1A0E" w:rsidR="00C97774" w:rsidRDefault="00C97774" w:rsidP="0000230A">
      <w:pPr>
        <w:spacing w:line="360" w:lineRule="auto"/>
        <w:rPr>
          <w:rFonts w:ascii="Arial" w:hAnsi="Arial" w:cs="Arial"/>
          <w:sz w:val="22"/>
          <w:szCs w:val="22"/>
        </w:rPr>
      </w:pPr>
    </w:p>
    <w:p w14:paraId="367A54F7" w14:textId="1242A10B" w:rsidR="00C97774" w:rsidRDefault="00C97774" w:rsidP="0000230A">
      <w:pPr>
        <w:spacing w:line="360" w:lineRule="auto"/>
        <w:rPr>
          <w:rFonts w:ascii="Arial" w:hAnsi="Arial" w:cs="Arial"/>
          <w:sz w:val="22"/>
          <w:szCs w:val="22"/>
        </w:rPr>
      </w:pPr>
    </w:p>
    <w:p w14:paraId="2128DD98" w14:textId="77777777" w:rsidR="00C97774" w:rsidRPr="0000230A" w:rsidRDefault="00C97774" w:rsidP="0000230A">
      <w:pPr>
        <w:spacing w:line="360" w:lineRule="auto"/>
        <w:rPr>
          <w:rFonts w:ascii="Arial" w:hAnsi="Arial" w:cs="Arial"/>
          <w:sz w:val="22"/>
          <w:szCs w:val="22"/>
        </w:rPr>
      </w:pPr>
    </w:p>
    <w:p w14:paraId="6C496BA9" w14:textId="77777777" w:rsidR="00170ACB" w:rsidRPr="0000230A" w:rsidRDefault="00170ACB" w:rsidP="0000230A">
      <w:pPr>
        <w:pStyle w:val="Heading2"/>
        <w:spacing w:line="360" w:lineRule="auto"/>
        <w:rPr>
          <w:rFonts w:cs="Arial"/>
          <w:szCs w:val="22"/>
        </w:rPr>
      </w:pPr>
      <w:bookmarkStart w:id="21" w:name="_Toc215043364"/>
      <w:r w:rsidRPr="0000230A">
        <w:rPr>
          <w:rStyle w:val="Strong"/>
          <w:rFonts w:cs="Arial"/>
          <w:b w:val="0"/>
          <w:bCs/>
          <w:szCs w:val="22"/>
        </w:rPr>
        <w:lastRenderedPageBreak/>
        <w:t>2.3 Theoretical Background</w:t>
      </w:r>
      <w:bookmarkEnd w:id="21"/>
    </w:p>
    <w:p w14:paraId="57B4337F"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Understanding the relationship between socioeconomic status, substance misuse and mental health requires a multi-layered theoretical approach. Three key frameworks underpin this study.</w:t>
      </w:r>
    </w:p>
    <w:p w14:paraId="372867C7" w14:textId="77777777" w:rsidR="00170ACB" w:rsidRPr="0000230A" w:rsidRDefault="00170ACB" w:rsidP="0000230A">
      <w:pPr>
        <w:pStyle w:val="Heading4"/>
        <w:spacing w:line="360" w:lineRule="auto"/>
        <w:rPr>
          <w:rFonts w:ascii="Arial" w:hAnsi="Arial" w:cs="Arial"/>
          <w:i w:val="0"/>
          <w:iCs w:val="0"/>
          <w:color w:val="000000"/>
          <w:sz w:val="22"/>
          <w:szCs w:val="22"/>
        </w:rPr>
      </w:pPr>
      <w:r w:rsidRPr="0000230A">
        <w:rPr>
          <w:rStyle w:val="Strong"/>
          <w:rFonts w:ascii="Arial" w:hAnsi="Arial" w:cs="Arial"/>
          <w:b w:val="0"/>
          <w:bCs w:val="0"/>
          <w:i w:val="0"/>
          <w:iCs w:val="0"/>
          <w:color w:val="000000"/>
          <w:sz w:val="22"/>
          <w:szCs w:val="22"/>
        </w:rPr>
        <w:t>1. Social Determinants of Health Model</w:t>
      </w:r>
    </w:p>
    <w:p w14:paraId="24221290"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The Social Determinants of Health (SDH) model, developed by the World Health Organization (WHO, 2019), emphasises that health outcomes are shaped by non-medical factors such as income, education, employment, </w:t>
      </w:r>
      <w:proofErr w:type="gramStart"/>
      <w:r w:rsidRPr="0000230A">
        <w:rPr>
          <w:rFonts w:ascii="Arial" w:hAnsi="Arial" w:cs="Arial"/>
          <w:color w:val="000000"/>
          <w:sz w:val="22"/>
          <w:szCs w:val="22"/>
        </w:rPr>
        <w:t>housing</w:t>
      </w:r>
      <w:proofErr w:type="gramEnd"/>
      <w:r w:rsidRPr="0000230A">
        <w:rPr>
          <w:rFonts w:ascii="Arial" w:hAnsi="Arial" w:cs="Arial"/>
          <w:color w:val="000000"/>
          <w:sz w:val="22"/>
          <w:szCs w:val="22"/>
        </w:rPr>
        <w:t xml:space="preserve"> and social capital. Within this framework, poverty is understood not only as a lack of financial resources but as a condition that constrains opportunities and shapes health trajectories.</w:t>
      </w:r>
    </w:p>
    <w:p w14:paraId="4A2EECE9"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Marmot et al. (2020) argue that unequal distributions of power, resources and opportunities produce avoidable health inequalities, making low-income populations more vulnerable to substance misuse and untreated mental health conditions. This framework is therefore central to the current study, as it provides a holistic perspective on how socioeconomic disadvantage generates health vulnerabilities.</w:t>
      </w:r>
    </w:p>
    <w:p w14:paraId="0543953E" w14:textId="3AF31445" w:rsidR="00170ACB" w:rsidRPr="0000230A" w:rsidRDefault="00170ACB" w:rsidP="0000230A">
      <w:pPr>
        <w:pStyle w:val="Heading4"/>
        <w:spacing w:line="360" w:lineRule="auto"/>
        <w:rPr>
          <w:rFonts w:ascii="Arial" w:hAnsi="Arial" w:cs="Arial"/>
          <w:i w:val="0"/>
          <w:iCs w:val="0"/>
          <w:color w:val="000000"/>
          <w:sz w:val="22"/>
          <w:szCs w:val="22"/>
        </w:rPr>
      </w:pPr>
      <w:r w:rsidRPr="0000230A">
        <w:rPr>
          <w:rStyle w:val="Strong"/>
          <w:rFonts w:ascii="Arial" w:hAnsi="Arial" w:cs="Arial"/>
          <w:b w:val="0"/>
          <w:bCs w:val="0"/>
          <w:i w:val="0"/>
          <w:iCs w:val="0"/>
          <w:color w:val="000000"/>
          <w:sz w:val="22"/>
          <w:szCs w:val="22"/>
        </w:rPr>
        <w:t>2. Stress</w:t>
      </w:r>
      <w:r w:rsidR="0000230A">
        <w:rPr>
          <w:rStyle w:val="Strong"/>
          <w:rFonts w:ascii="Arial" w:hAnsi="Arial" w:cs="Arial"/>
          <w:b w:val="0"/>
          <w:bCs w:val="0"/>
          <w:i w:val="0"/>
          <w:iCs w:val="0"/>
          <w:color w:val="000000"/>
          <w:sz w:val="22"/>
          <w:szCs w:val="22"/>
        </w:rPr>
        <w:t xml:space="preserve"> </w:t>
      </w:r>
      <w:r w:rsidRPr="0000230A">
        <w:rPr>
          <w:rStyle w:val="Strong"/>
          <w:rFonts w:ascii="Arial" w:hAnsi="Arial" w:cs="Arial"/>
          <w:b w:val="0"/>
          <w:bCs w:val="0"/>
          <w:i w:val="0"/>
          <w:iCs w:val="0"/>
          <w:color w:val="000000"/>
          <w:sz w:val="22"/>
          <w:szCs w:val="22"/>
        </w:rPr>
        <w:t>Vulnerability Model</w:t>
      </w:r>
    </w:p>
    <w:p w14:paraId="0CC122E6" w14:textId="100CDD6E"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The Stress</w:t>
      </w:r>
      <w:r w:rsidR="0000230A">
        <w:rPr>
          <w:rFonts w:ascii="Arial" w:hAnsi="Arial" w:cs="Arial"/>
          <w:color w:val="000000"/>
          <w:sz w:val="22"/>
          <w:szCs w:val="22"/>
        </w:rPr>
        <w:t xml:space="preserve"> </w:t>
      </w:r>
      <w:r w:rsidRPr="0000230A">
        <w:rPr>
          <w:rFonts w:ascii="Arial" w:hAnsi="Arial" w:cs="Arial"/>
          <w:color w:val="000000"/>
          <w:sz w:val="22"/>
          <w:szCs w:val="22"/>
        </w:rPr>
        <w:t>Vulnerability Model (Zubin and Spring, 1977) proposes that mental health and substance use disorders arise through interactions between biological predispositions and environmental stressors. Financial insecurity, unemployment, housing instability and trauma can heighten stress responses and increase the likelihood of substance use as a coping mechanism, particularly in low-income settings (Sinha, 2008).</w:t>
      </w:r>
    </w:p>
    <w:p w14:paraId="68648DF2"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Research supports these associations, demonstrating that chronic socioeconomic stress contributes to substance misuse, </w:t>
      </w:r>
      <w:proofErr w:type="gramStart"/>
      <w:r w:rsidRPr="0000230A">
        <w:rPr>
          <w:rFonts w:ascii="Arial" w:hAnsi="Arial" w:cs="Arial"/>
          <w:color w:val="000000"/>
          <w:sz w:val="22"/>
          <w:szCs w:val="22"/>
        </w:rPr>
        <w:t>relapse</w:t>
      </w:r>
      <w:proofErr w:type="gramEnd"/>
      <w:r w:rsidRPr="0000230A">
        <w:rPr>
          <w:rFonts w:ascii="Arial" w:hAnsi="Arial" w:cs="Arial"/>
          <w:color w:val="000000"/>
          <w:sz w:val="22"/>
          <w:szCs w:val="22"/>
        </w:rPr>
        <w:t xml:space="preserve"> and poorer recovery outcomes (Lloyd et al., 2019). Although the model effectively integrates internal and external influences, it has been criticised for focusing too heavily on individual vulnerability and insufficiently addressing structural inequalities (Hatzenbuehler et al., 2013).</w:t>
      </w:r>
    </w:p>
    <w:p w14:paraId="74A6662F" w14:textId="77777777" w:rsidR="00170ACB" w:rsidRPr="0000230A" w:rsidRDefault="00170ACB" w:rsidP="0000230A">
      <w:pPr>
        <w:pStyle w:val="Heading4"/>
        <w:spacing w:line="360" w:lineRule="auto"/>
        <w:rPr>
          <w:rFonts w:ascii="Arial" w:hAnsi="Arial" w:cs="Arial"/>
          <w:i w:val="0"/>
          <w:iCs w:val="0"/>
          <w:color w:val="000000"/>
          <w:sz w:val="22"/>
          <w:szCs w:val="22"/>
        </w:rPr>
      </w:pPr>
      <w:r w:rsidRPr="0000230A">
        <w:rPr>
          <w:rStyle w:val="Strong"/>
          <w:rFonts w:ascii="Arial" w:hAnsi="Arial" w:cs="Arial"/>
          <w:b w:val="0"/>
          <w:bCs w:val="0"/>
          <w:i w:val="0"/>
          <w:iCs w:val="0"/>
          <w:color w:val="000000"/>
          <w:sz w:val="22"/>
          <w:szCs w:val="22"/>
        </w:rPr>
        <w:t>3. Social Exclusion and the Cycle of Disadvantage</w:t>
      </w:r>
    </w:p>
    <w:p w14:paraId="2EAB2125"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Social Exclusion Theory (Silver, 1994) highlights how marginalisation restricts access to employment, housing, </w:t>
      </w:r>
      <w:proofErr w:type="gramStart"/>
      <w:r w:rsidRPr="0000230A">
        <w:rPr>
          <w:rFonts w:ascii="Arial" w:hAnsi="Arial" w:cs="Arial"/>
          <w:color w:val="000000"/>
          <w:sz w:val="22"/>
          <w:szCs w:val="22"/>
        </w:rPr>
        <w:t>healthcare</w:t>
      </w:r>
      <w:proofErr w:type="gramEnd"/>
      <w:r w:rsidRPr="0000230A">
        <w:rPr>
          <w:rFonts w:ascii="Arial" w:hAnsi="Arial" w:cs="Arial"/>
          <w:color w:val="000000"/>
          <w:sz w:val="22"/>
          <w:szCs w:val="22"/>
        </w:rPr>
        <w:t xml:space="preserve"> and social participation, generating cycles of disadvantage that increase vulnerability to substance misuse and poor mental health. Excluded groups </w:t>
      </w:r>
      <w:r w:rsidRPr="0000230A">
        <w:rPr>
          <w:rFonts w:ascii="Arial" w:hAnsi="Arial" w:cs="Arial"/>
          <w:color w:val="000000"/>
          <w:sz w:val="22"/>
          <w:szCs w:val="22"/>
        </w:rPr>
        <w:lastRenderedPageBreak/>
        <w:t>often face barriers to services, reduced social support and diminished opportunities for recovery (Room, 2005).</w:t>
      </w:r>
    </w:p>
    <w:p w14:paraId="76235CE2"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In the UK, austerity policies have intensified social exclusion by reducing investment in welfare, </w:t>
      </w:r>
      <w:proofErr w:type="gramStart"/>
      <w:r w:rsidRPr="0000230A">
        <w:rPr>
          <w:rFonts w:ascii="Arial" w:hAnsi="Arial" w:cs="Arial"/>
          <w:color w:val="000000"/>
          <w:sz w:val="22"/>
          <w:szCs w:val="22"/>
        </w:rPr>
        <w:t>housing</w:t>
      </w:r>
      <w:proofErr w:type="gramEnd"/>
      <w:r w:rsidRPr="0000230A">
        <w:rPr>
          <w:rFonts w:ascii="Arial" w:hAnsi="Arial" w:cs="Arial"/>
          <w:color w:val="000000"/>
          <w:sz w:val="22"/>
          <w:szCs w:val="22"/>
        </w:rPr>
        <w:t xml:space="preserve"> and community mental health services (Bambra et al., 2020). This framework is therefore highly relevant, although some scholars argue that it risks underestimating individual agency and resilience (Lister, 2004).</w:t>
      </w:r>
    </w:p>
    <w:p w14:paraId="45AF3F24"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Together, these theories offer a comprehensive lens through which to examine how poverty, exclusion and chronic stress interact at both individual and structural levels to influence substance misuse and mental health.</w:t>
      </w:r>
    </w:p>
    <w:p w14:paraId="3D8D9826" w14:textId="77777777" w:rsidR="00170ACB" w:rsidRPr="0000230A" w:rsidRDefault="00170ACB" w:rsidP="0000230A">
      <w:pPr>
        <w:pStyle w:val="Heading2"/>
        <w:spacing w:line="360" w:lineRule="auto"/>
        <w:rPr>
          <w:rFonts w:cs="Arial"/>
          <w:szCs w:val="22"/>
        </w:rPr>
      </w:pPr>
      <w:bookmarkStart w:id="22" w:name="_Toc215043365"/>
      <w:r w:rsidRPr="0000230A">
        <w:rPr>
          <w:rStyle w:val="Strong"/>
          <w:rFonts w:cs="Arial"/>
          <w:b w:val="0"/>
          <w:bCs/>
          <w:color w:val="000000"/>
          <w:szCs w:val="22"/>
        </w:rPr>
        <w:t>2.4 International Context</w:t>
      </w:r>
      <w:bookmarkEnd w:id="22"/>
    </w:p>
    <w:p w14:paraId="7C12C4D7"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Substance misuse is a global public health challenge with varying patterns and responses across different socioeconomic and cultural contexts. The United Nations Office on Drugs and Crime (UNODC) reported that more than 296 million people used drugs in 2021, with low- and middle-income countries experiencing a disproportionate share of related harms (UNODC, 2022).</w:t>
      </w:r>
    </w:p>
    <w:p w14:paraId="7716608A" w14:textId="77777777" w:rsidR="00170ACB" w:rsidRPr="0000230A" w:rsidRDefault="00170ACB"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Global Policy Approaches</w:t>
      </w:r>
    </w:p>
    <w:p w14:paraId="308298D4" w14:textId="02A9A79A"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Internationally, there has been a shift towards public </w:t>
      </w:r>
      <w:proofErr w:type="gramStart"/>
      <w:r w:rsidRPr="0000230A">
        <w:rPr>
          <w:rFonts w:ascii="Arial" w:hAnsi="Arial" w:cs="Arial"/>
          <w:color w:val="000000"/>
          <w:sz w:val="22"/>
          <w:szCs w:val="22"/>
        </w:rPr>
        <w:t>health</w:t>
      </w:r>
      <w:r w:rsidR="001B49EC">
        <w:rPr>
          <w:rFonts w:ascii="Arial" w:hAnsi="Arial" w:cs="Arial"/>
          <w:color w:val="000000"/>
          <w:sz w:val="22"/>
          <w:szCs w:val="22"/>
        </w:rPr>
        <w:t xml:space="preserve"> </w:t>
      </w:r>
      <w:r w:rsidRPr="0000230A">
        <w:rPr>
          <w:rFonts w:ascii="Arial" w:hAnsi="Arial" w:cs="Arial"/>
          <w:color w:val="000000"/>
          <w:sz w:val="22"/>
          <w:szCs w:val="22"/>
        </w:rPr>
        <w:t>oriented</w:t>
      </w:r>
      <w:proofErr w:type="gramEnd"/>
      <w:r w:rsidRPr="0000230A">
        <w:rPr>
          <w:rFonts w:ascii="Arial" w:hAnsi="Arial" w:cs="Arial"/>
          <w:color w:val="000000"/>
          <w:sz w:val="22"/>
          <w:szCs w:val="22"/>
        </w:rPr>
        <w:t xml:space="preserve"> approaches. Portugal’s decriminalisation model, introduced in 2001, is widely cited as an effective alternative to punitive drug policies. This model prioritises treatment, harm reduction and social reintegration over criminal sanctions, contributing to reductions in drug-related deaths, HIV transmission and stigma (Greenwald, 2009; Hughes and Stevens, 2010).</w:t>
      </w:r>
    </w:p>
    <w:p w14:paraId="1D2DB8E3"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Similarly, Canada and Australia have expanded harm-reduction initiatives, such as supervised consumption sites and trauma-informed addiction services, recognising the links between inequality, </w:t>
      </w:r>
      <w:proofErr w:type="gramStart"/>
      <w:r w:rsidRPr="0000230A">
        <w:rPr>
          <w:rFonts w:ascii="Arial" w:hAnsi="Arial" w:cs="Arial"/>
          <w:color w:val="000000"/>
          <w:sz w:val="22"/>
          <w:szCs w:val="22"/>
        </w:rPr>
        <w:t>trauma</w:t>
      </w:r>
      <w:proofErr w:type="gramEnd"/>
      <w:r w:rsidRPr="0000230A">
        <w:rPr>
          <w:rFonts w:ascii="Arial" w:hAnsi="Arial" w:cs="Arial"/>
          <w:color w:val="000000"/>
          <w:sz w:val="22"/>
          <w:szCs w:val="22"/>
        </w:rPr>
        <w:t xml:space="preserve"> and substance use (Kerr et al., 2017; Wood et al., 2006). The World Health Organization (2022) advocates for integrated treatment approaches addressing both mental health and substance use, particularly among marginalised populations.</w:t>
      </w:r>
    </w:p>
    <w:p w14:paraId="7E1A94F5" w14:textId="77777777" w:rsidR="00170ACB" w:rsidRPr="0000230A" w:rsidRDefault="00170ACB"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Comparative Analysis</w:t>
      </w:r>
    </w:p>
    <w:p w14:paraId="5CD1798E"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In contrast, the United States continues to experience high rates of opioid-related deaths, driven by fragmented healthcare systems, aggressive pharmaceutical marketing, </w:t>
      </w:r>
      <w:r w:rsidRPr="0000230A">
        <w:rPr>
          <w:rFonts w:ascii="Arial" w:hAnsi="Arial" w:cs="Arial"/>
          <w:color w:val="000000"/>
          <w:sz w:val="22"/>
          <w:szCs w:val="22"/>
        </w:rPr>
        <w:lastRenderedPageBreak/>
        <w:t xml:space="preserve">socioeconomic </w:t>
      </w:r>
      <w:proofErr w:type="gramStart"/>
      <w:r w:rsidRPr="0000230A">
        <w:rPr>
          <w:rFonts w:ascii="Arial" w:hAnsi="Arial" w:cs="Arial"/>
          <w:color w:val="000000"/>
          <w:sz w:val="22"/>
          <w:szCs w:val="22"/>
        </w:rPr>
        <w:t>deprivation</w:t>
      </w:r>
      <w:proofErr w:type="gramEnd"/>
      <w:r w:rsidRPr="0000230A">
        <w:rPr>
          <w:rFonts w:ascii="Arial" w:hAnsi="Arial" w:cs="Arial"/>
          <w:color w:val="000000"/>
          <w:sz w:val="22"/>
          <w:szCs w:val="22"/>
        </w:rPr>
        <w:t xml:space="preserve"> and a lingering punitive legacy stemming from the “War on Drugs” (Dasgupta, Beletsky and Ciccarone, 2018; Alexander, 2020). These policies have disproportionately affected low-income and minority communities.</w:t>
      </w:r>
    </w:p>
    <w:p w14:paraId="6B3134D8"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European responses are generally more balanced, integrating regulation with social support. Multi-agency models that combine substance misuse treatment with housing, employment and mental health interventions have been shown to improve outcomes and reduce long-term costs (EMCDDA, 2022; Trautmann et al., 2013).</w:t>
      </w:r>
    </w:p>
    <w:p w14:paraId="7CEC9110" w14:textId="58978CD1"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Global evidence consistently demonstrates that effective drug policies must address underlying structural inequalities rather than rely solely on criminal justice interventions.</w:t>
      </w:r>
    </w:p>
    <w:p w14:paraId="1A86060E" w14:textId="77777777" w:rsidR="00170ACB" w:rsidRPr="0000230A" w:rsidRDefault="00170ACB" w:rsidP="0000230A">
      <w:pPr>
        <w:pStyle w:val="Heading2"/>
        <w:spacing w:line="360" w:lineRule="auto"/>
        <w:rPr>
          <w:rFonts w:cs="Arial"/>
          <w:szCs w:val="22"/>
        </w:rPr>
      </w:pPr>
      <w:bookmarkStart w:id="23" w:name="_Toc215043366"/>
      <w:r w:rsidRPr="0000230A">
        <w:rPr>
          <w:rStyle w:val="Strong"/>
          <w:rFonts w:cs="Arial"/>
          <w:b w:val="0"/>
          <w:bCs/>
          <w:color w:val="000000"/>
          <w:szCs w:val="22"/>
        </w:rPr>
        <w:t>2.5 National and Local UK Context</w:t>
      </w:r>
      <w:bookmarkEnd w:id="23"/>
    </w:p>
    <w:p w14:paraId="22A308A6"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In the UK, and particularly in England, substance misuse and mental health challenges intersect strongly with socioeconomic inequality. According to the Office for National Statistics (ONS, 2022), drug-related deaths are more than five times higher in the most deprived areas compared with the least deprived.</w:t>
      </w:r>
    </w:p>
    <w:p w14:paraId="638F9FAB" w14:textId="77777777" w:rsidR="00170ACB" w:rsidRPr="0000230A" w:rsidRDefault="00170ACB"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Policy and Legislation</w:t>
      </w:r>
    </w:p>
    <w:p w14:paraId="17ED5B62" w14:textId="7297206A"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The UK Drug Strategy (2021) emphasises prevention, </w:t>
      </w:r>
      <w:proofErr w:type="gramStart"/>
      <w:r w:rsidRPr="0000230A">
        <w:rPr>
          <w:rFonts w:ascii="Arial" w:hAnsi="Arial" w:cs="Arial"/>
          <w:color w:val="000000"/>
          <w:sz w:val="22"/>
          <w:szCs w:val="22"/>
        </w:rPr>
        <w:t>treatment</w:t>
      </w:r>
      <w:proofErr w:type="gramEnd"/>
      <w:r w:rsidRPr="0000230A">
        <w:rPr>
          <w:rFonts w:ascii="Arial" w:hAnsi="Arial" w:cs="Arial"/>
          <w:color w:val="000000"/>
          <w:sz w:val="22"/>
          <w:szCs w:val="22"/>
        </w:rPr>
        <w:t xml:space="preserve"> and recovery, yet critics argue that long-term reductions in local authority budgets, workforce shortages and fragmented service structures have undermined its implementation (Black, 2021; The King’s Fund, 2021). The NHS Long Term Plan (2019) aims to expand access to community</w:t>
      </w:r>
      <w:r w:rsidR="00684878">
        <w:rPr>
          <w:rFonts w:ascii="Arial" w:hAnsi="Arial" w:cs="Arial"/>
          <w:color w:val="000000"/>
          <w:sz w:val="22"/>
          <w:szCs w:val="22"/>
        </w:rPr>
        <w:t xml:space="preserve"> </w:t>
      </w:r>
      <w:r w:rsidRPr="0000230A">
        <w:rPr>
          <w:rFonts w:ascii="Arial" w:hAnsi="Arial" w:cs="Arial"/>
          <w:color w:val="000000"/>
          <w:sz w:val="22"/>
          <w:szCs w:val="22"/>
        </w:rPr>
        <w:t xml:space="preserve">based mental health care, but significant inequalities persist, particularly among people experiencing homelessness, </w:t>
      </w:r>
      <w:proofErr w:type="gramStart"/>
      <w:r w:rsidRPr="0000230A">
        <w:rPr>
          <w:rFonts w:ascii="Arial" w:hAnsi="Arial" w:cs="Arial"/>
          <w:color w:val="000000"/>
          <w:sz w:val="22"/>
          <w:szCs w:val="22"/>
        </w:rPr>
        <w:t>poverty</w:t>
      </w:r>
      <w:proofErr w:type="gramEnd"/>
      <w:r w:rsidRPr="0000230A">
        <w:rPr>
          <w:rFonts w:ascii="Arial" w:hAnsi="Arial" w:cs="Arial"/>
          <w:color w:val="000000"/>
          <w:sz w:val="22"/>
          <w:szCs w:val="22"/>
        </w:rPr>
        <w:t xml:space="preserve"> or co-occurring disorders (NHS England, 2019).</w:t>
      </w:r>
    </w:p>
    <w:p w14:paraId="07D78689" w14:textId="77777777" w:rsidR="00170ACB" w:rsidRPr="0000230A" w:rsidRDefault="00170ACB"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Local and Regional Variations</w:t>
      </w:r>
    </w:p>
    <w:p w14:paraId="7250F7A1" w14:textId="77777777"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Regional inequalities in drug-related harm are pronounced. The </w:t>
      </w:r>
      <w:proofErr w:type="gramStart"/>
      <w:r w:rsidRPr="0000230A">
        <w:rPr>
          <w:rFonts w:ascii="Arial" w:hAnsi="Arial" w:cs="Arial"/>
          <w:color w:val="000000"/>
          <w:sz w:val="22"/>
          <w:szCs w:val="22"/>
        </w:rPr>
        <w:t>North East</w:t>
      </w:r>
      <w:proofErr w:type="gramEnd"/>
      <w:r w:rsidRPr="0000230A">
        <w:rPr>
          <w:rFonts w:ascii="Arial" w:hAnsi="Arial" w:cs="Arial"/>
          <w:color w:val="000000"/>
          <w:sz w:val="22"/>
          <w:szCs w:val="22"/>
        </w:rPr>
        <w:t xml:space="preserve"> and parts of Merseyside consistently record the highest rates of drug-related deaths, while more affluent regions such as the South East benefit from greater service availability and better socioeconomic conditions (Public Health England, 2021; ONS, 2021). Austerity-era cuts reduced funding for prevention, early </w:t>
      </w:r>
      <w:proofErr w:type="gramStart"/>
      <w:r w:rsidRPr="0000230A">
        <w:rPr>
          <w:rFonts w:ascii="Arial" w:hAnsi="Arial" w:cs="Arial"/>
          <w:color w:val="000000"/>
          <w:sz w:val="22"/>
          <w:szCs w:val="22"/>
        </w:rPr>
        <w:t>intervention</w:t>
      </w:r>
      <w:proofErr w:type="gramEnd"/>
      <w:r w:rsidRPr="0000230A">
        <w:rPr>
          <w:rFonts w:ascii="Arial" w:hAnsi="Arial" w:cs="Arial"/>
          <w:color w:val="000000"/>
          <w:sz w:val="22"/>
          <w:szCs w:val="22"/>
        </w:rPr>
        <w:t xml:space="preserve"> and community outreach, exacerbating these regional disparities (Bambra et al., 2020; Health Foundation, 2020).</w:t>
      </w:r>
    </w:p>
    <w:p w14:paraId="2738CEBB" w14:textId="77D70B8E"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Community</w:t>
      </w:r>
      <w:r w:rsidR="00684878">
        <w:rPr>
          <w:rFonts w:ascii="Arial" w:hAnsi="Arial" w:cs="Arial"/>
          <w:color w:val="000000"/>
          <w:sz w:val="22"/>
          <w:szCs w:val="22"/>
        </w:rPr>
        <w:t xml:space="preserve"> </w:t>
      </w:r>
      <w:r w:rsidRPr="0000230A">
        <w:rPr>
          <w:rFonts w:ascii="Arial" w:hAnsi="Arial" w:cs="Arial"/>
          <w:color w:val="000000"/>
          <w:sz w:val="22"/>
          <w:szCs w:val="22"/>
        </w:rPr>
        <w:t xml:space="preserve">led organisations such as Turning Point and Change Grow Live (CGL) have played a crucial role in bridging service gaps by delivering locally tailored, trauma-informed </w:t>
      </w:r>
      <w:r w:rsidRPr="0000230A">
        <w:rPr>
          <w:rFonts w:ascii="Arial" w:hAnsi="Arial" w:cs="Arial"/>
          <w:color w:val="000000"/>
          <w:sz w:val="22"/>
          <w:szCs w:val="22"/>
        </w:rPr>
        <w:lastRenderedPageBreak/>
        <w:t xml:space="preserve">support. Their work demonstrates the value of accessible, </w:t>
      </w:r>
      <w:r w:rsidR="00684878" w:rsidRPr="0000230A">
        <w:rPr>
          <w:rFonts w:ascii="Arial" w:hAnsi="Arial" w:cs="Arial"/>
          <w:color w:val="000000"/>
          <w:sz w:val="22"/>
          <w:szCs w:val="22"/>
        </w:rPr>
        <w:t>community</w:t>
      </w:r>
      <w:r w:rsidR="00684878">
        <w:rPr>
          <w:rFonts w:ascii="Arial" w:hAnsi="Arial" w:cs="Arial"/>
          <w:color w:val="000000"/>
          <w:sz w:val="22"/>
          <w:szCs w:val="22"/>
        </w:rPr>
        <w:t>-based</w:t>
      </w:r>
      <w:r w:rsidRPr="0000230A">
        <w:rPr>
          <w:rFonts w:ascii="Arial" w:hAnsi="Arial" w:cs="Arial"/>
          <w:color w:val="000000"/>
          <w:sz w:val="22"/>
          <w:szCs w:val="22"/>
        </w:rPr>
        <w:t xml:space="preserve"> provision in reaching marginalised groups and supporting long-term recovery.</w:t>
      </w:r>
    </w:p>
    <w:p w14:paraId="495F9D7F" w14:textId="6F3813CC"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The persistence of regional and socioeconomic inequalities suggests that national policy alone is insufficient. Effective responses must integrate local needs, address structural </w:t>
      </w:r>
      <w:r w:rsidR="00684878" w:rsidRPr="0000230A">
        <w:rPr>
          <w:rFonts w:ascii="Arial" w:hAnsi="Arial" w:cs="Arial"/>
          <w:color w:val="000000"/>
          <w:sz w:val="22"/>
          <w:szCs w:val="22"/>
        </w:rPr>
        <w:t>disadvantage,</w:t>
      </w:r>
      <w:r w:rsidRPr="0000230A">
        <w:rPr>
          <w:rFonts w:ascii="Arial" w:hAnsi="Arial" w:cs="Arial"/>
          <w:color w:val="000000"/>
          <w:sz w:val="22"/>
          <w:szCs w:val="22"/>
        </w:rPr>
        <w:t xml:space="preserve"> and strengthen links between substance misuse, housing, </w:t>
      </w:r>
      <w:proofErr w:type="gramStart"/>
      <w:r w:rsidRPr="0000230A">
        <w:rPr>
          <w:rFonts w:ascii="Arial" w:hAnsi="Arial" w:cs="Arial"/>
          <w:color w:val="000000"/>
          <w:sz w:val="22"/>
          <w:szCs w:val="22"/>
        </w:rPr>
        <w:t>employment</w:t>
      </w:r>
      <w:proofErr w:type="gramEnd"/>
      <w:r w:rsidRPr="0000230A">
        <w:rPr>
          <w:rFonts w:ascii="Arial" w:hAnsi="Arial" w:cs="Arial"/>
          <w:color w:val="000000"/>
          <w:sz w:val="22"/>
          <w:szCs w:val="22"/>
        </w:rPr>
        <w:t xml:space="preserve"> and mental health support.</w:t>
      </w:r>
    </w:p>
    <w:p w14:paraId="7429E880" w14:textId="1246DB2E" w:rsidR="00170ACB" w:rsidRPr="0000230A" w:rsidRDefault="00170ACB" w:rsidP="0000230A">
      <w:pPr>
        <w:spacing w:line="360" w:lineRule="auto"/>
        <w:rPr>
          <w:rFonts w:ascii="Arial" w:hAnsi="Arial" w:cs="Arial"/>
          <w:sz w:val="22"/>
          <w:szCs w:val="22"/>
        </w:rPr>
      </w:pPr>
    </w:p>
    <w:p w14:paraId="43532B4F" w14:textId="22B9BC2B" w:rsidR="00170ACB" w:rsidRPr="0000230A" w:rsidRDefault="00170ACB" w:rsidP="0000230A">
      <w:pPr>
        <w:spacing w:line="360" w:lineRule="auto"/>
        <w:rPr>
          <w:rFonts w:ascii="Arial" w:hAnsi="Arial" w:cs="Arial"/>
          <w:sz w:val="22"/>
          <w:szCs w:val="22"/>
        </w:rPr>
      </w:pPr>
    </w:p>
    <w:p w14:paraId="7D39F3A4" w14:textId="77777777" w:rsidR="00170ACB" w:rsidRPr="0000230A" w:rsidRDefault="00170ACB" w:rsidP="0000230A">
      <w:pPr>
        <w:spacing w:line="360" w:lineRule="auto"/>
        <w:rPr>
          <w:rFonts w:ascii="Arial" w:hAnsi="Arial" w:cs="Arial"/>
          <w:sz w:val="22"/>
          <w:szCs w:val="22"/>
        </w:rPr>
      </w:pPr>
    </w:p>
    <w:p w14:paraId="06C96EC4" w14:textId="77777777" w:rsidR="00170ACB" w:rsidRPr="0000230A" w:rsidRDefault="00170ACB" w:rsidP="0000230A">
      <w:pPr>
        <w:pStyle w:val="Heading2"/>
        <w:spacing w:line="360" w:lineRule="auto"/>
        <w:rPr>
          <w:rFonts w:cs="Arial"/>
          <w:szCs w:val="22"/>
        </w:rPr>
      </w:pPr>
      <w:bookmarkStart w:id="24" w:name="_Toc215043367"/>
      <w:r w:rsidRPr="0000230A">
        <w:rPr>
          <w:rStyle w:val="Strong"/>
          <w:rFonts w:cs="Arial"/>
          <w:b w:val="0"/>
          <w:bCs/>
          <w:color w:val="000000"/>
          <w:szCs w:val="22"/>
        </w:rPr>
        <w:t>2.6 Conclusion</w:t>
      </w:r>
      <w:bookmarkEnd w:id="24"/>
    </w:p>
    <w:p w14:paraId="78AAF6D8" w14:textId="5105F951"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This chapter has outlined the historical development, theoretical foundations and international and national contexts underpinning the relationship between substance misuse, socioeconomic </w:t>
      </w:r>
      <w:r w:rsidR="00684878" w:rsidRPr="0000230A">
        <w:rPr>
          <w:rFonts w:ascii="Arial" w:hAnsi="Arial" w:cs="Arial"/>
          <w:color w:val="000000"/>
          <w:sz w:val="22"/>
          <w:szCs w:val="22"/>
        </w:rPr>
        <w:t>inequality,</w:t>
      </w:r>
      <w:r w:rsidRPr="0000230A">
        <w:rPr>
          <w:rFonts w:ascii="Arial" w:hAnsi="Arial" w:cs="Arial"/>
          <w:color w:val="000000"/>
          <w:sz w:val="22"/>
          <w:szCs w:val="22"/>
        </w:rPr>
        <w:t xml:space="preserve"> and mental health. Historically, understandings of addiction have evolved from moralistic interpretations toward a public health perspective, influenced by shifts in policy, scientific </w:t>
      </w:r>
      <w:r w:rsidR="00684878" w:rsidRPr="0000230A">
        <w:rPr>
          <w:rFonts w:ascii="Arial" w:hAnsi="Arial" w:cs="Arial"/>
          <w:color w:val="000000"/>
          <w:sz w:val="22"/>
          <w:szCs w:val="22"/>
        </w:rPr>
        <w:t>knowledge,</w:t>
      </w:r>
      <w:r w:rsidRPr="0000230A">
        <w:rPr>
          <w:rFonts w:ascii="Arial" w:hAnsi="Arial" w:cs="Arial"/>
          <w:color w:val="000000"/>
          <w:sz w:val="22"/>
          <w:szCs w:val="22"/>
        </w:rPr>
        <w:t xml:space="preserve"> and societal attitudes. The theoretical frameworks examined illustrate how poverty, chronic stress and social exclusion shape vulnerability to substance misuse and hinder access to mental health support.</w:t>
      </w:r>
    </w:p>
    <w:p w14:paraId="51CCABA9" w14:textId="76CB4609"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International comparisons highlight </w:t>
      </w:r>
      <w:proofErr w:type="gramStart"/>
      <w:r w:rsidRPr="0000230A">
        <w:rPr>
          <w:rFonts w:ascii="Arial" w:hAnsi="Arial" w:cs="Arial"/>
          <w:color w:val="000000"/>
          <w:sz w:val="22"/>
          <w:szCs w:val="22"/>
        </w:rPr>
        <w:t>that countries</w:t>
      </w:r>
      <w:proofErr w:type="gramEnd"/>
      <w:r w:rsidRPr="0000230A">
        <w:rPr>
          <w:rFonts w:ascii="Arial" w:hAnsi="Arial" w:cs="Arial"/>
          <w:color w:val="000000"/>
          <w:sz w:val="22"/>
          <w:szCs w:val="22"/>
        </w:rPr>
        <w:t xml:space="preserve"> adopting holistic, health</w:t>
      </w:r>
      <w:r w:rsidR="00684878">
        <w:rPr>
          <w:rFonts w:ascii="Arial" w:hAnsi="Arial" w:cs="Arial"/>
          <w:color w:val="000000"/>
          <w:sz w:val="22"/>
          <w:szCs w:val="22"/>
        </w:rPr>
        <w:t xml:space="preserve"> </w:t>
      </w:r>
      <w:r w:rsidRPr="0000230A">
        <w:rPr>
          <w:rFonts w:ascii="Arial" w:hAnsi="Arial" w:cs="Arial"/>
          <w:color w:val="000000"/>
          <w:sz w:val="22"/>
          <w:szCs w:val="22"/>
        </w:rPr>
        <w:t>led approaches tend to achieve better outcomes, while punitive systems often exacerbate inequalities. Within England, persistent regional disparities, service fragmentation and socioeconomic deprivation underline the need for integrated, equity-focused policy responses.</w:t>
      </w:r>
    </w:p>
    <w:p w14:paraId="33E26184" w14:textId="4E977721" w:rsidR="00170ACB" w:rsidRPr="0000230A" w:rsidRDefault="00170ACB"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These insights provide the contextual foundation for the next chapter, which details the methodological approach used to collect, </w:t>
      </w:r>
      <w:r w:rsidR="00684878" w:rsidRPr="0000230A">
        <w:rPr>
          <w:rFonts w:ascii="Arial" w:hAnsi="Arial" w:cs="Arial"/>
          <w:color w:val="000000"/>
          <w:sz w:val="22"/>
          <w:szCs w:val="22"/>
        </w:rPr>
        <w:t>analyse,</w:t>
      </w:r>
      <w:r w:rsidRPr="0000230A">
        <w:rPr>
          <w:rFonts w:ascii="Arial" w:hAnsi="Arial" w:cs="Arial"/>
          <w:color w:val="000000"/>
          <w:sz w:val="22"/>
          <w:szCs w:val="22"/>
        </w:rPr>
        <w:t xml:space="preserve"> and interpret the evidence informing this study’s aims and objectives.</w:t>
      </w:r>
    </w:p>
    <w:p w14:paraId="490EF744" w14:textId="5E30B9B4" w:rsidR="00BF3042" w:rsidRPr="0000230A" w:rsidRDefault="00BF3042" w:rsidP="0000230A">
      <w:pPr>
        <w:pStyle w:val="NormalWeb"/>
        <w:spacing w:line="360" w:lineRule="auto"/>
        <w:rPr>
          <w:rFonts w:ascii="Arial" w:hAnsi="Arial" w:cs="Arial"/>
          <w:color w:val="000000" w:themeColor="text1"/>
          <w:sz w:val="22"/>
          <w:szCs w:val="22"/>
        </w:rPr>
      </w:pPr>
    </w:p>
    <w:p w14:paraId="0E510B9B" w14:textId="5636EB49" w:rsidR="00BF3042" w:rsidRPr="0000230A" w:rsidRDefault="00BF3042" w:rsidP="0000230A">
      <w:pPr>
        <w:pStyle w:val="NormalWeb"/>
        <w:spacing w:line="360" w:lineRule="auto"/>
        <w:rPr>
          <w:rFonts w:ascii="Arial" w:hAnsi="Arial" w:cs="Arial"/>
          <w:color w:val="000000" w:themeColor="text1"/>
          <w:sz w:val="22"/>
          <w:szCs w:val="22"/>
        </w:rPr>
      </w:pPr>
    </w:p>
    <w:p w14:paraId="13ED2F48" w14:textId="0D3B95E1" w:rsidR="00BF3042" w:rsidRPr="0000230A" w:rsidRDefault="00BF3042" w:rsidP="0000230A">
      <w:pPr>
        <w:pStyle w:val="NormalWeb"/>
        <w:spacing w:line="360" w:lineRule="auto"/>
        <w:rPr>
          <w:rFonts w:ascii="Arial" w:hAnsi="Arial" w:cs="Arial"/>
          <w:color w:val="000000" w:themeColor="text1"/>
          <w:sz w:val="22"/>
          <w:szCs w:val="22"/>
        </w:rPr>
      </w:pPr>
    </w:p>
    <w:p w14:paraId="4F7F64D5" w14:textId="77777777" w:rsidR="00BF3042" w:rsidRPr="0000230A" w:rsidRDefault="00BF3042" w:rsidP="0000230A">
      <w:pPr>
        <w:pStyle w:val="NormalWeb"/>
        <w:spacing w:line="360" w:lineRule="auto"/>
        <w:rPr>
          <w:rFonts w:ascii="Arial" w:hAnsi="Arial" w:cs="Arial"/>
          <w:color w:val="000000" w:themeColor="text1"/>
          <w:sz w:val="22"/>
          <w:szCs w:val="22"/>
        </w:rPr>
      </w:pPr>
    </w:p>
    <w:p w14:paraId="7DFF2F1A" w14:textId="12305CEB" w:rsidR="00935115" w:rsidRPr="0000230A" w:rsidRDefault="00935115" w:rsidP="0000230A">
      <w:pPr>
        <w:pStyle w:val="Heading1"/>
        <w:spacing w:line="360" w:lineRule="auto"/>
        <w:rPr>
          <w:rFonts w:cs="Arial"/>
          <w:szCs w:val="22"/>
        </w:rPr>
      </w:pPr>
      <w:bookmarkStart w:id="25" w:name="_Toc215043368"/>
      <w:r w:rsidRPr="0000230A">
        <w:rPr>
          <w:rFonts w:cs="Arial"/>
          <w:szCs w:val="22"/>
        </w:rPr>
        <w:lastRenderedPageBreak/>
        <w:t>Chapter 3</w:t>
      </w:r>
      <w:r w:rsidR="00F87C0C" w:rsidRPr="0000230A">
        <w:rPr>
          <w:rFonts w:cs="Arial"/>
          <w:szCs w:val="22"/>
        </w:rPr>
        <w:t xml:space="preserve">: </w:t>
      </w:r>
      <w:r w:rsidRPr="0000230A">
        <w:rPr>
          <w:rFonts w:cs="Arial"/>
          <w:szCs w:val="22"/>
        </w:rPr>
        <w:t>Methods</w:t>
      </w:r>
      <w:bookmarkEnd w:id="25"/>
      <w:r w:rsidRPr="0000230A">
        <w:rPr>
          <w:rFonts w:cs="Arial"/>
          <w:szCs w:val="22"/>
        </w:rPr>
        <w:t xml:space="preserve"> </w:t>
      </w:r>
    </w:p>
    <w:p w14:paraId="018DBB08" w14:textId="77777777" w:rsidR="00825E43" w:rsidRPr="0000230A" w:rsidRDefault="00825E43" w:rsidP="0000230A">
      <w:pPr>
        <w:pStyle w:val="Heading2"/>
        <w:spacing w:line="360" w:lineRule="auto"/>
        <w:rPr>
          <w:rFonts w:cs="Arial"/>
          <w:szCs w:val="22"/>
        </w:rPr>
      </w:pPr>
      <w:bookmarkStart w:id="26" w:name="_Toc215043369"/>
      <w:r w:rsidRPr="0000230A">
        <w:rPr>
          <w:rStyle w:val="Strong"/>
          <w:rFonts w:cs="Arial"/>
          <w:b w:val="0"/>
          <w:bCs/>
          <w:szCs w:val="22"/>
        </w:rPr>
        <w:t>3.1 Introduction</w:t>
      </w:r>
      <w:bookmarkEnd w:id="26"/>
    </w:p>
    <w:p w14:paraId="371DE2C1"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This chapter outlines the methodological approach used to explore the relationship between low-income status, substance misuse, and untreated mental health disorders in England. It expands on the Academic Methodology Poster (see Appendix D), demonstrating how each stage of the research process was carried out systematically and transparently.</w:t>
      </w:r>
    </w:p>
    <w:p w14:paraId="1090E3B4"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Accordingly, the search strategy and analytic framework were designed to identify evidence of correlation between low-income status and substance misuse, as well as how this relationship intersects with untreated mental health disorders in England.</w:t>
      </w:r>
    </w:p>
    <w:p w14:paraId="217C1ED9"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A desk-based, literature-based methodology was adopted, drawing exclusively on secondary data. This approach enabled synthesis of existing knowledge on the social, psychological, and structural factors connecting poverty, addiction, and mental health. Literature-based research is well suited to topics where extensive evidence already exists and where primary data collection is constrained by practical or ethical barriers (Aveyard, 2023).</w:t>
      </w:r>
    </w:p>
    <w:p w14:paraId="31B835FC"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The remainder of this chapter summarises how sources were searched, selected, and analysed thematically.</w:t>
      </w:r>
    </w:p>
    <w:p w14:paraId="02FBE582" w14:textId="6DF94120" w:rsidR="00825E43" w:rsidRPr="0000230A" w:rsidRDefault="00825E43" w:rsidP="0000230A">
      <w:pPr>
        <w:spacing w:line="360" w:lineRule="auto"/>
        <w:rPr>
          <w:rFonts w:ascii="Arial" w:hAnsi="Arial" w:cs="Arial"/>
          <w:sz w:val="22"/>
          <w:szCs w:val="22"/>
        </w:rPr>
      </w:pPr>
    </w:p>
    <w:p w14:paraId="14A0615B" w14:textId="77777777" w:rsidR="00825E43" w:rsidRPr="0000230A" w:rsidRDefault="00825E43" w:rsidP="0000230A">
      <w:pPr>
        <w:pStyle w:val="Heading2"/>
        <w:spacing w:line="360" w:lineRule="auto"/>
        <w:rPr>
          <w:rFonts w:cs="Arial"/>
          <w:szCs w:val="22"/>
        </w:rPr>
      </w:pPr>
      <w:bookmarkStart w:id="27" w:name="_Toc215043370"/>
      <w:r w:rsidRPr="0000230A">
        <w:rPr>
          <w:rStyle w:val="Strong"/>
          <w:rFonts w:cs="Arial"/>
          <w:b w:val="0"/>
          <w:bCs/>
          <w:szCs w:val="22"/>
        </w:rPr>
        <w:t>3.2 Search Strategy</w:t>
      </w:r>
      <w:bookmarkEnd w:id="27"/>
    </w:p>
    <w:p w14:paraId="67C38B38" w14:textId="77777777" w:rsidR="00825E43" w:rsidRPr="0000230A" w:rsidRDefault="00825E43"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Developing Keywords</w:t>
      </w:r>
    </w:p>
    <w:p w14:paraId="53C0C5CC" w14:textId="3EE38815"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Keywords were developed directly from the research question:</w:t>
      </w:r>
      <w:r w:rsidRPr="0000230A">
        <w:rPr>
          <w:rStyle w:val="apple-converted-space"/>
          <w:rFonts w:ascii="Arial" w:hAnsi="Arial" w:cs="Arial"/>
          <w:color w:val="000000"/>
          <w:sz w:val="22"/>
          <w:szCs w:val="22"/>
        </w:rPr>
        <w:t> </w:t>
      </w:r>
      <w:r w:rsidRPr="0000230A">
        <w:rPr>
          <w:rStyle w:val="Emphasis"/>
          <w:rFonts w:ascii="Arial" w:hAnsi="Arial" w:cs="Arial"/>
          <w:i w:val="0"/>
          <w:iCs w:val="0"/>
          <w:color w:val="000000"/>
          <w:sz w:val="22"/>
          <w:szCs w:val="22"/>
        </w:rPr>
        <w:t xml:space="preserve">low income, substance misuse, mental health, </w:t>
      </w:r>
      <w:r w:rsidR="00C005CE" w:rsidRPr="0000230A">
        <w:rPr>
          <w:rStyle w:val="Emphasis"/>
          <w:rFonts w:ascii="Arial" w:hAnsi="Arial" w:cs="Arial"/>
          <w:i w:val="0"/>
          <w:iCs w:val="0"/>
          <w:color w:val="000000"/>
          <w:sz w:val="22"/>
          <w:szCs w:val="22"/>
        </w:rPr>
        <w:t>England</w:t>
      </w:r>
      <w:r w:rsidR="00C005CE" w:rsidRPr="0000230A">
        <w:rPr>
          <w:rStyle w:val="Emphasis"/>
          <w:rFonts w:ascii="Arial" w:hAnsi="Arial" w:cs="Arial"/>
          <w:color w:val="000000"/>
          <w:sz w:val="22"/>
          <w:szCs w:val="22"/>
        </w:rPr>
        <w:t>,</w:t>
      </w:r>
      <w:r w:rsidR="00C005CE" w:rsidRPr="0000230A">
        <w:rPr>
          <w:rFonts w:ascii="Arial" w:hAnsi="Arial" w:cs="Arial"/>
          <w:color w:val="000000"/>
          <w:sz w:val="22"/>
          <w:szCs w:val="22"/>
        </w:rPr>
        <w:t xml:space="preserve"> and</w:t>
      </w:r>
      <w:r w:rsidRPr="0000230A">
        <w:rPr>
          <w:rStyle w:val="apple-converted-space"/>
          <w:rFonts w:ascii="Arial" w:hAnsi="Arial" w:cs="Arial"/>
          <w:i/>
          <w:iCs/>
          <w:color w:val="000000"/>
          <w:sz w:val="22"/>
          <w:szCs w:val="22"/>
        </w:rPr>
        <w:t> </w:t>
      </w:r>
      <w:r w:rsidRPr="0000230A">
        <w:rPr>
          <w:rStyle w:val="Emphasis"/>
          <w:rFonts w:ascii="Arial" w:hAnsi="Arial" w:cs="Arial"/>
          <w:i w:val="0"/>
          <w:iCs w:val="0"/>
          <w:color w:val="000000"/>
          <w:sz w:val="22"/>
          <w:szCs w:val="22"/>
        </w:rPr>
        <w:t>health inequalities</w:t>
      </w:r>
      <w:r w:rsidRPr="0000230A">
        <w:rPr>
          <w:rFonts w:ascii="Arial" w:hAnsi="Arial" w:cs="Arial"/>
          <w:i/>
          <w:iCs/>
          <w:color w:val="000000"/>
          <w:sz w:val="22"/>
          <w:szCs w:val="22"/>
        </w:rPr>
        <w:t>.</w:t>
      </w:r>
      <w:r w:rsidRPr="0000230A">
        <w:rPr>
          <w:rFonts w:ascii="Arial" w:hAnsi="Arial" w:cs="Arial"/>
          <w:color w:val="000000"/>
          <w:sz w:val="22"/>
          <w:szCs w:val="22"/>
        </w:rPr>
        <w:t xml:space="preserve"> Synonyms such as</w:t>
      </w:r>
      <w:r w:rsidRPr="0000230A">
        <w:rPr>
          <w:rStyle w:val="apple-converted-space"/>
          <w:rFonts w:ascii="Arial" w:hAnsi="Arial" w:cs="Arial"/>
          <w:color w:val="000000"/>
          <w:sz w:val="22"/>
          <w:szCs w:val="22"/>
        </w:rPr>
        <w:t> </w:t>
      </w:r>
      <w:r w:rsidRPr="0000230A">
        <w:rPr>
          <w:rStyle w:val="Emphasis"/>
          <w:rFonts w:ascii="Arial" w:hAnsi="Arial" w:cs="Arial"/>
          <w:i w:val="0"/>
          <w:iCs w:val="0"/>
          <w:color w:val="000000"/>
          <w:sz w:val="22"/>
          <w:szCs w:val="22"/>
        </w:rPr>
        <w:t>drug use, socioeconomic deprivation, dual diagnosis,</w:t>
      </w:r>
      <w:r w:rsidRPr="0000230A">
        <w:rPr>
          <w:rStyle w:val="apple-converted-space"/>
          <w:rFonts w:ascii="Arial" w:hAnsi="Arial" w:cs="Arial"/>
          <w:i/>
          <w:iCs/>
          <w:color w:val="000000"/>
          <w:sz w:val="22"/>
          <w:szCs w:val="22"/>
        </w:rPr>
        <w:t> </w:t>
      </w:r>
      <w:r w:rsidRPr="0000230A">
        <w:rPr>
          <w:rFonts w:ascii="Arial" w:hAnsi="Arial" w:cs="Arial"/>
          <w:color w:val="000000"/>
          <w:sz w:val="22"/>
          <w:szCs w:val="22"/>
        </w:rPr>
        <w:t>and</w:t>
      </w:r>
      <w:r w:rsidRPr="0000230A">
        <w:rPr>
          <w:rStyle w:val="apple-converted-space"/>
          <w:rFonts w:ascii="Arial" w:hAnsi="Arial" w:cs="Arial"/>
          <w:color w:val="000000"/>
          <w:sz w:val="22"/>
          <w:szCs w:val="22"/>
        </w:rPr>
        <w:t> </w:t>
      </w:r>
      <w:r w:rsidRPr="0000230A">
        <w:rPr>
          <w:rStyle w:val="Emphasis"/>
          <w:rFonts w:ascii="Arial" w:hAnsi="Arial" w:cs="Arial"/>
          <w:i w:val="0"/>
          <w:iCs w:val="0"/>
          <w:color w:val="000000"/>
          <w:sz w:val="22"/>
          <w:szCs w:val="22"/>
        </w:rPr>
        <w:t>psychological distress</w:t>
      </w:r>
      <w:r w:rsidRPr="0000230A">
        <w:rPr>
          <w:rStyle w:val="apple-converted-space"/>
          <w:rFonts w:ascii="Arial" w:hAnsi="Arial" w:cs="Arial"/>
          <w:i/>
          <w:iCs/>
          <w:color w:val="000000"/>
          <w:sz w:val="22"/>
          <w:szCs w:val="22"/>
        </w:rPr>
        <w:t> </w:t>
      </w:r>
      <w:r w:rsidRPr="0000230A">
        <w:rPr>
          <w:rFonts w:ascii="Arial" w:hAnsi="Arial" w:cs="Arial"/>
          <w:color w:val="000000"/>
          <w:sz w:val="22"/>
          <w:szCs w:val="22"/>
        </w:rPr>
        <w:t xml:space="preserve">broadened the search. The full list is provided in Appendix </w:t>
      </w:r>
      <w:r w:rsidR="00C005CE" w:rsidRPr="0000230A">
        <w:rPr>
          <w:rFonts w:ascii="Arial" w:hAnsi="Arial" w:cs="Arial"/>
          <w:color w:val="000000"/>
          <w:sz w:val="22"/>
          <w:szCs w:val="22"/>
        </w:rPr>
        <w:t>B</w:t>
      </w:r>
      <w:r w:rsidRPr="0000230A">
        <w:rPr>
          <w:rFonts w:ascii="Arial" w:hAnsi="Arial" w:cs="Arial"/>
          <w:color w:val="000000"/>
          <w:sz w:val="22"/>
          <w:szCs w:val="22"/>
        </w:rPr>
        <w:t>.</w:t>
      </w:r>
    </w:p>
    <w:p w14:paraId="257116E0" w14:textId="77777777" w:rsidR="00825E43" w:rsidRPr="0000230A" w:rsidRDefault="00825E43" w:rsidP="0000230A">
      <w:pPr>
        <w:spacing w:line="360" w:lineRule="auto"/>
        <w:rPr>
          <w:rFonts w:ascii="Arial" w:hAnsi="Arial" w:cs="Arial"/>
          <w:b/>
          <w:bCs/>
          <w:sz w:val="22"/>
          <w:szCs w:val="22"/>
        </w:rPr>
      </w:pPr>
      <w:r w:rsidRPr="0000230A">
        <w:rPr>
          <w:rStyle w:val="Strong"/>
          <w:rFonts w:ascii="Arial" w:hAnsi="Arial" w:cs="Arial"/>
          <w:b w:val="0"/>
          <w:bCs w:val="0"/>
          <w:color w:val="000000"/>
          <w:sz w:val="22"/>
          <w:szCs w:val="22"/>
        </w:rPr>
        <w:t>Boolean Operators</w:t>
      </w:r>
    </w:p>
    <w:p w14:paraId="7E875B33"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Boolean operators structured the search:</w:t>
      </w:r>
    </w:p>
    <w:p w14:paraId="29C2ACD7" w14:textId="77777777" w:rsidR="00825E43" w:rsidRPr="0000230A" w:rsidRDefault="00825E43" w:rsidP="0000230A">
      <w:pPr>
        <w:pStyle w:val="NormalWeb"/>
        <w:numPr>
          <w:ilvl w:val="0"/>
          <w:numId w:val="33"/>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AND</w:t>
      </w:r>
      <w:r w:rsidRPr="0000230A">
        <w:rPr>
          <w:rStyle w:val="apple-converted-space"/>
          <w:rFonts w:ascii="Arial" w:hAnsi="Arial" w:cs="Arial"/>
          <w:b/>
          <w:bCs/>
          <w:color w:val="000000"/>
          <w:sz w:val="22"/>
          <w:szCs w:val="22"/>
        </w:rPr>
        <w:t> </w:t>
      </w:r>
      <w:r w:rsidRPr="0000230A">
        <w:rPr>
          <w:rFonts w:ascii="Arial" w:hAnsi="Arial" w:cs="Arial"/>
          <w:color w:val="000000"/>
          <w:sz w:val="22"/>
          <w:szCs w:val="22"/>
        </w:rPr>
        <w:t>to connect core concepts</w:t>
      </w:r>
    </w:p>
    <w:p w14:paraId="2C6D6A94" w14:textId="77777777" w:rsidR="00825E43" w:rsidRPr="0000230A" w:rsidRDefault="00825E43" w:rsidP="0000230A">
      <w:pPr>
        <w:pStyle w:val="NormalWeb"/>
        <w:numPr>
          <w:ilvl w:val="0"/>
          <w:numId w:val="33"/>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OR</w:t>
      </w:r>
      <w:r w:rsidRPr="0000230A">
        <w:rPr>
          <w:rStyle w:val="apple-converted-space"/>
          <w:rFonts w:ascii="Arial" w:hAnsi="Arial" w:cs="Arial"/>
          <w:color w:val="000000"/>
          <w:sz w:val="22"/>
          <w:szCs w:val="22"/>
        </w:rPr>
        <w:t> </w:t>
      </w:r>
      <w:r w:rsidRPr="0000230A">
        <w:rPr>
          <w:rFonts w:ascii="Arial" w:hAnsi="Arial" w:cs="Arial"/>
          <w:color w:val="000000"/>
          <w:sz w:val="22"/>
          <w:szCs w:val="22"/>
        </w:rPr>
        <w:t>for synonyms</w:t>
      </w:r>
    </w:p>
    <w:p w14:paraId="7C9E8BA0" w14:textId="77777777" w:rsidR="00825E43" w:rsidRPr="0000230A" w:rsidRDefault="00825E43" w:rsidP="0000230A">
      <w:pPr>
        <w:pStyle w:val="NormalWeb"/>
        <w:numPr>
          <w:ilvl w:val="0"/>
          <w:numId w:val="33"/>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NOT</w:t>
      </w:r>
      <w:r w:rsidRPr="0000230A">
        <w:rPr>
          <w:rStyle w:val="apple-converted-space"/>
          <w:rFonts w:ascii="Arial" w:hAnsi="Arial" w:cs="Arial"/>
          <w:color w:val="000000"/>
          <w:sz w:val="22"/>
          <w:szCs w:val="22"/>
        </w:rPr>
        <w:t> </w:t>
      </w:r>
      <w:r w:rsidRPr="0000230A">
        <w:rPr>
          <w:rFonts w:ascii="Arial" w:hAnsi="Arial" w:cs="Arial"/>
          <w:color w:val="000000"/>
          <w:sz w:val="22"/>
          <w:szCs w:val="22"/>
        </w:rPr>
        <w:t>to exclude irrelevant material</w:t>
      </w:r>
    </w:p>
    <w:p w14:paraId="695F6D7D" w14:textId="77777777" w:rsidR="00825E43" w:rsidRPr="0000230A" w:rsidRDefault="00825E43"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lastRenderedPageBreak/>
        <w:t>Structured Search Plan</w:t>
      </w:r>
    </w:p>
    <w:p w14:paraId="0CF831B3" w14:textId="7E34DA51"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A search log (Appendix </w:t>
      </w:r>
      <w:r w:rsidR="00C005CE" w:rsidRPr="0000230A">
        <w:rPr>
          <w:rFonts w:ascii="Arial" w:hAnsi="Arial" w:cs="Arial"/>
          <w:color w:val="000000"/>
          <w:sz w:val="22"/>
          <w:szCs w:val="22"/>
        </w:rPr>
        <w:t>B</w:t>
      </w:r>
      <w:r w:rsidRPr="0000230A">
        <w:rPr>
          <w:rFonts w:ascii="Arial" w:hAnsi="Arial" w:cs="Arial"/>
          <w:color w:val="000000"/>
          <w:sz w:val="22"/>
          <w:szCs w:val="22"/>
        </w:rPr>
        <w:t>) recorded terms, databases, filters, and initial results, allowing iterative refinement in line with best-practice guidance (Aveyard, 2023).</w:t>
      </w:r>
    </w:p>
    <w:p w14:paraId="289758F9" w14:textId="45BC9051" w:rsidR="00825E43" w:rsidRPr="0000230A" w:rsidRDefault="00825E43" w:rsidP="0000230A">
      <w:pPr>
        <w:spacing w:line="360" w:lineRule="auto"/>
        <w:rPr>
          <w:rFonts w:ascii="Arial" w:hAnsi="Arial" w:cs="Arial"/>
          <w:sz w:val="22"/>
          <w:szCs w:val="22"/>
        </w:rPr>
      </w:pPr>
    </w:p>
    <w:p w14:paraId="513D2418" w14:textId="77777777" w:rsidR="00825E43" w:rsidRPr="0000230A" w:rsidRDefault="00825E43" w:rsidP="0000230A">
      <w:pPr>
        <w:pStyle w:val="Heading2"/>
        <w:spacing w:line="360" w:lineRule="auto"/>
        <w:rPr>
          <w:rFonts w:cs="Arial"/>
          <w:szCs w:val="22"/>
        </w:rPr>
      </w:pPr>
      <w:bookmarkStart w:id="28" w:name="_Toc215043371"/>
      <w:r w:rsidRPr="0000230A">
        <w:rPr>
          <w:rStyle w:val="Strong"/>
          <w:rFonts w:cs="Arial"/>
          <w:b w:val="0"/>
          <w:bCs/>
          <w:szCs w:val="22"/>
        </w:rPr>
        <w:t>3.3 Searching for Information</w:t>
      </w:r>
      <w:bookmarkEnd w:id="28"/>
    </w:p>
    <w:p w14:paraId="319E8C2E" w14:textId="532F1A34" w:rsidR="00825E43" w:rsidRPr="0000230A" w:rsidRDefault="00825E43" w:rsidP="0000230A">
      <w:pPr>
        <w:spacing w:line="360" w:lineRule="auto"/>
        <w:rPr>
          <w:rStyle w:val="Strong"/>
          <w:rFonts w:ascii="Arial" w:hAnsi="Arial" w:cs="Arial"/>
          <w:b w:val="0"/>
          <w:bCs w:val="0"/>
          <w:color w:val="000000"/>
          <w:sz w:val="22"/>
          <w:szCs w:val="22"/>
        </w:rPr>
      </w:pPr>
      <w:r w:rsidRPr="0000230A">
        <w:rPr>
          <w:rStyle w:val="Strong"/>
          <w:rFonts w:ascii="Arial" w:hAnsi="Arial" w:cs="Arial"/>
          <w:b w:val="0"/>
          <w:bCs w:val="0"/>
          <w:color w:val="000000"/>
          <w:sz w:val="22"/>
          <w:szCs w:val="22"/>
        </w:rPr>
        <w:t>Databases and Platforms</w:t>
      </w:r>
    </w:p>
    <w:p w14:paraId="510D22B8" w14:textId="77777777" w:rsidR="00C005CE" w:rsidRPr="0000230A" w:rsidRDefault="00C005CE" w:rsidP="0000230A">
      <w:pPr>
        <w:spacing w:line="360" w:lineRule="auto"/>
        <w:rPr>
          <w:rFonts w:ascii="Arial" w:hAnsi="Arial" w:cs="Arial"/>
          <w:sz w:val="22"/>
          <w:szCs w:val="22"/>
        </w:rPr>
      </w:pPr>
    </w:p>
    <w:p w14:paraId="2A7483EC" w14:textId="77777777" w:rsidR="00825E43" w:rsidRPr="0000230A" w:rsidRDefault="00825E43" w:rsidP="0000230A">
      <w:pPr>
        <w:spacing w:line="360" w:lineRule="auto"/>
        <w:rPr>
          <w:rFonts w:ascii="Arial" w:hAnsi="Arial" w:cs="Arial"/>
          <w:sz w:val="22"/>
          <w:szCs w:val="22"/>
        </w:rPr>
      </w:pPr>
      <w:r w:rsidRPr="0000230A">
        <w:rPr>
          <w:rFonts w:ascii="Arial" w:hAnsi="Arial" w:cs="Arial"/>
          <w:sz w:val="22"/>
          <w:szCs w:val="22"/>
        </w:rPr>
        <w:t>A targeted selection of databases was used:</w:t>
      </w:r>
    </w:p>
    <w:p w14:paraId="52F5CBF3" w14:textId="36DE4C8D" w:rsidR="00825E43" w:rsidRPr="0000230A" w:rsidRDefault="00825E43" w:rsidP="0000230A">
      <w:pPr>
        <w:pStyle w:val="NormalWeb"/>
        <w:numPr>
          <w:ilvl w:val="0"/>
          <w:numId w:val="34"/>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PubMed</w:t>
      </w:r>
      <w:r w:rsidRPr="0000230A">
        <w:rPr>
          <w:rStyle w:val="apple-converted-space"/>
          <w:rFonts w:ascii="Arial" w:hAnsi="Arial" w:cs="Arial"/>
          <w:b/>
          <w:bCs/>
          <w:color w:val="000000"/>
          <w:sz w:val="22"/>
          <w:szCs w:val="22"/>
        </w:rPr>
        <w:t> </w:t>
      </w:r>
      <w:r w:rsidR="00C005CE" w:rsidRPr="0000230A">
        <w:rPr>
          <w:rFonts w:ascii="Arial" w:hAnsi="Arial" w:cs="Arial"/>
          <w:color w:val="000000"/>
          <w:sz w:val="22"/>
          <w:szCs w:val="22"/>
        </w:rPr>
        <w:t>-</w:t>
      </w:r>
      <w:r w:rsidRPr="0000230A">
        <w:rPr>
          <w:rFonts w:ascii="Arial" w:hAnsi="Arial" w:cs="Arial"/>
          <w:color w:val="000000"/>
          <w:sz w:val="22"/>
          <w:szCs w:val="22"/>
        </w:rPr>
        <w:t xml:space="preserve"> biomedical and mental health research</w:t>
      </w:r>
    </w:p>
    <w:p w14:paraId="3A9E139A" w14:textId="66130C38" w:rsidR="00825E43" w:rsidRPr="0000230A" w:rsidRDefault="00825E43" w:rsidP="0000230A">
      <w:pPr>
        <w:pStyle w:val="NormalWeb"/>
        <w:numPr>
          <w:ilvl w:val="0"/>
          <w:numId w:val="34"/>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Scopus / Web of Science</w:t>
      </w:r>
      <w:r w:rsidRPr="0000230A">
        <w:rPr>
          <w:rStyle w:val="apple-converted-space"/>
          <w:rFonts w:ascii="Arial" w:hAnsi="Arial" w:cs="Arial"/>
          <w:color w:val="000000"/>
          <w:sz w:val="22"/>
          <w:szCs w:val="22"/>
        </w:rPr>
        <w:t> </w:t>
      </w:r>
      <w:r w:rsidR="00C005CE" w:rsidRPr="0000230A">
        <w:rPr>
          <w:rFonts w:ascii="Arial" w:hAnsi="Arial" w:cs="Arial"/>
          <w:color w:val="000000"/>
          <w:sz w:val="22"/>
          <w:szCs w:val="22"/>
        </w:rPr>
        <w:t>-</w:t>
      </w:r>
      <w:r w:rsidRPr="0000230A">
        <w:rPr>
          <w:rFonts w:ascii="Arial" w:hAnsi="Arial" w:cs="Arial"/>
          <w:color w:val="000000"/>
          <w:sz w:val="22"/>
          <w:szCs w:val="22"/>
        </w:rPr>
        <w:t xml:space="preserve"> multidisciplinary, high-quality studies</w:t>
      </w:r>
    </w:p>
    <w:p w14:paraId="5D62CB1E" w14:textId="53088C6F" w:rsidR="00825E43" w:rsidRPr="0000230A" w:rsidRDefault="00825E43" w:rsidP="0000230A">
      <w:pPr>
        <w:pStyle w:val="NormalWeb"/>
        <w:numPr>
          <w:ilvl w:val="0"/>
          <w:numId w:val="34"/>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EBSCOhost / ProQuest</w:t>
      </w:r>
      <w:r w:rsidRPr="0000230A">
        <w:rPr>
          <w:rStyle w:val="apple-converted-space"/>
          <w:rFonts w:ascii="Arial" w:hAnsi="Arial" w:cs="Arial"/>
          <w:color w:val="000000"/>
          <w:sz w:val="22"/>
          <w:szCs w:val="22"/>
        </w:rPr>
        <w:t> </w:t>
      </w:r>
      <w:r w:rsidR="00C005CE" w:rsidRPr="0000230A">
        <w:rPr>
          <w:rFonts w:ascii="Arial" w:hAnsi="Arial" w:cs="Arial"/>
          <w:color w:val="000000"/>
          <w:sz w:val="22"/>
          <w:szCs w:val="22"/>
        </w:rPr>
        <w:t xml:space="preserve">- </w:t>
      </w:r>
      <w:r w:rsidRPr="0000230A">
        <w:rPr>
          <w:rFonts w:ascii="Arial" w:hAnsi="Arial" w:cs="Arial"/>
          <w:color w:val="000000"/>
          <w:sz w:val="22"/>
          <w:szCs w:val="22"/>
        </w:rPr>
        <w:t>social policy and public health literature</w:t>
      </w:r>
    </w:p>
    <w:p w14:paraId="32172560" w14:textId="4CF21605" w:rsidR="00825E43" w:rsidRPr="0000230A" w:rsidRDefault="00825E43" w:rsidP="0000230A">
      <w:pPr>
        <w:pStyle w:val="NormalWeb"/>
        <w:numPr>
          <w:ilvl w:val="0"/>
          <w:numId w:val="34"/>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Google Scholar</w:t>
      </w:r>
      <w:r w:rsidRPr="0000230A">
        <w:rPr>
          <w:rStyle w:val="apple-converted-space"/>
          <w:rFonts w:ascii="Arial" w:hAnsi="Arial" w:cs="Arial"/>
          <w:color w:val="000000"/>
          <w:sz w:val="22"/>
          <w:szCs w:val="22"/>
        </w:rPr>
        <w:t> </w:t>
      </w:r>
      <w:r w:rsidR="00C005CE" w:rsidRPr="0000230A">
        <w:rPr>
          <w:rFonts w:ascii="Arial" w:hAnsi="Arial" w:cs="Arial"/>
          <w:color w:val="000000"/>
          <w:sz w:val="22"/>
          <w:szCs w:val="22"/>
        </w:rPr>
        <w:t>-</w:t>
      </w:r>
      <w:r w:rsidRPr="0000230A">
        <w:rPr>
          <w:rFonts w:ascii="Arial" w:hAnsi="Arial" w:cs="Arial"/>
          <w:color w:val="000000"/>
          <w:sz w:val="22"/>
          <w:szCs w:val="22"/>
        </w:rPr>
        <w:t xml:space="preserve"> grey literature and supplementary searches</w:t>
      </w:r>
    </w:p>
    <w:p w14:paraId="3D01A7CC" w14:textId="0F520CB3" w:rsidR="00825E43" w:rsidRPr="0000230A" w:rsidRDefault="00825E43" w:rsidP="0000230A">
      <w:pPr>
        <w:pStyle w:val="NormalWeb"/>
        <w:numPr>
          <w:ilvl w:val="0"/>
          <w:numId w:val="34"/>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UWTSD Library Database</w:t>
      </w:r>
      <w:r w:rsidRPr="0000230A">
        <w:rPr>
          <w:rStyle w:val="apple-converted-space"/>
          <w:rFonts w:ascii="Arial" w:hAnsi="Arial" w:cs="Arial"/>
          <w:color w:val="000000"/>
          <w:sz w:val="22"/>
          <w:szCs w:val="22"/>
        </w:rPr>
        <w:t> </w:t>
      </w:r>
      <w:r w:rsidR="00684878" w:rsidRPr="0000230A">
        <w:rPr>
          <w:rFonts w:ascii="Arial" w:hAnsi="Arial" w:cs="Arial"/>
          <w:color w:val="000000"/>
          <w:sz w:val="22"/>
          <w:szCs w:val="22"/>
        </w:rPr>
        <w:t>- books</w:t>
      </w:r>
      <w:r w:rsidRPr="0000230A">
        <w:rPr>
          <w:rFonts w:ascii="Arial" w:hAnsi="Arial" w:cs="Arial"/>
          <w:color w:val="000000"/>
          <w:sz w:val="22"/>
          <w:szCs w:val="22"/>
        </w:rPr>
        <w:t xml:space="preserve"> and peer-reviewed journals</w:t>
      </w:r>
    </w:p>
    <w:p w14:paraId="038F0160"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This combination ensured adequate coverage of health, social science, and policy research.</w:t>
      </w:r>
    </w:p>
    <w:p w14:paraId="20345F33" w14:textId="77777777" w:rsidR="00825E43" w:rsidRPr="0000230A" w:rsidRDefault="00825E43"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Filters and Limits</w:t>
      </w:r>
    </w:p>
    <w:p w14:paraId="1434D829"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Filters were applied to refine relevance:</w:t>
      </w:r>
    </w:p>
    <w:p w14:paraId="4A554BF3" w14:textId="1DD9D149" w:rsidR="00825E43" w:rsidRPr="0000230A" w:rsidRDefault="00825E43" w:rsidP="0000230A">
      <w:pPr>
        <w:pStyle w:val="NormalWeb"/>
        <w:numPr>
          <w:ilvl w:val="0"/>
          <w:numId w:val="35"/>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Date range</w:t>
      </w:r>
      <w:r w:rsidRPr="0000230A">
        <w:rPr>
          <w:rStyle w:val="Strong"/>
          <w:rFonts w:ascii="Arial" w:hAnsi="Arial" w:cs="Arial"/>
          <w:color w:val="000000"/>
          <w:sz w:val="22"/>
          <w:szCs w:val="22"/>
        </w:rPr>
        <w:t>:</w:t>
      </w:r>
      <w:r w:rsidRPr="0000230A">
        <w:rPr>
          <w:rStyle w:val="apple-converted-space"/>
          <w:rFonts w:ascii="Arial" w:hAnsi="Arial" w:cs="Arial"/>
          <w:color w:val="000000"/>
          <w:sz w:val="22"/>
          <w:szCs w:val="22"/>
        </w:rPr>
        <w:t> </w:t>
      </w:r>
      <w:r w:rsidRPr="0000230A">
        <w:rPr>
          <w:rFonts w:ascii="Arial" w:hAnsi="Arial" w:cs="Arial"/>
          <w:color w:val="000000"/>
          <w:sz w:val="22"/>
          <w:szCs w:val="22"/>
        </w:rPr>
        <w:t>2014</w:t>
      </w:r>
      <w:r w:rsidR="00C005CE" w:rsidRPr="0000230A">
        <w:rPr>
          <w:rFonts w:ascii="Arial" w:hAnsi="Arial" w:cs="Arial"/>
          <w:color w:val="000000"/>
          <w:sz w:val="22"/>
          <w:szCs w:val="22"/>
        </w:rPr>
        <w:t xml:space="preserve"> - </w:t>
      </w:r>
      <w:r w:rsidRPr="0000230A">
        <w:rPr>
          <w:rFonts w:ascii="Arial" w:hAnsi="Arial" w:cs="Arial"/>
          <w:color w:val="000000"/>
          <w:sz w:val="22"/>
          <w:szCs w:val="22"/>
        </w:rPr>
        <w:t>2025</w:t>
      </w:r>
    </w:p>
    <w:p w14:paraId="454F85D0" w14:textId="77777777" w:rsidR="00825E43" w:rsidRPr="0000230A" w:rsidRDefault="00825E43" w:rsidP="0000230A">
      <w:pPr>
        <w:pStyle w:val="NormalWeb"/>
        <w:numPr>
          <w:ilvl w:val="0"/>
          <w:numId w:val="35"/>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Geographical focus:</w:t>
      </w:r>
      <w:r w:rsidRPr="0000230A">
        <w:rPr>
          <w:rStyle w:val="apple-converted-space"/>
          <w:rFonts w:ascii="Arial" w:hAnsi="Arial" w:cs="Arial"/>
          <w:color w:val="000000"/>
          <w:sz w:val="22"/>
          <w:szCs w:val="22"/>
        </w:rPr>
        <w:t> </w:t>
      </w:r>
      <w:r w:rsidRPr="0000230A">
        <w:rPr>
          <w:rFonts w:ascii="Arial" w:hAnsi="Arial" w:cs="Arial"/>
          <w:color w:val="000000"/>
          <w:sz w:val="22"/>
          <w:szCs w:val="22"/>
        </w:rPr>
        <w:t>England or UK with separate English data</w:t>
      </w:r>
    </w:p>
    <w:p w14:paraId="16CD62EB" w14:textId="77777777" w:rsidR="00825E43" w:rsidRPr="0000230A" w:rsidRDefault="00825E43" w:rsidP="0000230A">
      <w:pPr>
        <w:pStyle w:val="NormalWeb"/>
        <w:numPr>
          <w:ilvl w:val="0"/>
          <w:numId w:val="35"/>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Source type</w:t>
      </w:r>
      <w:r w:rsidRPr="0000230A">
        <w:rPr>
          <w:rStyle w:val="Strong"/>
          <w:rFonts w:ascii="Arial" w:hAnsi="Arial" w:cs="Arial"/>
          <w:color w:val="000000"/>
          <w:sz w:val="22"/>
          <w:szCs w:val="22"/>
        </w:rPr>
        <w:t>:</w:t>
      </w:r>
      <w:r w:rsidRPr="0000230A">
        <w:rPr>
          <w:rStyle w:val="apple-converted-space"/>
          <w:rFonts w:ascii="Arial" w:hAnsi="Arial" w:cs="Arial"/>
          <w:color w:val="000000"/>
          <w:sz w:val="22"/>
          <w:szCs w:val="22"/>
        </w:rPr>
        <w:t> </w:t>
      </w:r>
      <w:r w:rsidRPr="0000230A">
        <w:rPr>
          <w:rFonts w:ascii="Arial" w:hAnsi="Arial" w:cs="Arial"/>
          <w:color w:val="000000"/>
          <w:sz w:val="22"/>
          <w:szCs w:val="22"/>
        </w:rPr>
        <w:t>peer-reviewed studies, government reports, NGO publications</w:t>
      </w:r>
    </w:p>
    <w:p w14:paraId="6058897E" w14:textId="77777777" w:rsidR="00825E43" w:rsidRPr="0000230A" w:rsidRDefault="00825E43" w:rsidP="0000230A">
      <w:pPr>
        <w:pStyle w:val="NormalWeb"/>
        <w:numPr>
          <w:ilvl w:val="0"/>
          <w:numId w:val="35"/>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Language:</w:t>
      </w:r>
      <w:r w:rsidRPr="0000230A">
        <w:rPr>
          <w:rStyle w:val="apple-converted-space"/>
          <w:rFonts w:ascii="Arial" w:hAnsi="Arial" w:cs="Arial"/>
          <w:color w:val="000000"/>
          <w:sz w:val="22"/>
          <w:szCs w:val="22"/>
        </w:rPr>
        <w:t> </w:t>
      </w:r>
      <w:r w:rsidRPr="0000230A">
        <w:rPr>
          <w:rFonts w:ascii="Arial" w:hAnsi="Arial" w:cs="Arial"/>
          <w:color w:val="000000"/>
          <w:sz w:val="22"/>
          <w:szCs w:val="22"/>
        </w:rPr>
        <w:t>English</w:t>
      </w:r>
    </w:p>
    <w:p w14:paraId="3F9F827C" w14:textId="77777777" w:rsidR="00825E43" w:rsidRPr="0000230A" w:rsidRDefault="00825E43"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Search Process and Screening</w:t>
      </w:r>
    </w:p>
    <w:p w14:paraId="655DB579" w14:textId="168CE05A"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Over</w:t>
      </w:r>
      <w:r w:rsidRPr="0000230A">
        <w:rPr>
          <w:rStyle w:val="apple-converted-space"/>
          <w:rFonts w:ascii="Arial" w:hAnsi="Arial" w:cs="Arial"/>
          <w:color w:val="000000"/>
          <w:sz w:val="22"/>
          <w:szCs w:val="22"/>
        </w:rPr>
        <w:t> </w:t>
      </w:r>
      <w:r w:rsidRPr="0000230A">
        <w:rPr>
          <w:rStyle w:val="Strong"/>
          <w:rFonts w:ascii="Arial" w:hAnsi="Arial" w:cs="Arial"/>
          <w:b w:val="0"/>
          <w:bCs w:val="0"/>
          <w:color w:val="000000"/>
          <w:sz w:val="22"/>
          <w:szCs w:val="22"/>
        </w:rPr>
        <w:t>150 initial records</w:t>
      </w:r>
      <w:r w:rsidRPr="0000230A">
        <w:rPr>
          <w:rStyle w:val="apple-converted-space"/>
          <w:rFonts w:ascii="Arial" w:hAnsi="Arial" w:cs="Arial"/>
          <w:color w:val="000000"/>
          <w:sz w:val="22"/>
          <w:szCs w:val="22"/>
        </w:rPr>
        <w:t> </w:t>
      </w:r>
      <w:r w:rsidRPr="0000230A">
        <w:rPr>
          <w:rFonts w:ascii="Arial" w:hAnsi="Arial" w:cs="Arial"/>
          <w:color w:val="000000"/>
          <w:sz w:val="22"/>
          <w:szCs w:val="22"/>
        </w:rPr>
        <w:t>were identified. Title and abstract screening removed duplicates and non-UK studies. The final dataset consisted of</w:t>
      </w:r>
      <w:r w:rsidRPr="0000230A">
        <w:rPr>
          <w:rStyle w:val="apple-converted-space"/>
          <w:rFonts w:ascii="Arial" w:hAnsi="Arial" w:cs="Arial"/>
          <w:color w:val="000000"/>
          <w:sz w:val="22"/>
          <w:szCs w:val="22"/>
        </w:rPr>
        <w:t> </w:t>
      </w:r>
      <w:r w:rsidRPr="0000230A">
        <w:rPr>
          <w:rStyle w:val="Strong"/>
          <w:rFonts w:ascii="Arial" w:hAnsi="Arial" w:cs="Arial"/>
          <w:b w:val="0"/>
          <w:bCs w:val="0"/>
          <w:color w:val="000000"/>
          <w:sz w:val="22"/>
          <w:szCs w:val="22"/>
        </w:rPr>
        <w:t>30 high-quality sources</w:t>
      </w:r>
      <w:r w:rsidRPr="0000230A">
        <w:rPr>
          <w:rFonts w:ascii="Arial" w:hAnsi="Arial" w:cs="Arial"/>
          <w:color w:val="000000"/>
          <w:sz w:val="22"/>
          <w:szCs w:val="22"/>
        </w:rPr>
        <w:t xml:space="preserve">. A source-tracking table summarising relevance and methodological quality is provided in Appendix </w:t>
      </w:r>
      <w:r w:rsidR="00C005CE" w:rsidRPr="0000230A">
        <w:rPr>
          <w:rFonts w:ascii="Arial" w:hAnsi="Arial" w:cs="Arial"/>
          <w:color w:val="000000"/>
          <w:sz w:val="22"/>
          <w:szCs w:val="22"/>
        </w:rPr>
        <w:t>B</w:t>
      </w:r>
      <w:r w:rsidRPr="0000230A">
        <w:rPr>
          <w:rFonts w:ascii="Arial" w:hAnsi="Arial" w:cs="Arial"/>
          <w:color w:val="000000"/>
          <w:sz w:val="22"/>
          <w:szCs w:val="22"/>
        </w:rPr>
        <w:t>.</w:t>
      </w:r>
    </w:p>
    <w:p w14:paraId="5707C869" w14:textId="39D1027E" w:rsidR="00825E43" w:rsidRPr="0000230A" w:rsidRDefault="00825E43" w:rsidP="0000230A">
      <w:pPr>
        <w:spacing w:line="360" w:lineRule="auto"/>
        <w:rPr>
          <w:rFonts w:ascii="Arial" w:hAnsi="Arial" w:cs="Arial"/>
          <w:sz w:val="22"/>
          <w:szCs w:val="22"/>
        </w:rPr>
      </w:pPr>
    </w:p>
    <w:p w14:paraId="2259741E" w14:textId="5CC85C4B" w:rsidR="00C005CE" w:rsidRPr="0000230A" w:rsidRDefault="00C005CE" w:rsidP="0000230A">
      <w:pPr>
        <w:spacing w:line="360" w:lineRule="auto"/>
        <w:rPr>
          <w:rFonts w:ascii="Arial" w:hAnsi="Arial" w:cs="Arial"/>
          <w:sz w:val="22"/>
          <w:szCs w:val="22"/>
        </w:rPr>
      </w:pPr>
    </w:p>
    <w:p w14:paraId="0D898855" w14:textId="703FEB9C" w:rsidR="00C005CE" w:rsidRPr="0000230A" w:rsidRDefault="00C005CE" w:rsidP="0000230A">
      <w:pPr>
        <w:spacing w:line="360" w:lineRule="auto"/>
        <w:rPr>
          <w:rFonts w:ascii="Arial" w:hAnsi="Arial" w:cs="Arial"/>
          <w:sz w:val="22"/>
          <w:szCs w:val="22"/>
        </w:rPr>
      </w:pPr>
    </w:p>
    <w:p w14:paraId="4F13F15C" w14:textId="77777777" w:rsidR="00C005CE" w:rsidRPr="0000230A" w:rsidRDefault="00C005CE" w:rsidP="0000230A">
      <w:pPr>
        <w:spacing w:line="360" w:lineRule="auto"/>
        <w:rPr>
          <w:rFonts w:ascii="Arial" w:hAnsi="Arial" w:cs="Arial"/>
          <w:sz w:val="22"/>
          <w:szCs w:val="22"/>
        </w:rPr>
      </w:pPr>
    </w:p>
    <w:p w14:paraId="60A03BBC" w14:textId="77777777" w:rsidR="00825E43" w:rsidRPr="0000230A" w:rsidRDefault="00825E43" w:rsidP="0000230A">
      <w:pPr>
        <w:pStyle w:val="Heading2"/>
        <w:spacing w:line="360" w:lineRule="auto"/>
        <w:rPr>
          <w:rFonts w:cs="Arial"/>
          <w:szCs w:val="22"/>
        </w:rPr>
      </w:pPr>
      <w:bookmarkStart w:id="29" w:name="_Toc215043372"/>
      <w:r w:rsidRPr="0000230A">
        <w:rPr>
          <w:rStyle w:val="Strong"/>
          <w:rFonts w:cs="Arial"/>
          <w:b w:val="0"/>
          <w:bCs/>
          <w:szCs w:val="22"/>
        </w:rPr>
        <w:lastRenderedPageBreak/>
        <w:t>3.4 Research Validation</w:t>
      </w:r>
      <w:bookmarkEnd w:id="29"/>
    </w:p>
    <w:p w14:paraId="7E208218" w14:textId="77777777" w:rsidR="00825E43" w:rsidRPr="0000230A" w:rsidRDefault="00825E43"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Skimming and Source Evaluation</w:t>
      </w:r>
    </w:p>
    <w:p w14:paraId="402BDB03"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Initial screening followed Cottrell’s (2017) skimming approach, using titles, abstracts, and conclusions to determine relevance prior to full-text review.</w:t>
      </w:r>
    </w:p>
    <w:p w14:paraId="36C9AB5F" w14:textId="49020F2F" w:rsidR="00C005CE" w:rsidRPr="0000230A" w:rsidRDefault="00825E43" w:rsidP="0000230A">
      <w:p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CRAAP Test Application</w:t>
      </w:r>
    </w:p>
    <w:p w14:paraId="12C0F03C" w14:textId="77777777" w:rsidR="00825E43" w:rsidRPr="0000230A" w:rsidRDefault="00825E43" w:rsidP="0000230A">
      <w:pPr>
        <w:spacing w:line="360" w:lineRule="auto"/>
        <w:rPr>
          <w:rFonts w:ascii="Arial" w:hAnsi="Arial" w:cs="Arial"/>
          <w:sz w:val="22"/>
          <w:szCs w:val="22"/>
        </w:rPr>
      </w:pPr>
      <w:r w:rsidRPr="0000230A">
        <w:rPr>
          <w:rFonts w:ascii="Arial" w:hAnsi="Arial" w:cs="Arial"/>
          <w:sz w:val="22"/>
          <w:szCs w:val="22"/>
        </w:rPr>
        <w:t>Source quality was assessed using the CRAAP Test:</w:t>
      </w:r>
    </w:p>
    <w:p w14:paraId="0ECCFA27" w14:textId="77777777" w:rsidR="00825E43" w:rsidRPr="0000230A" w:rsidRDefault="00825E43" w:rsidP="0000230A">
      <w:pPr>
        <w:pStyle w:val="NormalWeb"/>
        <w:numPr>
          <w:ilvl w:val="0"/>
          <w:numId w:val="36"/>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Currency:</w:t>
      </w:r>
      <w:r w:rsidRPr="0000230A">
        <w:rPr>
          <w:rStyle w:val="apple-converted-space"/>
          <w:rFonts w:ascii="Arial" w:hAnsi="Arial" w:cs="Arial"/>
          <w:color w:val="000000"/>
          <w:sz w:val="22"/>
          <w:szCs w:val="22"/>
        </w:rPr>
        <w:t> </w:t>
      </w:r>
      <w:r w:rsidRPr="0000230A">
        <w:rPr>
          <w:rFonts w:ascii="Arial" w:hAnsi="Arial" w:cs="Arial"/>
          <w:color w:val="000000"/>
          <w:sz w:val="22"/>
          <w:szCs w:val="22"/>
        </w:rPr>
        <w:t>preference for recent work</w:t>
      </w:r>
    </w:p>
    <w:p w14:paraId="68A5612A" w14:textId="77777777" w:rsidR="00825E43" w:rsidRPr="0000230A" w:rsidRDefault="00825E43" w:rsidP="0000230A">
      <w:pPr>
        <w:pStyle w:val="NormalWeb"/>
        <w:numPr>
          <w:ilvl w:val="0"/>
          <w:numId w:val="36"/>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Relevance:</w:t>
      </w:r>
      <w:r w:rsidRPr="0000230A">
        <w:rPr>
          <w:rStyle w:val="apple-converted-space"/>
          <w:rFonts w:ascii="Arial" w:hAnsi="Arial" w:cs="Arial"/>
          <w:color w:val="000000"/>
          <w:sz w:val="22"/>
          <w:szCs w:val="22"/>
        </w:rPr>
        <w:t> </w:t>
      </w:r>
      <w:r w:rsidRPr="0000230A">
        <w:rPr>
          <w:rFonts w:ascii="Arial" w:hAnsi="Arial" w:cs="Arial"/>
          <w:color w:val="000000"/>
          <w:sz w:val="22"/>
          <w:szCs w:val="22"/>
        </w:rPr>
        <w:t>direct applicability to England and low-income contexts</w:t>
      </w:r>
    </w:p>
    <w:p w14:paraId="2B8D6E89" w14:textId="77777777" w:rsidR="00825E43" w:rsidRPr="0000230A" w:rsidRDefault="00825E43" w:rsidP="0000230A">
      <w:pPr>
        <w:pStyle w:val="NormalWeb"/>
        <w:numPr>
          <w:ilvl w:val="0"/>
          <w:numId w:val="36"/>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Authority:</w:t>
      </w:r>
      <w:r w:rsidRPr="0000230A">
        <w:rPr>
          <w:rStyle w:val="apple-converted-space"/>
          <w:rFonts w:ascii="Arial" w:hAnsi="Arial" w:cs="Arial"/>
          <w:color w:val="000000"/>
          <w:sz w:val="22"/>
          <w:szCs w:val="22"/>
        </w:rPr>
        <w:t> </w:t>
      </w:r>
      <w:r w:rsidRPr="0000230A">
        <w:rPr>
          <w:rFonts w:ascii="Arial" w:hAnsi="Arial" w:cs="Arial"/>
          <w:color w:val="000000"/>
          <w:sz w:val="22"/>
          <w:szCs w:val="22"/>
        </w:rPr>
        <w:t>credible institutional or peer-reviewed sources</w:t>
      </w:r>
    </w:p>
    <w:p w14:paraId="6BD65549" w14:textId="77777777" w:rsidR="00825E43" w:rsidRPr="0000230A" w:rsidRDefault="00825E43" w:rsidP="0000230A">
      <w:pPr>
        <w:pStyle w:val="NormalWeb"/>
        <w:numPr>
          <w:ilvl w:val="0"/>
          <w:numId w:val="36"/>
        </w:numPr>
        <w:spacing w:line="360" w:lineRule="auto"/>
        <w:rPr>
          <w:rFonts w:ascii="Arial" w:hAnsi="Arial" w:cs="Arial"/>
          <w:color w:val="000000"/>
          <w:sz w:val="22"/>
          <w:szCs w:val="22"/>
        </w:rPr>
      </w:pPr>
      <w:r w:rsidRPr="0000230A">
        <w:rPr>
          <w:rStyle w:val="Strong"/>
          <w:rFonts w:ascii="Arial" w:hAnsi="Arial" w:cs="Arial"/>
          <w:b w:val="0"/>
          <w:bCs w:val="0"/>
          <w:color w:val="000000"/>
          <w:sz w:val="22"/>
          <w:szCs w:val="22"/>
        </w:rPr>
        <w:t>Accuracy &amp; Purpose:</w:t>
      </w:r>
      <w:r w:rsidRPr="0000230A">
        <w:rPr>
          <w:rStyle w:val="apple-converted-space"/>
          <w:rFonts w:ascii="Arial" w:hAnsi="Arial" w:cs="Arial"/>
          <w:color w:val="000000"/>
          <w:sz w:val="22"/>
          <w:szCs w:val="22"/>
        </w:rPr>
        <w:t> </w:t>
      </w:r>
      <w:r w:rsidRPr="0000230A">
        <w:rPr>
          <w:rFonts w:ascii="Arial" w:hAnsi="Arial" w:cs="Arial"/>
          <w:color w:val="000000"/>
          <w:sz w:val="22"/>
          <w:szCs w:val="22"/>
        </w:rPr>
        <w:t>transparent data and objective reporting</w:t>
      </w:r>
    </w:p>
    <w:p w14:paraId="1892B15B"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Greater emphasis was placed on</w:t>
      </w:r>
      <w:r w:rsidRPr="0000230A">
        <w:rPr>
          <w:rStyle w:val="apple-converted-space"/>
          <w:rFonts w:ascii="Arial" w:hAnsi="Arial" w:cs="Arial"/>
          <w:color w:val="000000"/>
          <w:sz w:val="22"/>
          <w:szCs w:val="22"/>
        </w:rPr>
        <w:t> </w:t>
      </w:r>
      <w:r w:rsidRPr="0000230A">
        <w:rPr>
          <w:rStyle w:val="Emphasis"/>
          <w:rFonts w:ascii="Arial" w:hAnsi="Arial" w:cs="Arial"/>
          <w:i w:val="0"/>
          <w:iCs w:val="0"/>
          <w:color w:val="000000"/>
          <w:sz w:val="22"/>
          <w:szCs w:val="22"/>
        </w:rPr>
        <w:t>Currency, Relevance,</w:t>
      </w:r>
      <w:r w:rsidRPr="0000230A">
        <w:rPr>
          <w:rStyle w:val="apple-converted-space"/>
          <w:rFonts w:ascii="Arial" w:hAnsi="Arial" w:cs="Arial"/>
          <w:color w:val="000000"/>
          <w:sz w:val="22"/>
          <w:szCs w:val="22"/>
        </w:rPr>
        <w:t> </w:t>
      </w:r>
      <w:r w:rsidRPr="0000230A">
        <w:rPr>
          <w:rFonts w:ascii="Arial" w:hAnsi="Arial" w:cs="Arial"/>
          <w:color w:val="000000"/>
          <w:sz w:val="22"/>
          <w:szCs w:val="22"/>
        </w:rPr>
        <w:t>and</w:t>
      </w:r>
      <w:r w:rsidRPr="0000230A">
        <w:rPr>
          <w:rStyle w:val="apple-converted-space"/>
          <w:rFonts w:ascii="Arial" w:hAnsi="Arial" w:cs="Arial"/>
          <w:i/>
          <w:iCs/>
          <w:color w:val="000000"/>
          <w:sz w:val="22"/>
          <w:szCs w:val="22"/>
        </w:rPr>
        <w:t> </w:t>
      </w:r>
      <w:r w:rsidRPr="0000230A">
        <w:rPr>
          <w:rStyle w:val="Emphasis"/>
          <w:rFonts w:ascii="Arial" w:hAnsi="Arial" w:cs="Arial"/>
          <w:i w:val="0"/>
          <w:iCs w:val="0"/>
          <w:color w:val="000000"/>
          <w:sz w:val="22"/>
          <w:szCs w:val="22"/>
        </w:rPr>
        <w:t>Authority</w:t>
      </w:r>
      <w:r w:rsidRPr="0000230A">
        <w:rPr>
          <w:rStyle w:val="apple-converted-space"/>
          <w:rFonts w:ascii="Arial" w:hAnsi="Arial" w:cs="Arial"/>
          <w:color w:val="000000"/>
          <w:sz w:val="22"/>
          <w:szCs w:val="22"/>
        </w:rPr>
        <w:t> </w:t>
      </w:r>
      <w:r w:rsidRPr="0000230A">
        <w:rPr>
          <w:rFonts w:ascii="Arial" w:hAnsi="Arial" w:cs="Arial"/>
          <w:color w:val="000000"/>
          <w:sz w:val="22"/>
          <w:szCs w:val="22"/>
        </w:rPr>
        <w:t>due to policy significance.</w:t>
      </w:r>
    </w:p>
    <w:p w14:paraId="4EAAAFD2" w14:textId="77777777" w:rsidR="00825E43" w:rsidRPr="0000230A" w:rsidRDefault="00825E43"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Decisions on Inclusion</w:t>
      </w:r>
    </w:p>
    <w:p w14:paraId="69DDEE82" w14:textId="39E8F5A4"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Outdated early</w:t>
      </w:r>
      <w:r w:rsidR="00C005CE" w:rsidRPr="0000230A">
        <w:rPr>
          <w:rFonts w:ascii="Arial" w:hAnsi="Arial" w:cs="Arial"/>
          <w:color w:val="000000"/>
          <w:sz w:val="22"/>
          <w:szCs w:val="22"/>
        </w:rPr>
        <w:t xml:space="preserve"> </w:t>
      </w:r>
      <w:r w:rsidRPr="0000230A">
        <w:rPr>
          <w:rFonts w:ascii="Arial" w:hAnsi="Arial" w:cs="Arial"/>
          <w:color w:val="000000"/>
          <w:sz w:val="22"/>
          <w:szCs w:val="22"/>
        </w:rPr>
        <w:t xml:space="preserve">2000s studies were excluded, while key policy works (Marmot, 2020; Black, 2021) were retained for their ongoing relevance. Full inclusion/exclusion notes appear in Appendix </w:t>
      </w:r>
      <w:r w:rsidR="00C005CE" w:rsidRPr="0000230A">
        <w:rPr>
          <w:rFonts w:ascii="Arial" w:hAnsi="Arial" w:cs="Arial"/>
          <w:color w:val="000000"/>
          <w:sz w:val="22"/>
          <w:szCs w:val="22"/>
        </w:rPr>
        <w:t>B</w:t>
      </w:r>
      <w:r w:rsidRPr="0000230A">
        <w:rPr>
          <w:rFonts w:ascii="Arial" w:hAnsi="Arial" w:cs="Arial"/>
          <w:color w:val="000000"/>
          <w:sz w:val="22"/>
          <w:szCs w:val="22"/>
        </w:rPr>
        <w:t>.</w:t>
      </w:r>
    </w:p>
    <w:p w14:paraId="0213D689" w14:textId="77777777" w:rsidR="00825E43" w:rsidRPr="0000230A" w:rsidRDefault="00825E43" w:rsidP="0000230A">
      <w:pPr>
        <w:pStyle w:val="Heading2"/>
        <w:spacing w:line="360" w:lineRule="auto"/>
        <w:rPr>
          <w:rFonts w:cs="Arial"/>
          <w:szCs w:val="22"/>
        </w:rPr>
      </w:pPr>
      <w:bookmarkStart w:id="30" w:name="_Toc215043373"/>
      <w:r w:rsidRPr="0000230A">
        <w:rPr>
          <w:rStyle w:val="Strong"/>
          <w:rFonts w:cs="Arial"/>
          <w:b w:val="0"/>
          <w:bCs/>
          <w:szCs w:val="22"/>
        </w:rPr>
        <w:t>3.5 Inclusion and Exclusion Criteria</w:t>
      </w:r>
      <w:bookmarkEnd w:id="30"/>
    </w:p>
    <w:p w14:paraId="4E19E90F" w14:textId="77777777" w:rsidR="00825E43" w:rsidRPr="0000230A" w:rsidRDefault="00825E43"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Inclusion</w:t>
      </w:r>
    </w:p>
    <w:p w14:paraId="76074C7C" w14:textId="10B381C8" w:rsidR="00C005CE" w:rsidRPr="0000230A" w:rsidRDefault="00825E43" w:rsidP="0000230A">
      <w:pPr>
        <w:pStyle w:val="NormalWeb"/>
        <w:numPr>
          <w:ilvl w:val="0"/>
          <w:numId w:val="37"/>
        </w:numPr>
        <w:spacing w:line="360" w:lineRule="auto"/>
        <w:rPr>
          <w:rFonts w:ascii="Arial" w:hAnsi="Arial" w:cs="Arial"/>
          <w:color w:val="000000"/>
          <w:sz w:val="22"/>
          <w:szCs w:val="22"/>
        </w:rPr>
      </w:pPr>
      <w:r w:rsidRPr="0000230A">
        <w:rPr>
          <w:rFonts w:ascii="Arial" w:hAnsi="Arial" w:cs="Arial"/>
          <w:color w:val="000000"/>
          <w:sz w:val="22"/>
          <w:szCs w:val="22"/>
        </w:rPr>
        <w:t>Peer-reviewed articles (2014</w:t>
      </w:r>
      <w:r w:rsidR="00C005CE" w:rsidRPr="0000230A">
        <w:rPr>
          <w:rFonts w:ascii="Arial" w:hAnsi="Arial" w:cs="Arial"/>
          <w:color w:val="000000"/>
          <w:sz w:val="22"/>
          <w:szCs w:val="22"/>
        </w:rPr>
        <w:t xml:space="preserve"> - </w:t>
      </w:r>
      <w:r w:rsidRPr="0000230A">
        <w:rPr>
          <w:rFonts w:ascii="Arial" w:hAnsi="Arial" w:cs="Arial"/>
          <w:color w:val="000000"/>
          <w:sz w:val="22"/>
          <w:szCs w:val="22"/>
        </w:rPr>
        <w:t>2025)</w:t>
      </w:r>
    </w:p>
    <w:p w14:paraId="7AD480F5" w14:textId="77777777" w:rsidR="00825E43" w:rsidRPr="0000230A" w:rsidRDefault="00825E43" w:rsidP="0000230A">
      <w:pPr>
        <w:pStyle w:val="NormalWeb"/>
        <w:numPr>
          <w:ilvl w:val="0"/>
          <w:numId w:val="37"/>
        </w:numPr>
        <w:spacing w:line="360" w:lineRule="auto"/>
        <w:rPr>
          <w:rFonts w:ascii="Arial" w:hAnsi="Arial" w:cs="Arial"/>
          <w:color w:val="000000"/>
          <w:sz w:val="22"/>
          <w:szCs w:val="22"/>
        </w:rPr>
      </w:pPr>
      <w:r w:rsidRPr="0000230A">
        <w:rPr>
          <w:rFonts w:ascii="Arial" w:hAnsi="Arial" w:cs="Arial"/>
          <w:color w:val="000000"/>
          <w:sz w:val="22"/>
          <w:szCs w:val="22"/>
        </w:rPr>
        <w:t>England-specific data or UK studies with separate English findings</w:t>
      </w:r>
    </w:p>
    <w:p w14:paraId="45641E54" w14:textId="77777777" w:rsidR="00825E43" w:rsidRPr="0000230A" w:rsidRDefault="00825E43" w:rsidP="0000230A">
      <w:pPr>
        <w:pStyle w:val="NormalWeb"/>
        <w:numPr>
          <w:ilvl w:val="0"/>
          <w:numId w:val="37"/>
        </w:numPr>
        <w:spacing w:line="360" w:lineRule="auto"/>
        <w:rPr>
          <w:rFonts w:ascii="Arial" w:hAnsi="Arial" w:cs="Arial"/>
          <w:color w:val="000000"/>
          <w:sz w:val="22"/>
          <w:szCs w:val="22"/>
        </w:rPr>
      </w:pPr>
      <w:r w:rsidRPr="0000230A">
        <w:rPr>
          <w:rFonts w:ascii="Arial" w:hAnsi="Arial" w:cs="Arial"/>
          <w:color w:val="000000"/>
          <w:sz w:val="22"/>
          <w:szCs w:val="22"/>
        </w:rPr>
        <w:t>Research linking poverty, substance misuse, or mental health</w:t>
      </w:r>
    </w:p>
    <w:p w14:paraId="2CEC68F0" w14:textId="77777777" w:rsidR="00825E43" w:rsidRPr="0000230A" w:rsidRDefault="00825E43" w:rsidP="0000230A">
      <w:pPr>
        <w:pStyle w:val="NormalWeb"/>
        <w:numPr>
          <w:ilvl w:val="0"/>
          <w:numId w:val="37"/>
        </w:numPr>
        <w:spacing w:line="360" w:lineRule="auto"/>
        <w:rPr>
          <w:rFonts w:ascii="Arial" w:hAnsi="Arial" w:cs="Arial"/>
          <w:color w:val="000000"/>
          <w:sz w:val="22"/>
          <w:szCs w:val="22"/>
        </w:rPr>
      </w:pPr>
      <w:r w:rsidRPr="0000230A">
        <w:rPr>
          <w:rFonts w:ascii="Arial" w:hAnsi="Arial" w:cs="Arial"/>
          <w:color w:val="000000"/>
          <w:sz w:val="22"/>
          <w:szCs w:val="22"/>
        </w:rPr>
        <w:t>National datasets (ONS, NHS Digital)</w:t>
      </w:r>
    </w:p>
    <w:p w14:paraId="048292A9" w14:textId="77777777" w:rsidR="00825E43" w:rsidRPr="0000230A" w:rsidRDefault="00825E43" w:rsidP="0000230A">
      <w:pPr>
        <w:pStyle w:val="NormalWeb"/>
        <w:numPr>
          <w:ilvl w:val="0"/>
          <w:numId w:val="37"/>
        </w:numPr>
        <w:spacing w:line="360" w:lineRule="auto"/>
        <w:rPr>
          <w:rFonts w:ascii="Arial" w:hAnsi="Arial" w:cs="Arial"/>
          <w:color w:val="000000"/>
          <w:sz w:val="22"/>
          <w:szCs w:val="22"/>
        </w:rPr>
      </w:pPr>
      <w:r w:rsidRPr="0000230A">
        <w:rPr>
          <w:rFonts w:ascii="Arial" w:hAnsi="Arial" w:cs="Arial"/>
          <w:color w:val="000000"/>
          <w:sz w:val="22"/>
          <w:szCs w:val="22"/>
        </w:rPr>
        <w:t>Credible UK grey literature</w:t>
      </w:r>
    </w:p>
    <w:p w14:paraId="20411E36" w14:textId="77777777" w:rsidR="00825E43" w:rsidRPr="0000230A" w:rsidRDefault="00825E43"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Exclusion</w:t>
      </w:r>
    </w:p>
    <w:p w14:paraId="7D30B5A9" w14:textId="77777777" w:rsidR="00825E43" w:rsidRPr="0000230A" w:rsidRDefault="00825E43" w:rsidP="0000230A">
      <w:pPr>
        <w:pStyle w:val="NormalWeb"/>
        <w:numPr>
          <w:ilvl w:val="0"/>
          <w:numId w:val="38"/>
        </w:numPr>
        <w:spacing w:line="360" w:lineRule="auto"/>
        <w:rPr>
          <w:rFonts w:ascii="Arial" w:hAnsi="Arial" w:cs="Arial"/>
          <w:color w:val="000000"/>
          <w:sz w:val="22"/>
          <w:szCs w:val="22"/>
        </w:rPr>
      </w:pPr>
      <w:r w:rsidRPr="0000230A">
        <w:rPr>
          <w:rFonts w:ascii="Arial" w:hAnsi="Arial" w:cs="Arial"/>
          <w:color w:val="000000"/>
          <w:sz w:val="22"/>
          <w:szCs w:val="22"/>
        </w:rPr>
        <w:t>International studies without English applicability</w:t>
      </w:r>
    </w:p>
    <w:p w14:paraId="50B60F80" w14:textId="77777777" w:rsidR="00825E43" w:rsidRPr="0000230A" w:rsidRDefault="00825E43" w:rsidP="0000230A">
      <w:pPr>
        <w:pStyle w:val="NormalWeb"/>
        <w:numPr>
          <w:ilvl w:val="0"/>
          <w:numId w:val="38"/>
        </w:numPr>
        <w:spacing w:line="360" w:lineRule="auto"/>
        <w:rPr>
          <w:rFonts w:ascii="Arial" w:hAnsi="Arial" w:cs="Arial"/>
          <w:color w:val="000000"/>
          <w:sz w:val="22"/>
          <w:szCs w:val="22"/>
        </w:rPr>
      </w:pPr>
      <w:r w:rsidRPr="0000230A">
        <w:rPr>
          <w:rFonts w:ascii="Arial" w:hAnsi="Arial" w:cs="Arial"/>
          <w:color w:val="000000"/>
          <w:sz w:val="22"/>
          <w:szCs w:val="22"/>
        </w:rPr>
        <w:t>Media articles or opinion pieces</w:t>
      </w:r>
    </w:p>
    <w:p w14:paraId="737D8C1F" w14:textId="77777777" w:rsidR="00825E43" w:rsidRPr="0000230A" w:rsidRDefault="00825E43" w:rsidP="0000230A">
      <w:pPr>
        <w:pStyle w:val="NormalWeb"/>
        <w:numPr>
          <w:ilvl w:val="0"/>
          <w:numId w:val="38"/>
        </w:numPr>
        <w:spacing w:line="360" w:lineRule="auto"/>
        <w:rPr>
          <w:rFonts w:ascii="Arial" w:hAnsi="Arial" w:cs="Arial"/>
          <w:color w:val="000000"/>
          <w:sz w:val="22"/>
          <w:szCs w:val="22"/>
        </w:rPr>
      </w:pPr>
      <w:r w:rsidRPr="0000230A">
        <w:rPr>
          <w:rFonts w:ascii="Arial" w:hAnsi="Arial" w:cs="Arial"/>
          <w:color w:val="000000"/>
          <w:sz w:val="22"/>
          <w:szCs w:val="22"/>
        </w:rPr>
        <w:t>Clinical trials unrelated to socioeconomic factors</w:t>
      </w:r>
    </w:p>
    <w:p w14:paraId="32756D4F" w14:textId="2C325CFE" w:rsidR="00825E43" w:rsidRPr="0000230A" w:rsidRDefault="00825E43" w:rsidP="0000230A">
      <w:pPr>
        <w:pStyle w:val="NormalWeb"/>
        <w:numPr>
          <w:ilvl w:val="0"/>
          <w:numId w:val="38"/>
        </w:numPr>
        <w:spacing w:line="360" w:lineRule="auto"/>
        <w:rPr>
          <w:rFonts w:ascii="Arial" w:hAnsi="Arial" w:cs="Arial"/>
          <w:color w:val="000000"/>
          <w:sz w:val="22"/>
          <w:szCs w:val="22"/>
        </w:rPr>
      </w:pPr>
      <w:r w:rsidRPr="0000230A">
        <w:rPr>
          <w:rFonts w:ascii="Arial" w:hAnsi="Arial" w:cs="Arial"/>
          <w:color w:val="000000"/>
          <w:sz w:val="22"/>
          <w:szCs w:val="22"/>
        </w:rPr>
        <w:t>Pre-2014 work unless theoretically significant</w:t>
      </w:r>
    </w:p>
    <w:p w14:paraId="5DEF46D7" w14:textId="77777777" w:rsidR="00825E43" w:rsidRPr="0000230A" w:rsidRDefault="00825E43"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lastRenderedPageBreak/>
        <w:t>Justification</w:t>
      </w:r>
    </w:p>
    <w:p w14:paraId="4E0F4829" w14:textId="396DD5DB"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These criteria ensured a focused and contemporary evidence base, capturing key post-austerity and post-pandemic developments.</w:t>
      </w:r>
    </w:p>
    <w:p w14:paraId="45B20EA5" w14:textId="77777777" w:rsidR="00825E43" w:rsidRPr="0000230A" w:rsidRDefault="00825E43" w:rsidP="0000230A">
      <w:pPr>
        <w:pStyle w:val="NormalWeb"/>
        <w:spacing w:line="360" w:lineRule="auto"/>
        <w:rPr>
          <w:rFonts w:ascii="Arial" w:hAnsi="Arial" w:cs="Arial"/>
          <w:color w:val="000000"/>
          <w:sz w:val="22"/>
          <w:szCs w:val="22"/>
        </w:rPr>
      </w:pPr>
    </w:p>
    <w:p w14:paraId="3B5033FF" w14:textId="77777777" w:rsidR="00825E43" w:rsidRPr="0000230A" w:rsidRDefault="00825E43" w:rsidP="0000230A">
      <w:pPr>
        <w:pStyle w:val="Heading2"/>
        <w:spacing w:line="360" w:lineRule="auto"/>
        <w:rPr>
          <w:rFonts w:cs="Arial"/>
          <w:szCs w:val="22"/>
        </w:rPr>
      </w:pPr>
      <w:bookmarkStart w:id="31" w:name="_Toc215043374"/>
      <w:r w:rsidRPr="0000230A">
        <w:rPr>
          <w:rStyle w:val="Strong"/>
          <w:rFonts w:cs="Arial"/>
          <w:b w:val="0"/>
          <w:bCs/>
          <w:szCs w:val="22"/>
        </w:rPr>
        <w:t>3.6 Analysing Research</w:t>
      </w:r>
      <w:bookmarkEnd w:id="31"/>
    </w:p>
    <w:p w14:paraId="0EE79515" w14:textId="77777777" w:rsidR="00825E43" w:rsidRPr="0000230A" w:rsidRDefault="00825E43"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Thematic Coding</w:t>
      </w:r>
    </w:p>
    <w:p w14:paraId="654EF921"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Thematic analysis followed Braun and Clarke’s (2006) six-phase framework: familiarisation, coding, theme development, review, definition, and reporting. Reflexive notes were kept </w:t>
      </w:r>
      <w:proofErr w:type="gramStart"/>
      <w:r w:rsidRPr="0000230A">
        <w:rPr>
          <w:rFonts w:ascii="Arial" w:hAnsi="Arial" w:cs="Arial"/>
          <w:color w:val="000000"/>
          <w:sz w:val="22"/>
          <w:szCs w:val="22"/>
        </w:rPr>
        <w:t>to reduce</w:t>
      </w:r>
      <w:proofErr w:type="gramEnd"/>
      <w:r w:rsidRPr="0000230A">
        <w:rPr>
          <w:rFonts w:ascii="Arial" w:hAnsi="Arial" w:cs="Arial"/>
          <w:color w:val="000000"/>
          <w:sz w:val="22"/>
          <w:szCs w:val="22"/>
        </w:rPr>
        <w:t xml:space="preserve"> interpretive bias.</w:t>
      </w:r>
    </w:p>
    <w:p w14:paraId="21B8512A" w14:textId="77777777" w:rsidR="00825E43" w:rsidRPr="0000230A" w:rsidRDefault="00825E43"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Theme Development</w:t>
      </w:r>
    </w:p>
    <w:p w14:paraId="370E7A7F"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Initial codes related to poverty, mental health, access barriers, and policy responses. These were grouped into five themes:</w:t>
      </w:r>
    </w:p>
    <w:p w14:paraId="417E237E" w14:textId="77777777" w:rsidR="00825E43" w:rsidRPr="0000230A" w:rsidRDefault="00825E43" w:rsidP="0000230A">
      <w:pPr>
        <w:pStyle w:val="NormalWeb"/>
        <w:numPr>
          <w:ilvl w:val="0"/>
          <w:numId w:val="39"/>
        </w:numPr>
        <w:spacing w:line="360" w:lineRule="auto"/>
        <w:rPr>
          <w:rFonts w:ascii="Arial" w:hAnsi="Arial" w:cs="Arial"/>
          <w:color w:val="000000"/>
          <w:sz w:val="22"/>
          <w:szCs w:val="22"/>
        </w:rPr>
      </w:pPr>
      <w:r w:rsidRPr="0000230A">
        <w:rPr>
          <w:rFonts w:ascii="Arial" w:hAnsi="Arial" w:cs="Arial"/>
          <w:color w:val="000000"/>
          <w:sz w:val="22"/>
          <w:szCs w:val="22"/>
        </w:rPr>
        <w:t>Socioeconomic disadvantage and substance misuse</w:t>
      </w:r>
    </w:p>
    <w:p w14:paraId="1F246BF2" w14:textId="77777777" w:rsidR="00825E43" w:rsidRPr="0000230A" w:rsidRDefault="00825E43" w:rsidP="0000230A">
      <w:pPr>
        <w:pStyle w:val="NormalWeb"/>
        <w:numPr>
          <w:ilvl w:val="0"/>
          <w:numId w:val="39"/>
        </w:numPr>
        <w:spacing w:line="360" w:lineRule="auto"/>
        <w:rPr>
          <w:rFonts w:ascii="Arial" w:hAnsi="Arial" w:cs="Arial"/>
          <w:color w:val="000000"/>
          <w:sz w:val="22"/>
          <w:szCs w:val="22"/>
        </w:rPr>
      </w:pPr>
      <w:r w:rsidRPr="0000230A">
        <w:rPr>
          <w:rFonts w:ascii="Arial" w:hAnsi="Arial" w:cs="Arial"/>
          <w:color w:val="000000"/>
          <w:sz w:val="22"/>
          <w:szCs w:val="22"/>
        </w:rPr>
        <w:t>Untreated mental health and substance misuse</w:t>
      </w:r>
    </w:p>
    <w:p w14:paraId="534DEE37" w14:textId="77777777" w:rsidR="00825E43" w:rsidRPr="0000230A" w:rsidRDefault="00825E43" w:rsidP="0000230A">
      <w:pPr>
        <w:pStyle w:val="NormalWeb"/>
        <w:numPr>
          <w:ilvl w:val="0"/>
          <w:numId w:val="39"/>
        </w:numPr>
        <w:spacing w:line="360" w:lineRule="auto"/>
        <w:rPr>
          <w:rFonts w:ascii="Arial" w:hAnsi="Arial" w:cs="Arial"/>
          <w:color w:val="000000"/>
          <w:sz w:val="22"/>
          <w:szCs w:val="22"/>
        </w:rPr>
      </w:pPr>
      <w:r w:rsidRPr="0000230A">
        <w:rPr>
          <w:rFonts w:ascii="Arial" w:hAnsi="Arial" w:cs="Arial"/>
          <w:color w:val="000000"/>
          <w:sz w:val="22"/>
          <w:szCs w:val="22"/>
        </w:rPr>
        <w:t>Barriers to support services</w:t>
      </w:r>
    </w:p>
    <w:p w14:paraId="6FB8A2DF" w14:textId="77777777" w:rsidR="00825E43" w:rsidRPr="0000230A" w:rsidRDefault="00825E43" w:rsidP="0000230A">
      <w:pPr>
        <w:pStyle w:val="NormalWeb"/>
        <w:numPr>
          <w:ilvl w:val="0"/>
          <w:numId w:val="39"/>
        </w:numPr>
        <w:spacing w:line="360" w:lineRule="auto"/>
        <w:rPr>
          <w:rFonts w:ascii="Arial" w:hAnsi="Arial" w:cs="Arial"/>
          <w:color w:val="000000"/>
          <w:sz w:val="22"/>
          <w:szCs w:val="22"/>
        </w:rPr>
      </w:pPr>
      <w:r w:rsidRPr="0000230A">
        <w:rPr>
          <w:rFonts w:ascii="Arial" w:hAnsi="Arial" w:cs="Arial"/>
          <w:color w:val="000000"/>
          <w:sz w:val="22"/>
          <w:szCs w:val="22"/>
        </w:rPr>
        <w:t>Policy and structural inequalities</w:t>
      </w:r>
    </w:p>
    <w:p w14:paraId="194D3E9F" w14:textId="77777777" w:rsidR="00825E43" w:rsidRPr="0000230A" w:rsidRDefault="00825E43" w:rsidP="0000230A">
      <w:pPr>
        <w:pStyle w:val="NormalWeb"/>
        <w:numPr>
          <w:ilvl w:val="0"/>
          <w:numId w:val="39"/>
        </w:numPr>
        <w:spacing w:line="360" w:lineRule="auto"/>
        <w:rPr>
          <w:rFonts w:ascii="Arial" w:hAnsi="Arial" w:cs="Arial"/>
          <w:color w:val="000000"/>
          <w:sz w:val="22"/>
          <w:szCs w:val="22"/>
        </w:rPr>
      </w:pPr>
      <w:r w:rsidRPr="0000230A">
        <w:rPr>
          <w:rFonts w:ascii="Arial" w:hAnsi="Arial" w:cs="Arial"/>
          <w:color w:val="000000"/>
          <w:sz w:val="22"/>
          <w:szCs w:val="22"/>
        </w:rPr>
        <w:t>COVID-19 and health inequalities</w:t>
      </w:r>
    </w:p>
    <w:p w14:paraId="43682C1C" w14:textId="6AD8B4A0"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Themes were cross-checked against the dataset and reviewed with academic supervisors. Summary tables are provided in Appendix </w:t>
      </w:r>
      <w:r w:rsidR="00C005CE" w:rsidRPr="0000230A">
        <w:rPr>
          <w:rFonts w:ascii="Arial" w:hAnsi="Arial" w:cs="Arial"/>
          <w:color w:val="000000"/>
          <w:sz w:val="22"/>
          <w:szCs w:val="22"/>
        </w:rPr>
        <w:t>C</w:t>
      </w:r>
      <w:r w:rsidRPr="0000230A">
        <w:rPr>
          <w:rFonts w:ascii="Arial" w:hAnsi="Arial" w:cs="Arial"/>
          <w:color w:val="000000"/>
          <w:sz w:val="22"/>
          <w:szCs w:val="22"/>
        </w:rPr>
        <w:t>.</w:t>
      </w:r>
    </w:p>
    <w:p w14:paraId="0E70F98E" w14:textId="77777777" w:rsidR="00825E43" w:rsidRPr="0000230A" w:rsidRDefault="00825E43"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Organisation and Tools</w:t>
      </w:r>
    </w:p>
    <w:p w14:paraId="1F2265B9" w14:textId="1FAFB3A9"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 xml:space="preserve">Data were organised using tables and colour-coded spreadsheets (Appendix </w:t>
      </w:r>
      <w:r w:rsidR="00C005CE" w:rsidRPr="0000230A">
        <w:rPr>
          <w:rFonts w:ascii="Arial" w:hAnsi="Arial" w:cs="Arial"/>
          <w:color w:val="000000"/>
          <w:sz w:val="22"/>
          <w:szCs w:val="22"/>
        </w:rPr>
        <w:t>B</w:t>
      </w:r>
      <w:r w:rsidRPr="0000230A">
        <w:rPr>
          <w:rFonts w:ascii="Arial" w:hAnsi="Arial" w:cs="Arial"/>
          <w:color w:val="000000"/>
          <w:sz w:val="22"/>
          <w:szCs w:val="22"/>
        </w:rPr>
        <w:t>). NVivo was used only for organising extracted text.</w:t>
      </w:r>
    </w:p>
    <w:p w14:paraId="05A53956" w14:textId="416D315C" w:rsidR="00825E43" w:rsidRPr="0000230A" w:rsidRDefault="00825E43" w:rsidP="0000230A">
      <w:pPr>
        <w:spacing w:line="360" w:lineRule="auto"/>
        <w:rPr>
          <w:rFonts w:ascii="Arial" w:hAnsi="Arial" w:cs="Arial"/>
          <w:sz w:val="22"/>
          <w:szCs w:val="22"/>
        </w:rPr>
      </w:pPr>
    </w:p>
    <w:p w14:paraId="150B7210" w14:textId="732388E8" w:rsidR="00C005CE" w:rsidRPr="0000230A" w:rsidRDefault="00C005CE" w:rsidP="0000230A">
      <w:pPr>
        <w:spacing w:line="360" w:lineRule="auto"/>
        <w:rPr>
          <w:rFonts w:ascii="Arial" w:hAnsi="Arial" w:cs="Arial"/>
          <w:sz w:val="22"/>
          <w:szCs w:val="22"/>
        </w:rPr>
      </w:pPr>
    </w:p>
    <w:p w14:paraId="354815DB" w14:textId="297B49DA" w:rsidR="00C005CE" w:rsidRPr="0000230A" w:rsidRDefault="00C005CE" w:rsidP="0000230A">
      <w:pPr>
        <w:spacing w:line="360" w:lineRule="auto"/>
        <w:rPr>
          <w:rFonts w:ascii="Arial" w:hAnsi="Arial" w:cs="Arial"/>
          <w:sz w:val="22"/>
          <w:szCs w:val="22"/>
        </w:rPr>
      </w:pPr>
    </w:p>
    <w:p w14:paraId="79CCFB1F" w14:textId="47CAC6AD" w:rsidR="00C005CE" w:rsidRPr="0000230A" w:rsidRDefault="00C005CE" w:rsidP="0000230A">
      <w:pPr>
        <w:spacing w:line="360" w:lineRule="auto"/>
        <w:rPr>
          <w:rFonts w:ascii="Arial" w:hAnsi="Arial" w:cs="Arial"/>
          <w:sz w:val="22"/>
          <w:szCs w:val="22"/>
        </w:rPr>
      </w:pPr>
    </w:p>
    <w:p w14:paraId="4934C2C6" w14:textId="0820FD4D" w:rsidR="00C005CE" w:rsidRPr="0000230A" w:rsidRDefault="00C005CE" w:rsidP="0000230A">
      <w:pPr>
        <w:spacing w:line="360" w:lineRule="auto"/>
        <w:rPr>
          <w:rFonts w:ascii="Arial" w:hAnsi="Arial" w:cs="Arial"/>
          <w:sz w:val="22"/>
          <w:szCs w:val="22"/>
        </w:rPr>
      </w:pPr>
    </w:p>
    <w:p w14:paraId="74A21E81" w14:textId="77777777" w:rsidR="00C005CE" w:rsidRPr="0000230A" w:rsidRDefault="00C005CE" w:rsidP="0000230A">
      <w:pPr>
        <w:spacing w:line="360" w:lineRule="auto"/>
        <w:rPr>
          <w:rFonts w:ascii="Arial" w:hAnsi="Arial" w:cs="Arial"/>
          <w:sz w:val="22"/>
          <w:szCs w:val="22"/>
        </w:rPr>
      </w:pPr>
    </w:p>
    <w:p w14:paraId="2E954487" w14:textId="77777777" w:rsidR="00825E43" w:rsidRPr="0000230A" w:rsidRDefault="00825E43" w:rsidP="0000230A">
      <w:pPr>
        <w:pStyle w:val="Heading2"/>
        <w:spacing w:line="360" w:lineRule="auto"/>
        <w:rPr>
          <w:rFonts w:cs="Arial"/>
          <w:szCs w:val="22"/>
        </w:rPr>
      </w:pPr>
      <w:bookmarkStart w:id="32" w:name="_Toc215043375"/>
      <w:r w:rsidRPr="0000230A">
        <w:rPr>
          <w:rStyle w:val="Strong"/>
          <w:rFonts w:cs="Arial"/>
          <w:b w:val="0"/>
          <w:bCs/>
          <w:szCs w:val="22"/>
        </w:rPr>
        <w:lastRenderedPageBreak/>
        <w:t>3.7 Ethical Considerations</w:t>
      </w:r>
      <w:bookmarkEnd w:id="32"/>
    </w:p>
    <w:p w14:paraId="2F72AFEF" w14:textId="77777777" w:rsidR="00825E43" w:rsidRPr="0000230A" w:rsidRDefault="00825E43"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Secondary Research Ethics</w:t>
      </w:r>
    </w:p>
    <w:p w14:paraId="5DD422D6"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As a secondary analysis of publicly available data, no formal ethical approval was required. Care was taken to avoid stigmatising language and to present issues relating to poverty, addiction, and mental illness with sensitivity.</w:t>
      </w:r>
    </w:p>
    <w:p w14:paraId="2E4962BB" w14:textId="77777777" w:rsidR="00825E43" w:rsidRPr="0000230A" w:rsidRDefault="00825E43"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Academic Integrity</w:t>
      </w:r>
    </w:p>
    <w:p w14:paraId="505D647E"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All sources were referenced using Harvard UWTSD style, with Zotero supporting consistent citation. Ethical scholarship was maintained through accurate attribution (Cottrell, 2017).</w:t>
      </w:r>
    </w:p>
    <w:p w14:paraId="29E51755" w14:textId="77777777" w:rsidR="00825E43" w:rsidRPr="0000230A" w:rsidRDefault="00825E43" w:rsidP="0000230A">
      <w:pPr>
        <w:spacing w:line="360" w:lineRule="auto"/>
        <w:rPr>
          <w:rFonts w:ascii="Arial" w:hAnsi="Arial" w:cs="Arial"/>
          <w:sz w:val="22"/>
          <w:szCs w:val="22"/>
        </w:rPr>
      </w:pPr>
      <w:r w:rsidRPr="0000230A">
        <w:rPr>
          <w:rStyle w:val="Strong"/>
          <w:rFonts w:ascii="Arial" w:hAnsi="Arial" w:cs="Arial"/>
          <w:b w:val="0"/>
          <w:bCs w:val="0"/>
          <w:color w:val="000000"/>
          <w:sz w:val="22"/>
          <w:szCs w:val="22"/>
        </w:rPr>
        <w:t>Transparency</w:t>
      </w:r>
    </w:p>
    <w:p w14:paraId="54BCDE63"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Triangulation of qualitative, quantitative, and policy-based evidence helped minimise bias and ensure balanced interpretation.</w:t>
      </w:r>
    </w:p>
    <w:p w14:paraId="6CAC52E1" w14:textId="2C21FFAE" w:rsidR="00825E43" w:rsidRPr="0000230A" w:rsidRDefault="00825E43" w:rsidP="0000230A">
      <w:pPr>
        <w:spacing w:line="360" w:lineRule="auto"/>
        <w:rPr>
          <w:rFonts w:ascii="Arial" w:hAnsi="Arial" w:cs="Arial"/>
          <w:sz w:val="22"/>
          <w:szCs w:val="22"/>
        </w:rPr>
      </w:pPr>
    </w:p>
    <w:p w14:paraId="29F4768E" w14:textId="77777777" w:rsidR="00825E43" w:rsidRPr="0000230A" w:rsidRDefault="00825E43" w:rsidP="0000230A">
      <w:pPr>
        <w:pStyle w:val="Heading2"/>
        <w:spacing w:line="360" w:lineRule="auto"/>
        <w:rPr>
          <w:rFonts w:cs="Arial"/>
          <w:szCs w:val="22"/>
        </w:rPr>
      </w:pPr>
      <w:bookmarkStart w:id="33" w:name="_Toc215043376"/>
      <w:r w:rsidRPr="0000230A">
        <w:rPr>
          <w:rStyle w:val="Strong"/>
          <w:rFonts w:cs="Arial"/>
          <w:b w:val="0"/>
          <w:bCs/>
          <w:szCs w:val="22"/>
        </w:rPr>
        <w:t>3.8 Methodological Limitations</w:t>
      </w:r>
      <w:bookmarkEnd w:id="33"/>
    </w:p>
    <w:p w14:paraId="2274DFF5" w14:textId="77777777" w:rsidR="00825E43" w:rsidRPr="0000230A" w:rsidRDefault="00825E43" w:rsidP="0000230A">
      <w:pPr>
        <w:pStyle w:val="NormalWeb"/>
        <w:numPr>
          <w:ilvl w:val="0"/>
          <w:numId w:val="40"/>
        </w:numPr>
        <w:spacing w:line="360" w:lineRule="auto"/>
        <w:rPr>
          <w:rFonts w:ascii="Arial" w:hAnsi="Arial" w:cs="Arial"/>
          <w:color w:val="000000"/>
          <w:sz w:val="22"/>
          <w:szCs w:val="22"/>
        </w:rPr>
      </w:pPr>
      <w:r w:rsidRPr="0000230A">
        <w:rPr>
          <w:rFonts w:ascii="Arial" w:hAnsi="Arial" w:cs="Arial"/>
          <w:color w:val="000000"/>
          <w:sz w:val="22"/>
          <w:szCs w:val="22"/>
        </w:rPr>
        <w:t>Secondary research cannot capture lived experience</w:t>
      </w:r>
    </w:p>
    <w:p w14:paraId="78C08095" w14:textId="77777777" w:rsidR="00825E43" w:rsidRPr="0000230A" w:rsidRDefault="00825E43" w:rsidP="0000230A">
      <w:pPr>
        <w:pStyle w:val="NormalWeb"/>
        <w:numPr>
          <w:ilvl w:val="0"/>
          <w:numId w:val="40"/>
        </w:numPr>
        <w:spacing w:line="360" w:lineRule="auto"/>
        <w:rPr>
          <w:rFonts w:ascii="Arial" w:hAnsi="Arial" w:cs="Arial"/>
          <w:color w:val="000000"/>
          <w:sz w:val="22"/>
          <w:szCs w:val="22"/>
        </w:rPr>
      </w:pPr>
      <w:r w:rsidRPr="0000230A">
        <w:rPr>
          <w:rFonts w:ascii="Arial" w:hAnsi="Arial" w:cs="Arial"/>
          <w:color w:val="000000"/>
          <w:sz w:val="22"/>
          <w:szCs w:val="22"/>
        </w:rPr>
        <w:t>Findings depend on available literature quality</w:t>
      </w:r>
    </w:p>
    <w:p w14:paraId="0C11D861" w14:textId="77777777" w:rsidR="00825E43" w:rsidRPr="0000230A" w:rsidRDefault="00825E43" w:rsidP="0000230A">
      <w:pPr>
        <w:pStyle w:val="NormalWeb"/>
        <w:numPr>
          <w:ilvl w:val="0"/>
          <w:numId w:val="40"/>
        </w:numPr>
        <w:spacing w:line="360" w:lineRule="auto"/>
        <w:rPr>
          <w:rFonts w:ascii="Arial" w:hAnsi="Arial" w:cs="Arial"/>
          <w:color w:val="000000"/>
          <w:sz w:val="22"/>
          <w:szCs w:val="22"/>
        </w:rPr>
      </w:pPr>
      <w:r w:rsidRPr="0000230A">
        <w:rPr>
          <w:rFonts w:ascii="Arial" w:hAnsi="Arial" w:cs="Arial"/>
          <w:color w:val="000000"/>
          <w:sz w:val="22"/>
          <w:szCs w:val="22"/>
        </w:rPr>
        <w:t>Some recent policy changes lack extensive evaluation</w:t>
      </w:r>
    </w:p>
    <w:p w14:paraId="23A6CBA5" w14:textId="77777777" w:rsidR="00825E43" w:rsidRPr="0000230A" w:rsidRDefault="00825E43" w:rsidP="0000230A">
      <w:pPr>
        <w:pStyle w:val="NormalWeb"/>
        <w:numPr>
          <w:ilvl w:val="0"/>
          <w:numId w:val="40"/>
        </w:numPr>
        <w:spacing w:line="360" w:lineRule="auto"/>
        <w:rPr>
          <w:rFonts w:ascii="Arial" w:hAnsi="Arial" w:cs="Arial"/>
          <w:color w:val="000000"/>
          <w:sz w:val="22"/>
          <w:szCs w:val="22"/>
        </w:rPr>
      </w:pPr>
      <w:r w:rsidRPr="0000230A">
        <w:rPr>
          <w:rFonts w:ascii="Arial" w:hAnsi="Arial" w:cs="Arial"/>
          <w:color w:val="000000"/>
          <w:sz w:val="22"/>
          <w:szCs w:val="22"/>
        </w:rPr>
        <w:t>Relevant studies may be missed despite systematic searching</w:t>
      </w:r>
    </w:p>
    <w:p w14:paraId="50DF3A94"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These limitations are acknowledged to contextualise the findings.</w:t>
      </w:r>
    </w:p>
    <w:p w14:paraId="1ED71E1A" w14:textId="2F5A8FAD" w:rsidR="00825E43" w:rsidRPr="0000230A" w:rsidRDefault="00825E43" w:rsidP="0000230A">
      <w:pPr>
        <w:spacing w:line="360" w:lineRule="auto"/>
        <w:rPr>
          <w:rFonts w:ascii="Arial" w:hAnsi="Arial" w:cs="Arial"/>
          <w:sz w:val="22"/>
          <w:szCs w:val="22"/>
        </w:rPr>
      </w:pPr>
    </w:p>
    <w:p w14:paraId="3DAA9939" w14:textId="77777777" w:rsidR="00825E43" w:rsidRPr="0000230A" w:rsidRDefault="00825E43" w:rsidP="0000230A">
      <w:pPr>
        <w:pStyle w:val="Heading2"/>
        <w:spacing w:line="360" w:lineRule="auto"/>
        <w:rPr>
          <w:rFonts w:cs="Arial"/>
          <w:szCs w:val="22"/>
        </w:rPr>
      </w:pPr>
      <w:bookmarkStart w:id="34" w:name="_Toc215043377"/>
      <w:r w:rsidRPr="0000230A">
        <w:rPr>
          <w:rStyle w:val="Strong"/>
          <w:rFonts w:cs="Arial"/>
          <w:b w:val="0"/>
          <w:bCs/>
          <w:szCs w:val="22"/>
        </w:rPr>
        <w:t>3.9 Conclusion</w:t>
      </w:r>
      <w:bookmarkEnd w:id="34"/>
    </w:p>
    <w:p w14:paraId="54C4E803" w14:textId="77777777" w:rsidR="00825E43"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This chapter has outlined the process used to identify, assess, and analyse literature related to socioeconomic disadvantage, substance misuse, and mental health in England. Guided by Aveyard’s (2023) review strategy and Braun and Clarke’s (2006) thematic framework, the study synthesised</w:t>
      </w:r>
      <w:r w:rsidRPr="0000230A">
        <w:rPr>
          <w:rStyle w:val="apple-converted-space"/>
          <w:rFonts w:ascii="Arial" w:hAnsi="Arial" w:cs="Arial"/>
          <w:color w:val="000000"/>
          <w:sz w:val="22"/>
          <w:szCs w:val="22"/>
        </w:rPr>
        <w:t> </w:t>
      </w:r>
      <w:r w:rsidRPr="0000230A">
        <w:rPr>
          <w:rStyle w:val="Strong"/>
          <w:rFonts w:ascii="Arial" w:hAnsi="Arial" w:cs="Arial"/>
          <w:b w:val="0"/>
          <w:bCs w:val="0"/>
          <w:color w:val="000000"/>
          <w:sz w:val="22"/>
          <w:szCs w:val="22"/>
        </w:rPr>
        <w:t>30 robust sources</w:t>
      </w:r>
      <w:r w:rsidRPr="0000230A">
        <w:rPr>
          <w:rStyle w:val="apple-converted-space"/>
          <w:rFonts w:ascii="Arial" w:hAnsi="Arial" w:cs="Arial"/>
          <w:color w:val="000000"/>
          <w:sz w:val="22"/>
          <w:szCs w:val="22"/>
        </w:rPr>
        <w:t> </w:t>
      </w:r>
      <w:r w:rsidRPr="0000230A">
        <w:rPr>
          <w:rFonts w:ascii="Arial" w:hAnsi="Arial" w:cs="Arial"/>
          <w:color w:val="000000"/>
          <w:sz w:val="22"/>
          <w:szCs w:val="22"/>
        </w:rPr>
        <w:t>from an initial pool of 150.</w:t>
      </w:r>
    </w:p>
    <w:p w14:paraId="24924AAF" w14:textId="6F0D4F12" w:rsidR="00C005CE" w:rsidRPr="0000230A" w:rsidRDefault="00825E43" w:rsidP="0000230A">
      <w:pPr>
        <w:pStyle w:val="NormalWeb"/>
        <w:spacing w:line="360" w:lineRule="auto"/>
        <w:rPr>
          <w:rFonts w:ascii="Arial" w:hAnsi="Arial" w:cs="Arial"/>
          <w:color w:val="000000"/>
          <w:sz w:val="22"/>
          <w:szCs w:val="22"/>
        </w:rPr>
      </w:pPr>
      <w:r w:rsidRPr="0000230A">
        <w:rPr>
          <w:rFonts w:ascii="Arial" w:hAnsi="Arial" w:cs="Arial"/>
          <w:color w:val="000000"/>
          <w:sz w:val="22"/>
          <w:szCs w:val="22"/>
        </w:rPr>
        <w:t>The next chapter presents the thematic findings that emerged from this process, highlighting the interconnected nature of poverty, untreated mental health, and substance misuse.</w:t>
      </w:r>
    </w:p>
    <w:p w14:paraId="61431AEF" w14:textId="77777777" w:rsidR="00007F2C" w:rsidRPr="0000230A" w:rsidRDefault="00007F2C" w:rsidP="0000230A">
      <w:pPr>
        <w:pStyle w:val="Heading1"/>
        <w:spacing w:line="360" w:lineRule="auto"/>
        <w:rPr>
          <w:rFonts w:cs="Arial"/>
          <w:szCs w:val="22"/>
        </w:rPr>
      </w:pPr>
      <w:bookmarkStart w:id="35" w:name="_Toc215043378"/>
      <w:r w:rsidRPr="0000230A">
        <w:rPr>
          <w:rStyle w:val="Strong"/>
          <w:rFonts w:eastAsiaTheme="majorEastAsia" w:cs="Arial"/>
          <w:b/>
          <w:bCs/>
          <w:szCs w:val="22"/>
        </w:rPr>
        <w:lastRenderedPageBreak/>
        <w:t>Chapter 4: Findings and Discussion</w:t>
      </w:r>
      <w:bookmarkEnd w:id="35"/>
    </w:p>
    <w:p w14:paraId="666D28E0" w14:textId="77777777" w:rsidR="00007F2C" w:rsidRPr="0000230A" w:rsidRDefault="00007F2C" w:rsidP="0000230A">
      <w:pPr>
        <w:pStyle w:val="Heading2"/>
        <w:spacing w:line="360" w:lineRule="auto"/>
        <w:rPr>
          <w:rFonts w:cs="Arial"/>
          <w:szCs w:val="22"/>
        </w:rPr>
      </w:pPr>
      <w:bookmarkStart w:id="36" w:name="_Toc215043379"/>
      <w:r w:rsidRPr="0000230A">
        <w:rPr>
          <w:rStyle w:val="Strong"/>
          <w:rFonts w:eastAsiaTheme="majorEastAsia" w:cs="Arial"/>
          <w:b w:val="0"/>
          <w:bCs/>
          <w:szCs w:val="22"/>
        </w:rPr>
        <w:t>4.1 Introduction</w:t>
      </w:r>
      <w:bookmarkEnd w:id="36"/>
    </w:p>
    <w:p w14:paraId="18A28089" w14:textId="763486DB" w:rsidR="00A4510D" w:rsidRPr="0000230A" w:rsidRDefault="00C40CF1" w:rsidP="0000230A">
      <w:pPr>
        <w:spacing w:line="360" w:lineRule="auto"/>
        <w:rPr>
          <w:rFonts w:ascii="Arial" w:hAnsi="Arial" w:cs="Arial"/>
          <w:sz w:val="22"/>
          <w:szCs w:val="22"/>
        </w:rPr>
      </w:pPr>
      <w:r w:rsidRPr="00C40CF1">
        <w:rPr>
          <w:rFonts w:ascii="Arial" w:hAnsi="Arial" w:cs="Arial"/>
          <w:color w:val="000000"/>
          <w:sz w:val="22"/>
          <w:szCs w:val="22"/>
        </w:rPr>
        <w:t>This chapter critically discusses the findings of the systematic literature review exploring the relationship between low-income status, substance abuse, and untreated mental health issues in England. It synthesises trends identified across thirty high-quality sources, including ten primary studies from peer-reviewed journals, government publications, and policy documents. The data were analysed thematically following Braun and Clarke’s (2006) six-step framework. Codes were generated inductively from recurring patterns across the literature and organised into conceptual categories, which informed the development of the key themes. The chapter expands on these patterns and interprets them through the theoretical frameworks of the social determinants of health (Marmot, 2020), the biopsychosocial model (Engel, 1977), and dual diagnosis theory (NICE, 2022).</w:t>
      </w:r>
      <w:r w:rsidR="00A4510D" w:rsidRPr="0000230A">
        <w:rPr>
          <w:rFonts w:ascii="Arial" w:hAnsi="Arial" w:cs="Arial"/>
          <w:color w:val="000000"/>
          <w:sz w:val="22"/>
          <w:szCs w:val="22"/>
        </w:rPr>
        <w:t xml:space="preserve"> </w:t>
      </w:r>
    </w:p>
    <w:p w14:paraId="3B54FC87"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Five central themes emerged from the analysis:</w:t>
      </w:r>
    </w:p>
    <w:p w14:paraId="4668ABF9"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1. Low-Income Status and Substance Misuse</w:t>
      </w:r>
    </w:p>
    <w:p w14:paraId="389A3CA2"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2. Untreated mental health disorders and dual diagnoses</w:t>
      </w:r>
    </w:p>
    <w:p w14:paraId="1014F024"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3. Barriers to Access and Service Inequality</w:t>
      </w:r>
    </w:p>
    <w:p w14:paraId="0E4D4E07"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4. Policy, Legislation, and Public Health Frameworks</w:t>
      </w:r>
    </w:p>
    <w:p w14:paraId="46B717D1"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5. The Impact of COVID-19 on Health Inequalities</w:t>
      </w:r>
    </w:p>
    <w:p w14:paraId="564B413E" w14:textId="77777777" w:rsidR="00A4510D" w:rsidRPr="0000230A" w:rsidRDefault="00C40CF1" w:rsidP="0000230A">
      <w:pPr>
        <w:spacing w:line="360" w:lineRule="auto"/>
        <w:rPr>
          <w:rFonts w:ascii="Arial" w:hAnsi="Arial" w:cs="Arial"/>
          <w:sz w:val="22"/>
          <w:szCs w:val="22"/>
        </w:rPr>
      </w:pPr>
      <w:r w:rsidRPr="00C40CF1">
        <w:rPr>
          <w:rFonts w:ascii="Arial" w:hAnsi="Arial" w:cs="Arial"/>
          <w:color w:val="000000"/>
          <w:sz w:val="22"/>
          <w:szCs w:val="22"/>
        </w:rPr>
        <w:t>Each theme is presented with attention to definition, background, empirical evidence, theoretical relevance, and policy context. Together, these themes highlight the complex interplay between socioeconomic deprivation, substance misuse, and mental health challenges in England, illustrating how systemic inequalities continue to shape health outcomes.</w:t>
      </w:r>
      <w:r w:rsidR="00A4510D" w:rsidRPr="0000230A">
        <w:rPr>
          <w:rFonts w:ascii="Arial" w:hAnsi="Arial" w:cs="Arial"/>
          <w:color w:val="000000"/>
          <w:sz w:val="22"/>
          <w:szCs w:val="22"/>
        </w:rPr>
        <w:t xml:space="preserve"> See Appendix B for the coding table, the CRAAP evaluation and the source tracking table that informed theme development.</w:t>
      </w:r>
    </w:p>
    <w:p w14:paraId="173FBE3C" w14:textId="2012D479" w:rsidR="00C40CF1" w:rsidRPr="00C40CF1" w:rsidRDefault="00C40CF1" w:rsidP="0000230A">
      <w:pPr>
        <w:spacing w:line="360" w:lineRule="auto"/>
        <w:rPr>
          <w:rFonts w:ascii="Arial" w:hAnsi="Arial" w:cs="Arial"/>
          <w:sz w:val="22"/>
          <w:szCs w:val="22"/>
        </w:rPr>
      </w:pPr>
    </w:p>
    <w:p w14:paraId="642B752C" w14:textId="77777777" w:rsidR="00007F2C" w:rsidRPr="0000230A" w:rsidRDefault="00007F2C" w:rsidP="0000230A">
      <w:pPr>
        <w:spacing w:line="360" w:lineRule="auto"/>
        <w:rPr>
          <w:rFonts w:ascii="Arial" w:hAnsi="Arial" w:cs="Arial"/>
          <w:color w:val="000000" w:themeColor="text1"/>
          <w:sz w:val="22"/>
          <w:szCs w:val="22"/>
        </w:rPr>
      </w:pPr>
    </w:p>
    <w:p w14:paraId="723B16A3" w14:textId="6C9F4CF0" w:rsidR="00007F2C" w:rsidRDefault="00007F2C" w:rsidP="0000230A">
      <w:pPr>
        <w:spacing w:line="360" w:lineRule="auto"/>
        <w:rPr>
          <w:rFonts w:ascii="Arial" w:hAnsi="Arial" w:cs="Arial"/>
          <w:color w:val="000000" w:themeColor="text1"/>
          <w:sz w:val="22"/>
          <w:szCs w:val="22"/>
        </w:rPr>
      </w:pPr>
    </w:p>
    <w:p w14:paraId="36578681" w14:textId="77777777" w:rsidR="0000230A" w:rsidRPr="0000230A" w:rsidRDefault="0000230A" w:rsidP="0000230A">
      <w:pPr>
        <w:spacing w:line="360" w:lineRule="auto"/>
        <w:rPr>
          <w:rFonts w:ascii="Arial" w:hAnsi="Arial" w:cs="Arial"/>
          <w:color w:val="000000" w:themeColor="text1"/>
          <w:sz w:val="22"/>
          <w:szCs w:val="22"/>
        </w:rPr>
      </w:pPr>
    </w:p>
    <w:p w14:paraId="06599458" w14:textId="77777777" w:rsidR="00007F2C" w:rsidRPr="0000230A" w:rsidRDefault="00007F2C" w:rsidP="0000230A">
      <w:pPr>
        <w:spacing w:line="360" w:lineRule="auto"/>
        <w:rPr>
          <w:rFonts w:ascii="Arial" w:hAnsi="Arial" w:cs="Arial"/>
          <w:color w:val="000000" w:themeColor="text1"/>
          <w:sz w:val="22"/>
          <w:szCs w:val="22"/>
        </w:rPr>
      </w:pPr>
    </w:p>
    <w:p w14:paraId="359CA3A0" w14:textId="77777777" w:rsidR="00007F2C" w:rsidRPr="0000230A" w:rsidRDefault="00007F2C" w:rsidP="0000230A">
      <w:pPr>
        <w:pStyle w:val="Heading1"/>
        <w:spacing w:line="360" w:lineRule="auto"/>
        <w:rPr>
          <w:rFonts w:cs="Arial"/>
          <w:szCs w:val="22"/>
        </w:rPr>
      </w:pPr>
      <w:bookmarkStart w:id="37" w:name="_Toc215043380"/>
      <w:r w:rsidRPr="0000230A">
        <w:rPr>
          <w:rFonts w:cs="Arial"/>
          <w:szCs w:val="22"/>
        </w:rPr>
        <w:lastRenderedPageBreak/>
        <w:t>4.2 Theme 1: Low-Income Status and Substance Misuse in England</w:t>
      </w:r>
      <w:bookmarkEnd w:id="37"/>
    </w:p>
    <w:p w14:paraId="553DF8AE" w14:textId="77777777" w:rsidR="00007F2C" w:rsidRPr="0000230A" w:rsidRDefault="00007F2C" w:rsidP="0000230A">
      <w:pPr>
        <w:pStyle w:val="Heading2"/>
        <w:spacing w:line="360" w:lineRule="auto"/>
        <w:rPr>
          <w:rFonts w:cs="Arial"/>
          <w:szCs w:val="22"/>
        </w:rPr>
      </w:pPr>
      <w:bookmarkStart w:id="38" w:name="_Toc215043381"/>
      <w:r w:rsidRPr="0000230A">
        <w:rPr>
          <w:rFonts w:cs="Arial"/>
          <w:szCs w:val="22"/>
        </w:rPr>
        <w:t>1.Definition and Scope</w:t>
      </w:r>
      <w:bookmarkEnd w:id="38"/>
    </w:p>
    <w:p w14:paraId="457A16F5"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The Joseph Rowntree Foundation (2023) defines individuals and households as low-income if their earnings fall below the national median. This, in turn, might make it difficult for them to afford necessities like housing, healthcare, and education. Within the context of this dissertation, “substance misuse” includes harmful or hazardous use of drugs or alcohol that leads to social, psychological, or physical harm (Public Health England, 2021). This theme explores how poverty and economic disadvantage contribute to substance misuse patterns in England, setting the foundation for understanding wider health inequalities.</w:t>
      </w:r>
    </w:p>
    <w:p w14:paraId="77CF967C" w14:textId="77777777" w:rsidR="00007F2C" w:rsidRPr="0000230A" w:rsidRDefault="00007F2C" w:rsidP="0000230A">
      <w:pPr>
        <w:pStyle w:val="Heading2"/>
        <w:spacing w:line="360" w:lineRule="auto"/>
        <w:rPr>
          <w:rFonts w:cs="Arial"/>
          <w:szCs w:val="22"/>
        </w:rPr>
      </w:pPr>
      <w:bookmarkStart w:id="39" w:name="_Toc215043382"/>
      <w:r w:rsidRPr="0000230A">
        <w:rPr>
          <w:rFonts w:cs="Arial"/>
          <w:szCs w:val="22"/>
        </w:rPr>
        <w:t>2.Background</w:t>
      </w:r>
      <w:bookmarkEnd w:id="39"/>
      <w:r w:rsidRPr="0000230A">
        <w:rPr>
          <w:rFonts w:cs="Arial"/>
          <w:szCs w:val="22"/>
        </w:rPr>
        <w:t xml:space="preserve"> </w:t>
      </w:r>
    </w:p>
    <w:p w14:paraId="71CCF8F2"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 xml:space="preserve">A strong correlation has been shown between low income and drug misuse. Historical data shows that </w:t>
      </w:r>
      <w:proofErr w:type="gramStart"/>
      <w:r w:rsidRPr="0000230A">
        <w:rPr>
          <w:rFonts w:ascii="Arial" w:hAnsi="Arial" w:cs="Arial"/>
          <w:color w:val="000000" w:themeColor="text1"/>
          <w:sz w:val="22"/>
          <w:szCs w:val="22"/>
        </w:rPr>
        <w:t>economically disadvantaged</w:t>
      </w:r>
      <w:proofErr w:type="gramEnd"/>
      <w:r w:rsidRPr="0000230A">
        <w:rPr>
          <w:rFonts w:ascii="Arial" w:hAnsi="Arial" w:cs="Arial"/>
          <w:color w:val="000000" w:themeColor="text1"/>
          <w:sz w:val="22"/>
          <w:szCs w:val="22"/>
        </w:rPr>
        <w:t xml:space="preserve"> communities have higher substance use and harm rates (Black, 2021). Since 2010, austerity, youth centres closures, addiction service cuts, and rising living costs have exacerbated these vulnerabilities (Marmot, 2020). Studies indicate that substance use serves as a coping strategy and reflects social marginalisation (Karamanos et al., 2022). Chronic stress, job insecurity, and housing instability increase misuse risk in low-income areas (JRF, 2023). These patterns show how poverty fuels drug use, which compounds financial hardship.</w:t>
      </w:r>
    </w:p>
    <w:p w14:paraId="5F775D50" w14:textId="77777777" w:rsidR="00007F2C" w:rsidRPr="0000230A" w:rsidRDefault="00007F2C" w:rsidP="0000230A">
      <w:pPr>
        <w:spacing w:line="360" w:lineRule="auto"/>
        <w:rPr>
          <w:rFonts w:ascii="Arial" w:hAnsi="Arial" w:cs="Arial"/>
          <w:color w:val="000000" w:themeColor="text1"/>
          <w:sz w:val="22"/>
          <w:szCs w:val="22"/>
        </w:rPr>
      </w:pPr>
    </w:p>
    <w:p w14:paraId="0143BA95" w14:textId="77777777" w:rsidR="00007F2C" w:rsidRPr="0000230A" w:rsidRDefault="00007F2C" w:rsidP="0000230A">
      <w:pPr>
        <w:spacing w:line="360" w:lineRule="auto"/>
        <w:rPr>
          <w:rFonts w:ascii="Arial" w:hAnsi="Arial" w:cs="Arial"/>
          <w:sz w:val="22"/>
          <w:szCs w:val="22"/>
        </w:rPr>
      </w:pPr>
      <w:r w:rsidRPr="0000230A">
        <w:rPr>
          <w:rFonts w:ascii="Arial" w:hAnsi="Arial" w:cs="Arial"/>
          <w:sz w:val="22"/>
          <w:szCs w:val="22"/>
        </w:rPr>
        <w:t>Key Statistics 2023</w:t>
      </w:r>
    </w:p>
    <w:p w14:paraId="1E59848D" w14:textId="77777777" w:rsidR="00007F2C" w:rsidRPr="0000230A" w:rsidRDefault="00007F2C" w:rsidP="0000230A">
      <w:pPr>
        <w:numPr>
          <w:ilvl w:val="0"/>
          <w:numId w:val="11"/>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People living in England’s most deprived areas are five times more likely to die from drug misuse than those in affluent regions (ONS, 2023).</w:t>
      </w:r>
    </w:p>
    <w:p w14:paraId="6B3EE552" w14:textId="77777777" w:rsidR="00007F2C" w:rsidRPr="0000230A" w:rsidRDefault="00007F2C" w:rsidP="0000230A">
      <w:pPr>
        <w:numPr>
          <w:ilvl w:val="0"/>
          <w:numId w:val="11"/>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64% of adults in treatment for substance misuse report being unemployed or economically inactive (NHS Digital, 2023).</w:t>
      </w:r>
    </w:p>
    <w:p w14:paraId="66F066CC" w14:textId="77777777" w:rsidR="00007F2C" w:rsidRPr="0000230A" w:rsidRDefault="00007F2C" w:rsidP="0000230A">
      <w:pPr>
        <w:numPr>
          <w:ilvl w:val="0"/>
          <w:numId w:val="11"/>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Drug-related deaths reached 4,907 in 2022, the highest number since records began (ONS, 2023).</w:t>
      </w:r>
    </w:p>
    <w:p w14:paraId="2FA486D6" w14:textId="77777777" w:rsidR="00007F2C" w:rsidRPr="0000230A" w:rsidRDefault="00007F2C" w:rsidP="0000230A">
      <w:pPr>
        <w:spacing w:line="360" w:lineRule="auto"/>
        <w:rPr>
          <w:rFonts w:ascii="Arial" w:hAnsi="Arial" w:cs="Arial"/>
          <w:color w:val="000000" w:themeColor="text1"/>
          <w:sz w:val="22"/>
          <w:szCs w:val="22"/>
        </w:rPr>
      </w:pPr>
    </w:p>
    <w:p w14:paraId="55D59AB4" w14:textId="77777777" w:rsidR="00007F2C" w:rsidRPr="0000230A" w:rsidRDefault="00007F2C" w:rsidP="0000230A">
      <w:pPr>
        <w:spacing w:line="360" w:lineRule="auto"/>
        <w:rPr>
          <w:rFonts w:ascii="Arial" w:hAnsi="Arial" w:cs="Arial"/>
          <w:color w:val="000000" w:themeColor="text1"/>
          <w:sz w:val="22"/>
          <w:szCs w:val="22"/>
        </w:rPr>
      </w:pPr>
    </w:p>
    <w:p w14:paraId="7E9CD8DB" w14:textId="77777777" w:rsidR="00007F2C" w:rsidRPr="0000230A" w:rsidRDefault="00007F2C" w:rsidP="0000230A">
      <w:pPr>
        <w:spacing w:line="360" w:lineRule="auto"/>
        <w:rPr>
          <w:rFonts w:ascii="Arial" w:hAnsi="Arial" w:cs="Arial"/>
          <w:color w:val="000000" w:themeColor="text1"/>
          <w:sz w:val="22"/>
          <w:szCs w:val="22"/>
        </w:rPr>
      </w:pPr>
    </w:p>
    <w:p w14:paraId="62385838" w14:textId="77777777" w:rsidR="00007F2C" w:rsidRPr="0000230A" w:rsidRDefault="00007F2C" w:rsidP="0000230A">
      <w:pPr>
        <w:spacing w:line="360" w:lineRule="auto"/>
        <w:rPr>
          <w:rFonts w:ascii="Arial" w:hAnsi="Arial" w:cs="Arial"/>
          <w:color w:val="000000" w:themeColor="text1"/>
          <w:sz w:val="22"/>
          <w:szCs w:val="22"/>
        </w:rPr>
      </w:pPr>
    </w:p>
    <w:p w14:paraId="15FEA0B3" w14:textId="77777777" w:rsidR="00433871" w:rsidRPr="0000230A" w:rsidRDefault="00433871" w:rsidP="0000230A">
      <w:pPr>
        <w:spacing w:line="360" w:lineRule="auto"/>
        <w:rPr>
          <w:rFonts w:ascii="Arial" w:hAnsi="Arial" w:cs="Arial"/>
          <w:color w:val="000000" w:themeColor="text1"/>
          <w:sz w:val="22"/>
          <w:szCs w:val="22"/>
        </w:rPr>
      </w:pPr>
    </w:p>
    <w:p w14:paraId="7D0E42E0" w14:textId="77777777" w:rsidR="00007F2C" w:rsidRPr="0000230A" w:rsidRDefault="00007F2C" w:rsidP="0000230A">
      <w:pPr>
        <w:pStyle w:val="Heading2"/>
        <w:spacing w:line="360" w:lineRule="auto"/>
        <w:rPr>
          <w:rFonts w:cs="Arial"/>
          <w:szCs w:val="22"/>
        </w:rPr>
      </w:pPr>
      <w:bookmarkStart w:id="40" w:name="_Toc215043383"/>
      <w:r w:rsidRPr="0000230A">
        <w:rPr>
          <w:rFonts w:cs="Arial"/>
          <w:szCs w:val="22"/>
        </w:rPr>
        <w:lastRenderedPageBreak/>
        <w:t>3.Relevance to Research Question</w:t>
      </w:r>
      <w:bookmarkEnd w:id="40"/>
    </w:p>
    <w:p w14:paraId="27287B8B"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This theme directly supports the dissertation’s central question: Is there a correlation between low-income status and higher rates of substance misuse in England, and how does this intersect with levels of untreated mental health disorders?</w:t>
      </w:r>
      <w:r w:rsidRPr="0000230A">
        <w:rPr>
          <w:rFonts w:ascii="Arial" w:hAnsi="Arial" w:cs="Arial"/>
          <w:i/>
          <w:iCs/>
          <w:color w:val="000000" w:themeColor="text1"/>
          <w:sz w:val="22"/>
          <w:szCs w:val="22"/>
        </w:rPr>
        <w:t xml:space="preserve"> </w:t>
      </w:r>
      <w:r w:rsidRPr="0000230A">
        <w:rPr>
          <w:rFonts w:ascii="Arial" w:hAnsi="Arial" w:cs="Arial"/>
          <w:color w:val="000000" w:themeColor="text1"/>
          <w:sz w:val="22"/>
          <w:szCs w:val="22"/>
        </w:rPr>
        <w:t>By establishing the socioeconomic gradient of drug misuse, this section provides a foundation for analysing how income inequalities intersect with access to mental health services, as explored in later themes. Poverty not only increases vulnerability to addiction but also limits access to timely support, thereby entrenching the issue (Marmot, 2020; Pierce et al., 2020).</w:t>
      </w:r>
    </w:p>
    <w:p w14:paraId="57185A30" w14:textId="77777777" w:rsidR="00007F2C" w:rsidRPr="0000230A" w:rsidRDefault="00007F2C" w:rsidP="0000230A">
      <w:pPr>
        <w:pStyle w:val="Heading2"/>
        <w:spacing w:line="360" w:lineRule="auto"/>
        <w:rPr>
          <w:rFonts w:cs="Arial"/>
          <w:szCs w:val="22"/>
        </w:rPr>
      </w:pPr>
      <w:bookmarkStart w:id="41" w:name="_Toc215043384"/>
      <w:r w:rsidRPr="0000230A">
        <w:rPr>
          <w:rFonts w:cs="Arial"/>
          <w:szCs w:val="22"/>
        </w:rPr>
        <w:t>4.Data and Statistics</w:t>
      </w:r>
      <w:bookmarkEnd w:id="41"/>
    </w:p>
    <w:p w14:paraId="5C48C358"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 xml:space="preserve">Recent government data continues to show strong geographical and economic disparities. According to NHS Digital (2023), 53% of individuals entering drug treatment services in England reside in the lowest income quintile. These figures correlate closely with unemployment and housing instability, reflecting how deprivation drives vulnerability. ONS (2023) further reports that the </w:t>
      </w:r>
      <w:proofErr w:type="gramStart"/>
      <w:r w:rsidRPr="0000230A">
        <w:rPr>
          <w:rFonts w:ascii="Arial" w:hAnsi="Arial" w:cs="Arial"/>
          <w:color w:val="000000" w:themeColor="text1"/>
          <w:sz w:val="22"/>
          <w:szCs w:val="22"/>
        </w:rPr>
        <w:t>North East</w:t>
      </w:r>
      <w:proofErr w:type="gramEnd"/>
      <w:r w:rsidRPr="0000230A">
        <w:rPr>
          <w:rFonts w:ascii="Arial" w:hAnsi="Arial" w:cs="Arial"/>
          <w:color w:val="000000" w:themeColor="text1"/>
          <w:sz w:val="22"/>
          <w:szCs w:val="22"/>
        </w:rPr>
        <w:t xml:space="preserve"> consistently records the highest rates of drug misuse deaths, over 104 deaths per million people compared to 27 per million in London, highlighting how structural inequality manifests regionally.</w:t>
      </w:r>
    </w:p>
    <w:p w14:paraId="6E7AF3FD"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br/>
        <w:t xml:space="preserve">The Marmot Review (2020): 10 Years </w:t>
      </w:r>
      <w:proofErr w:type="gramStart"/>
      <w:r w:rsidRPr="0000230A">
        <w:rPr>
          <w:rFonts w:ascii="Arial" w:hAnsi="Arial" w:cs="Arial"/>
          <w:color w:val="000000" w:themeColor="text1"/>
          <w:sz w:val="22"/>
          <w:szCs w:val="22"/>
        </w:rPr>
        <w:t>The</w:t>
      </w:r>
      <w:proofErr w:type="gramEnd"/>
      <w:r w:rsidRPr="0000230A">
        <w:rPr>
          <w:rFonts w:ascii="Arial" w:hAnsi="Arial" w:cs="Arial"/>
          <w:color w:val="000000" w:themeColor="text1"/>
          <w:sz w:val="22"/>
          <w:szCs w:val="22"/>
        </w:rPr>
        <w:t xml:space="preserve"> Marmot Review concluded that austerity policies and cuts to local authority funding disproportionately harmed lower-income communities, thereby increasing health inequalities. It calls for a “whole-system approach” addressing poverty, employment, and education as root causes of poor health outcomes.</w:t>
      </w:r>
    </w:p>
    <w:p w14:paraId="7DEF15C3" w14:textId="77777777" w:rsidR="00007F2C" w:rsidRPr="0000230A" w:rsidRDefault="00007F2C" w:rsidP="0000230A">
      <w:pPr>
        <w:spacing w:line="360" w:lineRule="auto"/>
        <w:rPr>
          <w:rFonts w:ascii="Arial" w:hAnsi="Arial" w:cs="Arial"/>
          <w:color w:val="000000" w:themeColor="text1"/>
          <w:sz w:val="22"/>
          <w:szCs w:val="22"/>
        </w:rPr>
      </w:pPr>
    </w:p>
    <w:p w14:paraId="5822C68F" w14:textId="77777777" w:rsidR="00007F2C" w:rsidRPr="0000230A" w:rsidRDefault="00007F2C" w:rsidP="0000230A">
      <w:pPr>
        <w:pStyle w:val="Heading2"/>
        <w:spacing w:line="360" w:lineRule="auto"/>
        <w:rPr>
          <w:rFonts w:cs="Arial"/>
          <w:szCs w:val="22"/>
        </w:rPr>
      </w:pPr>
      <w:bookmarkStart w:id="42" w:name="_Toc215043385"/>
      <w:r w:rsidRPr="0000230A">
        <w:rPr>
          <w:rFonts w:cs="Arial"/>
          <w:szCs w:val="22"/>
        </w:rPr>
        <w:t>5.Theories, Policy, and Legislation</w:t>
      </w:r>
      <w:bookmarkEnd w:id="42"/>
    </w:p>
    <w:p w14:paraId="49284B5E"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 xml:space="preserve">The Social Determinants of Health framework (Marmot, 2005; WHO, 2022) provides a theoretical lens to explain how income, employment, and environment influence substance misuse. It argues that socioeconomic conditions shape health outcomes long before individual choices come into play. Complementary theories, including structural violence (Farmer, 2004), underscore the ways in which economic and political systems sustain disadvantage and restrict access to support. Within England, the UK Drug Strategy (Home Office, 2021) and the Public Health Outcomes Framework both recognise poverty as a key </w:t>
      </w:r>
      <w:r w:rsidRPr="0000230A">
        <w:rPr>
          <w:rFonts w:ascii="Arial" w:hAnsi="Arial" w:cs="Arial"/>
          <w:color w:val="000000" w:themeColor="text1"/>
          <w:sz w:val="22"/>
          <w:szCs w:val="22"/>
        </w:rPr>
        <w:lastRenderedPageBreak/>
        <w:t>determinant but have been criticised for underfunding community-based prevention programmes (Black, 2021).</w:t>
      </w:r>
    </w:p>
    <w:p w14:paraId="29E032CF" w14:textId="77777777" w:rsidR="00007F2C" w:rsidRPr="0000230A" w:rsidRDefault="00007F2C" w:rsidP="0000230A">
      <w:pPr>
        <w:pStyle w:val="Heading2"/>
        <w:spacing w:line="360" w:lineRule="auto"/>
        <w:rPr>
          <w:rFonts w:cs="Arial"/>
          <w:szCs w:val="22"/>
        </w:rPr>
      </w:pPr>
      <w:bookmarkStart w:id="43" w:name="_Toc215043386"/>
      <w:r w:rsidRPr="0000230A">
        <w:rPr>
          <w:rFonts w:cs="Arial"/>
          <w:szCs w:val="22"/>
        </w:rPr>
        <w:t>6.Examples from Articles</w:t>
      </w:r>
      <w:bookmarkEnd w:id="43"/>
    </w:p>
    <w:p w14:paraId="190A0AFD" w14:textId="752B8DEB"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Molina and Whittaker (2022) discovered that adults with adverse childhood experiences (ACEs) and poor socioeconomic position exhibited a higher propensity for developing co-occurring substance use and trauma-related illnesses. Similarly, Karamanos et al. (2022) identified socioeconomic position and ethnicity as moderators in adolescent drug use, with deprivation amplifying risk. Research by Mind (2022) and Pierce et al. (2020) demonstrates that individuals in lower income brackets are not only more prone to substance misuse but also face delays in receiving mental health care, reinforcing a dual cycle of neglect and dependency.</w:t>
      </w:r>
    </w:p>
    <w:p w14:paraId="2320E481" w14:textId="79E66D61" w:rsidR="00772E44" w:rsidRPr="0000230A" w:rsidRDefault="00C918CF" w:rsidP="0000230A">
      <w:pPr>
        <w:spacing w:line="360" w:lineRule="auto"/>
        <w:rPr>
          <w:rFonts w:ascii="Arial" w:hAnsi="Arial" w:cs="Arial"/>
          <w:sz w:val="22"/>
          <w:szCs w:val="22"/>
        </w:rPr>
      </w:pPr>
      <w:r w:rsidRPr="00C918CF">
        <w:rPr>
          <w:rFonts w:ascii="Arial" w:hAnsi="Arial" w:cs="Arial"/>
          <w:color w:val="000000"/>
          <w:sz w:val="22"/>
          <w:szCs w:val="22"/>
        </w:rPr>
        <w:t>Taken together, the evidence indicates that low-income status is not only correlated with substance misuse but actively shapes the conditions in which addiction develops. These patterns suggest that socioeconomic instability contributes directly to chronic relapse and reduced treatment engagement.</w:t>
      </w:r>
    </w:p>
    <w:p w14:paraId="315452F2" w14:textId="77777777" w:rsidR="00007F2C" w:rsidRPr="0000230A" w:rsidRDefault="00007F2C" w:rsidP="0000230A">
      <w:pPr>
        <w:pStyle w:val="Heading2"/>
        <w:spacing w:line="360" w:lineRule="auto"/>
        <w:rPr>
          <w:rFonts w:cs="Arial"/>
          <w:szCs w:val="22"/>
        </w:rPr>
      </w:pPr>
      <w:bookmarkStart w:id="44" w:name="_Toc215043387"/>
      <w:r w:rsidRPr="0000230A">
        <w:rPr>
          <w:rFonts w:cs="Arial"/>
          <w:szCs w:val="22"/>
        </w:rPr>
        <w:t>7.Connections to Other Themes</w:t>
      </w:r>
      <w:bookmarkEnd w:id="44"/>
    </w:p>
    <w:p w14:paraId="0AFEC8E3" w14:textId="17FF213F"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This theme connects directly to the next, which focuses on untreated mental health disorders. Low-income individuals often face limited access to mental health services, leading to self-medication and dependency on substances. The interplay between financial stress and emotional distress forms a key intersection explored further in Theme 2. Furthermore, this discussion links the policy failures and funding inequalities to Theme 4, which critically evaluates legislative frameworks.</w:t>
      </w:r>
    </w:p>
    <w:p w14:paraId="46AE649D" w14:textId="77777777" w:rsidR="00C918CF" w:rsidRPr="00C918CF" w:rsidRDefault="00C918CF" w:rsidP="0000230A">
      <w:pPr>
        <w:spacing w:line="360" w:lineRule="auto"/>
        <w:rPr>
          <w:rFonts w:ascii="Arial" w:hAnsi="Arial" w:cs="Arial"/>
          <w:sz w:val="22"/>
          <w:szCs w:val="22"/>
        </w:rPr>
      </w:pPr>
      <w:r w:rsidRPr="00C918CF">
        <w:rPr>
          <w:rFonts w:ascii="Arial" w:hAnsi="Arial" w:cs="Arial"/>
          <w:color w:val="000000"/>
          <w:sz w:val="22"/>
          <w:szCs w:val="22"/>
        </w:rPr>
        <w:t>Overall, this theme demonstrates how poverty acts as a structural driver of substance misuse, forming a foundation for the intersections explored in subsequent themes.</w:t>
      </w:r>
    </w:p>
    <w:p w14:paraId="31AB1CDE" w14:textId="77777777" w:rsidR="00C918CF" w:rsidRPr="0000230A" w:rsidRDefault="00C918CF" w:rsidP="0000230A">
      <w:pPr>
        <w:spacing w:before="100" w:beforeAutospacing="1" w:after="100" w:afterAutospacing="1" w:line="360" w:lineRule="auto"/>
        <w:rPr>
          <w:rFonts w:ascii="Arial" w:hAnsi="Arial" w:cs="Arial"/>
          <w:color w:val="000000" w:themeColor="text1"/>
          <w:sz w:val="22"/>
          <w:szCs w:val="22"/>
        </w:rPr>
      </w:pPr>
    </w:p>
    <w:p w14:paraId="6B6D5E11" w14:textId="77777777" w:rsidR="00007F2C" w:rsidRPr="0000230A" w:rsidRDefault="00007F2C" w:rsidP="0000230A">
      <w:pPr>
        <w:spacing w:line="360" w:lineRule="auto"/>
        <w:rPr>
          <w:rFonts w:ascii="Arial" w:hAnsi="Arial" w:cs="Arial"/>
          <w:color w:val="000000" w:themeColor="text1"/>
          <w:sz w:val="22"/>
          <w:szCs w:val="22"/>
        </w:rPr>
      </w:pPr>
    </w:p>
    <w:p w14:paraId="5DBE9574" w14:textId="77777777" w:rsidR="00007F2C" w:rsidRPr="0000230A" w:rsidRDefault="00007F2C" w:rsidP="0000230A">
      <w:pPr>
        <w:spacing w:line="360" w:lineRule="auto"/>
        <w:rPr>
          <w:rFonts w:ascii="Arial" w:hAnsi="Arial" w:cs="Arial"/>
          <w:color w:val="000000" w:themeColor="text1"/>
          <w:sz w:val="22"/>
          <w:szCs w:val="22"/>
        </w:rPr>
      </w:pPr>
    </w:p>
    <w:p w14:paraId="737876E7" w14:textId="77777777" w:rsidR="00007F2C" w:rsidRPr="0000230A" w:rsidRDefault="00007F2C" w:rsidP="0000230A">
      <w:pPr>
        <w:spacing w:line="360" w:lineRule="auto"/>
        <w:rPr>
          <w:rFonts w:ascii="Arial" w:hAnsi="Arial" w:cs="Arial"/>
          <w:color w:val="000000" w:themeColor="text1"/>
          <w:sz w:val="22"/>
          <w:szCs w:val="22"/>
        </w:rPr>
      </w:pPr>
    </w:p>
    <w:p w14:paraId="08F866B6" w14:textId="70939BE9" w:rsidR="00007F2C" w:rsidRDefault="00007F2C" w:rsidP="0000230A">
      <w:pPr>
        <w:spacing w:line="360" w:lineRule="auto"/>
        <w:rPr>
          <w:rFonts w:ascii="Arial" w:hAnsi="Arial" w:cs="Arial"/>
          <w:color w:val="000000" w:themeColor="text1"/>
          <w:sz w:val="22"/>
          <w:szCs w:val="22"/>
        </w:rPr>
      </w:pPr>
    </w:p>
    <w:p w14:paraId="69D13F3D" w14:textId="77777777" w:rsidR="0000230A" w:rsidRPr="0000230A" w:rsidRDefault="0000230A" w:rsidP="0000230A">
      <w:pPr>
        <w:spacing w:line="360" w:lineRule="auto"/>
        <w:rPr>
          <w:rFonts w:ascii="Arial" w:hAnsi="Arial" w:cs="Arial"/>
          <w:color w:val="000000" w:themeColor="text1"/>
          <w:sz w:val="22"/>
          <w:szCs w:val="22"/>
        </w:rPr>
      </w:pPr>
    </w:p>
    <w:p w14:paraId="3C89118F" w14:textId="77777777" w:rsidR="00007F2C" w:rsidRPr="0000230A" w:rsidRDefault="00007F2C" w:rsidP="0000230A">
      <w:pPr>
        <w:pStyle w:val="Heading1"/>
        <w:spacing w:line="360" w:lineRule="auto"/>
        <w:rPr>
          <w:rFonts w:cs="Arial"/>
          <w:szCs w:val="22"/>
        </w:rPr>
      </w:pPr>
      <w:bookmarkStart w:id="45" w:name="_Toc215043388"/>
      <w:r w:rsidRPr="0000230A">
        <w:rPr>
          <w:rFonts w:cs="Arial"/>
          <w:szCs w:val="22"/>
        </w:rPr>
        <w:lastRenderedPageBreak/>
        <w:t>4.3 Theme 2: Untreated Mental Health Disorders and Dual Diagnosis</w:t>
      </w:r>
      <w:bookmarkEnd w:id="45"/>
    </w:p>
    <w:p w14:paraId="717372B0" w14:textId="77777777" w:rsidR="00007F2C" w:rsidRPr="0000230A" w:rsidRDefault="00007F2C" w:rsidP="0000230A">
      <w:pPr>
        <w:pStyle w:val="Heading2"/>
        <w:spacing w:line="360" w:lineRule="auto"/>
        <w:rPr>
          <w:rFonts w:cs="Arial"/>
          <w:szCs w:val="22"/>
        </w:rPr>
      </w:pPr>
      <w:bookmarkStart w:id="46" w:name="_Toc215043389"/>
      <w:r w:rsidRPr="0000230A">
        <w:rPr>
          <w:rFonts w:cs="Arial"/>
          <w:szCs w:val="22"/>
        </w:rPr>
        <w:t>1.Definition and Scope</w:t>
      </w:r>
      <w:bookmarkEnd w:id="46"/>
    </w:p>
    <w:p w14:paraId="7503BEAC"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In this study, untreated mental health illnesses denote psychological conditions, including anxiety, sadness, and post-traumatic stress disorder (PTSD), that are either undiagnosed or insufficiently addressed (Mind, 2022). 'Dual diagnosis' refers to the simultaneous presence of a mental health condition and a drug use disorder in an individual (Molina &amp; Whittaker, 2022). This overlap frequently leads to more severe consequences, such as increased relapse rates, social marginalisation, and diminished involvement with treatment programmes (Public Health England, 2021).</w:t>
      </w:r>
    </w:p>
    <w:p w14:paraId="2BB6CCB0" w14:textId="77777777" w:rsidR="00007F2C" w:rsidRPr="0000230A" w:rsidRDefault="00007F2C" w:rsidP="0000230A">
      <w:pPr>
        <w:pStyle w:val="Heading2"/>
        <w:spacing w:line="360" w:lineRule="auto"/>
        <w:rPr>
          <w:rFonts w:cs="Arial"/>
          <w:szCs w:val="22"/>
        </w:rPr>
      </w:pPr>
      <w:bookmarkStart w:id="47" w:name="_Toc215043390"/>
      <w:r w:rsidRPr="0000230A">
        <w:rPr>
          <w:rFonts w:cs="Arial"/>
          <w:szCs w:val="22"/>
        </w:rPr>
        <w:t>2.Background</w:t>
      </w:r>
      <w:bookmarkEnd w:id="47"/>
      <w:r w:rsidRPr="0000230A">
        <w:rPr>
          <w:rFonts w:cs="Arial"/>
          <w:szCs w:val="22"/>
        </w:rPr>
        <w:t xml:space="preserve"> </w:t>
      </w:r>
    </w:p>
    <w:p w14:paraId="1ED74DB0"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The correlation between substance usage and mental health issues is acknowledged as bidirectional: mental illness may precipitate substance abuse as a coping strategy, whereas sustained substance use can exacerbate or induce mental health symptoms (Pierce et al., 2020). Historically, services addressing these illnesses have functioned in isolation, resulting in fragmented care. Research indicates that approximately one-third of individuals who engage in drug use concurrently experience a mental health disorder (NHS Digital, 2023). The absence of cohesive support channels is especially pronounced in disadvantaged communities, where stigma, insufficient financing, and prolonged waiting periods further restrict access to assistance (Black, 2021; Marmot, 2020).</w:t>
      </w:r>
    </w:p>
    <w:p w14:paraId="44CC12EF" w14:textId="77777777" w:rsidR="00007F2C" w:rsidRPr="0000230A" w:rsidRDefault="00007F2C" w:rsidP="0000230A">
      <w:pPr>
        <w:spacing w:line="360" w:lineRule="auto"/>
        <w:rPr>
          <w:rFonts w:ascii="Arial" w:hAnsi="Arial" w:cs="Arial"/>
          <w:color w:val="000000" w:themeColor="text1"/>
          <w:sz w:val="22"/>
          <w:szCs w:val="22"/>
        </w:rPr>
      </w:pPr>
    </w:p>
    <w:p w14:paraId="63FF24ED" w14:textId="77777777" w:rsidR="00007F2C" w:rsidRPr="0000230A" w:rsidRDefault="00007F2C" w:rsidP="0000230A">
      <w:pPr>
        <w:spacing w:line="360" w:lineRule="auto"/>
        <w:rPr>
          <w:rFonts w:ascii="Arial" w:hAnsi="Arial" w:cs="Arial"/>
          <w:sz w:val="22"/>
          <w:szCs w:val="22"/>
        </w:rPr>
      </w:pPr>
      <w:r w:rsidRPr="0000230A">
        <w:rPr>
          <w:rFonts w:ascii="Arial" w:hAnsi="Arial" w:cs="Arial"/>
          <w:sz w:val="22"/>
          <w:szCs w:val="22"/>
        </w:rPr>
        <w:t>Key Statistics 2023</w:t>
      </w:r>
    </w:p>
    <w:p w14:paraId="4E388A96" w14:textId="77777777" w:rsidR="00007F2C" w:rsidRPr="0000230A" w:rsidRDefault="00007F2C" w:rsidP="0000230A">
      <w:pPr>
        <w:numPr>
          <w:ilvl w:val="0"/>
          <w:numId w:val="12"/>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Around 60% of individuals in addiction treatment report symptoms of anxiety or depression (NHS Digital, 2023).</w:t>
      </w:r>
    </w:p>
    <w:p w14:paraId="6A298B4F" w14:textId="77777777" w:rsidR="00007F2C" w:rsidRPr="0000230A" w:rsidRDefault="00007F2C" w:rsidP="0000230A">
      <w:pPr>
        <w:numPr>
          <w:ilvl w:val="0"/>
          <w:numId w:val="12"/>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Only 37% of people with co-occurring substance misuse and mental health problems receive integrated care (Public Health England, 2021).</w:t>
      </w:r>
    </w:p>
    <w:p w14:paraId="56D24857" w14:textId="77777777" w:rsidR="00007F2C" w:rsidRPr="0000230A" w:rsidRDefault="00007F2C" w:rsidP="0000230A">
      <w:pPr>
        <w:numPr>
          <w:ilvl w:val="0"/>
          <w:numId w:val="12"/>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People in the lowest income bracket are twice as likely to experience chronic psychological distress (ONS, 2023).</w:t>
      </w:r>
    </w:p>
    <w:p w14:paraId="5C2E07FF"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p>
    <w:p w14:paraId="27D5AC6A" w14:textId="77777777" w:rsidR="00007F2C" w:rsidRPr="0000230A" w:rsidRDefault="00007F2C" w:rsidP="0000230A">
      <w:pPr>
        <w:spacing w:line="360" w:lineRule="auto"/>
        <w:rPr>
          <w:rFonts w:ascii="Arial" w:hAnsi="Arial" w:cs="Arial"/>
          <w:color w:val="000000" w:themeColor="text1"/>
          <w:sz w:val="22"/>
          <w:szCs w:val="22"/>
        </w:rPr>
      </w:pPr>
    </w:p>
    <w:p w14:paraId="4B441B93" w14:textId="77777777" w:rsidR="00007F2C" w:rsidRPr="0000230A" w:rsidRDefault="00007F2C" w:rsidP="0000230A">
      <w:pPr>
        <w:spacing w:line="360" w:lineRule="auto"/>
        <w:rPr>
          <w:rFonts w:ascii="Arial" w:hAnsi="Arial" w:cs="Arial"/>
          <w:color w:val="000000" w:themeColor="text1"/>
          <w:sz w:val="22"/>
          <w:szCs w:val="22"/>
        </w:rPr>
      </w:pPr>
    </w:p>
    <w:p w14:paraId="0EE2B1AB" w14:textId="77777777" w:rsidR="00007F2C" w:rsidRPr="0000230A" w:rsidRDefault="00007F2C" w:rsidP="0000230A">
      <w:pPr>
        <w:pStyle w:val="Heading2"/>
        <w:spacing w:line="360" w:lineRule="auto"/>
        <w:rPr>
          <w:rFonts w:cs="Arial"/>
          <w:szCs w:val="22"/>
        </w:rPr>
      </w:pPr>
      <w:bookmarkStart w:id="48" w:name="_Toc215043391"/>
      <w:r w:rsidRPr="0000230A">
        <w:rPr>
          <w:rFonts w:cs="Arial"/>
          <w:szCs w:val="22"/>
        </w:rPr>
        <w:lastRenderedPageBreak/>
        <w:t>3. Relevance to Research Question</w:t>
      </w:r>
      <w:bookmarkEnd w:id="48"/>
    </w:p>
    <w:p w14:paraId="29C6A9BD" w14:textId="69371C45"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This theme deepens the central inquiry by examining how untreated mental health disorders intersect with low-income status and substance misuse in England. It explains why individuals experiencing poverty are at greater risk: limited mental health support leads many to self-medicate with alcohol or drugs, further worsening financial instability (Karamanos et al., 2022). Understanding this dual dynamic is crucial for designing equitable interventions that target both mental and social determinants simultaneously.</w:t>
      </w:r>
    </w:p>
    <w:p w14:paraId="02446B85" w14:textId="15DD88BD" w:rsidR="00772E44" w:rsidRPr="0000230A" w:rsidRDefault="00772E44" w:rsidP="0000230A">
      <w:pPr>
        <w:spacing w:before="100" w:beforeAutospacing="1" w:after="100" w:afterAutospacing="1" w:line="360" w:lineRule="auto"/>
        <w:rPr>
          <w:rFonts w:ascii="Arial" w:hAnsi="Arial" w:cs="Arial"/>
          <w:color w:val="000000" w:themeColor="text1"/>
          <w:sz w:val="22"/>
          <w:szCs w:val="22"/>
        </w:rPr>
      </w:pPr>
    </w:p>
    <w:p w14:paraId="6ED36FB6" w14:textId="77777777" w:rsidR="00772E44" w:rsidRPr="0000230A" w:rsidRDefault="00772E44" w:rsidP="0000230A">
      <w:pPr>
        <w:spacing w:before="100" w:beforeAutospacing="1" w:after="100" w:afterAutospacing="1" w:line="360" w:lineRule="auto"/>
        <w:rPr>
          <w:rFonts w:ascii="Arial" w:hAnsi="Arial" w:cs="Arial"/>
          <w:color w:val="000000" w:themeColor="text1"/>
          <w:sz w:val="22"/>
          <w:szCs w:val="22"/>
        </w:rPr>
      </w:pPr>
    </w:p>
    <w:p w14:paraId="456A8F7A" w14:textId="77777777" w:rsidR="00007F2C" w:rsidRPr="0000230A" w:rsidRDefault="00007F2C" w:rsidP="0000230A">
      <w:pPr>
        <w:pStyle w:val="Heading2"/>
        <w:spacing w:line="360" w:lineRule="auto"/>
        <w:rPr>
          <w:rFonts w:cs="Arial"/>
          <w:szCs w:val="22"/>
        </w:rPr>
      </w:pPr>
      <w:bookmarkStart w:id="49" w:name="_Toc215043392"/>
      <w:r w:rsidRPr="0000230A">
        <w:rPr>
          <w:rFonts w:cs="Arial"/>
          <w:szCs w:val="22"/>
        </w:rPr>
        <w:t>4. Data and Statistics</w:t>
      </w:r>
      <w:bookmarkEnd w:id="49"/>
    </w:p>
    <w:p w14:paraId="240F10AA"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A 2023 NHS Digital report found that co-occurring mental health and substance use disorders were most prevalent among unemployed adults aged 25 - 44. The Adult Psychiatric Morbidity Survey (APMS, 2022) revealed that over 70% of people with substance dependency reported experiencing at least one common mental disorder, compared with 17% in the general population. These data illustrate how untreated mental illness amplifies vulnerability, especially when compounded by socioeconomic hardship.</w:t>
      </w:r>
    </w:p>
    <w:p w14:paraId="70FF1F53"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br/>
        <w:t>The NHS Long Term Plan (2019) pledged to expand integrated mental health and addiction services, emphasising “no wrong door” access for dual-diagnosis patients. However, recent evaluations show progress has been slow, particularly in deprived local authorities where workforce shortages persist (NHS England, 2023).</w:t>
      </w:r>
    </w:p>
    <w:p w14:paraId="06619DA1" w14:textId="77777777" w:rsidR="00007F2C" w:rsidRPr="0000230A" w:rsidRDefault="00007F2C" w:rsidP="0000230A">
      <w:pPr>
        <w:spacing w:line="360" w:lineRule="auto"/>
        <w:rPr>
          <w:rFonts w:ascii="Arial" w:hAnsi="Arial" w:cs="Arial"/>
          <w:color w:val="000000" w:themeColor="text1"/>
          <w:sz w:val="22"/>
          <w:szCs w:val="22"/>
        </w:rPr>
      </w:pPr>
    </w:p>
    <w:p w14:paraId="69E8E14F" w14:textId="77777777" w:rsidR="00007F2C" w:rsidRPr="0000230A" w:rsidRDefault="00007F2C" w:rsidP="0000230A">
      <w:pPr>
        <w:pStyle w:val="Heading2"/>
        <w:spacing w:line="360" w:lineRule="auto"/>
        <w:rPr>
          <w:rFonts w:cs="Arial"/>
          <w:szCs w:val="22"/>
        </w:rPr>
      </w:pPr>
      <w:bookmarkStart w:id="50" w:name="_Toc215043393"/>
      <w:r w:rsidRPr="0000230A">
        <w:rPr>
          <w:rFonts w:cs="Arial"/>
          <w:szCs w:val="22"/>
        </w:rPr>
        <w:t>5. Theories, Policy, and Legislation</w:t>
      </w:r>
      <w:bookmarkEnd w:id="50"/>
    </w:p>
    <w:p w14:paraId="261879E7"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The biopsychosocial model (Engel, 1977) provides a useful framework for understanding dual diagnosis, integrating biological, psychological, and social dimensions of illness. It aligns with the Social Determinants of Health framework (Marmot, 2005), suggesting that external factors such as income and environment influence both mental and physical wellbeing. Additionally, trauma theory (Herman, 1992) explains how unresolved trauma, often linked to poverty and instability, can trigger both mental distress and substance use as maladaptive coping.</w:t>
      </w:r>
    </w:p>
    <w:p w14:paraId="14096378" w14:textId="39044DDB"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lastRenderedPageBreak/>
        <w:t>Policy-wise, England’s Drug Strategy (2021</w:t>
      </w:r>
      <w:r w:rsidR="00772E44" w:rsidRPr="0000230A">
        <w:rPr>
          <w:rFonts w:ascii="Arial" w:hAnsi="Arial" w:cs="Arial"/>
          <w:color w:val="000000" w:themeColor="text1"/>
          <w:sz w:val="22"/>
          <w:szCs w:val="22"/>
        </w:rPr>
        <w:t xml:space="preserve"> - </w:t>
      </w:r>
      <w:r w:rsidRPr="0000230A">
        <w:rPr>
          <w:rFonts w:ascii="Arial" w:hAnsi="Arial" w:cs="Arial"/>
          <w:color w:val="000000" w:themeColor="text1"/>
          <w:sz w:val="22"/>
          <w:szCs w:val="22"/>
        </w:rPr>
        <w:t>2026) and the Community Mental Health Framework (2021) emphasise that patients require integrated care. Nevertheless, studies such as Mind (2022) reveal that implementation remains inconsistent, with local commissioning gaps particularly evident in low-income boroughs.</w:t>
      </w:r>
    </w:p>
    <w:p w14:paraId="4739B02F" w14:textId="77777777" w:rsidR="00007F2C" w:rsidRPr="0000230A" w:rsidRDefault="00007F2C" w:rsidP="0000230A">
      <w:pPr>
        <w:pStyle w:val="Heading2"/>
        <w:spacing w:line="360" w:lineRule="auto"/>
        <w:rPr>
          <w:rFonts w:cs="Arial"/>
          <w:szCs w:val="22"/>
        </w:rPr>
      </w:pPr>
      <w:bookmarkStart w:id="51" w:name="_Toc215043394"/>
      <w:r w:rsidRPr="0000230A">
        <w:rPr>
          <w:rFonts w:cs="Arial"/>
          <w:szCs w:val="22"/>
        </w:rPr>
        <w:t>6. Examples from Articles</w:t>
      </w:r>
      <w:bookmarkEnd w:id="51"/>
    </w:p>
    <w:p w14:paraId="0B28E0C1" w14:textId="47253FF4"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Molina and Whittaker (2022) demonstrated that adults with ACEs who lacked access to trauma-informed therapy were more likely to relapse into substance misuse. Pierce et al. (2020) discovered that stress associated with COVID-19 intensified pre-existing mental health inequities, disproportionately impacting individuals in poverty. Similarly, Black (2021) highlighted systemic under-investment in dual-diagnosis services, resulting in fragmented treatment and poorer outcomes for vulnerable populations.</w:t>
      </w:r>
    </w:p>
    <w:p w14:paraId="31A8C366" w14:textId="77777777" w:rsidR="00C918CF" w:rsidRPr="00C918CF" w:rsidRDefault="00C918CF" w:rsidP="0000230A">
      <w:pPr>
        <w:spacing w:line="360" w:lineRule="auto"/>
        <w:rPr>
          <w:rFonts w:ascii="Arial" w:hAnsi="Arial" w:cs="Arial"/>
          <w:sz w:val="22"/>
          <w:szCs w:val="22"/>
        </w:rPr>
      </w:pPr>
      <w:r w:rsidRPr="00C918CF">
        <w:rPr>
          <w:rFonts w:ascii="Arial" w:hAnsi="Arial" w:cs="Arial"/>
          <w:color w:val="000000"/>
          <w:sz w:val="22"/>
          <w:szCs w:val="22"/>
        </w:rPr>
        <w:t>These findings collectively indicate that dual diagnosis is not simply a clinical issue but a social one: untreated mental illness intensifies reliance on substances, while substance misuse worsens psychological distress. The cyclical interaction between the two is especially visible in low-income groups, where barriers to treatment are most pronounced.</w:t>
      </w:r>
    </w:p>
    <w:p w14:paraId="7B13410A" w14:textId="77777777" w:rsidR="00C918CF" w:rsidRPr="0000230A" w:rsidRDefault="00C918CF" w:rsidP="0000230A">
      <w:pPr>
        <w:spacing w:before="100" w:beforeAutospacing="1" w:after="100" w:afterAutospacing="1" w:line="360" w:lineRule="auto"/>
        <w:rPr>
          <w:rFonts w:ascii="Arial" w:hAnsi="Arial" w:cs="Arial"/>
          <w:color w:val="000000" w:themeColor="text1"/>
          <w:sz w:val="22"/>
          <w:szCs w:val="22"/>
        </w:rPr>
      </w:pPr>
    </w:p>
    <w:p w14:paraId="3A43123F" w14:textId="77777777" w:rsidR="00007F2C" w:rsidRPr="0000230A" w:rsidRDefault="00007F2C" w:rsidP="0000230A">
      <w:pPr>
        <w:pStyle w:val="Heading2"/>
        <w:spacing w:line="360" w:lineRule="auto"/>
        <w:rPr>
          <w:rFonts w:cs="Arial"/>
          <w:szCs w:val="22"/>
        </w:rPr>
      </w:pPr>
      <w:bookmarkStart w:id="52" w:name="_Toc215043395"/>
      <w:r w:rsidRPr="0000230A">
        <w:rPr>
          <w:rFonts w:cs="Arial"/>
          <w:szCs w:val="22"/>
        </w:rPr>
        <w:t>7. Connections to Other Themes</w:t>
      </w:r>
      <w:bookmarkEnd w:id="52"/>
    </w:p>
    <w:p w14:paraId="3A1FD553" w14:textId="03E3A893"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This theme links back to Theme 1, where financial deprivation was shown to increase psychosocial stress and risk of substance misuse. The overlap between economic stress and mental distress underscores a vicious cycle: poverty limits access to therapy, while untreated illness reduces employability. It also connects forward to Theme 3, which examines how systemic barriers such as funding cuts and regional inequalities prevent access to integrated treatment.</w:t>
      </w:r>
    </w:p>
    <w:p w14:paraId="44FA7627" w14:textId="77777777" w:rsidR="00C918CF" w:rsidRPr="00C918CF" w:rsidRDefault="00C918CF" w:rsidP="0000230A">
      <w:pPr>
        <w:spacing w:line="360" w:lineRule="auto"/>
        <w:rPr>
          <w:rFonts w:ascii="Arial" w:hAnsi="Arial" w:cs="Arial"/>
          <w:sz w:val="22"/>
          <w:szCs w:val="22"/>
        </w:rPr>
      </w:pPr>
      <w:r w:rsidRPr="00C918CF">
        <w:rPr>
          <w:rFonts w:ascii="Arial" w:hAnsi="Arial" w:cs="Arial"/>
          <w:color w:val="000000"/>
          <w:sz w:val="22"/>
          <w:szCs w:val="22"/>
        </w:rPr>
        <w:t>This theme reinforces the research aim by showing that untreated mental health disorders magnify the effects of poverty on substance misuse.</w:t>
      </w:r>
    </w:p>
    <w:p w14:paraId="4FC6CD84" w14:textId="77777777" w:rsidR="00C918CF" w:rsidRPr="0000230A" w:rsidRDefault="00C918CF" w:rsidP="0000230A">
      <w:pPr>
        <w:spacing w:before="100" w:beforeAutospacing="1" w:after="100" w:afterAutospacing="1" w:line="360" w:lineRule="auto"/>
        <w:rPr>
          <w:rFonts w:ascii="Arial" w:hAnsi="Arial" w:cs="Arial"/>
          <w:color w:val="000000" w:themeColor="text1"/>
          <w:sz w:val="22"/>
          <w:szCs w:val="22"/>
        </w:rPr>
      </w:pPr>
    </w:p>
    <w:p w14:paraId="54860FD6" w14:textId="77777777" w:rsidR="00433871" w:rsidRPr="0000230A" w:rsidRDefault="00433871" w:rsidP="0000230A">
      <w:pPr>
        <w:spacing w:beforeAutospacing="1" w:afterAutospacing="1" w:line="360" w:lineRule="auto"/>
        <w:rPr>
          <w:rFonts w:ascii="Arial" w:hAnsi="Arial" w:cs="Arial"/>
          <w:color w:val="000000" w:themeColor="text1"/>
          <w:sz w:val="22"/>
          <w:szCs w:val="22"/>
        </w:rPr>
      </w:pPr>
    </w:p>
    <w:p w14:paraId="2CB517BC" w14:textId="40682544" w:rsidR="00007F2C" w:rsidRPr="0000230A" w:rsidRDefault="00007F2C" w:rsidP="0000230A">
      <w:pPr>
        <w:spacing w:beforeAutospacing="1" w:afterAutospacing="1" w:line="360" w:lineRule="auto"/>
        <w:rPr>
          <w:rFonts w:ascii="Arial" w:hAnsi="Arial" w:cs="Arial"/>
          <w:color w:val="000000" w:themeColor="text1"/>
          <w:sz w:val="22"/>
          <w:szCs w:val="22"/>
        </w:rPr>
      </w:pPr>
    </w:p>
    <w:p w14:paraId="766A6AAE" w14:textId="77777777" w:rsidR="00772E44" w:rsidRPr="0000230A" w:rsidRDefault="00772E44" w:rsidP="0000230A">
      <w:pPr>
        <w:spacing w:beforeAutospacing="1" w:afterAutospacing="1" w:line="360" w:lineRule="auto"/>
        <w:rPr>
          <w:rFonts w:ascii="Arial" w:hAnsi="Arial" w:cs="Arial"/>
          <w:color w:val="000000" w:themeColor="text1"/>
          <w:sz w:val="22"/>
          <w:szCs w:val="22"/>
        </w:rPr>
      </w:pPr>
    </w:p>
    <w:p w14:paraId="3A5C4557" w14:textId="77777777" w:rsidR="00007F2C" w:rsidRPr="0000230A" w:rsidRDefault="00007F2C" w:rsidP="0000230A">
      <w:pPr>
        <w:pStyle w:val="Heading1"/>
        <w:spacing w:line="360" w:lineRule="auto"/>
        <w:rPr>
          <w:rFonts w:cs="Arial"/>
          <w:szCs w:val="22"/>
        </w:rPr>
      </w:pPr>
      <w:bookmarkStart w:id="53" w:name="_Toc215043396"/>
      <w:r w:rsidRPr="0000230A">
        <w:rPr>
          <w:rFonts w:cs="Arial"/>
          <w:szCs w:val="22"/>
        </w:rPr>
        <w:t xml:space="preserve">4.4 </w:t>
      </w:r>
      <w:r w:rsidRPr="0000230A">
        <w:rPr>
          <w:rFonts w:eastAsiaTheme="majorEastAsia" w:cs="Arial"/>
          <w:szCs w:val="22"/>
        </w:rPr>
        <w:t>Theme 3: Socioeconomic Barriers to Treatment Access</w:t>
      </w:r>
      <w:bookmarkEnd w:id="53"/>
    </w:p>
    <w:p w14:paraId="00DCDD5F" w14:textId="77777777" w:rsidR="00007F2C" w:rsidRPr="0000230A" w:rsidRDefault="00007F2C" w:rsidP="0000230A">
      <w:pPr>
        <w:pStyle w:val="Heading2"/>
        <w:spacing w:line="360" w:lineRule="auto"/>
        <w:rPr>
          <w:rFonts w:cs="Arial"/>
          <w:szCs w:val="22"/>
        </w:rPr>
      </w:pPr>
      <w:bookmarkStart w:id="54" w:name="_Toc215043397"/>
      <w:r w:rsidRPr="0000230A">
        <w:rPr>
          <w:rFonts w:cs="Arial"/>
          <w:szCs w:val="22"/>
        </w:rPr>
        <w:t>1. Definition and Scope</w:t>
      </w:r>
      <w:bookmarkEnd w:id="54"/>
    </w:p>
    <w:p w14:paraId="342532EB" w14:textId="64A30321"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Socioeconomic barriers refer to obstacles that prevent individuals, particularly those from low-income backgrounds, from accessing healthcare or treatment services. These barriers include financial hardship, digital exclusion, transportation expenses, social stigma, and long waiting times (NHS Digital, 2023). In the context of this research, such barriers play a central role in determining who receives timely help for substance misuse and mental health problems and who remains excluded from care.</w:t>
      </w:r>
    </w:p>
    <w:p w14:paraId="47FB35E0" w14:textId="77777777" w:rsidR="00772E44" w:rsidRPr="0000230A" w:rsidRDefault="00772E44" w:rsidP="0000230A">
      <w:pPr>
        <w:spacing w:before="100" w:beforeAutospacing="1" w:after="100" w:afterAutospacing="1" w:line="360" w:lineRule="auto"/>
        <w:rPr>
          <w:rFonts w:ascii="Arial" w:hAnsi="Arial" w:cs="Arial"/>
          <w:color w:val="000000" w:themeColor="text1"/>
          <w:sz w:val="22"/>
          <w:szCs w:val="22"/>
        </w:rPr>
      </w:pPr>
    </w:p>
    <w:p w14:paraId="121F3E10" w14:textId="77777777" w:rsidR="00007F2C" w:rsidRPr="0000230A" w:rsidRDefault="00007F2C" w:rsidP="0000230A">
      <w:pPr>
        <w:pStyle w:val="Heading2"/>
        <w:spacing w:line="360" w:lineRule="auto"/>
        <w:rPr>
          <w:rFonts w:cs="Arial"/>
          <w:szCs w:val="22"/>
        </w:rPr>
      </w:pPr>
      <w:bookmarkStart w:id="55" w:name="_Toc215043398"/>
      <w:r w:rsidRPr="0000230A">
        <w:rPr>
          <w:rFonts w:cs="Arial"/>
          <w:szCs w:val="22"/>
        </w:rPr>
        <w:t>2. Background</w:t>
      </w:r>
      <w:bookmarkEnd w:id="55"/>
      <w:r w:rsidRPr="0000230A">
        <w:rPr>
          <w:rFonts w:cs="Arial"/>
          <w:szCs w:val="22"/>
        </w:rPr>
        <w:t xml:space="preserve"> </w:t>
      </w:r>
    </w:p>
    <w:p w14:paraId="66E9686E" w14:textId="77777777" w:rsidR="002821F5" w:rsidRPr="0000230A" w:rsidRDefault="002821F5" w:rsidP="0000230A">
      <w:pPr>
        <w:spacing w:line="360" w:lineRule="auto"/>
        <w:rPr>
          <w:rFonts w:ascii="Arial" w:hAnsi="Arial" w:cs="Arial"/>
          <w:color w:val="000000"/>
          <w:sz w:val="22"/>
          <w:szCs w:val="22"/>
        </w:rPr>
      </w:pPr>
      <w:r w:rsidRPr="00AE5620">
        <w:rPr>
          <w:rFonts w:ascii="Arial" w:hAnsi="Arial" w:cs="Arial"/>
          <w:color w:val="000000"/>
          <w:sz w:val="22"/>
          <w:szCs w:val="22"/>
        </w:rPr>
        <w:t>Health inequalities in England have deepened in the past decade due to austerity and the restructuring of public services (Marmot, 2020). Local authorities have reduced their funding by over 40% since 2013, affecting many addiction and mental health treatment programmes (Black, 2021). Consequently, the reduction or centralisation of services in deprived areas has made them less accessible for those without transportation or digital means (Mind, 2022).</w:t>
      </w:r>
    </w:p>
    <w:p w14:paraId="23582824" w14:textId="77777777" w:rsidR="002821F5" w:rsidRPr="00AE5620" w:rsidRDefault="002821F5" w:rsidP="0000230A">
      <w:pPr>
        <w:spacing w:line="360" w:lineRule="auto"/>
        <w:rPr>
          <w:rFonts w:ascii="Arial" w:hAnsi="Arial" w:cs="Arial"/>
          <w:sz w:val="22"/>
          <w:szCs w:val="22"/>
        </w:rPr>
      </w:pPr>
    </w:p>
    <w:p w14:paraId="0808C14D" w14:textId="77C810E7" w:rsidR="002821F5" w:rsidRPr="00AE5620" w:rsidRDefault="00684878" w:rsidP="0000230A">
      <w:pPr>
        <w:spacing w:line="360" w:lineRule="auto"/>
        <w:rPr>
          <w:rFonts w:ascii="Arial" w:hAnsi="Arial" w:cs="Arial"/>
          <w:sz w:val="22"/>
          <w:szCs w:val="22"/>
        </w:rPr>
      </w:pPr>
      <w:r w:rsidRPr="00AE5620">
        <w:rPr>
          <w:rFonts w:ascii="Arial" w:hAnsi="Arial" w:cs="Arial"/>
          <w:color w:val="000000"/>
          <w:sz w:val="22"/>
          <w:szCs w:val="22"/>
        </w:rPr>
        <w:t>these</w:t>
      </w:r>
      <w:r w:rsidR="002821F5" w:rsidRPr="00AE5620">
        <w:rPr>
          <w:rFonts w:ascii="Arial" w:hAnsi="Arial" w:cs="Arial"/>
          <w:color w:val="000000"/>
          <w:sz w:val="22"/>
          <w:szCs w:val="22"/>
        </w:rPr>
        <w:t xml:space="preserve"> financial pressures have resulted in the closure of community centres, reduced outreach work, and increased waiting times for essential services. Such changes disproportionately impact individuals in low-income areas, who are often the most dependent on publicly funded support but the least able to travel or pay privately for treatment (Health Foundation, 2023).</w:t>
      </w:r>
    </w:p>
    <w:p w14:paraId="52EC60BE" w14:textId="77777777" w:rsidR="002821F5" w:rsidRPr="0000230A" w:rsidRDefault="002821F5" w:rsidP="0000230A">
      <w:pPr>
        <w:spacing w:line="360" w:lineRule="auto"/>
        <w:rPr>
          <w:rFonts w:ascii="Arial" w:hAnsi="Arial" w:cs="Arial"/>
          <w:sz w:val="22"/>
          <w:szCs w:val="22"/>
        </w:rPr>
      </w:pPr>
    </w:p>
    <w:p w14:paraId="51483496" w14:textId="77777777" w:rsidR="002821F5" w:rsidRPr="00AE5620" w:rsidRDefault="002821F5" w:rsidP="0000230A">
      <w:pPr>
        <w:spacing w:line="360" w:lineRule="auto"/>
        <w:rPr>
          <w:rFonts w:ascii="Arial" w:hAnsi="Arial" w:cs="Arial"/>
          <w:sz w:val="22"/>
          <w:szCs w:val="22"/>
        </w:rPr>
      </w:pPr>
      <w:r w:rsidRPr="0000230A">
        <w:rPr>
          <w:rFonts w:ascii="Arial" w:hAnsi="Arial" w:cs="Arial"/>
          <w:color w:val="000000"/>
          <w:sz w:val="22"/>
          <w:szCs w:val="22"/>
        </w:rPr>
        <w:t>T</w:t>
      </w:r>
      <w:r w:rsidRPr="00AE5620">
        <w:rPr>
          <w:rFonts w:ascii="Arial" w:hAnsi="Arial" w:cs="Arial"/>
          <w:color w:val="000000"/>
          <w:sz w:val="22"/>
          <w:szCs w:val="22"/>
        </w:rPr>
        <w:t>he introduction of remote consultations during the pandemic also widened the digital divide. While improving access for some, it excluded others who lacked internet access, digital literacy, or stable housing (NHS England, 2023). This shift highlights how technological solutions can unintentionally reinforce existing inequalities.</w:t>
      </w:r>
    </w:p>
    <w:p w14:paraId="64771AAF" w14:textId="188405FA" w:rsidR="00772E44" w:rsidRPr="0000230A" w:rsidRDefault="00772E44" w:rsidP="0000230A">
      <w:pPr>
        <w:spacing w:before="100" w:beforeAutospacing="1" w:after="100" w:afterAutospacing="1" w:line="360" w:lineRule="auto"/>
        <w:rPr>
          <w:rFonts w:ascii="Arial" w:hAnsi="Arial" w:cs="Arial"/>
          <w:color w:val="000000" w:themeColor="text1"/>
          <w:sz w:val="22"/>
          <w:szCs w:val="22"/>
        </w:rPr>
      </w:pPr>
    </w:p>
    <w:p w14:paraId="1BE61479" w14:textId="77777777" w:rsidR="002821F5" w:rsidRPr="0000230A" w:rsidRDefault="002821F5" w:rsidP="0000230A">
      <w:pPr>
        <w:spacing w:before="100" w:beforeAutospacing="1" w:after="100" w:afterAutospacing="1" w:line="360" w:lineRule="auto"/>
        <w:rPr>
          <w:rFonts w:ascii="Arial" w:hAnsi="Arial" w:cs="Arial"/>
          <w:color w:val="000000" w:themeColor="text1"/>
          <w:sz w:val="22"/>
          <w:szCs w:val="22"/>
        </w:rPr>
      </w:pPr>
    </w:p>
    <w:p w14:paraId="3A87DC44" w14:textId="77777777" w:rsidR="00007F2C" w:rsidRPr="0000230A" w:rsidRDefault="00007F2C" w:rsidP="0000230A">
      <w:pPr>
        <w:spacing w:line="360" w:lineRule="auto"/>
        <w:rPr>
          <w:rFonts w:ascii="Arial" w:hAnsi="Arial" w:cs="Arial"/>
          <w:color w:val="000000" w:themeColor="text1"/>
          <w:sz w:val="22"/>
          <w:szCs w:val="22"/>
        </w:rPr>
      </w:pPr>
    </w:p>
    <w:p w14:paraId="0919F99E" w14:textId="77777777" w:rsidR="00007F2C" w:rsidRPr="0000230A" w:rsidRDefault="00007F2C" w:rsidP="0000230A">
      <w:pPr>
        <w:spacing w:line="360" w:lineRule="auto"/>
        <w:rPr>
          <w:rFonts w:ascii="Arial" w:hAnsi="Arial" w:cs="Arial"/>
          <w:sz w:val="22"/>
          <w:szCs w:val="22"/>
        </w:rPr>
      </w:pPr>
      <w:r w:rsidRPr="0000230A">
        <w:rPr>
          <w:rFonts w:ascii="Arial" w:hAnsi="Arial" w:cs="Arial"/>
          <w:sz w:val="22"/>
          <w:szCs w:val="22"/>
        </w:rPr>
        <w:t>Key Statistics 2023</w:t>
      </w:r>
    </w:p>
    <w:p w14:paraId="4489DEDE" w14:textId="77777777" w:rsidR="00007F2C" w:rsidRPr="0000230A" w:rsidRDefault="00007F2C" w:rsidP="0000230A">
      <w:pPr>
        <w:numPr>
          <w:ilvl w:val="0"/>
          <w:numId w:val="13"/>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Funding for drug and alcohol treatment services in England fell by 26% between 2013 and 2020 (Black, 2021).</w:t>
      </w:r>
    </w:p>
    <w:p w14:paraId="7837B486" w14:textId="77777777" w:rsidR="00007F2C" w:rsidRPr="0000230A" w:rsidRDefault="00007F2C" w:rsidP="0000230A">
      <w:pPr>
        <w:numPr>
          <w:ilvl w:val="0"/>
          <w:numId w:val="13"/>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Over one in three individuals seeking support report difficulty attending appointments due to travel costs (Mind, 2022).</w:t>
      </w:r>
    </w:p>
    <w:p w14:paraId="2F5B0162" w14:textId="1B98C58E" w:rsidR="00007F2C" w:rsidRPr="0000230A" w:rsidRDefault="00007F2C" w:rsidP="0000230A">
      <w:pPr>
        <w:numPr>
          <w:ilvl w:val="0"/>
          <w:numId w:val="13"/>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Nearly 50% of low-income households lack reliable internet access or digital literacy (ONS, 2023).</w:t>
      </w:r>
    </w:p>
    <w:p w14:paraId="5150DEB9" w14:textId="77777777" w:rsidR="00007F2C" w:rsidRPr="0000230A" w:rsidRDefault="00007F2C" w:rsidP="0000230A">
      <w:pPr>
        <w:pStyle w:val="Heading2"/>
        <w:spacing w:line="360" w:lineRule="auto"/>
        <w:rPr>
          <w:rFonts w:cs="Arial"/>
          <w:szCs w:val="22"/>
        </w:rPr>
      </w:pPr>
      <w:bookmarkStart w:id="56" w:name="_Toc215043399"/>
      <w:r w:rsidRPr="0000230A">
        <w:rPr>
          <w:rFonts w:cs="Arial"/>
          <w:szCs w:val="22"/>
        </w:rPr>
        <w:t>3. Relevance to Research Question</w:t>
      </w:r>
      <w:bookmarkEnd w:id="56"/>
    </w:p>
    <w:p w14:paraId="267D3C0C"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This theme directly addresses the question of how socioeconomic disadvantage intersects with substance misuse and untreated mental health disorders. Even when individuals recognise their need for support, barriers like transport costs, inflexible service hours, and waiting lists can prevent engagement (Marmot, 2020). These constraints lead to underdiagnosis and under-treatment of mental health conditions, increasing reliance on substances as a coping mechanism. In essence, the social determinants of health-such as income, employment, and housing serve as gatekeepers to recovery.</w:t>
      </w:r>
    </w:p>
    <w:p w14:paraId="2D754DDC" w14:textId="77777777" w:rsidR="00007F2C" w:rsidRPr="0000230A" w:rsidRDefault="00007F2C" w:rsidP="0000230A">
      <w:pPr>
        <w:pStyle w:val="Heading2"/>
        <w:spacing w:line="360" w:lineRule="auto"/>
        <w:rPr>
          <w:rFonts w:cs="Arial"/>
          <w:szCs w:val="22"/>
        </w:rPr>
      </w:pPr>
      <w:bookmarkStart w:id="57" w:name="_Toc215043400"/>
      <w:r w:rsidRPr="0000230A">
        <w:rPr>
          <w:rFonts w:cs="Arial"/>
          <w:szCs w:val="22"/>
        </w:rPr>
        <w:t>4. Data and Statistics</w:t>
      </w:r>
      <w:bookmarkEnd w:id="57"/>
    </w:p>
    <w:p w14:paraId="0838BEED"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NHS Digital (2023) reports that 45% of adults who discontinued substance misuse treatment cited logistical or financial barriers. The Adult Substance Misuse Treatment Statistics (PHE, 2021) show that completion rates are significantly lower in deprived areas (38%) than in affluent ones (59%). In addition, ONS (2023) data reveal that unemployment and insecure housing correlate strongly with treatment drop-out rates. These findings underline how socioeconomic disadvantage undermines both engagement and outcomes.</w:t>
      </w:r>
    </w:p>
    <w:p w14:paraId="040140F3" w14:textId="77777777" w:rsidR="00007F2C" w:rsidRPr="0000230A" w:rsidRDefault="00007F2C" w:rsidP="0000230A">
      <w:pPr>
        <w:spacing w:line="360" w:lineRule="auto"/>
        <w:rPr>
          <w:rFonts w:ascii="Arial" w:hAnsi="Arial" w:cs="Arial"/>
          <w:color w:val="000000" w:themeColor="text1"/>
          <w:sz w:val="22"/>
          <w:szCs w:val="22"/>
        </w:rPr>
      </w:pPr>
    </w:p>
    <w:p w14:paraId="3F255C41"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From Harm to Hope (UK Drug Strategy 2021–2026)</w:t>
      </w:r>
      <w:r w:rsidRPr="0000230A">
        <w:rPr>
          <w:rFonts w:ascii="Arial" w:hAnsi="Arial" w:cs="Arial"/>
          <w:color w:val="000000" w:themeColor="text1"/>
          <w:sz w:val="22"/>
          <w:szCs w:val="22"/>
        </w:rPr>
        <w:br/>
        <w:t>This national strategy aims to rebuild treatment capacity through funding increases of £780 million over three years (Home Office, 2021). However, analyses by the Institute for Fiscal Studies (2023) and the Health Foundation (2023) suggest that much of this funding only reverses previous cuts rather than expanding capacity. Local authorities continue to face high caseloads and workforce shortages, especially in deprived regions.</w:t>
      </w:r>
    </w:p>
    <w:p w14:paraId="17510960" w14:textId="77777777" w:rsidR="00007F2C" w:rsidRPr="0000230A" w:rsidRDefault="00007F2C" w:rsidP="0000230A">
      <w:pPr>
        <w:spacing w:line="360" w:lineRule="auto"/>
        <w:rPr>
          <w:rFonts w:ascii="Arial" w:hAnsi="Arial" w:cs="Arial"/>
          <w:color w:val="000000" w:themeColor="text1"/>
          <w:sz w:val="22"/>
          <w:szCs w:val="22"/>
        </w:rPr>
      </w:pPr>
    </w:p>
    <w:p w14:paraId="1AE16099" w14:textId="77777777" w:rsidR="00007F2C" w:rsidRPr="0000230A" w:rsidRDefault="00007F2C" w:rsidP="0000230A">
      <w:pPr>
        <w:pStyle w:val="Heading2"/>
        <w:spacing w:line="360" w:lineRule="auto"/>
        <w:rPr>
          <w:rFonts w:cs="Arial"/>
          <w:szCs w:val="22"/>
        </w:rPr>
      </w:pPr>
      <w:bookmarkStart w:id="58" w:name="_Toc215043401"/>
      <w:r w:rsidRPr="0000230A">
        <w:rPr>
          <w:rFonts w:cs="Arial"/>
          <w:szCs w:val="22"/>
        </w:rPr>
        <w:lastRenderedPageBreak/>
        <w:t>5. Theories, Policy, and Legislation</w:t>
      </w:r>
      <w:bookmarkEnd w:id="58"/>
    </w:p>
    <w:p w14:paraId="53439450"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The social gradient in health theory (Marmot, 2005) emphasises that health outcomes worsen step-by-step with each decline in socioeconomic status. Applying this theory here shows how individuals in low-income areas face cumulative disadvantage: they are more likely to experience stressors such as unemployment and housing instability and less likely to access consistent healthcare. In addition, the Access to Care Framework (Gulliford et al., 2002) highlights that access is multidimensional, encompassing not only availability and affordability but also cultural acceptability and appropriateness.</w:t>
      </w:r>
      <w:r w:rsidRPr="0000230A">
        <w:rPr>
          <w:rFonts w:ascii="Arial" w:hAnsi="Arial" w:cs="Arial"/>
          <w:color w:val="000000" w:themeColor="text1"/>
          <w:sz w:val="22"/>
          <w:szCs w:val="22"/>
        </w:rPr>
        <w:br/>
        <w:t>Policies like the Care Act 2014 and NHS Constitution (2021) enshrine equal access as a principle, yet disparities remain stark, reflecting the gap between statutory rights and practical realities.</w:t>
      </w:r>
    </w:p>
    <w:p w14:paraId="629DACE2"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p>
    <w:p w14:paraId="55FE428D"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p>
    <w:p w14:paraId="164BFD02" w14:textId="77777777" w:rsidR="00007F2C" w:rsidRPr="0000230A" w:rsidRDefault="00007F2C" w:rsidP="0000230A">
      <w:pPr>
        <w:pStyle w:val="Heading2"/>
        <w:spacing w:line="360" w:lineRule="auto"/>
        <w:rPr>
          <w:rFonts w:cs="Arial"/>
          <w:szCs w:val="22"/>
        </w:rPr>
      </w:pPr>
      <w:bookmarkStart w:id="59" w:name="_Toc215043402"/>
      <w:r w:rsidRPr="0000230A">
        <w:rPr>
          <w:rFonts w:cs="Arial"/>
          <w:szCs w:val="22"/>
        </w:rPr>
        <w:t>6. Examples from Articles</w:t>
      </w:r>
      <w:bookmarkEnd w:id="59"/>
    </w:p>
    <w:p w14:paraId="7C35EAC6" w14:textId="6E767EDD"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Black (2021) documented that fragmented commissioning systems create postcode lotteries, where access to addiction services depends heavily on local budgets. Mind (2022) reported that financial hardship and stigma discouraged individuals from seeking help, with many feeling that services were “not for people like me.” Similarly, Molina and Whittaker (2022) found that individuals with dual diagnoses often encountered exclusion from mental health services until substance misuse was first addressed, perpetuating cycles of delay and relapse. The Health Foundation (2023) identified workforce burnout and high staff turnover as additional barriers in low-funded areas, further straining access.</w:t>
      </w:r>
    </w:p>
    <w:p w14:paraId="69FB62FD" w14:textId="004A6AD4" w:rsidR="00433871" w:rsidRPr="0000230A" w:rsidRDefault="00C918CF" w:rsidP="0000230A">
      <w:pPr>
        <w:spacing w:line="360" w:lineRule="auto"/>
        <w:rPr>
          <w:rFonts w:ascii="Arial" w:hAnsi="Arial" w:cs="Arial"/>
          <w:sz w:val="22"/>
          <w:szCs w:val="22"/>
        </w:rPr>
      </w:pPr>
      <w:r w:rsidRPr="00C918CF">
        <w:rPr>
          <w:rFonts w:ascii="Arial" w:hAnsi="Arial" w:cs="Arial"/>
          <w:color w:val="000000"/>
          <w:sz w:val="22"/>
          <w:szCs w:val="22"/>
        </w:rPr>
        <w:t>These patterns indicate that access is not merely a matter of service availability but also the product of structural disadvantage. The evidence shows that practical barriers</w:t>
      </w:r>
      <w:r w:rsidRPr="0000230A">
        <w:rPr>
          <w:rFonts w:ascii="Arial" w:hAnsi="Arial" w:cs="Arial"/>
          <w:color w:val="000000"/>
          <w:sz w:val="22"/>
          <w:szCs w:val="22"/>
        </w:rPr>
        <w:t xml:space="preserve"> </w:t>
      </w:r>
      <w:r w:rsidRPr="00C918CF">
        <w:rPr>
          <w:rFonts w:ascii="Arial" w:hAnsi="Arial" w:cs="Arial"/>
          <w:color w:val="000000"/>
          <w:sz w:val="22"/>
          <w:szCs w:val="22"/>
        </w:rPr>
        <w:t>such as transportation costs, digital exclusion, and workforce shortages</w:t>
      </w:r>
      <w:r w:rsidRPr="0000230A">
        <w:rPr>
          <w:rFonts w:ascii="Arial" w:hAnsi="Arial" w:cs="Arial"/>
          <w:color w:val="000000"/>
          <w:sz w:val="22"/>
          <w:szCs w:val="22"/>
        </w:rPr>
        <w:t xml:space="preserve"> </w:t>
      </w:r>
      <w:r w:rsidRPr="00C918CF">
        <w:rPr>
          <w:rFonts w:ascii="Arial" w:hAnsi="Arial" w:cs="Arial"/>
          <w:color w:val="000000"/>
          <w:sz w:val="22"/>
          <w:szCs w:val="22"/>
        </w:rPr>
        <w:t>systematically exclude those most in need.</w:t>
      </w:r>
    </w:p>
    <w:p w14:paraId="7628C82A" w14:textId="32CBF2B7" w:rsidR="00433871" w:rsidRDefault="00433871" w:rsidP="0000230A">
      <w:pPr>
        <w:spacing w:before="100" w:beforeAutospacing="1" w:after="100" w:afterAutospacing="1" w:line="360" w:lineRule="auto"/>
        <w:rPr>
          <w:rFonts w:ascii="Arial" w:hAnsi="Arial" w:cs="Arial"/>
          <w:color w:val="000000" w:themeColor="text1"/>
          <w:sz w:val="22"/>
          <w:szCs w:val="22"/>
        </w:rPr>
      </w:pPr>
    </w:p>
    <w:p w14:paraId="552B2108" w14:textId="729F25D7"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5E7BA58F" w14:textId="77777777" w:rsidR="0000230A" w:rsidRPr="0000230A" w:rsidRDefault="0000230A" w:rsidP="0000230A">
      <w:pPr>
        <w:spacing w:before="100" w:beforeAutospacing="1" w:after="100" w:afterAutospacing="1" w:line="360" w:lineRule="auto"/>
        <w:rPr>
          <w:rFonts w:ascii="Arial" w:hAnsi="Arial" w:cs="Arial"/>
          <w:color w:val="000000" w:themeColor="text1"/>
          <w:sz w:val="22"/>
          <w:szCs w:val="22"/>
        </w:rPr>
      </w:pPr>
    </w:p>
    <w:p w14:paraId="3B7C9ED9" w14:textId="77777777" w:rsidR="00007F2C" w:rsidRPr="0000230A" w:rsidRDefault="00007F2C" w:rsidP="0000230A">
      <w:pPr>
        <w:pStyle w:val="Heading2"/>
        <w:spacing w:line="360" w:lineRule="auto"/>
        <w:rPr>
          <w:rFonts w:cs="Arial"/>
          <w:szCs w:val="22"/>
        </w:rPr>
      </w:pPr>
      <w:bookmarkStart w:id="60" w:name="_Toc215043403"/>
      <w:r w:rsidRPr="0000230A">
        <w:rPr>
          <w:rFonts w:cs="Arial"/>
          <w:szCs w:val="22"/>
        </w:rPr>
        <w:lastRenderedPageBreak/>
        <w:t>7. Connections to Other Themes</w:t>
      </w:r>
      <w:bookmarkEnd w:id="60"/>
    </w:p>
    <w:p w14:paraId="54D1F0B2" w14:textId="198FB66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This theme reinforces findings from Themes 1 and 2, showing that low-income status and untreated mental health conditions are closely intertwined with poor access to services. It also prepares the ground for Theme 4, which examines the broader policy and legislative frameworks shaping these barriers. The inequities described here are not accidental; they are the cumulative results of policy decisions that prioritise cost-saving over prevention and support.</w:t>
      </w:r>
    </w:p>
    <w:p w14:paraId="7F81D4C1" w14:textId="2B877D31" w:rsidR="0000230A" w:rsidRPr="0000230A" w:rsidRDefault="00C918CF" w:rsidP="0000230A">
      <w:pPr>
        <w:spacing w:line="360" w:lineRule="auto"/>
        <w:rPr>
          <w:rFonts w:ascii="Arial" w:hAnsi="Arial" w:cs="Arial"/>
          <w:sz w:val="22"/>
          <w:szCs w:val="22"/>
        </w:rPr>
      </w:pPr>
      <w:r w:rsidRPr="00C918CF">
        <w:rPr>
          <w:rFonts w:ascii="Arial" w:hAnsi="Arial" w:cs="Arial"/>
          <w:color w:val="000000"/>
          <w:sz w:val="22"/>
          <w:szCs w:val="22"/>
        </w:rPr>
        <w:t>Thus, Theme 3 shows how structural barriers reinforce the link between deprivation and untreated health conditions, directly addressing the second part of the research question.</w:t>
      </w:r>
    </w:p>
    <w:p w14:paraId="53417A2A" w14:textId="77777777" w:rsidR="00C918CF" w:rsidRPr="0000230A" w:rsidRDefault="00C918CF" w:rsidP="0000230A">
      <w:pPr>
        <w:spacing w:before="100" w:beforeAutospacing="1" w:after="100" w:afterAutospacing="1" w:line="360" w:lineRule="auto"/>
        <w:rPr>
          <w:rFonts w:ascii="Arial" w:hAnsi="Arial" w:cs="Arial"/>
          <w:color w:val="000000" w:themeColor="text1"/>
          <w:sz w:val="22"/>
          <w:szCs w:val="22"/>
        </w:rPr>
      </w:pPr>
    </w:p>
    <w:p w14:paraId="638E44C8" w14:textId="77777777" w:rsidR="00007F2C" w:rsidRPr="0000230A" w:rsidRDefault="00007F2C" w:rsidP="0000230A">
      <w:pPr>
        <w:pStyle w:val="Heading1"/>
        <w:spacing w:line="360" w:lineRule="auto"/>
        <w:rPr>
          <w:rFonts w:cs="Arial"/>
          <w:szCs w:val="22"/>
        </w:rPr>
      </w:pPr>
      <w:bookmarkStart w:id="61" w:name="_Toc215043404"/>
      <w:r w:rsidRPr="0000230A">
        <w:rPr>
          <w:rFonts w:cs="Arial"/>
          <w:szCs w:val="22"/>
        </w:rPr>
        <w:t>4.5 Theme 4: The Role of Policy, Legislation, and Social Determinants</w:t>
      </w:r>
      <w:bookmarkEnd w:id="61"/>
    </w:p>
    <w:p w14:paraId="63F18B4A" w14:textId="77777777" w:rsidR="00007F2C" w:rsidRPr="0000230A" w:rsidRDefault="00007F2C" w:rsidP="0000230A">
      <w:pPr>
        <w:pStyle w:val="Heading2"/>
        <w:spacing w:line="360" w:lineRule="auto"/>
        <w:rPr>
          <w:rFonts w:cs="Arial"/>
          <w:szCs w:val="22"/>
        </w:rPr>
      </w:pPr>
      <w:bookmarkStart w:id="62" w:name="_Toc215043405"/>
      <w:r w:rsidRPr="0000230A">
        <w:rPr>
          <w:rFonts w:cs="Arial"/>
          <w:szCs w:val="22"/>
        </w:rPr>
        <w:t>1. Definition and Scope</w:t>
      </w:r>
      <w:bookmarkEnd w:id="62"/>
    </w:p>
    <w:p w14:paraId="0C80846B" w14:textId="0E94B73B" w:rsidR="00772E44"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Policy and legislation form the framework within which substance misuse and mental health services operate. In this theme, "policy" refers to government strategies, public health plans, and local authority directives that shape funding and service delivery.  Legislation refers to laws and statutory frameworks such as the Misuse of Drugs Act (1971), the Mental Health Act (1983, amended 2007), and the Care Act (2014), which define how substance misuse and mental health issues are managed. These interact closely with the social determinants of the health conditions in which people are born, live, and work, which directly influence health behaviours and access to treatment (Marmot, 2005; WHO, 2022).</w:t>
      </w:r>
    </w:p>
    <w:p w14:paraId="05D62ECF" w14:textId="77777777" w:rsidR="00007F2C" w:rsidRPr="0000230A" w:rsidRDefault="00007F2C" w:rsidP="0000230A">
      <w:pPr>
        <w:pStyle w:val="Heading2"/>
        <w:spacing w:line="360" w:lineRule="auto"/>
        <w:rPr>
          <w:rFonts w:cs="Arial"/>
          <w:szCs w:val="22"/>
        </w:rPr>
      </w:pPr>
      <w:bookmarkStart w:id="63" w:name="_Toc215043406"/>
      <w:r w:rsidRPr="0000230A">
        <w:rPr>
          <w:rFonts w:cs="Arial"/>
          <w:szCs w:val="22"/>
        </w:rPr>
        <w:t>2. Background</w:t>
      </w:r>
      <w:bookmarkEnd w:id="63"/>
      <w:r w:rsidRPr="0000230A">
        <w:rPr>
          <w:rFonts w:cs="Arial"/>
          <w:szCs w:val="22"/>
        </w:rPr>
        <w:t xml:space="preserve"> </w:t>
      </w:r>
    </w:p>
    <w:p w14:paraId="2D4A5C7B" w14:textId="77777777" w:rsidR="002821F5" w:rsidRPr="0000230A" w:rsidRDefault="002821F5" w:rsidP="0000230A">
      <w:pPr>
        <w:spacing w:line="360" w:lineRule="auto"/>
        <w:rPr>
          <w:rFonts w:ascii="Arial" w:hAnsi="Arial" w:cs="Arial"/>
          <w:color w:val="000000"/>
          <w:sz w:val="22"/>
          <w:szCs w:val="22"/>
        </w:rPr>
      </w:pPr>
      <w:r w:rsidRPr="00AE5620">
        <w:rPr>
          <w:rFonts w:ascii="Arial" w:hAnsi="Arial" w:cs="Arial"/>
          <w:color w:val="000000"/>
          <w:sz w:val="22"/>
          <w:szCs w:val="22"/>
        </w:rPr>
        <w:t>Over the last two decades, UK drug policy has evolved from a largely criminal justice focus to a public health approach, though tensions remain. Early strategies such as the Tackling Drugs Strategy (Home Office, 1998) prioritised law enforcement over harm reduction. More recent initiatives, including From Harm to Hope (Home Office, 2021), have shifted towards prevention, treatment, and recovery. However, austerity-era budget cuts since 2010 significantly weakened local public health infrastructure, leading to uneven service provision (Black, 2021).</w:t>
      </w:r>
    </w:p>
    <w:p w14:paraId="18CA9E32" w14:textId="77777777" w:rsidR="002821F5" w:rsidRPr="00AE5620" w:rsidRDefault="002821F5" w:rsidP="0000230A">
      <w:pPr>
        <w:spacing w:line="360" w:lineRule="auto"/>
        <w:rPr>
          <w:rFonts w:ascii="Arial" w:hAnsi="Arial" w:cs="Arial"/>
          <w:sz w:val="22"/>
          <w:szCs w:val="22"/>
        </w:rPr>
      </w:pPr>
    </w:p>
    <w:p w14:paraId="3023B0E4" w14:textId="77777777" w:rsidR="002821F5" w:rsidRPr="00AE5620" w:rsidRDefault="002821F5" w:rsidP="0000230A">
      <w:pPr>
        <w:spacing w:line="360" w:lineRule="auto"/>
        <w:rPr>
          <w:rFonts w:ascii="Arial" w:hAnsi="Arial" w:cs="Arial"/>
          <w:sz w:val="22"/>
          <w:szCs w:val="22"/>
        </w:rPr>
      </w:pPr>
      <w:r w:rsidRPr="00AE5620">
        <w:rPr>
          <w:rFonts w:ascii="Arial" w:hAnsi="Arial" w:cs="Arial"/>
          <w:color w:val="000000"/>
          <w:sz w:val="22"/>
          <w:szCs w:val="22"/>
        </w:rPr>
        <w:t xml:space="preserve">The Marmot Reviews (2010; 2020) have consistently shown that policies affecting housing, employment, and education directly impact substance misuse outcomes, as these social </w:t>
      </w:r>
      <w:r w:rsidRPr="00AE5620">
        <w:rPr>
          <w:rFonts w:ascii="Arial" w:hAnsi="Arial" w:cs="Arial"/>
          <w:color w:val="000000"/>
          <w:sz w:val="22"/>
          <w:szCs w:val="22"/>
        </w:rPr>
        <w:lastRenderedPageBreak/>
        <w:t>factors create the stressors that lead to harmful coping behaviours. This demonstrates how drug misuse cannot be separated from wider socio-economic conditions.</w:t>
      </w:r>
    </w:p>
    <w:p w14:paraId="48A8986D" w14:textId="77777777" w:rsidR="00007F2C" w:rsidRPr="0000230A" w:rsidRDefault="00007F2C" w:rsidP="0000230A">
      <w:pPr>
        <w:spacing w:line="360" w:lineRule="auto"/>
        <w:rPr>
          <w:rFonts w:ascii="Arial" w:hAnsi="Arial" w:cs="Arial"/>
          <w:color w:val="000000" w:themeColor="text1"/>
          <w:sz w:val="22"/>
          <w:szCs w:val="22"/>
        </w:rPr>
      </w:pPr>
    </w:p>
    <w:p w14:paraId="06EC5E60" w14:textId="77777777" w:rsidR="00007F2C" w:rsidRPr="0000230A" w:rsidRDefault="00007F2C" w:rsidP="0000230A">
      <w:pPr>
        <w:spacing w:line="360" w:lineRule="auto"/>
        <w:rPr>
          <w:rFonts w:ascii="Arial" w:hAnsi="Arial" w:cs="Arial"/>
          <w:sz w:val="22"/>
          <w:szCs w:val="22"/>
        </w:rPr>
      </w:pPr>
      <w:r w:rsidRPr="0000230A">
        <w:rPr>
          <w:rFonts w:ascii="Arial" w:hAnsi="Arial" w:cs="Arial"/>
          <w:sz w:val="22"/>
          <w:szCs w:val="22"/>
        </w:rPr>
        <w:t>Key Statistics and Policy Trends</w:t>
      </w:r>
    </w:p>
    <w:p w14:paraId="34ED3502" w14:textId="77777777" w:rsidR="00007F2C" w:rsidRPr="0000230A" w:rsidRDefault="00007F2C" w:rsidP="0000230A">
      <w:pPr>
        <w:numPr>
          <w:ilvl w:val="0"/>
          <w:numId w:val="14"/>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Public Health England (PHE, 2021) reported that only 57% of people with a substance use disorder are in treatment.</w:t>
      </w:r>
    </w:p>
    <w:p w14:paraId="0B17670B" w14:textId="77777777" w:rsidR="00007F2C" w:rsidRPr="0000230A" w:rsidRDefault="00007F2C" w:rsidP="0000230A">
      <w:pPr>
        <w:numPr>
          <w:ilvl w:val="0"/>
          <w:numId w:val="14"/>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Between 2010 and 2020, funding for addiction services fell by £162 million in real terms (Health Foundation, 2023).</w:t>
      </w:r>
    </w:p>
    <w:p w14:paraId="68ED057C" w14:textId="2F3BEB5F" w:rsidR="00007F2C" w:rsidRPr="0000230A" w:rsidRDefault="00007F2C" w:rsidP="0000230A">
      <w:pPr>
        <w:numPr>
          <w:ilvl w:val="0"/>
          <w:numId w:val="14"/>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The Home Office (2021) announced £780 million in new investment, but analysis suggests this largely restores previous cuts rather than expanding new services (Institute for Fiscal Studies, 2023).</w:t>
      </w:r>
    </w:p>
    <w:p w14:paraId="67F85803" w14:textId="77777777" w:rsidR="00007F2C" w:rsidRPr="0000230A" w:rsidRDefault="00007F2C" w:rsidP="0000230A">
      <w:pPr>
        <w:pStyle w:val="Heading2"/>
        <w:spacing w:line="360" w:lineRule="auto"/>
        <w:rPr>
          <w:rFonts w:cs="Arial"/>
          <w:szCs w:val="22"/>
        </w:rPr>
      </w:pPr>
      <w:bookmarkStart w:id="64" w:name="_Toc215043407"/>
      <w:r w:rsidRPr="0000230A">
        <w:rPr>
          <w:rFonts w:cs="Arial"/>
          <w:szCs w:val="22"/>
        </w:rPr>
        <w:t>3. Relevance to Research Question</w:t>
      </w:r>
      <w:bookmarkEnd w:id="64"/>
    </w:p>
    <w:p w14:paraId="3D554F7F"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Policy and legislation determine the scope of care available to low-income populations and thus shape the relationship between poverty, substance misuse, and untreated mental health. When funding cuts reduce community programmes, those most dependent on public services suffer the greatest harm (Marmot, 2020). Moreover, policies that separate drug and mental health services, rather than integrate them, perpetuate cycles of exclusion (Mind, 2022). Evaluating these frameworks helps explain why the correlation between deprivation and substance misuse remains persistent in England.</w:t>
      </w:r>
    </w:p>
    <w:p w14:paraId="0CD77DE7" w14:textId="77777777" w:rsidR="00007F2C" w:rsidRPr="0000230A" w:rsidRDefault="00007F2C" w:rsidP="0000230A">
      <w:pPr>
        <w:pStyle w:val="Heading2"/>
        <w:spacing w:line="360" w:lineRule="auto"/>
        <w:rPr>
          <w:rFonts w:cs="Arial"/>
          <w:szCs w:val="22"/>
        </w:rPr>
      </w:pPr>
      <w:bookmarkStart w:id="65" w:name="_Toc215043408"/>
      <w:r w:rsidRPr="0000230A">
        <w:rPr>
          <w:rFonts w:cs="Arial"/>
          <w:szCs w:val="22"/>
        </w:rPr>
        <w:t>4. Theories, Policy, and Legislation</w:t>
      </w:r>
      <w:bookmarkEnd w:id="65"/>
    </w:p>
    <w:p w14:paraId="6FE3B0D6" w14:textId="199772D2"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The Social Determinants of Health framework (Marmot, 2005; WHO, 2022) underpins this theme. It argues that inequities in income, housing, education, and social capital drive health inequalities. Political and economic decisions shape these structural factors, a phenomenon Farmer (2004) refers to as 'structural violence'. Applying these theories highlights how austerity policies and the shift to local authority commissioning created systemic barriers, disproportionately affecting deprived areas (Black, 2021).</w:t>
      </w:r>
      <w:r w:rsidRPr="0000230A">
        <w:rPr>
          <w:rFonts w:ascii="Arial" w:hAnsi="Arial" w:cs="Arial"/>
          <w:color w:val="000000" w:themeColor="text1"/>
          <w:sz w:val="22"/>
          <w:szCs w:val="22"/>
        </w:rPr>
        <w:br/>
        <w:t>The Care Act (2014) aimed to strengthen equality in social care access but has been criticised for inadequate enforcement. Similarly, the Drug Strategy (2021–2026) focuses on recovery and employment outcomes, yet lacks mechanisms for sustainable prevention (Home Office, 2021). The Public Health Outcomes Framework (2022) calls for joined-up local partnerships, but progress has been uneven due to fragmented governance and resource disparities. </w:t>
      </w:r>
    </w:p>
    <w:p w14:paraId="26C23F57" w14:textId="016EFAC8" w:rsidR="00007F2C" w:rsidRPr="0000230A" w:rsidRDefault="00007F2C" w:rsidP="0000230A">
      <w:pPr>
        <w:pStyle w:val="NormalWeb"/>
        <w:spacing w:line="360" w:lineRule="auto"/>
        <w:rPr>
          <w:rFonts w:ascii="Arial" w:hAnsi="Arial" w:cs="Arial"/>
          <w:color w:val="000000" w:themeColor="text1"/>
          <w:sz w:val="22"/>
          <w:szCs w:val="22"/>
        </w:rPr>
      </w:pPr>
      <w:r w:rsidRPr="0000230A">
        <w:rPr>
          <w:rFonts w:ascii="Arial" w:hAnsi="Arial" w:cs="Arial"/>
          <w:color w:val="000000" w:themeColor="text1"/>
          <w:sz w:val="22"/>
          <w:szCs w:val="22"/>
        </w:rPr>
        <w:lastRenderedPageBreak/>
        <w:t>Public Health Reorganisation 2021</w:t>
      </w:r>
      <w:r w:rsidRPr="0000230A">
        <w:rPr>
          <w:rFonts w:ascii="Arial" w:hAnsi="Arial" w:cs="Arial"/>
          <w:color w:val="000000" w:themeColor="text1"/>
          <w:sz w:val="22"/>
          <w:szCs w:val="22"/>
        </w:rPr>
        <w:br/>
        <w:t>Following the replacement of Public Health England by the UK Health Security Agency (UKHSA) and the Office for Health Improvement and Disparities (OHID), apprehensions emerged regarding a diminished emphasis on inequalities. Analysts from the King’s Fund (2022) contend that this restructure diminished local accountability, resulting in councils being inadequately equipped to properly tackle addiction and mental health challenges.</w:t>
      </w:r>
    </w:p>
    <w:p w14:paraId="0504BFB4" w14:textId="77777777" w:rsidR="00007F2C" w:rsidRPr="0000230A" w:rsidRDefault="00007F2C" w:rsidP="0000230A">
      <w:pPr>
        <w:pStyle w:val="Heading2"/>
        <w:spacing w:line="360" w:lineRule="auto"/>
        <w:rPr>
          <w:rFonts w:cs="Arial"/>
          <w:szCs w:val="22"/>
        </w:rPr>
      </w:pPr>
      <w:bookmarkStart w:id="66" w:name="_Toc215043409"/>
      <w:r w:rsidRPr="0000230A">
        <w:rPr>
          <w:rFonts w:cs="Arial"/>
          <w:szCs w:val="22"/>
        </w:rPr>
        <w:t>5. Examples from Articles</w:t>
      </w:r>
      <w:bookmarkEnd w:id="66"/>
    </w:p>
    <w:p w14:paraId="223B20BA" w14:textId="11F876A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Black (2021) concluded that inconsistent funding and lack of workforce investment undermined national drug policy reforms. Marmot (2020) argued that government policies had "failed to prioritise fairness," leading to wider health gaps. Mind (2022) said that differences between local authorities meant that some areas had full integration of mental health and substance abuse services, while others didn't even have basic coordination.</w:t>
      </w:r>
      <w:r w:rsidRPr="0000230A">
        <w:rPr>
          <w:rFonts w:ascii="Arial" w:hAnsi="Arial" w:cs="Arial"/>
          <w:color w:val="000000" w:themeColor="text1"/>
          <w:sz w:val="22"/>
          <w:szCs w:val="22"/>
        </w:rPr>
        <w:br/>
        <w:t xml:space="preserve">International comparisons support these findings: WHO (2022) highlights </w:t>
      </w:r>
      <w:proofErr w:type="gramStart"/>
      <w:r w:rsidRPr="0000230A">
        <w:rPr>
          <w:rFonts w:ascii="Arial" w:hAnsi="Arial" w:cs="Arial"/>
          <w:color w:val="000000" w:themeColor="text1"/>
          <w:sz w:val="22"/>
          <w:szCs w:val="22"/>
        </w:rPr>
        <w:t>that countries</w:t>
      </w:r>
      <w:proofErr w:type="gramEnd"/>
      <w:r w:rsidRPr="0000230A">
        <w:rPr>
          <w:rFonts w:ascii="Arial" w:hAnsi="Arial" w:cs="Arial"/>
          <w:color w:val="000000" w:themeColor="text1"/>
          <w:sz w:val="22"/>
          <w:szCs w:val="22"/>
        </w:rPr>
        <w:t xml:space="preserve"> with strong welfare safety nets, such as Norway and Finland, report lower substance misuse-related mortality than the UK, reinforcing the role of social policy in shaping outcomes.</w:t>
      </w:r>
    </w:p>
    <w:p w14:paraId="24084386" w14:textId="77777777" w:rsidR="00C918CF" w:rsidRPr="0000230A" w:rsidRDefault="00C918CF" w:rsidP="0000230A">
      <w:pPr>
        <w:spacing w:line="360" w:lineRule="auto"/>
        <w:rPr>
          <w:rFonts w:ascii="Arial" w:hAnsi="Arial" w:cs="Arial"/>
          <w:sz w:val="22"/>
          <w:szCs w:val="22"/>
        </w:rPr>
      </w:pPr>
      <w:r w:rsidRPr="0000230A">
        <w:rPr>
          <w:rFonts w:ascii="Arial" w:hAnsi="Arial" w:cs="Arial"/>
          <w:color w:val="000000"/>
          <w:sz w:val="22"/>
          <w:szCs w:val="22"/>
        </w:rPr>
        <w:t>The literature suggests that policy frameworks often fall short not because of poor design but due to inconsistent implementation and inadequate funding. This highlights that political choices, rather than clinical limitations, are key determinants of unequal outcomes.</w:t>
      </w:r>
    </w:p>
    <w:p w14:paraId="03EC8C89" w14:textId="77777777" w:rsidR="00C918CF" w:rsidRPr="0000230A" w:rsidRDefault="00C918CF" w:rsidP="0000230A">
      <w:pPr>
        <w:spacing w:before="100" w:beforeAutospacing="1" w:after="100" w:afterAutospacing="1" w:line="360" w:lineRule="auto"/>
        <w:rPr>
          <w:rFonts w:ascii="Arial" w:hAnsi="Arial" w:cs="Arial"/>
          <w:color w:val="000000" w:themeColor="text1"/>
          <w:sz w:val="22"/>
          <w:szCs w:val="22"/>
        </w:rPr>
      </w:pPr>
    </w:p>
    <w:p w14:paraId="51634C39" w14:textId="77777777" w:rsidR="00007F2C" w:rsidRPr="0000230A" w:rsidRDefault="00007F2C" w:rsidP="0000230A">
      <w:pPr>
        <w:pStyle w:val="Heading2"/>
        <w:spacing w:line="360" w:lineRule="auto"/>
        <w:rPr>
          <w:rFonts w:cs="Arial"/>
          <w:szCs w:val="22"/>
        </w:rPr>
      </w:pPr>
      <w:bookmarkStart w:id="67" w:name="_Toc215043410"/>
      <w:r w:rsidRPr="0000230A">
        <w:rPr>
          <w:rFonts w:cs="Arial"/>
          <w:szCs w:val="22"/>
        </w:rPr>
        <w:t>6. Connections to Other Themes</w:t>
      </w:r>
      <w:bookmarkEnd w:id="67"/>
    </w:p>
    <w:p w14:paraId="696FF993" w14:textId="3C43F033"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This theme ties directly to Theme 3, which examined access barriers shaped by socioeconomic inequality. Policy frameworks either reinforce or mitigate these barriers. It also connects to Theme 5, which explores how the COVID-19 pandemic further exposed the fragility of England’s health and social systems. Together, these themes highlight that substance misuse and untreated mental illness are not isolated problems but products of broader social and political contexts.</w:t>
      </w:r>
    </w:p>
    <w:p w14:paraId="2E55C6E4" w14:textId="7A460289" w:rsidR="00433871" w:rsidRDefault="00C918CF" w:rsidP="0000230A">
      <w:pPr>
        <w:spacing w:line="360" w:lineRule="auto"/>
        <w:rPr>
          <w:rFonts w:ascii="Arial" w:hAnsi="Arial" w:cs="Arial"/>
          <w:color w:val="000000"/>
          <w:sz w:val="22"/>
          <w:szCs w:val="22"/>
        </w:rPr>
      </w:pPr>
      <w:r w:rsidRPr="0000230A">
        <w:rPr>
          <w:rFonts w:ascii="Arial" w:hAnsi="Arial" w:cs="Arial"/>
          <w:color w:val="000000"/>
          <w:sz w:val="22"/>
          <w:szCs w:val="22"/>
        </w:rPr>
        <w:t>Theme 4 illustrates how policy structures can either mitigate or reinforce inequality, shaping the broader environment in which Themes 1–3 operate.</w:t>
      </w:r>
    </w:p>
    <w:p w14:paraId="6ADC3322" w14:textId="1CA298D0" w:rsidR="00C97774" w:rsidRDefault="00C97774" w:rsidP="0000230A">
      <w:pPr>
        <w:spacing w:line="360" w:lineRule="auto"/>
        <w:rPr>
          <w:rFonts w:ascii="Arial" w:hAnsi="Arial" w:cs="Arial"/>
          <w:color w:val="000000"/>
          <w:sz w:val="22"/>
          <w:szCs w:val="22"/>
        </w:rPr>
      </w:pPr>
    </w:p>
    <w:p w14:paraId="24CD27F9" w14:textId="77777777" w:rsidR="00C97774" w:rsidRPr="0000230A" w:rsidRDefault="00C97774" w:rsidP="0000230A">
      <w:pPr>
        <w:spacing w:line="360" w:lineRule="auto"/>
        <w:rPr>
          <w:rFonts w:ascii="Arial" w:hAnsi="Arial" w:cs="Arial"/>
          <w:sz w:val="22"/>
          <w:szCs w:val="22"/>
        </w:rPr>
      </w:pPr>
    </w:p>
    <w:p w14:paraId="5874F850" w14:textId="77777777" w:rsidR="00007F2C" w:rsidRPr="0000230A" w:rsidRDefault="00007F2C" w:rsidP="0000230A">
      <w:pPr>
        <w:pStyle w:val="Heading1"/>
        <w:spacing w:line="360" w:lineRule="auto"/>
        <w:rPr>
          <w:rFonts w:cs="Arial"/>
          <w:szCs w:val="22"/>
        </w:rPr>
      </w:pPr>
      <w:bookmarkStart w:id="68" w:name="_Toc215043411"/>
      <w:r w:rsidRPr="0000230A">
        <w:rPr>
          <w:rFonts w:cs="Arial"/>
          <w:szCs w:val="22"/>
        </w:rPr>
        <w:lastRenderedPageBreak/>
        <w:t>4.6 Theme 5: The Impact of COVID-19 on Substance Misuse and Mental Health Inequalities</w:t>
      </w:r>
      <w:bookmarkEnd w:id="68"/>
    </w:p>
    <w:p w14:paraId="1A67078E" w14:textId="77777777" w:rsidR="00007F2C" w:rsidRPr="0000230A" w:rsidRDefault="00007F2C" w:rsidP="0000230A">
      <w:pPr>
        <w:pStyle w:val="Heading2"/>
        <w:spacing w:line="360" w:lineRule="auto"/>
        <w:rPr>
          <w:rFonts w:cs="Arial"/>
          <w:szCs w:val="22"/>
        </w:rPr>
      </w:pPr>
      <w:bookmarkStart w:id="69" w:name="_Toc215043412"/>
      <w:r w:rsidRPr="0000230A">
        <w:rPr>
          <w:rFonts w:cs="Arial"/>
          <w:szCs w:val="22"/>
        </w:rPr>
        <w:t>1. Definition and Scope</w:t>
      </w:r>
      <w:bookmarkEnd w:id="69"/>
    </w:p>
    <w:p w14:paraId="08DDC147" w14:textId="7FBB4594"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The COVID-19 pandemic refers to the global health crisis that began in early 2020, which profoundly disrupted social, economic, and healthcare systems. In the context of this study, it represents both a magnifier and an accelerator of existing inequalities. The pandemic not only raised levels of anxiety, depression, and trauma but also exacerbated disparities in service access for individuals already impacted by substance misuse (Pierce et al., 2020; Kwong et al., 2020). Lockdowns, social isolation, and unemployment collectively deepened stress and dependency, particularly among low-income populations in England (Mind, 2022).</w:t>
      </w:r>
    </w:p>
    <w:p w14:paraId="3E4C70F9" w14:textId="77777777" w:rsidR="00007F2C" w:rsidRPr="0000230A" w:rsidRDefault="00007F2C" w:rsidP="0000230A">
      <w:pPr>
        <w:pStyle w:val="Heading2"/>
        <w:spacing w:line="360" w:lineRule="auto"/>
        <w:rPr>
          <w:rFonts w:cs="Arial"/>
          <w:szCs w:val="22"/>
        </w:rPr>
      </w:pPr>
      <w:bookmarkStart w:id="70" w:name="_Toc215043413"/>
      <w:r w:rsidRPr="0000230A">
        <w:rPr>
          <w:rFonts w:cs="Arial"/>
          <w:szCs w:val="22"/>
        </w:rPr>
        <w:t>2. Background Information</w:t>
      </w:r>
      <w:bookmarkEnd w:id="70"/>
    </w:p>
    <w:p w14:paraId="46C316DB" w14:textId="77777777" w:rsidR="00CB16F6" w:rsidRPr="00AE5620" w:rsidRDefault="00CB16F6" w:rsidP="0000230A">
      <w:pPr>
        <w:spacing w:line="360" w:lineRule="auto"/>
        <w:rPr>
          <w:rFonts w:ascii="Arial" w:hAnsi="Arial" w:cs="Arial"/>
          <w:sz w:val="22"/>
          <w:szCs w:val="22"/>
        </w:rPr>
      </w:pPr>
      <w:r w:rsidRPr="00AE5620">
        <w:rPr>
          <w:rFonts w:ascii="Arial" w:hAnsi="Arial" w:cs="Arial"/>
          <w:color w:val="000000"/>
          <w:sz w:val="22"/>
          <w:szCs w:val="22"/>
        </w:rPr>
        <w:t>Before COVID-19, England had already faced a decade of widening health inequalities (Marmot, 2020). When the pandemic struck, it further exposed systemic vulnerabilities in mental health and addiction services. Social distancing measures forced the closing of in-person recovery groups, community outreach programmes, and day centres. These services were vital lifelines for people with substance misuse problems (Public Health England, 2021).</w:t>
      </w:r>
    </w:p>
    <w:p w14:paraId="4550A2BB" w14:textId="77777777" w:rsidR="00CB16F6" w:rsidRPr="0000230A" w:rsidRDefault="00CB16F6" w:rsidP="0000230A">
      <w:pPr>
        <w:spacing w:line="360" w:lineRule="auto"/>
        <w:rPr>
          <w:rFonts w:ascii="Arial" w:hAnsi="Arial" w:cs="Arial"/>
          <w:sz w:val="22"/>
          <w:szCs w:val="22"/>
        </w:rPr>
      </w:pPr>
    </w:p>
    <w:p w14:paraId="417FAB3D" w14:textId="77777777" w:rsidR="00CB16F6" w:rsidRPr="00AE5620" w:rsidRDefault="00CB16F6" w:rsidP="0000230A">
      <w:pPr>
        <w:spacing w:line="360" w:lineRule="auto"/>
        <w:rPr>
          <w:rFonts w:ascii="Arial" w:hAnsi="Arial" w:cs="Arial"/>
          <w:sz w:val="22"/>
          <w:szCs w:val="22"/>
        </w:rPr>
      </w:pPr>
      <w:r w:rsidRPr="00AE5620">
        <w:rPr>
          <w:rFonts w:ascii="Arial" w:hAnsi="Arial" w:cs="Arial"/>
          <w:color w:val="000000"/>
          <w:sz w:val="22"/>
          <w:szCs w:val="22"/>
        </w:rPr>
        <w:t>For many, this disruption led to relapse or increased dependence on substances as coping mechanisms for isolation and anxiety. At the same time, the pandemic’s economic consequences</w:t>
      </w:r>
      <w:r w:rsidRPr="0000230A">
        <w:rPr>
          <w:rFonts w:ascii="Arial" w:hAnsi="Arial" w:cs="Arial"/>
          <w:color w:val="000000"/>
          <w:sz w:val="22"/>
          <w:szCs w:val="22"/>
        </w:rPr>
        <w:t xml:space="preserve"> </w:t>
      </w:r>
      <w:r w:rsidRPr="00AE5620">
        <w:rPr>
          <w:rFonts w:ascii="Arial" w:hAnsi="Arial" w:cs="Arial"/>
          <w:color w:val="000000"/>
          <w:sz w:val="22"/>
          <w:szCs w:val="22"/>
        </w:rPr>
        <w:t>such as job loss and income insecurity</w:t>
      </w:r>
      <w:r w:rsidRPr="0000230A">
        <w:rPr>
          <w:rFonts w:ascii="Arial" w:hAnsi="Arial" w:cs="Arial"/>
          <w:color w:val="000000"/>
          <w:sz w:val="22"/>
          <w:szCs w:val="22"/>
        </w:rPr>
        <w:t xml:space="preserve"> </w:t>
      </w:r>
      <w:r w:rsidRPr="00AE5620">
        <w:rPr>
          <w:rFonts w:ascii="Arial" w:hAnsi="Arial" w:cs="Arial"/>
          <w:color w:val="000000"/>
          <w:sz w:val="22"/>
          <w:szCs w:val="22"/>
        </w:rPr>
        <w:t>disproportionately affected people in deprived communities, who were already at higher risk of both addiction and untreated mental illness (Pierce et al., 2020; ONS, 2022).</w:t>
      </w:r>
    </w:p>
    <w:p w14:paraId="561394DC" w14:textId="77777777" w:rsidR="00007F2C" w:rsidRPr="0000230A" w:rsidRDefault="00007F2C" w:rsidP="0000230A">
      <w:pPr>
        <w:spacing w:line="360" w:lineRule="auto"/>
        <w:rPr>
          <w:rFonts w:ascii="Arial" w:hAnsi="Arial" w:cs="Arial"/>
          <w:color w:val="000000" w:themeColor="text1"/>
          <w:sz w:val="22"/>
          <w:szCs w:val="22"/>
        </w:rPr>
      </w:pPr>
    </w:p>
    <w:p w14:paraId="4842A007" w14:textId="77777777" w:rsidR="00007F2C" w:rsidRPr="0000230A" w:rsidRDefault="00007F2C" w:rsidP="0000230A">
      <w:pPr>
        <w:spacing w:line="360" w:lineRule="auto"/>
        <w:rPr>
          <w:rFonts w:ascii="Arial" w:hAnsi="Arial" w:cs="Arial"/>
          <w:sz w:val="22"/>
          <w:szCs w:val="22"/>
        </w:rPr>
      </w:pPr>
      <w:r w:rsidRPr="0000230A">
        <w:rPr>
          <w:rFonts w:ascii="Arial" w:hAnsi="Arial" w:cs="Arial"/>
          <w:sz w:val="22"/>
          <w:szCs w:val="22"/>
        </w:rPr>
        <w:t>Key Statistics 2022–2023</w:t>
      </w:r>
    </w:p>
    <w:p w14:paraId="3F01F9CB" w14:textId="77777777" w:rsidR="00007F2C" w:rsidRPr="0000230A" w:rsidRDefault="00007F2C" w:rsidP="0000230A">
      <w:pPr>
        <w:numPr>
          <w:ilvl w:val="0"/>
          <w:numId w:val="15"/>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During the first year of the pandemic, alcohol-specific deaths increased by 20%, reaching the highest rate since records began (ONS, 2022).</w:t>
      </w:r>
    </w:p>
    <w:p w14:paraId="49D8C500" w14:textId="77777777" w:rsidR="00007F2C" w:rsidRPr="0000230A" w:rsidRDefault="00007F2C" w:rsidP="0000230A">
      <w:pPr>
        <w:numPr>
          <w:ilvl w:val="0"/>
          <w:numId w:val="15"/>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Mental health referrals to NHS Talking Therapies rose by 31% between 2020 and 2022 (NHS Digital, 2023).</w:t>
      </w:r>
    </w:p>
    <w:p w14:paraId="1C0A6C31" w14:textId="77777777" w:rsidR="00007F2C" w:rsidRPr="0000230A" w:rsidRDefault="00007F2C" w:rsidP="0000230A">
      <w:pPr>
        <w:numPr>
          <w:ilvl w:val="0"/>
          <w:numId w:val="15"/>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People in the most deprived areas were twice as likely to experience pandemic-related job loss or income reduction (JRF, 2023).</w:t>
      </w:r>
    </w:p>
    <w:p w14:paraId="350DEB2E" w14:textId="7706F7BB" w:rsidR="00772E44" w:rsidRPr="0000230A" w:rsidRDefault="00007F2C" w:rsidP="0000230A">
      <w:pPr>
        <w:numPr>
          <w:ilvl w:val="0"/>
          <w:numId w:val="15"/>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A Mind (2022) survey found 65% of respondents with existing mental health conditions reported worsening symptoms due to reduced service access.</w:t>
      </w:r>
      <w:r w:rsidR="00772E44" w:rsidRPr="0000230A">
        <w:rPr>
          <w:rFonts w:ascii="Arial" w:hAnsi="Arial" w:cs="Arial"/>
          <w:color w:val="000000" w:themeColor="text1"/>
          <w:sz w:val="22"/>
          <w:szCs w:val="22"/>
        </w:rPr>
        <w:t xml:space="preserve">   </w:t>
      </w:r>
    </w:p>
    <w:p w14:paraId="353F9CB7" w14:textId="77777777" w:rsidR="00007F2C" w:rsidRPr="0000230A" w:rsidRDefault="00007F2C" w:rsidP="0000230A">
      <w:pPr>
        <w:pStyle w:val="Heading2"/>
        <w:spacing w:line="360" w:lineRule="auto"/>
        <w:rPr>
          <w:rFonts w:cs="Arial"/>
          <w:szCs w:val="22"/>
        </w:rPr>
      </w:pPr>
      <w:bookmarkStart w:id="71" w:name="_Toc215043414"/>
      <w:r w:rsidRPr="0000230A">
        <w:rPr>
          <w:rFonts w:cs="Arial"/>
          <w:szCs w:val="22"/>
        </w:rPr>
        <w:lastRenderedPageBreak/>
        <w:t>3. Relevance to Research Question</w:t>
      </w:r>
      <w:bookmarkEnd w:id="71"/>
    </w:p>
    <w:p w14:paraId="646BED72"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This theme is central to the dissertation’s question, as it demonstrates how external crises amplify the connection between poverty, substance misuse, and untreated mental health conditions. COVID-19 did not create these inequalities; it exposed and intensified them. The loss of community contact, limited access to treatment, and increased social stress deepened the cycle of disadvantage, particularly in low-income regions (Kwong et al., 2020). By analysing this period, the research highlights how structural inequities, rather than individual behaviours, largely determine health outcomes.</w:t>
      </w:r>
    </w:p>
    <w:p w14:paraId="4B8F3341" w14:textId="77777777" w:rsidR="00772E44" w:rsidRPr="0000230A" w:rsidRDefault="00772E44" w:rsidP="0000230A">
      <w:pPr>
        <w:spacing w:before="100" w:beforeAutospacing="1" w:after="100" w:afterAutospacing="1" w:line="360" w:lineRule="auto"/>
        <w:rPr>
          <w:rFonts w:ascii="Arial" w:hAnsi="Arial" w:cs="Arial"/>
          <w:color w:val="000000" w:themeColor="text1"/>
          <w:sz w:val="22"/>
          <w:szCs w:val="22"/>
        </w:rPr>
      </w:pPr>
    </w:p>
    <w:p w14:paraId="45C9765D" w14:textId="77777777" w:rsidR="00007F2C" w:rsidRPr="0000230A" w:rsidRDefault="00007F2C" w:rsidP="0000230A">
      <w:pPr>
        <w:pStyle w:val="Heading2"/>
        <w:spacing w:line="360" w:lineRule="auto"/>
        <w:rPr>
          <w:rFonts w:cs="Arial"/>
          <w:szCs w:val="22"/>
        </w:rPr>
      </w:pPr>
      <w:bookmarkStart w:id="72" w:name="_Toc215043415"/>
      <w:r w:rsidRPr="0000230A">
        <w:rPr>
          <w:rFonts w:cs="Arial"/>
          <w:szCs w:val="22"/>
        </w:rPr>
        <w:t>4. Data and Statistics</w:t>
      </w:r>
      <w:bookmarkEnd w:id="72"/>
    </w:p>
    <w:p w14:paraId="5CCEAA05"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According to NHS Digital (2023), over 60% of local treatment services reported a decline in client engagement during the lockdowns, mainly due to technology barriers and mental health deterioration. ONS (2022) data revealed that individuals reporting high psychological distress doubled from 10% to 20% between 2019 and 2021. During lockdowns, alcohol sales in supermarkets went up by 24%, which suggests that people drank more at home (Public Health England, 2021).</w:t>
      </w:r>
      <w:r w:rsidRPr="0000230A">
        <w:rPr>
          <w:rFonts w:ascii="Arial" w:hAnsi="Arial" w:cs="Arial"/>
          <w:color w:val="000000" w:themeColor="text1"/>
          <w:sz w:val="22"/>
          <w:szCs w:val="22"/>
        </w:rPr>
        <w:br/>
        <w:t>These findings underline that the pandemic not only heightened immediate risks but also created long-term effects, such as increased treatment demand and chronic mental distress among vulnerable groups.</w:t>
      </w:r>
    </w:p>
    <w:p w14:paraId="7F5D72A8"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 </w:t>
      </w:r>
    </w:p>
    <w:p w14:paraId="3F048600"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COVID-19 Mental Health and Wellbeing Recovery Action Plan (2021)</w:t>
      </w:r>
      <w:r w:rsidRPr="0000230A">
        <w:rPr>
          <w:rFonts w:ascii="Arial" w:hAnsi="Arial" w:cs="Arial"/>
          <w:color w:val="000000" w:themeColor="text1"/>
          <w:sz w:val="22"/>
          <w:szCs w:val="22"/>
        </w:rPr>
        <w:br/>
        <w:t>The UK government’s recovery action plan (Department of Health and Social Care, 2021) sought to rebuild services, by prioritising early intervention and digital therapy expansion. However, the Centre for Mental Health (2022) found that funding and workforce shortages prevented equitable delivery. Local authorities in deprived regions struggled to meet increased demand, while digital-only models excluded those without internet access.</w:t>
      </w:r>
    </w:p>
    <w:p w14:paraId="15956B08"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p>
    <w:p w14:paraId="2037BC05" w14:textId="615AA7D0" w:rsidR="00007F2C" w:rsidRDefault="00007F2C" w:rsidP="0000230A">
      <w:pPr>
        <w:spacing w:line="360" w:lineRule="auto"/>
        <w:rPr>
          <w:rFonts w:ascii="Arial" w:hAnsi="Arial" w:cs="Arial"/>
          <w:color w:val="000000" w:themeColor="text1"/>
          <w:sz w:val="22"/>
          <w:szCs w:val="22"/>
        </w:rPr>
      </w:pPr>
    </w:p>
    <w:p w14:paraId="6DE4B019" w14:textId="7944B19B" w:rsidR="0000230A" w:rsidRDefault="0000230A" w:rsidP="0000230A">
      <w:pPr>
        <w:spacing w:line="360" w:lineRule="auto"/>
        <w:rPr>
          <w:rFonts w:ascii="Arial" w:hAnsi="Arial" w:cs="Arial"/>
          <w:color w:val="000000" w:themeColor="text1"/>
          <w:sz w:val="22"/>
          <w:szCs w:val="22"/>
        </w:rPr>
      </w:pPr>
    </w:p>
    <w:p w14:paraId="5B5E7155" w14:textId="77777777" w:rsidR="0000230A" w:rsidRPr="0000230A" w:rsidRDefault="0000230A" w:rsidP="0000230A">
      <w:pPr>
        <w:spacing w:line="360" w:lineRule="auto"/>
        <w:rPr>
          <w:rFonts w:ascii="Arial" w:hAnsi="Arial" w:cs="Arial"/>
          <w:color w:val="000000" w:themeColor="text1"/>
          <w:sz w:val="22"/>
          <w:szCs w:val="22"/>
        </w:rPr>
      </w:pPr>
    </w:p>
    <w:p w14:paraId="1534C271" w14:textId="77777777" w:rsidR="00007F2C" w:rsidRPr="0000230A" w:rsidRDefault="00007F2C" w:rsidP="0000230A">
      <w:pPr>
        <w:pStyle w:val="Heading2"/>
        <w:spacing w:line="360" w:lineRule="auto"/>
        <w:rPr>
          <w:rFonts w:cs="Arial"/>
          <w:szCs w:val="22"/>
        </w:rPr>
      </w:pPr>
      <w:bookmarkStart w:id="73" w:name="_Toc215043416"/>
      <w:r w:rsidRPr="0000230A">
        <w:rPr>
          <w:rFonts w:cs="Arial"/>
          <w:szCs w:val="22"/>
        </w:rPr>
        <w:lastRenderedPageBreak/>
        <w:t>5. Theories, Policy, and Legislation</w:t>
      </w:r>
      <w:bookmarkEnd w:id="73"/>
    </w:p>
    <w:p w14:paraId="24142C7D"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The Resilience Theory (Rutter, 2012) offers insight into how individuals respond differently to crisis. It suggests that social and economic resources, not just personal traits, determine one’s capacity to adapt. Applying this framework shows why low-income communities, already deprived of safety nets, suffered disproportionately during COVID-19.</w:t>
      </w:r>
      <w:r w:rsidRPr="0000230A">
        <w:rPr>
          <w:rFonts w:ascii="Arial" w:hAnsi="Arial" w:cs="Arial"/>
          <w:color w:val="000000" w:themeColor="text1"/>
          <w:sz w:val="22"/>
          <w:szCs w:val="22"/>
        </w:rPr>
        <w:br/>
        <w:t>The Social Determinants of Health model (Marmot, 2005; WHO, 2022) also applies here, as the pandemic magnified pre-existing inequalities in housing, income, and access to care. The Coronavirus Act 2020 made it easier for councils to cut back on non-urgent services, which the Equality and Human Rights Commission (2021) said made inequality worse.</w:t>
      </w:r>
    </w:p>
    <w:p w14:paraId="34FB7D2B"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p>
    <w:p w14:paraId="2EFDB895"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p>
    <w:p w14:paraId="569EFD6D" w14:textId="77777777" w:rsidR="00007F2C" w:rsidRPr="0000230A" w:rsidRDefault="00007F2C" w:rsidP="0000230A">
      <w:pPr>
        <w:pStyle w:val="Heading2"/>
        <w:spacing w:line="360" w:lineRule="auto"/>
        <w:rPr>
          <w:rFonts w:cs="Arial"/>
          <w:szCs w:val="22"/>
        </w:rPr>
      </w:pPr>
      <w:bookmarkStart w:id="74" w:name="_Toc215043417"/>
      <w:r w:rsidRPr="0000230A">
        <w:rPr>
          <w:rFonts w:cs="Arial"/>
          <w:szCs w:val="22"/>
        </w:rPr>
        <w:t>6. Examples from Articles</w:t>
      </w:r>
      <w:bookmarkEnd w:id="74"/>
    </w:p>
    <w:p w14:paraId="2C6D1B83" w14:textId="0F10C280"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 xml:space="preserve">Pierce et al. (2020) conducted one of the largest longitudinal surveys in the UK, finding sharp rises in anxiety and depression, particularly among low-income adults and women. Kwong et al. (2020) demonstrated analogous trends in two extensive population cohorts, indicating enduring mental distress even </w:t>
      </w:r>
      <w:proofErr w:type="gramStart"/>
      <w:r w:rsidRPr="0000230A">
        <w:rPr>
          <w:rFonts w:ascii="Arial" w:hAnsi="Arial" w:cs="Arial"/>
          <w:color w:val="000000" w:themeColor="text1"/>
          <w:sz w:val="22"/>
          <w:szCs w:val="22"/>
        </w:rPr>
        <w:t>subsequent to</w:t>
      </w:r>
      <w:proofErr w:type="gramEnd"/>
      <w:r w:rsidRPr="0000230A">
        <w:rPr>
          <w:rFonts w:ascii="Arial" w:hAnsi="Arial" w:cs="Arial"/>
          <w:color w:val="000000" w:themeColor="text1"/>
          <w:sz w:val="22"/>
          <w:szCs w:val="22"/>
        </w:rPr>
        <w:t xml:space="preserve"> the cessation of lockdowns. Mind (2022) reported that many people with substance misuse issues lost contact with support workers, with some turning to self-medication. The Health Foundation (2023) also found that mental health service backlogs increased wait times for psychological therapy by up to six months, particularly in deprived boroughs.</w:t>
      </w:r>
    </w:p>
    <w:p w14:paraId="08C411C4" w14:textId="77777777" w:rsidR="00C918CF" w:rsidRPr="0000230A" w:rsidRDefault="00C918CF" w:rsidP="0000230A">
      <w:pPr>
        <w:spacing w:line="360" w:lineRule="auto"/>
        <w:rPr>
          <w:rFonts w:ascii="Arial" w:hAnsi="Arial" w:cs="Arial"/>
          <w:sz w:val="22"/>
          <w:szCs w:val="22"/>
        </w:rPr>
      </w:pPr>
      <w:r w:rsidRPr="0000230A">
        <w:rPr>
          <w:rFonts w:ascii="Arial" w:hAnsi="Arial" w:cs="Arial"/>
          <w:color w:val="000000"/>
          <w:sz w:val="22"/>
          <w:szCs w:val="22"/>
        </w:rPr>
        <w:t>Overall, the findings demonstrate that COVID-19 intensified existing inequalities rather than creating new ones. The disruption to services and economic hardship disproportionately affected low-income groups, deepening the interaction between mental distress and substance misuse.</w:t>
      </w:r>
    </w:p>
    <w:p w14:paraId="11025709" w14:textId="0DD11859" w:rsidR="00C918CF" w:rsidRDefault="00C918CF" w:rsidP="0000230A">
      <w:pPr>
        <w:spacing w:before="100" w:beforeAutospacing="1" w:after="100" w:afterAutospacing="1" w:line="360" w:lineRule="auto"/>
        <w:rPr>
          <w:rFonts w:ascii="Arial" w:hAnsi="Arial" w:cs="Arial"/>
          <w:color w:val="000000" w:themeColor="text1"/>
          <w:sz w:val="22"/>
          <w:szCs w:val="22"/>
        </w:rPr>
      </w:pPr>
    </w:p>
    <w:p w14:paraId="299FC93A" w14:textId="01D44562"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477674D4" w14:textId="455EE6D5"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64CA6606" w14:textId="77777777" w:rsidR="0000230A" w:rsidRPr="0000230A" w:rsidRDefault="0000230A" w:rsidP="0000230A">
      <w:pPr>
        <w:spacing w:before="100" w:beforeAutospacing="1" w:after="100" w:afterAutospacing="1" w:line="360" w:lineRule="auto"/>
        <w:rPr>
          <w:rFonts w:ascii="Arial" w:hAnsi="Arial" w:cs="Arial"/>
          <w:color w:val="000000" w:themeColor="text1"/>
          <w:sz w:val="22"/>
          <w:szCs w:val="22"/>
        </w:rPr>
      </w:pPr>
    </w:p>
    <w:p w14:paraId="70C52D0E" w14:textId="77777777" w:rsidR="00007F2C" w:rsidRPr="0000230A" w:rsidRDefault="00007F2C" w:rsidP="0000230A">
      <w:pPr>
        <w:pStyle w:val="Heading2"/>
        <w:spacing w:line="360" w:lineRule="auto"/>
        <w:rPr>
          <w:rFonts w:cs="Arial"/>
          <w:szCs w:val="22"/>
        </w:rPr>
      </w:pPr>
      <w:bookmarkStart w:id="75" w:name="_Toc215043418"/>
      <w:r w:rsidRPr="0000230A">
        <w:rPr>
          <w:rFonts w:cs="Arial"/>
          <w:szCs w:val="22"/>
        </w:rPr>
        <w:lastRenderedPageBreak/>
        <w:t>7. Connections to Other Themes</w:t>
      </w:r>
      <w:bookmarkEnd w:id="75"/>
    </w:p>
    <w:p w14:paraId="575E6254" w14:textId="34A10E1C"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This theme links closely to Theme 2, as the rise in untreated mental health disorders during the pandemic directly influenced substance misuse rates. It also connects to Theme 3, where service accessibility barriers were discussed; these worsened under lockdown conditions. Finally, it feeds into Theme 4, illustrating how policy responses to crises must prioritise equity and preparedness to prevent widening inequality in future emergencies.</w:t>
      </w:r>
    </w:p>
    <w:p w14:paraId="25A1CD47" w14:textId="3A95D4B3" w:rsidR="0073322D" w:rsidRPr="0000230A" w:rsidRDefault="00C918CF" w:rsidP="0000230A">
      <w:pPr>
        <w:spacing w:line="360" w:lineRule="auto"/>
        <w:rPr>
          <w:rFonts w:ascii="Arial" w:hAnsi="Arial" w:cs="Arial"/>
          <w:sz w:val="22"/>
          <w:szCs w:val="22"/>
        </w:rPr>
      </w:pPr>
      <w:r w:rsidRPr="0000230A">
        <w:rPr>
          <w:rFonts w:ascii="Arial" w:hAnsi="Arial" w:cs="Arial"/>
          <w:color w:val="000000"/>
          <w:sz w:val="22"/>
          <w:szCs w:val="22"/>
        </w:rPr>
        <w:t>This theme contributes to the overall analysis by showing how crisis events amplify structural inequalities already highlighted in previous themes</w:t>
      </w:r>
      <w:r w:rsidR="0000230A">
        <w:rPr>
          <w:rFonts w:ascii="Arial" w:hAnsi="Arial" w:cs="Arial"/>
          <w:color w:val="000000"/>
          <w:sz w:val="22"/>
          <w:szCs w:val="22"/>
        </w:rPr>
        <w:t>.</w:t>
      </w:r>
    </w:p>
    <w:p w14:paraId="5CE75859" w14:textId="77777777" w:rsidR="0073322D" w:rsidRPr="0000230A" w:rsidRDefault="0073322D" w:rsidP="0000230A">
      <w:pPr>
        <w:spacing w:before="100" w:beforeAutospacing="1" w:after="100" w:afterAutospacing="1" w:line="360" w:lineRule="auto"/>
        <w:rPr>
          <w:rFonts w:ascii="Arial" w:hAnsi="Arial" w:cs="Arial"/>
          <w:color w:val="000000" w:themeColor="text1"/>
          <w:sz w:val="22"/>
          <w:szCs w:val="22"/>
        </w:rPr>
      </w:pPr>
    </w:p>
    <w:p w14:paraId="1E229DCA" w14:textId="77777777" w:rsidR="00433871" w:rsidRPr="0000230A" w:rsidRDefault="00433871" w:rsidP="0000230A">
      <w:pPr>
        <w:spacing w:before="100" w:beforeAutospacing="1" w:after="100" w:afterAutospacing="1" w:line="360" w:lineRule="auto"/>
        <w:rPr>
          <w:rFonts w:ascii="Arial" w:hAnsi="Arial" w:cs="Arial"/>
          <w:color w:val="000000" w:themeColor="text1"/>
          <w:sz w:val="22"/>
          <w:szCs w:val="22"/>
        </w:rPr>
      </w:pPr>
    </w:p>
    <w:p w14:paraId="5AEF0E40" w14:textId="40553EBD" w:rsidR="00007F2C" w:rsidRPr="00B7524F" w:rsidRDefault="00007F2C" w:rsidP="00B7524F">
      <w:pPr>
        <w:pStyle w:val="Heading2"/>
      </w:pPr>
      <w:bookmarkStart w:id="76" w:name="_Toc215043419"/>
      <w:r w:rsidRPr="00B7524F">
        <w:rPr>
          <w:rStyle w:val="Strong"/>
          <w:b w:val="0"/>
          <w:bCs/>
        </w:rPr>
        <w:t xml:space="preserve">4.7 </w:t>
      </w:r>
      <w:r w:rsidRPr="00B7524F">
        <w:rPr>
          <w:rStyle w:val="Strong"/>
          <w:rFonts w:eastAsiaTheme="majorEastAsia"/>
          <w:b w:val="0"/>
          <w:bCs/>
        </w:rPr>
        <w:t>Conclusion</w:t>
      </w:r>
      <w:bookmarkEnd w:id="76"/>
    </w:p>
    <w:p w14:paraId="07115D9E" w14:textId="77777777" w:rsidR="0073322D" w:rsidRPr="0073322D" w:rsidRDefault="0073322D" w:rsidP="0000230A">
      <w:pPr>
        <w:spacing w:before="100" w:beforeAutospacing="1" w:after="100" w:afterAutospacing="1" w:line="360" w:lineRule="auto"/>
        <w:rPr>
          <w:rFonts w:ascii="Arial" w:hAnsi="Arial" w:cs="Arial"/>
          <w:color w:val="000000"/>
          <w:sz w:val="22"/>
          <w:szCs w:val="22"/>
        </w:rPr>
      </w:pPr>
      <w:r w:rsidRPr="0073322D">
        <w:rPr>
          <w:rFonts w:ascii="Arial" w:hAnsi="Arial" w:cs="Arial"/>
          <w:color w:val="000000"/>
          <w:sz w:val="22"/>
          <w:szCs w:val="22"/>
        </w:rPr>
        <w:t>This chapter examined five interconnected themes that show how low income, substance misuse, and untreated mental health disorders intersect in England. Each theme has demonstrated that social and economic systems are the root cause of these health issues.</w:t>
      </w:r>
    </w:p>
    <w:p w14:paraId="404128C0" w14:textId="54E2EA60" w:rsidR="0073322D" w:rsidRPr="0073322D" w:rsidRDefault="0073322D" w:rsidP="0000230A">
      <w:pPr>
        <w:spacing w:before="100" w:beforeAutospacing="1" w:after="100" w:afterAutospacing="1" w:line="360" w:lineRule="auto"/>
        <w:rPr>
          <w:rFonts w:ascii="Arial" w:hAnsi="Arial" w:cs="Arial"/>
          <w:color w:val="000000"/>
          <w:sz w:val="22"/>
          <w:szCs w:val="22"/>
        </w:rPr>
      </w:pPr>
      <w:r w:rsidRPr="0073322D">
        <w:rPr>
          <w:rFonts w:ascii="Arial" w:hAnsi="Arial" w:cs="Arial"/>
          <w:color w:val="000000"/>
          <w:sz w:val="22"/>
          <w:szCs w:val="22"/>
        </w:rPr>
        <w:t>Theme 1 demonstrates that poverty both causes and results from substance misuse. Addiction is more likely in low-income communities due to chronic stress, unemployment, and housing instability. Theme 2 reveals how untreated mental health disorders such as depression, anxiety, and trauma worsen substance misuse and perpetuate distress. Theme 3 explored socioeconomic barriers to treatment</w:t>
      </w:r>
      <w:r w:rsidRPr="0000230A">
        <w:rPr>
          <w:rFonts w:ascii="Arial" w:hAnsi="Arial" w:cs="Arial"/>
          <w:color w:val="000000"/>
          <w:sz w:val="22"/>
          <w:szCs w:val="22"/>
        </w:rPr>
        <w:t xml:space="preserve"> </w:t>
      </w:r>
      <w:r w:rsidRPr="0073322D">
        <w:rPr>
          <w:rFonts w:ascii="Arial" w:hAnsi="Arial" w:cs="Arial"/>
          <w:color w:val="000000"/>
          <w:sz w:val="22"/>
          <w:szCs w:val="22"/>
        </w:rPr>
        <w:t>including cost, transport, digital exclusion, and long waits</w:t>
      </w:r>
      <w:r w:rsidRPr="0000230A">
        <w:rPr>
          <w:rFonts w:ascii="Arial" w:hAnsi="Arial" w:cs="Arial"/>
          <w:color w:val="000000"/>
          <w:sz w:val="22"/>
          <w:szCs w:val="22"/>
        </w:rPr>
        <w:t xml:space="preserve"> </w:t>
      </w:r>
      <w:r w:rsidRPr="0073322D">
        <w:rPr>
          <w:rFonts w:ascii="Arial" w:hAnsi="Arial" w:cs="Arial"/>
          <w:color w:val="000000"/>
          <w:sz w:val="22"/>
          <w:szCs w:val="22"/>
        </w:rPr>
        <w:t>which prevent help from reaching those who need it most. Theme 4 evaluated policy and legislation, showing that although England’s drug strategy has shifted towards a public health approach, underfunding and fragmented systems hinder progress. Theme 5 showed how the COVID-19 pandemic worsened inequalities, increasing mental distress and substance use while reducing access to care.</w:t>
      </w:r>
    </w:p>
    <w:p w14:paraId="1EC529FD" w14:textId="77777777" w:rsidR="0073322D" w:rsidRPr="0073322D" w:rsidRDefault="0073322D" w:rsidP="0000230A">
      <w:pPr>
        <w:spacing w:before="100" w:beforeAutospacing="1" w:after="100" w:afterAutospacing="1" w:line="360" w:lineRule="auto"/>
        <w:rPr>
          <w:rFonts w:ascii="Arial" w:hAnsi="Arial" w:cs="Arial"/>
          <w:color w:val="000000"/>
          <w:sz w:val="22"/>
          <w:szCs w:val="22"/>
        </w:rPr>
      </w:pPr>
      <w:r w:rsidRPr="0073322D">
        <w:rPr>
          <w:rFonts w:ascii="Arial" w:hAnsi="Arial" w:cs="Arial"/>
          <w:color w:val="000000"/>
          <w:sz w:val="22"/>
          <w:szCs w:val="22"/>
        </w:rPr>
        <w:t>Taken together, the themes reveal inequality as the primary driver of substance misuse and untreated mental health issues. The evidence suggests that individual interventions will only have limited impact unless poverty, unstable housing, and underfunded services are addressed.</w:t>
      </w:r>
    </w:p>
    <w:p w14:paraId="0CE89964" w14:textId="38A2FBE1" w:rsidR="0073322D" w:rsidRPr="0073322D" w:rsidRDefault="0073322D" w:rsidP="0000230A">
      <w:pPr>
        <w:spacing w:before="100" w:beforeAutospacing="1" w:after="100" w:afterAutospacing="1" w:line="360" w:lineRule="auto"/>
        <w:rPr>
          <w:rFonts w:ascii="Arial" w:hAnsi="Arial" w:cs="Arial"/>
          <w:color w:val="000000"/>
          <w:sz w:val="22"/>
          <w:szCs w:val="22"/>
        </w:rPr>
      </w:pPr>
      <w:r w:rsidRPr="0073322D">
        <w:rPr>
          <w:rFonts w:ascii="Arial" w:hAnsi="Arial" w:cs="Arial"/>
          <w:color w:val="000000"/>
          <w:sz w:val="22"/>
          <w:szCs w:val="22"/>
        </w:rPr>
        <w:t>Integration and trauma</w:t>
      </w:r>
      <w:r w:rsidR="00684878">
        <w:rPr>
          <w:rFonts w:ascii="Arial" w:hAnsi="Arial" w:cs="Arial"/>
          <w:color w:val="000000"/>
          <w:sz w:val="22"/>
          <w:szCs w:val="22"/>
        </w:rPr>
        <w:t xml:space="preserve"> </w:t>
      </w:r>
      <w:r w:rsidRPr="0073322D">
        <w:rPr>
          <w:rFonts w:ascii="Arial" w:hAnsi="Arial" w:cs="Arial"/>
          <w:color w:val="000000"/>
          <w:sz w:val="22"/>
          <w:szCs w:val="22"/>
        </w:rPr>
        <w:t xml:space="preserve">informed care emerge as crucial conclusions. Systems that treat mental health and addiction separately fail individuals with dual diagnoses, as the literature </w:t>
      </w:r>
      <w:r w:rsidRPr="0073322D">
        <w:rPr>
          <w:rFonts w:ascii="Arial" w:hAnsi="Arial" w:cs="Arial"/>
          <w:color w:val="000000"/>
          <w:sz w:val="22"/>
          <w:szCs w:val="22"/>
        </w:rPr>
        <w:lastRenderedPageBreak/>
        <w:t>repeatedly demonstrates (Mind, 2022; Molina &amp; Whittaker, 2022). The NHS Long Term Plan (2019) and From Harm to Hope (2021–2026) recommend integrating these services to reduce duplication and improve recovery.</w:t>
      </w:r>
    </w:p>
    <w:p w14:paraId="525159EF" w14:textId="77777777" w:rsidR="0073322D" w:rsidRPr="0073322D" w:rsidRDefault="0073322D" w:rsidP="0000230A">
      <w:pPr>
        <w:spacing w:before="100" w:beforeAutospacing="1" w:after="100" w:afterAutospacing="1" w:line="360" w:lineRule="auto"/>
        <w:rPr>
          <w:rFonts w:ascii="Arial" w:hAnsi="Arial" w:cs="Arial"/>
          <w:color w:val="000000"/>
          <w:sz w:val="22"/>
          <w:szCs w:val="22"/>
        </w:rPr>
      </w:pPr>
      <w:r w:rsidRPr="0073322D">
        <w:rPr>
          <w:rFonts w:ascii="Arial" w:hAnsi="Arial" w:cs="Arial"/>
          <w:color w:val="000000"/>
          <w:sz w:val="22"/>
          <w:szCs w:val="22"/>
        </w:rPr>
        <w:t>Overall, the findings indicate that policymakers should invest, plan, and collaborate across sectors to achieve health equity. Education, employment, housing, and community support should be treated as core components of public health, not external considerations. Collectively, the five themes demonstrate that the correlation between low income, substance misuse, and untreated mental health is structurally driven and consistently reinforced by socioeconomic and policy conditions. These insights directly answer the research question and lay the groundwork for the conclusions and recommendations presented in the next chapter.</w:t>
      </w:r>
    </w:p>
    <w:p w14:paraId="513615D3" w14:textId="210DA9FA" w:rsidR="00772E44" w:rsidRDefault="00772E44" w:rsidP="0000230A">
      <w:pPr>
        <w:spacing w:before="100" w:beforeAutospacing="1" w:after="100" w:afterAutospacing="1" w:line="360" w:lineRule="auto"/>
        <w:rPr>
          <w:rFonts w:ascii="Arial" w:hAnsi="Arial" w:cs="Arial"/>
          <w:color w:val="000000" w:themeColor="text1"/>
          <w:sz w:val="22"/>
          <w:szCs w:val="22"/>
        </w:rPr>
      </w:pPr>
    </w:p>
    <w:p w14:paraId="243E9238" w14:textId="0F7C433E"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2D2C4D48" w14:textId="62ADBAA4"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3DDE0556" w14:textId="48BF848B"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764C9FC9" w14:textId="26ADCD91"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74B3F77C" w14:textId="304091B7"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3822ECBA" w14:textId="50FC703A"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7F6A3D88" w14:textId="6C0A184C"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5A5309D4" w14:textId="62DB9263"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1C8BDD79" w14:textId="1D52A842"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070DB6C2" w14:textId="2F250B73"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3B350A6D" w14:textId="26CB4CB3"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604A2520" w14:textId="77777777" w:rsidR="00C97774" w:rsidRDefault="00C97774" w:rsidP="0000230A">
      <w:pPr>
        <w:spacing w:before="100" w:beforeAutospacing="1" w:after="100" w:afterAutospacing="1" w:line="360" w:lineRule="auto"/>
        <w:rPr>
          <w:rFonts w:ascii="Arial" w:hAnsi="Arial" w:cs="Arial"/>
          <w:color w:val="000000" w:themeColor="text1"/>
          <w:sz w:val="22"/>
          <w:szCs w:val="22"/>
        </w:rPr>
      </w:pPr>
    </w:p>
    <w:p w14:paraId="74E45B32" w14:textId="77777777" w:rsidR="0000230A" w:rsidRPr="0000230A" w:rsidRDefault="0000230A" w:rsidP="0000230A">
      <w:pPr>
        <w:spacing w:before="100" w:beforeAutospacing="1" w:after="100" w:afterAutospacing="1" w:line="360" w:lineRule="auto"/>
        <w:rPr>
          <w:rFonts w:ascii="Arial" w:hAnsi="Arial" w:cs="Arial"/>
          <w:color w:val="000000" w:themeColor="text1"/>
          <w:sz w:val="22"/>
          <w:szCs w:val="22"/>
        </w:rPr>
      </w:pPr>
    </w:p>
    <w:p w14:paraId="3C454FAF" w14:textId="77777777" w:rsidR="00007F2C" w:rsidRPr="0000230A" w:rsidRDefault="00007F2C" w:rsidP="0000230A">
      <w:pPr>
        <w:pStyle w:val="Heading1"/>
      </w:pPr>
      <w:bookmarkStart w:id="77" w:name="_Toc215043420"/>
      <w:r w:rsidRPr="0000230A">
        <w:rPr>
          <w:rStyle w:val="Strong"/>
          <w:rFonts w:eastAsiaTheme="majorEastAsia"/>
          <w:b/>
          <w:bCs/>
        </w:rPr>
        <w:lastRenderedPageBreak/>
        <w:t>Chapter 5: Conclusions and Recommendations</w:t>
      </w:r>
      <w:bookmarkEnd w:id="77"/>
      <w:r w:rsidRPr="0000230A">
        <w:rPr>
          <w:rStyle w:val="Strong"/>
          <w:rFonts w:eastAsiaTheme="majorEastAsia"/>
          <w:b/>
          <w:bCs/>
        </w:rPr>
        <w:t xml:space="preserve"> </w:t>
      </w:r>
    </w:p>
    <w:p w14:paraId="4A0EBF5F" w14:textId="77777777" w:rsidR="00007F2C" w:rsidRPr="0000230A" w:rsidRDefault="00007F2C" w:rsidP="0000230A">
      <w:pPr>
        <w:pStyle w:val="Heading2"/>
      </w:pPr>
      <w:bookmarkStart w:id="78" w:name="_Toc215043421"/>
      <w:r w:rsidRPr="0000230A">
        <w:rPr>
          <w:rStyle w:val="Strong"/>
          <w:rFonts w:eastAsiaTheme="majorEastAsia"/>
          <w:b w:val="0"/>
          <w:bCs/>
        </w:rPr>
        <w:t>5.1 Introduction</w:t>
      </w:r>
      <w:bookmarkEnd w:id="78"/>
    </w:p>
    <w:p w14:paraId="7D9363CA" w14:textId="77777777" w:rsidR="0073322D" w:rsidRPr="0073322D" w:rsidRDefault="0073322D" w:rsidP="0000230A">
      <w:pPr>
        <w:spacing w:before="100" w:beforeAutospacing="1" w:after="100" w:afterAutospacing="1" w:line="360" w:lineRule="auto"/>
        <w:rPr>
          <w:rFonts w:ascii="Arial" w:hAnsi="Arial" w:cs="Arial"/>
          <w:color w:val="000000"/>
          <w:sz w:val="22"/>
          <w:szCs w:val="22"/>
        </w:rPr>
      </w:pPr>
      <w:r w:rsidRPr="0073322D">
        <w:rPr>
          <w:rFonts w:ascii="Arial" w:hAnsi="Arial" w:cs="Arial"/>
          <w:color w:val="000000"/>
          <w:sz w:val="22"/>
          <w:szCs w:val="22"/>
        </w:rPr>
        <w:t>This final chapter brings together the key insights from the thematic analysis and considers what they mean for policy, practice, and future research. It reflects on how the evidence has illuminated the relationship between low-income status, substance misuse, and untreated mental health disorders in England.</w:t>
      </w:r>
    </w:p>
    <w:p w14:paraId="1A684129" w14:textId="103BA181" w:rsidR="0073322D" w:rsidRPr="0073322D" w:rsidRDefault="0073322D" w:rsidP="0000230A">
      <w:pPr>
        <w:spacing w:before="100" w:beforeAutospacing="1" w:after="100" w:afterAutospacing="1" w:line="360" w:lineRule="auto"/>
        <w:rPr>
          <w:rFonts w:ascii="Arial" w:hAnsi="Arial" w:cs="Arial"/>
          <w:color w:val="000000"/>
          <w:sz w:val="22"/>
          <w:szCs w:val="22"/>
        </w:rPr>
      </w:pPr>
      <w:r w:rsidRPr="0073322D">
        <w:rPr>
          <w:rFonts w:ascii="Arial" w:hAnsi="Arial" w:cs="Arial"/>
          <w:color w:val="000000"/>
          <w:sz w:val="22"/>
          <w:szCs w:val="22"/>
        </w:rPr>
        <w:t xml:space="preserve">The chapter begins by summarising the main conclusions drawn from the five themes in Chapter 4, then discusses their theoretical and practical implications before presenting a set of </w:t>
      </w:r>
      <w:r w:rsidR="00684878" w:rsidRPr="0073322D">
        <w:rPr>
          <w:rFonts w:ascii="Arial" w:hAnsi="Arial" w:cs="Arial"/>
          <w:color w:val="000000"/>
          <w:sz w:val="22"/>
          <w:szCs w:val="22"/>
        </w:rPr>
        <w:t>evidence</w:t>
      </w:r>
      <w:r w:rsidR="00684878">
        <w:rPr>
          <w:rFonts w:ascii="Arial" w:hAnsi="Arial" w:cs="Arial"/>
          <w:color w:val="000000"/>
          <w:sz w:val="22"/>
          <w:szCs w:val="22"/>
        </w:rPr>
        <w:t>-based</w:t>
      </w:r>
      <w:r w:rsidRPr="0073322D">
        <w:rPr>
          <w:rFonts w:ascii="Arial" w:hAnsi="Arial" w:cs="Arial"/>
          <w:color w:val="000000"/>
          <w:sz w:val="22"/>
          <w:szCs w:val="22"/>
        </w:rPr>
        <w:t xml:space="preserve"> recommendations. It closes with reflections on the research process and an outline of the study’s limitations.</w:t>
      </w:r>
    </w:p>
    <w:p w14:paraId="2C987047" w14:textId="77777777" w:rsidR="0073322D" w:rsidRPr="0073322D" w:rsidRDefault="0073322D" w:rsidP="0000230A">
      <w:pPr>
        <w:spacing w:before="100" w:beforeAutospacing="1" w:after="100" w:afterAutospacing="1" w:line="360" w:lineRule="auto"/>
        <w:rPr>
          <w:rFonts w:ascii="Arial" w:hAnsi="Arial" w:cs="Arial"/>
          <w:color w:val="000000"/>
          <w:sz w:val="22"/>
          <w:szCs w:val="22"/>
        </w:rPr>
      </w:pPr>
      <w:r w:rsidRPr="0073322D">
        <w:rPr>
          <w:rFonts w:ascii="Arial" w:hAnsi="Arial" w:cs="Arial"/>
          <w:color w:val="000000"/>
          <w:sz w:val="22"/>
          <w:szCs w:val="22"/>
        </w:rPr>
        <w:t>Ultimately, the research reinforces a central truth: addiction and poor mental health are not isolated personal struggles; they are deeply social issues, shaped by poverty, inequality, and systems that too often fail the people who need them most.</w:t>
      </w:r>
    </w:p>
    <w:p w14:paraId="0B69DC8E" w14:textId="77777777" w:rsidR="00007F2C" w:rsidRPr="0000230A" w:rsidRDefault="00007F2C" w:rsidP="0000230A">
      <w:pPr>
        <w:spacing w:line="360" w:lineRule="auto"/>
        <w:rPr>
          <w:rFonts w:ascii="Arial" w:hAnsi="Arial" w:cs="Arial"/>
          <w:color w:val="000000" w:themeColor="text1"/>
          <w:sz w:val="22"/>
          <w:szCs w:val="22"/>
        </w:rPr>
      </w:pPr>
    </w:p>
    <w:p w14:paraId="773EF76E" w14:textId="77777777" w:rsidR="00007F2C" w:rsidRPr="0000230A" w:rsidRDefault="00007F2C" w:rsidP="0000230A">
      <w:pPr>
        <w:pStyle w:val="Heading2"/>
      </w:pPr>
      <w:bookmarkStart w:id="79" w:name="_Toc215043422"/>
      <w:r w:rsidRPr="0000230A">
        <w:rPr>
          <w:rStyle w:val="Strong"/>
          <w:rFonts w:eastAsiaTheme="majorEastAsia"/>
          <w:b w:val="0"/>
          <w:bCs/>
        </w:rPr>
        <w:t>5.2 Summary of Key Findings</w:t>
      </w:r>
      <w:bookmarkEnd w:id="79"/>
    </w:p>
    <w:p w14:paraId="45A7363A"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The thematic analysis from Chapter 4 produced a clear picture of how inequality shapes substance misuse and mental health outcomes in England.</w:t>
      </w:r>
    </w:p>
    <w:p w14:paraId="3AD829A9" w14:textId="77777777" w:rsidR="00007F2C" w:rsidRPr="0000230A" w:rsidRDefault="00007F2C" w:rsidP="0000230A">
      <w:pPr>
        <w:spacing w:line="360" w:lineRule="auto"/>
        <w:rPr>
          <w:rFonts w:ascii="Arial" w:hAnsi="Arial" w:cs="Arial"/>
          <w:sz w:val="22"/>
          <w:szCs w:val="22"/>
        </w:rPr>
      </w:pPr>
      <w:r w:rsidRPr="0000230A">
        <w:rPr>
          <w:rFonts w:ascii="Arial" w:eastAsiaTheme="majorEastAsia" w:hAnsi="Arial" w:cs="Arial"/>
          <w:sz w:val="22"/>
          <w:szCs w:val="22"/>
        </w:rPr>
        <w:t>5.2.1 Low-Income Status and Substance Misuse</w:t>
      </w:r>
    </w:p>
    <w:p w14:paraId="11C30307"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People on lower incomes face </w:t>
      </w:r>
      <w:r w:rsidRPr="0000230A">
        <w:rPr>
          <w:rFonts w:ascii="Arial" w:eastAsiaTheme="majorEastAsia" w:hAnsi="Arial" w:cs="Arial"/>
          <w:color w:val="000000" w:themeColor="text1"/>
          <w:sz w:val="22"/>
          <w:szCs w:val="22"/>
        </w:rPr>
        <w:t>much higher risks of substance misuse and drug-related death</w:t>
      </w:r>
      <w:r w:rsidRPr="0000230A">
        <w:rPr>
          <w:rFonts w:ascii="Arial" w:hAnsi="Arial" w:cs="Arial"/>
          <w:color w:val="000000" w:themeColor="text1"/>
          <w:sz w:val="22"/>
          <w:szCs w:val="22"/>
        </w:rPr>
        <w:t> (ONS, 2023). Poverty drives stress, hopelessness, and social exclusion, all of which make substance use more likely. At the same time, addiction deepens economic instability, trapping people in a self-reinforcing cycle (Marmot, 2020; Black, 2021). Stable housing, employment, and community support emerge as protective factors, but these are precisely what deprived communities often lack.</w:t>
      </w:r>
    </w:p>
    <w:p w14:paraId="0157D3BA" w14:textId="77777777" w:rsidR="00007F2C" w:rsidRPr="0000230A" w:rsidRDefault="00007F2C" w:rsidP="0000230A">
      <w:pPr>
        <w:spacing w:line="360" w:lineRule="auto"/>
        <w:rPr>
          <w:rFonts w:ascii="Arial" w:hAnsi="Arial" w:cs="Arial"/>
          <w:sz w:val="22"/>
          <w:szCs w:val="22"/>
        </w:rPr>
      </w:pPr>
      <w:r w:rsidRPr="0000230A">
        <w:rPr>
          <w:rFonts w:ascii="Arial" w:eastAsiaTheme="majorEastAsia" w:hAnsi="Arial" w:cs="Arial"/>
          <w:sz w:val="22"/>
          <w:szCs w:val="22"/>
        </w:rPr>
        <w:t>5.2.2 Mental Health Disorders That Aren't Treated and Dual Diagnosis</w:t>
      </w:r>
    </w:p>
    <w:p w14:paraId="2162322E"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A significant discovery reveals that mental health and substance misuse frequently coexist</w:t>
      </w:r>
      <w:r w:rsidRPr="0000230A">
        <w:rPr>
          <w:rFonts w:ascii="Arial" w:eastAsiaTheme="majorEastAsia" w:hAnsi="Arial" w:cs="Arial"/>
          <w:b/>
          <w:bCs/>
          <w:color w:val="000000" w:themeColor="text1"/>
          <w:sz w:val="22"/>
          <w:szCs w:val="22"/>
        </w:rPr>
        <w:t>.</w:t>
      </w:r>
      <w:r w:rsidRPr="0000230A">
        <w:rPr>
          <w:rFonts w:ascii="Arial" w:hAnsi="Arial" w:cs="Arial"/>
          <w:color w:val="000000" w:themeColor="text1"/>
          <w:sz w:val="22"/>
          <w:szCs w:val="22"/>
        </w:rPr>
        <w:t xml:space="preserve"> Anxiety, depression, and trauma are widespread among people who use substances, and many turn to drugs or alcohol as coping mechanisms when professional help is unavailable (Mind, 2022; Molina &amp; Whittaker, 2022). Despite strong policy guidance </w:t>
      </w:r>
      <w:r w:rsidRPr="0000230A">
        <w:rPr>
          <w:rFonts w:ascii="Arial" w:hAnsi="Arial" w:cs="Arial"/>
          <w:color w:val="000000" w:themeColor="text1"/>
          <w:sz w:val="22"/>
          <w:szCs w:val="22"/>
        </w:rPr>
        <w:lastRenderedPageBreak/>
        <w:t>(NICE, 2022), mental health and addiction services often operate in silos, leaving those with dual diagnoses unsupported.</w:t>
      </w:r>
    </w:p>
    <w:p w14:paraId="4F2BDD9C" w14:textId="77777777" w:rsidR="00007F2C" w:rsidRPr="0000230A" w:rsidRDefault="00007F2C" w:rsidP="0000230A">
      <w:pPr>
        <w:spacing w:line="360" w:lineRule="auto"/>
        <w:rPr>
          <w:rFonts w:ascii="Arial" w:hAnsi="Arial" w:cs="Arial"/>
          <w:sz w:val="22"/>
          <w:szCs w:val="22"/>
        </w:rPr>
      </w:pPr>
      <w:r w:rsidRPr="0000230A">
        <w:rPr>
          <w:rFonts w:ascii="Arial" w:eastAsiaTheme="majorEastAsia" w:hAnsi="Arial" w:cs="Arial"/>
          <w:sz w:val="22"/>
          <w:szCs w:val="22"/>
        </w:rPr>
        <w:t>5.2.3 Barriers to Access and Service Inequality</w:t>
      </w:r>
    </w:p>
    <w:p w14:paraId="60E19947"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Many people can't gain access to services even when they are available. Poverty, stigma, transport expenses, and waiting times create invisible barriers that stop those most in need from getting help. This situation reflects the </w:t>
      </w:r>
      <w:r w:rsidRPr="0000230A">
        <w:rPr>
          <w:rFonts w:ascii="Arial" w:eastAsiaTheme="majorEastAsia" w:hAnsi="Arial" w:cs="Arial"/>
          <w:color w:val="000000" w:themeColor="text1"/>
          <w:sz w:val="22"/>
          <w:szCs w:val="22"/>
        </w:rPr>
        <w:t>Inverse Care Law</w:t>
      </w:r>
      <w:r w:rsidRPr="0000230A">
        <w:rPr>
          <w:rFonts w:ascii="Arial" w:hAnsi="Arial" w:cs="Arial"/>
          <w:color w:val="000000" w:themeColor="text1"/>
          <w:sz w:val="22"/>
          <w:szCs w:val="22"/>
        </w:rPr>
        <w:t> (Hart, 1971): people in the greatest need of healthcare often have the least access. Funding cuts and postcode inequalities mean that treatment quality still depends too heavily on where a person lives (PHE, 2021; NHS Digital, 2023).</w:t>
      </w:r>
    </w:p>
    <w:p w14:paraId="49C214A8" w14:textId="77777777" w:rsidR="00007F2C" w:rsidRPr="0000230A" w:rsidRDefault="00007F2C" w:rsidP="0000230A">
      <w:pPr>
        <w:spacing w:line="360" w:lineRule="auto"/>
        <w:rPr>
          <w:rFonts w:ascii="Arial" w:hAnsi="Arial" w:cs="Arial"/>
          <w:sz w:val="22"/>
          <w:szCs w:val="22"/>
        </w:rPr>
      </w:pPr>
      <w:r w:rsidRPr="0000230A">
        <w:rPr>
          <w:rFonts w:ascii="Arial" w:eastAsiaTheme="majorEastAsia" w:hAnsi="Arial" w:cs="Arial"/>
          <w:sz w:val="22"/>
          <w:szCs w:val="22"/>
        </w:rPr>
        <w:t>5.2.4 Policy, Legislation, and Public Health Frameworks</w:t>
      </w:r>
    </w:p>
    <w:p w14:paraId="359F3F08"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Policy awareness of these problems has grown. The </w:t>
      </w:r>
      <w:r w:rsidRPr="0000230A">
        <w:rPr>
          <w:rFonts w:ascii="Arial" w:eastAsiaTheme="majorEastAsia" w:hAnsi="Arial" w:cs="Arial"/>
          <w:color w:val="000000" w:themeColor="text1"/>
          <w:sz w:val="22"/>
          <w:szCs w:val="22"/>
        </w:rPr>
        <w:t>Dame Carol Black Review (2021)</w:t>
      </w:r>
      <w:r w:rsidRPr="0000230A">
        <w:rPr>
          <w:rFonts w:ascii="Arial" w:hAnsi="Arial" w:cs="Arial"/>
          <w:color w:val="000000" w:themeColor="text1"/>
          <w:sz w:val="22"/>
          <w:szCs w:val="22"/>
        </w:rPr>
        <w:t> and the </w:t>
      </w:r>
      <w:r w:rsidRPr="0000230A">
        <w:rPr>
          <w:rFonts w:ascii="Arial" w:eastAsiaTheme="majorEastAsia" w:hAnsi="Arial" w:cs="Arial"/>
          <w:color w:val="000000" w:themeColor="text1"/>
          <w:sz w:val="22"/>
          <w:szCs w:val="22"/>
        </w:rPr>
        <w:t>UK Drug Strategy (2021)</w:t>
      </w:r>
      <w:r w:rsidRPr="0000230A">
        <w:rPr>
          <w:rFonts w:ascii="Arial" w:hAnsi="Arial" w:cs="Arial"/>
          <w:color w:val="000000" w:themeColor="text1"/>
          <w:sz w:val="22"/>
          <w:szCs w:val="22"/>
        </w:rPr>
        <w:t> represent real steps forward, yet implementation and funding remain inconsistent. Policies often focus on enforcement rather than prevention. Without addressing the deeper social inequalities that drive addiction, the same cycles will continue (Marmot, 2020; WHO, 2022).</w:t>
      </w:r>
    </w:p>
    <w:p w14:paraId="3941F31E" w14:textId="77777777" w:rsidR="00007F2C" w:rsidRPr="0000230A" w:rsidRDefault="00007F2C" w:rsidP="0000230A">
      <w:pPr>
        <w:spacing w:line="360" w:lineRule="auto"/>
        <w:rPr>
          <w:rFonts w:ascii="Arial" w:hAnsi="Arial" w:cs="Arial"/>
          <w:sz w:val="22"/>
          <w:szCs w:val="22"/>
        </w:rPr>
      </w:pPr>
      <w:r w:rsidRPr="0000230A">
        <w:rPr>
          <w:rFonts w:ascii="Arial" w:eastAsiaTheme="majorEastAsia" w:hAnsi="Arial" w:cs="Arial"/>
          <w:sz w:val="22"/>
          <w:szCs w:val="22"/>
        </w:rPr>
        <w:t>5.2.5 The Impact of COVID-19 on Health Inequalities</w:t>
      </w:r>
    </w:p>
    <w:p w14:paraId="32189E3D"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COVID-19 magnified these issues. Lockdowns increased loneliness, unemployment, and housing insecurity, while access to support services declined. People already struggling with mental health or addiction suffered most (Pierce et al., 2020; Kwong et al., 2020). The pandemic didn’t create inequality; it exposed it.</w:t>
      </w:r>
    </w:p>
    <w:p w14:paraId="757B69EA"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eastAsiaTheme="majorEastAsia" w:hAnsi="Arial" w:cs="Arial"/>
          <w:sz w:val="22"/>
          <w:szCs w:val="22"/>
        </w:rPr>
        <w:t>In summary:</w:t>
      </w:r>
      <w:r w:rsidRPr="0000230A">
        <w:rPr>
          <w:rFonts w:ascii="Arial" w:hAnsi="Arial" w:cs="Arial"/>
          <w:sz w:val="22"/>
          <w:szCs w:val="22"/>
        </w:rPr>
        <w:br/>
      </w:r>
      <w:r w:rsidRPr="0000230A">
        <w:rPr>
          <w:rFonts w:ascii="Arial" w:hAnsi="Arial" w:cs="Arial"/>
          <w:color w:val="000000" w:themeColor="text1"/>
          <w:sz w:val="22"/>
          <w:szCs w:val="22"/>
        </w:rPr>
        <w:t>Substance misuse and untreated mental illness in England are symptoms of deeper social and economic problems. Without addressing these root causes, progress will remain limited.</w:t>
      </w:r>
    </w:p>
    <w:p w14:paraId="1A9B3B75" w14:textId="77777777" w:rsidR="00007F2C" w:rsidRPr="0000230A" w:rsidRDefault="00007F2C" w:rsidP="0000230A">
      <w:pPr>
        <w:spacing w:line="360" w:lineRule="auto"/>
        <w:rPr>
          <w:rFonts w:ascii="Arial" w:hAnsi="Arial" w:cs="Arial"/>
          <w:color w:val="000000" w:themeColor="text1"/>
          <w:sz w:val="22"/>
          <w:szCs w:val="22"/>
        </w:rPr>
      </w:pPr>
    </w:p>
    <w:p w14:paraId="5044BE4F" w14:textId="77777777" w:rsidR="00007F2C" w:rsidRPr="0000230A" w:rsidRDefault="00007F2C" w:rsidP="0000230A">
      <w:pPr>
        <w:spacing w:line="360" w:lineRule="auto"/>
        <w:rPr>
          <w:rFonts w:ascii="Arial" w:hAnsi="Arial" w:cs="Arial"/>
          <w:color w:val="000000" w:themeColor="text1"/>
          <w:sz w:val="22"/>
          <w:szCs w:val="22"/>
        </w:rPr>
      </w:pPr>
    </w:p>
    <w:p w14:paraId="7845CF7C" w14:textId="77777777" w:rsidR="00007F2C" w:rsidRPr="0000230A" w:rsidRDefault="00007F2C" w:rsidP="0000230A">
      <w:pPr>
        <w:spacing w:line="360" w:lineRule="auto"/>
        <w:rPr>
          <w:rFonts w:ascii="Arial" w:hAnsi="Arial" w:cs="Arial"/>
          <w:color w:val="000000" w:themeColor="text1"/>
          <w:sz w:val="22"/>
          <w:szCs w:val="22"/>
        </w:rPr>
      </w:pPr>
    </w:p>
    <w:p w14:paraId="57E38A40" w14:textId="67FFA7AA" w:rsidR="00433871" w:rsidRDefault="00433871" w:rsidP="0000230A">
      <w:pPr>
        <w:spacing w:line="360" w:lineRule="auto"/>
        <w:rPr>
          <w:rFonts w:ascii="Arial" w:hAnsi="Arial" w:cs="Arial"/>
          <w:color w:val="000000" w:themeColor="text1"/>
          <w:sz w:val="22"/>
          <w:szCs w:val="22"/>
        </w:rPr>
      </w:pPr>
    </w:p>
    <w:p w14:paraId="55D01047" w14:textId="2A0D66BC" w:rsidR="00A27305" w:rsidRDefault="00A27305" w:rsidP="0000230A">
      <w:pPr>
        <w:spacing w:line="360" w:lineRule="auto"/>
        <w:rPr>
          <w:rFonts w:ascii="Arial" w:hAnsi="Arial" w:cs="Arial"/>
          <w:color w:val="000000" w:themeColor="text1"/>
          <w:sz w:val="22"/>
          <w:szCs w:val="22"/>
        </w:rPr>
      </w:pPr>
    </w:p>
    <w:p w14:paraId="5F2B0633" w14:textId="138A708E" w:rsidR="00A27305" w:rsidRDefault="00A27305" w:rsidP="0000230A">
      <w:pPr>
        <w:spacing w:line="360" w:lineRule="auto"/>
        <w:rPr>
          <w:rFonts w:ascii="Arial" w:hAnsi="Arial" w:cs="Arial"/>
          <w:color w:val="000000" w:themeColor="text1"/>
          <w:sz w:val="22"/>
          <w:szCs w:val="22"/>
        </w:rPr>
      </w:pPr>
    </w:p>
    <w:p w14:paraId="410CA6B7" w14:textId="77777777" w:rsidR="00A27305" w:rsidRPr="0000230A" w:rsidRDefault="00A27305" w:rsidP="0000230A">
      <w:pPr>
        <w:spacing w:line="360" w:lineRule="auto"/>
        <w:rPr>
          <w:rFonts w:ascii="Arial" w:hAnsi="Arial" w:cs="Arial"/>
          <w:color w:val="000000" w:themeColor="text1"/>
          <w:sz w:val="22"/>
          <w:szCs w:val="22"/>
        </w:rPr>
      </w:pPr>
    </w:p>
    <w:p w14:paraId="716E6B20" w14:textId="77777777" w:rsidR="00007F2C" w:rsidRPr="0000230A" w:rsidRDefault="00007F2C" w:rsidP="0000230A">
      <w:pPr>
        <w:pStyle w:val="Heading2"/>
      </w:pPr>
      <w:bookmarkStart w:id="80" w:name="_Toc215043423"/>
      <w:r w:rsidRPr="0000230A">
        <w:rPr>
          <w:rStyle w:val="Strong"/>
          <w:rFonts w:eastAsiaTheme="majorEastAsia"/>
          <w:b w:val="0"/>
          <w:bCs/>
        </w:rPr>
        <w:lastRenderedPageBreak/>
        <w:t>5.3 Theoretical and Practical Implications</w:t>
      </w:r>
      <w:bookmarkEnd w:id="80"/>
    </w:p>
    <w:p w14:paraId="3410A2D0" w14:textId="77777777" w:rsidR="00007F2C" w:rsidRPr="0000230A" w:rsidRDefault="00007F2C" w:rsidP="0000230A">
      <w:pPr>
        <w:spacing w:line="360" w:lineRule="auto"/>
        <w:rPr>
          <w:rFonts w:ascii="Arial" w:hAnsi="Arial" w:cs="Arial"/>
          <w:sz w:val="22"/>
          <w:szCs w:val="22"/>
        </w:rPr>
      </w:pPr>
      <w:r w:rsidRPr="0000230A">
        <w:rPr>
          <w:rFonts w:ascii="Arial" w:eastAsiaTheme="majorEastAsia" w:hAnsi="Arial" w:cs="Arial"/>
          <w:sz w:val="22"/>
          <w:szCs w:val="22"/>
        </w:rPr>
        <w:t>5.3.1 Theoretical Implications</w:t>
      </w:r>
    </w:p>
    <w:p w14:paraId="7D42C686"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This research reinforces several established theories. </w:t>
      </w:r>
      <w:r w:rsidRPr="0000230A">
        <w:rPr>
          <w:rFonts w:ascii="Arial" w:eastAsiaTheme="majorEastAsia" w:hAnsi="Arial" w:cs="Arial"/>
          <w:color w:val="000000" w:themeColor="text1"/>
          <w:sz w:val="22"/>
          <w:szCs w:val="22"/>
        </w:rPr>
        <w:t>Marmot’s (2020)</w:t>
      </w:r>
      <w:r w:rsidRPr="0000230A">
        <w:rPr>
          <w:rFonts w:ascii="Arial" w:hAnsi="Arial" w:cs="Arial"/>
          <w:color w:val="000000" w:themeColor="text1"/>
          <w:sz w:val="22"/>
          <w:szCs w:val="22"/>
        </w:rPr>
        <w:t> concept of the social gradient in health repeatedly shows that people with fewer resources experience worse outcomes in every measure of wellbeing. The </w:t>
      </w:r>
      <w:r w:rsidRPr="0000230A">
        <w:rPr>
          <w:rFonts w:ascii="Arial" w:eastAsiaTheme="majorEastAsia" w:hAnsi="Arial" w:cs="Arial"/>
          <w:color w:val="000000" w:themeColor="text1"/>
          <w:sz w:val="22"/>
          <w:szCs w:val="22"/>
        </w:rPr>
        <w:t>biopsychosocial model (Engel, 1977)</w:t>
      </w:r>
      <w:r w:rsidRPr="0000230A">
        <w:rPr>
          <w:rFonts w:ascii="Arial" w:hAnsi="Arial" w:cs="Arial"/>
          <w:color w:val="000000" w:themeColor="text1"/>
          <w:sz w:val="22"/>
          <w:szCs w:val="22"/>
        </w:rPr>
        <w:t> also proved relevant, illustrating how biological vulnerabilities, psychological stress, and social disadvantage combine to shape health. Finally, </w:t>
      </w:r>
      <w:r w:rsidRPr="0000230A">
        <w:rPr>
          <w:rFonts w:ascii="Arial" w:eastAsiaTheme="majorEastAsia" w:hAnsi="Arial" w:cs="Arial"/>
          <w:color w:val="000000" w:themeColor="text1"/>
          <w:sz w:val="22"/>
          <w:szCs w:val="22"/>
        </w:rPr>
        <w:t>NICE’s (2022)</w:t>
      </w:r>
      <w:r w:rsidRPr="0000230A">
        <w:rPr>
          <w:rFonts w:ascii="Arial" w:hAnsi="Arial" w:cs="Arial"/>
          <w:color w:val="000000" w:themeColor="text1"/>
          <w:sz w:val="22"/>
          <w:szCs w:val="22"/>
        </w:rPr>
        <w:t> dual diagnosis framework confirms that fragmented care is ineffective; coordinated, holistic support is essential.</w:t>
      </w:r>
    </w:p>
    <w:p w14:paraId="05C6EF08"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Together, these frameworks underline an important idea: </w:t>
      </w:r>
      <w:r w:rsidRPr="0000230A">
        <w:rPr>
          <w:rFonts w:ascii="Arial" w:eastAsiaTheme="majorEastAsia" w:hAnsi="Arial" w:cs="Arial"/>
          <w:color w:val="000000" w:themeColor="text1"/>
          <w:sz w:val="22"/>
          <w:szCs w:val="22"/>
        </w:rPr>
        <w:t>addiction and mental illness are not moral failings; they are predictable responses to unequal social conditions.</w:t>
      </w:r>
    </w:p>
    <w:p w14:paraId="3BCCAC32" w14:textId="77777777" w:rsidR="00007F2C" w:rsidRPr="0000230A" w:rsidRDefault="00007F2C" w:rsidP="0000230A">
      <w:pPr>
        <w:spacing w:line="360" w:lineRule="auto"/>
        <w:rPr>
          <w:rFonts w:ascii="Arial" w:hAnsi="Arial" w:cs="Arial"/>
          <w:sz w:val="22"/>
          <w:szCs w:val="22"/>
        </w:rPr>
      </w:pPr>
      <w:r w:rsidRPr="0000230A">
        <w:rPr>
          <w:rFonts w:ascii="Arial" w:eastAsiaTheme="majorEastAsia" w:hAnsi="Arial" w:cs="Arial"/>
          <w:sz w:val="22"/>
          <w:szCs w:val="22"/>
        </w:rPr>
        <w:t>5.3.2 Practical Implications</w:t>
      </w:r>
    </w:p>
    <w:p w14:paraId="35F6CD09"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The findings have strong practical relevance for public health. England’s system must move from </w:t>
      </w:r>
      <w:r w:rsidRPr="0000230A">
        <w:rPr>
          <w:rFonts w:ascii="Arial" w:eastAsiaTheme="majorEastAsia" w:hAnsi="Arial" w:cs="Arial"/>
          <w:color w:val="000000" w:themeColor="text1"/>
          <w:sz w:val="22"/>
          <w:szCs w:val="22"/>
        </w:rPr>
        <w:t>reactive to preventive</w:t>
      </w:r>
      <w:r w:rsidRPr="0000230A">
        <w:rPr>
          <w:rFonts w:ascii="Arial" w:hAnsi="Arial" w:cs="Arial"/>
          <w:color w:val="000000" w:themeColor="text1"/>
          <w:sz w:val="22"/>
          <w:szCs w:val="22"/>
        </w:rPr>
        <w:t>, focusing less on punishment and more on social protection. Economic inequality should be treated as a public health priority. Mental health and addiction teams need to work together more often, and they need to do so with the help of shared budgets and data-sharing systems.</w:t>
      </w:r>
    </w:p>
    <w:p w14:paraId="5824A810"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In practice, this means redesigning services around people, not processes, and building empathy, cultural understanding, and trauma awareness into every stage of care (Molina &amp; Whittaker, 2022). These are not just policy aspirations; they are moral imperatives for a fairer and healthier society.</w:t>
      </w:r>
    </w:p>
    <w:p w14:paraId="115046D5" w14:textId="77777777" w:rsidR="00007F2C" w:rsidRPr="0000230A" w:rsidRDefault="00007F2C" w:rsidP="0000230A">
      <w:pPr>
        <w:spacing w:line="360" w:lineRule="auto"/>
        <w:rPr>
          <w:rFonts w:ascii="Arial" w:hAnsi="Arial" w:cs="Arial"/>
          <w:color w:val="000000" w:themeColor="text1"/>
          <w:sz w:val="22"/>
          <w:szCs w:val="22"/>
        </w:rPr>
      </w:pPr>
    </w:p>
    <w:p w14:paraId="4FBA04C3" w14:textId="57247FF5" w:rsidR="00007F2C" w:rsidRPr="0000230A" w:rsidRDefault="00007F2C" w:rsidP="0000230A">
      <w:pPr>
        <w:spacing w:line="360" w:lineRule="auto"/>
        <w:rPr>
          <w:rFonts w:ascii="Arial" w:hAnsi="Arial" w:cs="Arial"/>
          <w:color w:val="000000" w:themeColor="text1"/>
          <w:sz w:val="22"/>
          <w:szCs w:val="22"/>
        </w:rPr>
      </w:pPr>
    </w:p>
    <w:p w14:paraId="2E4DBE7C" w14:textId="779164C6" w:rsidR="00433871" w:rsidRPr="0000230A" w:rsidRDefault="00433871" w:rsidP="0000230A">
      <w:pPr>
        <w:spacing w:line="360" w:lineRule="auto"/>
        <w:rPr>
          <w:rFonts w:ascii="Arial" w:hAnsi="Arial" w:cs="Arial"/>
          <w:color w:val="000000" w:themeColor="text1"/>
          <w:sz w:val="22"/>
          <w:szCs w:val="22"/>
        </w:rPr>
      </w:pPr>
    </w:p>
    <w:p w14:paraId="1FD3F5F2" w14:textId="4E225893" w:rsidR="00433871" w:rsidRPr="0000230A" w:rsidRDefault="00433871" w:rsidP="0000230A">
      <w:pPr>
        <w:spacing w:line="360" w:lineRule="auto"/>
        <w:rPr>
          <w:rFonts w:ascii="Arial" w:hAnsi="Arial" w:cs="Arial"/>
          <w:color w:val="000000" w:themeColor="text1"/>
          <w:sz w:val="22"/>
          <w:szCs w:val="22"/>
        </w:rPr>
      </w:pPr>
    </w:p>
    <w:p w14:paraId="16ACD978" w14:textId="0C694B4C" w:rsidR="00433871" w:rsidRPr="0000230A" w:rsidRDefault="00433871" w:rsidP="0000230A">
      <w:pPr>
        <w:spacing w:line="360" w:lineRule="auto"/>
        <w:rPr>
          <w:rFonts w:ascii="Arial" w:hAnsi="Arial" w:cs="Arial"/>
          <w:color w:val="000000" w:themeColor="text1"/>
          <w:sz w:val="22"/>
          <w:szCs w:val="22"/>
        </w:rPr>
      </w:pPr>
    </w:p>
    <w:p w14:paraId="3E7A4AC5" w14:textId="4D052C48" w:rsidR="00433871" w:rsidRPr="0000230A" w:rsidRDefault="00433871" w:rsidP="0000230A">
      <w:pPr>
        <w:spacing w:line="360" w:lineRule="auto"/>
        <w:rPr>
          <w:rFonts w:ascii="Arial" w:hAnsi="Arial" w:cs="Arial"/>
          <w:color w:val="000000" w:themeColor="text1"/>
          <w:sz w:val="22"/>
          <w:szCs w:val="22"/>
        </w:rPr>
      </w:pPr>
    </w:p>
    <w:p w14:paraId="4BE784CC" w14:textId="516AEA51" w:rsidR="00433871" w:rsidRDefault="00433871" w:rsidP="0000230A">
      <w:pPr>
        <w:spacing w:line="360" w:lineRule="auto"/>
        <w:rPr>
          <w:rFonts w:ascii="Arial" w:hAnsi="Arial" w:cs="Arial"/>
          <w:color w:val="000000" w:themeColor="text1"/>
          <w:sz w:val="22"/>
          <w:szCs w:val="22"/>
        </w:rPr>
      </w:pPr>
    </w:p>
    <w:p w14:paraId="0DAC13B9" w14:textId="4E557049" w:rsidR="00A27305" w:rsidRDefault="00A27305" w:rsidP="0000230A">
      <w:pPr>
        <w:spacing w:line="360" w:lineRule="auto"/>
        <w:rPr>
          <w:rFonts w:ascii="Arial" w:hAnsi="Arial" w:cs="Arial"/>
          <w:color w:val="000000" w:themeColor="text1"/>
          <w:sz w:val="22"/>
          <w:szCs w:val="22"/>
        </w:rPr>
      </w:pPr>
    </w:p>
    <w:p w14:paraId="3EC189F2" w14:textId="65F428B7" w:rsidR="00A27305" w:rsidRDefault="00A27305" w:rsidP="0000230A">
      <w:pPr>
        <w:spacing w:line="360" w:lineRule="auto"/>
        <w:rPr>
          <w:rFonts w:ascii="Arial" w:hAnsi="Arial" w:cs="Arial"/>
          <w:color w:val="000000" w:themeColor="text1"/>
          <w:sz w:val="22"/>
          <w:szCs w:val="22"/>
        </w:rPr>
      </w:pPr>
    </w:p>
    <w:p w14:paraId="62CADB5B" w14:textId="05DEA8A5" w:rsidR="00A27305" w:rsidRDefault="00A27305" w:rsidP="0000230A">
      <w:pPr>
        <w:spacing w:line="360" w:lineRule="auto"/>
        <w:rPr>
          <w:rFonts w:ascii="Arial" w:hAnsi="Arial" w:cs="Arial"/>
          <w:color w:val="000000" w:themeColor="text1"/>
          <w:sz w:val="22"/>
          <w:szCs w:val="22"/>
        </w:rPr>
      </w:pPr>
    </w:p>
    <w:p w14:paraId="49F86921" w14:textId="77777777" w:rsidR="00A27305" w:rsidRPr="0000230A" w:rsidRDefault="00A27305" w:rsidP="0000230A">
      <w:pPr>
        <w:spacing w:line="360" w:lineRule="auto"/>
        <w:rPr>
          <w:rFonts w:ascii="Arial" w:hAnsi="Arial" w:cs="Arial"/>
          <w:color w:val="000000" w:themeColor="text1"/>
          <w:sz w:val="22"/>
          <w:szCs w:val="22"/>
        </w:rPr>
      </w:pPr>
    </w:p>
    <w:p w14:paraId="2E558D33" w14:textId="77777777" w:rsidR="00007F2C" w:rsidRPr="0000230A" w:rsidRDefault="00007F2C" w:rsidP="0000230A">
      <w:pPr>
        <w:pStyle w:val="Heading2"/>
      </w:pPr>
      <w:bookmarkStart w:id="81" w:name="_Toc215043424"/>
      <w:r w:rsidRPr="0000230A">
        <w:rPr>
          <w:rStyle w:val="Strong"/>
          <w:rFonts w:eastAsiaTheme="majorEastAsia"/>
          <w:b w:val="0"/>
          <w:bCs/>
        </w:rPr>
        <w:lastRenderedPageBreak/>
        <w:t>5.4 Recommendations</w:t>
      </w:r>
      <w:bookmarkEnd w:id="81"/>
    </w:p>
    <w:p w14:paraId="1AC075DC" w14:textId="18AD1BD0" w:rsidR="00007F2C" w:rsidRPr="0000230A" w:rsidRDefault="00007F2C" w:rsidP="0000230A">
      <w:pPr>
        <w:spacing w:before="100" w:beforeAutospacing="1" w:after="100" w:afterAutospacing="1" w:line="360" w:lineRule="auto"/>
        <w:rPr>
          <w:rFonts w:ascii="Arial" w:eastAsiaTheme="majorEastAsia" w:hAnsi="Arial" w:cs="Arial"/>
          <w:color w:val="000000" w:themeColor="text1"/>
          <w:sz w:val="22"/>
          <w:szCs w:val="22"/>
        </w:rPr>
      </w:pPr>
      <w:r w:rsidRPr="0000230A">
        <w:rPr>
          <w:rFonts w:ascii="Arial" w:hAnsi="Arial" w:cs="Arial"/>
          <w:color w:val="000000" w:themeColor="text1"/>
          <w:sz w:val="22"/>
          <w:szCs w:val="22"/>
        </w:rPr>
        <w:t>Drawing from these findings, the following recommendations are divided into three levels: </w:t>
      </w:r>
      <w:r w:rsidRPr="0000230A">
        <w:rPr>
          <w:rFonts w:ascii="Arial" w:eastAsiaTheme="majorEastAsia" w:hAnsi="Arial" w:cs="Arial"/>
          <w:color w:val="000000" w:themeColor="text1"/>
          <w:sz w:val="22"/>
          <w:szCs w:val="22"/>
        </w:rPr>
        <w:t>policy, service</w:t>
      </w:r>
      <w:r w:rsidRPr="0000230A">
        <w:rPr>
          <w:rFonts w:ascii="Arial" w:hAnsi="Arial" w:cs="Arial"/>
          <w:color w:val="000000" w:themeColor="text1"/>
          <w:sz w:val="22"/>
          <w:szCs w:val="22"/>
        </w:rPr>
        <w:t>, and </w:t>
      </w:r>
      <w:r w:rsidRPr="0000230A">
        <w:rPr>
          <w:rFonts w:ascii="Arial" w:eastAsiaTheme="majorEastAsia" w:hAnsi="Arial" w:cs="Arial"/>
          <w:color w:val="000000" w:themeColor="text1"/>
          <w:sz w:val="22"/>
          <w:szCs w:val="22"/>
        </w:rPr>
        <w:t>research.</w:t>
      </w:r>
    </w:p>
    <w:p w14:paraId="647628F3" w14:textId="74AA9537" w:rsidR="00007F2C" w:rsidRPr="0000230A" w:rsidRDefault="00007F2C" w:rsidP="0000230A">
      <w:pPr>
        <w:spacing w:line="360" w:lineRule="auto"/>
        <w:rPr>
          <w:rFonts w:ascii="Arial" w:eastAsiaTheme="majorEastAsia" w:hAnsi="Arial" w:cs="Arial"/>
          <w:sz w:val="22"/>
          <w:szCs w:val="22"/>
        </w:rPr>
      </w:pPr>
      <w:r w:rsidRPr="0000230A">
        <w:rPr>
          <w:rFonts w:ascii="Arial" w:eastAsiaTheme="majorEastAsia" w:hAnsi="Arial" w:cs="Arial"/>
          <w:sz w:val="22"/>
          <w:szCs w:val="22"/>
        </w:rPr>
        <w:t>5.4.1 Policy-Level Recommendations</w:t>
      </w:r>
    </w:p>
    <w:p w14:paraId="4F2B4602" w14:textId="77777777" w:rsidR="00951E70" w:rsidRPr="0000230A" w:rsidRDefault="00951E70" w:rsidP="0000230A">
      <w:pPr>
        <w:spacing w:line="360" w:lineRule="auto"/>
        <w:rPr>
          <w:rFonts w:ascii="Arial" w:hAnsi="Arial" w:cs="Arial"/>
          <w:sz w:val="22"/>
          <w:szCs w:val="22"/>
        </w:rPr>
      </w:pPr>
    </w:p>
    <w:p w14:paraId="240DDCAD" w14:textId="34247AB8" w:rsidR="00007F2C" w:rsidRPr="0000230A" w:rsidRDefault="00007F2C" w:rsidP="0000230A">
      <w:pPr>
        <w:spacing w:line="360" w:lineRule="auto"/>
        <w:rPr>
          <w:rFonts w:ascii="Arial" w:hAnsi="Arial" w:cs="Arial"/>
          <w:color w:val="000000" w:themeColor="text1"/>
          <w:sz w:val="22"/>
          <w:szCs w:val="22"/>
        </w:rPr>
      </w:pPr>
      <w:r w:rsidRPr="0000230A">
        <w:rPr>
          <w:rFonts w:ascii="Arial" w:hAnsi="Arial" w:cs="Arial"/>
          <w:sz w:val="22"/>
          <w:szCs w:val="22"/>
        </w:rPr>
        <w:t xml:space="preserve">1. </w:t>
      </w:r>
      <w:r w:rsidRPr="0000230A">
        <w:rPr>
          <w:rFonts w:ascii="Arial" w:eastAsiaTheme="majorEastAsia" w:hAnsi="Arial" w:cs="Arial"/>
          <w:sz w:val="22"/>
          <w:szCs w:val="22"/>
        </w:rPr>
        <w:t>Tackle Poverty as a Public Health Issue</w:t>
      </w:r>
      <w:r w:rsidR="0073322D" w:rsidRPr="0000230A">
        <w:rPr>
          <w:rFonts w:ascii="Arial" w:eastAsiaTheme="majorEastAsia" w:hAnsi="Arial" w:cs="Arial"/>
          <w:sz w:val="22"/>
          <w:szCs w:val="22"/>
        </w:rPr>
        <w:t xml:space="preserve"> - </w:t>
      </w:r>
      <w:r w:rsidR="0073322D" w:rsidRPr="0000230A">
        <w:rPr>
          <w:rFonts w:ascii="Arial" w:hAnsi="Arial" w:cs="Arial"/>
          <w:color w:val="000000"/>
          <w:sz w:val="22"/>
          <w:szCs w:val="22"/>
        </w:rPr>
        <w:t>Linked to Theme 1</w:t>
      </w:r>
      <w:r w:rsidR="00951E70" w:rsidRPr="0000230A">
        <w:rPr>
          <w:rStyle w:val="apple-converted-space"/>
          <w:rFonts w:ascii="Arial" w:hAnsi="Arial" w:cs="Arial"/>
          <w:color w:val="000000"/>
          <w:sz w:val="22"/>
          <w:szCs w:val="22"/>
        </w:rPr>
        <w:t>.</w:t>
      </w:r>
      <w:r w:rsidRPr="0000230A">
        <w:rPr>
          <w:rFonts w:ascii="Arial" w:hAnsi="Arial" w:cs="Arial"/>
          <w:sz w:val="22"/>
          <w:szCs w:val="22"/>
        </w:rPr>
        <w:br/>
      </w:r>
      <w:r w:rsidRPr="0000230A">
        <w:rPr>
          <w:rFonts w:ascii="Arial" w:hAnsi="Arial" w:cs="Arial"/>
          <w:color w:val="000000" w:themeColor="text1"/>
          <w:sz w:val="22"/>
          <w:szCs w:val="22"/>
        </w:rPr>
        <w:t>Poverty is the strongest predictor of substance misuse. Government policy must address wages, housing, and social security as health interventions (Marmot, 2020). Expanding access to affordable housing, childcare, and employment support would reduce stressors that contribute to addiction.</w:t>
      </w:r>
    </w:p>
    <w:p w14:paraId="63C76CEC" w14:textId="77777777" w:rsidR="00951E70" w:rsidRPr="0000230A" w:rsidRDefault="00951E70" w:rsidP="0000230A">
      <w:pPr>
        <w:spacing w:line="360" w:lineRule="auto"/>
        <w:rPr>
          <w:rFonts w:ascii="Arial" w:hAnsi="Arial" w:cs="Arial"/>
          <w:sz w:val="22"/>
          <w:szCs w:val="22"/>
        </w:rPr>
      </w:pPr>
    </w:p>
    <w:p w14:paraId="42D7AFFD" w14:textId="7684B982" w:rsidR="00007F2C" w:rsidRPr="0000230A" w:rsidRDefault="00007F2C" w:rsidP="0000230A">
      <w:pPr>
        <w:spacing w:line="360" w:lineRule="auto"/>
        <w:rPr>
          <w:rFonts w:ascii="Arial" w:hAnsi="Arial" w:cs="Arial"/>
          <w:color w:val="000000" w:themeColor="text1"/>
          <w:sz w:val="22"/>
          <w:szCs w:val="22"/>
        </w:rPr>
      </w:pPr>
      <w:r w:rsidRPr="0000230A">
        <w:rPr>
          <w:rFonts w:ascii="Arial" w:hAnsi="Arial" w:cs="Arial"/>
          <w:color w:val="000000" w:themeColor="text1"/>
          <w:sz w:val="22"/>
          <w:szCs w:val="22"/>
        </w:rPr>
        <w:t xml:space="preserve">2. </w:t>
      </w:r>
      <w:r w:rsidRPr="0000230A">
        <w:rPr>
          <w:rFonts w:ascii="Arial" w:eastAsiaTheme="majorEastAsia" w:hAnsi="Arial" w:cs="Arial"/>
          <w:color w:val="000000" w:themeColor="text1"/>
          <w:sz w:val="22"/>
          <w:szCs w:val="22"/>
        </w:rPr>
        <w:t>Create an Integrated National Strategy for Dual Diagnosis</w:t>
      </w:r>
      <w:r w:rsidR="0073322D" w:rsidRPr="0000230A">
        <w:rPr>
          <w:rFonts w:ascii="Arial" w:eastAsiaTheme="majorEastAsia" w:hAnsi="Arial" w:cs="Arial"/>
          <w:color w:val="000000" w:themeColor="text1"/>
          <w:sz w:val="22"/>
          <w:szCs w:val="22"/>
        </w:rPr>
        <w:t xml:space="preserve"> - </w:t>
      </w:r>
      <w:r w:rsidR="0073322D" w:rsidRPr="0000230A">
        <w:rPr>
          <w:rFonts w:ascii="Arial" w:hAnsi="Arial" w:cs="Arial"/>
          <w:color w:val="000000"/>
          <w:sz w:val="22"/>
          <w:szCs w:val="22"/>
        </w:rPr>
        <w:t>Linked to Theme 2</w:t>
      </w:r>
      <w:r w:rsidR="00951E70" w:rsidRPr="0000230A">
        <w:rPr>
          <w:rFonts w:ascii="Arial" w:hAnsi="Arial" w:cs="Arial"/>
          <w:color w:val="000000"/>
          <w:sz w:val="22"/>
          <w:szCs w:val="22"/>
        </w:rPr>
        <w:t>.</w:t>
      </w:r>
      <w:r w:rsidRPr="0000230A">
        <w:rPr>
          <w:rFonts w:ascii="Arial" w:hAnsi="Arial" w:cs="Arial"/>
          <w:color w:val="000000" w:themeColor="text1"/>
          <w:sz w:val="22"/>
          <w:szCs w:val="22"/>
        </w:rPr>
        <w:br/>
        <w:t>National leadership should ensure that mental health and substance misuse services operate under a unified strategy (NICE, 2022). Shared care plans and joint funding models between NHS trusts and local authorities could prevent people from falling through service gaps.</w:t>
      </w:r>
    </w:p>
    <w:p w14:paraId="1AA0867B" w14:textId="77777777" w:rsidR="0073322D" w:rsidRPr="0000230A" w:rsidRDefault="0073322D" w:rsidP="0000230A">
      <w:pPr>
        <w:spacing w:line="360" w:lineRule="auto"/>
        <w:rPr>
          <w:rFonts w:ascii="Arial" w:hAnsi="Arial" w:cs="Arial"/>
          <w:sz w:val="22"/>
          <w:szCs w:val="22"/>
        </w:rPr>
      </w:pPr>
    </w:p>
    <w:p w14:paraId="67876043" w14:textId="6E744C45" w:rsidR="00007F2C" w:rsidRPr="0000230A" w:rsidRDefault="00007F2C" w:rsidP="0000230A">
      <w:pPr>
        <w:spacing w:line="360" w:lineRule="auto"/>
        <w:rPr>
          <w:rFonts w:ascii="Arial" w:hAnsi="Arial" w:cs="Arial"/>
          <w:color w:val="000000" w:themeColor="text1"/>
          <w:sz w:val="22"/>
          <w:szCs w:val="22"/>
        </w:rPr>
      </w:pPr>
      <w:r w:rsidRPr="0000230A">
        <w:rPr>
          <w:rFonts w:ascii="Arial" w:hAnsi="Arial" w:cs="Arial"/>
          <w:color w:val="000000" w:themeColor="text1"/>
          <w:sz w:val="22"/>
          <w:szCs w:val="22"/>
        </w:rPr>
        <w:t xml:space="preserve">3. </w:t>
      </w:r>
      <w:r w:rsidRPr="0000230A">
        <w:rPr>
          <w:rFonts w:ascii="Arial" w:eastAsiaTheme="majorEastAsia" w:hAnsi="Arial" w:cs="Arial"/>
          <w:color w:val="000000" w:themeColor="text1"/>
          <w:sz w:val="22"/>
          <w:szCs w:val="22"/>
        </w:rPr>
        <w:t>Reform Drug Policy Toward Prevention and Harm Reduction</w:t>
      </w:r>
      <w:r w:rsidR="00951E70" w:rsidRPr="0000230A">
        <w:rPr>
          <w:rFonts w:ascii="Arial" w:eastAsiaTheme="majorEastAsia" w:hAnsi="Arial" w:cs="Arial"/>
          <w:color w:val="000000" w:themeColor="text1"/>
          <w:sz w:val="22"/>
          <w:szCs w:val="22"/>
        </w:rPr>
        <w:t xml:space="preserve"> - </w:t>
      </w:r>
      <w:r w:rsidR="0073322D" w:rsidRPr="0000230A">
        <w:rPr>
          <w:rFonts w:ascii="Arial" w:hAnsi="Arial" w:cs="Arial"/>
          <w:color w:val="000000"/>
          <w:sz w:val="22"/>
          <w:szCs w:val="22"/>
        </w:rPr>
        <w:t xml:space="preserve">Linked </w:t>
      </w:r>
      <w:r w:rsidR="00951E70" w:rsidRPr="0000230A">
        <w:rPr>
          <w:rFonts w:ascii="Arial" w:hAnsi="Arial" w:cs="Arial"/>
          <w:color w:val="000000"/>
          <w:sz w:val="22"/>
          <w:szCs w:val="22"/>
        </w:rPr>
        <w:t xml:space="preserve">to </w:t>
      </w:r>
      <w:r w:rsidR="0073322D" w:rsidRPr="0000230A">
        <w:rPr>
          <w:rFonts w:ascii="Arial" w:hAnsi="Arial" w:cs="Arial"/>
          <w:color w:val="000000"/>
          <w:sz w:val="22"/>
          <w:szCs w:val="22"/>
        </w:rPr>
        <w:t>Themes 1, 3, and 4</w:t>
      </w:r>
      <w:r w:rsidR="00951E70" w:rsidRPr="0000230A">
        <w:rPr>
          <w:rFonts w:ascii="Arial" w:hAnsi="Arial" w:cs="Arial"/>
          <w:color w:val="000000"/>
          <w:sz w:val="22"/>
          <w:szCs w:val="22"/>
        </w:rPr>
        <w:t>.</w:t>
      </w:r>
      <w:r w:rsidRPr="0000230A">
        <w:rPr>
          <w:rFonts w:ascii="Arial" w:hAnsi="Arial" w:cs="Arial"/>
          <w:color w:val="000000" w:themeColor="text1"/>
          <w:sz w:val="22"/>
          <w:szCs w:val="22"/>
        </w:rPr>
        <w:br/>
        <w:t>Rebalance the UK Drug Strategy (2021) to prioritise prevention, harm reduction, and recovery over criminalisation. Research has demonstrated that community-based rehabilitation and social reintegration programmes effectively mitigate long-term harm (Black, 2021).</w:t>
      </w:r>
    </w:p>
    <w:p w14:paraId="78BBEE32" w14:textId="77777777" w:rsidR="0073322D" w:rsidRPr="0000230A" w:rsidRDefault="0073322D" w:rsidP="0000230A">
      <w:pPr>
        <w:spacing w:line="360" w:lineRule="auto"/>
        <w:rPr>
          <w:rFonts w:ascii="Arial" w:hAnsi="Arial" w:cs="Arial"/>
          <w:sz w:val="22"/>
          <w:szCs w:val="22"/>
        </w:rPr>
      </w:pPr>
    </w:p>
    <w:p w14:paraId="4F84E4FF" w14:textId="046C10D1" w:rsidR="00007F2C" w:rsidRPr="0000230A" w:rsidRDefault="00007F2C" w:rsidP="0000230A">
      <w:pPr>
        <w:spacing w:line="360" w:lineRule="auto"/>
        <w:rPr>
          <w:rFonts w:ascii="Arial" w:hAnsi="Arial" w:cs="Arial"/>
          <w:sz w:val="22"/>
          <w:szCs w:val="22"/>
        </w:rPr>
      </w:pPr>
      <w:r w:rsidRPr="0000230A">
        <w:rPr>
          <w:rFonts w:ascii="Arial" w:hAnsi="Arial" w:cs="Arial"/>
          <w:color w:val="000000" w:themeColor="text1"/>
          <w:sz w:val="22"/>
          <w:szCs w:val="22"/>
        </w:rPr>
        <w:t xml:space="preserve">4. </w:t>
      </w:r>
      <w:r w:rsidRPr="0000230A">
        <w:rPr>
          <w:rFonts w:ascii="Arial" w:eastAsiaTheme="majorEastAsia" w:hAnsi="Arial" w:cs="Arial"/>
          <w:color w:val="000000" w:themeColor="text1"/>
          <w:sz w:val="22"/>
          <w:szCs w:val="22"/>
        </w:rPr>
        <w:t>Invest in Post-Pandemic Recovery and Resilience</w:t>
      </w:r>
      <w:r w:rsidR="0073322D" w:rsidRPr="0000230A">
        <w:rPr>
          <w:rFonts w:ascii="Arial" w:eastAsiaTheme="majorEastAsia" w:hAnsi="Arial" w:cs="Arial"/>
          <w:color w:val="000000" w:themeColor="text1"/>
          <w:sz w:val="22"/>
          <w:szCs w:val="22"/>
        </w:rPr>
        <w:t xml:space="preserve"> </w:t>
      </w:r>
      <w:r w:rsidR="00951E70" w:rsidRPr="0000230A">
        <w:rPr>
          <w:rFonts w:ascii="Arial" w:eastAsiaTheme="majorEastAsia" w:hAnsi="Arial" w:cs="Arial"/>
          <w:color w:val="000000" w:themeColor="text1"/>
          <w:sz w:val="22"/>
          <w:szCs w:val="22"/>
        </w:rPr>
        <w:t xml:space="preserve">- </w:t>
      </w:r>
      <w:r w:rsidR="0073322D" w:rsidRPr="0000230A">
        <w:rPr>
          <w:rFonts w:ascii="Arial" w:hAnsi="Arial" w:cs="Arial"/>
          <w:color w:val="000000"/>
          <w:sz w:val="22"/>
          <w:szCs w:val="22"/>
        </w:rPr>
        <w:t>Linked</w:t>
      </w:r>
      <w:r w:rsidR="00951E70" w:rsidRPr="0000230A">
        <w:rPr>
          <w:rFonts w:ascii="Arial" w:hAnsi="Arial" w:cs="Arial"/>
          <w:color w:val="000000"/>
          <w:sz w:val="22"/>
          <w:szCs w:val="22"/>
        </w:rPr>
        <w:t xml:space="preserve"> to</w:t>
      </w:r>
      <w:r w:rsidR="0073322D" w:rsidRPr="0000230A">
        <w:rPr>
          <w:rFonts w:ascii="Arial" w:hAnsi="Arial" w:cs="Arial"/>
          <w:color w:val="000000"/>
          <w:sz w:val="22"/>
          <w:szCs w:val="22"/>
        </w:rPr>
        <w:t xml:space="preserve"> Theme 5 (COVID-19)</w:t>
      </w:r>
      <w:r w:rsidR="00951E70" w:rsidRPr="0000230A">
        <w:rPr>
          <w:rFonts w:ascii="Arial" w:hAnsi="Arial" w:cs="Arial"/>
          <w:color w:val="000000"/>
          <w:sz w:val="22"/>
          <w:szCs w:val="22"/>
        </w:rPr>
        <w:t>.</w:t>
      </w:r>
      <w:r w:rsidRPr="0000230A">
        <w:rPr>
          <w:rFonts w:ascii="Arial" w:hAnsi="Arial" w:cs="Arial"/>
          <w:color w:val="000000" w:themeColor="text1"/>
          <w:sz w:val="22"/>
          <w:szCs w:val="22"/>
        </w:rPr>
        <w:br/>
        <w:t>The mental health crisis triggered by COVID-19 needs sustained investment. Policies should prioritise the most affected groups: low-income families, young adults, and minority communities (Pierce et al., 2020).</w:t>
      </w:r>
    </w:p>
    <w:p w14:paraId="5DC0AF9E" w14:textId="441E36A3" w:rsidR="000C2547" w:rsidRPr="0000230A" w:rsidRDefault="000C2547" w:rsidP="0000230A">
      <w:pPr>
        <w:spacing w:before="100" w:beforeAutospacing="1" w:after="100" w:afterAutospacing="1" w:line="360" w:lineRule="auto"/>
        <w:rPr>
          <w:rFonts w:ascii="Arial" w:hAnsi="Arial" w:cs="Arial"/>
          <w:color w:val="000000" w:themeColor="text1"/>
          <w:sz w:val="22"/>
          <w:szCs w:val="22"/>
        </w:rPr>
      </w:pPr>
    </w:p>
    <w:p w14:paraId="3E362944" w14:textId="28F9DC10" w:rsidR="000C2547" w:rsidRDefault="000C2547" w:rsidP="0000230A">
      <w:pPr>
        <w:spacing w:before="100" w:beforeAutospacing="1" w:after="100" w:afterAutospacing="1" w:line="360" w:lineRule="auto"/>
        <w:rPr>
          <w:rFonts w:ascii="Arial" w:hAnsi="Arial" w:cs="Arial"/>
          <w:color w:val="000000" w:themeColor="text1"/>
          <w:sz w:val="22"/>
          <w:szCs w:val="22"/>
        </w:rPr>
      </w:pPr>
    </w:p>
    <w:p w14:paraId="147C12EE" w14:textId="127DDD8D" w:rsidR="0000230A" w:rsidRDefault="0000230A" w:rsidP="0000230A">
      <w:pPr>
        <w:spacing w:before="100" w:beforeAutospacing="1" w:after="100" w:afterAutospacing="1" w:line="360" w:lineRule="auto"/>
        <w:rPr>
          <w:rFonts w:ascii="Arial" w:hAnsi="Arial" w:cs="Arial"/>
          <w:color w:val="000000" w:themeColor="text1"/>
          <w:sz w:val="22"/>
          <w:szCs w:val="22"/>
        </w:rPr>
      </w:pPr>
    </w:p>
    <w:p w14:paraId="01A92545" w14:textId="77777777" w:rsidR="0000230A" w:rsidRPr="0000230A" w:rsidRDefault="0000230A" w:rsidP="0000230A">
      <w:pPr>
        <w:spacing w:before="100" w:beforeAutospacing="1" w:after="100" w:afterAutospacing="1" w:line="360" w:lineRule="auto"/>
        <w:rPr>
          <w:rFonts w:ascii="Arial" w:hAnsi="Arial" w:cs="Arial"/>
          <w:color w:val="000000" w:themeColor="text1"/>
          <w:sz w:val="22"/>
          <w:szCs w:val="22"/>
        </w:rPr>
      </w:pPr>
    </w:p>
    <w:p w14:paraId="3851F1BD" w14:textId="77777777" w:rsidR="00007F2C" w:rsidRPr="0000230A" w:rsidRDefault="00007F2C" w:rsidP="0000230A">
      <w:pPr>
        <w:spacing w:line="360" w:lineRule="auto"/>
        <w:rPr>
          <w:rFonts w:ascii="Arial" w:hAnsi="Arial" w:cs="Arial"/>
          <w:color w:val="000000" w:themeColor="text1"/>
          <w:sz w:val="22"/>
          <w:szCs w:val="22"/>
        </w:rPr>
      </w:pPr>
      <w:r w:rsidRPr="0000230A">
        <w:rPr>
          <w:rFonts w:ascii="Arial" w:eastAsiaTheme="majorEastAsia" w:hAnsi="Arial" w:cs="Arial"/>
          <w:color w:val="000000" w:themeColor="text1"/>
          <w:sz w:val="22"/>
          <w:szCs w:val="22"/>
        </w:rPr>
        <w:lastRenderedPageBreak/>
        <w:t>5.4.2 Service-Level Recommendations</w:t>
      </w:r>
    </w:p>
    <w:p w14:paraId="4387670A" w14:textId="77777777" w:rsidR="0073322D" w:rsidRPr="0073322D" w:rsidRDefault="0073322D" w:rsidP="0000230A">
      <w:pPr>
        <w:spacing w:before="100" w:beforeAutospacing="1" w:after="100" w:afterAutospacing="1" w:line="360" w:lineRule="auto"/>
        <w:rPr>
          <w:rFonts w:ascii="Arial" w:hAnsi="Arial" w:cs="Arial"/>
          <w:color w:val="000000"/>
          <w:sz w:val="22"/>
          <w:szCs w:val="22"/>
        </w:rPr>
      </w:pPr>
      <w:r w:rsidRPr="0073322D">
        <w:rPr>
          <w:rFonts w:ascii="Arial" w:hAnsi="Arial" w:cs="Arial"/>
          <w:color w:val="000000"/>
          <w:sz w:val="22"/>
          <w:szCs w:val="22"/>
        </w:rPr>
        <w:t>1. Expand Access to Community-Based Services</w:t>
      </w:r>
      <w:r w:rsidRPr="0073322D">
        <w:rPr>
          <w:rFonts w:ascii="Arial" w:hAnsi="Arial" w:cs="Arial"/>
          <w:color w:val="000000"/>
          <w:sz w:val="22"/>
          <w:szCs w:val="22"/>
        </w:rPr>
        <w:br/>
        <w:t>Linked to Theme 3</w:t>
      </w:r>
      <w:r w:rsidRPr="0073322D">
        <w:rPr>
          <w:rFonts w:ascii="Arial" w:hAnsi="Arial" w:cs="Arial"/>
          <w:color w:val="000000"/>
          <w:sz w:val="22"/>
          <w:szCs w:val="22"/>
        </w:rPr>
        <w:br/>
        <w:t>More local treatment centres, mobile outreach teams, and flexible appointment systems are needed in deprived areas. Co-designed services increase engagement among marginalised groups.</w:t>
      </w:r>
    </w:p>
    <w:p w14:paraId="3C88D601" w14:textId="77777777" w:rsidR="0073322D" w:rsidRPr="0073322D" w:rsidRDefault="0073322D" w:rsidP="0000230A">
      <w:pPr>
        <w:spacing w:before="100" w:beforeAutospacing="1" w:after="100" w:afterAutospacing="1" w:line="360" w:lineRule="auto"/>
        <w:rPr>
          <w:rFonts w:ascii="Arial" w:hAnsi="Arial" w:cs="Arial"/>
          <w:color w:val="000000"/>
          <w:sz w:val="22"/>
          <w:szCs w:val="22"/>
        </w:rPr>
      </w:pPr>
      <w:r w:rsidRPr="0073322D">
        <w:rPr>
          <w:rFonts w:ascii="Arial" w:hAnsi="Arial" w:cs="Arial"/>
          <w:color w:val="000000"/>
          <w:sz w:val="22"/>
          <w:szCs w:val="22"/>
        </w:rPr>
        <w:t>2. Embed Trauma-Informed and Culturally Sensitive Care</w:t>
      </w:r>
      <w:r w:rsidRPr="0073322D">
        <w:rPr>
          <w:rFonts w:ascii="Arial" w:hAnsi="Arial" w:cs="Arial"/>
          <w:color w:val="000000"/>
          <w:sz w:val="22"/>
          <w:szCs w:val="22"/>
        </w:rPr>
        <w:br/>
        <w:t>Linked to Themes 2 and 3</w:t>
      </w:r>
      <w:r w:rsidRPr="0073322D">
        <w:rPr>
          <w:rFonts w:ascii="Arial" w:hAnsi="Arial" w:cs="Arial"/>
          <w:color w:val="000000"/>
          <w:sz w:val="22"/>
          <w:szCs w:val="22"/>
        </w:rPr>
        <w:br/>
        <w:t>Staff should be trained to recognise trauma and cultural barriers to care. Culturally diverse services improve trust and accessibility, especially for minority groups.</w:t>
      </w:r>
    </w:p>
    <w:p w14:paraId="6886C95D" w14:textId="77777777" w:rsidR="0073322D" w:rsidRPr="0073322D" w:rsidRDefault="0073322D" w:rsidP="0000230A">
      <w:pPr>
        <w:spacing w:before="100" w:beforeAutospacing="1" w:after="100" w:afterAutospacing="1" w:line="360" w:lineRule="auto"/>
        <w:rPr>
          <w:rFonts w:ascii="Arial" w:hAnsi="Arial" w:cs="Arial"/>
          <w:color w:val="000000"/>
          <w:sz w:val="22"/>
          <w:szCs w:val="22"/>
        </w:rPr>
      </w:pPr>
      <w:r w:rsidRPr="0073322D">
        <w:rPr>
          <w:rFonts w:ascii="Arial" w:hAnsi="Arial" w:cs="Arial"/>
          <w:color w:val="000000"/>
          <w:sz w:val="22"/>
          <w:szCs w:val="22"/>
        </w:rPr>
        <w:t>3. Reduce Stigma Through Education and Advocacy</w:t>
      </w:r>
      <w:r w:rsidRPr="0073322D">
        <w:rPr>
          <w:rFonts w:ascii="Arial" w:hAnsi="Arial" w:cs="Arial"/>
          <w:color w:val="000000"/>
          <w:sz w:val="22"/>
          <w:szCs w:val="22"/>
        </w:rPr>
        <w:br/>
        <w:t>Linked to Themes 1 and 2</w:t>
      </w:r>
      <w:r w:rsidRPr="0073322D">
        <w:rPr>
          <w:rFonts w:ascii="Arial" w:hAnsi="Arial" w:cs="Arial"/>
          <w:color w:val="000000"/>
          <w:sz w:val="22"/>
          <w:szCs w:val="22"/>
        </w:rPr>
        <w:br/>
        <w:t>Public campaigns and lived-experience advocates can reduce stigma linked to mental health and addiction (Mind, 2022), improving help-seeking.</w:t>
      </w:r>
    </w:p>
    <w:p w14:paraId="15E7EF4C" w14:textId="77777777" w:rsidR="0073322D" w:rsidRPr="0073322D" w:rsidRDefault="0073322D" w:rsidP="0000230A">
      <w:pPr>
        <w:spacing w:before="100" w:beforeAutospacing="1" w:after="100" w:afterAutospacing="1" w:line="360" w:lineRule="auto"/>
        <w:rPr>
          <w:rFonts w:ascii="Arial" w:hAnsi="Arial" w:cs="Arial"/>
          <w:color w:val="000000"/>
          <w:sz w:val="22"/>
          <w:szCs w:val="22"/>
        </w:rPr>
      </w:pPr>
      <w:r w:rsidRPr="0073322D">
        <w:rPr>
          <w:rFonts w:ascii="Arial" w:hAnsi="Arial" w:cs="Arial"/>
          <w:color w:val="000000"/>
          <w:sz w:val="22"/>
          <w:szCs w:val="22"/>
        </w:rPr>
        <w:t>4. Support and Maintain the Workforce</w:t>
      </w:r>
      <w:r w:rsidRPr="0073322D">
        <w:rPr>
          <w:rFonts w:ascii="Arial" w:hAnsi="Arial" w:cs="Arial"/>
          <w:color w:val="000000"/>
          <w:sz w:val="22"/>
          <w:szCs w:val="22"/>
        </w:rPr>
        <w:br/>
        <w:t>Linked to Theme 3 and Theme 4</w:t>
      </w:r>
      <w:r w:rsidRPr="0073322D">
        <w:rPr>
          <w:rFonts w:ascii="Arial" w:hAnsi="Arial" w:cs="Arial"/>
          <w:color w:val="000000"/>
          <w:sz w:val="22"/>
          <w:szCs w:val="22"/>
        </w:rPr>
        <w:br/>
        <w:t>Sustainable staffing, fair pay, and manageable caseloads are essential for integrated mental health, addiction, and social care teams.</w:t>
      </w:r>
    </w:p>
    <w:p w14:paraId="78965463" w14:textId="77777777" w:rsidR="00007F2C" w:rsidRPr="0000230A" w:rsidRDefault="00007F2C" w:rsidP="0000230A">
      <w:pPr>
        <w:spacing w:line="360" w:lineRule="auto"/>
        <w:rPr>
          <w:rFonts w:ascii="Arial" w:hAnsi="Arial" w:cs="Arial"/>
          <w:color w:val="000000" w:themeColor="text1"/>
          <w:sz w:val="22"/>
          <w:szCs w:val="22"/>
        </w:rPr>
      </w:pPr>
    </w:p>
    <w:p w14:paraId="3A305380" w14:textId="0089AF35" w:rsidR="00007F2C" w:rsidRPr="0000230A" w:rsidRDefault="006C0B1F" w:rsidP="0000230A">
      <w:pPr>
        <w:spacing w:line="360" w:lineRule="auto"/>
        <w:rPr>
          <w:rStyle w:val="Strong"/>
          <w:rFonts w:ascii="Arial" w:hAnsi="Arial" w:cs="Arial"/>
          <w:b w:val="0"/>
          <w:bCs w:val="0"/>
          <w:color w:val="000000" w:themeColor="text1"/>
          <w:sz w:val="22"/>
          <w:szCs w:val="22"/>
        </w:rPr>
      </w:pPr>
      <w:r w:rsidRPr="0000230A">
        <w:rPr>
          <w:rFonts w:ascii="Arial" w:eastAsiaTheme="majorEastAsia" w:hAnsi="Arial" w:cs="Arial"/>
          <w:color w:val="000000" w:themeColor="text1"/>
          <w:sz w:val="22"/>
          <w:szCs w:val="22"/>
        </w:rPr>
        <w:t xml:space="preserve">5.4.3 </w:t>
      </w:r>
      <w:r w:rsidR="00007F2C" w:rsidRPr="0000230A">
        <w:rPr>
          <w:rStyle w:val="Strong"/>
          <w:rFonts w:ascii="Arial" w:hAnsi="Arial" w:cs="Arial"/>
          <w:b w:val="0"/>
          <w:bCs w:val="0"/>
          <w:color w:val="000000" w:themeColor="text1"/>
          <w:sz w:val="22"/>
          <w:szCs w:val="22"/>
        </w:rPr>
        <w:t>Research-Level Recommendations</w:t>
      </w:r>
    </w:p>
    <w:p w14:paraId="3D1332A3" w14:textId="77777777" w:rsidR="0073322D" w:rsidRPr="0000230A" w:rsidRDefault="0073322D" w:rsidP="0000230A">
      <w:pPr>
        <w:spacing w:line="360" w:lineRule="auto"/>
        <w:rPr>
          <w:rFonts w:ascii="Arial" w:hAnsi="Arial" w:cs="Arial"/>
          <w:b/>
          <w:bCs/>
          <w:sz w:val="22"/>
          <w:szCs w:val="22"/>
        </w:rPr>
      </w:pPr>
    </w:p>
    <w:p w14:paraId="6B0020F3" w14:textId="3303D7C5" w:rsidR="00007F2C" w:rsidRPr="0000230A" w:rsidRDefault="00007F2C" w:rsidP="0000230A">
      <w:pPr>
        <w:pStyle w:val="ListParagraph"/>
        <w:numPr>
          <w:ilvl w:val="0"/>
          <w:numId w:val="42"/>
        </w:numPr>
        <w:spacing w:line="360" w:lineRule="auto"/>
        <w:rPr>
          <w:rFonts w:ascii="Arial" w:hAnsi="Arial" w:cs="Arial"/>
          <w:sz w:val="22"/>
          <w:szCs w:val="22"/>
        </w:rPr>
      </w:pPr>
      <w:r w:rsidRPr="0000230A">
        <w:rPr>
          <w:rFonts w:ascii="Arial" w:eastAsiaTheme="majorEastAsia" w:hAnsi="Arial" w:cs="Arial"/>
          <w:sz w:val="22"/>
          <w:szCs w:val="22"/>
        </w:rPr>
        <w:t>Long-Term Studies on Inequality and Addiction</w:t>
      </w:r>
      <w:r w:rsidR="0073322D" w:rsidRPr="0000230A">
        <w:rPr>
          <w:rFonts w:ascii="Arial" w:eastAsiaTheme="majorEastAsia" w:hAnsi="Arial" w:cs="Arial"/>
          <w:sz w:val="22"/>
          <w:szCs w:val="22"/>
        </w:rPr>
        <w:t xml:space="preserve"> </w:t>
      </w:r>
      <w:r w:rsidR="0073322D" w:rsidRPr="0000230A">
        <w:rPr>
          <w:rFonts w:ascii="Arial" w:hAnsi="Arial" w:cs="Arial"/>
          <w:color w:val="000000"/>
          <w:sz w:val="22"/>
          <w:szCs w:val="22"/>
        </w:rPr>
        <w:t>Linked to Themes 1 and 4</w:t>
      </w:r>
      <w:r w:rsidRPr="0000230A">
        <w:rPr>
          <w:rFonts w:ascii="Arial" w:hAnsi="Arial" w:cs="Arial"/>
          <w:b/>
          <w:bCs/>
          <w:color w:val="000000" w:themeColor="text1"/>
          <w:sz w:val="22"/>
          <w:szCs w:val="22"/>
        </w:rPr>
        <w:br/>
      </w:r>
      <w:r w:rsidRPr="0000230A">
        <w:rPr>
          <w:rFonts w:ascii="Arial" w:hAnsi="Arial" w:cs="Arial"/>
          <w:color w:val="000000" w:themeColor="text1"/>
          <w:sz w:val="22"/>
          <w:szCs w:val="22"/>
        </w:rPr>
        <w:t>Future research should explore how economic policies affect health outcomes over time, using longitudinal data to reveal causal patterns (Aveyard, 20</w:t>
      </w:r>
      <w:r w:rsidR="00433871" w:rsidRPr="0000230A">
        <w:rPr>
          <w:rFonts w:ascii="Arial" w:hAnsi="Arial" w:cs="Arial"/>
          <w:color w:val="000000" w:themeColor="text1"/>
          <w:sz w:val="22"/>
          <w:szCs w:val="22"/>
        </w:rPr>
        <w:t>23</w:t>
      </w:r>
      <w:r w:rsidRPr="0000230A">
        <w:rPr>
          <w:rFonts w:ascii="Arial" w:hAnsi="Arial" w:cs="Arial"/>
          <w:color w:val="000000" w:themeColor="text1"/>
          <w:sz w:val="22"/>
          <w:szCs w:val="22"/>
        </w:rPr>
        <w:t>).</w:t>
      </w:r>
    </w:p>
    <w:p w14:paraId="35797742" w14:textId="77777777" w:rsidR="0073322D" w:rsidRPr="0000230A" w:rsidRDefault="0073322D" w:rsidP="0000230A">
      <w:pPr>
        <w:pStyle w:val="ListParagraph"/>
        <w:spacing w:line="360" w:lineRule="auto"/>
        <w:rPr>
          <w:rFonts w:ascii="Arial" w:hAnsi="Arial" w:cs="Arial"/>
          <w:sz w:val="22"/>
          <w:szCs w:val="22"/>
        </w:rPr>
      </w:pPr>
    </w:p>
    <w:p w14:paraId="4E75D723" w14:textId="0D751F5F" w:rsidR="0073322D" w:rsidRPr="0000230A" w:rsidRDefault="00007F2C" w:rsidP="0000230A">
      <w:pPr>
        <w:pStyle w:val="ListParagraph"/>
        <w:numPr>
          <w:ilvl w:val="0"/>
          <w:numId w:val="42"/>
        </w:numPr>
        <w:spacing w:line="360" w:lineRule="auto"/>
        <w:rPr>
          <w:rFonts w:ascii="Arial" w:hAnsi="Arial" w:cs="Arial"/>
          <w:sz w:val="22"/>
          <w:szCs w:val="22"/>
        </w:rPr>
      </w:pPr>
      <w:r w:rsidRPr="0000230A">
        <w:rPr>
          <w:rFonts w:ascii="Arial" w:eastAsiaTheme="majorEastAsia" w:hAnsi="Arial" w:cs="Arial"/>
          <w:sz w:val="22"/>
          <w:szCs w:val="22"/>
        </w:rPr>
        <w:t>Evaluate Integrated Care Models</w:t>
      </w:r>
      <w:r w:rsidR="0073322D" w:rsidRPr="0000230A">
        <w:rPr>
          <w:rFonts w:ascii="Arial" w:eastAsiaTheme="majorEastAsia" w:hAnsi="Arial" w:cs="Arial"/>
          <w:sz w:val="22"/>
          <w:szCs w:val="22"/>
        </w:rPr>
        <w:t xml:space="preserve"> </w:t>
      </w:r>
      <w:r w:rsidR="0073322D" w:rsidRPr="0000230A">
        <w:rPr>
          <w:rStyle w:val="Emphasis"/>
          <w:rFonts w:ascii="Arial" w:hAnsi="Arial" w:cs="Arial"/>
          <w:i w:val="0"/>
          <w:iCs w:val="0"/>
          <w:color w:val="000000"/>
          <w:sz w:val="22"/>
          <w:szCs w:val="22"/>
        </w:rPr>
        <w:t>Linked to Themes 2 and 3</w:t>
      </w:r>
      <w:r w:rsidR="0073322D" w:rsidRPr="0000230A">
        <w:rPr>
          <w:rStyle w:val="Emphasis"/>
          <w:rFonts w:ascii="Arial" w:hAnsi="Arial" w:cs="Arial"/>
          <w:color w:val="000000"/>
          <w:sz w:val="22"/>
          <w:szCs w:val="22"/>
        </w:rPr>
        <w:t xml:space="preserve"> </w:t>
      </w:r>
    </w:p>
    <w:p w14:paraId="7EFD071B" w14:textId="27599D7A" w:rsidR="00007F2C" w:rsidRPr="0000230A" w:rsidRDefault="00007F2C" w:rsidP="0000230A">
      <w:pPr>
        <w:pStyle w:val="ListParagraph"/>
        <w:spacing w:line="360" w:lineRule="auto"/>
        <w:rPr>
          <w:rFonts w:ascii="Arial" w:hAnsi="Arial" w:cs="Arial"/>
          <w:color w:val="000000" w:themeColor="text1"/>
          <w:sz w:val="22"/>
          <w:szCs w:val="22"/>
        </w:rPr>
      </w:pPr>
      <w:r w:rsidRPr="0000230A">
        <w:rPr>
          <w:rFonts w:ascii="Arial" w:hAnsi="Arial" w:cs="Arial"/>
          <w:color w:val="000000" w:themeColor="text1"/>
          <w:sz w:val="22"/>
          <w:szCs w:val="22"/>
        </w:rPr>
        <w:t>Comparative studies should measure how joint service delivery improves outcomes for people with dual diagnoses (NICE, 2022).</w:t>
      </w:r>
    </w:p>
    <w:p w14:paraId="33FB2B63" w14:textId="77777777" w:rsidR="0073322D" w:rsidRPr="0000230A" w:rsidRDefault="0073322D" w:rsidP="0000230A">
      <w:pPr>
        <w:pStyle w:val="ListParagraph"/>
        <w:spacing w:line="360" w:lineRule="auto"/>
        <w:rPr>
          <w:rFonts w:ascii="Arial" w:hAnsi="Arial" w:cs="Arial"/>
          <w:sz w:val="22"/>
          <w:szCs w:val="22"/>
        </w:rPr>
      </w:pPr>
    </w:p>
    <w:p w14:paraId="4C068853" w14:textId="1BA6EA3C" w:rsidR="00007F2C" w:rsidRPr="0000230A" w:rsidRDefault="00007F2C" w:rsidP="0000230A">
      <w:pPr>
        <w:pStyle w:val="ListParagraph"/>
        <w:numPr>
          <w:ilvl w:val="0"/>
          <w:numId w:val="42"/>
        </w:numPr>
        <w:spacing w:line="360" w:lineRule="auto"/>
        <w:rPr>
          <w:rFonts w:ascii="Arial" w:hAnsi="Arial" w:cs="Arial"/>
          <w:sz w:val="22"/>
          <w:szCs w:val="22"/>
        </w:rPr>
      </w:pPr>
      <w:r w:rsidRPr="0000230A">
        <w:rPr>
          <w:rFonts w:ascii="Arial" w:eastAsiaTheme="majorEastAsia" w:hAnsi="Arial" w:cs="Arial"/>
          <w:sz w:val="22"/>
          <w:szCs w:val="22"/>
        </w:rPr>
        <w:t>Investigate Regional and Demographic Variations</w:t>
      </w:r>
      <w:r w:rsidR="0073322D" w:rsidRPr="0000230A">
        <w:rPr>
          <w:rFonts w:ascii="Arial" w:eastAsiaTheme="majorEastAsia" w:hAnsi="Arial" w:cs="Arial"/>
          <w:sz w:val="22"/>
          <w:szCs w:val="22"/>
        </w:rPr>
        <w:t xml:space="preserve"> </w:t>
      </w:r>
      <w:r w:rsidR="0073322D" w:rsidRPr="0000230A">
        <w:rPr>
          <w:rFonts w:ascii="Arial" w:hAnsi="Arial" w:cs="Arial"/>
          <w:color w:val="000000"/>
          <w:sz w:val="22"/>
          <w:szCs w:val="22"/>
        </w:rPr>
        <w:t>Linked to Themes 1, 3, and 5</w:t>
      </w:r>
      <w:r w:rsidRPr="0000230A">
        <w:rPr>
          <w:rFonts w:ascii="Arial" w:hAnsi="Arial" w:cs="Arial"/>
          <w:color w:val="000000" w:themeColor="text1"/>
          <w:sz w:val="22"/>
          <w:szCs w:val="22"/>
        </w:rPr>
        <w:br/>
        <w:t>More research is needed on gender, ethnicity, and regional inequalities in substance misuse. This will support equitable distribution of resources (ONS, 2023).</w:t>
      </w:r>
    </w:p>
    <w:p w14:paraId="6D74B9F0" w14:textId="77777777" w:rsidR="0073322D" w:rsidRPr="0000230A" w:rsidRDefault="0073322D" w:rsidP="0000230A">
      <w:pPr>
        <w:spacing w:line="360" w:lineRule="auto"/>
        <w:ind w:left="360"/>
        <w:rPr>
          <w:rFonts w:ascii="Arial" w:hAnsi="Arial" w:cs="Arial"/>
          <w:sz w:val="22"/>
          <w:szCs w:val="22"/>
        </w:rPr>
      </w:pPr>
    </w:p>
    <w:p w14:paraId="432501C6" w14:textId="1302023E" w:rsidR="006C0B1F" w:rsidRPr="0000230A" w:rsidRDefault="00007F2C" w:rsidP="0000230A">
      <w:pPr>
        <w:pStyle w:val="ListParagraph"/>
        <w:numPr>
          <w:ilvl w:val="0"/>
          <w:numId w:val="42"/>
        </w:numPr>
        <w:spacing w:line="360" w:lineRule="auto"/>
        <w:rPr>
          <w:rFonts w:ascii="Arial" w:hAnsi="Arial" w:cs="Arial"/>
          <w:sz w:val="22"/>
          <w:szCs w:val="22"/>
        </w:rPr>
      </w:pPr>
      <w:r w:rsidRPr="0000230A">
        <w:rPr>
          <w:rFonts w:ascii="Arial" w:eastAsiaTheme="majorEastAsia" w:hAnsi="Arial" w:cs="Arial"/>
          <w:sz w:val="22"/>
          <w:szCs w:val="22"/>
        </w:rPr>
        <w:lastRenderedPageBreak/>
        <w:t>Explore Digital Health Innovation</w:t>
      </w:r>
      <w:r w:rsidR="0073322D" w:rsidRPr="0000230A">
        <w:rPr>
          <w:rFonts w:ascii="Arial" w:eastAsiaTheme="majorEastAsia" w:hAnsi="Arial" w:cs="Arial"/>
          <w:sz w:val="22"/>
          <w:szCs w:val="22"/>
        </w:rPr>
        <w:t xml:space="preserve"> </w:t>
      </w:r>
      <w:r w:rsidR="0073322D" w:rsidRPr="0000230A">
        <w:rPr>
          <w:rFonts w:ascii="Arial" w:hAnsi="Arial" w:cs="Arial"/>
          <w:color w:val="000000"/>
          <w:sz w:val="22"/>
          <w:szCs w:val="22"/>
        </w:rPr>
        <w:t>Linked to Theme 3 and Theme 5</w:t>
      </w:r>
      <w:r w:rsidRPr="0000230A">
        <w:rPr>
          <w:rFonts w:ascii="Arial" w:hAnsi="Arial" w:cs="Arial"/>
          <w:b/>
          <w:bCs/>
          <w:color w:val="000000" w:themeColor="text1"/>
          <w:sz w:val="22"/>
          <w:szCs w:val="22"/>
        </w:rPr>
        <w:br/>
      </w:r>
      <w:r w:rsidRPr="0000230A">
        <w:rPr>
          <w:rFonts w:ascii="Arial" w:hAnsi="Arial" w:cs="Arial"/>
          <w:color w:val="000000" w:themeColor="text1"/>
          <w:sz w:val="22"/>
          <w:szCs w:val="22"/>
        </w:rPr>
        <w:t>Remote and online treatment models can improve access for those in rural or under-resourced areas, but digital exclusion must be addressed.</w:t>
      </w:r>
    </w:p>
    <w:p w14:paraId="7B9A88CE" w14:textId="77777777" w:rsidR="00007F2C" w:rsidRPr="0000230A" w:rsidRDefault="00007F2C" w:rsidP="0000230A">
      <w:pPr>
        <w:pStyle w:val="Heading2"/>
      </w:pPr>
      <w:bookmarkStart w:id="82" w:name="_Toc215043425"/>
      <w:r w:rsidRPr="0000230A">
        <w:rPr>
          <w:rStyle w:val="Strong"/>
          <w:rFonts w:eastAsiaTheme="majorEastAsia"/>
          <w:b w:val="0"/>
          <w:bCs/>
        </w:rPr>
        <w:t>5.5 Reflection on the Research Process</w:t>
      </w:r>
      <w:bookmarkEnd w:id="82"/>
    </w:p>
    <w:p w14:paraId="6A706C2B" w14:textId="77777777" w:rsidR="00951E70" w:rsidRPr="00951E70" w:rsidRDefault="00951E70" w:rsidP="0000230A">
      <w:pPr>
        <w:spacing w:before="100" w:beforeAutospacing="1" w:after="100" w:afterAutospacing="1" w:line="360" w:lineRule="auto"/>
        <w:rPr>
          <w:rFonts w:ascii="Arial" w:hAnsi="Arial" w:cs="Arial"/>
          <w:color w:val="000000"/>
          <w:sz w:val="22"/>
          <w:szCs w:val="22"/>
        </w:rPr>
      </w:pPr>
      <w:r w:rsidRPr="00951E70">
        <w:rPr>
          <w:rFonts w:ascii="Arial" w:hAnsi="Arial" w:cs="Arial"/>
          <w:color w:val="000000"/>
          <w:sz w:val="22"/>
          <w:szCs w:val="22"/>
        </w:rPr>
        <w:t>Carrying out this project has been both intellectually challenging and personally meaningful. Using a literature-based approach enabled the synthesis of diverse perspectives on a complex social issue. Aveyard’s (2023) systematic review structure ensured transparency and replicability across all stages of the research process.</w:t>
      </w:r>
    </w:p>
    <w:p w14:paraId="1EABB8C0" w14:textId="4E3CBB1D" w:rsidR="00007F2C" w:rsidRPr="0000230A" w:rsidRDefault="00951E70" w:rsidP="0000230A">
      <w:pPr>
        <w:spacing w:before="100" w:beforeAutospacing="1" w:after="100" w:afterAutospacing="1" w:line="360" w:lineRule="auto"/>
        <w:rPr>
          <w:rFonts w:ascii="Arial" w:hAnsi="Arial" w:cs="Arial"/>
          <w:color w:val="000000"/>
          <w:sz w:val="22"/>
          <w:szCs w:val="22"/>
        </w:rPr>
      </w:pPr>
      <w:r w:rsidRPr="00951E70">
        <w:rPr>
          <w:rFonts w:ascii="Arial" w:hAnsi="Arial" w:cs="Arial"/>
          <w:color w:val="000000"/>
          <w:sz w:val="22"/>
          <w:szCs w:val="22"/>
        </w:rPr>
        <w:t>Applying Braun and Clarke’s (2006) thematic analysis provided analytical depth, while Cottrell’s (2017) guidance on critical thinking encouraged reflective interpretation. Throughout the study, attention to the human impact behind the statistics reinforced the importance of compassion and ethical awareness when researching vulnerable populations.</w:t>
      </w:r>
    </w:p>
    <w:p w14:paraId="3CDB6BC0" w14:textId="77777777" w:rsidR="00007F2C" w:rsidRPr="0000230A" w:rsidRDefault="00007F2C" w:rsidP="0000230A">
      <w:pPr>
        <w:pStyle w:val="Heading2"/>
      </w:pPr>
      <w:bookmarkStart w:id="83" w:name="_Toc215043426"/>
      <w:r w:rsidRPr="0000230A">
        <w:rPr>
          <w:rStyle w:val="Strong"/>
          <w:rFonts w:eastAsiaTheme="majorEastAsia"/>
          <w:b w:val="0"/>
          <w:bCs/>
        </w:rPr>
        <w:t>5.6 Study Limitations</w:t>
      </w:r>
      <w:bookmarkEnd w:id="83"/>
    </w:p>
    <w:p w14:paraId="3CBC276B" w14:textId="77777777" w:rsidR="00951E70" w:rsidRPr="00951E70" w:rsidRDefault="00951E70" w:rsidP="00437528">
      <w:pPr>
        <w:spacing w:before="100" w:beforeAutospacing="1" w:after="100" w:afterAutospacing="1" w:line="360" w:lineRule="auto"/>
        <w:rPr>
          <w:rFonts w:ascii="Arial" w:hAnsi="Arial" w:cs="Arial"/>
          <w:color w:val="000000"/>
          <w:sz w:val="22"/>
          <w:szCs w:val="22"/>
        </w:rPr>
      </w:pPr>
      <w:r w:rsidRPr="00951E70">
        <w:rPr>
          <w:rFonts w:ascii="Arial" w:hAnsi="Arial" w:cs="Arial"/>
          <w:color w:val="000000"/>
          <w:sz w:val="22"/>
          <w:szCs w:val="22"/>
        </w:rPr>
        <w:t>While the study offers valuable insights, several limitations should be acknowledged.</w:t>
      </w:r>
    </w:p>
    <w:p w14:paraId="1940F570" w14:textId="77777777" w:rsidR="00951E70" w:rsidRPr="00951E70" w:rsidRDefault="00951E70" w:rsidP="00437528">
      <w:pPr>
        <w:numPr>
          <w:ilvl w:val="0"/>
          <w:numId w:val="43"/>
        </w:numPr>
        <w:spacing w:before="100" w:beforeAutospacing="1" w:after="100" w:afterAutospacing="1" w:line="360" w:lineRule="auto"/>
        <w:rPr>
          <w:rFonts w:ascii="Arial" w:hAnsi="Arial" w:cs="Arial"/>
          <w:color w:val="000000"/>
          <w:sz w:val="22"/>
          <w:szCs w:val="22"/>
        </w:rPr>
      </w:pPr>
      <w:r w:rsidRPr="00951E70">
        <w:rPr>
          <w:rFonts w:ascii="Arial" w:hAnsi="Arial" w:cs="Arial"/>
          <w:color w:val="000000"/>
          <w:sz w:val="22"/>
          <w:szCs w:val="22"/>
        </w:rPr>
        <w:t>Dependence on Secondary Data: Without primary data, lived experiences could not be directly captured. Future research may benefit from interviews or focus groups.</w:t>
      </w:r>
    </w:p>
    <w:p w14:paraId="6C147AB0" w14:textId="77777777" w:rsidR="00951E70" w:rsidRPr="00951E70" w:rsidRDefault="00951E70" w:rsidP="00437528">
      <w:pPr>
        <w:numPr>
          <w:ilvl w:val="0"/>
          <w:numId w:val="43"/>
        </w:numPr>
        <w:spacing w:before="100" w:beforeAutospacing="1" w:after="100" w:afterAutospacing="1" w:line="360" w:lineRule="auto"/>
        <w:rPr>
          <w:rFonts w:ascii="Arial" w:hAnsi="Arial" w:cs="Arial"/>
          <w:color w:val="000000"/>
          <w:sz w:val="22"/>
          <w:szCs w:val="22"/>
        </w:rPr>
      </w:pPr>
      <w:r w:rsidRPr="00951E70">
        <w:rPr>
          <w:rFonts w:ascii="Arial" w:hAnsi="Arial" w:cs="Arial"/>
          <w:color w:val="000000"/>
          <w:sz w:val="22"/>
          <w:szCs w:val="22"/>
        </w:rPr>
        <w:t>Geographical Focus: Findings are specific to England and may not reflect different policy systems in Scotland, Wales, or Northern Ireland.</w:t>
      </w:r>
    </w:p>
    <w:p w14:paraId="68B3AA32" w14:textId="77777777" w:rsidR="00951E70" w:rsidRPr="00951E70" w:rsidRDefault="00951E70" w:rsidP="00437528">
      <w:pPr>
        <w:numPr>
          <w:ilvl w:val="0"/>
          <w:numId w:val="43"/>
        </w:numPr>
        <w:spacing w:before="100" w:beforeAutospacing="1" w:after="100" w:afterAutospacing="1" w:line="360" w:lineRule="auto"/>
        <w:rPr>
          <w:rFonts w:ascii="Arial" w:hAnsi="Arial" w:cs="Arial"/>
          <w:color w:val="000000"/>
          <w:sz w:val="22"/>
          <w:szCs w:val="22"/>
        </w:rPr>
      </w:pPr>
      <w:r w:rsidRPr="00951E70">
        <w:rPr>
          <w:rFonts w:ascii="Arial" w:hAnsi="Arial" w:cs="Arial"/>
          <w:color w:val="000000"/>
          <w:sz w:val="22"/>
          <w:szCs w:val="22"/>
        </w:rPr>
        <w:t>Variability of Policy Sources: Some policy documents lack methodological transparency or contain political bias, which may affect reliability.</w:t>
      </w:r>
    </w:p>
    <w:p w14:paraId="4F952E88" w14:textId="77777777" w:rsidR="00951E70" w:rsidRPr="00951E70" w:rsidRDefault="00951E70" w:rsidP="00437528">
      <w:pPr>
        <w:numPr>
          <w:ilvl w:val="0"/>
          <w:numId w:val="43"/>
        </w:numPr>
        <w:spacing w:before="100" w:beforeAutospacing="1" w:after="100" w:afterAutospacing="1" w:line="360" w:lineRule="auto"/>
        <w:rPr>
          <w:rFonts w:ascii="Arial" w:hAnsi="Arial" w:cs="Arial"/>
          <w:color w:val="000000"/>
          <w:sz w:val="22"/>
          <w:szCs w:val="22"/>
        </w:rPr>
      </w:pPr>
      <w:r w:rsidRPr="00951E70">
        <w:rPr>
          <w:rFonts w:ascii="Arial" w:hAnsi="Arial" w:cs="Arial"/>
          <w:color w:val="000000"/>
          <w:sz w:val="22"/>
          <w:szCs w:val="22"/>
        </w:rPr>
        <w:t>Gaps in Demographic Data: Limited research existed for some groups (e.g., migrants, LGBTQ+ individuals), restricting generalisability.</w:t>
      </w:r>
    </w:p>
    <w:p w14:paraId="2927069A" w14:textId="77777777" w:rsidR="00951E70" w:rsidRPr="00951E70" w:rsidRDefault="00951E70" w:rsidP="00437528">
      <w:pPr>
        <w:numPr>
          <w:ilvl w:val="0"/>
          <w:numId w:val="43"/>
        </w:numPr>
        <w:spacing w:before="100" w:beforeAutospacing="1" w:after="100" w:afterAutospacing="1" w:line="360" w:lineRule="auto"/>
        <w:rPr>
          <w:rFonts w:ascii="Arial" w:hAnsi="Arial" w:cs="Arial"/>
          <w:color w:val="000000"/>
          <w:sz w:val="22"/>
          <w:szCs w:val="22"/>
        </w:rPr>
      </w:pPr>
      <w:r w:rsidRPr="00951E70">
        <w:rPr>
          <w:rFonts w:ascii="Arial" w:hAnsi="Arial" w:cs="Arial"/>
          <w:color w:val="000000"/>
          <w:sz w:val="22"/>
          <w:szCs w:val="22"/>
        </w:rPr>
        <w:t>Publication Bias: Mental health research tends to prioritise certain conditions, risking under-representation of others.</w:t>
      </w:r>
    </w:p>
    <w:p w14:paraId="59350AB3" w14:textId="77777777" w:rsidR="00951E70" w:rsidRPr="00951E70" w:rsidRDefault="00951E70" w:rsidP="00437528">
      <w:pPr>
        <w:numPr>
          <w:ilvl w:val="0"/>
          <w:numId w:val="43"/>
        </w:numPr>
        <w:spacing w:before="100" w:beforeAutospacing="1" w:after="100" w:afterAutospacing="1" w:line="360" w:lineRule="auto"/>
        <w:rPr>
          <w:rFonts w:ascii="Arial" w:hAnsi="Arial" w:cs="Arial"/>
          <w:color w:val="000000"/>
          <w:sz w:val="22"/>
          <w:szCs w:val="22"/>
        </w:rPr>
      </w:pPr>
      <w:r w:rsidRPr="00951E70">
        <w:rPr>
          <w:rFonts w:ascii="Arial" w:hAnsi="Arial" w:cs="Arial"/>
          <w:color w:val="000000"/>
          <w:sz w:val="22"/>
          <w:szCs w:val="22"/>
        </w:rPr>
        <w:t>Time Constraints: The 12-week timeframe limited deeper exploration of emerging issues such as youth vulnerability or the cost-of-living crisis.</w:t>
      </w:r>
    </w:p>
    <w:p w14:paraId="62E85D2D" w14:textId="77777777" w:rsidR="00951E70" w:rsidRPr="00951E70" w:rsidRDefault="00951E70" w:rsidP="0000230A">
      <w:pPr>
        <w:spacing w:before="100" w:beforeAutospacing="1" w:after="100" w:afterAutospacing="1" w:line="360" w:lineRule="auto"/>
        <w:rPr>
          <w:rFonts w:ascii="Arial" w:hAnsi="Arial" w:cs="Arial"/>
          <w:color w:val="000000"/>
          <w:sz w:val="22"/>
          <w:szCs w:val="22"/>
        </w:rPr>
      </w:pPr>
      <w:r w:rsidRPr="00951E70">
        <w:rPr>
          <w:rFonts w:ascii="Arial" w:hAnsi="Arial" w:cs="Arial"/>
          <w:color w:val="000000"/>
          <w:sz w:val="22"/>
          <w:szCs w:val="22"/>
        </w:rPr>
        <w:t>Despite these limitations, the systematic design and transparent analysis strengthen the overall credibility and usefulness of the findings.</w:t>
      </w:r>
    </w:p>
    <w:p w14:paraId="4E5C971E" w14:textId="0AE33755" w:rsidR="006C0B1F" w:rsidRDefault="006C0B1F" w:rsidP="0000230A">
      <w:pPr>
        <w:pStyle w:val="NormalWeb"/>
        <w:spacing w:line="360" w:lineRule="auto"/>
        <w:rPr>
          <w:rFonts w:ascii="Arial" w:hAnsi="Arial" w:cs="Arial"/>
          <w:color w:val="000000" w:themeColor="text1"/>
          <w:sz w:val="22"/>
          <w:szCs w:val="22"/>
        </w:rPr>
      </w:pPr>
    </w:p>
    <w:p w14:paraId="49CE6BA7" w14:textId="77777777" w:rsidR="0000230A" w:rsidRPr="0000230A" w:rsidRDefault="0000230A" w:rsidP="0000230A">
      <w:pPr>
        <w:pStyle w:val="NormalWeb"/>
        <w:spacing w:line="360" w:lineRule="auto"/>
        <w:rPr>
          <w:rFonts w:ascii="Arial" w:hAnsi="Arial" w:cs="Arial"/>
          <w:color w:val="000000" w:themeColor="text1"/>
          <w:sz w:val="22"/>
          <w:szCs w:val="22"/>
        </w:rPr>
      </w:pPr>
    </w:p>
    <w:p w14:paraId="38ABDBF1" w14:textId="4C9027E8" w:rsidR="00007F2C" w:rsidRPr="0000230A" w:rsidRDefault="00007F2C" w:rsidP="0000230A">
      <w:pPr>
        <w:pStyle w:val="Heading2"/>
      </w:pPr>
      <w:bookmarkStart w:id="84" w:name="_Toc215043427"/>
      <w:r w:rsidRPr="0000230A">
        <w:rPr>
          <w:rStyle w:val="Strong"/>
          <w:rFonts w:eastAsiaTheme="majorEastAsia"/>
          <w:b w:val="0"/>
          <w:bCs/>
        </w:rPr>
        <w:lastRenderedPageBreak/>
        <w:t>5.7 Conclusion</w:t>
      </w:r>
      <w:bookmarkEnd w:id="84"/>
    </w:p>
    <w:p w14:paraId="34218E7C"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This dissertation concludes that </w:t>
      </w:r>
      <w:r w:rsidRPr="0000230A">
        <w:rPr>
          <w:rFonts w:ascii="Arial" w:eastAsiaTheme="majorEastAsia" w:hAnsi="Arial" w:cs="Arial"/>
          <w:color w:val="000000" w:themeColor="text1"/>
          <w:sz w:val="22"/>
          <w:szCs w:val="22"/>
        </w:rPr>
        <w:t>poverty and inequality are the strongest determinants of substance misuse and untreated mental health disorders in England.</w:t>
      </w:r>
      <w:r w:rsidRPr="0000230A">
        <w:rPr>
          <w:rFonts w:ascii="Arial" w:hAnsi="Arial" w:cs="Arial"/>
          <w:color w:val="000000" w:themeColor="text1"/>
          <w:sz w:val="22"/>
          <w:szCs w:val="22"/>
        </w:rPr>
        <w:t> These are not personal weaknesses; they are predictable outcomes of social systems that leave people behind.</w:t>
      </w:r>
    </w:p>
    <w:p w14:paraId="0663EE09"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Breaking this cycle requires courage and compassion:</w:t>
      </w:r>
    </w:p>
    <w:p w14:paraId="42AF9195" w14:textId="77777777" w:rsidR="00007F2C" w:rsidRPr="0000230A" w:rsidRDefault="00007F2C" w:rsidP="0000230A">
      <w:pPr>
        <w:pStyle w:val="ListParagraph"/>
        <w:numPr>
          <w:ilvl w:val="0"/>
          <w:numId w:val="19"/>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Recognising that poverty is a public health issue.</w:t>
      </w:r>
    </w:p>
    <w:p w14:paraId="6470D173" w14:textId="77777777" w:rsidR="00007F2C" w:rsidRPr="0000230A" w:rsidRDefault="00007F2C" w:rsidP="0000230A">
      <w:pPr>
        <w:pStyle w:val="ListParagraph"/>
        <w:numPr>
          <w:ilvl w:val="0"/>
          <w:numId w:val="19"/>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Embedding trauma-informed, integrated care into every service.</w:t>
      </w:r>
    </w:p>
    <w:p w14:paraId="57201E30" w14:textId="77777777" w:rsidR="00007F2C" w:rsidRPr="0000230A" w:rsidRDefault="00007F2C" w:rsidP="0000230A">
      <w:pPr>
        <w:pStyle w:val="ListParagraph"/>
        <w:numPr>
          <w:ilvl w:val="0"/>
          <w:numId w:val="19"/>
        </w:num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Invest in people and communities, not just programmes.</w:t>
      </w:r>
    </w:p>
    <w:p w14:paraId="0633097B"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The evidence indicates that meaningful progress depends on collaboration between policymakers, healthcare providers, and the public. Echoing </w:t>
      </w:r>
      <w:r w:rsidRPr="0000230A">
        <w:rPr>
          <w:rFonts w:ascii="Arial" w:eastAsiaTheme="majorEastAsia" w:hAnsi="Arial" w:cs="Arial"/>
          <w:color w:val="000000" w:themeColor="text1"/>
          <w:sz w:val="22"/>
          <w:szCs w:val="22"/>
        </w:rPr>
        <w:t>Marmot (2020)</w:t>
      </w:r>
      <w:r w:rsidRPr="0000230A">
        <w:rPr>
          <w:rFonts w:ascii="Arial" w:hAnsi="Arial" w:cs="Arial"/>
          <w:color w:val="000000" w:themeColor="text1"/>
          <w:sz w:val="22"/>
          <w:szCs w:val="22"/>
        </w:rPr>
        <w:t> and </w:t>
      </w:r>
      <w:r w:rsidRPr="0000230A">
        <w:rPr>
          <w:rFonts w:ascii="Arial" w:eastAsiaTheme="majorEastAsia" w:hAnsi="Arial" w:cs="Arial"/>
          <w:color w:val="000000" w:themeColor="text1"/>
          <w:sz w:val="22"/>
          <w:szCs w:val="22"/>
        </w:rPr>
        <w:t>Black (2021)</w:t>
      </w:r>
      <w:r w:rsidRPr="0000230A">
        <w:rPr>
          <w:rFonts w:ascii="Arial" w:hAnsi="Arial" w:cs="Arial"/>
          <w:color w:val="000000" w:themeColor="text1"/>
          <w:sz w:val="22"/>
          <w:szCs w:val="22"/>
        </w:rPr>
        <w:t>, building a fairer society means ensuring that health equity is at the heart of every decision.</w:t>
      </w:r>
    </w:p>
    <w:p w14:paraId="6EFF78B1"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eastAsiaTheme="majorEastAsia" w:hAnsi="Arial" w:cs="Arial"/>
          <w:color w:val="000000" w:themeColor="text1"/>
          <w:sz w:val="22"/>
          <w:szCs w:val="22"/>
        </w:rPr>
        <w:t>Final Reflection:</w:t>
      </w:r>
      <w:r w:rsidRPr="0000230A">
        <w:rPr>
          <w:rFonts w:ascii="Arial" w:hAnsi="Arial" w:cs="Arial"/>
          <w:color w:val="000000" w:themeColor="text1"/>
          <w:sz w:val="22"/>
          <w:szCs w:val="22"/>
        </w:rPr>
        <w:br/>
        <w:t>This research began as an academic project, but it became a human story about resilience, injustice, and hope. The findings call not only for reform but for empathy: to see addiction and mental distress as conditions that thrive in inequality and to respond with fairness, inclusion, and understanding.</w:t>
      </w:r>
    </w:p>
    <w:p w14:paraId="59C6034E"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 </w:t>
      </w:r>
    </w:p>
    <w:p w14:paraId="1C799B7C" w14:textId="77777777" w:rsidR="00007F2C" w:rsidRPr="0000230A" w:rsidRDefault="00007F2C" w:rsidP="0000230A">
      <w:pPr>
        <w:spacing w:before="100" w:beforeAutospacing="1" w:after="100" w:afterAutospacing="1" w:line="360" w:lineRule="auto"/>
        <w:rPr>
          <w:rFonts w:ascii="Arial" w:hAnsi="Arial" w:cs="Arial"/>
          <w:color w:val="000000" w:themeColor="text1"/>
          <w:sz w:val="22"/>
          <w:szCs w:val="22"/>
        </w:rPr>
      </w:pPr>
      <w:r w:rsidRPr="0000230A">
        <w:rPr>
          <w:rFonts w:ascii="Arial" w:hAnsi="Arial" w:cs="Arial"/>
          <w:color w:val="000000" w:themeColor="text1"/>
          <w:sz w:val="22"/>
          <w:szCs w:val="22"/>
        </w:rPr>
        <w:t> </w:t>
      </w:r>
    </w:p>
    <w:p w14:paraId="004E96DA" w14:textId="77777777" w:rsidR="00007F2C" w:rsidRPr="0000230A" w:rsidRDefault="00007F2C" w:rsidP="0000230A">
      <w:pPr>
        <w:spacing w:line="360" w:lineRule="auto"/>
        <w:rPr>
          <w:rFonts w:ascii="Arial" w:hAnsi="Arial" w:cs="Arial"/>
          <w:color w:val="000000" w:themeColor="text1"/>
          <w:sz w:val="22"/>
          <w:szCs w:val="22"/>
        </w:rPr>
      </w:pPr>
    </w:p>
    <w:p w14:paraId="61FDE284" w14:textId="77777777" w:rsidR="00007F2C" w:rsidRPr="0000230A" w:rsidRDefault="00007F2C" w:rsidP="0000230A">
      <w:pPr>
        <w:spacing w:line="360" w:lineRule="auto"/>
        <w:rPr>
          <w:rFonts w:ascii="Arial" w:hAnsi="Arial" w:cs="Arial"/>
          <w:color w:val="000000" w:themeColor="text1"/>
          <w:sz w:val="22"/>
          <w:szCs w:val="22"/>
        </w:rPr>
      </w:pPr>
    </w:p>
    <w:p w14:paraId="63E7BA12" w14:textId="77777777" w:rsidR="00007F2C" w:rsidRPr="0000230A" w:rsidRDefault="00007F2C" w:rsidP="0000230A">
      <w:pPr>
        <w:spacing w:line="360" w:lineRule="auto"/>
        <w:rPr>
          <w:rFonts w:ascii="Arial" w:hAnsi="Arial" w:cs="Arial"/>
          <w:color w:val="000000" w:themeColor="text1"/>
          <w:sz w:val="22"/>
          <w:szCs w:val="22"/>
        </w:rPr>
      </w:pPr>
    </w:p>
    <w:p w14:paraId="4BDA1DC7" w14:textId="77777777" w:rsidR="00007F2C" w:rsidRPr="0000230A" w:rsidRDefault="00007F2C" w:rsidP="0000230A">
      <w:pPr>
        <w:spacing w:line="360" w:lineRule="auto"/>
        <w:rPr>
          <w:rFonts w:ascii="Arial" w:hAnsi="Arial" w:cs="Arial"/>
          <w:color w:val="000000" w:themeColor="text1"/>
          <w:sz w:val="22"/>
          <w:szCs w:val="22"/>
        </w:rPr>
      </w:pPr>
    </w:p>
    <w:p w14:paraId="09B541F3" w14:textId="107DFD42" w:rsidR="00007F2C" w:rsidRPr="0000230A" w:rsidRDefault="00007F2C" w:rsidP="0000230A">
      <w:pPr>
        <w:spacing w:line="360" w:lineRule="auto"/>
        <w:rPr>
          <w:rFonts w:ascii="Arial" w:hAnsi="Arial" w:cs="Arial"/>
          <w:color w:val="000000" w:themeColor="text1"/>
          <w:sz w:val="22"/>
          <w:szCs w:val="22"/>
        </w:rPr>
      </w:pPr>
    </w:p>
    <w:p w14:paraId="4C6984F3" w14:textId="510780A3" w:rsidR="003D23D0" w:rsidRDefault="003D23D0" w:rsidP="0000230A">
      <w:pPr>
        <w:spacing w:line="360" w:lineRule="auto"/>
        <w:rPr>
          <w:rFonts w:ascii="Arial" w:hAnsi="Arial" w:cs="Arial"/>
          <w:color w:val="000000" w:themeColor="text1"/>
          <w:sz w:val="22"/>
          <w:szCs w:val="22"/>
        </w:rPr>
      </w:pPr>
    </w:p>
    <w:p w14:paraId="27DECC60" w14:textId="2953580B" w:rsidR="0000230A" w:rsidRDefault="0000230A" w:rsidP="0000230A">
      <w:pPr>
        <w:spacing w:line="360" w:lineRule="auto"/>
        <w:rPr>
          <w:rFonts w:ascii="Arial" w:hAnsi="Arial" w:cs="Arial"/>
          <w:color w:val="000000" w:themeColor="text1"/>
          <w:sz w:val="22"/>
          <w:szCs w:val="22"/>
        </w:rPr>
      </w:pPr>
    </w:p>
    <w:p w14:paraId="7D655750" w14:textId="33D3968B" w:rsidR="0000230A" w:rsidRDefault="0000230A" w:rsidP="0000230A">
      <w:pPr>
        <w:spacing w:line="360" w:lineRule="auto"/>
        <w:rPr>
          <w:rFonts w:ascii="Arial" w:hAnsi="Arial" w:cs="Arial"/>
          <w:color w:val="000000" w:themeColor="text1"/>
          <w:sz w:val="22"/>
          <w:szCs w:val="22"/>
        </w:rPr>
      </w:pPr>
    </w:p>
    <w:p w14:paraId="57431D59" w14:textId="44C9CAC7" w:rsidR="0000230A" w:rsidRDefault="0000230A" w:rsidP="0000230A">
      <w:pPr>
        <w:spacing w:line="360" w:lineRule="auto"/>
        <w:rPr>
          <w:rFonts w:ascii="Arial" w:hAnsi="Arial" w:cs="Arial"/>
          <w:color w:val="000000" w:themeColor="text1"/>
          <w:sz w:val="22"/>
          <w:szCs w:val="22"/>
        </w:rPr>
      </w:pPr>
    </w:p>
    <w:p w14:paraId="0C752045" w14:textId="77777777" w:rsidR="0000230A" w:rsidRPr="0000230A" w:rsidRDefault="0000230A" w:rsidP="0000230A">
      <w:pPr>
        <w:spacing w:line="360" w:lineRule="auto"/>
        <w:rPr>
          <w:rFonts w:ascii="Arial" w:hAnsi="Arial" w:cs="Arial"/>
          <w:color w:val="000000" w:themeColor="text1"/>
          <w:sz w:val="22"/>
          <w:szCs w:val="22"/>
        </w:rPr>
      </w:pPr>
    </w:p>
    <w:p w14:paraId="12E80A50" w14:textId="4F91B963" w:rsidR="003D23D0" w:rsidRPr="0000230A" w:rsidRDefault="003D23D0" w:rsidP="0000230A">
      <w:pPr>
        <w:spacing w:line="360" w:lineRule="auto"/>
        <w:rPr>
          <w:rFonts w:ascii="Arial" w:hAnsi="Arial" w:cs="Arial"/>
          <w:color w:val="000000" w:themeColor="text1"/>
          <w:sz w:val="22"/>
          <w:szCs w:val="22"/>
        </w:rPr>
      </w:pPr>
    </w:p>
    <w:p w14:paraId="78B60A57" w14:textId="71A628C5" w:rsidR="00503363" w:rsidRDefault="00503363" w:rsidP="00503363">
      <w:pPr>
        <w:pStyle w:val="Heading1"/>
        <w:spacing w:line="360" w:lineRule="auto"/>
        <w:rPr>
          <w:rFonts w:cs="Arial"/>
          <w:color w:val="000000" w:themeColor="text1"/>
          <w:szCs w:val="22"/>
        </w:rPr>
      </w:pPr>
      <w:bookmarkStart w:id="85" w:name="_Toc215043428"/>
      <w:r w:rsidRPr="00503363">
        <w:rPr>
          <w:rFonts w:cs="Arial"/>
          <w:color w:val="000000" w:themeColor="text1"/>
          <w:szCs w:val="22"/>
        </w:rPr>
        <w:lastRenderedPageBreak/>
        <w:t>References</w:t>
      </w:r>
      <w:bookmarkEnd w:id="85"/>
    </w:p>
    <w:p w14:paraId="67374D75" w14:textId="3445E6DA"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Aday, L.A. and Andersen, R. (1974). A Framework for the Study of Access to Medical Care. </w:t>
      </w:r>
      <w:r w:rsidRPr="00503363">
        <w:rPr>
          <w:rFonts w:ascii="Arial" w:hAnsi="Arial" w:cs="Arial"/>
          <w:i/>
          <w:iCs/>
          <w:color w:val="000000" w:themeColor="text1"/>
          <w:sz w:val="22"/>
          <w:szCs w:val="22"/>
        </w:rPr>
        <w:t>Health Services Research</w:t>
      </w:r>
      <w:r w:rsidRPr="00503363">
        <w:rPr>
          <w:rFonts w:ascii="Arial" w:hAnsi="Arial" w:cs="Arial"/>
          <w:color w:val="000000" w:themeColor="text1"/>
          <w:sz w:val="22"/>
          <w:szCs w:val="22"/>
        </w:rPr>
        <w:t xml:space="preserve">, 9(3), p.208. Available at: </w:t>
      </w:r>
      <w:hyperlink r:id="rId9" w:history="1">
        <w:r w:rsidRPr="00503363">
          <w:rPr>
            <w:rStyle w:val="Hyperlink"/>
            <w:rFonts w:ascii="Arial" w:hAnsi="Arial" w:cs="Arial"/>
            <w:color w:val="000000" w:themeColor="text1"/>
            <w:sz w:val="22"/>
            <w:szCs w:val="22"/>
          </w:rPr>
          <w:t>https://pmc.ncbi.nlm.nih.gov/articles/PMC1071804/</w:t>
        </w:r>
      </w:hyperlink>
      <w:r w:rsidRPr="00503363">
        <w:rPr>
          <w:rFonts w:ascii="Arial" w:hAnsi="Arial" w:cs="Arial"/>
          <w:color w:val="000000" w:themeColor="text1"/>
          <w:sz w:val="22"/>
          <w:szCs w:val="22"/>
        </w:rPr>
        <w:t>. (Accessed: 20 June 2025).</w:t>
      </w:r>
    </w:p>
    <w:p w14:paraId="4FA3769E" w14:textId="77777777"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 xml:space="preserve">Adler, N.E. and Newman, K. (2002). Socioeconomic Disparities </w:t>
      </w:r>
      <w:proofErr w:type="gramStart"/>
      <w:r w:rsidRPr="00503363">
        <w:rPr>
          <w:rFonts w:ascii="Arial" w:hAnsi="Arial" w:cs="Arial"/>
          <w:color w:val="000000" w:themeColor="text1"/>
          <w:sz w:val="22"/>
          <w:szCs w:val="22"/>
        </w:rPr>
        <w:t>In</w:t>
      </w:r>
      <w:proofErr w:type="gramEnd"/>
      <w:r w:rsidRPr="00503363">
        <w:rPr>
          <w:rFonts w:ascii="Arial" w:hAnsi="Arial" w:cs="Arial"/>
          <w:color w:val="000000" w:themeColor="text1"/>
          <w:sz w:val="22"/>
          <w:szCs w:val="22"/>
        </w:rPr>
        <w:t xml:space="preserve"> Health: Pathways And Policies. </w:t>
      </w:r>
      <w:r w:rsidRPr="00503363">
        <w:rPr>
          <w:rFonts w:ascii="Arial" w:hAnsi="Arial" w:cs="Arial"/>
          <w:i/>
          <w:iCs/>
          <w:color w:val="000000" w:themeColor="text1"/>
          <w:sz w:val="22"/>
          <w:szCs w:val="22"/>
        </w:rPr>
        <w:t>Health Affairs</w:t>
      </w:r>
      <w:r w:rsidRPr="00503363">
        <w:rPr>
          <w:rFonts w:ascii="Arial" w:hAnsi="Arial" w:cs="Arial"/>
          <w:color w:val="000000" w:themeColor="text1"/>
          <w:sz w:val="22"/>
          <w:szCs w:val="22"/>
        </w:rPr>
        <w:t xml:space="preserve">, [online] 21(2), pp.60–76. Available at: </w:t>
      </w:r>
      <w:proofErr w:type="gramStart"/>
      <w:r w:rsidRPr="00503363">
        <w:rPr>
          <w:rFonts w:ascii="Arial" w:hAnsi="Arial" w:cs="Arial"/>
          <w:color w:val="000000" w:themeColor="text1"/>
          <w:sz w:val="22"/>
          <w:szCs w:val="22"/>
        </w:rPr>
        <w:t>doi:https://doi.org/10.1377/hlthaff.21.2.60</w:t>
      </w:r>
      <w:proofErr w:type="gramEnd"/>
      <w:r w:rsidRPr="00503363">
        <w:rPr>
          <w:rFonts w:ascii="Arial" w:hAnsi="Arial" w:cs="Arial"/>
          <w:color w:val="000000" w:themeColor="text1"/>
          <w:sz w:val="22"/>
          <w:szCs w:val="22"/>
        </w:rPr>
        <w:t xml:space="preserve">. </w:t>
      </w:r>
    </w:p>
    <w:p w14:paraId="31341892" w14:textId="77777777"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Alcohol Change UK (2022) </w:t>
      </w:r>
      <w:r w:rsidRPr="00503363">
        <w:rPr>
          <w:rFonts w:ascii="Arial" w:hAnsi="Arial" w:cs="Arial"/>
          <w:i/>
          <w:iCs/>
          <w:color w:val="000000" w:themeColor="text1"/>
          <w:sz w:val="22"/>
          <w:szCs w:val="22"/>
        </w:rPr>
        <w:t>Alcohol Statistics 2022.</w:t>
      </w:r>
      <w:r w:rsidRPr="00503363">
        <w:rPr>
          <w:rFonts w:ascii="Arial" w:hAnsi="Arial" w:cs="Arial"/>
          <w:color w:val="000000" w:themeColor="text1"/>
          <w:sz w:val="22"/>
          <w:szCs w:val="22"/>
        </w:rPr>
        <w:t> Available at: </w:t>
      </w:r>
      <w:hyperlink r:id="rId10" w:history="1">
        <w:r w:rsidRPr="00503363">
          <w:rPr>
            <w:rStyle w:val="Hyperlink"/>
            <w:rFonts w:ascii="Arial" w:hAnsi="Arial" w:cs="Arial"/>
            <w:color w:val="000000" w:themeColor="text1"/>
            <w:sz w:val="22"/>
            <w:szCs w:val="22"/>
          </w:rPr>
          <w:t>https://alcoholchange.org.uk/facts-faqs/facts</w:t>
        </w:r>
      </w:hyperlink>
      <w:r w:rsidRPr="00503363">
        <w:rPr>
          <w:rFonts w:ascii="Arial" w:hAnsi="Arial" w:cs="Arial"/>
          <w:color w:val="000000" w:themeColor="text1"/>
          <w:sz w:val="22"/>
          <w:szCs w:val="22"/>
        </w:rPr>
        <w:t xml:space="preserve"> (Accessed: 20 June 2025).</w:t>
      </w:r>
    </w:p>
    <w:p w14:paraId="224DCD2C" w14:textId="6E7C4A1C"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shd w:val="clear" w:color="auto" w:fill="FFFFFF"/>
        </w:rPr>
        <w:t>Alexander, M. (2020) </w:t>
      </w:r>
      <w:r w:rsidRPr="00503363">
        <w:rPr>
          <w:rFonts w:ascii="Arial" w:hAnsi="Arial" w:cs="Arial"/>
          <w:i/>
          <w:iCs/>
          <w:color w:val="000000" w:themeColor="text1"/>
          <w:sz w:val="22"/>
          <w:szCs w:val="22"/>
        </w:rPr>
        <w:t xml:space="preserve">The new Jim </w:t>
      </w:r>
      <w:proofErr w:type="gramStart"/>
      <w:r w:rsidRPr="00503363">
        <w:rPr>
          <w:rFonts w:ascii="Arial" w:hAnsi="Arial" w:cs="Arial"/>
          <w:i/>
          <w:iCs/>
          <w:color w:val="000000" w:themeColor="text1"/>
          <w:sz w:val="22"/>
          <w:szCs w:val="22"/>
        </w:rPr>
        <w:t>Crow :</w:t>
      </w:r>
      <w:proofErr w:type="gramEnd"/>
      <w:r w:rsidRPr="00503363">
        <w:rPr>
          <w:rFonts w:ascii="Arial" w:hAnsi="Arial" w:cs="Arial"/>
          <w:i/>
          <w:iCs/>
          <w:color w:val="000000" w:themeColor="text1"/>
          <w:sz w:val="22"/>
          <w:szCs w:val="22"/>
        </w:rPr>
        <w:t xml:space="preserve"> mass incarceration in the age of colorblindness /</w:t>
      </w:r>
      <w:r w:rsidRPr="00503363">
        <w:rPr>
          <w:rFonts w:ascii="Arial" w:hAnsi="Arial" w:cs="Arial"/>
          <w:color w:val="000000" w:themeColor="text1"/>
          <w:sz w:val="22"/>
          <w:szCs w:val="22"/>
          <w:shd w:val="clear" w:color="auto" w:fill="FFFFFF"/>
        </w:rPr>
        <w:t xml:space="preserve">. New </w:t>
      </w:r>
      <w:proofErr w:type="gramStart"/>
      <w:r w:rsidRPr="00503363">
        <w:rPr>
          <w:rFonts w:ascii="Arial" w:hAnsi="Arial" w:cs="Arial"/>
          <w:color w:val="000000" w:themeColor="text1"/>
          <w:sz w:val="22"/>
          <w:szCs w:val="22"/>
          <w:shd w:val="clear" w:color="auto" w:fill="FFFFFF"/>
        </w:rPr>
        <w:t>York :</w:t>
      </w:r>
      <w:proofErr w:type="gramEnd"/>
      <w:r w:rsidRPr="00503363">
        <w:rPr>
          <w:rFonts w:ascii="Arial" w:hAnsi="Arial" w:cs="Arial"/>
          <w:color w:val="000000" w:themeColor="text1"/>
          <w:sz w:val="22"/>
          <w:szCs w:val="22"/>
          <w:shd w:val="clear" w:color="auto" w:fill="FFFFFF"/>
        </w:rPr>
        <w:t xml:space="preserve"> The New Press,. Available at: </w:t>
      </w:r>
      <w:hyperlink r:id="rId11" w:history="1">
        <w:r w:rsidRPr="00503363">
          <w:rPr>
            <w:rStyle w:val="Hyperlink"/>
            <w:rFonts w:ascii="Arial" w:hAnsi="Arial" w:cs="Arial"/>
            <w:color w:val="000000" w:themeColor="text1"/>
            <w:sz w:val="22"/>
            <w:szCs w:val="22"/>
            <w:shd w:val="clear" w:color="auto" w:fill="FFFFFF"/>
          </w:rPr>
          <w:t>https://doi.org/10.2307/jj.26193249</w:t>
        </w:r>
      </w:hyperlink>
      <w:r w:rsidRPr="00503363">
        <w:rPr>
          <w:rFonts w:ascii="Arial" w:hAnsi="Arial" w:cs="Arial"/>
          <w:color w:val="000000" w:themeColor="text1"/>
          <w:sz w:val="22"/>
          <w:szCs w:val="22"/>
          <w:shd w:val="clear" w:color="auto" w:fill="FFFFFF"/>
        </w:rPr>
        <w:t>.</w:t>
      </w:r>
    </w:p>
    <w:p w14:paraId="1DC4CE21" w14:textId="77777777" w:rsidR="00503363" w:rsidRPr="00825E43" w:rsidRDefault="00503363" w:rsidP="00503363">
      <w:pPr>
        <w:spacing w:line="360" w:lineRule="auto"/>
        <w:rPr>
          <w:rFonts w:ascii="Arial" w:hAnsi="Arial" w:cs="Arial"/>
          <w:color w:val="000000" w:themeColor="text1"/>
          <w:sz w:val="22"/>
          <w:szCs w:val="22"/>
        </w:rPr>
      </w:pPr>
      <w:r w:rsidRPr="00825E43">
        <w:rPr>
          <w:rFonts w:ascii="Arial" w:hAnsi="Arial" w:cs="Arial"/>
          <w:color w:val="000000" w:themeColor="text1"/>
          <w:sz w:val="22"/>
          <w:szCs w:val="22"/>
        </w:rPr>
        <w:t>Alexander, M. (2020) </w:t>
      </w:r>
      <w:r w:rsidRPr="00825E43">
        <w:rPr>
          <w:rFonts w:ascii="Arial" w:hAnsi="Arial" w:cs="Arial"/>
          <w:i/>
          <w:iCs/>
          <w:color w:val="000000" w:themeColor="text1"/>
          <w:sz w:val="22"/>
          <w:szCs w:val="22"/>
        </w:rPr>
        <w:t>The new Jim Crow: Mass incarceration in the age of colorblindness</w:t>
      </w:r>
      <w:r w:rsidRPr="00825E43">
        <w:rPr>
          <w:rFonts w:ascii="Arial" w:hAnsi="Arial" w:cs="Arial"/>
          <w:color w:val="000000" w:themeColor="text1"/>
          <w:sz w:val="22"/>
          <w:szCs w:val="22"/>
        </w:rPr>
        <w:t>. New York: The New Press.</w:t>
      </w:r>
      <w:r w:rsidRPr="00825E43">
        <w:rPr>
          <w:rFonts w:ascii="Arial" w:hAnsi="Arial" w:cs="Arial"/>
          <w:color w:val="000000" w:themeColor="text1"/>
          <w:sz w:val="22"/>
          <w:szCs w:val="22"/>
        </w:rPr>
        <w:br/>
        <w:t>Bambra, C., Lynch, J. and Smith, K. (2020) </w:t>
      </w:r>
      <w:r w:rsidRPr="00825E43">
        <w:rPr>
          <w:rFonts w:ascii="Arial" w:hAnsi="Arial" w:cs="Arial"/>
          <w:i/>
          <w:iCs/>
          <w:color w:val="000000" w:themeColor="text1"/>
          <w:sz w:val="22"/>
          <w:szCs w:val="22"/>
        </w:rPr>
        <w:t>The unequal pandemic: Covid-19 and health inequalities</w:t>
      </w:r>
      <w:r w:rsidRPr="00825E43">
        <w:rPr>
          <w:rFonts w:ascii="Arial" w:hAnsi="Arial" w:cs="Arial"/>
          <w:color w:val="000000" w:themeColor="text1"/>
          <w:sz w:val="22"/>
          <w:szCs w:val="22"/>
        </w:rPr>
        <w:t>. Bristol: Policy Press.</w:t>
      </w:r>
      <w:r w:rsidRPr="00825E43">
        <w:rPr>
          <w:rFonts w:ascii="Arial" w:hAnsi="Arial" w:cs="Arial"/>
          <w:color w:val="000000" w:themeColor="text1"/>
          <w:sz w:val="22"/>
          <w:szCs w:val="22"/>
        </w:rPr>
        <w:br/>
        <w:t>Becker, H. (1963) </w:t>
      </w:r>
      <w:r w:rsidRPr="00825E43">
        <w:rPr>
          <w:rFonts w:ascii="Arial" w:hAnsi="Arial" w:cs="Arial"/>
          <w:i/>
          <w:iCs/>
          <w:color w:val="000000" w:themeColor="text1"/>
          <w:sz w:val="22"/>
          <w:szCs w:val="22"/>
        </w:rPr>
        <w:t>Outsiders: Studies in the sociology of deviance</w:t>
      </w:r>
      <w:r w:rsidRPr="00825E43">
        <w:rPr>
          <w:rFonts w:ascii="Arial" w:hAnsi="Arial" w:cs="Arial"/>
          <w:color w:val="000000" w:themeColor="text1"/>
          <w:sz w:val="22"/>
          <w:szCs w:val="22"/>
        </w:rPr>
        <w:t>. New York: Free Press.</w:t>
      </w:r>
      <w:r w:rsidRPr="00825E43">
        <w:rPr>
          <w:rFonts w:ascii="Arial" w:hAnsi="Arial" w:cs="Arial"/>
          <w:color w:val="000000" w:themeColor="text1"/>
          <w:sz w:val="22"/>
          <w:szCs w:val="22"/>
        </w:rPr>
        <w:br/>
        <w:t>Berridge, V. (2013) </w:t>
      </w:r>
      <w:r w:rsidRPr="00825E43">
        <w:rPr>
          <w:rFonts w:ascii="Arial" w:hAnsi="Arial" w:cs="Arial"/>
          <w:i/>
          <w:iCs/>
          <w:color w:val="000000" w:themeColor="text1"/>
          <w:sz w:val="22"/>
          <w:szCs w:val="22"/>
        </w:rPr>
        <w:t>Demons: Our changing attitudes to alcohol, tobacco, and drugs</w:t>
      </w:r>
      <w:r w:rsidRPr="00825E43">
        <w:rPr>
          <w:rFonts w:ascii="Arial" w:hAnsi="Arial" w:cs="Arial"/>
          <w:color w:val="000000" w:themeColor="text1"/>
          <w:sz w:val="22"/>
          <w:szCs w:val="22"/>
        </w:rPr>
        <w:t>. Oxford: Oxford University Press.</w:t>
      </w:r>
      <w:r w:rsidRPr="00825E43">
        <w:rPr>
          <w:rFonts w:ascii="Arial" w:hAnsi="Arial" w:cs="Arial"/>
          <w:color w:val="000000" w:themeColor="text1"/>
          <w:sz w:val="22"/>
          <w:szCs w:val="22"/>
        </w:rPr>
        <w:br/>
        <w:t>Black, C. (2021) </w:t>
      </w:r>
      <w:r w:rsidRPr="00825E43">
        <w:rPr>
          <w:rFonts w:ascii="Arial" w:hAnsi="Arial" w:cs="Arial"/>
          <w:i/>
          <w:iCs/>
          <w:color w:val="000000" w:themeColor="text1"/>
          <w:sz w:val="22"/>
          <w:szCs w:val="22"/>
        </w:rPr>
        <w:t>Review of drugs: Phase two report</w:t>
      </w:r>
      <w:r w:rsidRPr="00825E43">
        <w:rPr>
          <w:rFonts w:ascii="Arial" w:hAnsi="Arial" w:cs="Arial"/>
          <w:color w:val="000000" w:themeColor="text1"/>
          <w:sz w:val="22"/>
          <w:szCs w:val="22"/>
        </w:rPr>
        <w:t>. London: Home Office.</w:t>
      </w:r>
      <w:r w:rsidRPr="00825E43">
        <w:rPr>
          <w:rFonts w:ascii="Arial" w:hAnsi="Arial" w:cs="Arial"/>
          <w:color w:val="000000" w:themeColor="text1"/>
          <w:sz w:val="22"/>
          <w:szCs w:val="22"/>
        </w:rPr>
        <w:br/>
        <w:t>Des Jarlais, D.C. et al. (1995) ‘Harm reduction: A public health response to the AIDS epidemic among injecting drug users’, </w:t>
      </w:r>
      <w:r w:rsidRPr="00825E43">
        <w:rPr>
          <w:rFonts w:ascii="Arial" w:hAnsi="Arial" w:cs="Arial"/>
          <w:i/>
          <w:iCs/>
          <w:color w:val="000000" w:themeColor="text1"/>
          <w:sz w:val="22"/>
          <w:szCs w:val="22"/>
        </w:rPr>
        <w:t>Annual Review of Public Health</w:t>
      </w:r>
      <w:r w:rsidRPr="00825E43">
        <w:rPr>
          <w:rFonts w:ascii="Arial" w:hAnsi="Arial" w:cs="Arial"/>
          <w:color w:val="000000" w:themeColor="text1"/>
          <w:sz w:val="22"/>
          <w:szCs w:val="22"/>
        </w:rPr>
        <w:t>, 16, pp. 327–350.</w:t>
      </w:r>
      <w:r w:rsidRPr="00825E43">
        <w:rPr>
          <w:rFonts w:ascii="Arial" w:hAnsi="Arial" w:cs="Arial"/>
          <w:color w:val="000000" w:themeColor="text1"/>
          <w:sz w:val="22"/>
          <w:szCs w:val="22"/>
        </w:rPr>
        <w:br/>
        <w:t>Dasgupta, N., Beletsky, L. and Ciccarone, D. (2018) ‘Opioid crisis: No easy fix to its social and economic determinants’, </w:t>
      </w:r>
      <w:r w:rsidRPr="00825E43">
        <w:rPr>
          <w:rFonts w:ascii="Arial" w:hAnsi="Arial" w:cs="Arial"/>
          <w:i/>
          <w:iCs/>
          <w:color w:val="000000" w:themeColor="text1"/>
          <w:sz w:val="22"/>
          <w:szCs w:val="22"/>
        </w:rPr>
        <w:t>American Journal of Public Health</w:t>
      </w:r>
      <w:r w:rsidRPr="00825E43">
        <w:rPr>
          <w:rFonts w:ascii="Arial" w:hAnsi="Arial" w:cs="Arial"/>
          <w:color w:val="000000" w:themeColor="text1"/>
          <w:sz w:val="22"/>
          <w:szCs w:val="22"/>
        </w:rPr>
        <w:t>, 108(2), pp. 182–186.</w:t>
      </w:r>
      <w:r w:rsidRPr="00825E43">
        <w:rPr>
          <w:rFonts w:ascii="Arial" w:hAnsi="Arial" w:cs="Arial"/>
          <w:color w:val="000000" w:themeColor="text1"/>
          <w:sz w:val="22"/>
          <w:szCs w:val="22"/>
        </w:rPr>
        <w:br/>
        <w:t>Greenwald, G. (2009) </w:t>
      </w:r>
      <w:r w:rsidRPr="00825E43">
        <w:rPr>
          <w:rFonts w:ascii="Arial" w:hAnsi="Arial" w:cs="Arial"/>
          <w:i/>
          <w:iCs/>
          <w:color w:val="000000" w:themeColor="text1"/>
          <w:sz w:val="22"/>
          <w:szCs w:val="22"/>
        </w:rPr>
        <w:t>Drug decriminalization in Portugal</w:t>
      </w:r>
      <w:r w:rsidRPr="00825E43">
        <w:rPr>
          <w:rFonts w:ascii="Arial" w:hAnsi="Arial" w:cs="Arial"/>
          <w:color w:val="000000" w:themeColor="text1"/>
          <w:sz w:val="22"/>
          <w:szCs w:val="22"/>
        </w:rPr>
        <w:t>. Washington, DC: Cato Institute.</w:t>
      </w:r>
      <w:r w:rsidRPr="00825E43">
        <w:rPr>
          <w:rFonts w:ascii="Arial" w:hAnsi="Arial" w:cs="Arial"/>
          <w:color w:val="000000" w:themeColor="text1"/>
          <w:sz w:val="22"/>
          <w:szCs w:val="22"/>
        </w:rPr>
        <w:br/>
        <w:t xml:space="preserve">Hatzenbuehler, M.L., Phelan, </w:t>
      </w:r>
      <w:proofErr w:type="gramStart"/>
      <w:r w:rsidRPr="00825E43">
        <w:rPr>
          <w:rFonts w:ascii="Arial" w:hAnsi="Arial" w:cs="Arial"/>
          <w:color w:val="000000" w:themeColor="text1"/>
          <w:sz w:val="22"/>
          <w:szCs w:val="22"/>
        </w:rPr>
        <w:t>J.C.</w:t>
      </w:r>
      <w:proofErr w:type="gramEnd"/>
      <w:r w:rsidRPr="00825E43">
        <w:rPr>
          <w:rFonts w:ascii="Arial" w:hAnsi="Arial" w:cs="Arial"/>
          <w:color w:val="000000" w:themeColor="text1"/>
          <w:sz w:val="22"/>
          <w:szCs w:val="22"/>
        </w:rPr>
        <w:t xml:space="preserve"> and Link, B.G. (2013) ‘Stigma as a fundamental cause of population health inequalities’, </w:t>
      </w:r>
      <w:r w:rsidRPr="00825E43">
        <w:rPr>
          <w:rFonts w:ascii="Arial" w:hAnsi="Arial" w:cs="Arial"/>
          <w:i/>
          <w:iCs/>
          <w:color w:val="000000" w:themeColor="text1"/>
          <w:sz w:val="22"/>
          <w:szCs w:val="22"/>
        </w:rPr>
        <w:t>American Journal of Public Health</w:t>
      </w:r>
      <w:r w:rsidRPr="00825E43">
        <w:rPr>
          <w:rFonts w:ascii="Arial" w:hAnsi="Arial" w:cs="Arial"/>
          <w:color w:val="000000" w:themeColor="text1"/>
          <w:sz w:val="22"/>
          <w:szCs w:val="22"/>
        </w:rPr>
        <w:t>, 103(5), pp. 813–821.</w:t>
      </w:r>
      <w:r w:rsidRPr="00825E43">
        <w:rPr>
          <w:rFonts w:ascii="Arial" w:hAnsi="Arial" w:cs="Arial"/>
          <w:color w:val="000000" w:themeColor="text1"/>
          <w:sz w:val="22"/>
          <w:szCs w:val="22"/>
        </w:rPr>
        <w:br/>
        <w:t>Health Foundation (2020) </w:t>
      </w:r>
      <w:r w:rsidRPr="00825E43">
        <w:rPr>
          <w:rFonts w:ascii="Arial" w:hAnsi="Arial" w:cs="Arial"/>
          <w:i/>
          <w:iCs/>
          <w:color w:val="000000" w:themeColor="text1"/>
          <w:sz w:val="22"/>
          <w:szCs w:val="22"/>
        </w:rPr>
        <w:t>Public health cuts: 2020 update</w:t>
      </w:r>
      <w:r w:rsidRPr="00825E43">
        <w:rPr>
          <w:rFonts w:ascii="Arial" w:hAnsi="Arial" w:cs="Arial"/>
          <w:color w:val="000000" w:themeColor="text1"/>
          <w:sz w:val="22"/>
          <w:szCs w:val="22"/>
        </w:rPr>
        <w:t>. London: Health Foundation.</w:t>
      </w:r>
      <w:r w:rsidRPr="00825E43">
        <w:rPr>
          <w:rFonts w:ascii="Arial" w:hAnsi="Arial" w:cs="Arial"/>
          <w:color w:val="000000" w:themeColor="text1"/>
          <w:sz w:val="22"/>
          <w:szCs w:val="22"/>
        </w:rPr>
        <w:br/>
        <w:t>Home Office (1971) </w:t>
      </w:r>
      <w:r w:rsidRPr="00825E43">
        <w:rPr>
          <w:rFonts w:ascii="Arial" w:hAnsi="Arial" w:cs="Arial"/>
          <w:i/>
          <w:iCs/>
          <w:color w:val="000000" w:themeColor="text1"/>
          <w:sz w:val="22"/>
          <w:szCs w:val="22"/>
        </w:rPr>
        <w:t>Misuse of Drugs Act 1971</w:t>
      </w:r>
      <w:r w:rsidRPr="00825E43">
        <w:rPr>
          <w:rFonts w:ascii="Arial" w:hAnsi="Arial" w:cs="Arial"/>
          <w:color w:val="000000" w:themeColor="text1"/>
          <w:sz w:val="22"/>
          <w:szCs w:val="22"/>
        </w:rPr>
        <w:t>. London: The Stationery Office.</w:t>
      </w:r>
      <w:r w:rsidRPr="00825E43">
        <w:rPr>
          <w:rFonts w:ascii="Arial" w:hAnsi="Arial" w:cs="Arial"/>
          <w:color w:val="000000" w:themeColor="text1"/>
          <w:sz w:val="22"/>
          <w:szCs w:val="22"/>
        </w:rPr>
        <w:br/>
        <w:t>Hughes, C. and Stevens, A. (2010) ‘What can we learn from the Portuguese decriminalization of illicit drugs?’, </w:t>
      </w:r>
      <w:r w:rsidRPr="00825E43">
        <w:rPr>
          <w:rFonts w:ascii="Arial" w:hAnsi="Arial" w:cs="Arial"/>
          <w:i/>
          <w:iCs/>
          <w:color w:val="000000" w:themeColor="text1"/>
          <w:sz w:val="22"/>
          <w:szCs w:val="22"/>
        </w:rPr>
        <w:t>British Journal of Criminology</w:t>
      </w:r>
      <w:r w:rsidRPr="00825E43">
        <w:rPr>
          <w:rFonts w:ascii="Arial" w:hAnsi="Arial" w:cs="Arial"/>
          <w:color w:val="000000" w:themeColor="text1"/>
          <w:sz w:val="22"/>
          <w:szCs w:val="22"/>
        </w:rPr>
        <w:t>, 50(6), pp. 999–1022.</w:t>
      </w:r>
      <w:r w:rsidRPr="00825E43">
        <w:rPr>
          <w:rFonts w:ascii="Arial" w:hAnsi="Arial" w:cs="Arial"/>
          <w:color w:val="000000" w:themeColor="text1"/>
          <w:sz w:val="22"/>
          <w:szCs w:val="22"/>
        </w:rPr>
        <w:br/>
        <w:t>Kerr, T. et al. (2017) ‘Supervised injection facilities in Canada: Past, present, and future’, </w:t>
      </w:r>
      <w:r w:rsidRPr="00825E43">
        <w:rPr>
          <w:rFonts w:ascii="Arial" w:hAnsi="Arial" w:cs="Arial"/>
          <w:i/>
          <w:iCs/>
          <w:color w:val="000000" w:themeColor="text1"/>
          <w:sz w:val="22"/>
          <w:szCs w:val="22"/>
        </w:rPr>
        <w:t>Harm Reduction Journal</w:t>
      </w:r>
      <w:r w:rsidRPr="00825E43">
        <w:rPr>
          <w:rFonts w:ascii="Arial" w:hAnsi="Arial" w:cs="Arial"/>
          <w:color w:val="000000" w:themeColor="text1"/>
          <w:sz w:val="22"/>
          <w:szCs w:val="22"/>
        </w:rPr>
        <w:t>, 14(1), p. 28.</w:t>
      </w:r>
      <w:r w:rsidRPr="00825E43">
        <w:rPr>
          <w:rFonts w:ascii="Arial" w:hAnsi="Arial" w:cs="Arial"/>
          <w:color w:val="000000" w:themeColor="text1"/>
          <w:sz w:val="22"/>
          <w:szCs w:val="22"/>
        </w:rPr>
        <w:br/>
      </w:r>
      <w:r w:rsidRPr="00825E43">
        <w:rPr>
          <w:rFonts w:ascii="Arial" w:hAnsi="Arial" w:cs="Arial"/>
          <w:color w:val="000000" w:themeColor="text1"/>
          <w:sz w:val="22"/>
          <w:szCs w:val="22"/>
        </w:rPr>
        <w:lastRenderedPageBreak/>
        <w:t>Lloyd, C., Page, G. and McKeganey, N. (2019) </w:t>
      </w:r>
      <w:r w:rsidRPr="00825E43">
        <w:rPr>
          <w:rFonts w:ascii="Arial" w:hAnsi="Arial" w:cs="Arial"/>
          <w:i/>
          <w:iCs/>
          <w:color w:val="000000" w:themeColor="text1"/>
          <w:sz w:val="22"/>
          <w:szCs w:val="22"/>
        </w:rPr>
        <w:t>Drugs research: An overview</w:t>
      </w:r>
      <w:r w:rsidRPr="00825E43">
        <w:rPr>
          <w:rFonts w:ascii="Arial" w:hAnsi="Arial" w:cs="Arial"/>
          <w:color w:val="000000" w:themeColor="text1"/>
          <w:sz w:val="22"/>
          <w:szCs w:val="22"/>
        </w:rPr>
        <w:t>. London: Routledge.</w:t>
      </w:r>
    </w:p>
    <w:p w14:paraId="222483DC"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br/>
        <w:t>American Psychiatric Association (APA), 2022. </w:t>
      </w:r>
      <w:r w:rsidRPr="00503363">
        <w:rPr>
          <w:rFonts w:ascii="Arial" w:hAnsi="Arial" w:cs="Arial"/>
          <w:i/>
          <w:iCs/>
          <w:color w:val="000000" w:themeColor="text1"/>
          <w:sz w:val="22"/>
          <w:szCs w:val="22"/>
        </w:rPr>
        <w:t>Diagnostic and Statistical Manual of Mental Disorders (5th ed., Text Revision)</w:t>
      </w:r>
      <w:r w:rsidRPr="00503363">
        <w:rPr>
          <w:rFonts w:ascii="Arial" w:hAnsi="Arial" w:cs="Arial"/>
          <w:color w:val="000000" w:themeColor="text1"/>
          <w:sz w:val="22"/>
          <w:szCs w:val="22"/>
        </w:rPr>
        <w:t>. Washington, DC: APA Publishing.</w:t>
      </w:r>
    </w:p>
    <w:p w14:paraId="6DE3476A" w14:textId="77777777" w:rsidR="00503363" w:rsidRPr="00503363" w:rsidRDefault="00503363" w:rsidP="00503363">
      <w:pPr>
        <w:spacing w:line="360" w:lineRule="auto"/>
        <w:rPr>
          <w:rFonts w:ascii="Arial" w:hAnsi="Arial" w:cs="Arial"/>
          <w:color w:val="000000" w:themeColor="text1"/>
          <w:sz w:val="22"/>
          <w:szCs w:val="22"/>
          <w:shd w:val="clear" w:color="auto" w:fill="FFFFFF"/>
        </w:rPr>
      </w:pPr>
      <w:r w:rsidRPr="00503363">
        <w:rPr>
          <w:rFonts w:ascii="Arial" w:hAnsi="Arial" w:cs="Arial"/>
          <w:color w:val="000000" w:themeColor="text1"/>
          <w:sz w:val="22"/>
          <w:szCs w:val="22"/>
          <w:shd w:val="clear" w:color="auto" w:fill="FFFFFF"/>
        </w:rPr>
        <w:t>Aveyard, H. (2014) </w:t>
      </w:r>
      <w:r w:rsidRPr="00503363">
        <w:rPr>
          <w:rFonts w:ascii="Arial" w:hAnsi="Arial" w:cs="Arial"/>
          <w:i/>
          <w:iCs/>
          <w:color w:val="000000" w:themeColor="text1"/>
          <w:sz w:val="22"/>
          <w:szCs w:val="22"/>
        </w:rPr>
        <w:t xml:space="preserve">Doing a literature review in health and social </w:t>
      </w:r>
      <w:proofErr w:type="gramStart"/>
      <w:r w:rsidRPr="00503363">
        <w:rPr>
          <w:rFonts w:ascii="Arial" w:hAnsi="Arial" w:cs="Arial"/>
          <w:i/>
          <w:iCs/>
          <w:color w:val="000000" w:themeColor="text1"/>
          <w:sz w:val="22"/>
          <w:szCs w:val="22"/>
        </w:rPr>
        <w:t>care :</w:t>
      </w:r>
      <w:proofErr w:type="gramEnd"/>
      <w:r w:rsidRPr="00503363">
        <w:rPr>
          <w:rFonts w:ascii="Arial" w:hAnsi="Arial" w:cs="Arial"/>
          <w:i/>
          <w:iCs/>
          <w:color w:val="000000" w:themeColor="text1"/>
          <w:sz w:val="22"/>
          <w:szCs w:val="22"/>
        </w:rPr>
        <w:t xml:space="preserve"> a practical guide</w:t>
      </w:r>
      <w:r w:rsidRPr="00503363">
        <w:rPr>
          <w:rFonts w:ascii="Arial" w:hAnsi="Arial" w:cs="Arial"/>
          <w:color w:val="000000" w:themeColor="text1"/>
          <w:sz w:val="22"/>
          <w:szCs w:val="22"/>
          <w:shd w:val="clear" w:color="auto" w:fill="FFFFFF"/>
        </w:rPr>
        <w:t>. Third edition. Maidenhead, England: McGraw -Hill Education/Open University Press.</w:t>
      </w:r>
    </w:p>
    <w:p w14:paraId="06FC464A" w14:textId="77777777"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Aveyard, H. (2023). </w:t>
      </w:r>
      <w:r w:rsidRPr="00503363">
        <w:rPr>
          <w:rFonts w:ascii="Arial" w:hAnsi="Arial" w:cs="Arial"/>
          <w:i/>
          <w:iCs/>
          <w:color w:val="000000" w:themeColor="text1"/>
          <w:sz w:val="22"/>
          <w:szCs w:val="22"/>
        </w:rPr>
        <w:t>Doing a Literature Review in Health and Social Care: A Practical Guide 5e</w:t>
      </w:r>
      <w:r w:rsidRPr="00503363">
        <w:rPr>
          <w:rFonts w:ascii="Arial" w:hAnsi="Arial" w:cs="Arial"/>
          <w:color w:val="000000" w:themeColor="text1"/>
          <w:sz w:val="22"/>
          <w:szCs w:val="22"/>
        </w:rPr>
        <w:t xml:space="preserve">. </w:t>
      </w:r>
      <w:r w:rsidRPr="00503363">
        <w:rPr>
          <w:rFonts w:ascii="Arial" w:hAnsi="Arial" w:cs="Arial"/>
          <w:i/>
          <w:iCs/>
          <w:color w:val="000000" w:themeColor="text1"/>
          <w:sz w:val="22"/>
          <w:szCs w:val="22"/>
        </w:rPr>
        <w:t>Google Books</w:t>
      </w:r>
      <w:r w:rsidRPr="00503363">
        <w:rPr>
          <w:rFonts w:ascii="Arial" w:hAnsi="Arial" w:cs="Arial"/>
          <w:color w:val="000000" w:themeColor="text1"/>
          <w:sz w:val="22"/>
          <w:szCs w:val="22"/>
        </w:rPr>
        <w:t xml:space="preserve">. McGraw-Hill Education (UK). Available at: </w:t>
      </w:r>
      <w:hyperlink r:id="rId12" w:history="1">
        <w:r w:rsidRPr="00503363">
          <w:rPr>
            <w:rStyle w:val="Hyperlink"/>
            <w:rFonts w:ascii="Arial" w:hAnsi="Arial" w:cs="Arial"/>
            <w:color w:val="000000" w:themeColor="text1"/>
            <w:sz w:val="22"/>
            <w:szCs w:val="22"/>
          </w:rPr>
          <w:t>https://books.google.co.uk/books?hl=en&amp;lr=&amp;id=65W1EAAAQBAJ&amp;oi=fnd&amp;pg=PR11&amp;dq=Aveyard</w:t>
        </w:r>
      </w:hyperlink>
      <w:r w:rsidRPr="00503363">
        <w:rPr>
          <w:rFonts w:ascii="Arial" w:hAnsi="Arial" w:cs="Arial"/>
          <w:color w:val="000000" w:themeColor="text1"/>
          <w:sz w:val="22"/>
          <w:szCs w:val="22"/>
        </w:rPr>
        <w:t xml:space="preserve"> (Accessed 12 Sep. 2025).</w:t>
      </w:r>
    </w:p>
    <w:p w14:paraId="49D0B3B5" w14:textId="48A542B0"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Bambra, C., Lynch, J. &amp; Smith, K. E. (2020). </w:t>
      </w:r>
      <w:r w:rsidRPr="00503363">
        <w:rPr>
          <w:rFonts w:ascii="Arial" w:hAnsi="Arial" w:cs="Arial"/>
          <w:i/>
          <w:iCs/>
          <w:color w:val="000000" w:themeColor="text1"/>
          <w:sz w:val="22"/>
          <w:szCs w:val="22"/>
        </w:rPr>
        <w:t>The Unequal Pandemic: COVID-19 and Health Inequalities.</w:t>
      </w:r>
      <w:r w:rsidRPr="00503363">
        <w:rPr>
          <w:rFonts w:ascii="Arial" w:hAnsi="Arial" w:cs="Arial"/>
          <w:color w:val="000000" w:themeColor="text1"/>
          <w:sz w:val="22"/>
          <w:szCs w:val="22"/>
        </w:rPr>
        <w:t> Bristol: Policy Press.</w:t>
      </w:r>
      <w:r w:rsidRPr="00503363">
        <w:rPr>
          <w:rFonts w:ascii="Arial" w:hAnsi="Arial" w:cs="Arial"/>
          <w:color w:val="000000" w:themeColor="text1"/>
          <w:sz w:val="22"/>
          <w:szCs w:val="22"/>
        </w:rPr>
        <w:br/>
        <w:t>Available at: </w:t>
      </w:r>
      <w:hyperlink r:id="rId13" w:tgtFrame="_new" w:history="1">
        <w:r w:rsidRPr="00503363">
          <w:rPr>
            <w:rFonts w:ascii="Arial" w:hAnsi="Arial" w:cs="Arial"/>
            <w:color w:val="000000" w:themeColor="text1"/>
            <w:sz w:val="22"/>
            <w:szCs w:val="22"/>
            <w:u w:val="single"/>
          </w:rPr>
          <w:t>https://policy.bristoluniversitypress.co.uk/the-unequal-pandemic</w:t>
        </w:r>
      </w:hyperlink>
      <w:r w:rsidRPr="00503363">
        <w:rPr>
          <w:rFonts w:ascii="Arial" w:hAnsi="Arial" w:cs="Arial"/>
          <w:color w:val="000000" w:themeColor="text1"/>
          <w:sz w:val="22"/>
          <w:szCs w:val="22"/>
        </w:rPr>
        <w:t> (Accessed 12 Sep. 2025).</w:t>
      </w:r>
    </w:p>
    <w:p w14:paraId="1FB5D2FB" w14:textId="77777777"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Becker, H. (1963). </w:t>
      </w:r>
      <w:r w:rsidRPr="00503363">
        <w:rPr>
          <w:rFonts w:ascii="Arial" w:hAnsi="Arial" w:cs="Arial"/>
          <w:i/>
          <w:iCs/>
          <w:color w:val="000000" w:themeColor="text1"/>
          <w:sz w:val="22"/>
          <w:szCs w:val="22"/>
        </w:rPr>
        <w:t xml:space="preserve">Outsiders: Studies </w:t>
      </w:r>
      <w:proofErr w:type="gramStart"/>
      <w:r w:rsidRPr="00503363">
        <w:rPr>
          <w:rFonts w:ascii="Arial" w:hAnsi="Arial" w:cs="Arial"/>
          <w:i/>
          <w:iCs/>
          <w:color w:val="000000" w:themeColor="text1"/>
          <w:sz w:val="22"/>
          <w:szCs w:val="22"/>
        </w:rPr>
        <w:t>In</w:t>
      </w:r>
      <w:proofErr w:type="gramEnd"/>
      <w:r w:rsidRPr="00503363">
        <w:rPr>
          <w:rFonts w:ascii="Arial" w:hAnsi="Arial" w:cs="Arial"/>
          <w:i/>
          <w:iCs/>
          <w:color w:val="000000" w:themeColor="text1"/>
          <w:sz w:val="22"/>
          <w:szCs w:val="22"/>
        </w:rPr>
        <w:t xml:space="preserve"> The Sociology Of Deviance</w:t>
      </w:r>
      <w:r w:rsidRPr="00503363">
        <w:rPr>
          <w:rFonts w:ascii="Arial" w:hAnsi="Arial" w:cs="Arial"/>
          <w:color w:val="000000" w:themeColor="text1"/>
          <w:sz w:val="22"/>
          <w:szCs w:val="22"/>
        </w:rPr>
        <w:t xml:space="preserve">. New York: The Free Press. Available at: </w:t>
      </w:r>
      <w:hyperlink r:id="rId14" w:history="1">
        <w:r w:rsidRPr="00503363">
          <w:rPr>
            <w:rStyle w:val="Hyperlink"/>
            <w:rFonts w:ascii="Arial" w:hAnsi="Arial" w:cs="Arial"/>
            <w:color w:val="000000" w:themeColor="text1"/>
            <w:sz w:val="22"/>
            <w:szCs w:val="22"/>
          </w:rPr>
          <w:t>https://monoskop.org/images/2/2b/Becker_Howard_Outsiders_Studies_In_The_Sociogy_Of_Deviance_1963.pdf</w:t>
        </w:r>
      </w:hyperlink>
      <w:r w:rsidRPr="00503363">
        <w:rPr>
          <w:rFonts w:ascii="Arial" w:hAnsi="Arial" w:cs="Arial"/>
          <w:color w:val="000000" w:themeColor="text1"/>
          <w:sz w:val="22"/>
          <w:szCs w:val="22"/>
        </w:rPr>
        <w:t>. (Accessed 02 Sep. 2025).</w:t>
      </w:r>
    </w:p>
    <w:p w14:paraId="00B35597" w14:textId="3FC26552"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 xml:space="preserve">Berridge, V. (2013). </w:t>
      </w:r>
      <w:r w:rsidRPr="00503363">
        <w:rPr>
          <w:rFonts w:ascii="Arial" w:hAnsi="Arial" w:cs="Arial"/>
          <w:i/>
          <w:iCs/>
          <w:color w:val="000000" w:themeColor="text1"/>
          <w:sz w:val="22"/>
          <w:szCs w:val="22"/>
        </w:rPr>
        <w:t>Demons: Our Changing Attitudes to Alcohol</w:t>
      </w:r>
      <w:r w:rsidRPr="00503363">
        <w:rPr>
          <w:rFonts w:ascii="Arial" w:hAnsi="Arial" w:cs="Arial"/>
          <w:color w:val="000000" w:themeColor="text1"/>
          <w:sz w:val="22"/>
          <w:szCs w:val="22"/>
        </w:rPr>
        <w:t>, Tobacco, and Drugs. Oxford: Oxford University Press. doi:10.1093/</w:t>
      </w:r>
      <w:proofErr w:type="gramStart"/>
      <w:r w:rsidRPr="00503363">
        <w:rPr>
          <w:rFonts w:ascii="Arial" w:hAnsi="Arial" w:cs="Arial"/>
          <w:color w:val="000000" w:themeColor="text1"/>
          <w:sz w:val="22"/>
          <w:szCs w:val="22"/>
        </w:rPr>
        <w:t>acprof:oso</w:t>
      </w:r>
      <w:proofErr w:type="gramEnd"/>
      <w:r w:rsidRPr="00503363">
        <w:rPr>
          <w:rFonts w:ascii="Arial" w:hAnsi="Arial" w:cs="Arial"/>
          <w:color w:val="000000" w:themeColor="text1"/>
          <w:sz w:val="22"/>
          <w:szCs w:val="22"/>
        </w:rPr>
        <w:t xml:space="preserve">/9780199604982.001.0001. Available at: </w:t>
      </w:r>
      <w:hyperlink r:id="rId15" w:history="1">
        <w:r w:rsidRPr="00503363">
          <w:rPr>
            <w:rStyle w:val="Hyperlink"/>
            <w:rFonts w:ascii="Arial" w:hAnsi="Arial" w:cs="Arial"/>
            <w:color w:val="000000" w:themeColor="text1"/>
            <w:sz w:val="22"/>
            <w:szCs w:val="22"/>
          </w:rPr>
          <w:t>https://academic.oup.com/book/9780199604982</w:t>
        </w:r>
      </w:hyperlink>
      <w:r w:rsidRPr="00503363">
        <w:rPr>
          <w:rFonts w:ascii="Arial" w:hAnsi="Arial" w:cs="Arial"/>
          <w:color w:val="000000" w:themeColor="text1"/>
          <w:sz w:val="22"/>
          <w:szCs w:val="22"/>
        </w:rPr>
        <w:t xml:space="preserve"> (Accessed: 6 Aug. 2025).</w:t>
      </w:r>
    </w:p>
    <w:p w14:paraId="1A40E450" w14:textId="77777777"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Black, D.C. (2021). </w:t>
      </w:r>
      <w:r w:rsidRPr="00503363">
        <w:rPr>
          <w:rFonts w:ascii="Arial" w:hAnsi="Arial" w:cs="Arial"/>
          <w:i/>
          <w:iCs/>
          <w:color w:val="000000" w:themeColor="text1"/>
          <w:sz w:val="22"/>
          <w:szCs w:val="22"/>
        </w:rPr>
        <w:t xml:space="preserve">Dame Carol Black’s Independent Review of Drugs Review of drugs part two: prevention, </w:t>
      </w:r>
      <w:proofErr w:type="gramStart"/>
      <w:r w:rsidRPr="00503363">
        <w:rPr>
          <w:rFonts w:ascii="Arial" w:hAnsi="Arial" w:cs="Arial"/>
          <w:i/>
          <w:iCs/>
          <w:color w:val="000000" w:themeColor="text1"/>
          <w:sz w:val="22"/>
          <w:szCs w:val="22"/>
        </w:rPr>
        <w:t>treatment</w:t>
      </w:r>
      <w:proofErr w:type="gramEnd"/>
      <w:r w:rsidRPr="00503363">
        <w:rPr>
          <w:rFonts w:ascii="Arial" w:hAnsi="Arial" w:cs="Arial"/>
          <w:i/>
          <w:iCs/>
          <w:color w:val="000000" w:themeColor="text1"/>
          <w:sz w:val="22"/>
          <w:szCs w:val="22"/>
        </w:rPr>
        <w:t xml:space="preserve"> and recovery: annexes Dame Carol Black</w:t>
      </w:r>
      <w:r w:rsidRPr="00503363">
        <w:rPr>
          <w:rFonts w:ascii="Arial" w:hAnsi="Arial" w:cs="Arial"/>
          <w:color w:val="000000" w:themeColor="text1"/>
          <w:sz w:val="22"/>
          <w:szCs w:val="22"/>
        </w:rPr>
        <w:t xml:space="preserve">. Available at: </w:t>
      </w:r>
      <w:hyperlink r:id="rId16" w:history="1">
        <w:r w:rsidRPr="00503363">
          <w:rPr>
            <w:rStyle w:val="Hyperlink"/>
            <w:rFonts w:ascii="Arial" w:hAnsi="Arial" w:cs="Arial"/>
            <w:color w:val="000000" w:themeColor="text1"/>
            <w:sz w:val="22"/>
            <w:szCs w:val="22"/>
          </w:rPr>
          <w:t>https://assets.publishing.service.gov.uk/media/60eef5588fa8f50c768386fd/independent-review-of-drugs-part-2-annexes.pdf</w:t>
        </w:r>
      </w:hyperlink>
      <w:r w:rsidRPr="00503363">
        <w:rPr>
          <w:rFonts w:ascii="Arial" w:hAnsi="Arial" w:cs="Arial"/>
          <w:color w:val="000000" w:themeColor="text1"/>
          <w:sz w:val="22"/>
          <w:szCs w:val="22"/>
        </w:rPr>
        <w:t>. (Accessed: 6 Sep. 2025).</w:t>
      </w:r>
    </w:p>
    <w:p w14:paraId="5736FA72" w14:textId="7D5AAA36"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Blakeslee, S. (2004). </w:t>
      </w:r>
      <w:r w:rsidRPr="00503363">
        <w:rPr>
          <w:rFonts w:ascii="Arial" w:hAnsi="Arial" w:cs="Arial"/>
          <w:i/>
          <w:iCs/>
          <w:color w:val="000000" w:themeColor="text1"/>
          <w:sz w:val="22"/>
          <w:szCs w:val="22"/>
        </w:rPr>
        <w:t>The CRAAP Test: Evaluating Sources for Credibility.</w:t>
      </w:r>
      <w:r w:rsidRPr="00503363">
        <w:rPr>
          <w:rFonts w:ascii="Arial" w:hAnsi="Arial" w:cs="Arial"/>
          <w:color w:val="000000" w:themeColor="text1"/>
          <w:sz w:val="22"/>
          <w:szCs w:val="22"/>
        </w:rPr>
        <w:t> California State University, Chico. Available at: </w:t>
      </w:r>
      <w:hyperlink r:id="rId17" w:tgtFrame="_new" w:history="1">
        <w:r w:rsidRPr="00503363">
          <w:rPr>
            <w:rFonts w:ascii="Arial" w:hAnsi="Arial" w:cs="Arial"/>
            <w:color w:val="000000" w:themeColor="text1"/>
            <w:sz w:val="22"/>
            <w:szCs w:val="22"/>
            <w:u w:val="single"/>
          </w:rPr>
          <w:t>https://library.csuchico.edu/sites/default/files/craap-test.pdf</w:t>
        </w:r>
      </w:hyperlink>
      <w:r w:rsidRPr="00503363">
        <w:rPr>
          <w:rFonts w:ascii="Arial" w:hAnsi="Arial" w:cs="Arial"/>
          <w:color w:val="000000" w:themeColor="text1"/>
          <w:sz w:val="22"/>
          <w:szCs w:val="22"/>
        </w:rPr>
        <w:t> (Accessed: 6 Sep. 2025).</w:t>
      </w:r>
    </w:p>
    <w:p w14:paraId="2CDD1BEF" w14:textId="072CA808" w:rsidR="00503363" w:rsidRPr="00503363" w:rsidRDefault="00503363" w:rsidP="00503363">
      <w:pPr>
        <w:spacing w:before="100" w:beforeAutospacing="1" w:after="100" w:afterAutospacing="1" w:line="360" w:lineRule="auto"/>
        <w:rPr>
          <w:rFonts w:ascii="Arial" w:hAnsi="Arial" w:cs="Arial"/>
          <w:color w:val="000000" w:themeColor="text1"/>
          <w:sz w:val="22"/>
          <w:szCs w:val="22"/>
        </w:rPr>
      </w:pPr>
      <w:r w:rsidRPr="00503363">
        <w:rPr>
          <w:rFonts w:ascii="Arial" w:hAnsi="Arial" w:cs="Arial"/>
          <w:color w:val="000000" w:themeColor="text1"/>
          <w:sz w:val="22"/>
          <w:szCs w:val="22"/>
          <w:shd w:val="clear" w:color="auto" w:fill="FFFFFF"/>
        </w:rPr>
        <w:t>Boland, A.</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et al.</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color w:val="000000" w:themeColor="text1"/>
          <w:sz w:val="22"/>
          <w:szCs w:val="22"/>
          <w:shd w:val="clear" w:color="auto" w:fill="FFFFFF"/>
        </w:rPr>
        <w:t>(2020) ‘Doing A Systematic Review: A Student’s Guide’,</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International coaching psychology review</w:t>
      </w:r>
      <w:r w:rsidRPr="00503363">
        <w:rPr>
          <w:rFonts w:ascii="Arial" w:hAnsi="Arial" w:cs="Arial"/>
          <w:color w:val="000000" w:themeColor="text1"/>
          <w:sz w:val="22"/>
          <w:szCs w:val="22"/>
          <w:shd w:val="clear" w:color="auto" w:fill="FFFFFF"/>
        </w:rPr>
        <w:t xml:space="preserve">. Leicester: British Psychological Society, pp. 119–120. Available at: </w:t>
      </w:r>
      <w:hyperlink r:id="rId18" w:history="1">
        <w:r w:rsidRPr="00503363">
          <w:rPr>
            <w:rStyle w:val="Hyperlink"/>
            <w:rFonts w:ascii="Arial" w:hAnsi="Arial" w:cs="Arial"/>
            <w:color w:val="000000" w:themeColor="text1"/>
            <w:sz w:val="22"/>
            <w:szCs w:val="22"/>
            <w:shd w:val="clear" w:color="auto" w:fill="FFFFFF"/>
          </w:rPr>
          <w:t>https://doi.org/10.53841/bpsicpr.2020.15.2.119</w:t>
        </w:r>
      </w:hyperlink>
      <w:r w:rsidRPr="00503363">
        <w:rPr>
          <w:rFonts w:ascii="Arial" w:hAnsi="Arial" w:cs="Arial"/>
          <w:color w:val="000000" w:themeColor="text1"/>
          <w:sz w:val="22"/>
          <w:szCs w:val="22"/>
          <w:shd w:val="clear" w:color="auto" w:fill="FFFFFF"/>
        </w:rPr>
        <w:t xml:space="preserve">. </w:t>
      </w:r>
      <w:r w:rsidRPr="00503363">
        <w:rPr>
          <w:rFonts w:ascii="Arial" w:hAnsi="Arial" w:cs="Arial"/>
          <w:color w:val="000000" w:themeColor="text1"/>
          <w:sz w:val="22"/>
          <w:szCs w:val="22"/>
        </w:rPr>
        <w:br/>
        <w:t>Boland, A., Cherry, M. and Dickson, R., (2017). </w:t>
      </w:r>
      <w:r w:rsidRPr="00503363">
        <w:rPr>
          <w:rFonts w:ascii="Arial" w:hAnsi="Arial" w:cs="Arial"/>
          <w:i/>
          <w:iCs/>
          <w:color w:val="000000" w:themeColor="text1"/>
          <w:sz w:val="22"/>
          <w:szCs w:val="22"/>
        </w:rPr>
        <w:t xml:space="preserve">Doing a Systematic Review: A Student’s </w:t>
      </w:r>
      <w:r w:rsidRPr="00503363">
        <w:rPr>
          <w:rFonts w:ascii="Arial" w:hAnsi="Arial" w:cs="Arial"/>
          <w:i/>
          <w:iCs/>
          <w:color w:val="000000" w:themeColor="text1"/>
          <w:sz w:val="22"/>
          <w:szCs w:val="22"/>
        </w:rPr>
        <w:lastRenderedPageBreak/>
        <w:t>Guide.</w:t>
      </w:r>
      <w:r w:rsidRPr="00503363">
        <w:rPr>
          <w:rFonts w:ascii="Arial" w:hAnsi="Arial" w:cs="Arial"/>
          <w:color w:val="000000" w:themeColor="text1"/>
          <w:sz w:val="22"/>
          <w:szCs w:val="22"/>
        </w:rPr>
        <w:t xml:space="preserve"> 2nd ed. Available at: </w:t>
      </w:r>
      <w:hyperlink r:id="rId19" w:anchor="v=onepage&amp;q&amp;f=false" w:history="1">
        <w:r w:rsidRPr="00503363">
          <w:rPr>
            <w:rStyle w:val="Hyperlink"/>
            <w:rFonts w:ascii="Arial" w:hAnsi="Arial" w:cs="Arial"/>
            <w:color w:val="000000" w:themeColor="text1"/>
            <w:sz w:val="22"/>
            <w:szCs w:val="22"/>
          </w:rPr>
          <w:t>https://books.google.co.uk/books?hl=en&amp;lr=&amp;id=Zpc3DwAAQBAJ&amp;oi=fnd&amp;pg=PP1&amp;dq=Doing+a+Systematic+Review:+A+Student’s+Guide.+2nd+ed.&amp;ots=KjI78ALSA5&amp;sig=URTqa_rqi5W6MNNWmUbT6vimRHY&amp;redir_esc=y#v=onepage&amp;q&amp;f=false</w:t>
        </w:r>
      </w:hyperlink>
      <w:r w:rsidRPr="00503363">
        <w:rPr>
          <w:rFonts w:ascii="Arial" w:hAnsi="Arial" w:cs="Arial"/>
          <w:color w:val="000000" w:themeColor="text1"/>
          <w:sz w:val="22"/>
          <w:szCs w:val="22"/>
        </w:rPr>
        <w:t xml:space="preserve"> (Accessed: 20 June 2025).</w:t>
      </w:r>
      <w:r w:rsidRPr="00503363">
        <w:rPr>
          <w:rFonts w:ascii="Arial" w:hAnsi="Arial" w:cs="Arial"/>
          <w:color w:val="000000" w:themeColor="text1"/>
          <w:sz w:val="22"/>
          <w:szCs w:val="22"/>
        </w:rPr>
        <w:br/>
        <w:t>Booth, A., Sutton, A. and Papaioannou, D., (2016). </w:t>
      </w:r>
      <w:r w:rsidRPr="00503363">
        <w:rPr>
          <w:rFonts w:ascii="Arial" w:hAnsi="Arial" w:cs="Arial"/>
          <w:i/>
          <w:iCs/>
          <w:color w:val="000000" w:themeColor="text1"/>
          <w:sz w:val="22"/>
          <w:szCs w:val="22"/>
        </w:rPr>
        <w:t>Systematic Approaches to a Successful Literature Review.</w:t>
      </w:r>
      <w:r w:rsidRPr="00503363">
        <w:rPr>
          <w:rFonts w:ascii="Arial" w:hAnsi="Arial" w:cs="Arial"/>
          <w:color w:val="000000" w:themeColor="text1"/>
          <w:sz w:val="22"/>
          <w:szCs w:val="22"/>
        </w:rPr>
        <w:t> 2nd ed. London: SAGE.</w:t>
      </w:r>
    </w:p>
    <w:p w14:paraId="149C9E76" w14:textId="2957EAF2" w:rsidR="00503363" w:rsidRPr="00503363" w:rsidRDefault="00503363" w:rsidP="00503363">
      <w:pPr>
        <w:spacing w:before="100" w:beforeAutospacing="1" w:after="100" w:afterAutospacing="1" w:line="360" w:lineRule="auto"/>
        <w:rPr>
          <w:rFonts w:ascii="Arial" w:hAnsi="Arial" w:cs="Arial"/>
          <w:color w:val="000000" w:themeColor="text1"/>
          <w:sz w:val="22"/>
          <w:szCs w:val="22"/>
        </w:rPr>
      </w:pPr>
      <w:r w:rsidRPr="00503363">
        <w:rPr>
          <w:rFonts w:ascii="Arial" w:hAnsi="Arial" w:cs="Arial"/>
          <w:color w:val="000000" w:themeColor="text1"/>
          <w:sz w:val="22"/>
          <w:szCs w:val="22"/>
          <w:shd w:val="clear" w:color="auto" w:fill="FFFFFF"/>
        </w:rPr>
        <w:t>Braun, V. and Clarke, V. (2006) ‘Using thematic analysis in psychology’,</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Qualitative research in psychology</w:t>
      </w:r>
      <w:r w:rsidRPr="00503363">
        <w:rPr>
          <w:rFonts w:ascii="Arial" w:hAnsi="Arial" w:cs="Arial"/>
          <w:color w:val="000000" w:themeColor="text1"/>
          <w:sz w:val="22"/>
          <w:szCs w:val="22"/>
          <w:shd w:val="clear" w:color="auto" w:fill="FFFFFF"/>
        </w:rPr>
        <w:t xml:space="preserve">, 3(2), pp. 77–101. Available at: </w:t>
      </w:r>
      <w:hyperlink r:id="rId20" w:history="1">
        <w:r w:rsidRPr="00503363">
          <w:rPr>
            <w:rStyle w:val="Hyperlink"/>
            <w:rFonts w:ascii="Arial" w:hAnsi="Arial" w:cs="Arial"/>
            <w:color w:val="000000" w:themeColor="text1"/>
            <w:sz w:val="22"/>
            <w:szCs w:val="22"/>
            <w:shd w:val="clear" w:color="auto" w:fill="FFFFFF"/>
          </w:rPr>
          <w:t>https://doi.org/10.1191/1478088706qp063oa</w:t>
        </w:r>
      </w:hyperlink>
      <w:r w:rsidRPr="00503363">
        <w:rPr>
          <w:rFonts w:ascii="Arial" w:hAnsi="Arial" w:cs="Arial"/>
          <w:color w:val="000000" w:themeColor="text1"/>
          <w:sz w:val="22"/>
          <w:szCs w:val="22"/>
          <w:shd w:val="clear" w:color="auto" w:fill="FFFFFF"/>
        </w:rPr>
        <w:t xml:space="preserve">. </w:t>
      </w:r>
      <w:r w:rsidRPr="00503363">
        <w:rPr>
          <w:rFonts w:ascii="Arial" w:hAnsi="Arial" w:cs="Arial"/>
          <w:color w:val="000000" w:themeColor="text1"/>
          <w:sz w:val="22"/>
          <w:szCs w:val="22"/>
        </w:rPr>
        <w:br/>
        <w:t>Braun, V. and Clarke, V., (2022). </w:t>
      </w:r>
      <w:r w:rsidRPr="00503363">
        <w:rPr>
          <w:rFonts w:ascii="Arial" w:hAnsi="Arial" w:cs="Arial"/>
          <w:i/>
          <w:iCs/>
          <w:color w:val="000000" w:themeColor="text1"/>
          <w:sz w:val="22"/>
          <w:szCs w:val="22"/>
        </w:rPr>
        <w:t>Thematic Analysis: A Practical Guide.</w:t>
      </w:r>
      <w:r w:rsidRPr="00503363">
        <w:rPr>
          <w:rFonts w:ascii="Arial" w:hAnsi="Arial" w:cs="Arial"/>
          <w:color w:val="000000" w:themeColor="text1"/>
          <w:sz w:val="22"/>
          <w:szCs w:val="22"/>
        </w:rPr>
        <w:t> </w:t>
      </w:r>
      <w:r w:rsidRPr="00503363">
        <w:rPr>
          <w:rFonts w:ascii="Arial" w:hAnsi="Arial" w:cs="Arial"/>
          <w:color w:val="000000" w:themeColor="text1"/>
          <w:sz w:val="22"/>
          <w:szCs w:val="22"/>
          <w:shd w:val="clear" w:color="auto" w:fill="FFFFFF"/>
        </w:rPr>
        <w:t xml:space="preserve">Available at: </w:t>
      </w:r>
      <w:hyperlink r:id="rId21" w:history="1">
        <w:r w:rsidRPr="00503363">
          <w:rPr>
            <w:rStyle w:val="Hyperlink"/>
            <w:rFonts w:ascii="Arial" w:hAnsi="Arial" w:cs="Arial"/>
            <w:color w:val="000000" w:themeColor="text1"/>
            <w:sz w:val="22"/>
            <w:szCs w:val="22"/>
            <w:shd w:val="clear" w:color="auto" w:fill="FFFFFF"/>
          </w:rPr>
          <w:t>https://www.researchgate.net/profile/David-Morgan-43/post/How_to_teach_and_or_supervise_qualitatve_data_analysis/attachment/5d448bd33843b0b9825d91e4/AS%3A787530584698880%401564773331825/download/Braun+12+APA+Handbook.pdf</w:t>
        </w:r>
      </w:hyperlink>
      <w:r w:rsidRPr="00503363">
        <w:rPr>
          <w:rFonts w:ascii="Arial" w:hAnsi="Arial" w:cs="Arial"/>
          <w:color w:val="000000" w:themeColor="text1"/>
          <w:sz w:val="22"/>
          <w:szCs w:val="22"/>
          <w:shd w:val="clear" w:color="auto" w:fill="FFFFFF"/>
        </w:rPr>
        <w:t xml:space="preserve"> </w:t>
      </w:r>
      <w:r w:rsidRPr="00503363">
        <w:rPr>
          <w:rFonts w:ascii="Arial" w:hAnsi="Arial" w:cs="Arial"/>
          <w:color w:val="000000" w:themeColor="text1"/>
          <w:sz w:val="22"/>
          <w:szCs w:val="22"/>
        </w:rPr>
        <w:t>(Accessed: 6 Sep. 2025).</w:t>
      </w:r>
    </w:p>
    <w:p w14:paraId="5777D90D"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shd w:val="clear" w:color="auto" w:fill="FFFFFF"/>
        </w:rPr>
        <w:t xml:space="preserve">BROWN, P.J., STOUT, R.L. and GANNON-ROWLEY, J. (1998) ‘Substance use disorder-PTSD </w:t>
      </w:r>
      <w:proofErr w:type="gramStart"/>
      <w:r w:rsidRPr="00503363">
        <w:rPr>
          <w:rFonts w:ascii="Arial" w:hAnsi="Arial" w:cs="Arial"/>
          <w:color w:val="000000" w:themeColor="text1"/>
          <w:sz w:val="22"/>
          <w:szCs w:val="22"/>
          <w:shd w:val="clear" w:color="auto" w:fill="FFFFFF"/>
        </w:rPr>
        <w:t>comorbidity :</w:t>
      </w:r>
      <w:proofErr w:type="gramEnd"/>
      <w:r w:rsidRPr="00503363">
        <w:rPr>
          <w:rFonts w:ascii="Arial" w:hAnsi="Arial" w:cs="Arial"/>
          <w:color w:val="000000" w:themeColor="text1"/>
          <w:sz w:val="22"/>
          <w:szCs w:val="22"/>
          <w:shd w:val="clear" w:color="auto" w:fill="FFFFFF"/>
        </w:rPr>
        <w:t xml:space="preserve"> Patients’ perceptions of symptom interplay and treatment issues’,</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Journal of substance abuse treatment</w:t>
      </w:r>
      <w:r w:rsidRPr="00503363">
        <w:rPr>
          <w:rFonts w:ascii="Arial" w:hAnsi="Arial" w:cs="Arial"/>
          <w:color w:val="000000" w:themeColor="text1"/>
          <w:sz w:val="22"/>
          <w:szCs w:val="22"/>
          <w:shd w:val="clear" w:color="auto" w:fill="FFFFFF"/>
        </w:rPr>
        <w:t xml:space="preserve">, 15(5), pp. 445–448. Available at: </w:t>
      </w:r>
      <w:hyperlink r:id="rId22" w:history="1">
        <w:r w:rsidRPr="00503363">
          <w:rPr>
            <w:rStyle w:val="Hyperlink"/>
            <w:rFonts w:ascii="Arial" w:hAnsi="Arial" w:cs="Arial"/>
            <w:color w:val="000000" w:themeColor="text1"/>
            <w:sz w:val="22"/>
            <w:szCs w:val="22"/>
            <w:shd w:val="clear" w:color="auto" w:fill="FFFFFF"/>
          </w:rPr>
          <w:t>https://doi.org/10.1016/S0740-5472(97)00286-9</w:t>
        </w:r>
      </w:hyperlink>
      <w:r w:rsidRPr="00503363">
        <w:rPr>
          <w:rFonts w:ascii="Arial" w:hAnsi="Arial" w:cs="Arial"/>
          <w:color w:val="000000" w:themeColor="text1"/>
          <w:sz w:val="22"/>
          <w:szCs w:val="22"/>
          <w:shd w:val="clear" w:color="auto" w:fill="FFFFFF"/>
        </w:rPr>
        <w:t xml:space="preserve">. </w:t>
      </w:r>
    </w:p>
    <w:p w14:paraId="2BCEACCD"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shd w:val="clear" w:color="auto" w:fill="FFFFFF"/>
        </w:rPr>
        <w:t xml:space="preserve">Clark, I. (2016) ‘Book Review: </w:t>
      </w:r>
      <w:r w:rsidRPr="00503363">
        <w:rPr>
          <w:rFonts w:ascii="Arial" w:hAnsi="Arial" w:cs="Arial"/>
          <w:i/>
          <w:iCs/>
          <w:color w:val="000000" w:themeColor="text1"/>
          <w:sz w:val="22"/>
          <w:szCs w:val="22"/>
          <w:shd w:val="clear" w:color="auto" w:fill="FFFFFF"/>
        </w:rPr>
        <w:t>Systematic Approaches to a Successful Literature Review</w:t>
      </w:r>
      <w:r w:rsidRPr="00503363">
        <w:rPr>
          <w:rFonts w:ascii="Arial" w:hAnsi="Arial" w:cs="Arial"/>
          <w:color w:val="000000" w:themeColor="text1"/>
          <w:sz w:val="22"/>
          <w:szCs w:val="22"/>
          <w:shd w:val="clear" w:color="auto" w:fill="FFFFFF"/>
        </w:rPr>
        <w:t xml:space="preserve">’. School of Psychology, University of East London. Available at: </w:t>
      </w:r>
      <w:hyperlink r:id="rId23" w:history="1">
        <w:r w:rsidRPr="00503363">
          <w:rPr>
            <w:rStyle w:val="Hyperlink"/>
            <w:rFonts w:ascii="Arial" w:hAnsi="Arial" w:cs="Arial"/>
            <w:color w:val="000000" w:themeColor="text1"/>
            <w:sz w:val="22"/>
            <w:szCs w:val="22"/>
            <w:shd w:val="clear" w:color="auto" w:fill="FFFFFF"/>
          </w:rPr>
          <w:t>https://doi.org/10.15123/uel.84y7v</w:t>
        </w:r>
      </w:hyperlink>
      <w:r w:rsidRPr="00503363">
        <w:rPr>
          <w:rFonts w:ascii="Arial" w:hAnsi="Arial" w:cs="Arial"/>
          <w:color w:val="000000" w:themeColor="text1"/>
          <w:sz w:val="22"/>
          <w:szCs w:val="22"/>
          <w:shd w:val="clear" w:color="auto" w:fill="FFFFFF"/>
        </w:rPr>
        <w:t xml:space="preserve">. </w:t>
      </w:r>
    </w:p>
    <w:p w14:paraId="0815868B" w14:textId="77777777"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Clarke, V. and Braun, V. (2017). Thematic Analysis. </w:t>
      </w:r>
      <w:r w:rsidRPr="00503363">
        <w:rPr>
          <w:rFonts w:ascii="Arial" w:hAnsi="Arial" w:cs="Arial"/>
          <w:i/>
          <w:iCs/>
          <w:color w:val="000000" w:themeColor="text1"/>
          <w:sz w:val="22"/>
          <w:szCs w:val="22"/>
        </w:rPr>
        <w:t>The Journal of Positive Psychology</w:t>
      </w:r>
      <w:r w:rsidRPr="00503363">
        <w:rPr>
          <w:rFonts w:ascii="Arial" w:hAnsi="Arial" w:cs="Arial"/>
          <w:color w:val="000000" w:themeColor="text1"/>
          <w:sz w:val="22"/>
          <w:szCs w:val="22"/>
        </w:rPr>
        <w:t xml:space="preserve">, 12(3), pp.297–298. Available at: </w:t>
      </w:r>
      <w:hyperlink r:id="rId24" w:history="1">
        <w:r w:rsidRPr="00503363">
          <w:rPr>
            <w:rStyle w:val="Hyperlink"/>
            <w:rFonts w:ascii="Arial" w:hAnsi="Arial" w:cs="Arial"/>
            <w:color w:val="000000" w:themeColor="text1"/>
            <w:sz w:val="22"/>
            <w:szCs w:val="22"/>
          </w:rPr>
          <w:t>https://doi.org/10.1080/17439760.2016.1262613</w:t>
        </w:r>
      </w:hyperlink>
      <w:r w:rsidRPr="00503363">
        <w:rPr>
          <w:rFonts w:ascii="Arial" w:hAnsi="Arial" w:cs="Arial"/>
          <w:color w:val="000000" w:themeColor="text1"/>
          <w:sz w:val="22"/>
          <w:szCs w:val="22"/>
        </w:rPr>
        <w:t xml:space="preserve">. </w:t>
      </w:r>
      <w:r w:rsidRPr="00503363">
        <w:rPr>
          <w:rFonts w:ascii="Arial" w:hAnsi="Arial" w:cs="Arial"/>
          <w:color w:val="000000" w:themeColor="text1"/>
          <w:sz w:val="22"/>
          <w:szCs w:val="22"/>
        </w:rPr>
        <w:br/>
        <w:t>Cottrell, S. (2017). </w:t>
      </w:r>
      <w:r w:rsidRPr="00503363">
        <w:rPr>
          <w:rFonts w:ascii="Arial" w:hAnsi="Arial" w:cs="Arial"/>
          <w:i/>
          <w:iCs/>
          <w:color w:val="000000" w:themeColor="text1"/>
          <w:sz w:val="22"/>
          <w:szCs w:val="22"/>
        </w:rPr>
        <w:t>Critical Thinking Skills: Developing Effective Analysis, Argument and Reflection.</w:t>
      </w:r>
      <w:r w:rsidRPr="00503363">
        <w:rPr>
          <w:rFonts w:ascii="Arial" w:hAnsi="Arial" w:cs="Arial"/>
          <w:color w:val="000000" w:themeColor="text1"/>
          <w:sz w:val="22"/>
          <w:szCs w:val="22"/>
        </w:rPr>
        <w:t> 3rd ed. London: Palgrave Macmillan. Available at: </w:t>
      </w:r>
      <w:hyperlink r:id="rId25" w:history="1">
        <w:r w:rsidRPr="00503363">
          <w:rPr>
            <w:rStyle w:val="Hyperlink"/>
            <w:rFonts w:ascii="Arial" w:hAnsi="Arial" w:cs="Arial"/>
            <w:color w:val="000000" w:themeColor="text1"/>
            <w:sz w:val="22"/>
            <w:szCs w:val="22"/>
          </w:rPr>
          <w:t>https://www.macmillanihe.com/page/detail/Critical-Thinking-Skills/?K=9781137550507</w:t>
        </w:r>
      </w:hyperlink>
      <w:r w:rsidRPr="00503363">
        <w:rPr>
          <w:rFonts w:ascii="Arial" w:hAnsi="Arial" w:cs="Arial"/>
          <w:color w:val="000000" w:themeColor="text1"/>
          <w:sz w:val="22"/>
          <w:szCs w:val="22"/>
        </w:rPr>
        <w:t xml:space="preserve"> (Accessed: 6 Nov. 2025).</w:t>
      </w:r>
    </w:p>
    <w:p w14:paraId="0F25EDD5" w14:textId="513562A0"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Creswell, J.W. and Poth, C.N. (2018). </w:t>
      </w:r>
      <w:r w:rsidRPr="00503363">
        <w:rPr>
          <w:rFonts w:ascii="Arial" w:hAnsi="Arial" w:cs="Arial"/>
          <w:i/>
          <w:iCs/>
          <w:color w:val="000000" w:themeColor="text1"/>
          <w:sz w:val="22"/>
          <w:szCs w:val="22"/>
        </w:rPr>
        <w:t xml:space="preserve">Creswell and Poth, 2018, </w:t>
      </w:r>
      <w:r w:rsidRPr="00503363">
        <w:rPr>
          <w:rStyle w:val="Emphasis"/>
          <w:rFonts w:ascii="Arial" w:hAnsi="Arial" w:cs="Arial"/>
          <w:color w:val="000000" w:themeColor="text1"/>
          <w:sz w:val="22"/>
          <w:szCs w:val="22"/>
        </w:rPr>
        <w:t>Qualitative Inquiry and Research Design: Choosing Among Five Approaches.</w:t>
      </w:r>
      <w:r w:rsidRPr="00503363">
        <w:rPr>
          <w:rStyle w:val="apple-converted-space"/>
          <w:rFonts w:ascii="Arial" w:hAnsi="Arial" w:cs="Arial"/>
          <w:color w:val="000000" w:themeColor="text1"/>
          <w:sz w:val="22"/>
          <w:szCs w:val="22"/>
        </w:rPr>
        <w:t> </w:t>
      </w:r>
      <w:r w:rsidRPr="00503363">
        <w:rPr>
          <w:rFonts w:ascii="Arial" w:hAnsi="Arial" w:cs="Arial"/>
          <w:color w:val="000000" w:themeColor="text1"/>
          <w:sz w:val="22"/>
          <w:szCs w:val="22"/>
        </w:rPr>
        <w:t xml:space="preserve">4th. Available at: </w:t>
      </w:r>
      <w:hyperlink r:id="rId26" w:history="1">
        <w:r w:rsidRPr="00503363">
          <w:rPr>
            <w:rStyle w:val="Hyperlink"/>
            <w:rFonts w:ascii="Arial" w:hAnsi="Arial" w:cs="Arial"/>
            <w:color w:val="000000" w:themeColor="text1"/>
            <w:sz w:val="22"/>
            <w:szCs w:val="22"/>
          </w:rPr>
          <w:t>https://pubhtml5.com/enuk/cykh/Creswell_and_Poth%2C_2018%2C_Qualitative_Inquiry_4th/</w:t>
        </w:r>
      </w:hyperlink>
      <w:r w:rsidRPr="00503363">
        <w:rPr>
          <w:rFonts w:ascii="Arial" w:hAnsi="Arial" w:cs="Arial"/>
          <w:color w:val="000000" w:themeColor="text1"/>
          <w:sz w:val="22"/>
          <w:szCs w:val="22"/>
        </w:rPr>
        <w:t>. (Accessed: 19 Aug. 2025).</w:t>
      </w:r>
    </w:p>
    <w:p w14:paraId="77D5E1D3" w14:textId="27E82025"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Dasgupta, N., Beletsky, L. &amp; Ciccarone, D., (2018). ‘Opioid crisis: No easy fix to its social and economic determinants.’ </w:t>
      </w:r>
      <w:r w:rsidRPr="00503363">
        <w:rPr>
          <w:rFonts w:ascii="Arial" w:hAnsi="Arial" w:cs="Arial"/>
          <w:i/>
          <w:iCs/>
          <w:color w:val="000000" w:themeColor="text1"/>
          <w:sz w:val="22"/>
          <w:szCs w:val="22"/>
        </w:rPr>
        <w:t>American Journal of Public Health</w:t>
      </w:r>
      <w:r w:rsidRPr="00503363">
        <w:rPr>
          <w:rFonts w:ascii="Arial" w:hAnsi="Arial" w:cs="Arial"/>
          <w:color w:val="000000" w:themeColor="text1"/>
          <w:sz w:val="22"/>
          <w:szCs w:val="22"/>
        </w:rPr>
        <w:t xml:space="preserve">, 108(2), pp.182-186. </w:t>
      </w:r>
      <w:r w:rsidRPr="00503363">
        <w:rPr>
          <w:rFonts w:ascii="Arial" w:hAnsi="Arial" w:cs="Arial"/>
          <w:color w:val="000000" w:themeColor="text1"/>
          <w:sz w:val="22"/>
          <w:szCs w:val="22"/>
        </w:rPr>
        <w:br/>
        <w:t>Available at: </w:t>
      </w:r>
      <w:hyperlink r:id="rId27" w:tgtFrame="_new" w:history="1">
        <w:r w:rsidRPr="00503363">
          <w:rPr>
            <w:rFonts w:ascii="Arial" w:hAnsi="Arial" w:cs="Arial"/>
            <w:color w:val="000000" w:themeColor="text1"/>
            <w:sz w:val="22"/>
            <w:szCs w:val="22"/>
            <w:u w:val="single"/>
          </w:rPr>
          <w:t>https://ajph.aphapublications.org/doi/full/10.2105/AJPH.2017.304187</w:t>
        </w:r>
      </w:hyperlink>
      <w:r w:rsidRPr="00503363">
        <w:rPr>
          <w:rFonts w:ascii="Arial" w:hAnsi="Arial" w:cs="Arial"/>
          <w:color w:val="000000" w:themeColor="text1"/>
          <w:sz w:val="22"/>
          <w:szCs w:val="22"/>
        </w:rPr>
        <w:t>. (Accessed: 19 Aug. 2025).</w:t>
      </w:r>
      <w:r w:rsidRPr="00503363">
        <w:rPr>
          <w:rFonts w:ascii="Arial" w:hAnsi="Arial" w:cs="Arial"/>
          <w:color w:val="000000" w:themeColor="text1"/>
          <w:sz w:val="22"/>
          <w:szCs w:val="22"/>
        </w:rPr>
        <w:br/>
      </w:r>
      <w:r w:rsidRPr="00503363">
        <w:rPr>
          <w:rFonts w:ascii="Arial" w:hAnsi="Arial" w:cs="Arial"/>
          <w:color w:val="000000" w:themeColor="text1"/>
          <w:sz w:val="22"/>
          <w:szCs w:val="22"/>
        </w:rPr>
        <w:lastRenderedPageBreak/>
        <w:t>Department for Work and Pensions (DWP), (2023). </w:t>
      </w:r>
      <w:r w:rsidRPr="00503363">
        <w:rPr>
          <w:rFonts w:ascii="Arial" w:hAnsi="Arial" w:cs="Arial"/>
          <w:i/>
          <w:iCs/>
          <w:color w:val="000000" w:themeColor="text1"/>
          <w:sz w:val="22"/>
          <w:szCs w:val="22"/>
        </w:rPr>
        <w:t>Households Below Average Income: Analysis of the UK Income Distribution</w:t>
      </w:r>
      <w:r w:rsidRPr="00503363">
        <w:rPr>
          <w:rFonts w:ascii="Arial" w:hAnsi="Arial" w:cs="Arial"/>
          <w:color w:val="000000" w:themeColor="text1"/>
          <w:sz w:val="22"/>
          <w:szCs w:val="22"/>
        </w:rPr>
        <w:t xml:space="preserve">. London: DWP. Available at: </w:t>
      </w:r>
      <w:hyperlink r:id="rId28" w:history="1">
        <w:r w:rsidRPr="00503363">
          <w:rPr>
            <w:rStyle w:val="Hyperlink"/>
            <w:rFonts w:ascii="Arial" w:hAnsi="Arial" w:cs="Arial"/>
            <w:color w:val="000000" w:themeColor="text1"/>
            <w:sz w:val="22"/>
            <w:szCs w:val="22"/>
          </w:rPr>
          <w:t>https://www.gov.uk/government/statistics/households-below-average-income-for-financial-years-ending-1995-to-2023/households-below-average-income-an-analysis-of-the-uk-income-distribution-fye-1995-to-fye-2023</w:t>
        </w:r>
      </w:hyperlink>
      <w:r w:rsidRPr="00503363">
        <w:rPr>
          <w:rFonts w:ascii="Arial" w:hAnsi="Arial" w:cs="Arial"/>
          <w:color w:val="000000" w:themeColor="text1"/>
          <w:sz w:val="22"/>
          <w:szCs w:val="22"/>
        </w:rPr>
        <w:t xml:space="preserve"> (Accessed: 6 Nov. 2025).</w:t>
      </w:r>
    </w:p>
    <w:p w14:paraId="6345569C"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Department for Work and Pensions (2023)</w:t>
      </w:r>
      <w:r w:rsidRPr="00503363">
        <w:rPr>
          <w:rStyle w:val="apple-converted-space"/>
          <w:rFonts w:ascii="Arial" w:hAnsi="Arial" w:cs="Arial"/>
          <w:color w:val="000000" w:themeColor="text1"/>
          <w:sz w:val="22"/>
          <w:szCs w:val="22"/>
        </w:rPr>
        <w:t> </w:t>
      </w:r>
      <w:r w:rsidRPr="00503363">
        <w:rPr>
          <w:rStyle w:val="Emphasis"/>
          <w:rFonts w:ascii="Arial" w:hAnsi="Arial" w:cs="Arial"/>
          <w:color w:val="000000" w:themeColor="text1"/>
          <w:sz w:val="22"/>
          <w:szCs w:val="22"/>
        </w:rPr>
        <w:t>Households below average income: An analysis of the income distribution 1994/95 to 2021/22.</w:t>
      </w:r>
      <w:r w:rsidRPr="00503363">
        <w:rPr>
          <w:rStyle w:val="apple-converted-space"/>
          <w:rFonts w:ascii="Arial" w:hAnsi="Arial" w:cs="Arial"/>
          <w:color w:val="000000" w:themeColor="text1"/>
          <w:sz w:val="22"/>
          <w:szCs w:val="22"/>
        </w:rPr>
        <w:t> </w:t>
      </w:r>
      <w:r w:rsidRPr="00503363">
        <w:rPr>
          <w:rFonts w:ascii="Arial" w:hAnsi="Arial" w:cs="Arial"/>
          <w:color w:val="000000" w:themeColor="text1"/>
          <w:sz w:val="22"/>
          <w:szCs w:val="22"/>
        </w:rPr>
        <w:t>DWP. Available at:</w:t>
      </w:r>
      <w:r w:rsidRPr="00503363">
        <w:rPr>
          <w:rStyle w:val="apple-converted-space"/>
          <w:rFonts w:ascii="Arial" w:hAnsi="Arial" w:cs="Arial"/>
          <w:color w:val="000000" w:themeColor="text1"/>
          <w:sz w:val="22"/>
          <w:szCs w:val="22"/>
        </w:rPr>
        <w:t> </w:t>
      </w:r>
      <w:hyperlink r:id="rId29" w:tgtFrame="_new" w:history="1">
        <w:r w:rsidRPr="00503363">
          <w:rPr>
            <w:rStyle w:val="Hyperlink"/>
            <w:rFonts w:ascii="Arial" w:hAnsi="Arial" w:cs="Arial"/>
            <w:color w:val="000000" w:themeColor="text1"/>
            <w:sz w:val="22"/>
            <w:szCs w:val="22"/>
          </w:rPr>
          <w:t>https://www.gov.uk/government/statistics</w:t>
        </w:r>
      </w:hyperlink>
      <w:r w:rsidRPr="00503363">
        <w:rPr>
          <w:rStyle w:val="apple-converted-space"/>
          <w:rFonts w:ascii="Arial" w:hAnsi="Arial" w:cs="Arial"/>
          <w:color w:val="000000" w:themeColor="text1"/>
          <w:sz w:val="22"/>
          <w:szCs w:val="22"/>
        </w:rPr>
        <w:t> </w:t>
      </w:r>
      <w:r w:rsidRPr="00503363">
        <w:rPr>
          <w:rFonts w:ascii="Arial" w:hAnsi="Arial" w:cs="Arial"/>
          <w:color w:val="000000" w:themeColor="text1"/>
          <w:sz w:val="22"/>
          <w:szCs w:val="22"/>
        </w:rPr>
        <w:t>(Accessed: 10 Nov 2025).</w:t>
      </w:r>
    </w:p>
    <w:p w14:paraId="6194E8A3"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 xml:space="preserve">EMCDDA (2022). </w:t>
      </w:r>
      <w:r w:rsidRPr="00503363">
        <w:rPr>
          <w:rFonts w:ascii="Arial" w:hAnsi="Arial" w:cs="Arial"/>
          <w:i/>
          <w:iCs/>
          <w:color w:val="000000" w:themeColor="text1"/>
          <w:sz w:val="22"/>
          <w:szCs w:val="22"/>
        </w:rPr>
        <w:t>European Drug Report 2022:</w:t>
      </w:r>
      <w:r w:rsidRPr="00503363">
        <w:rPr>
          <w:rFonts w:ascii="Arial" w:hAnsi="Arial" w:cs="Arial"/>
          <w:color w:val="000000" w:themeColor="text1"/>
          <w:sz w:val="22"/>
          <w:szCs w:val="22"/>
        </w:rPr>
        <w:t xml:space="preserve"> </w:t>
      </w:r>
      <w:r w:rsidRPr="00503363">
        <w:rPr>
          <w:rFonts w:ascii="Arial" w:hAnsi="Arial" w:cs="Arial"/>
          <w:i/>
          <w:iCs/>
          <w:color w:val="000000" w:themeColor="text1"/>
          <w:sz w:val="22"/>
          <w:szCs w:val="22"/>
        </w:rPr>
        <w:t>Trends and Developments</w:t>
      </w:r>
      <w:r w:rsidRPr="00503363">
        <w:rPr>
          <w:rFonts w:ascii="Arial" w:hAnsi="Arial" w:cs="Arial"/>
          <w:color w:val="000000" w:themeColor="text1"/>
          <w:sz w:val="22"/>
          <w:szCs w:val="22"/>
        </w:rPr>
        <w:t xml:space="preserve">. Luxembourg: Publications Office of the European Union. Available at: </w:t>
      </w:r>
      <w:hyperlink r:id="rId30" w:history="1">
        <w:r w:rsidRPr="00503363">
          <w:rPr>
            <w:rStyle w:val="Hyperlink"/>
            <w:rFonts w:ascii="Arial" w:hAnsi="Arial" w:cs="Arial"/>
            <w:color w:val="000000" w:themeColor="text1"/>
            <w:sz w:val="22"/>
            <w:szCs w:val="22"/>
          </w:rPr>
          <w:t>https://www.emcdda.europa.eu/publications/edr/trends-developments/2022_en</w:t>
        </w:r>
      </w:hyperlink>
      <w:r w:rsidRPr="00503363">
        <w:rPr>
          <w:rFonts w:ascii="Arial" w:hAnsi="Arial" w:cs="Arial"/>
          <w:color w:val="000000" w:themeColor="text1"/>
          <w:sz w:val="22"/>
          <w:szCs w:val="22"/>
        </w:rPr>
        <w:t xml:space="preserve"> (Accessed: 6 Nov. 2025). </w:t>
      </w:r>
    </w:p>
    <w:p w14:paraId="4EAD04FE" w14:textId="07A860C4"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EMCDDA (2023) </w:t>
      </w:r>
      <w:r w:rsidRPr="00503363">
        <w:rPr>
          <w:rFonts w:ascii="Arial" w:hAnsi="Arial" w:cs="Arial"/>
          <w:i/>
          <w:iCs/>
          <w:color w:val="000000" w:themeColor="text1"/>
          <w:sz w:val="22"/>
          <w:szCs w:val="22"/>
        </w:rPr>
        <w:t>European Drug Report 2023: Trends and Developments.</w:t>
      </w:r>
      <w:r w:rsidRPr="00503363">
        <w:rPr>
          <w:rFonts w:ascii="Arial" w:hAnsi="Arial" w:cs="Arial"/>
          <w:color w:val="000000" w:themeColor="text1"/>
          <w:sz w:val="22"/>
          <w:szCs w:val="22"/>
        </w:rPr>
        <w:t> Lisbon: European Monitoring Centre for Drugs and Drug Addiction. Available at: </w:t>
      </w:r>
      <w:hyperlink r:id="rId31" w:tgtFrame="_new" w:history="1">
        <w:r w:rsidRPr="00503363">
          <w:rPr>
            <w:rFonts w:ascii="Arial" w:hAnsi="Arial" w:cs="Arial"/>
            <w:color w:val="000000" w:themeColor="text1"/>
            <w:sz w:val="22"/>
            <w:szCs w:val="22"/>
            <w:u w:val="single"/>
          </w:rPr>
          <w:t>https://www.emcdda.europa.eu</w:t>
        </w:r>
      </w:hyperlink>
      <w:r w:rsidRPr="00503363">
        <w:rPr>
          <w:rFonts w:ascii="Arial" w:hAnsi="Arial" w:cs="Arial"/>
          <w:color w:val="000000" w:themeColor="text1"/>
          <w:sz w:val="22"/>
          <w:szCs w:val="22"/>
        </w:rPr>
        <w:t> (Accessed: 2 July 2025).</w:t>
      </w:r>
    </w:p>
    <w:p w14:paraId="77349A92" w14:textId="23B41597" w:rsidR="00503363" w:rsidRPr="00503363" w:rsidRDefault="00503363" w:rsidP="00503363">
      <w:pPr>
        <w:spacing w:before="100" w:beforeAutospacing="1" w:after="100" w:afterAutospacing="1" w:line="360" w:lineRule="auto"/>
        <w:rPr>
          <w:rFonts w:ascii="Arial" w:hAnsi="Arial" w:cs="Arial"/>
          <w:color w:val="000000" w:themeColor="text1"/>
          <w:sz w:val="22"/>
          <w:szCs w:val="22"/>
        </w:rPr>
      </w:pPr>
      <w:r w:rsidRPr="00503363">
        <w:rPr>
          <w:rFonts w:ascii="Arial" w:hAnsi="Arial" w:cs="Arial"/>
          <w:color w:val="000000" w:themeColor="text1"/>
          <w:sz w:val="22"/>
          <w:szCs w:val="22"/>
        </w:rPr>
        <w:t>Engel, G.L. (1977) </w:t>
      </w:r>
      <w:r w:rsidRPr="00503363">
        <w:rPr>
          <w:rFonts w:ascii="Arial" w:hAnsi="Arial" w:cs="Arial"/>
          <w:i/>
          <w:iCs/>
          <w:color w:val="000000" w:themeColor="text1"/>
          <w:sz w:val="22"/>
          <w:szCs w:val="22"/>
        </w:rPr>
        <w:t>The need for a new medical model: A challenge for biomedicine.</w:t>
      </w:r>
      <w:r w:rsidRPr="00503363">
        <w:rPr>
          <w:rFonts w:ascii="Arial" w:hAnsi="Arial" w:cs="Arial"/>
          <w:color w:val="000000" w:themeColor="text1"/>
          <w:sz w:val="22"/>
          <w:szCs w:val="22"/>
        </w:rPr>
        <w:t> Science, 196(4286), pp.129–136.</w:t>
      </w:r>
    </w:p>
    <w:p w14:paraId="381AD5DD" w14:textId="77777777" w:rsidR="00503363" w:rsidRPr="00503363" w:rsidRDefault="00503363" w:rsidP="00503363">
      <w:pPr>
        <w:spacing w:line="360" w:lineRule="auto"/>
        <w:rPr>
          <w:rFonts w:ascii="Arial" w:hAnsi="Arial" w:cs="Arial"/>
          <w:color w:val="000000" w:themeColor="text1"/>
          <w:sz w:val="22"/>
          <w:szCs w:val="22"/>
          <w:shd w:val="clear" w:color="auto" w:fill="FFFFFF"/>
        </w:rPr>
      </w:pPr>
      <w:r w:rsidRPr="00503363">
        <w:rPr>
          <w:rFonts w:ascii="Arial" w:hAnsi="Arial" w:cs="Arial"/>
          <w:color w:val="000000" w:themeColor="text1"/>
          <w:sz w:val="22"/>
          <w:szCs w:val="22"/>
          <w:shd w:val="clear" w:color="auto" w:fill="FFFFFF"/>
        </w:rPr>
        <w:t>Farmer, P. (2004) ‘An Anthropology of Structural Violence’,</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Current anthropology</w:t>
      </w:r>
      <w:r w:rsidRPr="00503363">
        <w:rPr>
          <w:rFonts w:ascii="Arial" w:hAnsi="Arial" w:cs="Arial"/>
          <w:color w:val="000000" w:themeColor="text1"/>
          <w:sz w:val="22"/>
          <w:szCs w:val="22"/>
          <w:shd w:val="clear" w:color="auto" w:fill="FFFFFF"/>
        </w:rPr>
        <w:t xml:space="preserve">, 45(3), pp. 305–325. Available at: </w:t>
      </w:r>
      <w:hyperlink r:id="rId32" w:history="1">
        <w:r w:rsidRPr="00503363">
          <w:rPr>
            <w:rStyle w:val="Hyperlink"/>
            <w:rFonts w:ascii="Arial" w:hAnsi="Arial" w:cs="Arial"/>
            <w:color w:val="000000" w:themeColor="text1"/>
            <w:sz w:val="22"/>
            <w:szCs w:val="22"/>
            <w:shd w:val="clear" w:color="auto" w:fill="FFFFFF"/>
          </w:rPr>
          <w:t>https://doi.org/10.1086/382250</w:t>
        </w:r>
      </w:hyperlink>
      <w:r w:rsidRPr="00503363">
        <w:rPr>
          <w:rFonts w:ascii="Arial" w:hAnsi="Arial" w:cs="Arial"/>
          <w:color w:val="000000" w:themeColor="text1"/>
          <w:sz w:val="22"/>
          <w:szCs w:val="22"/>
          <w:shd w:val="clear" w:color="auto" w:fill="FFFFFF"/>
        </w:rPr>
        <w:t xml:space="preserve">. </w:t>
      </w:r>
    </w:p>
    <w:p w14:paraId="15C16879" w14:textId="6AB88A23" w:rsidR="00503363" w:rsidRPr="00503363" w:rsidRDefault="00503363" w:rsidP="00503363">
      <w:pPr>
        <w:spacing w:line="360" w:lineRule="auto"/>
        <w:rPr>
          <w:rFonts w:ascii="Arial" w:hAnsi="Arial" w:cs="Arial"/>
          <w:color w:val="000000" w:themeColor="text1"/>
          <w:sz w:val="22"/>
          <w:szCs w:val="22"/>
          <w:shd w:val="clear" w:color="auto" w:fill="FFFFFF"/>
        </w:rPr>
      </w:pPr>
      <w:r w:rsidRPr="00503363">
        <w:rPr>
          <w:rFonts w:ascii="Arial" w:hAnsi="Arial" w:cs="Arial"/>
          <w:color w:val="000000" w:themeColor="text1"/>
          <w:sz w:val="22"/>
          <w:szCs w:val="22"/>
          <w:shd w:val="clear" w:color="auto" w:fill="FFFFFF"/>
        </w:rPr>
        <w:t>Finlay, L., (2012). Debating phenomenological methods. In</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Hermeneutic phenomenology in education: Method and practice</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color w:val="000000" w:themeColor="text1"/>
          <w:sz w:val="22"/>
          <w:szCs w:val="22"/>
          <w:shd w:val="clear" w:color="auto" w:fill="FFFFFF"/>
        </w:rPr>
        <w:t xml:space="preserve">(pp. 17-37). Rotterdam: SensePublishers. Available at: </w:t>
      </w:r>
      <w:hyperlink r:id="rId33" w:history="1">
        <w:r w:rsidRPr="00503363">
          <w:rPr>
            <w:rStyle w:val="Hyperlink"/>
            <w:rFonts w:ascii="Arial" w:hAnsi="Arial" w:cs="Arial"/>
            <w:color w:val="000000" w:themeColor="text1"/>
            <w:sz w:val="22"/>
            <w:szCs w:val="22"/>
            <w:shd w:val="clear" w:color="auto" w:fill="FFFFFF"/>
          </w:rPr>
          <w:t>https://journals.library.ualberta.ca/pandpr/index.php/pandpr/article/download/19818/15336</w:t>
        </w:r>
      </w:hyperlink>
      <w:r w:rsidRPr="00503363">
        <w:rPr>
          <w:rFonts w:ascii="Arial" w:hAnsi="Arial" w:cs="Arial"/>
          <w:color w:val="000000" w:themeColor="text1"/>
          <w:sz w:val="22"/>
          <w:szCs w:val="22"/>
          <w:shd w:val="clear" w:color="auto" w:fill="FFFFFF"/>
        </w:rPr>
        <w:t xml:space="preserve">. </w:t>
      </w:r>
      <w:r w:rsidRPr="00503363">
        <w:rPr>
          <w:rFonts w:ascii="Arial" w:hAnsi="Arial" w:cs="Arial"/>
          <w:color w:val="000000" w:themeColor="text1"/>
          <w:sz w:val="22"/>
          <w:szCs w:val="22"/>
        </w:rPr>
        <w:t>(Accessed: 6 Nov. 2025).</w:t>
      </w:r>
      <w:r w:rsidRPr="00503363">
        <w:rPr>
          <w:rFonts w:ascii="Arial" w:hAnsi="Arial" w:cs="Arial"/>
          <w:color w:val="000000" w:themeColor="text1"/>
          <w:sz w:val="22"/>
          <w:szCs w:val="22"/>
        </w:rPr>
        <w:br/>
        <w:t>Greenhalgh, T. (2019). </w:t>
      </w:r>
      <w:r w:rsidRPr="00503363">
        <w:rPr>
          <w:rFonts w:ascii="Arial" w:hAnsi="Arial" w:cs="Arial"/>
          <w:i/>
          <w:iCs/>
          <w:color w:val="000000" w:themeColor="text1"/>
          <w:sz w:val="22"/>
          <w:szCs w:val="22"/>
        </w:rPr>
        <w:t>How to Read a Paper: The Basics of Evidence-Based Medicine and Healthcare.</w:t>
      </w:r>
      <w:r w:rsidRPr="00503363">
        <w:rPr>
          <w:rFonts w:ascii="Arial" w:hAnsi="Arial" w:cs="Arial"/>
          <w:color w:val="000000" w:themeColor="text1"/>
          <w:sz w:val="22"/>
          <w:szCs w:val="22"/>
        </w:rPr>
        <w:t xml:space="preserve"> 6th ed. Chichester: Wiley-Blackwell. </w:t>
      </w:r>
      <w:r w:rsidRPr="00503363">
        <w:rPr>
          <w:rFonts w:ascii="Arial" w:hAnsi="Arial" w:cs="Arial"/>
          <w:color w:val="000000" w:themeColor="text1"/>
          <w:sz w:val="22"/>
          <w:szCs w:val="22"/>
          <w:shd w:val="clear" w:color="auto" w:fill="FFFFFF"/>
        </w:rPr>
        <w:t xml:space="preserve">Available at: </w:t>
      </w:r>
      <w:hyperlink r:id="rId34" w:history="1">
        <w:r w:rsidRPr="00503363">
          <w:rPr>
            <w:rStyle w:val="Hyperlink"/>
            <w:rFonts w:ascii="Arial" w:hAnsi="Arial" w:cs="Arial"/>
            <w:color w:val="000000" w:themeColor="text1"/>
            <w:sz w:val="22"/>
            <w:szCs w:val="22"/>
            <w:shd w:val="clear" w:color="auto" w:fill="FFFFFF"/>
          </w:rPr>
          <w:t>https://content.e-bookshelf.de/media/reading/L-12549069-30fab85148.pdf</w:t>
        </w:r>
      </w:hyperlink>
      <w:r w:rsidRPr="00503363">
        <w:rPr>
          <w:rFonts w:ascii="Arial" w:hAnsi="Arial" w:cs="Arial"/>
          <w:color w:val="000000" w:themeColor="text1"/>
          <w:sz w:val="22"/>
          <w:szCs w:val="22"/>
          <w:shd w:val="clear" w:color="auto" w:fill="FFFFFF"/>
        </w:rPr>
        <w:t xml:space="preserve">. </w:t>
      </w:r>
      <w:r w:rsidRPr="00503363">
        <w:rPr>
          <w:rFonts w:ascii="Arial" w:hAnsi="Arial" w:cs="Arial"/>
          <w:color w:val="000000" w:themeColor="text1"/>
          <w:sz w:val="22"/>
          <w:szCs w:val="22"/>
        </w:rPr>
        <w:t>(Accessed: 10 Aug. 2025).</w:t>
      </w:r>
    </w:p>
    <w:p w14:paraId="37D196D7" w14:textId="77777777" w:rsidR="00503363" w:rsidRPr="00503363" w:rsidRDefault="00503363" w:rsidP="00503363">
      <w:pPr>
        <w:spacing w:line="360" w:lineRule="auto"/>
        <w:rPr>
          <w:rFonts w:ascii="Arial" w:hAnsi="Arial" w:cs="Arial"/>
          <w:color w:val="000000" w:themeColor="text1"/>
          <w:sz w:val="22"/>
          <w:szCs w:val="22"/>
          <w:shd w:val="clear" w:color="auto" w:fill="FFFFFF"/>
        </w:rPr>
      </w:pPr>
      <w:r w:rsidRPr="00503363">
        <w:rPr>
          <w:rFonts w:ascii="Arial" w:hAnsi="Arial" w:cs="Arial"/>
          <w:color w:val="000000" w:themeColor="text1"/>
          <w:sz w:val="22"/>
          <w:szCs w:val="22"/>
          <w:shd w:val="clear" w:color="auto" w:fill="FFFFFF"/>
        </w:rPr>
        <w:t>Greenhalgh, T.M. and Dijkstra, P. (2024).</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How to Read a Paper: The Basics of Evidence-based Healthcare</w:t>
      </w:r>
      <w:r w:rsidRPr="00503363">
        <w:rPr>
          <w:rFonts w:ascii="Arial" w:hAnsi="Arial" w:cs="Arial"/>
          <w:color w:val="000000" w:themeColor="text1"/>
          <w:sz w:val="22"/>
          <w:szCs w:val="22"/>
          <w:shd w:val="clear" w:color="auto" w:fill="FFFFFF"/>
        </w:rPr>
        <w:t xml:space="preserve">. John Wiley &amp; Sons. Available at: </w:t>
      </w:r>
      <w:hyperlink r:id="rId35" w:anchor="v=onepage&amp;q&amp;f=false" w:history="1">
        <w:r w:rsidRPr="00503363">
          <w:rPr>
            <w:rStyle w:val="Hyperlink"/>
            <w:rFonts w:ascii="Arial" w:hAnsi="Arial" w:cs="Arial"/>
            <w:color w:val="000000" w:themeColor="text1"/>
            <w:sz w:val="22"/>
            <w:szCs w:val="22"/>
            <w:shd w:val="clear" w:color="auto" w:fill="FFFFFF"/>
          </w:rPr>
          <w:t>https://books.google.co.uk/books?hl=en&amp;lr=&amp;id=L_YvEQAAQBAJ&amp;oi=fnd&amp;pg=PR12&amp;dq=How+to+Read+a+Paper:+the+Basics+of+Evidence-Based+Healthcare,+7th+Edition&amp;ots=F28FSKoKI1&amp;sig=c4bPEIMzeXz-DpLKNnoKfaTiYSQ&amp;redir_esc=y#v=onepage&amp;q&amp;f=false</w:t>
        </w:r>
      </w:hyperlink>
      <w:r w:rsidRPr="00503363">
        <w:rPr>
          <w:rFonts w:ascii="Arial" w:hAnsi="Arial" w:cs="Arial"/>
          <w:color w:val="000000" w:themeColor="text1"/>
          <w:sz w:val="22"/>
          <w:szCs w:val="22"/>
          <w:shd w:val="clear" w:color="auto" w:fill="FFFFFF"/>
        </w:rPr>
        <w:t xml:space="preserve"> </w:t>
      </w:r>
      <w:r w:rsidRPr="00503363">
        <w:rPr>
          <w:rFonts w:ascii="Arial" w:hAnsi="Arial" w:cs="Arial"/>
          <w:color w:val="000000" w:themeColor="text1"/>
          <w:sz w:val="22"/>
          <w:szCs w:val="22"/>
        </w:rPr>
        <w:t>(Accessed: 20 Aug. 2025).</w:t>
      </w:r>
    </w:p>
    <w:p w14:paraId="07267DE6"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 xml:space="preserve">Greenwald, G. (2009). </w:t>
      </w:r>
      <w:r w:rsidRPr="00503363">
        <w:rPr>
          <w:rFonts w:ascii="Arial" w:hAnsi="Arial" w:cs="Arial"/>
          <w:i/>
          <w:iCs/>
          <w:color w:val="000000" w:themeColor="text1"/>
          <w:sz w:val="22"/>
          <w:szCs w:val="22"/>
        </w:rPr>
        <w:t>Drug Decriminalization in Portugal: Lessons for Creating Fair and Successful Drug Policies.</w:t>
      </w:r>
      <w:r w:rsidRPr="00503363">
        <w:rPr>
          <w:rFonts w:ascii="Arial" w:hAnsi="Arial" w:cs="Arial"/>
          <w:color w:val="000000" w:themeColor="text1"/>
          <w:sz w:val="22"/>
          <w:szCs w:val="22"/>
        </w:rPr>
        <w:t xml:space="preserve"> Washington DC: Cato Institute. Available at: </w:t>
      </w:r>
      <w:hyperlink r:id="rId36" w:history="1">
        <w:r w:rsidRPr="00503363">
          <w:rPr>
            <w:rStyle w:val="Hyperlink"/>
            <w:rFonts w:ascii="Arial" w:hAnsi="Arial" w:cs="Arial"/>
            <w:color w:val="000000" w:themeColor="text1"/>
            <w:sz w:val="22"/>
            <w:szCs w:val="22"/>
          </w:rPr>
          <w:t>https://www.cato.org/publications/white-paper/drug-decriminalization-portugal-lessons-creating-fair-successful</w:t>
        </w:r>
      </w:hyperlink>
      <w:r w:rsidRPr="00503363">
        <w:rPr>
          <w:rFonts w:ascii="Arial" w:hAnsi="Arial" w:cs="Arial"/>
          <w:color w:val="000000" w:themeColor="text1"/>
          <w:sz w:val="22"/>
          <w:szCs w:val="22"/>
        </w:rPr>
        <w:t xml:space="preserve"> (Accessed: 6 Nov. 2025). </w:t>
      </w:r>
    </w:p>
    <w:p w14:paraId="637DB395" w14:textId="28B371EE"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Hart, J.T. (1971) </w:t>
      </w:r>
      <w:r w:rsidRPr="00503363">
        <w:rPr>
          <w:rFonts w:ascii="Arial" w:hAnsi="Arial" w:cs="Arial"/>
          <w:i/>
          <w:iCs/>
          <w:color w:val="000000" w:themeColor="text1"/>
          <w:sz w:val="22"/>
          <w:szCs w:val="22"/>
        </w:rPr>
        <w:t>The inverse care law.</w:t>
      </w:r>
      <w:r w:rsidRPr="00503363">
        <w:rPr>
          <w:rFonts w:ascii="Arial" w:hAnsi="Arial" w:cs="Arial"/>
          <w:color w:val="000000" w:themeColor="text1"/>
          <w:sz w:val="22"/>
          <w:szCs w:val="22"/>
        </w:rPr>
        <w:t> The Lancet, 297(7696), pp.405–412.</w:t>
      </w:r>
    </w:p>
    <w:p w14:paraId="0D6F24E4" w14:textId="655AB279" w:rsidR="00503363" w:rsidRPr="00503363" w:rsidRDefault="00503363" w:rsidP="00503363">
      <w:pPr>
        <w:spacing w:before="100" w:beforeAutospacing="1" w:after="100" w:afterAutospacing="1" w:line="360" w:lineRule="auto"/>
        <w:rPr>
          <w:rFonts w:ascii="Arial" w:hAnsi="Arial" w:cs="Arial"/>
          <w:color w:val="000000" w:themeColor="text1"/>
          <w:sz w:val="22"/>
          <w:szCs w:val="22"/>
        </w:rPr>
      </w:pPr>
      <w:r w:rsidRPr="00503363">
        <w:rPr>
          <w:rFonts w:ascii="Arial" w:hAnsi="Arial" w:cs="Arial"/>
          <w:color w:val="000000" w:themeColor="text1"/>
          <w:sz w:val="22"/>
          <w:szCs w:val="22"/>
          <w:shd w:val="clear" w:color="auto" w:fill="FFFFFF"/>
        </w:rPr>
        <w:t>Hartung, F.E. (1965) ‘Outsiders: Studies in the Sociology of Deviance’,</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Journal of criminal law, criminology &amp; police science</w:t>
      </w:r>
      <w:r w:rsidRPr="00503363">
        <w:rPr>
          <w:rFonts w:ascii="Arial" w:hAnsi="Arial" w:cs="Arial"/>
          <w:color w:val="000000" w:themeColor="text1"/>
          <w:sz w:val="22"/>
          <w:szCs w:val="22"/>
          <w:shd w:val="clear" w:color="auto" w:fill="FFFFFF"/>
        </w:rPr>
        <w:t xml:space="preserve">. Williams &amp; Wilkins Company, pp. 230–231. Available at: </w:t>
      </w:r>
      <w:hyperlink r:id="rId37" w:history="1">
        <w:r w:rsidRPr="00503363">
          <w:rPr>
            <w:rStyle w:val="Hyperlink"/>
            <w:rFonts w:ascii="Arial" w:hAnsi="Arial" w:cs="Arial"/>
            <w:color w:val="000000" w:themeColor="text1"/>
            <w:sz w:val="22"/>
            <w:szCs w:val="22"/>
            <w:shd w:val="clear" w:color="auto" w:fill="FFFFFF"/>
          </w:rPr>
          <w:t>https://doi.org/10.2307/1140513</w:t>
        </w:r>
      </w:hyperlink>
      <w:r w:rsidRPr="00503363">
        <w:rPr>
          <w:rFonts w:ascii="Arial" w:hAnsi="Arial" w:cs="Arial"/>
          <w:color w:val="000000" w:themeColor="text1"/>
          <w:sz w:val="22"/>
          <w:szCs w:val="22"/>
          <w:shd w:val="clear" w:color="auto" w:fill="FFFFFF"/>
        </w:rPr>
        <w:t xml:space="preserve">. </w:t>
      </w:r>
    </w:p>
    <w:p w14:paraId="0EE656B9" w14:textId="4711B590" w:rsidR="00503363" w:rsidRPr="00503363" w:rsidRDefault="00503363" w:rsidP="00503363">
      <w:pPr>
        <w:spacing w:before="100" w:beforeAutospacing="1" w:after="100" w:afterAutospacing="1" w:line="360" w:lineRule="auto"/>
        <w:rPr>
          <w:rFonts w:ascii="Arial" w:hAnsi="Arial" w:cs="Arial"/>
          <w:color w:val="000000" w:themeColor="text1"/>
          <w:sz w:val="22"/>
          <w:szCs w:val="22"/>
        </w:rPr>
      </w:pPr>
      <w:r w:rsidRPr="00503363">
        <w:rPr>
          <w:rFonts w:ascii="Arial" w:hAnsi="Arial" w:cs="Arial"/>
          <w:color w:val="000000" w:themeColor="text1"/>
          <w:sz w:val="22"/>
          <w:szCs w:val="22"/>
        </w:rPr>
        <w:t>Hatzenbuehler, M. L., Phelan, J.C. &amp; Link, B.G., (2013). ‘Stigma as a fundamental cause of population health inequalities.’ </w:t>
      </w:r>
      <w:r w:rsidRPr="00503363">
        <w:rPr>
          <w:rFonts w:ascii="Arial" w:hAnsi="Arial" w:cs="Arial"/>
          <w:i/>
          <w:iCs/>
          <w:color w:val="000000" w:themeColor="text1"/>
          <w:sz w:val="22"/>
          <w:szCs w:val="22"/>
        </w:rPr>
        <w:t>American Journal of Public Health</w:t>
      </w:r>
      <w:r w:rsidRPr="00503363">
        <w:rPr>
          <w:rFonts w:ascii="Arial" w:hAnsi="Arial" w:cs="Arial"/>
          <w:color w:val="000000" w:themeColor="text1"/>
          <w:sz w:val="22"/>
          <w:szCs w:val="22"/>
        </w:rPr>
        <w:t xml:space="preserve">, 103(5), pp.813-821. </w:t>
      </w:r>
      <w:r w:rsidRPr="00503363">
        <w:rPr>
          <w:rFonts w:ascii="Arial" w:hAnsi="Arial" w:cs="Arial"/>
          <w:color w:val="000000" w:themeColor="text1"/>
          <w:sz w:val="22"/>
          <w:szCs w:val="22"/>
        </w:rPr>
        <w:br/>
        <w:t>Available at: </w:t>
      </w:r>
      <w:hyperlink r:id="rId38" w:tgtFrame="_new" w:history="1">
        <w:r w:rsidRPr="00503363">
          <w:rPr>
            <w:rFonts w:ascii="Arial" w:hAnsi="Arial" w:cs="Arial"/>
            <w:color w:val="000000" w:themeColor="text1"/>
            <w:sz w:val="22"/>
            <w:szCs w:val="22"/>
            <w:u w:val="single"/>
          </w:rPr>
          <w:t>https://ajph.aphapublications.org/doi/10.2105/AJPH.2012.301069</w:t>
        </w:r>
      </w:hyperlink>
      <w:r w:rsidRPr="00503363">
        <w:rPr>
          <w:rFonts w:ascii="Arial" w:hAnsi="Arial" w:cs="Arial"/>
          <w:color w:val="000000" w:themeColor="text1"/>
          <w:sz w:val="22"/>
          <w:szCs w:val="22"/>
        </w:rPr>
        <w:t> (Accessed: 6 Nov. 2025).</w:t>
      </w:r>
    </w:p>
    <w:p w14:paraId="3599A2E4"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Home Office, (2025). </w:t>
      </w:r>
      <w:r w:rsidRPr="00503363">
        <w:rPr>
          <w:rFonts w:ascii="Arial" w:hAnsi="Arial" w:cs="Arial"/>
          <w:i/>
          <w:iCs/>
          <w:color w:val="000000" w:themeColor="text1"/>
          <w:sz w:val="22"/>
          <w:szCs w:val="22"/>
        </w:rPr>
        <w:t>Misuse of Drugs Act 1971.</w:t>
      </w:r>
      <w:r w:rsidRPr="00503363">
        <w:rPr>
          <w:rFonts w:ascii="Arial" w:hAnsi="Arial" w:cs="Arial"/>
          <w:color w:val="000000" w:themeColor="text1"/>
          <w:sz w:val="22"/>
          <w:szCs w:val="22"/>
        </w:rPr>
        <w:t> London: HMSO.</w:t>
      </w:r>
      <w:r w:rsidRPr="00503363">
        <w:rPr>
          <w:rFonts w:ascii="Arial" w:hAnsi="Arial" w:cs="Arial"/>
          <w:color w:val="000000" w:themeColor="text1"/>
          <w:sz w:val="22"/>
          <w:szCs w:val="22"/>
        </w:rPr>
        <w:br/>
        <w:t>Available at: </w:t>
      </w:r>
      <w:hyperlink r:id="rId39" w:tgtFrame="_new" w:history="1">
        <w:r w:rsidRPr="00503363">
          <w:rPr>
            <w:rFonts w:ascii="Arial" w:hAnsi="Arial" w:cs="Arial"/>
            <w:color w:val="000000" w:themeColor="text1"/>
            <w:sz w:val="22"/>
            <w:szCs w:val="22"/>
            <w:u w:val="single"/>
          </w:rPr>
          <w:t>https://www.legislation.gov.uk/ukpga/1971/38/contents/enacted</w:t>
        </w:r>
      </w:hyperlink>
      <w:r w:rsidRPr="00503363">
        <w:rPr>
          <w:rFonts w:ascii="Arial" w:hAnsi="Arial" w:cs="Arial"/>
          <w:color w:val="000000" w:themeColor="text1"/>
          <w:sz w:val="22"/>
          <w:szCs w:val="22"/>
        </w:rPr>
        <w:t> (Accessed: 6 Nov. 2025).</w:t>
      </w:r>
    </w:p>
    <w:p w14:paraId="620ADAB2"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Hughes, C. E. &amp; Stevens, A., (2010). ‘What can we learn from the Portuguese decriminalization of illicit drugs?’ </w:t>
      </w:r>
      <w:r w:rsidRPr="00503363">
        <w:rPr>
          <w:rFonts w:ascii="Arial" w:hAnsi="Arial" w:cs="Arial"/>
          <w:i/>
          <w:iCs/>
          <w:color w:val="000000" w:themeColor="text1"/>
          <w:sz w:val="22"/>
          <w:szCs w:val="22"/>
        </w:rPr>
        <w:t>British Journal of Criminology</w:t>
      </w:r>
      <w:r w:rsidRPr="00503363">
        <w:rPr>
          <w:rFonts w:ascii="Arial" w:hAnsi="Arial" w:cs="Arial"/>
          <w:color w:val="000000" w:themeColor="text1"/>
          <w:sz w:val="22"/>
          <w:szCs w:val="22"/>
        </w:rPr>
        <w:t xml:space="preserve">, 50(6), pp.999-1022. </w:t>
      </w:r>
      <w:r w:rsidRPr="00503363">
        <w:rPr>
          <w:rFonts w:ascii="Arial" w:hAnsi="Arial" w:cs="Arial"/>
          <w:color w:val="000000" w:themeColor="text1"/>
          <w:sz w:val="22"/>
          <w:szCs w:val="22"/>
        </w:rPr>
        <w:br/>
        <w:t>Available at: </w:t>
      </w:r>
      <w:hyperlink r:id="rId40" w:history="1">
        <w:r w:rsidRPr="00503363">
          <w:rPr>
            <w:rStyle w:val="Hyperlink"/>
            <w:rFonts w:ascii="Arial" w:hAnsi="Arial" w:cs="Arial"/>
            <w:color w:val="000000" w:themeColor="text1"/>
            <w:sz w:val="22"/>
            <w:szCs w:val="22"/>
          </w:rPr>
          <w:t>https://academic.oup.com/bjc/article/50/6/999/608687</w:t>
        </w:r>
      </w:hyperlink>
      <w:r w:rsidRPr="00503363">
        <w:rPr>
          <w:rFonts w:ascii="Arial" w:hAnsi="Arial" w:cs="Arial"/>
          <w:color w:val="000000" w:themeColor="text1"/>
          <w:sz w:val="22"/>
          <w:szCs w:val="22"/>
        </w:rPr>
        <w:t xml:space="preserve"> (Accessed: 6 Nov. 2025).</w:t>
      </w:r>
      <w:r w:rsidRPr="00503363">
        <w:rPr>
          <w:rFonts w:ascii="Arial" w:hAnsi="Arial" w:cs="Arial"/>
          <w:color w:val="000000" w:themeColor="text1"/>
          <w:sz w:val="22"/>
          <w:szCs w:val="22"/>
        </w:rPr>
        <w:br/>
        <w:t>Hughes, K. et al., 2017. ‘The effect of multiple adverse childhood experiences on health: a systematic review and meta-analysis’, </w:t>
      </w:r>
      <w:r w:rsidRPr="00503363">
        <w:rPr>
          <w:rFonts w:ascii="Arial" w:hAnsi="Arial" w:cs="Arial"/>
          <w:i/>
          <w:iCs/>
          <w:color w:val="000000" w:themeColor="text1"/>
          <w:sz w:val="22"/>
          <w:szCs w:val="22"/>
        </w:rPr>
        <w:t>The Lancet Public Health</w:t>
      </w:r>
      <w:r w:rsidRPr="00503363">
        <w:rPr>
          <w:rFonts w:ascii="Arial" w:hAnsi="Arial" w:cs="Arial"/>
          <w:color w:val="000000" w:themeColor="text1"/>
          <w:sz w:val="22"/>
          <w:szCs w:val="22"/>
        </w:rPr>
        <w:t xml:space="preserve">, 2(8), e356–e366. </w:t>
      </w:r>
      <w:hyperlink r:id="rId41" w:history="1">
        <w:r w:rsidRPr="00503363">
          <w:rPr>
            <w:rStyle w:val="Hyperlink"/>
            <w:rFonts w:ascii="Arial" w:hAnsi="Arial" w:cs="Arial"/>
            <w:color w:val="000000" w:themeColor="text1"/>
            <w:sz w:val="22"/>
            <w:szCs w:val="22"/>
          </w:rPr>
          <w:t>https://doi:10.1016/S2468-2667 (17)30118-4</w:t>
        </w:r>
      </w:hyperlink>
      <w:r w:rsidRPr="00503363">
        <w:rPr>
          <w:rFonts w:ascii="Arial" w:hAnsi="Arial" w:cs="Arial"/>
          <w:color w:val="000000" w:themeColor="text1"/>
          <w:sz w:val="22"/>
          <w:szCs w:val="22"/>
        </w:rPr>
        <w:t xml:space="preserve">. </w:t>
      </w:r>
    </w:p>
    <w:p w14:paraId="3B12A3B3" w14:textId="551EEA16"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Hughes, K., Bellis, M.A., Hardcastle, K.A., et al. (2017) </w:t>
      </w:r>
      <w:r w:rsidRPr="00503363">
        <w:rPr>
          <w:rFonts w:ascii="Arial" w:hAnsi="Arial" w:cs="Arial"/>
          <w:i/>
          <w:iCs/>
          <w:color w:val="000000" w:themeColor="text1"/>
          <w:sz w:val="22"/>
          <w:szCs w:val="22"/>
        </w:rPr>
        <w:t>The effect of multiple adverse childhood experiences on health: A systematic review and meta-analysis.</w:t>
      </w:r>
      <w:r w:rsidRPr="00503363">
        <w:rPr>
          <w:rFonts w:ascii="Arial" w:hAnsi="Arial" w:cs="Arial"/>
          <w:color w:val="000000" w:themeColor="text1"/>
          <w:sz w:val="22"/>
          <w:szCs w:val="22"/>
        </w:rPr>
        <w:t xml:space="preserve"> The Lancet Public Health, 2(8), </w:t>
      </w:r>
      <w:proofErr w:type="gramStart"/>
      <w:r w:rsidRPr="00503363">
        <w:rPr>
          <w:rFonts w:ascii="Arial" w:hAnsi="Arial" w:cs="Arial"/>
          <w:color w:val="000000" w:themeColor="text1"/>
          <w:sz w:val="22"/>
          <w:szCs w:val="22"/>
        </w:rPr>
        <w:t>pp.e</w:t>
      </w:r>
      <w:proofErr w:type="gramEnd"/>
      <w:r w:rsidRPr="00503363">
        <w:rPr>
          <w:rFonts w:ascii="Arial" w:hAnsi="Arial" w:cs="Arial"/>
          <w:color w:val="000000" w:themeColor="text1"/>
          <w:sz w:val="22"/>
          <w:szCs w:val="22"/>
        </w:rPr>
        <w:t>356–e366.</w:t>
      </w:r>
      <w:r w:rsidRPr="00503363">
        <w:rPr>
          <w:rFonts w:ascii="Arial" w:hAnsi="Arial" w:cs="Arial"/>
          <w:color w:val="000000" w:themeColor="text1"/>
          <w:sz w:val="22"/>
          <w:szCs w:val="22"/>
        </w:rPr>
        <w:br/>
        <w:t>Hughes, K., Bellis, M.A., Hardcastle, K.A., Sethi, D., Butchart, A., Mikton, C., Jones, L. &amp; Dunne, M.P., (2017). The effect of multiple adverse childhood experiences on health: a systematic review and meta-analysis. </w:t>
      </w:r>
      <w:r w:rsidRPr="00503363">
        <w:rPr>
          <w:rFonts w:ascii="Arial" w:hAnsi="Arial" w:cs="Arial"/>
          <w:i/>
          <w:iCs/>
          <w:color w:val="000000" w:themeColor="text1"/>
          <w:sz w:val="22"/>
          <w:szCs w:val="22"/>
        </w:rPr>
        <w:t>The Lancet Public Health</w:t>
      </w:r>
      <w:r w:rsidRPr="00503363">
        <w:rPr>
          <w:rFonts w:ascii="Arial" w:hAnsi="Arial" w:cs="Arial"/>
          <w:color w:val="000000" w:themeColor="text1"/>
          <w:sz w:val="22"/>
          <w:szCs w:val="22"/>
        </w:rPr>
        <w:t>, 2(8), e356-e366. doi:10.1016/S2468-2667(17)30118-4. Available at: </w:t>
      </w:r>
      <w:hyperlink r:id="rId42" w:history="1">
        <w:r w:rsidRPr="00503363">
          <w:rPr>
            <w:rStyle w:val="Hyperlink"/>
            <w:rFonts w:ascii="Arial" w:hAnsi="Arial" w:cs="Arial"/>
            <w:color w:val="000000" w:themeColor="text1"/>
            <w:sz w:val="22"/>
            <w:szCs w:val="22"/>
          </w:rPr>
          <w:t>https://www.thelancet.com/journals/lanpub/article/PIIS2468-2667(17)30118-4/fulltext</w:t>
        </w:r>
      </w:hyperlink>
      <w:r w:rsidRPr="00503363">
        <w:rPr>
          <w:rFonts w:ascii="Arial" w:hAnsi="Arial" w:cs="Arial"/>
          <w:color w:val="000000" w:themeColor="text1"/>
          <w:sz w:val="22"/>
          <w:szCs w:val="22"/>
        </w:rPr>
        <w:t xml:space="preserve"> (Accessed 5 Nov. 2025).</w:t>
      </w:r>
    </w:p>
    <w:p w14:paraId="1A7D9232" w14:textId="429DCEC8"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Institute of Health Equity (2023) </w:t>
      </w:r>
      <w:r w:rsidRPr="00503363">
        <w:rPr>
          <w:rFonts w:ascii="Arial" w:hAnsi="Arial" w:cs="Arial"/>
          <w:i/>
          <w:iCs/>
          <w:color w:val="000000" w:themeColor="text1"/>
          <w:sz w:val="22"/>
          <w:szCs w:val="22"/>
        </w:rPr>
        <w:t>Health Equity in England: The Marmot Review 10 Years On – Update.</w:t>
      </w:r>
      <w:r w:rsidRPr="00503363">
        <w:rPr>
          <w:rFonts w:ascii="Arial" w:hAnsi="Arial" w:cs="Arial"/>
          <w:color w:val="000000" w:themeColor="text1"/>
          <w:sz w:val="22"/>
          <w:szCs w:val="22"/>
        </w:rPr>
        <w:t xml:space="preserve"> London: UCL. Available at: </w:t>
      </w:r>
      <w:hyperlink r:id="rId43" w:history="1">
        <w:r w:rsidRPr="00503363">
          <w:rPr>
            <w:rStyle w:val="Hyperlink"/>
            <w:rFonts w:ascii="Arial" w:hAnsi="Arial" w:cs="Arial"/>
            <w:color w:val="000000" w:themeColor="text1"/>
            <w:sz w:val="22"/>
            <w:szCs w:val="22"/>
          </w:rPr>
          <w:t>https://www.instituteofhealthequity.org/resources-reports/fair-society-healthy-lives-the-marmot-review</w:t>
        </w:r>
      </w:hyperlink>
      <w:r w:rsidRPr="00503363">
        <w:rPr>
          <w:rFonts w:ascii="Arial" w:hAnsi="Arial" w:cs="Arial"/>
          <w:color w:val="000000" w:themeColor="text1"/>
          <w:sz w:val="22"/>
          <w:szCs w:val="22"/>
        </w:rPr>
        <w:t xml:space="preserve"> (Accessed 16 Sep. 2025).</w:t>
      </w:r>
    </w:p>
    <w:p w14:paraId="5E5E4ED2"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Joseph Rowntree Foundation (2023) </w:t>
      </w:r>
      <w:r w:rsidRPr="00503363">
        <w:rPr>
          <w:rFonts w:ascii="Arial" w:hAnsi="Arial" w:cs="Arial"/>
          <w:i/>
          <w:iCs/>
          <w:color w:val="000000" w:themeColor="text1"/>
          <w:sz w:val="22"/>
          <w:szCs w:val="22"/>
        </w:rPr>
        <w:t>UK Poverty 2023: The essential overview.</w:t>
      </w:r>
      <w:r w:rsidRPr="00503363">
        <w:rPr>
          <w:rFonts w:ascii="Arial" w:hAnsi="Arial" w:cs="Arial"/>
          <w:color w:val="000000" w:themeColor="text1"/>
          <w:sz w:val="22"/>
          <w:szCs w:val="22"/>
        </w:rPr>
        <w:t> JRF. Available at: https://www.jrf.org.uk/report/UK-poverty-2023 (Accessed: 10 Nov 2025).</w:t>
      </w:r>
    </w:p>
    <w:p w14:paraId="6302B324" w14:textId="77777777" w:rsidR="00503363" w:rsidRPr="00503363" w:rsidRDefault="00503363" w:rsidP="00503363">
      <w:pPr>
        <w:spacing w:line="360" w:lineRule="auto"/>
        <w:rPr>
          <w:rFonts w:ascii="Arial" w:hAnsi="Arial" w:cs="Arial"/>
          <w:color w:val="000000" w:themeColor="text1"/>
          <w:sz w:val="22"/>
          <w:szCs w:val="22"/>
          <w:shd w:val="clear" w:color="auto" w:fill="FFFFFF"/>
        </w:rPr>
      </w:pPr>
      <w:r w:rsidRPr="00503363">
        <w:rPr>
          <w:rFonts w:ascii="Arial" w:hAnsi="Arial" w:cs="Arial"/>
          <w:color w:val="000000" w:themeColor="text1"/>
          <w:sz w:val="22"/>
          <w:szCs w:val="22"/>
          <w:shd w:val="clear" w:color="auto" w:fill="FFFFFF"/>
        </w:rPr>
        <w:lastRenderedPageBreak/>
        <w:t>Karamanos, A.</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et al.</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color w:val="000000" w:themeColor="text1"/>
          <w:sz w:val="22"/>
          <w:szCs w:val="22"/>
          <w:shd w:val="clear" w:color="auto" w:fill="FFFFFF"/>
        </w:rPr>
        <w:t>(2022) ‘Adverse childhood experiences and adolescent drug use in the UK: The moderating role of socioeconomic position and ethnicity’,</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SSM - population health</w:t>
      </w:r>
      <w:r w:rsidRPr="00503363">
        <w:rPr>
          <w:rFonts w:ascii="Arial" w:hAnsi="Arial" w:cs="Arial"/>
          <w:color w:val="000000" w:themeColor="text1"/>
          <w:sz w:val="22"/>
          <w:szCs w:val="22"/>
          <w:shd w:val="clear" w:color="auto" w:fill="FFFFFF"/>
        </w:rPr>
        <w:t xml:space="preserve">, 19. Available at: </w:t>
      </w:r>
      <w:hyperlink r:id="rId44" w:history="1">
        <w:r w:rsidRPr="00503363">
          <w:rPr>
            <w:rStyle w:val="Hyperlink"/>
            <w:rFonts w:ascii="Arial" w:hAnsi="Arial" w:cs="Arial"/>
            <w:color w:val="000000" w:themeColor="text1"/>
            <w:sz w:val="22"/>
            <w:szCs w:val="22"/>
            <w:shd w:val="clear" w:color="auto" w:fill="FFFFFF"/>
          </w:rPr>
          <w:t>https://doi.org/10.1016/j.ssmph.2022.101142</w:t>
        </w:r>
      </w:hyperlink>
      <w:r w:rsidRPr="00503363">
        <w:rPr>
          <w:rFonts w:ascii="Arial" w:hAnsi="Arial" w:cs="Arial"/>
          <w:color w:val="000000" w:themeColor="text1"/>
          <w:sz w:val="22"/>
          <w:szCs w:val="22"/>
          <w:shd w:val="clear" w:color="auto" w:fill="FFFFFF"/>
        </w:rPr>
        <w:t xml:space="preserve">. </w:t>
      </w:r>
    </w:p>
    <w:p w14:paraId="799F58A5"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Kerr, T., Mitra, S., Kennedy, M. C. &amp; McNeil, R., (2017). ‘Supervised injection facilities in Canada: past, present, and future.’ </w:t>
      </w:r>
      <w:r w:rsidRPr="00503363">
        <w:rPr>
          <w:rFonts w:ascii="Arial" w:hAnsi="Arial" w:cs="Arial"/>
          <w:i/>
          <w:iCs/>
          <w:color w:val="000000" w:themeColor="text1"/>
          <w:sz w:val="22"/>
          <w:szCs w:val="22"/>
        </w:rPr>
        <w:t>Harm Reduction Journal</w:t>
      </w:r>
      <w:r w:rsidRPr="00503363">
        <w:rPr>
          <w:rFonts w:ascii="Arial" w:hAnsi="Arial" w:cs="Arial"/>
          <w:color w:val="000000" w:themeColor="text1"/>
          <w:sz w:val="22"/>
          <w:szCs w:val="22"/>
        </w:rPr>
        <w:t>, 14(28). doi:10.1186/s12954-017-0154-1. Available at: </w:t>
      </w:r>
      <w:hyperlink r:id="rId45" w:tgtFrame="_new" w:history="1">
        <w:r w:rsidRPr="00503363">
          <w:rPr>
            <w:rFonts w:ascii="Arial" w:hAnsi="Arial" w:cs="Arial"/>
            <w:color w:val="000000" w:themeColor="text1"/>
            <w:sz w:val="22"/>
            <w:szCs w:val="22"/>
            <w:u w:val="single"/>
          </w:rPr>
          <w:t>https://harmreductionjournal.biomedcentral.com/articles/10.1186/s12954-017-0154-1</w:t>
        </w:r>
      </w:hyperlink>
      <w:r w:rsidRPr="00503363">
        <w:rPr>
          <w:rFonts w:ascii="Arial" w:hAnsi="Arial" w:cs="Arial"/>
          <w:color w:val="000000" w:themeColor="text1"/>
          <w:sz w:val="22"/>
          <w:szCs w:val="22"/>
        </w:rPr>
        <w:t> (Accessed: 6 Nov. 2025).</w:t>
      </w:r>
    </w:p>
    <w:p w14:paraId="6D47D149" w14:textId="77777777"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Khantzian, E.J. (1997). The self-medication Hypothesis of Substance Use disorders: a Reconsideration and Recent Applications. </w:t>
      </w:r>
      <w:r w:rsidRPr="00503363">
        <w:rPr>
          <w:rFonts w:ascii="Arial" w:hAnsi="Arial" w:cs="Arial"/>
          <w:i/>
          <w:iCs/>
          <w:color w:val="000000" w:themeColor="text1"/>
          <w:sz w:val="22"/>
          <w:szCs w:val="22"/>
        </w:rPr>
        <w:t>Harvard Review of Psychiatry</w:t>
      </w:r>
      <w:r w:rsidRPr="00503363">
        <w:rPr>
          <w:rFonts w:ascii="Arial" w:hAnsi="Arial" w:cs="Arial"/>
          <w:color w:val="000000" w:themeColor="text1"/>
          <w:sz w:val="22"/>
          <w:szCs w:val="22"/>
        </w:rPr>
        <w:t xml:space="preserve">, 4(5), pp.231–244. Available at: </w:t>
      </w:r>
      <w:proofErr w:type="gramStart"/>
      <w:r w:rsidRPr="00503363">
        <w:rPr>
          <w:rFonts w:ascii="Arial" w:hAnsi="Arial" w:cs="Arial"/>
          <w:color w:val="000000" w:themeColor="text1"/>
          <w:sz w:val="22"/>
          <w:szCs w:val="22"/>
        </w:rPr>
        <w:t>doi:https://doi.org/10.3109/10673229709030550</w:t>
      </w:r>
      <w:proofErr w:type="gramEnd"/>
      <w:r w:rsidRPr="00503363">
        <w:rPr>
          <w:rFonts w:ascii="Arial" w:hAnsi="Arial" w:cs="Arial"/>
          <w:color w:val="000000" w:themeColor="text1"/>
          <w:sz w:val="22"/>
          <w:szCs w:val="22"/>
        </w:rPr>
        <w:t xml:space="preserve">. </w:t>
      </w:r>
    </w:p>
    <w:p w14:paraId="5C995A0D" w14:textId="56895327"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shd w:val="clear" w:color="auto" w:fill="FFFFFF"/>
        </w:rPr>
        <w:t>Kwong, A.S.F.</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et al.</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color w:val="000000" w:themeColor="text1"/>
          <w:sz w:val="22"/>
          <w:szCs w:val="22"/>
          <w:shd w:val="clear" w:color="auto" w:fill="FFFFFF"/>
        </w:rPr>
        <w:t>(2021) ‘Mental health before and during the COVID-19 pandemic in two longitudinal UK population cohorts’,</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British journal of psychiatry</w:t>
      </w:r>
      <w:r w:rsidRPr="00503363">
        <w:rPr>
          <w:rFonts w:ascii="Arial" w:hAnsi="Arial" w:cs="Arial"/>
          <w:color w:val="000000" w:themeColor="text1"/>
          <w:sz w:val="22"/>
          <w:szCs w:val="22"/>
          <w:shd w:val="clear" w:color="auto" w:fill="FFFFFF"/>
        </w:rPr>
        <w:t xml:space="preserve">, 218(6), pp. 334–343. Available at: </w:t>
      </w:r>
      <w:hyperlink r:id="rId46" w:history="1">
        <w:r w:rsidRPr="00503363">
          <w:rPr>
            <w:rStyle w:val="Hyperlink"/>
            <w:rFonts w:ascii="Arial" w:hAnsi="Arial" w:cs="Arial"/>
            <w:color w:val="000000" w:themeColor="text1"/>
            <w:sz w:val="22"/>
            <w:szCs w:val="22"/>
            <w:shd w:val="clear" w:color="auto" w:fill="FFFFFF"/>
          </w:rPr>
          <w:t>https://doi.org/10.1192/bjp.2020.242</w:t>
        </w:r>
      </w:hyperlink>
      <w:r w:rsidRPr="00503363">
        <w:rPr>
          <w:rFonts w:ascii="Arial" w:hAnsi="Arial" w:cs="Arial"/>
          <w:color w:val="000000" w:themeColor="text1"/>
          <w:sz w:val="22"/>
          <w:szCs w:val="22"/>
          <w:shd w:val="clear" w:color="auto" w:fill="FFFFFF"/>
        </w:rPr>
        <w:t>.</w:t>
      </w:r>
    </w:p>
    <w:p w14:paraId="022083F6"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shd w:val="clear" w:color="auto" w:fill="FFFFFF"/>
        </w:rPr>
        <w:t>Lister, R. and Deacon, A. (2004) ‘Poverty’,</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 xml:space="preserve">Social policy and </w:t>
      </w:r>
      <w:proofErr w:type="gramStart"/>
      <w:r w:rsidRPr="00503363">
        <w:rPr>
          <w:rFonts w:ascii="Arial" w:hAnsi="Arial" w:cs="Arial"/>
          <w:i/>
          <w:iCs/>
          <w:color w:val="000000" w:themeColor="text1"/>
          <w:sz w:val="22"/>
          <w:szCs w:val="22"/>
        </w:rPr>
        <w:t>society :</w:t>
      </w:r>
      <w:proofErr w:type="gramEnd"/>
      <w:r w:rsidRPr="00503363">
        <w:rPr>
          <w:rFonts w:ascii="Arial" w:hAnsi="Arial" w:cs="Arial"/>
          <w:i/>
          <w:iCs/>
          <w:color w:val="000000" w:themeColor="text1"/>
          <w:sz w:val="22"/>
          <w:szCs w:val="22"/>
        </w:rPr>
        <w:t xml:space="preserve"> a journal of the Social Policy Association</w:t>
      </w:r>
      <w:r w:rsidRPr="00503363">
        <w:rPr>
          <w:rFonts w:ascii="Arial" w:hAnsi="Arial" w:cs="Arial"/>
          <w:color w:val="000000" w:themeColor="text1"/>
          <w:sz w:val="22"/>
          <w:szCs w:val="22"/>
          <w:shd w:val="clear" w:color="auto" w:fill="FFFFFF"/>
        </w:rPr>
        <w:t>, pp. 447–455.</w:t>
      </w:r>
    </w:p>
    <w:p w14:paraId="195DF8FD"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Lloyd, C., King, R. and Moore, L. (2019) </w:t>
      </w:r>
      <w:r w:rsidRPr="00503363">
        <w:rPr>
          <w:rFonts w:ascii="Arial" w:hAnsi="Arial" w:cs="Arial"/>
          <w:i/>
          <w:iCs/>
          <w:color w:val="000000" w:themeColor="text1"/>
          <w:sz w:val="22"/>
          <w:szCs w:val="22"/>
        </w:rPr>
        <w:t xml:space="preserve">Subjective barriers to accessing mental health services: A qualitative </w:t>
      </w:r>
      <w:proofErr w:type="gramStart"/>
      <w:r w:rsidRPr="00503363">
        <w:rPr>
          <w:rFonts w:ascii="Arial" w:hAnsi="Arial" w:cs="Arial"/>
          <w:i/>
          <w:iCs/>
          <w:color w:val="000000" w:themeColor="text1"/>
          <w:sz w:val="22"/>
          <w:szCs w:val="22"/>
        </w:rPr>
        <w:t>review.</w:t>
      </w:r>
      <w:r w:rsidRPr="00503363">
        <w:rPr>
          <w:rFonts w:ascii="Arial" w:hAnsi="Arial" w:cs="Arial"/>
          <w:color w:val="000000" w:themeColor="text1"/>
          <w:sz w:val="22"/>
          <w:szCs w:val="22"/>
        </w:rPr>
        <w:t>Journal</w:t>
      </w:r>
      <w:proofErr w:type="gramEnd"/>
      <w:r w:rsidRPr="00503363">
        <w:rPr>
          <w:rFonts w:ascii="Arial" w:hAnsi="Arial" w:cs="Arial"/>
          <w:color w:val="000000" w:themeColor="text1"/>
          <w:sz w:val="22"/>
          <w:szCs w:val="22"/>
        </w:rPr>
        <w:t xml:space="preserve"> of Mental Health, 28(3), pp.234–245.</w:t>
      </w:r>
    </w:p>
    <w:p w14:paraId="40060411" w14:textId="0342164B"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Lloyd, C., Steadman, K., and Murphy, H. (2019) </w:t>
      </w:r>
      <w:r w:rsidRPr="00503363">
        <w:rPr>
          <w:rFonts w:ascii="Arial" w:hAnsi="Arial" w:cs="Arial"/>
          <w:i/>
          <w:iCs/>
          <w:color w:val="000000" w:themeColor="text1"/>
          <w:sz w:val="22"/>
          <w:szCs w:val="22"/>
        </w:rPr>
        <w:t>Insecure Work and Mental Health: Evidence Review.</w:t>
      </w:r>
      <w:r w:rsidRPr="00503363">
        <w:rPr>
          <w:rFonts w:ascii="Arial" w:hAnsi="Arial" w:cs="Arial"/>
          <w:color w:val="000000" w:themeColor="text1"/>
          <w:sz w:val="22"/>
          <w:szCs w:val="22"/>
        </w:rPr>
        <w:t> The Work Foundation. Available at: </w:t>
      </w:r>
      <w:hyperlink r:id="rId47" w:tgtFrame="_new" w:history="1">
        <w:r w:rsidRPr="00503363">
          <w:rPr>
            <w:rFonts w:ascii="Arial" w:hAnsi="Arial" w:cs="Arial"/>
            <w:color w:val="000000" w:themeColor="text1"/>
            <w:sz w:val="22"/>
            <w:szCs w:val="22"/>
            <w:u w:val="single"/>
          </w:rPr>
          <w:t>https://www.theworkfoundation.com</w:t>
        </w:r>
      </w:hyperlink>
      <w:r w:rsidRPr="00503363">
        <w:rPr>
          <w:rFonts w:ascii="Arial" w:hAnsi="Arial" w:cs="Arial"/>
          <w:color w:val="000000" w:themeColor="text1"/>
          <w:sz w:val="22"/>
          <w:szCs w:val="22"/>
        </w:rPr>
        <w:t> (Accessed: 5 June 2025).</w:t>
      </w:r>
      <w:r w:rsidRPr="00503363">
        <w:rPr>
          <w:rFonts w:ascii="Arial" w:hAnsi="Arial" w:cs="Arial"/>
          <w:color w:val="000000" w:themeColor="text1"/>
          <w:sz w:val="22"/>
          <w:szCs w:val="22"/>
        </w:rPr>
        <w:br/>
        <w:t>Lloyd, C., Waghorn, G. &amp; Williams, P.L., (2019). ‘The role of social and economic factors in recovery from addiction’, </w:t>
      </w:r>
      <w:r w:rsidRPr="00503363">
        <w:rPr>
          <w:rFonts w:ascii="Arial" w:hAnsi="Arial" w:cs="Arial"/>
          <w:i/>
          <w:iCs/>
          <w:color w:val="000000" w:themeColor="text1"/>
          <w:sz w:val="22"/>
          <w:szCs w:val="22"/>
        </w:rPr>
        <w:t>Addiction Research &amp; Theory</w:t>
      </w:r>
      <w:r w:rsidRPr="00503363">
        <w:rPr>
          <w:rFonts w:ascii="Arial" w:hAnsi="Arial" w:cs="Arial"/>
          <w:color w:val="000000" w:themeColor="text1"/>
          <w:sz w:val="22"/>
          <w:szCs w:val="22"/>
        </w:rPr>
        <w:t>, 27(1), pp.1–9. Available at: </w:t>
      </w:r>
      <w:hyperlink r:id="rId48" w:history="1">
        <w:r w:rsidRPr="00503363">
          <w:rPr>
            <w:rStyle w:val="Hyperlink"/>
            <w:rFonts w:ascii="Arial" w:hAnsi="Arial" w:cs="Arial"/>
            <w:color w:val="000000" w:themeColor="text1"/>
            <w:sz w:val="22"/>
            <w:szCs w:val="22"/>
          </w:rPr>
          <w:t>https://doi:10.1080/16066359.2018.1478429</w:t>
        </w:r>
      </w:hyperlink>
      <w:r w:rsidRPr="00503363">
        <w:rPr>
          <w:rFonts w:ascii="Arial" w:hAnsi="Arial" w:cs="Arial"/>
          <w:color w:val="000000" w:themeColor="text1"/>
          <w:sz w:val="22"/>
          <w:szCs w:val="22"/>
        </w:rPr>
        <w:t xml:space="preserve">. </w:t>
      </w:r>
    </w:p>
    <w:p w14:paraId="1FC505F7" w14:textId="77777777"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Marmot, M., Allen, J., Boyce, T., Goldblatt, P. and Morrison, J. (2020). </w:t>
      </w:r>
      <w:r w:rsidRPr="00503363">
        <w:rPr>
          <w:rFonts w:ascii="Arial" w:hAnsi="Arial" w:cs="Arial"/>
          <w:i/>
          <w:iCs/>
          <w:color w:val="000000" w:themeColor="text1"/>
          <w:sz w:val="22"/>
          <w:szCs w:val="22"/>
        </w:rPr>
        <w:t xml:space="preserve">Health Equity in England: </w:t>
      </w:r>
      <w:proofErr w:type="gramStart"/>
      <w:r w:rsidRPr="00503363">
        <w:rPr>
          <w:rFonts w:ascii="Arial" w:hAnsi="Arial" w:cs="Arial"/>
          <w:i/>
          <w:iCs/>
          <w:color w:val="000000" w:themeColor="text1"/>
          <w:sz w:val="22"/>
          <w:szCs w:val="22"/>
        </w:rPr>
        <w:t>the</w:t>
      </w:r>
      <w:proofErr w:type="gramEnd"/>
      <w:r w:rsidRPr="00503363">
        <w:rPr>
          <w:rFonts w:ascii="Arial" w:hAnsi="Arial" w:cs="Arial"/>
          <w:i/>
          <w:iCs/>
          <w:color w:val="000000" w:themeColor="text1"/>
          <w:sz w:val="22"/>
          <w:szCs w:val="22"/>
        </w:rPr>
        <w:t xml:space="preserve"> Marmot Review 10 Years On</w:t>
      </w:r>
      <w:r w:rsidRPr="00503363">
        <w:rPr>
          <w:rFonts w:ascii="Arial" w:hAnsi="Arial" w:cs="Arial"/>
          <w:color w:val="000000" w:themeColor="text1"/>
          <w:sz w:val="22"/>
          <w:szCs w:val="22"/>
        </w:rPr>
        <w:t xml:space="preserve">. Institute of Health Equity. Available at: </w:t>
      </w:r>
      <w:hyperlink r:id="rId49" w:history="1">
        <w:r w:rsidRPr="00503363">
          <w:rPr>
            <w:rStyle w:val="Hyperlink"/>
            <w:rFonts w:ascii="Arial" w:hAnsi="Arial" w:cs="Arial"/>
            <w:color w:val="000000" w:themeColor="text1"/>
            <w:sz w:val="22"/>
            <w:szCs w:val="22"/>
          </w:rPr>
          <w:t>https://www.instituteofhealthequity.org/resources-reports/marmot-review-10-years-on/the-marmot-review-10-years-on-full-report.pdf</w:t>
        </w:r>
      </w:hyperlink>
      <w:r w:rsidRPr="00503363">
        <w:rPr>
          <w:rFonts w:ascii="Arial" w:hAnsi="Arial" w:cs="Arial"/>
          <w:color w:val="000000" w:themeColor="text1"/>
          <w:sz w:val="22"/>
          <w:szCs w:val="22"/>
        </w:rPr>
        <w:t>. (Accessed: 6 Sep. 2025).</w:t>
      </w:r>
    </w:p>
    <w:p w14:paraId="6A769D1F" w14:textId="37219E5C"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shd w:val="clear" w:color="auto" w:fill="FFFFFF"/>
        </w:rPr>
        <w:t>Meadows, D.H. (2008) </w:t>
      </w:r>
      <w:r w:rsidRPr="00503363">
        <w:rPr>
          <w:rFonts w:ascii="Arial" w:hAnsi="Arial" w:cs="Arial"/>
          <w:i/>
          <w:iCs/>
          <w:color w:val="000000" w:themeColor="text1"/>
          <w:sz w:val="22"/>
          <w:szCs w:val="22"/>
        </w:rPr>
        <w:t xml:space="preserve">Thinking in </w:t>
      </w:r>
      <w:proofErr w:type="gramStart"/>
      <w:r w:rsidRPr="00503363">
        <w:rPr>
          <w:rFonts w:ascii="Arial" w:hAnsi="Arial" w:cs="Arial"/>
          <w:i/>
          <w:iCs/>
          <w:color w:val="000000" w:themeColor="text1"/>
          <w:sz w:val="22"/>
          <w:szCs w:val="22"/>
        </w:rPr>
        <w:t>systems :</w:t>
      </w:r>
      <w:proofErr w:type="gramEnd"/>
      <w:r w:rsidRPr="00503363">
        <w:rPr>
          <w:rFonts w:ascii="Arial" w:hAnsi="Arial" w:cs="Arial"/>
          <w:i/>
          <w:iCs/>
          <w:color w:val="000000" w:themeColor="text1"/>
          <w:sz w:val="22"/>
          <w:szCs w:val="22"/>
        </w:rPr>
        <w:t xml:space="preserve"> a primer</w:t>
      </w:r>
      <w:r w:rsidRPr="00503363">
        <w:rPr>
          <w:rFonts w:ascii="Arial" w:hAnsi="Arial" w:cs="Arial"/>
          <w:color w:val="000000" w:themeColor="text1"/>
          <w:sz w:val="22"/>
          <w:szCs w:val="22"/>
          <w:shd w:val="clear" w:color="auto" w:fill="FFFFFF"/>
        </w:rPr>
        <w:t>. Edited by D. Wright. White River Junction, Vt: Chelsea Green Pub.</w:t>
      </w:r>
    </w:p>
    <w:p w14:paraId="474DE9E0" w14:textId="77777777" w:rsidR="00503363" w:rsidRPr="00503363" w:rsidRDefault="00503363" w:rsidP="00503363">
      <w:pPr>
        <w:spacing w:before="100" w:beforeAutospacing="1" w:after="100" w:afterAutospacing="1" w:line="360" w:lineRule="auto"/>
        <w:rPr>
          <w:rFonts w:ascii="Arial" w:hAnsi="Arial" w:cs="Arial"/>
          <w:color w:val="000000" w:themeColor="text1"/>
          <w:sz w:val="22"/>
          <w:szCs w:val="22"/>
        </w:rPr>
      </w:pPr>
      <w:r w:rsidRPr="00503363">
        <w:rPr>
          <w:rFonts w:ascii="Arial" w:hAnsi="Arial" w:cs="Arial"/>
          <w:color w:val="000000" w:themeColor="text1"/>
          <w:sz w:val="22"/>
          <w:szCs w:val="22"/>
        </w:rPr>
        <w:t>Mind (2022) </w:t>
      </w:r>
      <w:r w:rsidRPr="00503363">
        <w:rPr>
          <w:rFonts w:ascii="Arial" w:hAnsi="Arial" w:cs="Arial"/>
          <w:i/>
          <w:iCs/>
          <w:color w:val="000000" w:themeColor="text1"/>
          <w:sz w:val="22"/>
          <w:szCs w:val="22"/>
        </w:rPr>
        <w:t>Mental Health in the Pandemic: Inequality and Recovery.</w:t>
      </w:r>
      <w:r w:rsidRPr="00503363">
        <w:rPr>
          <w:rFonts w:ascii="Arial" w:hAnsi="Arial" w:cs="Arial"/>
          <w:color w:val="000000" w:themeColor="text1"/>
          <w:sz w:val="22"/>
          <w:szCs w:val="22"/>
        </w:rPr>
        <w:t> London: Mind. Available at: </w:t>
      </w:r>
      <w:hyperlink r:id="rId50" w:tgtFrame="_new" w:history="1">
        <w:r w:rsidRPr="00503363">
          <w:rPr>
            <w:rFonts w:ascii="Arial" w:hAnsi="Arial" w:cs="Arial"/>
            <w:color w:val="000000" w:themeColor="text1"/>
            <w:sz w:val="22"/>
            <w:szCs w:val="22"/>
            <w:u w:val="single"/>
          </w:rPr>
          <w:t>https://www.mind.org.uk</w:t>
        </w:r>
      </w:hyperlink>
      <w:r w:rsidRPr="00503363">
        <w:rPr>
          <w:rFonts w:ascii="Arial" w:hAnsi="Arial" w:cs="Arial"/>
          <w:color w:val="000000" w:themeColor="text1"/>
          <w:sz w:val="22"/>
          <w:szCs w:val="22"/>
        </w:rPr>
        <w:t> (Accessed: 10 June 2025).</w:t>
      </w:r>
    </w:p>
    <w:p w14:paraId="5AFE9DAD" w14:textId="60841CB3" w:rsidR="00503363" w:rsidRPr="00503363" w:rsidRDefault="00503363" w:rsidP="00503363">
      <w:pPr>
        <w:spacing w:before="100" w:beforeAutospacing="1" w:after="100" w:afterAutospacing="1" w:line="360" w:lineRule="auto"/>
        <w:rPr>
          <w:rFonts w:ascii="Arial" w:hAnsi="Arial" w:cs="Arial"/>
          <w:color w:val="000000" w:themeColor="text1"/>
          <w:sz w:val="22"/>
          <w:szCs w:val="22"/>
        </w:rPr>
      </w:pPr>
      <w:r w:rsidRPr="00503363">
        <w:rPr>
          <w:rFonts w:ascii="Arial" w:hAnsi="Arial" w:cs="Arial"/>
          <w:color w:val="000000" w:themeColor="text1"/>
          <w:sz w:val="22"/>
          <w:szCs w:val="22"/>
        </w:rPr>
        <w:lastRenderedPageBreak/>
        <w:t>Mind (2023)</w:t>
      </w:r>
      <w:r w:rsidRPr="00503363">
        <w:rPr>
          <w:rStyle w:val="apple-converted-space"/>
          <w:rFonts w:ascii="Arial" w:hAnsi="Arial" w:cs="Arial"/>
          <w:color w:val="000000" w:themeColor="text1"/>
          <w:sz w:val="22"/>
          <w:szCs w:val="22"/>
        </w:rPr>
        <w:t> </w:t>
      </w:r>
      <w:r w:rsidRPr="00503363">
        <w:rPr>
          <w:rStyle w:val="Emphasis"/>
          <w:rFonts w:ascii="Arial" w:hAnsi="Arial" w:cs="Arial"/>
          <w:color w:val="000000" w:themeColor="text1"/>
          <w:sz w:val="22"/>
          <w:szCs w:val="22"/>
        </w:rPr>
        <w:t>Mental health problems: An introduction.</w:t>
      </w:r>
      <w:r w:rsidRPr="00503363">
        <w:rPr>
          <w:rStyle w:val="apple-converted-space"/>
          <w:rFonts w:ascii="Arial" w:hAnsi="Arial" w:cs="Arial"/>
          <w:color w:val="000000" w:themeColor="text1"/>
          <w:sz w:val="22"/>
          <w:szCs w:val="22"/>
        </w:rPr>
        <w:t> </w:t>
      </w:r>
      <w:r w:rsidRPr="00503363">
        <w:rPr>
          <w:rFonts w:ascii="Arial" w:hAnsi="Arial" w:cs="Arial"/>
          <w:color w:val="000000" w:themeColor="text1"/>
          <w:sz w:val="22"/>
          <w:szCs w:val="22"/>
        </w:rPr>
        <w:t>Available at:</w:t>
      </w:r>
      <w:r w:rsidRPr="00503363">
        <w:rPr>
          <w:rStyle w:val="apple-converted-space"/>
          <w:rFonts w:ascii="Arial" w:hAnsi="Arial" w:cs="Arial"/>
          <w:color w:val="000000" w:themeColor="text1"/>
          <w:sz w:val="22"/>
          <w:szCs w:val="22"/>
        </w:rPr>
        <w:t> </w:t>
      </w:r>
      <w:hyperlink r:id="rId51" w:tgtFrame="_new" w:history="1">
        <w:r w:rsidRPr="00503363">
          <w:rPr>
            <w:rStyle w:val="Hyperlink"/>
            <w:rFonts w:ascii="Arial" w:hAnsi="Arial" w:cs="Arial"/>
            <w:color w:val="000000" w:themeColor="text1"/>
            <w:sz w:val="22"/>
            <w:szCs w:val="22"/>
          </w:rPr>
          <w:t>https://www.mind.org.uk</w:t>
        </w:r>
      </w:hyperlink>
      <w:r w:rsidRPr="00503363">
        <w:rPr>
          <w:rStyle w:val="apple-converted-space"/>
          <w:rFonts w:ascii="Arial" w:hAnsi="Arial" w:cs="Arial"/>
          <w:color w:val="000000" w:themeColor="text1"/>
          <w:sz w:val="22"/>
          <w:szCs w:val="22"/>
        </w:rPr>
        <w:t> </w:t>
      </w:r>
      <w:r w:rsidRPr="00503363">
        <w:rPr>
          <w:rFonts w:ascii="Arial" w:hAnsi="Arial" w:cs="Arial"/>
          <w:color w:val="000000" w:themeColor="text1"/>
          <w:sz w:val="22"/>
          <w:szCs w:val="22"/>
        </w:rPr>
        <w:t>(Accessed: 10 November 2025).</w:t>
      </w:r>
      <w:r w:rsidRPr="00503363">
        <w:rPr>
          <w:rFonts w:ascii="Arial" w:hAnsi="Arial" w:cs="Arial"/>
          <w:color w:val="000000" w:themeColor="text1"/>
          <w:sz w:val="22"/>
          <w:szCs w:val="22"/>
        </w:rPr>
        <w:br/>
        <w:t>Mind, (2023). </w:t>
      </w:r>
      <w:r w:rsidRPr="00503363">
        <w:rPr>
          <w:rFonts w:ascii="Arial" w:hAnsi="Arial" w:cs="Arial"/>
          <w:i/>
          <w:iCs/>
          <w:color w:val="000000" w:themeColor="text1"/>
          <w:sz w:val="22"/>
          <w:szCs w:val="22"/>
        </w:rPr>
        <w:t>Mental Health in the UK: Barriers to Accessing Support.</w:t>
      </w:r>
      <w:r w:rsidRPr="00503363">
        <w:rPr>
          <w:rFonts w:ascii="Arial" w:hAnsi="Arial" w:cs="Arial"/>
          <w:color w:val="000000" w:themeColor="text1"/>
          <w:sz w:val="22"/>
          <w:szCs w:val="22"/>
        </w:rPr>
        <w:t> London: Mind. Available at: </w:t>
      </w:r>
      <w:hyperlink r:id="rId52" w:tgtFrame="_new" w:history="1">
        <w:r w:rsidRPr="00503363">
          <w:rPr>
            <w:rFonts w:ascii="Arial" w:hAnsi="Arial" w:cs="Arial"/>
            <w:color w:val="000000" w:themeColor="text1"/>
            <w:sz w:val="22"/>
            <w:szCs w:val="22"/>
            <w:u w:val="single"/>
          </w:rPr>
          <w:t>https://www.mind.org.uk/information-support/guides-to-support-and-services/seeking-help-for-a-mental-health-problem/facing-and-overcoming-barriers/</w:t>
        </w:r>
      </w:hyperlink>
      <w:r w:rsidRPr="00503363">
        <w:rPr>
          <w:rFonts w:ascii="Arial" w:hAnsi="Arial" w:cs="Arial"/>
          <w:color w:val="000000" w:themeColor="text1"/>
          <w:sz w:val="22"/>
          <w:szCs w:val="22"/>
        </w:rPr>
        <w:t> (Accessed 5 Nov. 2025).</w:t>
      </w:r>
      <w:r w:rsidRPr="00503363">
        <w:rPr>
          <w:rFonts w:ascii="Arial" w:hAnsi="Arial" w:cs="Arial"/>
          <w:color w:val="000000" w:themeColor="text1"/>
          <w:sz w:val="22"/>
          <w:szCs w:val="22"/>
        </w:rPr>
        <w:br/>
        <w:t>Molina, G. &amp; Whittaker, A., (2022). ‘Treatment of PTSD and substance use disorder in adults with a history of ACEs: A systematic review’, </w:t>
      </w:r>
      <w:r w:rsidRPr="00503363">
        <w:rPr>
          <w:rFonts w:ascii="Arial" w:hAnsi="Arial" w:cs="Arial"/>
          <w:i/>
          <w:iCs/>
          <w:color w:val="000000" w:themeColor="text1"/>
          <w:sz w:val="22"/>
          <w:szCs w:val="22"/>
        </w:rPr>
        <w:t>Drug and Alcohol Dependence Reports</w:t>
      </w:r>
      <w:r w:rsidRPr="00503363">
        <w:rPr>
          <w:rFonts w:ascii="Arial" w:hAnsi="Arial" w:cs="Arial"/>
          <w:color w:val="000000" w:themeColor="text1"/>
          <w:sz w:val="22"/>
          <w:szCs w:val="22"/>
        </w:rPr>
        <w:t xml:space="preserve">, 2, 100028. Available at: </w:t>
      </w:r>
      <w:hyperlink r:id="rId53" w:history="1">
        <w:r w:rsidRPr="00503363">
          <w:rPr>
            <w:rStyle w:val="Hyperlink"/>
            <w:rFonts w:ascii="Arial" w:hAnsi="Arial" w:cs="Arial"/>
            <w:color w:val="000000" w:themeColor="text1"/>
            <w:sz w:val="22"/>
            <w:szCs w:val="22"/>
          </w:rPr>
          <w:t>https://doi:10.1016/j.dadr.2022.100028</w:t>
        </w:r>
      </w:hyperlink>
      <w:r w:rsidRPr="00503363">
        <w:rPr>
          <w:rFonts w:ascii="Arial" w:hAnsi="Arial" w:cs="Arial"/>
          <w:color w:val="000000" w:themeColor="text1"/>
          <w:sz w:val="22"/>
          <w:szCs w:val="22"/>
        </w:rPr>
        <w:t xml:space="preserve">.   </w:t>
      </w:r>
    </w:p>
    <w:p w14:paraId="74F3E7F6"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Mold, A. and Duke, K. (2020) ‘The long history of British drug policy’,</w:t>
      </w:r>
      <w:r w:rsidRPr="00503363">
        <w:rPr>
          <w:rStyle w:val="apple-converted-space"/>
          <w:rFonts w:ascii="Arial" w:hAnsi="Arial" w:cs="Arial"/>
          <w:color w:val="000000" w:themeColor="text1"/>
          <w:sz w:val="22"/>
          <w:szCs w:val="22"/>
        </w:rPr>
        <w:t> </w:t>
      </w:r>
      <w:r w:rsidRPr="00503363">
        <w:rPr>
          <w:rStyle w:val="Emphasis"/>
          <w:rFonts w:ascii="Arial" w:hAnsi="Arial" w:cs="Arial"/>
          <w:color w:val="000000" w:themeColor="text1"/>
          <w:sz w:val="22"/>
          <w:szCs w:val="22"/>
        </w:rPr>
        <w:t>Journal of Policy History</w:t>
      </w:r>
      <w:r w:rsidRPr="00503363">
        <w:rPr>
          <w:rFonts w:ascii="Arial" w:hAnsi="Arial" w:cs="Arial"/>
          <w:color w:val="000000" w:themeColor="text1"/>
          <w:sz w:val="22"/>
          <w:szCs w:val="22"/>
        </w:rPr>
        <w:t>, 32(4), pp. 593–616.</w:t>
      </w:r>
    </w:p>
    <w:p w14:paraId="4C16BAB5" w14:textId="77777777" w:rsidR="00503363" w:rsidRPr="00503363" w:rsidRDefault="00503363" w:rsidP="00503363">
      <w:pPr>
        <w:spacing w:line="360" w:lineRule="auto"/>
        <w:rPr>
          <w:rFonts w:ascii="Arial" w:hAnsi="Arial" w:cs="Arial"/>
          <w:color w:val="000000" w:themeColor="text1"/>
          <w:sz w:val="22"/>
          <w:szCs w:val="22"/>
          <w:shd w:val="clear" w:color="auto" w:fill="FFFFFF"/>
        </w:rPr>
      </w:pPr>
      <w:r w:rsidRPr="00503363">
        <w:rPr>
          <w:rFonts w:ascii="Arial" w:hAnsi="Arial" w:cs="Arial"/>
          <w:color w:val="000000" w:themeColor="text1"/>
          <w:sz w:val="22"/>
          <w:szCs w:val="22"/>
          <w:shd w:val="clear" w:color="auto" w:fill="FFFFFF"/>
        </w:rPr>
        <w:t>Molina, G. and Whittaker, A. (2022) ‘Treatment of post-traumatic stress disorder and substance use disorder in adults with a history of adverse childhood experiences: A systematic review of psychological interventions’,</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Drug and alcohol dependence reports</w:t>
      </w:r>
      <w:r w:rsidRPr="00503363">
        <w:rPr>
          <w:rFonts w:ascii="Arial" w:hAnsi="Arial" w:cs="Arial"/>
          <w:color w:val="000000" w:themeColor="text1"/>
          <w:sz w:val="22"/>
          <w:szCs w:val="22"/>
          <w:shd w:val="clear" w:color="auto" w:fill="FFFFFF"/>
        </w:rPr>
        <w:t xml:space="preserve">, 2. Available at: </w:t>
      </w:r>
      <w:hyperlink r:id="rId54" w:history="1">
        <w:r w:rsidRPr="00503363">
          <w:rPr>
            <w:rStyle w:val="Hyperlink"/>
            <w:rFonts w:ascii="Arial" w:hAnsi="Arial" w:cs="Arial"/>
            <w:color w:val="000000" w:themeColor="text1"/>
            <w:sz w:val="22"/>
            <w:szCs w:val="22"/>
            <w:shd w:val="clear" w:color="auto" w:fill="FFFFFF"/>
          </w:rPr>
          <w:t>https://doi.org/10.1016/j.dadr.2022.100028</w:t>
        </w:r>
      </w:hyperlink>
      <w:r w:rsidRPr="00503363">
        <w:rPr>
          <w:rFonts w:ascii="Arial" w:hAnsi="Arial" w:cs="Arial"/>
          <w:color w:val="000000" w:themeColor="text1"/>
          <w:sz w:val="22"/>
          <w:szCs w:val="22"/>
          <w:shd w:val="clear" w:color="auto" w:fill="FFFFFF"/>
        </w:rPr>
        <w:t xml:space="preserve">. </w:t>
      </w:r>
      <w:r w:rsidRPr="00503363">
        <w:rPr>
          <w:rFonts w:ascii="Arial" w:hAnsi="Arial" w:cs="Arial"/>
          <w:color w:val="000000" w:themeColor="text1"/>
          <w:sz w:val="22"/>
          <w:szCs w:val="22"/>
        </w:rPr>
        <w:t>(Accessed 5 Nov. 2025).</w:t>
      </w:r>
    </w:p>
    <w:p w14:paraId="1F0592CA"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National Institute for Health and Care Excellence (2021)</w:t>
      </w:r>
      <w:r w:rsidRPr="00503363">
        <w:rPr>
          <w:rStyle w:val="apple-converted-space"/>
          <w:rFonts w:ascii="Arial" w:hAnsi="Arial" w:cs="Arial"/>
          <w:color w:val="000000" w:themeColor="text1"/>
          <w:sz w:val="22"/>
          <w:szCs w:val="22"/>
        </w:rPr>
        <w:t> </w:t>
      </w:r>
      <w:r w:rsidRPr="00503363">
        <w:rPr>
          <w:rStyle w:val="Emphasis"/>
          <w:rFonts w:ascii="Arial" w:hAnsi="Arial" w:cs="Arial"/>
          <w:color w:val="000000" w:themeColor="text1"/>
          <w:sz w:val="22"/>
          <w:szCs w:val="22"/>
        </w:rPr>
        <w:t>Coexisting severe mental illness and substance misuse: community health and social care services (NG58).</w:t>
      </w:r>
      <w:r w:rsidRPr="00503363">
        <w:rPr>
          <w:rStyle w:val="apple-converted-space"/>
          <w:rFonts w:ascii="Arial" w:hAnsi="Arial" w:cs="Arial"/>
          <w:color w:val="000000" w:themeColor="text1"/>
          <w:sz w:val="22"/>
          <w:szCs w:val="22"/>
        </w:rPr>
        <w:t> </w:t>
      </w:r>
      <w:r w:rsidRPr="00503363">
        <w:rPr>
          <w:rFonts w:ascii="Arial" w:hAnsi="Arial" w:cs="Arial"/>
          <w:color w:val="000000" w:themeColor="text1"/>
          <w:sz w:val="22"/>
          <w:szCs w:val="22"/>
        </w:rPr>
        <w:t>Available at:</w:t>
      </w:r>
      <w:r w:rsidRPr="00503363">
        <w:rPr>
          <w:rStyle w:val="apple-converted-space"/>
          <w:rFonts w:ascii="Arial" w:hAnsi="Arial" w:cs="Arial"/>
          <w:color w:val="000000" w:themeColor="text1"/>
          <w:sz w:val="22"/>
          <w:szCs w:val="22"/>
        </w:rPr>
        <w:t> </w:t>
      </w:r>
      <w:hyperlink r:id="rId55" w:tgtFrame="_new" w:history="1">
        <w:r w:rsidRPr="00503363">
          <w:rPr>
            <w:rStyle w:val="Hyperlink"/>
            <w:rFonts w:ascii="Arial" w:hAnsi="Arial" w:cs="Arial"/>
            <w:color w:val="000000" w:themeColor="text1"/>
            <w:sz w:val="22"/>
            <w:szCs w:val="22"/>
          </w:rPr>
          <w:t>https://www.nice.org.uk/guidance/ng58</w:t>
        </w:r>
      </w:hyperlink>
      <w:r w:rsidRPr="00503363">
        <w:rPr>
          <w:rStyle w:val="apple-converted-space"/>
          <w:rFonts w:ascii="Arial" w:hAnsi="Arial" w:cs="Arial"/>
          <w:color w:val="000000" w:themeColor="text1"/>
          <w:sz w:val="22"/>
          <w:szCs w:val="22"/>
        </w:rPr>
        <w:t> </w:t>
      </w:r>
      <w:r w:rsidRPr="00503363">
        <w:rPr>
          <w:rFonts w:ascii="Arial" w:hAnsi="Arial" w:cs="Arial"/>
          <w:color w:val="000000" w:themeColor="text1"/>
          <w:sz w:val="22"/>
          <w:szCs w:val="22"/>
        </w:rPr>
        <w:t>(Accessed: 11 Nov 2024).</w:t>
      </w:r>
    </w:p>
    <w:p w14:paraId="2E2C8B0A"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National Institute for Health and Care Excellence (2022)</w:t>
      </w:r>
      <w:r w:rsidRPr="00503363">
        <w:rPr>
          <w:rStyle w:val="apple-converted-space"/>
          <w:rFonts w:ascii="Arial" w:hAnsi="Arial" w:cs="Arial"/>
          <w:color w:val="000000" w:themeColor="text1"/>
          <w:sz w:val="22"/>
          <w:szCs w:val="22"/>
        </w:rPr>
        <w:t> </w:t>
      </w:r>
      <w:r w:rsidRPr="00503363">
        <w:rPr>
          <w:rStyle w:val="Emphasis"/>
          <w:rFonts w:ascii="Arial" w:hAnsi="Arial" w:cs="Arial"/>
          <w:color w:val="000000" w:themeColor="text1"/>
          <w:sz w:val="22"/>
          <w:szCs w:val="22"/>
        </w:rPr>
        <w:t xml:space="preserve">Integrated care systems and mental health: service </w:t>
      </w:r>
      <w:proofErr w:type="gramStart"/>
      <w:r w:rsidRPr="00503363">
        <w:rPr>
          <w:rStyle w:val="Emphasis"/>
          <w:rFonts w:ascii="Arial" w:hAnsi="Arial" w:cs="Arial"/>
          <w:color w:val="000000" w:themeColor="text1"/>
          <w:sz w:val="22"/>
          <w:szCs w:val="22"/>
        </w:rPr>
        <w:t>guidance.</w:t>
      </w:r>
      <w:r w:rsidRPr="00503363">
        <w:rPr>
          <w:rFonts w:ascii="Arial" w:hAnsi="Arial" w:cs="Arial"/>
          <w:color w:val="000000" w:themeColor="text1"/>
          <w:sz w:val="22"/>
          <w:szCs w:val="22"/>
        </w:rPr>
        <w:t>Available</w:t>
      </w:r>
      <w:proofErr w:type="gramEnd"/>
      <w:r w:rsidRPr="00503363">
        <w:rPr>
          <w:rFonts w:ascii="Arial" w:hAnsi="Arial" w:cs="Arial"/>
          <w:color w:val="000000" w:themeColor="text1"/>
          <w:sz w:val="22"/>
          <w:szCs w:val="22"/>
        </w:rPr>
        <w:t xml:space="preserve"> at:</w:t>
      </w:r>
      <w:r w:rsidRPr="00503363">
        <w:rPr>
          <w:rStyle w:val="apple-converted-space"/>
          <w:rFonts w:ascii="Arial" w:hAnsi="Arial" w:cs="Arial"/>
          <w:color w:val="000000" w:themeColor="text1"/>
          <w:sz w:val="22"/>
          <w:szCs w:val="22"/>
        </w:rPr>
        <w:t> </w:t>
      </w:r>
      <w:hyperlink r:id="rId56" w:tgtFrame="_new" w:history="1">
        <w:r w:rsidRPr="00503363">
          <w:rPr>
            <w:rStyle w:val="Hyperlink"/>
            <w:rFonts w:ascii="Arial" w:hAnsi="Arial" w:cs="Arial"/>
            <w:color w:val="000000" w:themeColor="text1"/>
            <w:sz w:val="22"/>
            <w:szCs w:val="22"/>
          </w:rPr>
          <w:t>https://www.nice.org.uk</w:t>
        </w:r>
      </w:hyperlink>
      <w:r w:rsidRPr="00503363">
        <w:rPr>
          <w:rStyle w:val="apple-converted-space"/>
          <w:rFonts w:ascii="Arial" w:hAnsi="Arial" w:cs="Arial"/>
          <w:color w:val="000000" w:themeColor="text1"/>
          <w:sz w:val="22"/>
          <w:szCs w:val="22"/>
        </w:rPr>
        <w:t> </w:t>
      </w:r>
      <w:r w:rsidRPr="00503363">
        <w:rPr>
          <w:rFonts w:ascii="Arial" w:hAnsi="Arial" w:cs="Arial"/>
          <w:color w:val="000000" w:themeColor="text1"/>
          <w:sz w:val="22"/>
          <w:szCs w:val="22"/>
        </w:rPr>
        <w:t>(Accessed: 11 November 2025).</w:t>
      </w:r>
      <w:r w:rsidRPr="00503363">
        <w:rPr>
          <w:rFonts w:ascii="Arial" w:hAnsi="Arial" w:cs="Arial"/>
          <w:color w:val="000000" w:themeColor="text1"/>
          <w:sz w:val="22"/>
          <w:szCs w:val="22"/>
        </w:rPr>
        <w:br/>
        <w:t>National Institute for Health and Care Excellence (NICE), 2021. </w:t>
      </w:r>
      <w:r w:rsidRPr="00503363">
        <w:rPr>
          <w:rFonts w:ascii="Arial" w:hAnsi="Arial" w:cs="Arial"/>
          <w:i/>
          <w:iCs/>
          <w:color w:val="000000" w:themeColor="text1"/>
          <w:sz w:val="22"/>
          <w:szCs w:val="22"/>
        </w:rPr>
        <w:t>Coexisting Severe Mental Illness and Substance Misuse: Community Health and Social Care Services.</w:t>
      </w:r>
      <w:r w:rsidRPr="00503363">
        <w:rPr>
          <w:rFonts w:ascii="Arial" w:hAnsi="Arial" w:cs="Arial"/>
          <w:color w:val="000000" w:themeColor="text1"/>
          <w:sz w:val="22"/>
          <w:szCs w:val="22"/>
        </w:rPr>
        <w:t xml:space="preserve"> NICE Guideline NG58. London: NICE. </w:t>
      </w:r>
    </w:p>
    <w:p w14:paraId="6D77ADE7"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NHS Confederation (2022) </w:t>
      </w:r>
      <w:r w:rsidRPr="00503363">
        <w:rPr>
          <w:rFonts w:ascii="Arial" w:hAnsi="Arial" w:cs="Arial"/>
          <w:i/>
          <w:iCs/>
          <w:color w:val="000000" w:themeColor="text1"/>
          <w:sz w:val="22"/>
          <w:szCs w:val="22"/>
        </w:rPr>
        <w:t>Addiction and Mental Health: Integrating Services for Better Outcomes.</w:t>
      </w:r>
      <w:r w:rsidRPr="00503363">
        <w:rPr>
          <w:rFonts w:ascii="Arial" w:hAnsi="Arial" w:cs="Arial"/>
          <w:color w:val="000000" w:themeColor="text1"/>
          <w:sz w:val="22"/>
          <w:szCs w:val="22"/>
        </w:rPr>
        <w:t> London: NHS Confederation.</w:t>
      </w:r>
    </w:p>
    <w:p w14:paraId="47AAE7BE" w14:textId="2357685D"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NHS Digital (2023) </w:t>
      </w:r>
      <w:r w:rsidRPr="00503363">
        <w:rPr>
          <w:rFonts w:ascii="Arial" w:hAnsi="Arial" w:cs="Arial"/>
          <w:i/>
          <w:iCs/>
          <w:color w:val="000000" w:themeColor="text1"/>
          <w:sz w:val="22"/>
          <w:szCs w:val="22"/>
        </w:rPr>
        <w:t>Adult Substance Misuse Treatment Statistics 2022–23.</w:t>
      </w:r>
      <w:r w:rsidRPr="00503363">
        <w:rPr>
          <w:rFonts w:ascii="Arial" w:hAnsi="Arial" w:cs="Arial"/>
          <w:color w:val="000000" w:themeColor="text1"/>
          <w:sz w:val="22"/>
          <w:szCs w:val="22"/>
        </w:rPr>
        <w:t> Available at: </w:t>
      </w:r>
      <w:hyperlink r:id="rId57" w:tgtFrame="_new" w:history="1">
        <w:r w:rsidRPr="00503363">
          <w:rPr>
            <w:rFonts w:ascii="Arial" w:hAnsi="Arial" w:cs="Arial"/>
            <w:color w:val="000000" w:themeColor="text1"/>
            <w:sz w:val="22"/>
            <w:szCs w:val="22"/>
            <w:u w:val="single"/>
          </w:rPr>
          <w:t>https://digital.nhs.uk/data-and-information/publications</w:t>
        </w:r>
      </w:hyperlink>
      <w:r w:rsidRPr="00503363">
        <w:rPr>
          <w:rFonts w:ascii="Arial" w:hAnsi="Arial" w:cs="Arial"/>
          <w:color w:val="000000" w:themeColor="text1"/>
          <w:sz w:val="22"/>
          <w:szCs w:val="22"/>
        </w:rPr>
        <w:t> (Accessed: 1 July 2025).</w:t>
      </w:r>
      <w:r w:rsidRPr="00503363">
        <w:rPr>
          <w:rFonts w:ascii="Arial" w:hAnsi="Arial" w:cs="Arial"/>
          <w:color w:val="000000" w:themeColor="text1"/>
          <w:sz w:val="22"/>
          <w:szCs w:val="22"/>
        </w:rPr>
        <w:br/>
        <w:t>NHS Digital, 2022. </w:t>
      </w:r>
      <w:r w:rsidRPr="00503363">
        <w:rPr>
          <w:rFonts w:ascii="Arial" w:hAnsi="Arial" w:cs="Arial"/>
          <w:i/>
          <w:iCs/>
          <w:color w:val="000000" w:themeColor="text1"/>
          <w:sz w:val="22"/>
          <w:szCs w:val="22"/>
        </w:rPr>
        <w:t>Adult Psychiatric Morbidity Survey: Mental Health and Wellbeing, England, 2022.</w:t>
      </w:r>
      <w:r w:rsidRPr="00503363">
        <w:rPr>
          <w:rFonts w:ascii="Arial" w:hAnsi="Arial" w:cs="Arial"/>
          <w:color w:val="000000" w:themeColor="text1"/>
          <w:sz w:val="22"/>
          <w:szCs w:val="22"/>
        </w:rPr>
        <w:t> Leeds: NHS Digital.</w:t>
      </w:r>
    </w:p>
    <w:p w14:paraId="028938EC" w14:textId="77777777" w:rsidR="00503363" w:rsidRPr="00503363" w:rsidRDefault="00503363" w:rsidP="00503363">
      <w:pPr>
        <w:spacing w:before="100" w:beforeAutospacing="1" w:after="100" w:afterAutospacing="1" w:line="360" w:lineRule="auto"/>
        <w:rPr>
          <w:rFonts w:ascii="Arial" w:hAnsi="Arial" w:cs="Arial"/>
          <w:color w:val="000000" w:themeColor="text1"/>
          <w:sz w:val="22"/>
          <w:szCs w:val="22"/>
        </w:rPr>
      </w:pPr>
      <w:r w:rsidRPr="00503363">
        <w:rPr>
          <w:rFonts w:ascii="Arial" w:hAnsi="Arial" w:cs="Arial"/>
          <w:color w:val="000000" w:themeColor="text1"/>
          <w:sz w:val="22"/>
          <w:szCs w:val="22"/>
        </w:rPr>
        <w:t>NHS England (2023) </w:t>
      </w:r>
      <w:r w:rsidRPr="00503363">
        <w:rPr>
          <w:rFonts w:ascii="Arial" w:hAnsi="Arial" w:cs="Arial"/>
          <w:i/>
          <w:iCs/>
          <w:color w:val="000000" w:themeColor="text1"/>
          <w:sz w:val="22"/>
          <w:szCs w:val="22"/>
        </w:rPr>
        <w:t>Long Term Plan Progress Report.</w:t>
      </w:r>
      <w:r w:rsidRPr="00503363">
        <w:rPr>
          <w:rFonts w:ascii="Arial" w:hAnsi="Arial" w:cs="Arial"/>
          <w:color w:val="000000" w:themeColor="text1"/>
          <w:sz w:val="22"/>
          <w:szCs w:val="22"/>
        </w:rPr>
        <w:t> London: NHS England.</w:t>
      </w:r>
    </w:p>
    <w:p w14:paraId="5152E331"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NHS England, (2019). </w:t>
      </w:r>
      <w:r w:rsidRPr="00503363">
        <w:rPr>
          <w:rFonts w:ascii="Arial" w:hAnsi="Arial" w:cs="Arial"/>
          <w:i/>
          <w:iCs/>
          <w:color w:val="000000" w:themeColor="text1"/>
          <w:sz w:val="22"/>
          <w:szCs w:val="22"/>
        </w:rPr>
        <w:t>The NHS Long Term Plan.</w:t>
      </w:r>
      <w:r w:rsidRPr="00503363">
        <w:rPr>
          <w:rFonts w:ascii="Arial" w:hAnsi="Arial" w:cs="Arial"/>
          <w:color w:val="000000" w:themeColor="text1"/>
          <w:sz w:val="22"/>
          <w:szCs w:val="22"/>
        </w:rPr>
        <w:t> London: NHS.</w:t>
      </w:r>
      <w:r w:rsidRPr="00503363">
        <w:rPr>
          <w:rFonts w:ascii="Arial" w:hAnsi="Arial" w:cs="Arial"/>
          <w:color w:val="000000" w:themeColor="text1"/>
          <w:sz w:val="22"/>
          <w:szCs w:val="22"/>
        </w:rPr>
        <w:br/>
        <w:t>Available at: </w:t>
      </w:r>
      <w:hyperlink r:id="rId58" w:tgtFrame="_new" w:history="1">
        <w:r w:rsidRPr="00503363">
          <w:rPr>
            <w:rFonts w:ascii="Arial" w:hAnsi="Arial" w:cs="Arial"/>
            <w:color w:val="000000" w:themeColor="text1"/>
            <w:sz w:val="22"/>
            <w:szCs w:val="22"/>
            <w:u w:val="single"/>
          </w:rPr>
          <w:t>https://www.longtermplan.nhs.uk</w:t>
        </w:r>
      </w:hyperlink>
      <w:r w:rsidRPr="00503363">
        <w:rPr>
          <w:rFonts w:ascii="Arial" w:hAnsi="Arial" w:cs="Arial"/>
          <w:color w:val="000000" w:themeColor="text1"/>
          <w:sz w:val="22"/>
          <w:szCs w:val="22"/>
        </w:rPr>
        <w:t> (Accessed: 6 Nov. 2025).</w:t>
      </w:r>
    </w:p>
    <w:p w14:paraId="1AAA828A" w14:textId="73E2AC75"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lastRenderedPageBreak/>
        <w:t>NICE (2016) </w:t>
      </w:r>
      <w:r w:rsidRPr="00503363">
        <w:rPr>
          <w:rFonts w:ascii="Arial" w:hAnsi="Arial" w:cs="Arial"/>
          <w:i/>
          <w:iCs/>
          <w:color w:val="000000" w:themeColor="text1"/>
          <w:sz w:val="22"/>
          <w:szCs w:val="22"/>
        </w:rPr>
        <w:t>Coexisting Severe Mental Illness and Substance Misuse: Community Health and Social Care Services.</w:t>
      </w:r>
      <w:r w:rsidRPr="00503363">
        <w:rPr>
          <w:rFonts w:ascii="Arial" w:hAnsi="Arial" w:cs="Arial"/>
          <w:color w:val="000000" w:themeColor="text1"/>
          <w:sz w:val="22"/>
          <w:szCs w:val="22"/>
        </w:rPr>
        <w:t>NG58.</w:t>
      </w:r>
      <w:r w:rsidRPr="00503363">
        <w:rPr>
          <w:rFonts w:ascii="Arial" w:hAnsi="Arial" w:cs="Arial"/>
          <w:color w:val="000000" w:themeColor="text1"/>
          <w:sz w:val="22"/>
          <w:szCs w:val="22"/>
        </w:rPr>
        <w:br/>
        <w:t>NICE, 2021. </w:t>
      </w:r>
      <w:r w:rsidRPr="00503363">
        <w:rPr>
          <w:rFonts w:ascii="Arial" w:hAnsi="Arial" w:cs="Arial"/>
          <w:i/>
          <w:iCs/>
          <w:color w:val="000000" w:themeColor="text1"/>
          <w:sz w:val="22"/>
          <w:szCs w:val="22"/>
        </w:rPr>
        <w:t>Coexisting Severe Mental Illness and Substance Misuse: Community Health and Social Care Services.</w:t>
      </w:r>
      <w:r w:rsidRPr="00503363">
        <w:rPr>
          <w:rFonts w:ascii="Arial" w:hAnsi="Arial" w:cs="Arial"/>
          <w:color w:val="000000" w:themeColor="text1"/>
          <w:sz w:val="22"/>
          <w:szCs w:val="22"/>
        </w:rPr>
        <w:t> NICE Guideline NG58.</w:t>
      </w:r>
    </w:p>
    <w:p w14:paraId="04BD8105"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shd w:val="clear" w:color="auto" w:fill="FFFFFF"/>
        </w:rPr>
        <w:t>Noble, H. and Heale, R. (2019) ‘Triangulation in research, with examples’,</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Evidence-based nursing</w:t>
      </w:r>
      <w:r w:rsidRPr="00503363">
        <w:rPr>
          <w:rFonts w:ascii="Arial" w:hAnsi="Arial" w:cs="Arial"/>
          <w:color w:val="000000" w:themeColor="text1"/>
          <w:sz w:val="22"/>
          <w:szCs w:val="22"/>
          <w:shd w:val="clear" w:color="auto" w:fill="FFFFFF"/>
        </w:rPr>
        <w:t xml:space="preserve">, 22(3), pp. 67–68. Available at: </w:t>
      </w:r>
      <w:hyperlink r:id="rId59" w:history="1">
        <w:r w:rsidRPr="00503363">
          <w:rPr>
            <w:rStyle w:val="Hyperlink"/>
            <w:rFonts w:ascii="Arial" w:hAnsi="Arial" w:cs="Arial"/>
            <w:color w:val="000000" w:themeColor="text1"/>
            <w:sz w:val="22"/>
            <w:szCs w:val="22"/>
            <w:shd w:val="clear" w:color="auto" w:fill="FFFFFF"/>
          </w:rPr>
          <w:t>https://doi.org/10.1136/ebnurs-2019-103145</w:t>
        </w:r>
      </w:hyperlink>
      <w:r w:rsidRPr="00503363">
        <w:rPr>
          <w:rFonts w:ascii="Arial" w:hAnsi="Arial" w:cs="Arial"/>
          <w:color w:val="000000" w:themeColor="text1"/>
          <w:sz w:val="22"/>
          <w:szCs w:val="22"/>
          <w:shd w:val="clear" w:color="auto" w:fill="FFFFFF"/>
        </w:rPr>
        <w:t xml:space="preserve">. </w:t>
      </w:r>
    </w:p>
    <w:p w14:paraId="3D224336" w14:textId="27AF2224"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Office for National Statistics (ONS) (2022) </w:t>
      </w:r>
      <w:r w:rsidRPr="00503363">
        <w:rPr>
          <w:rFonts w:ascii="Arial" w:hAnsi="Arial" w:cs="Arial"/>
          <w:i/>
          <w:iCs/>
          <w:color w:val="000000" w:themeColor="text1"/>
          <w:sz w:val="22"/>
          <w:szCs w:val="22"/>
        </w:rPr>
        <w:t>Drug Misuse in England and Wales: Year Ending June 2022.</w:t>
      </w:r>
      <w:r w:rsidRPr="00503363">
        <w:rPr>
          <w:rFonts w:ascii="Arial" w:hAnsi="Arial" w:cs="Arial"/>
          <w:color w:val="000000" w:themeColor="text1"/>
          <w:sz w:val="22"/>
          <w:szCs w:val="22"/>
        </w:rPr>
        <w:t> Available at: </w:t>
      </w:r>
      <w:hyperlink r:id="rId60" w:tgtFrame="_new" w:history="1">
        <w:r w:rsidRPr="00503363">
          <w:rPr>
            <w:rFonts w:ascii="Arial" w:hAnsi="Arial" w:cs="Arial"/>
            <w:color w:val="000000" w:themeColor="text1"/>
            <w:sz w:val="22"/>
            <w:szCs w:val="22"/>
            <w:u w:val="single"/>
          </w:rPr>
          <w:t>https://www.ons.gov.uk/peoplepopulationandcommunity</w:t>
        </w:r>
      </w:hyperlink>
      <w:r w:rsidRPr="00503363">
        <w:rPr>
          <w:rFonts w:ascii="Arial" w:hAnsi="Arial" w:cs="Arial"/>
          <w:color w:val="000000" w:themeColor="text1"/>
          <w:sz w:val="22"/>
          <w:szCs w:val="22"/>
        </w:rPr>
        <w:t> (Accessed: 20 June 2025).</w:t>
      </w:r>
      <w:r w:rsidRPr="00503363">
        <w:rPr>
          <w:rFonts w:ascii="Arial" w:hAnsi="Arial" w:cs="Arial"/>
          <w:color w:val="000000" w:themeColor="text1"/>
          <w:sz w:val="22"/>
          <w:szCs w:val="22"/>
        </w:rPr>
        <w:br/>
      </w:r>
      <w:r w:rsidRPr="00503363">
        <w:rPr>
          <w:rFonts w:ascii="Arial" w:hAnsi="Arial" w:cs="Arial"/>
          <w:color w:val="000000" w:themeColor="text1"/>
          <w:sz w:val="22"/>
          <w:szCs w:val="22"/>
          <w:shd w:val="clear" w:color="auto" w:fill="FFFFFF"/>
        </w:rPr>
        <w:t>Page, M.J.</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et al.</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color w:val="000000" w:themeColor="text1"/>
          <w:sz w:val="22"/>
          <w:szCs w:val="22"/>
          <w:shd w:val="clear" w:color="auto" w:fill="FFFFFF"/>
        </w:rPr>
        <w:t>(2021) ‘The PRISMA 2020 statement: an updated guideline for reporting systematic reviews’,</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BMJ (Online)</w:t>
      </w:r>
      <w:r w:rsidRPr="00503363">
        <w:rPr>
          <w:rFonts w:ascii="Arial" w:hAnsi="Arial" w:cs="Arial"/>
          <w:color w:val="000000" w:themeColor="text1"/>
          <w:sz w:val="22"/>
          <w:szCs w:val="22"/>
          <w:shd w:val="clear" w:color="auto" w:fill="FFFFFF"/>
        </w:rPr>
        <w:t xml:space="preserve">, 372, p. n71. Available at: </w:t>
      </w:r>
      <w:hyperlink r:id="rId61" w:history="1">
        <w:r w:rsidRPr="00503363">
          <w:rPr>
            <w:rStyle w:val="Hyperlink"/>
            <w:rFonts w:ascii="Arial" w:hAnsi="Arial" w:cs="Arial"/>
            <w:color w:val="000000" w:themeColor="text1"/>
            <w:sz w:val="22"/>
            <w:szCs w:val="22"/>
            <w:shd w:val="clear" w:color="auto" w:fill="FFFFFF"/>
          </w:rPr>
          <w:t>https://doi.org/10.1136/bmj.n71</w:t>
        </w:r>
      </w:hyperlink>
      <w:r w:rsidRPr="00503363">
        <w:rPr>
          <w:rFonts w:ascii="Arial" w:hAnsi="Arial" w:cs="Arial"/>
          <w:color w:val="000000" w:themeColor="text1"/>
          <w:sz w:val="22"/>
          <w:szCs w:val="22"/>
          <w:shd w:val="clear" w:color="auto" w:fill="FFFFFF"/>
        </w:rPr>
        <w:t xml:space="preserve">. </w:t>
      </w:r>
    </w:p>
    <w:p w14:paraId="667946E1" w14:textId="77777777" w:rsidR="00503363" w:rsidRPr="00503363" w:rsidRDefault="00503363" w:rsidP="00503363">
      <w:pPr>
        <w:spacing w:line="360" w:lineRule="auto"/>
        <w:rPr>
          <w:rFonts w:ascii="Arial" w:hAnsi="Arial" w:cs="Arial"/>
          <w:color w:val="000000" w:themeColor="text1"/>
          <w:sz w:val="22"/>
          <w:szCs w:val="22"/>
          <w:shd w:val="clear" w:color="auto" w:fill="FFFFFF"/>
        </w:rPr>
      </w:pPr>
      <w:r w:rsidRPr="00503363">
        <w:rPr>
          <w:rFonts w:ascii="Arial" w:hAnsi="Arial" w:cs="Arial"/>
          <w:color w:val="000000" w:themeColor="text1"/>
          <w:sz w:val="22"/>
          <w:szCs w:val="22"/>
          <w:shd w:val="clear" w:color="auto" w:fill="FFFFFF"/>
        </w:rPr>
        <w:t>Papaioannou, D., Sutton, A. and Booth, A., (2016). Systematic approaches to a successful literature review.</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Systematic approaches to a successful literature review</w:t>
      </w:r>
      <w:r w:rsidRPr="00503363">
        <w:rPr>
          <w:rFonts w:ascii="Arial" w:hAnsi="Arial" w:cs="Arial"/>
          <w:color w:val="000000" w:themeColor="text1"/>
          <w:sz w:val="22"/>
          <w:szCs w:val="22"/>
          <w:shd w:val="clear" w:color="auto" w:fill="FFFFFF"/>
        </w:rPr>
        <w:t>, pp.1-336.</w:t>
      </w:r>
    </w:p>
    <w:p w14:paraId="7EF1DFA7" w14:textId="77777777"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 xml:space="preserve">Pierce, M., Hope, H., Ford, T., Hatch, S., Hotopf, M., John, A., Kontopantelis, E., Webb, R., Wessely, S., McManus, </w:t>
      </w:r>
      <w:proofErr w:type="gramStart"/>
      <w:r w:rsidRPr="00503363">
        <w:rPr>
          <w:rFonts w:ascii="Arial" w:hAnsi="Arial" w:cs="Arial"/>
          <w:color w:val="000000" w:themeColor="text1"/>
          <w:sz w:val="22"/>
          <w:szCs w:val="22"/>
        </w:rPr>
        <w:t>S.</w:t>
      </w:r>
      <w:proofErr w:type="gramEnd"/>
      <w:r w:rsidRPr="00503363">
        <w:rPr>
          <w:rFonts w:ascii="Arial" w:hAnsi="Arial" w:cs="Arial"/>
          <w:color w:val="000000" w:themeColor="text1"/>
          <w:sz w:val="22"/>
          <w:szCs w:val="22"/>
        </w:rPr>
        <w:t xml:space="preserve"> and Abel, K.M. (2020). Mental Health before and during the COVID-19 pandemic: a Longitudinal Probability Sample Survey of the UK Population. </w:t>
      </w:r>
      <w:r w:rsidRPr="00503363">
        <w:rPr>
          <w:rFonts w:ascii="Arial" w:hAnsi="Arial" w:cs="Arial"/>
          <w:i/>
          <w:iCs/>
          <w:color w:val="000000" w:themeColor="text1"/>
          <w:sz w:val="22"/>
          <w:szCs w:val="22"/>
        </w:rPr>
        <w:t>The Lancet Psychiatry</w:t>
      </w:r>
      <w:r w:rsidRPr="00503363">
        <w:rPr>
          <w:rFonts w:ascii="Arial" w:hAnsi="Arial" w:cs="Arial"/>
          <w:color w:val="000000" w:themeColor="text1"/>
          <w:sz w:val="22"/>
          <w:szCs w:val="22"/>
        </w:rPr>
        <w:t xml:space="preserve">, 7(10), pp.883–892. Available at: </w:t>
      </w:r>
      <w:hyperlink r:id="rId62" w:history="1">
        <w:r w:rsidRPr="00503363">
          <w:rPr>
            <w:rStyle w:val="Hyperlink"/>
            <w:rFonts w:ascii="Arial" w:hAnsi="Arial" w:cs="Arial"/>
            <w:color w:val="000000" w:themeColor="text1"/>
            <w:sz w:val="22"/>
            <w:szCs w:val="22"/>
          </w:rPr>
          <w:t>https://doi.org/10.1016/S2215-0366(20)30308-4</w:t>
        </w:r>
      </w:hyperlink>
      <w:r w:rsidRPr="00503363">
        <w:rPr>
          <w:rFonts w:ascii="Arial" w:hAnsi="Arial" w:cs="Arial"/>
          <w:color w:val="000000" w:themeColor="text1"/>
          <w:sz w:val="22"/>
          <w:szCs w:val="22"/>
        </w:rPr>
        <w:t xml:space="preserve">.  </w:t>
      </w:r>
    </w:p>
    <w:p w14:paraId="667B9655" w14:textId="77777777"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 xml:space="preserve">Public Health England (2021). Adult Substance Misuse Treatment Statistics 2020–21. London: PHE. Available at: </w:t>
      </w:r>
      <w:hyperlink r:id="rId63" w:history="1">
        <w:r w:rsidRPr="00503363">
          <w:rPr>
            <w:rStyle w:val="Hyperlink"/>
            <w:rFonts w:ascii="Arial" w:hAnsi="Arial" w:cs="Arial"/>
            <w:color w:val="000000" w:themeColor="text1"/>
            <w:sz w:val="22"/>
            <w:szCs w:val="22"/>
          </w:rPr>
          <w:t>https://www.gov.uk/government/statistics/substance-misuse-treatment-for-adults-statistics-2020-to-2021</w:t>
        </w:r>
      </w:hyperlink>
      <w:r w:rsidRPr="00503363">
        <w:rPr>
          <w:rFonts w:ascii="Arial" w:hAnsi="Arial" w:cs="Arial"/>
          <w:color w:val="000000" w:themeColor="text1"/>
          <w:sz w:val="22"/>
          <w:szCs w:val="22"/>
        </w:rPr>
        <w:t xml:space="preserve"> (Accessed: 6 Nov. 2025). </w:t>
      </w:r>
    </w:p>
    <w:p w14:paraId="50FC7849" w14:textId="074DD564"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Room, R., (2005). ‘Stigma, social inequality and alcohol and drug use.’ </w:t>
      </w:r>
      <w:r w:rsidRPr="00503363">
        <w:rPr>
          <w:rFonts w:ascii="Arial" w:hAnsi="Arial" w:cs="Arial"/>
          <w:i/>
          <w:iCs/>
          <w:color w:val="000000" w:themeColor="text1"/>
          <w:sz w:val="22"/>
          <w:szCs w:val="22"/>
        </w:rPr>
        <w:t>Drug and Alcohol Review</w:t>
      </w:r>
      <w:r w:rsidRPr="00503363">
        <w:rPr>
          <w:rFonts w:ascii="Arial" w:hAnsi="Arial" w:cs="Arial"/>
          <w:color w:val="000000" w:themeColor="text1"/>
          <w:sz w:val="22"/>
          <w:szCs w:val="22"/>
        </w:rPr>
        <w:t>, 24(2), pp.143-155. doi:10.1080/09595230500102434.</w:t>
      </w:r>
      <w:r w:rsidRPr="00503363">
        <w:rPr>
          <w:rFonts w:ascii="Arial" w:hAnsi="Arial" w:cs="Arial"/>
          <w:color w:val="000000" w:themeColor="text1"/>
          <w:sz w:val="22"/>
          <w:szCs w:val="22"/>
        </w:rPr>
        <w:br/>
        <w:t>Available at: </w:t>
      </w:r>
      <w:hyperlink r:id="rId64" w:tgtFrame="_new" w:history="1">
        <w:r w:rsidRPr="00503363">
          <w:rPr>
            <w:rFonts w:ascii="Arial" w:hAnsi="Arial" w:cs="Arial"/>
            <w:color w:val="000000" w:themeColor="text1"/>
            <w:sz w:val="22"/>
            <w:szCs w:val="22"/>
            <w:u w:val="single"/>
          </w:rPr>
          <w:t>https://onlinelibrary.wiley.com/doi/10.1080/09595230500102434</w:t>
        </w:r>
      </w:hyperlink>
      <w:r w:rsidRPr="00503363">
        <w:rPr>
          <w:rFonts w:ascii="Arial" w:hAnsi="Arial" w:cs="Arial"/>
          <w:color w:val="000000" w:themeColor="text1"/>
          <w:sz w:val="22"/>
          <w:szCs w:val="22"/>
        </w:rPr>
        <w:t> (Accessed: 6 Nov. 2025).</w:t>
      </w:r>
    </w:p>
    <w:p w14:paraId="009F686F" w14:textId="77777777" w:rsidR="00503363" w:rsidRPr="00503363" w:rsidRDefault="00503363" w:rsidP="00503363">
      <w:pPr>
        <w:spacing w:line="360" w:lineRule="auto"/>
        <w:rPr>
          <w:rFonts w:ascii="Arial" w:hAnsi="Arial" w:cs="Arial"/>
          <w:color w:val="000000" w:themeColor="text1"/>
          <w:sz w:val="22"/>
          <w:szCs w:val="22"/>
          <w:shd w:val="clear" w:color="auto" w:fill="FFFFFF"/>
        </w:rPr>
      </w:pPr>
      <w:r w:rsidRPr="00503363">
        <w:rPr>
          <w:rFonts w:ascii="Arial" w:hAnsi="Arial" w:cs="Arial"/>
          <w:color w:val="000000" w:themeColor="text1"/>
          <w:sz w:val="22"/>
          <w:szCs w:val="22"/>
          <w:shd w:val="clear" w:color="auto" w:fill="FFFFFF"/>
        </w:rPr>
        <w:t xml:space="preserve">Sanz Cortés, A. (2022) ‘Diagnostic and Statistical Manual of Mental Disorders, Fifth Edition, Text Revision (DSM-5-TR). American Psychiatric Association, 2022. https://doi.org/10.1176/ </w:t>
      </w:r>
      <w:proofErr w:type="gramStart"/>
      <w:r w:rsidRPr="00503363">
        <w:rPr>
          <w:rFonts w:ascii="Arial" w:hAnsi="Arial" w:cs="Arial"/>
          <w:color w:val="000000" w:themeColor="text1"/>
          <w:sz w:val="22"/>
          <w:szCs w:val="22"/>
          <w:shd w:val="clear" w:color="auto" w:fill="FFFFFF"/>
        </w:rPr>
        <w:t>appi.books</w:t>
      </w:r>
      <w:proofErr w:type="gramEnd"/>
      <w:r w:rsidRPr="00503363">
        <w:rPr>
          <w:rFonts w:ascii="Arial" w:hAnsi="Arial" w:cs="Arial"/>
          <w:color w:val="000000" w:themeColor="text1"/>
          <w:sz w:val="22"/>
          <w:szCs w:val="22"/>
          <w:shd w:val="clear" w:color="auto" w:fill="FFFFFF"/>
        </w:rPr>
        <w:t>.9780890425787’,</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Psicooncología : investigación y clinica biopsicosocial en oncología.</w:t>
      </w:r>
      <w:r w:rsidRPr="00503363">
        <w:rPr>
          <w:rFonts w:ascii="Arial" w:hAnsi="Arial" w:cs="Arial"/>
          <w:color w:val="000000" w:themeColor="text1"/>
          <w:sz w:val="22"/>
          <w:szCs w:val="22"/>
          <w:shd w:val="clear" w:color="auto" w:fill="FFFFFF"/>
        </w:rPr>
        <w:t xml:space="preserve">, 19(2), pp. 339–340. Available at: </w:t>
      </w:r>
      <w:hyperlink r:id="rId65" w:history="1">
        <w:r w:rsidRPr="00503363">
          <w:rPr>
            <w:rStyle w:val="Hyperlink"/>
            <w:rFonts w:ascii="Arial" w:hAnsi="Arial" w:cs="Arial"/>
            <w:color w:val="000000" w:themeColor="text1"/>
            <w:sz w:val="22"/>
            <w:szCs w:val="22"/>
            <w:shd w:val="clear" w:color="auto" w:fill="FFFFFF"/>
          </w:rPr>
          <w:t>https://doi.org/10.5209/psic.84045</w:t>
        </w:r>
      </w:hyperlink>
      <w:r w:rsidRPr="00503363">
        <w:rPr>
          <w:rFonts w:ascii="Arial" w:hAnsi="Arial" w:cs="Arial"/>
          <w:color w:val="000000" w:themeColor="text1"/>
          <w:sz w:val="22"/>
          <w:szCs w:val="22"/>
          <w:shd w:val="clear" w:color="auto" w:fill="FFFFFF"/>
        </w:rPr>
        <w:t xml:space="preserve">. </w:t>
      </w:r>
    </w:p>
    <w:p w14:paraId="7E760A9D"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Silver, H., (1994). ‘Social exclusion and social solidarity: three paradigms.’ </w:t>
      </w:r>
      <w:r w:rsidRPr="00503363">
        <w:rPr>
          <w:rFonts w:ascii="Arial" w:hAnsi="Arial" w:cs="Arial"/>
          <w:i/>
          <w:iCs/>
          <w:color w:val="000000" w:themeColor="text1"/>
          <w:sz w:val="22"/>
          <w:szCs w:val="22"/>
        </w:rPr>
        <w:t>International Labour Review</w:t>
      </w:r>
      <w:r w:rsidRPr="00503363">
        <w:rPr>
          <w:rFonts w:ascii="Arial" w:hAnsi="Arial" w:cs="Arial"/>
          <w:color w:val="000000" w:themeColor="text1"/>
          <w:sz w:val="22"/>
          <w:szCs w:val="22"/>
        </w:rPr>
        <w:t>, 133(5–6), pp.531-578.</w:t>
      </w:r>
      <w:r w:rsidRPr="00503363">
        <w:rPr>
          <w:rFonts w:ascii="Arial" w:hAnsi="Arial" w:cs="Arial"/>
          <w:color w:val="000000" w:themeColor="text1"/>
          <w:sz w:val="22"/>
          <w:szCs w:val="22"/>
        </w:rPr>
        <w:br/>
        <w:t>Available at: </w:t>
      </w:r>
      <w:hyperlink r:id="rId66" w:history="1">
        <w:r w:rsidRPr="00503363">
          <w:rPr>
            <w:rStyle w:val="Hyperlink"/>
            <w:rFonts w:ascii="Arial" w:hAnsi="Arial" w:cs="Arial"/>
            <w:color w:val="000000" w:themeColor="text1"/>
            <w:sz w:val="22"/>
            <w:szCs w:val="22"/>
          </w:rPr>
          <w:t>https://onlinelibrary.wiley.com/doi/10.1111/j.1564-913X.1994.tb00553.x</w:t>
        </w:r>
      </w:hyperlink>
      <w:r w:rsidRPr="00503363">
        <w:rPr>
          <w:rFonts w:ascii="Arial" w:hAnsi="Arial" w:cs="Arial"/>
          <w:color w:val="000000" w:themeColor="text1"/>
          <w:sz w:val="22"/>
          <w:szCs w:val="22"/>
        </w:rPr>
        <w:t xml:space="preserve"> (Accessed: 10 Aug. 2025).</w:t>
      </w:r>
    </w:p>
    <w:p w14:paraId="11823442"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Sinha, R., (2008) ‘Chronic stress, drug use and vulnerability to addiction.’ </w:t>
      </w:r>
      <w:r w:rsidRPr="00503363">
        <w:rPr>
          <w:rFonts w:ascii="Arial" w:hAnsi="Arial" w:cs="Arial"/>
          <w:i/>
          <w:iCs/>
          <w:color w:val="000000" w:themeColor="text1"/>
          <w:sz w:val="22"/>
          <w:szCs w:val="22"/>
        </w:rPr>
        <w:t>Annals of the New York Academy of Sciences</w:t>
      </w:r>
      <w:r w:rsidRPr="00503363">
        <w:rPr>
          <w:rFonts w:ascii="Arial" w:hAnsi="Arial" w:cs="Arial"/>
          <w:color w:val="000000" w:themeColor="text1"/>
          <w:sz w:val="22"/>
          <w:szCs w:val="22"/>
        </w:rPr>
        <w:t xml:space="preserve">, 1141, pp.105-130. Available </w:t>
      </w:r>
      <w:r w:rsidRPr="00503363">
        <w:rPr>
          <w:rFonts w:ascii="Arial" w:hAnsi="Arial" w:cs="Arial"/>
          <w:color w:val="000000" w:themeColor="text1"/>
          <w:sz w:val="22"/>
          <w:szCs w:val="22"/>
        </w:rPr>
        <w:lastRenderedPageBreak/>
        <w:t>at: </w:t>
      </w:r>
      <w:hyperlink r:id="rId67" w:tgtFrame="_new" w:history="1">
        <w:r w:rsidRPr="00503363">
          <w:rPr>
            <w:rFonts w:ascii="Arial" w:hAnsi="Arial" w:cs="Arial"/>
            <w:color w:val="000000" w:themeColor="text1"/>
            <w:sz w:val="22"/>
            <w:szCs w:val="22"/>
            <w:u w:val="single"/>
          </w:rPr>
          <w:t>https://nyaspubs.onlinelibrary.wiley.com/doi/10.1196/annals.1441.030</w:t>
        </w:r>
      </w:hyperlink>
      <w:r w:rsidRPr="00503363">
        <w:rPr>
          <w:rFonts w:ascii="Arial" w:hAnsi="Arial" w:cs="Arial"/>
          <w:color w:val="000000" w:themeColor="text1"/>
          <w:sz w:val="22"/>
          <w:szCs w:val="22"/>
        </w:rPr>
        <w:t> (Accessed: 6 Nov. 2025).</w:t>
      </w:r>
    </w:p>
    <w:p w14:paraId="4B1B735C" w14:textId="77777777" w:rsidR="00503363" w:rsidRPr="00503363" w:rsidRDefault="00503363" w:rsidP="00503363">
      <w:pPr>
        <w:spacing w:line="360" w:lineRule="auto"/>
        <w:rPr>
          <w:rFonts w:ascii="Arial" w:hAnsi="Arial" w:cs="Arial"/>
          <w:color w:val="000000" w:themeColor="text1"/>
          <w:sz w:val="22"/>
          <w:szCs w:val="22"/>
          <w:shd w:val="clear" w:color="auto" w:fill="FFFFFF"/>
        </w:rPr>
      </w:pPr>
      <w:r w:rsidRPr="00503363">
        <w:rPr>
          <w:rFonts w:ascii="Arial" w:hAnsi="Arial" w:cs="Arial"/>
          <w:color w:val="000000" w:themeColor="text1"/>
          <w:sz w:val="22"/>
          <w:szCs w:val="22"/>
          <w:shd w:val="clear" w:color="auto" w:fill="FFFFFF"/>
        </w:rPr>
        <w:t>Stevens, A. (2019) ‘“Being human” and the “moral sidestep” in drug policy: Explaining government inaction on opioid-related deaths in the UK’, </w:t>
      </w:r>
      <w:r w:rsidRPr="00503363">
        <w:rPr>
          <w:rFonts w:ascii="Arial" w:hAnsi="Arial" w:cs="Arial"/>
          <w:i/>
          <w:iCs/>
          <w:color w:val="000000" w:themeColor="text1"/>
          <w:sz w:val="22"/>
          <w:szCs w:val="22"/>
        </w:rPr>
        <w:t>Addictive behaviors</w:t>
      </w:r>
      <w:r w:rsidRPr="00503363">
        <w:rPr>
          <w:rFonts w:ascii="Arial" w:hAnsi="Arial" w:cs="Arial"/>
          <w:color w:val="000000" w:themeColor="text1"/>
          <w:sz w:val="22"/>
          <w:szCs w:val="22"/>
          <w:shd w:val="clear" w:color="auto" w:fill="FFFFFF"/>
        </w:rPr>
        <w:t xml:space="preserve">, 90, pp. 444–450. Available at: </w:t>
      </w:r>
      <w:hyperlink r:id="rId68" w:history="1">
        <w:r w:rsidRPr="00503363">
          <w:rPr>
            <w:rStyle w:val="Hyperlink"/>
            <w:rFonts w:ascii="Arial" w:hAnsi="Arial" w:cs="Arial"/>
            <w:color w:val="000000" w:themeColor="text1"/>
            <w:sz w:val="22"/>
            <w:szCs w:val="22"/>
            <w:shd w:val="clear" w:color="auto" w:fill="FFFFFF"/>
          </w:rPr>
          <w:t>https://doi.org/10.1016/j.addbeh.2018.08.036</w:t>
        </w:r>
      </w:hyperlink>
      <w:r w:rsidRPr="00503363">
        <w:rPr>
          <w:rFonts w:ascii="Arial" w:hAnsi="Arial" w:cs="Arial"/>
          <w:color w:val="000000" w:themeColor="text1"/>
          <w:sz w:val="22"/>
          <w:szCs w:val="22"/>
          <w:shd w:val="clear" w:color="auto" w:fill="FFFFFF"/>
        </w:rPr>
        <w:t>.</w:t>
      </w:r>
    </w:p>
    <w:p w14:paraId="772570C7" w14:textId="77777777" w:rsidR="00503363" w:rsidRPr="00503363" w:rsidRDefault="00503363" w:rsidP="00503363">
      <w:pPr>
        <w:spacing w:line="360" w:lineRule="auto"/>
        <w:rPr>
          <w:rFonts w:ascii="Arial" w:hAnsi="Arial" w:cs="Arial"/>
          <w:color w:val="000000" w:themeColor="text1"/>
          <w:sz w:val="22"/>
          <w:szCs w:val="22"/>
          <w:shd w:val="clear" w:color="auto" w:fill="FFFFFF"/>
        </w:rPr>
      </w:pPr>
      <w:r w:rsidRPr="00503363">
        <w:rPr>
          <w:rFonts w:ascii="Arial" w:hAnsi="Arial" w:cs="Arial"/>
          <w:color w:val="000000" w:themeColor="text1"/>
          <w:sz w:val="22"/>
          <w:szCs w:val="22"/>
          <w:shd w:val="clear" w:color="auto" w:fill="FFFFFF"/>
        </w:rPr>
        <w:t xml:space="preserve">Stevens, </w:t>
      </w:r>
      <w:proofErr w:type="gramStart"/>
      <w:r w:rsidRPr="00503363">
        <w:rPr>
          <w:rFonts w:ascii="Arial" w:hAnsi="Arial" w:cs="Arial"/>
          <w:color w:val="000000" w:themeColor="text1"/>
          <w:sz w:val="22"/>
          <w:szCs w:val="22"/>
          <w:shd w:val="clear" w:color="auto" w:fill="FFFFFF"/>
        </w:rPr>
        <w:t>A.</w:t>
      </w:r>
      <w:proofErr w:type="gramEnd"/>
      <w:r w:rsidRPr="00503363">
        <w:rPr>
          <w:rFonts w:ascii="Arial" w:hAnsi="Arial" w:cs="Arial"/>
          <w:color w:val="000000" w:themeColor="text1"/>
          <w:sz w:val="22"/>
          <w:szCs w:val="22"/>
          <w:shd w:val="clear" w:color="auto" w:fill="FFFFFF"/>
        </w:rPr>
        <w:t xml:space="preserve"> and Zampini, G.F. (2018) ‘Drug policy constellations: A Habermasian approach for understanding English drug policy’,</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The International journal of drug policy</w:t>
      </w:r>
      <w:r w:rsidRPr="00503363">
        <w:rPr>
          <w:rFonts w:ascii="Arial" w:hAnsi="Arial" w:cs="Arial"/>
          <w:color w:val="000000" w:themeColor="text1"/>
          <w:sz w:val="22"/>
          <w:szCs w:val="22"/>
          <w:shd w:val="clear" w:color="auto" w:fill="FFFFFF"/>
        </w:rPr>
        <w:t xml:space="preserve">, 57, pp. 61–71. Available at: </w:t>
      </w:r>
      <w:hyperlink r:id="rId69" w:history="1">
        <w:r w:rsidRPr="00503363">
          <w:rPr>
            <w:rStyle w:val="Hyperlink"/>
            <w:rFonts w:ascii="Arial" w:hAnsi="Arial" w:cs="Arial"/>
            <w:color w:val="000000" w:themeColor="text1"/>
            <w:sz w:val="22"/>
            <w:szCs w:val="22"/>
            <w:shd w:val="clear" w:color="auto" w:fill="FFFFFF"/>
          </w:rPr>
          <w:t>https://doi.org/10.1016/j.drugpo.2018.03.030</w:t>
        </w:r>
      </w:hyperlink>
      <w:r w:rsidRPr="00503363">
        <w:rPr>
          <w:rFonts w:ascii="Arial" w:hAnsi="Arial" w:cs="Arial"/>
          <w:color w:val="000000" w:themeColor="text1"/>
          <w:sz w:val="22"/>
          <w:szCs w:val="22"/>
          <w:shd w:val="clear" w:color="auto" w:fill="FFFFFF"/>
        </w:rPr>
        <w:t>.</w:t>
      </w:r>
    </w:p>
    <w:p w14:paraId="7B5DEACF"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Stevens, A., (2019) </w:t>
      </w:r>
      <w:r w:rsidRPr="00503363">
        <w:rPr>
          <w:rFonts w:ascii="Arial" w:hAnsi="Arial" w:cs="Arial"/>
          <w:i/>
          <w:iCs/>
          <w:color w:val="000000" w:themeColor="text1"/>
          <w:sz w:val="22"/>
          <w:szCs w:val="22"/>
        </w:rPr>
        <w:t>Principles of Drug Policy: The Politics of Drugs and Their Control.</w:t>
      </w:r>
      <w:r w:rsidRPr="00503363">
        <w:rPr>
          <w:rFonts w:ascii="Arial" w:hAnsi="Arial" w:cs="Arial"/>
          <w:color w:val="000000" w:themeColor="text1"/>
          <w:sz w:val="22"/>
          <w:szCs w:val="22"/>
        </w:rPr>
        <w:t> Basingstoke: Palgrave Macmillan.</w:t>
      </w:r>
      <w:r w:rsidRPr="00503363">
        <w:rPr>
          <w:rFonts w:ascii="Arial" w:hAnsi="Arial" w:cs="Arial"/>
          <w:color w:val="000000" w:themeColor="text1"/>
          <w:sz w:val="22"/>
          <w:szCs w:val="22"/>
        </w:rPr>
        <w:br/>
        <w:t>Available at: </w:t>
      </w:r>
      <w:hyperlink r:id="rId70" w:history="1">
        <w:r w:rsidRPr="00503363">
          <w:rPr>
            <w:rStyle w:val="Hyperlink"/>
            <w:rFonts w:ascii="Arial" w:hAnsi="Arial" w:cs="Arial"/>
            <w:color w:val="000000" w:themeColor="text1"/>
            <w:sz w:val="22"/>
            <w:szCs w:val="22"/>
          </w:rPr>
          <w:t>https://link.springer.com/book/10.1007/978-3-030-25595-1</w:t>
        </w:r>
      </w:hyperlink>
      <w:r w:rsidRPr="00503363">
        <w:rPr>
          <w:rFonts w:ascii="Arial" w:hAnsi="Arial" w:cs="Arial"/>
          <w:color w:val="000000" w:themeColor="text1"/>
          <w:sz w:val="22"/>
          <w:szCs w:val="22"/>
        </w:rPr>
        <w:t xml:space="preserve"> (Accessed: 11 Aug. 2025).</w:t>
      </w:r>
    </w:p>
    <w:p w14:paraId="12936F0C" w14:textId="3CA404EE"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Stevens, A., (2024). Policy Constellation: A Critical Realist Approach. In </w:t>
      </w:r>
      <w:r w:rsidRPr="00503363">
        <w:rPr>
          <w:rFonts w:ascii="Arial" w:hAnsi="Arial" w:cs="Arial"/>
          <w:i/>
          <w:iCs/>
          <w:color w:val="000000" w:themeColor="text1"/>
          <w:sz w:val="22"/>
          <w:szCs w:val="22"/>
        </w:rPr>
        <w:t>Drug Policy Constellations</w:t>
      </w:r>
      <w:r w:rsidRPr="00503363">
        <w:rPr>
          <w:rFonts w:ascii="Arial" w:hAnsi="Arial" w:cs="Arial"/>
          <w:color w:val="000000" w:themeColor="text1"/>
          <w:sz w:val="22"/>
          <w:szCs w:val="22"/>
        </w:rPr>
        <w:t> (pp. 33-41). Bristol University Press.</w:t>
      </w:r>
    </w:p>
    <w:p w14:paraId="3D17C87F" w14:textId="77777777" w:rsidR="00503363" w:rsidRPr="00503363" w:rsidRDefault="00503363" w:rsidP="00503363">
      <w:pPr>
        <w:spacing w:before="100" w:beforeAutospacing="1" w:after="100" w:afterAutospacing="1" w:line="360" w:lineRule="auto"/>
        <w:rPr>
          <w:rFonts w:ascii="Arial" w:hAnsi="Arial" w:cs="Arial"/>
          <w:color w:val="000000" w:themeColor="text1"/>
          <w:sz w:val="22"/>
          <w:szCs w:val="22"/>
        </w:rPr>
      </w:pPr>
      <w:r w:rsidRPr="00503363">
        <w:rPr>
          <w:rFonts w:ascii="Arial" w:hAnsi="Arial" w:cs="Arial"/>
          <w:color w:val="000000" w:themeColor="text1"/>
          <w:sz w:val="22"/>
          <w:szCs w:val="22"/>
          <w:shd w:val="clear" w:color="auto" w:fill="FFFFFF"/>
        </w:rPr>
        <w:t>Stimson, G.V. (1995) ‘Aids and injecting drug use in the United Kingdom, 1987–1993: The policy response and the prevention of the epidemic’,</w:t>
      </w:r>
      <w:r w:rsidRPr="00503363">
        <w:rPr>
          <w:rStyle w:val="apple-converted-space"/>
          <w:rFonts w:ascii="Arial" w:hAnsi="Arial" w:cs="Arial"/>
          <w:color w:val="000000" w:themeColor="text1"/>
          <w:sz w:val="22"/>
          <w:szCs w:val="22"/>
          <w:shd w:val="clear" w:color="auto" w:fill="FFFFFF"/>
        </w:rPr>
        <w:t> </w:t>
      </w:r>
      <w:r w:rsidRPr="00503363">
        <w:rPr>
          <w:rFonts w:ascii="Arial" w:hAnsi="Arial" w:cs="Arial"/>
          <w:i/>
          <w:iCs/>
          <w:color w:val="000000" w:themeColor="text1"/>
          <w:sz w:val="22"/>
          <w:szCs w:val="22"/>
        </w:rPr>
        <w:t>Social science &amp; medicine (1982)</w:t>
      </w:r>
      <w:r w:rsidRPr="00503363">
        <w:rPr>
          <w:rFonts w:ascii="Arial" w:hAnsi="Arial" w:cs="Arial"/>
          <w:color w:val="000000" w:themeColor="text1"/>
          <w:sz w:val="22"/>
          <w:szCs w:val="22"/>
          <w:shd w:val="clear" w:color="auto" w:fill="FFFFFF"/>
        </w:rPr>
        <w:t xml:space="preserve">, 41(5), pp. 699–716. Available at: </w:t>
      </w:r>
      <w:hyperlink r:id="rId71" w:history="1">
        <w:r w:rsidRPr="00503363">
          <w:rPr>
            <w:rStyle w:val="Hyperlink"/>
            <w:rFonts w:ascii="Arial" w:hAnsi="Arial" w:cs="Arial"/>
            <w:color w:val="000000" w:themeColor="text1"/>
            <w:sz w:val="22"/>
            <w:szCs w:val="22"/>
            <w:shd w:val="clear" w:color="auto" w:fill="FFFFFF"/>
          </w:rPr>
          <w:t>https://doi.org/10.1016/0277-9536(94)00435-V</w:t>
        </w:r>
      </w:hyperlink>
      <w:r w:rsidRPr="00503363">
        <w:rPr>
          <w:rFonts w:ascii="Arial" w:hAnsi="Arial" w:cs="Arial"/>
          <w:color w:val="000000" w:themeColor="text1"/>
          <w:sz w:val="22"/>
          <w:szCs w:val="22"/>
          <w:shd w:val="clear" w:color="auto" w:fill="FFFFFF"/>
        </w:rPr>
        <w:t xml:space="preserve">. </w:t>
      </w:r>
    </w:p>
    <w:p w14:paraId="54737F43"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Stimson, G.V. (1995) </w:t>
      </w:r>
      <w:r w:rsidRPr="00503363">
        <w:rPr>
          <w:rFonts w:ascii="Arial" w:hAnsi="Arial" w:cs="Arial"/>
          <w:i/>
          <w:iCs/>
          <w:color w:val="000000" w:themeColor="text1"/>
          <w:sz w:val="22"/>
          <w:szCs w:val="22"/>
        </w:rPr>
        <w:t>Harm reduction: Coming of age.</w:t>
      </w:r>
      <w:r w:rsidRPr="00503363">
        <w:rPr>
          <w:rFonts w:ascii="Arial" w:hAnsi="Arial" w:cs="Arial"/>
          <w:color w:val="000000" w:themeColor="text1"/>
          <w:sz w:val="22"/>
          <w:szCs w:val="22"/>
        </w:rPr>
        <w:t> International Journal of Drug Policy, 6(2), pp.67–69.</w:t>
      </w:r>
    </w:p>
    <w:p w14:paraId="6DE5FFFC"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Turning Point (2022) </w:t>
      </w:r>
      <w:r w:rsidRPr="00503363">
        <w:rPr>
          <w:rFonts w:ascii="Arial" w:hAnsi="Arial" w:cs="Arial"/>
          <w:i/>
          <w:iCs/>
          <w:color w:val="000000" w:themeColor="text1"/>
          <w:sz w:val="22"/>
          <w:szCs w:val="22"/>
        </w:rPr>
        <w:t>Integrated Substance Misuse and Mental Health Services: A Practical Framework.</w:t>
      </w:r>
      <w:r w:rsidRPr="00503363">
        <w:rPr>
          <w:rFonts w:ascii="Arial" w:hAnsi="Arial" w:cs="Arial"/>
          <w:color w:val="000000" w:themeColor="text1"/>
          <w:sz w:val="22"/>
          <w:szCs w:val="22"/>
        </w:rPr>
        <w:t xml:space="preserve"> London: Turning Point. Available at: </w:t>
      </w:r>
      <w:hyperlink r:id="rId72" w:history="1">
        <w:r w:rsidRPr="00503363">
          <w:rPr>
            <w:rStyle w:val="Hyperlink"/>
            <w:rFonts w:ascii="Arial" w:hAnsi="Arial" w:cs="Arial"/>
            <w:color w:val="000000" w:themeColor="text1"/>
            <w:sz w:val="22"/>
            <w:szCs w:val="22"/>
          </w:rPr>
          <w:t>https://www.turning-point.co.uk/_themesdelivery/turningpoint23/assets/downloads/Reports%20and%20strategy%20page%20downloads/SUMH%20Resource%20Pack%20July%202021%20(1).pdf</w:t>
        </w:r>
      </w:hyperlink>
      <w:r w:rsidRPr="00503363">
        <w:rPr>
          <w:rFonts w:ascii="Arial" w:hAnsi="Arial" w:cs="Arial"/>
          <w:color w:val="000000" w:themeColor="text1"/>
          <w:sz w:val="22"/>
          <w:szCs w:val="22"/>
        </w:rPr>
        <w:t xml:space="preserve"> (Accessed: 11 Aug. 2025).</w:t>
      </w:r>
    </w:p>
    <w:p w14:paraId="534E943C" w14:textId="77777777"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United Nations Office on Drugs and Crime (2023). </w:t>
      </w:r>
      <w:r w:rsidRPr="00503363">
        <w:rPr>
          <w:rFonts w:ascii="Arial" w:hAnsi="Arial" w:cs="Arial"/>
          <w:i/>
          <w:iCs/>
          <w:color w:val="000000" w:themeColor="text1"/>
          <w:sz w:val="22"/>
          <w:szCs w:val="22"/>
        </w:rPr>
        <w:t>World Drug Report</w:t>
      </w:r>
      <w:r w:rsidRPr="00503363">
        <w:rPr>
          <w:rFonts w:ascii="Arial" w:hAnsi="Arial" w:cs="Arial"/>
          <w:color w:val="000000" w:themeColor="text1"/>
          <w:sz w:val="22"/>
          <w:szCs w:val="22"/>
        </w:rPr>
        <w:t xml:space="preserve">. Available at: </w:t>
      </w:r>
      <w:hyperlink r:id="rId73" w:history="1">
        <w:r w:rsidRPr="00503363">
          <w:rPr>
            <w:rStyle w:val="Hyperlink"/>
            <w:rFonts w:ascii="Arial" w:hAnsi="Arial" w:cs="Arial"/>
            <w:color w:val="000000" w:themeColor="text1"/>
            <w:sz w:val="22"/>
            <w:szCs w:val="22"/>
          </w:rPr>
          <w:t>https://www.unodc.org/res/WDR-2023/WDR23_Exsum_fin_DP.pdf</w:t>
        </w:r>
      </w:hyperlink>
      <w:r w:rsidRPr="00503363">
        <w:rPr>
          <w:rFonts w:ascii="Arial" w:hAnsi="Arial" w:cs="Arial"/>
          <w:color w:val="000000" w:themeColor="text1"/>
          <w:sz w:val="22"/>
          <w:szCs w:val="22"/>
        </w:rPr>
        <w:t>. (Accessed: 6 Nov. 2025).</w:t>
      </w:r>
    </w:p>
    <w:p w14:paraId="59A770A3" w14:textId="27F09345"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United Nations Office on Drugs and Crime (UNODC) (2022). World Drug Report 2022. Vienna: United Nations. Available at: https://www.unodc.org/unodc/en/data-and-analysis/world-drug-report-2022.html (Accessed: 5 June 2025).</w:t>
      </w:r>
    </w:p>
    <w:p w14:paraId="0662C6F6" w14:textId="77777777"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University of Wales Trinity Saint David (2022). </w:t>
      </w:r>
      <w:r w:rsidRPr="00503363">
        <w:rPr>
          <w:rFonts w:ascii="Arial" w:hAnsi="Arial" w:cs="Arial"/>
          <w:i/>
          <w:iCs/>
          <w:color w:val="000000" w:themeColor="text1"/>
          <w:sz w:val="22"/>
          <w:szCs w:val="22"/>
        </w:rPr>
        <w:t>Research Ethics &amp; Integrity Code of Practice</w:t>
      </w:r>
      <w:r w:rsidRPr="00503363">
        <w:rPr>
          <w:rFonts w:ascii="Arial" w:hAnsi="Arial" w:cs="Arial"/>
          <w:color w:val="000000" w:themeColor="text1"/>
          <w:sz w:val="22"/>
          <w:szCs w:val="22"/>
        </w:rPr>
        <w:t>. Uwtsd.ac.uk. Available at: https://moodle.uwtsd.ac.uk/pluginfile.php/1025142/mod_resource/content/1/research-ethics-and-integrity-code-of-practice-jul-2022.pdf (Accessed 17 Aug. 2025).</w:t>
      </w:r>
      <w:r w:rsidRPr="00503363">
        <w:rPr>
          <w:rFonts w:ascii="Arial" w:hAnsi="Arial" w:cs="Arial"/>
          <w:color w:val="000000" w:themeColor="text1"/>
          <w:sz w:val="22"/>
          <w:szCs w:val="22"/>
        </w:rPr>
        <w:br/>
      </w:r>
      <w:r w:rsidRPr="00503363">
        <w:rPr>
          <w:rFonts w:ascii="Arial" w:hAnsi="Arial" w:cs="Arial"/>
          <w:color w:val="000000" w:themeColor="text1"/>
          <w:sz w:val="22"/>
          <w:szCs w:val="22"/>
        </w:rPr>
        <w:lastRenderedPageBreak/>
        <w:t>University of Wales Trinity Saint David (UWTSD), (2024). </w:t>
      </w:r>
      <w:r w:rsidRPr="00503363">
        <w:rPr>
          <w:rFonts w:ascii="Arial" w:hAnsi="Arial" w:cs="Arial"/>
          <w:i/>
          <w:iCs/>
          <w:color w:val="000000" w:themeColor="text1"/>
          <w:sz w:val="22"/>
          <w:szCs w:val="22"/>
        </w:rPr>
        <w:t xml:space="preserve">Library and Academic Skills: Harvard Referencing Guide. </w:t>
      </w:r>
      <w:r w:rsidRPr="00503363">
        <w:rPr>
          <w:rFonts w:ascii="Arial" w:hAnsi="Arial" w:cs="Arial"/>
          <w:color w:val="000000" w:themeColor="text1"/>
          <w:sz w:val="22"/>
          <w:szCs w:val="22"/>
        </w:rPr>
        <w:t xml:space="preserve">Available at: https://uwtsd.ac.uk/library/referencing/ (Accessed: 6 Nov. 2025). </w:t>
      </w:r>
    </w:p>
    <w:p w14:paraId="1C833840" w14:textId="5156B4CC"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UNODC (2022</w:t>
      </w:r>
      <w:proofErr w:type="gramStart"/>
      <w:r w:rsidRPr="00503363">
        <w:rPr>
          <w:rFonts w:ascii="Arial" w:hAnsi="Arial" w:cs="Arial"/>
          <w:color w:val="000000" w:themeColor="text1"/>
          <w:sz w:val="22"/>
          <w:szCs w:val="22"/>
        </w:rPr>
        <w:t>).</w:t>
      </w:r>
      <w:r w:rsidRPr="00503363">
        <w:rPr>
          <w:rFonts w:ascii="Arial" w:hAnsi="Arial" w:cs="Arial"/>
          <w:i/>
          <w:iCs/>
          <w:color w:val="000000" w:themeColor="text1"/>
          <w:sz w:val="22"/>
          <w:szCs w:val="22"/>
        </w:rPr>
        <w:t>World</w:t>
      </w:r>
      <w:proofErr w:type="gramEnd"/>
      <w:r w:rsidRPr="00503363">
        <w:rPr>
          <w:rFonts w:ascii="Arial" w:hAnsi="Arial" w:cs="Arial"/>
          <w:i/>
          <w:iCs/>
          <w:color w:val="000000" w:themeColor="text1"/>
          <w:sz w:val="22"/>
          <w:szCs w:val="22"/>
        </w:rPr>
        <w:t xml:space="preserve"> Drug Report 2022.</w:t>
      </w:r>
      <w:r w:rsidRPr="00503363">
        <w:rPr>
          <w:rFonts w:ascii="Arial" w:hAnsi="Arial" w:cs="Arial"/>
          <w:color w:val="000000" w:themeColor="text1"/>
          <w:sz w:val="22"/>
          <w:szCs w:val="22"/>
        </w:rPr>
        <w:t> United Nations Office on Drugs and Crime. Available at: </w:t>
      </w:r>
      <w:hyperlink r:id="rId74" w:tgtFrame="_new" w:history="1">
        <w:r w:rsidRPr="00503363">
          <w:rPr>
            <w:rFonts w:ascii="Arial" w:hAnsi="Arial" w:cs="Arial"/>
            <w:color w:val="000000" w:themeColor="text1"/>
            <w:sz w:val="22"/>
            <w:szCs w:val="22"/>
            <w:u w:val="single"/>
          </w:rPr>
          <w:t>https://www.unodc.org/unodc/en/data-and-analysis/world-drug-report-2022.html</w:t>
        </w:r>
      </w:hyperlink>
      <w:r w:rsidRPr="00503363">
        <w:rPr>
          <w:rFonts w:ascii="Arial" w:hAnsi="Arial" w:cs="Arial"/>
          <w:color w:val="000000" w:themeColor="text1"/>
          <w:sz w:val="22"/>
          <w:szCs w:val="22"/>
        </w:rPr>
        <w:t> (Accessed: 5 June 2025).</w:t>
      </w:r>
    </w:p>
    <w:p w14:paraId="15475141" w14:textId="1404F04B"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UNODC (United Nations Office on Drugs and Crime), 2022. </w:t>
      </w:r>
      <w:r w:rsidRPr="00503363">
        <w:rPr>
          <w:rFonts w:ascii="Arial" w:hAnsi="Arial" w:cs="Arial"/>
          <w:i/>
          <w:iCs/>
          <w:color w:val="000000" w:themeColor="text1"/>
          <w:sz w:val="22"/>
          <w:szCs w:val="22"/>
        </w:rPr>
        <w:t>World Drug Report 2022.</w:t>
      </w:r>
      <w:r w:rsidRPr="00503363">
        <w:rPr>
          <w:rFonts w:ascii="Arial" w:hAnsi="Arial" w:cs="Arial"/>
          <w:color w:val="000000" w:themeColor="text1"/>
          <w:sz w:val="22"/>
          <w:szCs w:val="22"/>
        </w:rPr>
        <w:t> Vienna: United Nations.</w:t>
      </w:r>
      <w:r w:rsidRPr="00503363">
        <w:rPr>
          <w:rFonts w:ascii="Arial" w:hAnsi="Arial" w:cs="Arial"/>
          <w:color w:val="000000" w:themeColor="text1"/>
          <w:sz w:val="22"/>
          <w:szCs w:val="22"/>
        </w:rPr>
        <w:br/>
        <w:t>Available at: </w:t>
      </w:r>
      <w:hyperlink r:id="rId75" w:tgtFrame="_new" w:history="1">
        <w:r w:rsidRPr="00503363">
          <w:rPr>
            <w:rFonts w:ascii="Arial" w:hAnsi="Arial" w:cs="Arial"/>
            <w:color w:val="000000" w:themeColor="text1"/>
            <w:sz w:val="22"/>
            <w:szCs w:val="22"/>
            <w:u w:val="single"/>
          </w:rPr>
          <w:t>https://www.unodc.org/unodc/en/data-and-analysis/world-drug-report-2022.html</w:t>
        </w:r>
      </w:hyperlink>
      <w:r w:rsidRPr="00503363">
        <w:rPr>
          <w:rFonts w:ascii="Arial" w:hAnsi="Arial" w:cs="Arial"/>
          <w:color w:val="000000" w:themeColor="text1"/>
          <w:sz w:val="22"/>
          <w:szCs w:val="22"/>
        </w:rPr>
        <w:t> (Accessed: 6 Nov. 2025).</w:t>
      </w:r>
    </w:p>
    <w:p w14:paraId="6E3496B8" w14:textId="3FC8CC02" w:rsidR="00503363" w:rsidRP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Whitehead, M. (1992) ‘The concepts and principles of equity and health’, </w:t>
      </w:r>
      <w:r w:rsidRPr="00503363">
        <w:rPr>
          <w:rFonts w:ascii="Arial" w:hAnsi="Arial" w:cs="Arial"/>
          <w:i/>
          <w:iCs/>
          <w:color w:val="000000" w:themeColor="text1"/>
          <w:sz w:val="22"/>
          <w:szCs w:val="22"/>
        </w:rPr>
        <w:t>Health Promotion International</w:t>
      </w:r>
      <w:r w:rsidRPr="00503363">
        <w:rPr>
          <w:rFonts w:ascii="Arial" w:hAnsi="Arial" w:cs="Arial"/>
          <w:color w:val="000000" w:themeColor="text1"/>
          <w:sz w:val="22"/>
          <w:szCs w:val="22"/>
        </w:rPr>
        <w:t>, 6(3), pp. 217–228. doi: 10.1093/heapro/6.3.217.</w:t>
      </w:r>
    </w:p>
    <w:p w14:paraId="6C81E1B5" w14:textId="1DCD7600"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WHO (2019</w:t>
      </w:r>
      <w:proofErr w:type="gramStart"/>
      <w:r w:rsidRPr="00503363">
        <w:rPr>
          <w:rFonts w:ascii="Arial" w:hAnsi="Arial" w:cs="Arial"/>
          <w:color w:val="000000" w:themeColor="text1"/>
          <w:sz w:val="22"/>
          <w:szCs w:val="22"/>
        </w:rPr>
        <w:t>).</w:t>
      </w:r>
      <w:proofErr w:type="gramEnd"/>
      <w:r w:rsidRPr="00503363">
        <w:rPr>
          <w:rFonts w:ascii="Arial" w:hAnsi="Arial" w:cs="Arial"/>
          <w:color w:val="000000" w:themeColor="text1"/>
          <w:sz w:val="22"/>
          <w:szCs w:val="22"/>
        </w:rPr>
        <w:t xml:space="preserve"> World Health Organization: </w:t>
      </w:r>
      <w:r w:rsidRPr="00503363">
        <w:rPr>
          <w:rFonts w:ascii="Arial" w:hAnsi="Arial" w:cs="Arial"/>
          <w:i/>
          <w:iCs/>
          <w:color w:val="000000" w:themeColor="text1"/>
          <w:sz w:val="22"/>
          <w:szCs w:val="22"/>
        </w:rPr>
        <w:t>Social Determinants of Health.</w:t>
      </w:r>
      <w:r w:rsidRPr="00503363">
        <w:rPr>
          <w:rFonts w:ascii="Arial" w:hAnsi="Arial" w:cs="Arial"/>
          <w:color w:val="000000" w:themeColor="text1"/>
          <w:sz w:val="22"/>
          <w:szCs w:val="22"/>
        </w:rPr>
        <w:t> Geneva: WHO.</w:t>
      </w:r>
      <w:r w:rsidRPr="00503363">
        <w:rPr>
          <w:rFonts w:ascii="Arial" w:hAnsi="Arial" w:cs="Arial"/>
          <w:color w:val="000000" w:themeColor="text1"/>
          <w:sz w:val="22"/>
          <w:szCs w:val="22"/>
        </w:rPr>
        <w:br/>
        <w:t>Available at: </w:t>
      </w:r>
      <w:hyperlink r:id="rId76" w:tgtFrame="_new" w:history="1">
        <w:r w:rsidRPr="00503363">
          <w:rPr>
            <w:rFonts w:ascii="Arial" w:hAnsi="Arial" w:cs="Arial"/>
            <w:color w:val="000000" w:themeColor="text1"/>
            <w:sz w:val="22"/>
            <w:szCs w:val="22"/>
            <w:u w:val="single"/>
          </w:rPr>
          <w:t>https://www.who.int/health-topics/social-determinants-of-health</w:t>
        </w:r>
      </w:hyperlink>
      <w:r w:rsidRPr="00503363">
        <w:rPr>
          <w:rFonts w:ascii="Arial" w:hAnsi="Arial" w:cs="Arial"/>
          <w:color w:val="000000" w:themeColor="text1"/>
          <w:sz w:val="22"/>
          <w:szCs w:val="22"/>
        </w:rPr>
        <w:t> (Accessed: 6 Nov. 2025).</w:t>
      </w:r>
    </w:p>
    <w:p w14:paraId="06184BF2" w14:textId="1B6428E7" w:rsidR="00503363" w:rsidRPr="00503363" w:rsidRDefault="00503363" w:rsidP="00503363">
      <w:pPr>
        <w:spacing w:before="100" w:beforeAutospacing="1" w:after="100" w:afterAutospacing="1" w:line="360" w:lineRule="auto"/>
        <w:rPr>
          <w:rFonts w:ascii="Arial" w:hAnsi="Arial" w:cs="Arial"/>
          <w:color w:val="000000" w:themeColor="text1"/>
          <w:sz w:val="22"/>
          <w:szCs w:val="22"/>
        </w:rPr>
      </w:pPr>
      <w:r w:rsidRPr="00503363">
        <w:rPr>
          <w:rFonts w:ascii="Arial" w:hAnsi="Arial" w:cs="Arial"/>
          <w:color w:val="000000" w:themeColor="text1"/>
          <w:sz w:val="22"/>
          <w:szCs w:val="22"/>
        </w:rPr>
        <w:t>WHO (2022</w:t>
      </w:r>
      <w:proofErr w:type="gramStart"/>
      <w:r w:rsidRPr="00503363">
        <w:rPr>
          <w:rFonts w:ascii="Arial" w:hAnsi="Arial" w:cs="Arial"/>
          <w:color w:val="000000" w:themeColor="text1"/>
          <w:sz w:val="22"/>
          <w:szCs w:val="22"/>
        </w:rPr>
        <w:t>).</w:t>
      </w:r>
      <w:proofErr w:type="gramEnd"/>
      <w:r w:rsidRPr="00503363">
        <w:rPr>
          <w:rFonts w:ascii="Arial" w:hAnsi="Arial" w:cs="Arial"/>
          <w:color w:val="000000" w:themeColor="text1"/>
          <w:sz w:val="22"/>
          <w:szCs w:val="22"/>
        </w:rPr>
        <w:t xml:space="preserve"> World Mental Health Report: </w:t>
      </w:r>
      <w:r w:rsidRPr="00503363">
        <w:rPr>
          <w:rFonts w:ascii="Arial" w:hAnsi="Arial" w:cs="Arial"/>
          <w:i/>
          <w:iCs/>
          <w:color w:val="000000" w:themeColor="text1"/>
          <w:sz w:val="22"/>
          <w:szCs w:val="22"/>
        </w:rPr>
        <w:t>Transforming Mental Health for All</w:t>
      </w:r>
      <w:r w:rsidRPr="00503363">
        <w:rPr>
          <w:rFonts w:ascii="Arial" w:hAnsi="Arial" w:cs="Arial"/>
          <w:color w:val="000000" w:themeColor="text1"/>
          <w:sz w:val="22"/>
          <w:szCs w:val="22"/>
        </w:rPr>
        <w:t>. Geneva: WHO. Available at: https://www.who.int/publications/i/item/9789240049338 (Accessed: 6 Nov. 2025).</w:t>
      </w:r>
    </w:p>
    <w:p w14:paraId="6D263C3B" w14:textId="77777777"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WHO (2023</w:t>
      </w:r>
      <w:proofErr w:type="gramStart"/>
      <w:r w:rsidRPr="00503363">
        <w:rPr>
          <w:rFonts w:ascii="Arial" w:hAnsi="Arial" w:cs="Arial"/>
          <w:color w:val="000000" w:themeColor="text1"/>
          <w:sz w:val="22"/>
          <w:szCs w:val="22"/>
        </w:rPr>
        <w:t>).</w:t>
      </w:r>
      <w:proofErr w:type="gramEnd"/>
      <w:r w:rsidRPr="00503363">
        <w:rPr>
          <w:rFonts w:ascii="Arial" w:hAnsi="Arial" w:cs="Arial"/>
          <w:color w:val="000000" w:themeColor="text1"/>
          <w:sz w:val="22"/>
          <w:szCs w:val="22"/>
        </w:rPr>
        <w:t> </w:t>
      </w:r>
      <w:r w:rsidRPr="00503363">
        <w:rPr>
          <w:rFonts w:ascii="Arial" w:hAnsi="Arial" w:cs="Arial"/>
          <w:i/>
          <w:iCs/>
          <w:color w:val="000000" w:themeColor="text1"/>
          <w:sz w:val="22"/>
          <w:szCs w:val="22"/>
        </w:rPr>
        <w:t xml:space="preserve">Global status report on alcohol and health and treatment of substance </w:t>
      </w:r>
      <w:proofErr w:type="gramStart"/>
      <w:r w:rsidRPr="00503363">
        <w:rPr>
          <w:rFonts w:ascii="Arial" w:hAnsi="Arial" w:cs="Arial"/>
          <w:i/>
          <w:iCs/>
          <w:color w:val="000000" w:themeColor="text1"/>
          <w:sz w:val="22"/>
          <w:szCs w:val="22"/>
        </w:rPr>
        <w:t>use</w:t>
      </w:r>
      <w:proofErr w:type="gramEnd"/>
      <w:r w:rsidRPr="00503363">
        <w:rPr>
          <w:rFonts w:ascii="Arial" w:hAnsi="Arial" w:cs="Arial"/>
          <w:i/>
          <w:iCs/>
          <w:color w:val="000000" w:themeColor="text1"/>
          <w:sz w:val="22"/>
          <w:szCs w:val="22"/>
        </w:rPr>
        <w:t xml:space="preserve"> disorders</w:t>
      </w:r>
      <w:r w:rsidRPr="00503363">
        <w:rPr>
          <w:rFonts w:ascii="Arial" w:hAnsi="Arial" w:cs="Arial"/>
          <w:color w:val="000000" w:themeColor="text1"/>
          <w:sz w:val="22"/>
          <w:szCs w:val="22"/>
        </w:rPr>
        <w:t xml:space="preserve">. www.who.int. Available at: </w:t>
      </w:r>
      <w:hyperlink r:id="rId77" w:history="1">
        <w:r w:rsidRPr="00503363">
          <w:rPr>
            <w:rStyle w:val="Hyperlink"/>
            <w:rFonts w:ascii="Arial" w:hAnsi="Arial" w:cs="Arial"/>
            <w:color w:val="000000" w:themeColor="text1"/>
            <w:sz w:val="22"/>
            <w:szCs w:val="22"/>
          </w:rPr>
          <w:t>https://www.who.int/publications/i/item/9789240096745</w:t>
        </w:r>
      </w:hyperlink>
      <w:r w:rsidRPr="00503363">
        <w:rPr>
          <w:rFonts w:ascii="Arial" w:hAnsi="Arial" w:cs="Arial"/>
          <w:color w:val="000000" w:themeColor="text1"/>
          <w:sz w:val="22"/>
          <w:szCs w:val="22"/>
        </w:rPr>
        <w:t>. (Accessed: 6 Nov. 2025).</w:t>
      </w:r>
    </w:p>
    <w:p w14:paraId="610D58DC" w14:textId="1EC343B1" w:rsidR="00503363" w:rsidRPr="00503363" w:rsidRDefault="00503363" w:rsidP="00503363">
      <w:pPr>
        <w:spacing w:line="360" w:lineRule="auto"/>
        <w:rPr>
          <w:rFonts w:ascii="Arial" w:hAnsi="Arial" w:cs="Arial"/>
          <w:color w:val="000000" w:themeColor="text1"/>
          <w:sz w:val="22"/>
          <w:szCs w:val="22"/>
        </w:rPr>
      </w:pPr>
      <w:r w:rsidRPr="00503363">
        <w:rPr>
          <w:rFonts w:ascii="Arial" w:hAnsi="Arial" w:cs="Arial"/>
          <w:color w:val="000000" w:themeColor="text1"/>
          <w:sz w:val="22"/>
          <w:szCs w:val="22"/>
        </w:rPr>
        <w:t>WHO (2024</w:t>
      </w:r>
      <w:proofErr w:type="gramStart"/>
      <w:r w:rsidRPr="00503363">
        <w:rPr>
          <w:rFonts w:ascii="Arial" w:hAnsi="Arial" w:cs="Arial"/>
          <w:color w:val="000000" w:themeColor="text1"/>
          <w:sz w:val="22"/>
          <w:szCs w:val="22"/>
        </w:rPr>
        <w:t>).</w:t>
      </w:r>
      <w:proofErr w:type="gramEnd"/>
      <w:r w:rsidRPr="00503363">
        <w:rPr>
          <w:rFonts w:ascii="Arial" w:hAnsi="Arial" w:cs="Arial"/>
          <w:color w:val="000000" w:themeColor="text1"/>
          <w:sz w:val="22"/>
          <w:szCs w:val="22"/>
        </w:rPr>
        <w:t> </w:t>
      </w:r>
      <w:r w:rsidRPr="00503363">
        <w:rPr>
          <w:rFonts w:ascii="Arial" w:hAnsi="Arial" w:cs="Arial"/>
          <w:i/>
          <w:iCs/>
          <w:color w:val="000000" w:themeColor="text1"/>
          <w:sz w:val="22"/>
          <w:szCs w:val="22"/>
        </w:rPr>
        <w:t>Towards an action plan on alcohol</w:t>
      </w:r>
      <w:r w:rsidRPr="00503363">
        <w:rPr>
          <w:rFonts w:ascii="Arial" w:hAnsi="Arial" w:cs="Arial"/>
          <w:color w:val="000000" w:themeColor="text1"/>
          <w:sz w:val="22"/>
          <w:szCs w:val="22"/>
        </w:rPr>
        <w:t xml:space="preserve">. www.who.int. Available at: </w:t>
      </w:r>
      <w:hyperlink r:id="rId78" w:history="1">
        <w:r w:rsidRPr="00503363">
          <w:rPr>
            <w:rStyle w:val="Hyperlink"/>
            <w:rFonts w:ascii="Arial" w:hAnsi="Arial" w:cs="Arial"/>
            <w:color w:val="000000" w:themeColor="text1"/>
            <w:sz w:val="22"/>
            <w:szCs w:val="22"/>
          </w:rPr>
          <w:t>https://www.who.int/teams/mental-health-and-substance-use/alcohol-drugs-and-addictive-behaviours/alcohol/our-activities/towards-and-action-plan-on-alcohol</w:t>
        </w:r>
      </w:hyperlink>
      <w:r w:rsidRPr="00503363">
        <w:rPr>
          <w:rFonts w:ascii="Arial" w:hAnsi="Arial" w:cs="Arial"/>
          <w:color w:val="000000" w:themeColor="text1"/>
          <w:sz w:val="22"/>
          <w:szCs w:val="22"/>
        </w:rPr>
        <w:t>. (Accessed: 6 Nov. 2025).</w:t>
      </w:r>
      <w:r w:rsidRPr="00503363">
        <w:rPr>
          <w:rFonts w:ascii="Arial" w:hAnsi="Arial" w:cs="Arial"/>
          <w:color w:val="000000" w:themeColor="text1"/>
          <w:sz w:val="22"/>
          <w:szCs w:val="22"/>
        </w:rPr>
        <w:br/>
        <w:t>World Health Organization (WHO), 2021. </w:t>
      </w:r>
      <w:r w:rsidRPr="00503363">
        <w:rPr>
          <w:rFonts w:ascii="Arial" w:hAnsi="Arial" w:cs="Arial"/>
          <w:i/>
          <w:iCs/>
          <w:color w:val="000000" w:themeColor="text1"/>
          <w:sz w:val="22"/>
          <w:szCs w:val="22"/>
        </w:rPr>
        <w:t>Lexicon of Alcohol and Drug Terms.</w:t>
      </w:r>
      <w:r w:rsidRPr="00503363">
        <w:rPr>
          <w:rFonts w:ascii="Arial" w:hAnsi="Arial" w:cs="Arial"/>
          <w:color w:val="000000" w:themeColor="text1"/>
          <w:sz w:val="22"/>
          <w:szCs w:val="22"/>
        </w:rPr>
        <w:t xml:space="preserve"> Geneva: WHO. Available at: </w:t>
      </w:r>
      <w:hyperlink r:id="rId79" w:history="1">
        <w:r w:rsidRPr="00503363">
          <w:rPr>
            <w:rStyle w:val="Hyperlink"/>
            <w:rFonts w:ascii="Arial" w:hAnsi="Arial" w:cs="Arial"/>
            <w:color w:val="000000" w:themeColor="text1"/>
            <w:sz w:val="22"/>
            <w:szCs w:val="22"/>
          </w:rPr>
          <w:t>https://www.who.int/publications/i/item/9241544686</w:t>
        </w:r>
      </w:hyperlink>
      <w:r w:rsidRPr="00503363">
        <w:rPr>
          <w:rFonts w:ascii="Arial" w:hAnsi="Arial" w:cs="Arial"/>
          <w:color w:val="000000" w:themeColor="text1"/>
          <w:sz w:val="22"/>
          <w:szCs w:val="22"/>
        </w:rPr>
        <w:t>. (Accessed: 6 Nov. 2025).</w:t>
      </w:r>
    </w:p>
    <w:p w14:paraId="5816DB71" w14:textId="16777E79" w:rsidR="00503363" w:rsidRDefault="00503363" w:rsidP="00503363">
      <w:pPr>
        <w:spacing w:after="240" w:line="360" w:lineRule="auto"/>
        <w:rPr>
          <w:rFonts w:ascii="Arial" w:hAnsi="Arial" w:cs="Arial"/>
          <w:color w:val="000000" w:themeColor="text1"/>
          <w:sz w:val="22"/>
          <w:szCs w:val="22"/>
        </w:rPr>
      </w:pPr>
      <w:r w:rsidRPr="00503363">
        <w:rPr>
          <w:rFonts w:ascii="Arial" w:hAnsi="Arial" w:cs="Arial"/>
          <w:color w:val="000000" w:themeColor="text1"/>
          <w:sz w:val="22"/>
          <w:szCs w:val="22"/>
        </w:rPr>
        <w:t>Zubin, J. and Spring, B. (1977). Vulnerability--a new view of schizophrenia. </w:t>
      </w:r>
      <w:r w:rsidRPr="00503363">
        <w:rPr>
          <w:rFonts w:ascii="Arial" w:hAnsi="Arial" w:cs="Arial"/>
          <w:i/>
          <w:iCs/>
          <w:color w:val="000000" w:themeColor="text1"/>
          <w:sz w:val="22"/>
          <w:szCs w:val="22"/>
        </w:rPr>
        <w:t>Journal of abnormal psychology</w:t>
      </w:r>
      <w:r w:rsidRPr="00503363">
        <w:rPr>
          <w:rFonts w:ascii="Arial" w:hAnsi="Arial" w:cs="Arial"/>
          <w:color w:val="000000" w:themeColor="text1"/>
          <w:sz w:val="22"/>
          <w:szCs w:val="22"/>
        </w:rPr>
        <w:t xml:space="preserve">, 86(2), pp.103–26. Available at: </w:t>
      </w:r>
      <w:proofErr w:type="gramStart"/>
      <w:r w:rsidRPr="00503363">
        <w:rPr>
          <w:rFonts w:ascii="Arial" w:hAnsi="Arial" w:cs="Arial"/>
          <w:color w:val="000000" w:themeColor="text1"/>
          <w:sz w:val="22"/>
          <w:szCs w:val="22"/>
        </w:rPr>
        <w:t>doi:https://doi.org/10.1037//0021-843x.86.2.103</w:t>
      </w:r>
      <w:proofErr w:type="gramEnd"/>
      <w:r w:rsidRPr="00503363">
        <w:rPr>
          <w:rFonts w:ascii="Arial" w:hAnsi="Arial" w:cs="Arial"/>
          <w:color w:val="000000" w:themeColor="text1"/>
          <w:sz w:val="22"/>
          <w:szCs w:val="22"/>
        </w:rPr>
        <w:t>.</w:t>
      </w:r>
    </w:p>
    <w:p w14:paraId="013B96CB" w14:textId="77777777" w:rsidR="00503363" w:rsidRPr="00503363" w:rsidRDefault="00503363" w:rsidP="00503363">
      <w:pPr>
        <w:spacing w:after="240" w:line="360" w:lineRule="auto"/>
        <w:rPr>
          <w:rFonts w:ascii="Arial" w:hAnsi="Arial" w:cs="Arial"/>
          <w:color w:val="000000" w:themeColor="text1"/>
          <w:sz w:val="22"/>
          <w:szCs w:val="22"/>
        </w:rPr>
      </w:pPr>
    </w:p>
    <w:p w14:paraId="6338DA7E" w14:textId="241CF6D7" w:rsidR="00C40CF1" w:rsidRPr="00170ACB" w:rsidRDefault="00C40CF1" w:rsidP="00170ACB">
      <w:pPr>
        <w:pStyle w:val="Heading1"/>
        <w:spacing w:line="360" w:lineRule="auto"/>
        <w:rPr>
          <w:rFonts w:cs="Arial"/>
          <w:szCs w:val="22"/>
        </w:rPr>
      </w:pPr>
      <w:bookmarkStart w:id="86" w:name="_Toc215043429"/>
      <w:r w:rsidRPr="00170ACB">
        <w:rPr>
          <w:rFonts w:cs="Arial"/>
          <w:szCs w:val="22"/>
        </w:rPr>
        <w:lastRenderedPageBreak/>
        <w:t>Appendices</w:t>
      </w:r>
      <w:bookmarkEnd w:id="86"/>
    </w:p>
    <w:p w14:paraId="6ECDE6FA" w14:textId="77777777" w:rsidR="00C40CF1" w:rsidRPr="00170ACB" w:rsidRDefault="00C40CF1" w:rsidP="00170ACB">
      <w:pPr>
        <w:pStyle w:val="Heading2"/>
        <w:spacing w:line="360" w:lineRule="auto"/>
        <w:rPr>
          <w:rFonts w:cs="Arial"/>
          <w:szCs w:val="22"/>
        </w:rPr>
      </w:pPr>
      <w:bookmarkStart w:id="87" w:name="_Toc215043430"/>
      <w:r w:rsidRPr="00170ACB">
        <w:rPr>
          <w:rFonts w:cs="Arial"/>
          <w:szCs w:val="22"/>
        </w:rPr>
        <w:t>Appendix A: Glossary of Key Terms</w:t>
      </w:r>
      <w:bookmarkEnd w:id="87"/>
    </w:p>
    <w:p w14:paraId="4B3644FB" w14:textId="77777777" w:rsidR="00C40CF1" w:rsidRPr="00170ACB" w:rsidRDefault="00C40CF1" w:rsidP="00170ACB">
      <w:pPr>
        <w:spacing w:line="360" w:lineRule="auto"/>
        <w:rPr>
          <w:rFonts w:ascii="Arial" w:hAnsi="Arial" w:cs="Arial"/>
          <w:sz w:val="22"/>
          <w:szCs w:val="22"/>
        </w:rPr>
      </w:pPr>
      <w:r w:rsidRPr="00170ACB">
        <w:rPr>
          <w:rFonts w:ascii="Arial" w:hAnsi="Arial" w:cs="Arial"/>
          <w:sz w:val="22"/>
          <w:szCs w:val="22"/>
        </w:rPr>
        <w:t>Adverse Childhood Experiences (ACEs): Potentially traumatic events occurring before age 18, including abuse, neglect, and household dysfunction. ACEs increase the lifetime risk of substance misuse and mental health disorders.</w:t>
      </w:r>
    </w:p>
    <w:p w14:paraId="7C013A01" w14:textId="77777777" w:rsidR="00C40CF1" w:rsidRPr="00170ACB" w:rsidRDefault="00C40CF1" w:rsidP="00170ACB">
      <w:pPr>
        <w:spacing w:line="360" w:lineRule="auto"/>
        <w:rPr>
          <w:rFonts w:ascii="Arial" w:hAnsi="Arial" w:cs="Arial"/>
          <w:sz w:val="22"/>
          <w:szCs w:val="22"/>
        </w:rPr>
      </w:pPr>
      <w:r w:rsidRPr="00170ACB">
        <w:rPr>
          <w:rFonts w:ascii="Arial" w:hAnsi="Arial" w:cs="Arial"/>
          <w:sz w:val="22"/>
          <w:szCs w:val="22"/>
        </w:rPr>
        <w:t>Biopsychosocial Model: A framework recognising biological, psychological, and social factors in the development of health conditions, including addiction.</w:t>
      </w:r>
    </w:p>
    <w:p w14:paraId="561B3CFC" w14:textId="77777777" w:rsidR="00C40CF1" w:rsidRPr="00170ACB" w:rsidRDefault="00C40CF1" w:rsidP="00170ACB">
      <w:pPr>
        <w:spacing w:line="360" w:lineRule="auto"/>
        <w:rPr>
          <w:rFonts w:ascii="Arial" w:hAnsi="Arial" w:cs="Arial"/>
          <w:sz w:val="22"/>
          <w:szCs w:val="22"/>
        </w:rPr>
      </w:pPr>
      <w:r w:rsidRPr="00170ACB">
        <w:rPr>
          <w:rFonts w:ascii="Arial" w:hAnsi="Arial" w:cs="Arial"/>
          <w:sz w:val="22"/>
          <w:szCs w:val="22"/>
        </w:rPr>
        <w:t xml:space="preserve">Comorbidity / Dual Diagnosis: The coexistence of a substance </w:t>
      </w:r>
      <w:proofErr w:type="gramStart"/>
      <w:r w:rsidRPr="00170ACB">
        <w:rPr>
          <w:rFonts w:ascii="Arial" w:hAnsi="Arial" w:cs="Arial"/>
          <w:sz w:val="22"/>
          <w:szCs w:val="22"/>
        </w:rPr>
        <w:t>use</w:t>
      </w:r>
      <w:proofErr w:type="gramEnd"/>
      <w:r w:rsidRPr="00170ACB">
        <w:rPr>
          <w:rFonts w:ascii="Arial" w:hAnsi="Arial" w:cs="Arial"/>
          <w:sz w:val="22"/>
          <w:szCs w:val="22"/>
        </w:rPr>
        <w:t xml:space="preserve"> disorder and one or more mental health disorders (e.g., depression and alcohol dependence).</w:t>
      </w:r>
    </w:p>
    <w:p w14:paraId="6DFF7CDD" w14:textId="3B1DC2D1" w:rsidR="00C40CF1" w:rsidRPr="00170ACB" w:rsidRDefault="00C40CF1" w:rsidP="00170ACB">
      <w:pPr>
        <w:spacing w:line="360" w:lineRule="auto"/>
        <w:rPr>
          <w:rFonts w:ascii="Arial" w:hAnsi="Arial" w:cs="Arial"/>
          <w:sz w:val="22"/>
          <w:szCs w:val="22"/>
        </w:rPr>
      </w:pPr>
      <w:r w:rsidRPr="00170ACB">
        <w:rPr>
          <w:rFonts w:ascii="Arial" w:hAnsi="Arial" w:cs="Arial"/>
          <w:sz w:val="22"/>
          <w:szCs w:val="22"/>
        </w:rPr>
        <w:t>Digital Exclusion: The inability to access online services due to cost, lack of skills, or inadequate technology significantly impacting low-income groups.</w:t>
      </w:r>
    </w:p>
    <w:p w14:paraId="7D662B02" w14:textId="77777777" w:rsidR="00C40CF1" w:rsidRPr="00170ACB" w:rsidRDefault="00C40CF1" w:rsidP="00170ACB">
      <w:pPr>
        <w:spacing w:line="360" w:lineRule="auto"/>
        <w:rPr>
          <w:rFonts w:ascii="Arial" w:hAnsi="Arial" w:cs="Arial"/>
          <w:sz w:val="22"/>
          <w:szCs w:val="22"/>
        </w:rPr>
      </w:pPr>
      <w:r w:rsidRPr="00170ACB">
        <w:rPr>
          <w:rFonts w:ascii="Arial" w:hAnsi="Arial" w:cs="Arial"/>
          <w:sz w:val="22"/>
          <w:szCs w:val="22"/>
        </w:rPr>
        <w:t>Health Inequalities: Avoidable and unfair differences in health outcomes between population groups, often shaped by socioeconomic status.</w:t>
      </w:r>
    </w:p>
    <w:p w14:paraId="538CEE53" w14:textId="77777777" w:rsidR="00C40CF1" w:rsidRPr="00170ACB" w:rsidRDefault="00C40CF1" w:rsidP="00170ACB">
      <w:pPr>
        <w:spacing w:line="360" w:lineRule="auto"/>
        <w:rPr>
          <w:rFonts w:ascii="Arial" w:hAnsi="Arial" w:cs="Arial"/>
          <w:sz w:val="22"/>
          <w:szCs w:val="22"/>
        </w:rPr>
      </w:pPr>
      <w:r w:rsidRPr="00170ACB">
        <w:rPr>
          <w:rFonts w:ascii="Arial" w:hAnsi="Arial" w:cs="Arial"/>
          <w:sz w:val="22"/>
          <w:szCs w:val="22"/>
        </w:rPr>
        <w:t>Inverse Care Law: The principle that those who need healthcare the most are often least likely to receive it.</w:t>
      </w:r>
    </w:p>
    <w:p w14:paraId="609FD711" w14:textId="77777777" w:rsidR="00C40CF1" w:rsidRPr="00170ACB" w:rsidRDefault="00C40CF1" w:rsidP="00170ACB">
      <w:pPr>
        <w:spacing w:line="360" w:lineRule="auto"/>
        <w:rPr>
          <w:rFonts w:ascii="Arial" w:hAnsi="Arial" w:cs="Arial"/>
          <w:sz w:val="22"/>
          <w:szCs w:val="22"/>
        </w:rPr>
      </w:pPr>
      <w:r w:rsidRPr="00170ACB">
        <w:rPr>
          <w:rFonts w:ascii="Arial" w:hAnsi="Arial" w:cs="Arial"/>
          <w:sz w:val="22"/>
          <w:szCs w:val="22"/>
        </w:rPr>
        <w:t>Low-Income Status: A socioeconomic condition where individuals or households earn below 60% of the national median income.</w:t>
      </w:r>
    </w:p>
    <w:p w14:paraId="6F0A9D1C" w14:textId="77777777" w:rsidR="00C40CF1" w:rsidRPr="00170ACB" w:rsidRDefault="00C40CF1" w:rsidP="00170ACB">
      <w:pPr>
        <w:spacing w:line="360" w:lineRule="auto"/>
        <w:rPr>
          <w:rFonts w:ascii="Arial" w:hAnsi="Arial" w:cs="Arial"/>
          <w:sz w:val="22"/>
          <w:szCs w:val="22"/>
        </w:rPr>
      </w:pPr>
      <w:r w:rsidRPr="00170ACB">
        <w:rPr>
          <w:rFonts w:ascii="Arial" w:hAnsi="Arial" w:cs="Arial"/>
          <w:sz w:val="22"/>
          <w:szCs w:val="22"/>
        </w:rPr>
        <w:t>Mental Health Disorders: Clinically recognised psychological conditions that impair thinking, mood, or behaviour (e.g., anxiety, PTSD, depression).</w:t>
      </w:r>
    </w:p>
    <w:p w14:paraId="053A37A2" w14:textId="77777777" w:rsidR="00C40CF1" w:rsidRPr="00170ACB" w:rsidRDefault="00C40CF1" w:rsidP="00170ACB">
      <w:pPr>
        <w:spacing w:line="360" w:lineRule="auto"/>
        <w:rPr>
          <w:rFonts w:ascii="Arial" w:hAnsi="Arial" w:cs="Arial"/>
          <w:sz w:val="22"/>
          <w:szCs w:val="22"/>
        </w:rPr>
      </w:pPr>
      <w:r w:rsidRPr="00170ACB">
        <w:rPr>
          <w:rFonts w:ascii="Arial" w:hAnsi="Arial" w:cs="Arial"/>
          <w:sz w:val="22"/>
          <w:szCs w:val="22"/>
        </w:rPr>
        <w:t>Public Health Approach: A model prioritising prevention, early intervention, and harm reduction rather than criminalisation.</w:t>
      </w:r>
    </w:p>
    <w:p w14:paraId="2574EA17" w14:textId="4687CD93" w:rsidR="00C40CF1" w:rsidRPr="00170ACB" w:rsidRDefault="00C40CF1" w:rsidP="00170ACB">
      <w:pPr>
        <w:spacing w:line="360" w:lineRule="auto"/>
        <w:rPr>
          <w:rFonts w:ascii="Arial" w:hAnsi="Arial" w:cs="Arial"/>
          <w:sz w:val="22"/>
          <w:szCs w:val="22"/>
        </w:rPr>
      </w:pPr>
      <w:r w:rsidRPr="00170ACB">
        <w:rPr>
          <w:rFonts w:ascii="Arial" w:hAnsi="Arial" w:cs="Arial"/>
          <w:sz w:val="22"/>
          <w:szCs w:val="22"/>
        </w:rPr>
        <w:t>Social Determinants of Health: Non-medical factors including housing, income, employment, and education that shape health outcomes.</w:t>
      </w:r>
    </w:p>
    <w:p w14:paraId="11453C97" w14:textId="77777777" w:rsidR="00C40CF1" w:rsidRPr="00170ACB" w:rsidRDefault="00C40CF1" w:rsidP="00170ACB">
      <w:pPr>
        <w:spacing w:line="360" w:lineRule="auto"/>
        <w:rPr>
          <w:rFonts w:ascii="Arial" w:hAnsi="Arial" w:cs="Arial"/>
          <w:sz w:val="22"/>
          <w:szCs w:val="22"/>
        </w:rPr>
      </w:pPr>
      <w:r w:rsidRPr="00170ACB">
        <w:rPr>
          <w:rFonts w:ascii="Arial" w:hAnsi="Arial" w:cs="Arial"/>
          <w:sz w:val="22"/>
          <w:szCs w:val="22"/>
        </w:rPr>
        <w:t>Social Exclusion: The process through which individuals or groups are systematically marginalised, reducing access to housing, employment, and healthcare.</w:t>
      </w:r>
    </w:p>
    <w:p w14:paraId="2832243B" w14:textId="77777777" w:rsidR="00C40CF1" w:rsidRPr="00170ACB" w:rsidRDefault="00C40CF1" w:rsidP="00170ACB">
      <w:pPr>
        <w:spacing w:line="360" w:lineRule="auto"/>
        <w:rPr>
          <w:rFonts w:ascii="Arial" w:hAnsi="Arial" w:cs="Arial"/>
          <w:sz w:val="22"/>
          <w:szCs w:val="22"/>
        </w:rPr>
      </w:pPr>
      <w:r w:rsidRPr="00170ACB">
        <w:rPr>
          <w:rFonts w:ascii="Arial" w:hAnsi="Arial" w:cs="Arial"/>
          <w:sz w:val="22"/>
          <w:szCs w:val="22"/>
        </w:rPr>
        <w:t>Substance Misuse: Harmful or hazardous use of psychoactive substances, including dependence and harmful patterns of alcohol or drug use.</w:t>
      </w:r>
    </w:p>
    <w:p w14:paraId="26A4A7D4" w14:textId="4A8F62F0" w:rsidR="00C40CF1" w:rsidRDefault="00C40CF1" w:rsidP="00170ACB">
      <w:pPr>
        <w:spacing w:line="360" w:lineRule="auto"/>
        <w:rPr>
          <w:rFonts w:ascii="Arial" w:hAnsi="Arial" w:cs="Arial"/>
          <w:sz w:val="22"/>
          <w:szCs w:val="22"/>
        </w:rPr>
      </w:pPr>
      <w:r w:rsidRPr="00170ACB">
        <w:rPr>
          <w:rFonts w:ascii="Arial" w:hAnsi="Arial" w:cs="Arial"/>
          <w:sz w:val="22"/>
          <w:szCs w:val="22"/>
        </w:rPr>
        <w:t>Trauma-Informed Care: An approach that recognises the prevalence and impact of trauma and integrates this understanding into service delivery.</w:t>
      </w:r>
    </w:p>
    <w:p w14:paraId="79D373F1" w14:textId="194698A2" w:rsidR="00C005CE" w:rsidRDefault="00C005CE" w:rsidP="00170ACB">
      <w:pPr>
        <w:spacing w:line="360" w:lineRule="auto"/>
        <w:rPr>
          <w:rFonts w:ascii="Arial" w:hAnsi="Arial" w:cs="Arial"/>
          <w:sz w:val="22"/>
          <w:szCs w:val="22"/>
        </w:rPr>
      </w:pPr>
    </w:p>
    <w:p w14:paraId="445A358D" w14:textId="53C52CA0" w:rsidR="00C005CE" w:rsidRDefault="00C005CE" w:rsidP="00170ACB">
      <w:pPr>
        <w:spacing w:line="360" w:lineRule="auto"/>
        <w:rPr>
          <w:rFonts w:ascii="Arial" w:hAnsi="Arial" w:cs="Arial"/>
          <w:sz w:val="22"/>
          <w:szCs w:val="22"/>
        </w:rPr>
      </w:pPr>
    </w:p>
    <w:p w14:paraId="4E4DDE20" w14:textId="1C4F4FF6" w:rsidR="00C005CE" w:rsidRDefault="00C005CE" w:rsidP="00170ACB">
      <w:pPr>
        <w:spacing w:line="360" w:lineRule="auto"/>
        <w:rPr>
          <w:rFonts w:ascii="Arial" w:hAnsi="Arial" w:cs="Arial"/>
          <w:sz w:val="22"/>
          <w:szCs w:val="22"/>
        </w:rPr>
      </w:pPr>
    </w:p>
    <w:p w14:paraId="29BB5E25" w14:textId="141779C0" w:rsidR="00C005CE" w:rsidRDefault="00C005CE" w:rsidP="00170ACB">
      <w:pPr>
        <w:spacing w:line="360" w:lineRule="auto"/>
        <w:rPr>
          <w:rFonts w:ascii="Arial" w:hAnsi="Arial" w:cs="Arial"/>
          <w:sz w:val="22"/>
          <w:szCs w:val="22"/>
        </w:rPr>
      </w:pPr>
    </w:p>
    <w:p w14:paraId="63A67917" w14:textId="77777777" w:rsidR="00C005CE" w:rsidRPr="00170ACB" w:rsidRDefault="00C005CE" w:rsidP="00170ACB">
      <w:pPr>
        <w:spacing w:line="360" w:lineRule="auto"/>
        <w:rPr>
          <w:rFonts w:ascii="Arial" w:hAnsi="Arial" w:cs="Arial"/>
          <w:sz w:val="22"/>
          <w:szCs w:val="22"/>
        </w:rPr>
      </w:pPr>
    </w:p>
    <w:p w14:paraId="06365E57" w14:textId="36E6F0E8" w:rsidR="00C40CF1" w:rsidRDefault="00C40CF1" w:rsidP="00170ACB">
      <w:pPr>
        <w:spacing w:line="360" w:lineRule="auto"/>
        <w:rPr>
          <w:rFonts w:ascii="Arial" w:hAnsi="Arial" w:cs="Arial"/>
          <w:sz w:val="22"/>
          <w:szCs w:val="22"/>
        </w:rPr>
      </w:pPr>
    </w:p>
    <w:p w14:paraId="06E79E8F" w14:textId="77777777" w:rsidR="00C005CE" w:rsidRPr="004E7E43" w:rsidRDefault="00C005CE" w:rsidP="00C005CE">
      <w:pPr>
        <w:pStyle w:val="Heading2"/>
      </w:pPr>
      <w:bookmarkStart w:id="88" w:name="_Toc215043431"/>
      <w:bookmarkStart w:id="89" w:name="Xe8f3d5d35eed5b63713151879eb136b3c19c84c"/>
      <w:r w:rsidRPr="004E7E43">
        <w:lastRenderedPageBreak/>
        <w:t>Appendix B: Search Strategy Tables</w:t>
      </w:r>
      <w:bookmarkEnd w:id="88"/>
    </w:p>
    <w:p w14:paraId="3326FD0B" w14:textId="2C1D91E0" w:rsidR="00C005CE" w:rsidRPr="00C005CE" w:rsidRDefault="00C005CE" w:rsidP="00C005CE">
      <w:pPr>
        <w:rPr>
          <w:sz w:val="20"/>
          <w:szCs w:val="20"/>
        </w:rPr>
      </w:pPr>
      <w:r w:rsidRPr="00C005CE">
        <w:rPr>
          <w:sz w:val="20"/>
          <w:szCs w:val="20"/>
        </w:rPr>
        <w:t>Table B1: Databases Searched and Rationale</w:t>
      </w:r>
    </w:p>
    <w:p w14:paraId="05720B2E" w14:textId="77777777" w:rsidR="00C005CE" w:rsidRPr="00C005CE" w:rsidRDefault="00C005CE" w:rsidP="00C005CE"/>
    <w:tbl>
      <w:tblPr>
        <w:tblStyle w:val="PlainTable2"/>
        <w:tblW w:w="5000" w:type="pct"/>
        <w:tblLayout w:type="fixed"/>
        <w:tblLook w:val="0020" w:firstRow="1" w:lastRow="0" w:firstColumn="0" w:lastColumn="0" w:noHBand="0" w:noVBand="0"/>
      </w:tblPr>
      <w:tblGrid>
        <w:gridCol w:w="2705"/>
        <w:gridCol w:w="3306"/>
        <w:gridCol w:w="3005"/>
      </w:tblGrid>
      <w:tr w:rsidR="00C005CE" w:rsidRPr="00C005CE" w14:paraId="53965282" w14:textId="77777777" w:rsidTr="00C005CE">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376" w:type="dxa"/>
          </w:tcPr>
          <w:p w14:paraId="79C666E2" w14:textId="77777777" w:rsidR="00C005CE" w:rsidRPr="00C005CE" w:rsidRDefault="00C005CE" w:rsidP="009526E9">
            <w:pPr>
              <w:pStyle w:val="Compact"/>
              <w:spacing w:line="360" w:lineRule="auto"/>
              <w:rPr>
                <w:rFonts w:ascii="Arial" w:hAnsi="Arial" w:cs="Arial"/>
                <w:b w:val="0"/>
                <w:bCs w:val="0"/>
                <w:sz w:val="20"/>
                <w:szCs w:val="20"/>
              </w:rPr>
            </w:pPr>
            <w:r w:rsidRPr="00C005CE">
              <w:rPr>
                <w:rFonts w:ascii="Arial" w:hAnsi="Arial" w:cs="Arial"/>
                <w:b w:val="0"/>
                <w:bCs w:val="0"/>
                <w:sz w:val="20"/>
                <w:szCs w:val="20"/>
              </w:rPr>
              <w:t>Database</w:t>
            </w:r>
          </w:p>
        </w:tc>
        <w:tc>
          <w:tcPr>
            <w:cnfStyle w:val="000001000000" w:firstRow="0" w:lastRow="0" w:firstColumn="0" w:lastColumn="0" w:oddVBand="0" w:evenVBand="1" w:oddHBand="0" w:evenHBand="0" w:firstRowFirstColumn="0" w:firstRowLastColumn="0" w:lastRowFirstColumn="0" w:lastRowLastColumn="0"/>
            <w:tcW w:w="2904" w:type="dxa"/>
          </w:tcPr>
          <w:p w14:paraId="4B65EEC7" w14:textId="77777777" w:rsidR="00C005CE" w:rsidRPr="00C005CE" w:rsidRDefault="00C005CE" w:rsidP="009526E9">
            <w:pPr>
              <w:pStyle w:val="Compact"/>
              <w:spacing w:line="360" w:lineRule="auto"/>
              <w:rPr>
                <w:rFonts w:ascii="Arial" w:hAnsi="Arial" w:cs="Arial"/>
                <w:b w:val="0"/>
                <w:bCs w:val="0"/>
                <w:sz w:val="20"/>
                <w:szCs w:val="20"/>
              </w:rPr>
            </w:pPr>
            <w:r w:rsidRPr="00C005CE">
              <w:rPr>
                <w:rFonts w:ascii="Arial" w:hAnsi="Arial" w:cs="Arial"/>
                <w:b w:val="0"/>
                <w:bCs w:val="0"/>
                <w:sz w:val="20"/>
                <w:szCs w:val="20"/>
              </w:rPr>
              <w:t>Rationale</w:t>
            </w:r>
          </w:p>
        </w:tc>
        <w:tc>
          <w:tcPr>
            <w:cnfStyle w:val="000010000000" w:firstRow="0" w:lastRow="0" w:firstColumn="0" w:lastColumn="0" w:oddVBand="1" w:evenVBand="0" w:oddHBand="0" w:evenHBand="0" w:firstRowFirstColumn="0" w:firstRowLastColumn="0" w:lastRowFirstColumn="0" w:lastRowLastColumn="0"/>
            <w:tcW w:w="2640" w:type="dxa"/>
          </w:tcPr>
          <w:p w14:paraId="208619BE" w14:textId="77777777" w:rsidR="00C005CE" w:rsidRPr="00C005CE" w:rsidRDefault="00C005CE" w:rsidP="009526E9">
            <w:pPr>
              <w:pStyle w:val="Compact"/>
              <w:spacing w:line="360" w:lineRule="auto"/>
              <w:rPr>
                <w:rFonts w:ascii="Arial" w:hAnsi="Arial" w:cs="Arial"/>
                <w:b w:val="0"/>
                <w:bCs w:val="0"/>
                <w:sz w:val="20"/>
                <w:szCs w:val="20"/>
              </w:rPr>
            </w:pPr>
            <w:r w:rsidRPr="00C005CE">
              <w:rPr>
                <w:rFonts w:ascii="Arial" w:hAnsi="Arial" w:cs="Arial"/>
                <w:b w:val="0"/>
                <w:bCs w:val="0"/>
                <w:sz w:val="20"/>
                <w:szCs w:val="20"/>
              </w:rPr>
              <w:t>Coverage</w:t>
            </w:r>
          </w:p>
        </w:tc>
      </w:tr>
      <w:tr w:rsidR="00C005CE" w:rsidRPr="00C005CE" w14:paraId="22F940F6" w14:textId="77777777" w:rsidTr="00C005C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376" w:type="dxa"/>
          </w:tcPr>
          <w:p w14:paraId="48E81FD1"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PubMed</w:t>
            </w:r>
          </w:p>
        </w:tc>
        <w:tc>
          <w:tcPr>
            <w:cnfStyle w:val="000001000000" w:firstRow="0" w:lastRow="0" w:firstColumn="0" w:lastColumn="0" w:oddVBand="0" w:evenVBand="1" w:oddHBand="0" w:evenHBand="0" w:firstRowFirstColumn="0" w:firstRowLastColumn="0" w:lastRowFirstColumn="0" w:lastRowLastColumn="0"/>
            <w:tcW w:w="2904" w:type="dxa"/>
          </w:tcPr>
          <w:p w14:paraId="0C195F8F"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Biomedical &amp; mental health research</w:t>
            </w:r>
          </w:p>
        </w:tc>
        <w:tc>
          <w:tcPr>
            <w:cnfStyle w:val="000010000000" w:firstRow="0" w:lastRow="0" w:firstColumn="0" w:lastColumn="0" w:oddVBand="1" w:evenVBand="0" w:oddHBand="0" w:evenHBand="0" w:firstRowFirstColumn="0" w:firstRowLastColumn="0" w:lastRowFirstColumn="0" w:lastRowLastColumn="0"/>
            <w:tcW w:w="2640" w:type="dxa"/>
          </w:tcPr>
          <w:p w14:paraId="4473A121"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Clinical and epidemiological studies</w:t>
            </w:r>
          </w:p>
        </w:tc>
      </w:tr>
      <w:tr w:rsidR="00C005CE" w:rsidRPr="00C005CE" w14:paraId="26ADBA09" w14:textId="77777777" w:rsidTr="00C005CE">
        <w:tc>
          <w:tcPr>
            <w:cnfStyle w:val="000010000000" w:firstRow="0" w:lastRow="0" w:firstColumn="0" w:lastColumn="0" w:oddVBand="1" w:evenVBand="0" w:oddHBand="0" w:evenHBand="0" w:firstRowFirstColumn="0" w:firstRowLastColumn="0" w:lastRowFirstColumn="0" w:lastRowLastColumn="0"/>
            <w:tcW w:w="2376" w:type="dxa"/>
          </w:tcPr>
          <w:p w14:paraId="4F3DEC44"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Scopus</w:t>
            </w:r>
          </w:p>
        </w:tc>
        <w:tc>
          <w:tcPr>
            <w:cnfStyle w:val="000001000000" w:firstRow="0" w:lastRow="0" w:firstColumn="0" w:lastColumn="0" w:oddVBand="0" w:evenVBand="1" w:oddHBand="0" w:evenHBand="0" w:firstRowFirstColumn="0" w:firstRowLastColumn="0" w:lastRowFirstColumn="0" w:lastRowLastColumn="0"/>
            <w:tcW w:w="2904" w:type="dxa"/>
          </w:tcPr>
          <w:p w14:paraId="159DD0CF"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Multidisciplinary database</w:t>
            </w:r>
          </w:p>
        </w:tc>
        <w:tc>
          <w:tcPr>
            <w:cnfStyle w:val="000010000000" w:firstRow="0" w:lastRow="0" w:firstColumn="0" w:lastColumn="0" w:oddVBand="1" w:evenVBand="0" w:oddHBand="0" w:evenHBand="0" w:firstRowFirstColumn="0" w:firstRowLastColumn="0" w:lastRowFirstColumn="0" w:lastRowLastColumn="0"/>
            <w:tcW w:w="2640" w:type="dxa"/>
          </w:tcPr>
          <w:p w14:paraId="62606273"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Social sciences, policy, public health</w:t>
            </w:r>
          </w:p>
        </w:tc>
      </w:tr>
      <w:tr w:rsidR="00C005CE" w:rsidRPr="00C005CE" w14:paraId="41DE310E" w14:textId="77777777" w:rsidTr="00C005C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376" w:type="dxa"/>
          </w:tcPr>
          <w:p w14:paraId="71C6A017"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Web of Science</w:t>
            </w:r>
          </w:p>
        </w:tc>
        <w:tc>
          <w:tcPr>
            <w:cnfStyle w:val="000001000000" w:firstRow="0" w:lastRow="0" w:firstColumn="0" w:lastColumn="0" w:oddVBand="0" w:evenVBand="1" w:oddHBand="0" w:evenHBand="0" w:firstRowFirstColumn="0" w:firstRowLastColumn="0" w:lastRowFirstColumn="0" w:lastRowLastColumn="0"/>
            <w:tcW w:w="2904" w:type="dxa"/>
          </w:tcPr>
          <w:p w14:paraId="6BF894BA"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High-quality peer-reviewed literature</w:t>
            </w:r>
          </w:p>
        </w:tc>
        <w:tc>
          <w:tcPr>
            <w:cnfStyle w:val="000010000000" w:firstRow="0" w:lastRow="0" w:firstColumn="0" w:lastColumn="0" w:oddVBand="1" w:evenVBand="0" w:oddHBand="0" w:evenHBand="0" w:firstRowFirstColumn="0" w:firstRowLastColumn="0" w:lastRowFirstColumn="0" w:lastRowLastColumn="0"/>
            <w:tcW w:w="2640" w:type="dxa"/>
          </w:tcPr>
          <w:p w14:paraId="3A6EA5DF"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Longitudinal &amp; international studies</w:t>
            </w:r>
          </w:p>
        </w:tc>
      </w:tr>
      <w:tr w:rsidR="00C005CE" w:rsidRPr="00C005CE" w14:paraId="3E73240F" w14:textId="77777777" w:rsidTr="00C005CE">
        <w:tc>
          <w:tcPr>
            <w:cnfStyle w:val="000010000000" w:firstRow="0" w:lastRow="0" w:firstColumn="0" w:lastColumn="0" w:oddVBand="1" w:evenVBand="0" w:oddHBand="0" w:evenHBand="0" w:firstRowFirstColumn="0" w:firstRowLastColumn="0" w:lastRowFirstColumn="0" w:lastRowLastColumn="0"/>
            <w:tcW w:w="2376" w:type="dxa"/>
          </w:tcPr>
          <w:p w14:paraId="040CC626"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EBSCOhost</w:t>
            </w:r>
          </w:p>
        </w:tc>
        <w:tc>
          <w:tcPr>
            <w:cnfStyle w:val="000001000000" w:firstRow="0" w:lastRow="0" w:firstColumn="0" w:lastColumn="0" w:oddVBand="0" w:evenVBand="1" w:oddHBand="0" w:evenHBand="0" w:firstRowFirstColumn="0" w:firstRowLastColumn="0" w:lastRowFirstColumn="0" w:lastRowLastColumn="0"/>
            <w:tcW w:w="2904" w:type="dxa"/>
          </w:tcPr>
          <w:p w14:paraId="791A4E08"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Public health &amp; social care</w:t>
            </w:r>
          </w:p>
        </w:tc>
        <w:tc>
          <w:tcPr>
            <w:cnfStyle w:val="000010000000" w:firstRow="0" w:lastRow="0" w:firstColumn="0" w:lastColumn="0" w:oddVBand="1" w:evenVBand="0" w:oddHBand="0" w:evenHBand="0" w:firstRowFirstColumn="0" w:firstRowLastColumn="0" w:lastRowFirstColumn="0" w:lastRowLastColumn="0"/>
            <w:tcW w:w="2640" w:type="dxa"/>
          </w:tcPr>
          <w:p w14:paraId="01308BE3"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UK-focused services &amp; community practice</w:t>
            </w:r>
          </w:p>
        </w:tc>
      </w:tr>
      <w:tr w:rsidR="00C005CE" w:rsidRPr="00C005CE" w14:paraId="47E068BC" w14:textId="77777777" w:rsidTr="00C005C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376" w:type="dxa"/>
          </w:tcPr>
          <w:p w14:paraId="623B2DD0"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ProQuest Central</w:t>
            </w:r>
          </w:p>
        </w:tc>
        <w:tc>
          <w:tcPr>
            <w:cnfStyle w:val="000001000000" w:firstRow="0" w:lastRow="0" w:firstColumn="0" w:lastColumn="0" w:oddVBand="0" w:evenVBand="1" w:oddHBand="0" w:evenHBand="0" w:firstRowFirstColumn="0" w:firstRowLastColumn="0" w:lastRowFirstColumn="0" w:lastRowLastColumn="0"/>
            <w:tcW w:w="2904" w:type="dxa"/>
          </w:tcPr>
          <w:p w14:paraId="13596C1E"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Grey literature &amp; dissertations</w:t>
            </w:r>
          </w:p>
        </w:tc>
        <w:tc>
          <w:tcPr>
            <w:cnfStyle w:val="000010000000" w:firstRow="0" w:lastRow="0" w:firstColumn="0" w:lastColumn="0" w:oddVBand="1" w:evenVBand="0" w:oddHBand="0" w:evenHBand="0" w:firstRowFirstColumn="0" w:firstRowLastColumn="0" w:lastRowFirstColumn="0" w:lastRowLastColumn="0"/>
            <w:tcW w:w="2640" w:type="dxa"/>
          </w:tcPr>
          <w:p w14:paraId="68956F6C"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Policy, NGO, practitioner research</w:t>
            </w:r>
          </w:p>
        </w:tc>
      </w:tr>
      <w:tr w:rsidR="00C005CE" w:rsidRPr="00C005CE" w14:paraId="47994C92" w14:textId="77777777" w:rsidTr="00C005CE">
        <w:tc>
          <w:tcPr>
            <w:cnfStyle w:val="000010000000" w:firstRow="0" w:lastRow="0" w:firstColumn="0" w:lastColumn="0" w:oddVBand="1" w:evenVBand="0" w:oddHBand="0" w:evenHBand="0" w:firstRowFirstColumn="0" w:firstRowLastColumn="0" w:lastRowFirstColumn="0" w:lastRowLastColumn="0"/>
            <w:tcW w:w="2376" w:type="dxa"/>
          </w:tcPr>
          <w:p w14:paraId="071EE0B9"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Google Scholar</w:t>
            </w:r>
          </w:p>
        </w:tc>
        <w:tc>
          <w:tcPr>
            <w:cnfStyle w:val="000001000000" w:firstRow="0" w:lastRow="0" w:firstColumn="0" w:lastColumn="0" w:oddVBand="0" w:evenVBand="1" w:oddHBand="0" w:evenHBand="0" w:firstRowFirstColumn="0" w:firstRowLastColumn="0" w:lastRowFirstColumn="0" w:lastRowLastColumn="0"/>
            <w:tcW w:w="2904" w:type="dxa"/>
          </w:tcPr>
          <w:p w14:paraId="469FC650"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Supplementary broad search</w:t>
            </w:r>
          </w:p>
        </w:tc>
        <w:tc>
          <w:tcPr>
            <w:cnfStyle w:val="000010000000" w:firstRow="0" w:lastRow="0" w:firstColumn="0" w:lastColumn="0" w:oddVBand="1" w:evenVBand="0" w:oddHBand="0" w:evenHBand="0" w:firstRowFirstColumn="0" w:firstRowLastColumn="0" w:lastRowFirstColumn="0" w:lastRowLastColumn="0"/>
            <w:tcW w:w="2640" w:type="dxa"/>
          </w:tcPr>
          <w:p w14:paraId="7A87D23C"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Captures otherwise missed studies</w:t>
            </w:r>
          </w:p>
        </w:tc>
      </w:tr>
      <w:tr w:rsidR="00C005CE" w:rsidRPr="00C005CE" w14:paraId="110D03D2" w14:textId="77777777" w:rsidTr="00C005CE">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376" w:type="dxa"/>
          </w:tcPr>
          <w:p w14:paraId="070D19D9" w14:textId="648872D2"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UWTSD library</w:t>
            </w:r>
          </w:p>
        </w:tc>
        <w:tc>
          <w:tcPr>
            <w:cnfStyle w:val="000001000000" w:firstRow="0" w:lastRow="0" w:firstColumn="0" w:lastColumn="0" w:oddVBand="0" w:evenVBand="1" w:oddHBand="0" w:evenHBand="0" w:firstRowFirstColumn="0" w:firstRowLastColumn="0" w:lastRowFirstColumn="0" w:lastRowLastColumn="0"/>
            <w:tcW w:w="2904" w:type="dxa"/>
          </w:tcPr>
          <w:p w14:paraId="1CA54059" w14:textId="1F3EB438"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extensive digital and print collection</w:t>
            </w:r>
          </w:p>
        </w:tc>
        <w:tc>
          <w:tcPr>
            <w:cnfStyle w:val="000010000000" w:firstRow="0" w:lastRow="0" w:firstColumn="0" w:lastColumn="0" w:oddVBand="1" w:evenVBand="0" w:oddHBand="0" w:evenHBand="0" w:firstRowFirstColumn="0" w:firstRowLastColumn="0" w:lastRowFirstColumn="0" w:lastRowLastColumn="0"/>
            <w:tcW w:w="2640" w:type="dxa"/>
          </w:tcPr>
          <w:p w14:paraId="0AA257BF" w14:textId="0808B24E"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open access publishing, research data management</w:t>
            </w:r>
          </w:p>
        </w:tc>
      </w:tr>
    </w:tbl>
    <w:p w14:paraId="5F1B51C8" w14:textId="77777777" w:rsidR="00C005CE" w:rsidRPr="00C005CE" w:rsidRDefault="00C005CE" w:rsidP="00C005CE">
      <w:pPr>
        <w:spacing w:line="360" w:lineRule="auto"/>
        <w:rPr>
          <w:rFonts w:ascii="Arial" w:hAnsi="Arial" w:cs="Arial"/>
          <w:sz w:val="20"/>
          <w:szCs w:val="20"/>
        </w:rPr>
      </w:pPr>
    </w:p>
    <w:p w14:paraId="361D5035" w14:textId="77777777" w:rsidR="00C005CE" w:rsidRPr="00C005CE" w:rsidRDefault="00C005CE" w:rsidP="00C005CE">
      <w:pPr>
        <w:spacing w:line="360" w:lineRule="auto"/>
        <w:rPr>
          <w:rFonts w:ascii="Arial" w:hAnsi="Arial" w:cs="Arial"/>
          <w:sz w:val="20"/>
          <w:szCs w:val="20"/>
        </w:rPr>
      </w:pPr>
    </w:p>
    <w:p w14:paraId="1D9ABFF9" w14:textId="4BBBDD39" w:rsidR="00C005CE" w:rsidRPr="00C005CE" w:rsidRDefault="00C005CE" w:rsidP="00C005CE">
      <w:pPr>
        <w:rPr>
          <w:sz w:val="20"/>
          <w:szCs w:val="20"/>
        </w:rPr>
      </w:pPr>
      <w:bookmarkStart w:id="90" w:name="X9cd8edb42fc9ba02fe54dd5ca0310a8fbf293b3"/>
      <w:bookmarkEnd w:id="89"/>
      <w:r w:rsidRPr="00C005CE">
        <w:rPr>
          <w:sz w:val="20"/>
          <w:szCs w:val="20"/>
        </w:rPr>
        <w:t>Table B2: Search Terms and Boolean Operators</w:t>
      </w:r>
    </w:p>
    <w:p w14:paraId="0122B8F0" w14:textId="77777777" w:rsidR="00C005CE" w:rsidRPr="00C005CE" w:rsidRDefault="00C005CE" w:rsidP="00C005CE"/>
    <w:tbl>
      <w:tblPr>
        <w:tblStyle w:val="PlainTable2"/>
        <w:tblW w:w="5000" w:type="pct"/>
        <w:tblLayout w:type="fixed"/>
        <w:tblLook w:val="0020" w:firstRow="1" w:lastRow="0" w:firstColumn="0" w:lastColumn="0" w:noHBand="0" w:noVBand="0"/>
      </w:tblPr>
      <w:tblGrid>
        <w:gridCol w:w="3156"/>
        <w:gridCol w:w="5860"/>
      </w:tblGrid>
      <w:tr w:rsidR="00C005CE" w:rsidRPr="00C005CE" w14:paraId="703CD9AA" w14:textId="77777777" w:rsidTr="009526E9">
        <w:trPr>
          <w:cnfStyle w:val="100000000000" w:firstRow="1" w:lastRow="0" w:firstColumn="0" w:lastColumn="0" w:oddVBand="0" w:evenVBand="0" w:oddHBand="0"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72" w:type="dxa"/>
          </w:tcPr>
          <w:p w14:paraId="54C36835" w14:textId="77777777" w:rsidR="00C005CE" w:rsidRPr="00C005CE" w:rsidRDefault="00C005CE" w:rsidP="009526E9">
            <w:pPr>
              <w:pStyle w:val="Compact"/>
              <w:spacing w:line="360" w:lineRule="auto"/>
              <w:rPr>
                <w:rFonts w:ascii="Arial" w:hAnsi="Arial" w:cs="Arial"/>
                <w:b w:val="0"/>
                <w:bCs w:val="0"/>
                <w:sz w:val="20"/>
                <w:szCs w:val="20"/>
              </w:rPr>
            </w:pPr>
            <w:r w:rsidRPr="00C005CE">
              <w:rPr>
                <w:rFonts w:ascii="Arial" w:hAnsi="Arial" w:cs="Arial"/>
                <w:b w:val="0"/>
                <w:bCs w:val="0"/>
                <w:sz w:val="20"/>
                <w:szCs w:val="20"/>
              </w:rPr>
              <w:t>Core Concept</w:t>
            </w:r>
          </w:p>
        </w:tc>
        <w:tc>
          <w:tcPr>
            <w:cnfStyle w:val="000001000000" w:firstRow="0" w:lastRow="0" w:firstColumn="0" w:lastColumn="0" w:oddVBand="0" w:evenVBand="1" w:oddHBand="0" w:evenHBand="0" w:firstRowFirstColumn="0" w:firstRowLastColumn="0" w:lastRowFirstColumn="0" w:lastRowLastColumn="0"/>
            <w:tcW w:w="5148" w:type="dxa"/>
          </w:tcPr>
          <w:p w14:paraId="67818E4C" w14:textId="77777777" w:rsidR="00C005CE" w:rsidRPr="00C005CE" w:rsidRDefault="00C005CE" w:rsidP="009526E9">
            <w:pPr>
              <w:pStyle w:val="Compact"/>
              <w:spacing w:line="360" w:lineRule="auto"/>
              <w:rPr>
                <w:rFonts w:ascii="Arial" w:hAnsi="Arial" w:cs="Arial"/>
                <w:b w:val="0"/>
                <w:bCs w:val="0"/>
                <w:sz w:val="20"/>
                <w:szCs w:val="20"/>
              </w:rPr>
            </w:pPr>
            <w:r w:rsidRPr="00C005CE">
              <w:rPr>
                <w:rFonts w:ascii="Arial" w:hAnsi="Arial" w:cs="Arial"/>
                <w:b w:val="0"/>
                <w:bCs w:val="0"/>
                <w:sz w:val="20"/>
                <w:szCs w:val="20"/>
              </w:rPr>
              <w:t>Search Terms &amp; Synonyms</w:t>
            </w:r>
          </w:p>
        </w:tc>
      </w:tr>
      <w:tr w:rsidR="00C005CE" w:rsidRPr="00C005CE" w14:paraId="4A19158C" w14:textId="77777777" w:rsidTr="009526E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72" w:type="dxa"/>
          </w:tcPr>
          <w:p w14:paraId="697749B7"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Substance Misuse</w:t>
            </w:r>
          </w:p>
        </w:tc>
        <w:tc>
          <w:tcPr>
            <w:cnfStyle w:val="000001000000" w:firstRow="0" w:lastRow="0" w:firstColumn="0" w:lastColumn="0" w:oddVBand="0" w:evenVBand="1" w:oddHBand="0" w:evenHBand="0" w:firstRowFirstColumn="0" w:firstRowLastColumn="0" w:lastRowFirstColumn="0" w:lastRowLastColumn="0"/>
            <w:tcW w:w="5148" w:type="dxa"/>
          </w:tcPr>
          <w:p w14:paraId="2053CE2B"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w:t>
            </w:r>
            <w:proofErr w:type="gramStart"/>
            <w:r w:rsidRPr="00C005CE">
              <w:rPr>
                <w:rFonts w:ascii="Arial" w:hAnsi="Arial" w:cs="Arial"/>
                <w:sz w:val="20"/>
                <w:szCs w:val="20"/>
              </w:rPr>
              <w:t>substance</w:t>
            </w:r>
            <w:proofErr w:type="gramEnd"/>
            <w:r w:rsidRPr="00C005CE">
              <w:rPr>
                <w:rFonts w:ascii="Arial" w:hAnsi="Arial" w:cs="Arial"/>
                <w:sz w:val="20"/>
                <w:szCs w:val="20"/>
              </w:rPr>
              <w:t xml:space="preserve"> misuse”, “drug use”, “addiction”, “alcohol misuse”, “dependence”, “SUD”</w:t>
            </w:r>
          </w:p>
        </w:tc>
      </w:tr>
      <w:tr w:rsidR="00C005CE" w:rsidRPr="00C005CE" w14:paraId="7AAB42A9" w14:textId="77777777" w:rsidTr="009526E9">
        <w:tc>
          <w:tcPr>
            <w:cnfStyle w:val="000010000000" w:firstRow="0" w:lastRow="0" w:firstColumn="0" w:lastColumn="0" w:oddVBand="1" w:evenVBand="0" w:oddHBand="0" w:evenHBand="0" w:firstRowFirstColumn="0" w:firstRowLastColumn="0" w:lastRowFirstColumn="0" w:lastRowLastColumn="0"/>
            <w:tcW w:w="2772" w:type="dxa"/>
          </w:tcPr>
          <w:p w14:paraId="3F5C721A"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Low Income</w:t>
            </w:r>
          </w:p>
        </w:tc>
        <w:tc>
          <w:tcPr>
            <w:cnfStyle w:val="000001000000" w:firstRow="0" w:lastRow="0" w:firstColumn="0" w:lastColumn="0" w:oddVBand="0" w:evenVBand="1" w:oddHBand="0" w:evenHBand="0" w:firstRowFirstColumn="0" w:firstRowLastColumn="0" w:lastRowFirstColumn="0" w:lastRowLastColumn="0"/>
            <w:tcW w:w="5148" w:type="dxa"/>
          </w:tcPr>
          <w:p w14:paraId="58922BE8"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w:t>
            </w:r>
            <w:proofErr w:type="gramStart"/>
            <w:r w:rsidRPr="00C005CE">
              <w:rPr>
                <w:rFonts w:ascii="Arial" w:hAnsi="Arial" w:cs="Arial"/>
                <w:sz w:val="20"/>
                <w:szCs w:val="20"/>
              </w:rPr>
              <w:t>low</w:t>
            </w:r>
            <w:proofErr w:type="gramEnd"/>
            <w:r w:rsidRPr="00C005CE">
              <w:rPr>
                <w:rFonts w:ascii="Arial" w:hAnsi="Arial" w:cs="Arial"/>
                <w:sz w:val="20"/>
                <w:szCs w:val="20"/>
              </w:rPr>
              <w:t xml:space="preserve"> income”, “socioeconomic status”, “poverty”, “deprivation”, “SES”</w:t>
            </w:r>
          </w:p>
        </w:tc>
      </w:tr>
      <w:tr w:rsidR="00C005CE" w:rsidRPr="00C005CE" w14:paraId="4BE1D436" w14:textId="77777777" w:rsidTr="009526E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72" w:type="dxa"/>
          </w:tcPr>
          <w:p w14:paraId="1729565E"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Mental Health</w:t>
            </w:r>
          </w:p>
        </w:tc>
        <w:tc>
          <w:tcPr>
            <w:cnfStyle w:val="000001000000" w:firstRow="0" w:lastRow="0" w:firstColumn="0" w:lastColumn="0" w:oddVBand="0" w:evenVBand="1" w:oddHBand="0" w:evenHBand="0" w:firstRowFirstColumn="0" w:firstRowLastColumn="0" w:lastRowFirstColumn="0" w:lastRowLastColumn="0"/>
            <w:tcW w:w="5148" w:type="dxa"/>
          </w:tcPr>
          <w:p w14:paraId="27E30920"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w:t>
            </w:r>
            <w:proofErr w:type="gramStart"/>
            <w:r w:rsidRPr="00C005CE">
              <w:rPr>
                <w:rFonts w:ascii="Arial" w:hAnsi="Arial" w:cs="Arial"/>
                <w:sz w:val="20"/>
                <w:szCs w:val="20"/>
              </w:rPr>
              <w:t>mental</w:t>
            </w:r>
            <w:proofErr w:type="gramEnd"/>
            <w:r w:rsidRPr="00C005CE">
              <w:rPr>
                <w:rFonts w:ascii="Arial" w:hAnsi="Arial" w:cs="Arial"/>
                <w:sz w:val="20"/>
                <w:szCs w:val="20"/>
              </w:rPr>
              <w:t xml:space="preserve"> illness”, “psychological distress”, “anxiety”, “depression”, “PTSD”</w:t>
            </w:r>
          </w:p>
        </w:tc>
      </w:tr>
      <w:tr w:rsidR="00C005CE" w:rsidRPr="00C005CE" w14:paraId="514FBBB4" w14:textId="77777777" w:rsidTr="009526E9">
        <w:tc>
          <w:tcPr>
            <w:cnfStyle w:val="000010000000" w:firstRow="0" w:lastRow="0" w:firstColumn="0" w:lastColumn="0" w:oddVBand="1" w:evenVBand="0" w:oddHBand="0" w:evenHBand="0" w:firstRowFirstColumn="0" w:firstRowLastColumn="0" w:lastRowFirstColumn="0" w:lastRowLastColumn="0"/>
            <w:tcW w:w="2772" w:type="dxa"/>
          </w:tcPr>
          <w:p w14:paraId="3196EF50"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Access to Services</w:t>
            </w:r>
          </w:p>
        </w:tc>
        <w:tc>
          <w:tcPr>
            <w:cnfStyle w:val="000001000000" w:firstRow="0" w:lastRow="0" w:firstColumn="0" w:lastColumn="0" w:oddVBand="0" w:evenVBand="1" w:oddHBand="0" w:evenHBand="0" w:firstRowFirstColumn="0" w:firstRowLastColumn="0" w:lastRowFirstColumn="0" w:lastRowLastColumn="0"/>
            <w:tcW w:w="5148" w:type="dxa"/>
          </w:tcPr>
          <w:p w14:paraId="0667A5C9"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w:t>
            </w:r>
            <w:proofErr w:type="gramStart"/>
            <w:r w:rsidRPr="00C005CE">
              <w:rPr>
                <w:rFonts w:ascii="Arial" w:hAnsi="Arial" w:cs="Arial"/>
                <w:sz w:val="20"/>
                <w:szCs w:val="20"/>
              </w:rPr>
              <w:t>healthcare</w:t>
            </w:r>
            <w:proofErr w:type="gramEnd"/>
            <w:r w:rsidRPr="00C005CE">
              <w:rPr>
                <w:rFonts w:ascii="Arial" w:hAnsi="Arial" w:cs="Arial"/>
                <w:sz w:val="20"/>
                <w:szCs w:val="20"/>
              </w:rPr>
              <w:t xml:space="preserve"> access”, “treatment barriers”, “service inequality”, “digital exclusion”</w:t>
            </w:r>
          </w:p>
        </w:tc>
      </w:tr>
      <w:tr w:rsidR="00C005CE" w:rsidRPr="00C005CE" w14:paraId="7C23B011" w14:textId="77777777" w:rsidTr="009526E9">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2772" w:type="dxa"/>
          </w:tcPr>
          <w:p w14:paraId="7AE0BE41"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England</w:t>
            </w:r>
          </w:p>
        </w:tc>
        <w:tc>
          <w:tcPr>
            <w:cnfStyle w:val="000001000000" w:firstRow="0" w:lastRow="0" w:firstColumn="0" w:lastColumn="0" w:oddVBand="0" w:evenVBand="1" w:oddHBand="0" w:evenHBand="0" w:firstRowFirstColumn="0" w:firstRowLastColumn="0" w:lastRowFirstColumn="0" w:lastRowLastColumn="0"/>
            <w:tcW w:w="5148" w:type="dxa"/>
          </w:tcPr>
          <w:p w14:paraId="1AEFC9F6" w14:textId="77777777" w:rsidR="00C005CE" w:rsidRPr="00C005CE" w:rsidRDefault="00C005CE" w:rsidP="009526E9">
            <w:pPr>
              <w:pStyle w:val="Compact"/>
              <w:spacing w:line="360" w:lineRule="auto"/>
              <w:rPr>
                <w:rFonts w:ascii="Arial" w:hAnsi="Arial" w:cs="Arial"/>
                <w:sz w:val="20"/>
                <w:szCs w:val="20"/>
              </w:rPr>
            </w:pPr>
            <w:r w:rsidRPr="00C005CE">
              <w:rPr>
                <w:rFonts w:ascii="Arial" w:hAnsi="Arial" w:cs="Arial"/>
                <w:sz w:val="20"/>
                <w:szCs w:val="20"/>
              </w:rPr>
              <w:t>“England”, “UK”, “United Kingdom” (filtered for English data)</w:t>
            </w:r>
          </w:p>
        </w:tc>
      </w:tr>
    </w:tbl>
    <w:p w14:paraId="002663E1" w14:textId="48A3B745" w:rsidR="00C005CE" w:rsidRDefault="00C005CE" w:rsidP="00C005CE">
      <w:pPr>
        <w:spacing w:line="360" w:lineRule="auto"/>
        <w:rPr>
          <w:rFonts w:cs="Arial"/>
          <w:sz w:val="20"/>
          <w:szCs w:val="20"/>
        </w:rPr>
      </w:pPr>
    </w:p>
    <w:p w14:paraId="4BBAA6A9" w14:textId="7945E6CA" w:rsidR="00C005CE" w:rsidRDefault="00C005CE" w:rsidP="00C005CE">
      <w:pPr>
        <w:spacing w:line="360" w:lineRule="auto"/>
        <w:rPr>
          <w:rFonts w:cs="Arial"/>
          <w:sz w:val="20"/>
          <w:szCs w:val="20"/>
        </w:rPr>
      </w:pPr>
    </w:p>
    <w:p w14:paraId="09B3C3C7" w14:textId="21E3D99D" w:rsidR="00C005CE" w:rsidRDefault="00C005CE" w:rsidP="00C005CE">
      <w:pPr>
        <w:spacing w:line="360" w:lineRule="auto"/>
        <w:rPr>
          <w:rFonts w:cs="Arial"/>
          <w:sz w:val="20"/>
          <w:szCs w:val="20"/>
        </w:rPr>
      </w:pPr>
    </w:p>
    <w:p w14:paraId="3D20314E" w14:textId="59A06416" w:rsidR="00C005CE" w:rsidRDefault="00C005CE" w:rsidP="00C005CE">
      <w:pPr>
        <w:spacing w:line="360" w:lineRule="auto"/>
        <w:rPr>
          <w:rFonts w:cs="Arial"/>
          <w:sz w:val="20"/>
          <w:szCs w:val="20"/>
        </w:rPr>
      </w:pPr>
    </w:p>
    <w:p w14:paraId="792C81B2" w14:textId="77777777" w:rsidR="00C005CE" w:rsidRPr="00C005CE" w:rsidRDefault="00C005CE" w:rsidP="00C005CE">
      <w:pPr>
        <w:spacing w:line="360" w:lineRule="auto"/>
        <w:rPr>
          <w:rFonts w:ascii="Arial" w:hAnsi="Arial" w:cs="Arial"/>
          <w:sz w:val="20"/>
          <w:szCs w:val="20"/>
        </w:rPr>
      </w:pPr>
    </w:p>
    <w:bookmarkEnd w:id="90"/>
    <w:p w14:paraId="5BD27133" w14:textId="19359CFA" w:rsidR="00C005CE" w:rsidRPr="00C005CE" w:rsidRDefault="00C005CE" w:rsidP="00C005CE">
      <w:pPr>
        <w:rPr>
          <w:sz w:val="20"/>
          <w:szCs w:val="20"/>
        </w:rPr>
      </w:pPr>
      <w:r w:rsidRPr="00C005CE">
        <w:rPr>
          <w:sz w:val="20"/>
          <w:szCs w:val="20"/>
        </w:rPr>
        <w:lastRenderedPageBreak/>
        <w:t>Table B3: Example Boolean Search Strings</w:t>
      </w:r>
    </w:p>
    <w:p w14:paraId="38D3E92E" w14:textId="77777777" w:rsidR="00C005CE" w:rsidRPr="00C005CE" w:rsidRDefault="00C005CE" w:rsidP="00C005CE"/>
    <w:p w14:paraId="334D8FCA" w14:textId="77777777" w:rsidR="00C005CE" w:rsidRPr="00C005CE" w:rsidRDefault="00C005CE" w:rsidP="00C005CE">
      <w:pPr>
        <w:pStyle w:val="Compact"/>
        <w:numPr>
          <w:ilvl w:val="0"/>
          <w:numId w:val="41"/>
        </w:numPr>
        <w:spacing w:line="360" w:lineRule="auto"/>
        <w:rPr>
          <w:rFonts w:ascii="Arial" w:hAnsi="Arial" w:cs="Arial"/>
          <w:sz w:val="20"/>
          <w:szCs w:val="20"/>
        </w:rPr>
      </w:pPr>
      <w:r w:rsidRPr="00C005CE">
        <w:rPr>
          <w:rFonts w:ascii="Arial" w:hAnsi="Arial" w:cs="Arial"/>
          <w:sz w:val="20"/>
          <w:szCs w:val="20"/>
        </w:rPr>
        <w:t>(“substance misuse” OR “drug dependence”) AND (“low income” OR poverty OR “socioeconomic deprivation”) AND England</w:t>
      </w:r>
    </w:p>
    <w:p w14:paraId="41920D94" w14:textId="77777777" w:rsidR="00C005CE" w:rsidRPr="00C005CE" w:rsidRDefault="00C005CE" w:rsidP="00C005CE">
      <w:pPr>
        <w:pStyle w:val="Compact"/>
        <w:numPr>
          <w:ilvl w:val="0"/>
          <w:numId w:val="41"/>
        </w:numPr>
        <w:spacing w:line="360" w:lineRule="auto"/>
        <w:rPr>
          <w:rFonts w:ascii="Arial" w:hAnsi="Arial" w:cs="Arial"/>
          <w:sz w:val="20"/>
          <w:szCs w:val="20"/>
        </w:rPr>
      </w:pPr>
      <w:r w:rsidRPr="00C005CE">
        <w:rPr>
          <w:rFonts w:ascii="Arial" w:hAnsi="Arial" w:cs="Arial"/>
          <w:sz w:val="20"/>
          <w:szCs w:val="20"/>
        </w:rPr>
        <w:t>(“mental health” AND “substance misuse”) AND (“dual diagnosis”) AND deprivation</w:t>
      </w:r>
    </w:p>
    <w:p w14:paraId="1B1FAE66" w14:textId="77777777" w:rsidR="00C005CE" w:rsidRPr="00C005CE" w:rsidRDefault="00C005CE" w:rsidP="00C005CE">
      <w:pPr>
        <w:pStyle w:val="Compact"/>
        <w:numPr>
          <w:ilvl w:val="0"/>
          <w:numId w:val="41"/>
        </w:numPr>
        <w:spacing w:line="360" w:lineRule="auto"/>
        <w:rPr>
          <w:rFonts w:ascii="Arial" w:hAnsi="Arial" w:cs="Arial"/>
          <w:sz w:val="20"/>
          <w:szCs w:val="20"/>
        </w:rPr>
      </w:pPr>
      <w:r w:rsidRPr="00C005CE">
        <w:rPr>
          <w:rFonts w:ascii="Arial" w:hAnsi="Arial" w:cs="Arial"/>
          <w:sz w:val="20"/>
          <w:szCs w:val="20"/>
        </w:rPr>
        <w:t>(“treatment access” OR “healthcare inequality”) AND (“drug misuse”) AND (“low-income populations”)</w:t>
      </w:r>
    </w:p>
    <w:p w14:paraId="06176595" w14:textId="77777777" w:rsidR="00C40CF1" w:rsidRPr="00C005CE" w:rsidRDefault="00C40CF1" w:rsidP="00C005CE">
      <w:pPr>
        <w:spacing w:line="360" w:lineRule="auto"/>
        <w:rPr>
          <w:rFonts w:ascii="Arial" w:hAnsi="Arial" w:cs="Arial"/>
          <w:color w:val="000000" w:themeColor="text1"/>
          <w:sz w:val="20"/>
          <w:szCs w:val="20"/>
        </w:rPr>
      </w:pPr>
    </w:p>
    <w:p w14:paraId="1BFE22D9" w14:textId="75F45682" w:rsidR="00104BAA" w:rsidRPr="00C005CE" w:rsidRDefault="00C005CE" w:rsidP="00C005CE">
      <w:pPr>
        <w:rPr>
          <w:sz w:val="20"/>
          <w:szCs w:val="20"/>
        </w:rPr>
      </w:pPr>
      <w:r w:rsidRPr="00C005CE">
        <w:rPr>
          <w:sz w:val="20"/>
          <w:szCs w:val="20"/>
        </w:rPr>
        <w:t>Table B4</w:t>
      </w:r>
      <w:r w:rsidR="006B3A77" w:rsidRPr="00C005CE">
        <w:rPr>
          <w:sz w:val="20"/>
          <w:szCs w:val="20"/>
        </w:rPr>
        <w:t>: Thematic</w:t>
      </w:r>
      <w:r w:rsidR="00104BAA" w:rsidRPr="00C005CE">
        <w:rPr>
          <w:sz w:val="20"/>
          <w:szCs w:val="20"/>
        </w:rPr>
        <w:t xml:space="preserve"> Summary Matrix</w:t>
      </w:r>
    </w:p>
    <w:p w14:paraId="39A7AE0A" w14:textId="77777777" w:rsidR="00C005CE" w:rsidRPr="00C005CE" w:rsidRDefault="00C005CE" w:rsidP="00C005CE"/>
    <w:tbl>
      <w:tblPr>
        <w:tblStyle w:val="TableGrid"/>
        <w:tblW w:w="11340" w:type="dxa"/>
        <w:tblInd w:w="-1139" w:type="dxa"/>
        <w:tblLook w:val="04A0" w:firstRow="1" w:lastRow="0" w:firstColumn="1" w:lastColumn="0" w:noHBand="0" w:noVBand="1"/>
      </w:tblPr>
      <w:tblGrid>
        <w:gridCol w:w="2640"/>
        <w:gridCol w:w="1715"/>
        <w:gridCol w:w="1530"/>
        <w:gridCol w:w="1525"/>
        <w:gridCol w:w="1319"/>
        <w:gridCol w:w="2611"/>
      </w:tblGrid>
      <w:tr w:rsidR="00901E26" w:rsidRPr="00C005CE" w14:paraId="0884D4E4" w14:textId="77777777" w:rsidTr="00104BAA">
        <w:tc>
          <w:tcPr>
            <w:tcW w:w="2640" w:type="dxa"/>
            <w:hideMark/>
          </w:tcPr>
          <w:p w14:paraId="4319F543"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Theme</w:t>
            </w:r>
          </w:p>
        </w:tc>
        <w:tc>
          <w:tcPr>
            <w:tcW w:w="0" w:type="auto"/>
            <w:hideMark/>
          </w:tcPr>
          <w:p w14:paraId="55E2D285"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Definition / Scope</w:t>
            </w:r>
          </w:p>
        </w:tc>
        <w:tc>
          <w:tcPr>
            <w:tcW w:w="0" w:type="auto"/>
            <w:hideMark/>
          </w:tcPr>
          <w:p w14:paraId="79B32795"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Key Data &amp; Statistics</w:t>
            </w:r>
          </w:p>
        </w:tc>
        <w:tc>
          <w:tcPr>
            <w:tcW w:w="0" w:type="auto"/>
            <w:hideMark/>
          </w:tcPr>
          <w:p w14:paraId="69027537"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Core Theories / Models</w:t>
            </w:r>
          </w:p>
        </w:tc>
        <w:tc>
          <w:tcPr>
            <w:tcW w:w="0" w:type="auto"/>
            <w:hideMark/>
          </w:tcPr>
          <w:p w14:paraId="1E57A303"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Example Studies &amp; Sources</w:t>
            </w:r>
          </w:p>
        </w:tc>
        <w:tc>
          <w:tcPr>
            <w:tcW w:w="2611" w:type="dxa"/>
            <w:hideMark/>
          </w:tcPr>
          <w:p w14:paraId="23157060"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Connection to Research Question</w:t>
            </w:r>
          </w:p>
        </w:tc>
      </w:tr>
      <w:tr w:rsidR="00901E26" w:rsidRPr="00C005CE" w14:paraId="621BCEE4" w14:textId="77777777" w:rsidTr="00104BAA">
        <w:tc>
          <w:tcPr>
            <w:tcW w:w="2640" w:type="dxa"/>
            <w:hideMark/>
          </w:tcPr>
          <w:p w14:paraId="6AE7E347"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1. Socioeconomic Disadvantage and Substance Misuse</w:t>
            </w:r>
          </w:p>
        </w:tc>
        <w:tc>
          <w:tcPr>
            <w:tcW w:w="0" w:type="auto"/>
            <w:hideMark/>
          </w:tcPr>
          <w:p w14:paraId="5D06FA53"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Explores how poverty, unemployment, and inequality drive substance use in England’s most deprived areas.</w:t>
            </w:r>
          </w:p>
        </w:tc>
        <w:tc>
          <w:tcPr>
            <w:tcW w:w="0" w:type="auto"/>
            <w:hideMark/>
          </w:tcPr>
          <w:p w14:paraId="6FBE32C4"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ONS (2022): Drug misuse rates twice as high in lowest income quintile. PHE (2021): 64% of deaths in bottom decile.</w:t>
            </w:r>
          </w:p>
        </w:tc>
        <w:tc>
          <w:tcPr>
            <w:tcW w:w="0" w:type="auto"/>
            <w:hideMark/>
          </w:tcPr>
          <w:p w14:paraId="6EAE89A1"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Social Determinants of Health (Marmot, 2020); Structural Violence (Farmer, 2004).</w:t>
            </w:r>
          </w:p>
        </w:tc>
        <w:tc>
          <w:tcPr>
            <w:tcW w:w="0" w:type="auto"/>
            <w:hideMark/>
          </w:tcPr>
          <w:p w14:paraId="38E2CC37"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Black (2021); Karamanos et al. (2022); UNODC (2022).</w:t>
            </w:r>
          </w:p>
        </w:tc>
        <w:tc>
          <w:tcPr>
            <w:tcW w:w="2611" w:type="dxa"/>
            <w:hideMark/>
          </w:tcPr>
          <w:p w14:paraId="6FC13504"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Low-income status increases exposure to social risk factors influencing misuse.</w:t>
            </w:r>
          </w:p>
        </w:tc>
      </w:tr>
      <w:tr w:rsidR="00901E26" w:rsidRPr="00C005CE" w14:paraId="283F6892" w14:textId="77777777" w:rsidTr="00104BAA">
        <w:tc>
          <w:tcPr>
            <w:tcW w:w="2640" w:type="dxa"/>
            <w:hideMark/>
          </w:tcPr>
          <w:p w14:paraId="5FDCE528"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2. Untreated Mental Health and Substance Misuse</w:t>
            </w:r>
          </w:p>
        </w:tc>
        <w:tc>
          <w:tcPr>
            <w:tcW w:w="0" w:type="auto"/>
            <w:hideMark/>
          </w:tcPr>
          <w:p w14:paraId="385011B0"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Focuses on comorbidity of addiction and unaddressed mental disorders.</w:t>
            </w:r>
          </w:p>
        </w:tc>
        <w:tc>
          <w:tcPr>
            <w:tcW w:w="0" w:type="auto"/>
            <w:hideMark/>
          </w:tcPr>
          <w:p w14:paraId="72C364D3"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NHS Digital (2023): 46% of clients in treatment have dual diagnoses.</w:t>
            </w:r>
          </w:p>
        </w:tc>
        <w:tc>
          <w:tcPr>
            <w:tcW w:w="0" w:type="auto"/>
            <w:hideMark/>
          </w:tcPr>
          <w:p w14:paraId="4CFFF554"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Self-Medication Hypothesis (Khantzian, 1997); Stress-Vulnerability Model (Zubin &amp; Spring, 1977).</w:t>
            </w:r>
          </w:p>
        </w:tc>
        <w:tc>
          <w:tcPr>
            <w:tcW w:w="0" w:type="auto"/>
            <w:hideMark/>
          </w:tcPr>
          <w:p w14:paraId="127368F7"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Molina &amp; Whittaker (2022); Pierce et al. (2020); Kwong et al. (2020).</w:t>
            </w:r>
          </w:p>
        </w:tc>
        <w:tc>
          <w:tcPr>
            <w:tcW w:w="2611" w:type="dxa"/>
            <w:hideMark/>
          </w:tcPr>
          <w:p w14:paraId="708E9036"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Highlights how mental-health inequities reinforce substance-misuse risk.</w:t>
            </w:r>
          </w:p>
        </w:tc>
      </w:tr>
      <w:tr w:rsidR="00901E26" w:rsidRPr="00C005CE" w14:paraId="2CDF0105" w14:textId="77777777" w:rsidTr="00104BAA">
        <w:tc>
          <w:tcPr>
            <w:tcW w:w="2640" w:type="dxa"/>
            <w:hideMark/>
          </w:tcPr>
          <w:p w14:paraId="239B73BF"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3. Barriers to Access and Support Services</w:t>
            </w:r>
          </w:p>
        </w:tc>
        <w:tc>
          <w:tcPr>
            <w:tcW w:w="0" w:type="auto"/>
            <w:hideMark/>
          </w:tcPr>
          <w:p w14:paraId="1DB41D89"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Examines factors limiting access to treatment and mental-health services.</w:t>
            </w:r>
          </w:p>
        </w:tc>
        <w:tc>
          <w:tcPr>
            <w:tcW w:w="0" w:type="auto"/>
            <w:hideMark/>
          </w:tcPr>
          <w:p w14:paraId="21DDDE9F"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PHE (2021): 55% first-appointment attendance in lowest quintile. NHS (2023): 17% service decline since 2013.</w:t>
            </w:r>
          </w:p>
        </w:tc>
        <w:tc>
          <w:tcPr>
            <w:tcW w:w="0" w:type="auto"/>
            <w:hideMark/>
          </w:tcPr>
          <w:p w14:paraId="57B24909"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Access Equity Framework (Aday &amp; Andersen, 1974); Health Inequality Theory (Whitehead, 1992).</w:t>
            </w:r>
          </w:p>
        </w:tc>
        <w:tc>
          <w:tcPr>
            <w:tcW w:w="0" w:type="auto"/>
            <w:hideMark/>
          </w:tcPr>
          <w:p w14:paraId="6DA8BEDA"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Mind (2022); Lloyd et al. (2019); Alcohol Change UK (2022).</w:t>
            </w:r>
          </w:p>
        </w:tc>
        <w:tc>
          <w:tcPr>
            <w:tcW w:w="2611" w:type="dxa"/>
            <w:hideMark/>
          </w:tcPr>
          <w:p w14:paraId="7DAE9033"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Illustrates how systemic barriers perpetuate deprivation and untreated need.</w:t>
            </w:r>
          </w:p>
        </w:tc>
      </w:tr>
      <w:tr w:rsidR="00901E26" w:rsidRPr="00C005CE" w14:paraId="1A2A156F" w14:textId="77777777" w:rsidTr="00104BAA">
        <w:tc>
          <w:tcPr>
            <w:tcW w:w="2640" w:type="dxa"/>
            <w:hideMark/>
          </w:tcPr>
          <w:p w14:paraId="0236E67A"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lastRenderedPageBreak/>
              <w:t>4. Policy Responses and Structural Inequalities</w:t>
            </w:r>
          </w:p>
        </w:tc>
        <w:tc>
          <w:tcPr>
            <w:tcW w:w="0" w:type="auto"/>
            <w:hideMark/>
          </w:tcPr>
          <w:p w14:paraId="0F3478A4"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Evaluates UK and international policy interventions.</w:t>
            </w:r>
          </w:p>
        </w:tc>
        <w:tc>
          <w:tcPr>
            <w:tcW w:w="0" w:type="auto"/>
            <w:hideMark/>
          </w:tcPr>
          <w:p w14:paraId="6B04E666"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 xml:space="preserve">UK Gov (2023): 4,907 drug-related deaths (record high). WHO (2023): 70% of states prioritise </w:t>
            </w:r>
            <w:proofErr w:type="gramStart"/>
            <w:r w:rsidRPr="00C005CE">
              <w:rPr>
                <w:rFonts w:ascii="Arial" w:hAnsi="Arial" w:cs="Arial"/>
                <w:color w:val="000000" w:themeColor="text1"/>
                <w:sz w:val="20"/>
                <w:szCs w:val="20"/>
              </w:rPr>
              <w:t>enforcement.</w:t>
            </w:r>
            <w:proofErr w:type="gramEnd"/>
          </w:p>
        </w:tc>
        <w:tc>
          <w:tcPr>
            <w:tcW w:w="0" w:type="auto"/>
            <w:hideMark/>
          </w:tcPr>
          <w:p w14:paraId="3607B816"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Systems-Change Theory (Meadows, 2008); Public-Health Model.</w:t>
            </w:r>
          </w:p>
        </w:tc>
        <w:tc>
          <w:tcPr>
            <w:tcW w:w="0" w:type="auto"/>
            <w:hideMark/>
          </w:tcPr>
          <w:p w14:paraId="612E0685"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Marmot (2020); EMCDDA (2023); Stevens (2019).</w:t>
            </w:r>
          </w:p>
        </w:tc>
        <w:tc>
          <w:tcPr>
            <w:tcW w:w="2611" w:type="dxa"/>
            <w:hideMark/>
          </w:tcPr>
          <w:p w14:paraId="3DBD170D" w14:textId="77777777" w:rsidR="00104BAA" w:rsidRPr="00C005CE" w:rsidRDefault="00104BAA"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Connects macro policy design to micro-level social outcomes.</w:t>
            </w:r>
          </w:p>
        </w:tc>
      </w:tr>
    </w:tbl>
    <w:p w14:paraId="3FD850B1" w14:textId="77777777" w:rsidR="00C005CE" w:rsidRPr="00C005CE" w:rsidRDefault="00C005CE" w:rsidP="00C005CE">
      <w:pPr>
        <w:pStyle w:val="Heading1"/>
        <w:spacing w:line="360" w:lineRule="auto"/>
        <w:rPr>
          <w:rFonts w:cs="Arial"/>
          <w:color w:val="000000" w:themeColor="text1"/>
          <w:sz w:val="20"/>
          <w:szCs w:val="20"/>
        </w:rPr>
      </w:pPr>
    </w:p>
    <w:p w14:paraId="41CF943A" w14:textId="7EACE7C6" w:rsidR="00986C2E" w:rsidRPr="00C005CE" w:rsidRDefault="00C005CE" w:rsidP="00C005CE">
      <w:pPr>
        <w:rPr>
          <w:sz w:val="20"/>
          <w:szCs w:val="20"/>
        </w:rPr>
      </w:pPr>
      <w:r w:rsidRPr="00C005CE">
        <w:rPr>
          <w:sz w:val="20"/>
          <w:szCs w:val="20"/>
        </w:rPr>
        <w:t xml:space="preserve">Table B5: </w:t>
      </w:r>
      <w:r w:rsidR="00986C2E" w:rsidRPr="00C005CE">
        <w:rPr>
          <w:sz w:val="20"/>
          <w:szCs w:val="20"/>
        </w:rPr>
        <w:t>colour-coded style table</w:t>
      </w:r>
    </w:p>
    <w:p w14:paraId="4A448706" w14:textId="77777777" w:rsidR="00C005CE" w:rsidRPr="00C005CE" w:rsidRDefault="00C005CE" w:rsidP="00C005CE"/>
    <w:tbl>
      <w:tblPr>
        <w:tblStyle w:val="GridTable1Light-Accent1"/>
        <w:tblW w:w="10308" w:type="dxa"/>
        <w:tblInd w:w="-656" w:type="dxa"/>
        <w:tblLook w:val="04A0" w:firstRow="1" w:lastRow="0" w:firstColumn="1" w:lastColumn="0" w:noHBand="0" w:noVBand="1"/>
      </w:tblPr>
      <w:tblGrid>
        <w:gridCol w:w="772"/>
        <w:gridCol w:w="1273"/>
        <w:gridCol w:w="1072"/>
        <w:gridCol w:w="1250"/>
        <w:gridCol w:w="1228"/>
        <w:gridCol w:w="1228"/>
        <w:gridCol w:w="1906"/>
        <w:gridCol w:w="1172"/>
        <w:gridCol w:w="972"/>
      </w:tblGrid>
      <w:tr w:rsidR="00986C2E" w:rsidRPr="00C005CE" w14:paraId="1E2AC833" w14:textId="77777777" w:rsidTr="00986C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5" w:type="dxa"/>
          </w:tcPr>
          <w:p w14:paraId="2DD9C69A" w14:textId="571D89E6" w:rsidR="00986C2E" w:rsidRPr="0000230A" w:rsidRDefault="00986C2E" w:rsidP="00C005CE">
            <w:pPr>
              <w:spacing w:line="360" w:lineRule="auto"/>
              <w:jc w:val="center"/>
              <w:rPr>
                <w:rFonts w:ascii="Arial" w:hAnsi="Arial" w:cs="Arial"/>
                <w:sz w:val="20"/>
                <w:szCs w:val="20"/>
              </w:rPr>
            </w:pPr>
            <w:r w:rsidRPr="0000230A">
              <w:rPr>
                <w:rFonts w:ascii="Arial" w:hAnsi="Arial" w:cs="Arial"/>
                <w:sz w:val="20"/>
                <w:szCs w:val="20"/>
              </w:rPr>
              <w:t xml:space="preserve">Study </w:t>
            </w:r>
          </w:p>
        </w:tc>
        <w:tc>
          <w:tcPr>
            <w:tcW w:w="1149" w:type="dxa"/>
          </w:tcPr>
          <w:p w14:paraId="16A4D8B7" w14:textId="77777777" w:rsidR="00986C2E" w:rsidRPr="0000230A" w:rsidRDefault="00986C2E" w:rsidP="00C005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Author &amp; Year</w:t>
            </w:r>
          </w:p>
        </w:tc>
        <w:tc>
          <w:tcPr>
            <w:tcW w:w="930" w:type="dxa"/>
          </w:tcPr>
          <w:p w14:paraId="4D1AA4FE" w14:textId="77777777" w:rsidR="00986C2E" w:rsidRPr="0000230A" w:rsidRDefault="00986C2E" w:rsidP="00C005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Study Type</w:t>
            </w:r>
          </w:p>
        </w:tc>
        <w:tc>
          <w:tcPr>
            <w:tcW w:w="1140" w:type="dxa"/>
          </w:tcPr>
          <w:p w14:paraId="12388D2D" w14:textId="77777777" w:rsidR="00986C2E" w:rsidRPr="0000230A" w:rsidRDefault="00986C2E" w:rsidP="00C005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Population / Context</w:t>
            </w:r>
          </w:p>
        </w:tc>
        <w:tc>
          <w:tcPr>
            <w:tcW w:w="1143" w:type="dxa"/>
          </w:tcPr>
          <w:p w14:paraId="1E8CB637" w14:textId="72BC2E53" w:rsidR="00986C2E" w:rsidRPr="0000230A" w:rsidRDefault="00986C2E" w:rsidP="00C005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 xml:space="preserve">Income Findings </w:t>
            </w:r>
          </w:p>
        </w:tc>
        <w:tc>
          <w:tcPr>
            <w:tcW w:w="1091" w:type="dxa"/>
          </w:tcPr>
          <w:p w14:paraId="17371EAB" w14:textId="0C2A8B5D" w:rsidR="00986C2E" w:rsidRPr="0000230A" w:rsidRDefault="00986C2E" w:rsidP="00C005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 xml:space="preserve">Substance Misuse </w:t>
            </w:r>
          </w:p>
        </w:tc>
        <w:tc>
          <w:tcPr>
            <w:tcW w:w="1760" w:type="dxa"/>
          </w:tcPr>
          <w:p w14:paraId="38A052EC" w14:textId="57312149" w:rsidR="00986C2E" w:rsidRPr="0000230A" w:rsidRDefault="00986C2E" w:rsidP="00C005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 xml:space="preserve">Mental Health </w:t>
            </w:r>
          </w:p>
        </w:tc>
        <w:tc>
          <w:tcPr>
            <w:tcW w:w="1100" w:type="dxa"/>
          </w:tcPr>
          <w:p w14:paraId="799A088A" w14:textId="77777777" w:rsidR="00986C2E" w:rsidRPr="0000230A" w:rsidRDefault="00986C2E" w:rsidP="00C005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Access Barriers (Purple)</w:t>
            </w:r>
          </w:p>
        </w:tc>
        <w:tc>
          <w:tcPr>
            <w:tcW w:w="880" w:type="dxa"/>
          </w:tcPr>
          <w:p w14:paraId="25468A0D" w14:textId="77777777" w:rsidR="00986C2E" w:rsidRPr="0000230A" w:rsidRDefault="00986C2E" w:rsidP="00C005C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Themes</w:t>
            </w:r>
          </w:p>
        </w:tc>
      </w:tr>
      <w:tr w:rsidR="00986C2E" w:rsidRPr="00C005CE" w14:paraId="2B7FD0C2"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6A4F1E32" w14:textId="77777777" w:rsidR="00986C2E" w:rsidRPr="0000230A" w:rsidRDefault="00986C2E" w:rsidP="00C005CE">
            <w:pPr>
              <w:spacing w:line="360" w:lineRule="auto"/>
              <w:jc w:val="center"/>
              <w:rPr>
                <w:rFonts w:ascii="Arial" w:hAnsi="Arial" w:cs="Arial"/>
                <w:sz w:val="20"/>
                <w:szCs w:val="20"/>
              </w:rPr>
            </w:pPr>
            <w:r w:rsidRPr="0000230A">
              <w:rPr>
                <w:rFonts w:ascii="Arial" w:hAnsi="Arial" w:cs="Arial"/>
                <w:sz w:val="20"/>
                <w:szCs w:val="20"/>
              </w:rPr>
              <w:t>1</w:t>
            </w:r>
          </w:p>
        </w:tc>
        <w:tc>
          <w:tcPr>
            <w:tcW w:w="1149" w:type="dxa"/>
          </w:tcPr>
          <w:p w14:paraId="784663EA"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Black, 2021</w:t>
            </w:r>
          </w:p>
        </w:tc>
        <w:tc>
          <w:tcPr>
            <w:tcW w:w="930" w:type="dxa"/>
          </w:tcPr>
          <w:p w14:paraId="3F73FC99"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Gov Review</w:t>
            </w:r>
          </w:p>
        </w:tc>
        <w:tc>
          <w:tcPr>
            <w:tcW w:w="1140" w:type="dxa"/>
          </w:tcPr>
          <w:p w14:paraId="5FAE4555"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England</w:t>
            </w:r>
          </w:p>
        </w:tc>
        <w:tc>
          <w:tcPr>
            <w:tcW w:w="1143" w:type="dxa"/>
            <w:shd w:val="clear" w:color="auto" w:fill="D9E2F3" w:themeFill="accent1" w:themeFillTint="33"/>
          </w:tcPr>
          <w:p w14:paraId="3BA6C038"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Low-income high risk</w:t>
            </w:r>
          </w:p>
        </w:tc>
        <w:tc>
          <w:tcPr>
            <w:tcW w:w="1091" w:type="dxa"/>
            <w:shd w:val="clear" w:color="auto" w:fill="FBE4D5" w:themeFill="accent2" w:themeFillTint="33"/>
          </w:tcPr>
          <w:p w14:paraId="0729053B"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Higher addiction rates</w:t>
            </w:r>
          </w:p>
        </w:tc>
        <w:tc>
          <w:tcPr>
            <w:tcW w:w="1760" w:type="dxa"/>
            <w:shd w:val="clear" w:color="auto" w:fill="E2EFD9" w:themeFill="accent6" w:themeFillTint="33"/>
          </w:tcPr>
          <w:p w14:paraId="4BBA5697"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MH neglect worsens</w:t>
            </w:r>
          </w:p>
        </w:tc>
        <w:tc>
          <w:tcPr>
            <w:tcW w:w="1100" w:type="dxa"/>
            <w:shd w:val="clear" w:color="auto" w:fill="FFF2CC" w:themeFill="accent4" w:themeFillTint="33"/>
          </w:tcPr>
          <w:p w14:paraId="4698B480"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Funding cuts</w:t>
            </w:r>
          </w:p>
        </w:tc>
        <w:tc>
          <w:tcPr>
            <w:tcW w:w="880" w:type="dxa"/>
          </w:tcPr>
          <w:p w14:paraId="6B515D93"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1,2,3,4</w:t>
            </w:r>
          </w:p>
        </w:tc>
      </w:tr>
      <w:tr w:rsidR="00986C2E" w:rsidRPr="00C005CE" w14:paraId="225D79E7"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61785BCC" w14:textId="77777777" w:rsidR="00986C2E" w:rsidRPr="0000230A" w:rsidRDefault="00986C2E" w:rsidP="00C005CE">
            <w:pPr>
              <w:spacing w:line="360" w:lineRule="auto"/>
              <w:jc w:val="center"/>
              <w:rPr>
                <w:rFonts w:ascii="Arial" w:hAnsi="Arial" w:cs="Arial"/>
                <w:sz w:val="20"/>
                <w:szCs w:val="20"/>
              </w:rPr>
            </w:pPr>
            <w:r w:rsidRPr="0000230A">
              <w:rPr>
                <w:rFonts w:ascii="Arial" w:hAnsi="Arial" w:cs="Arial"/>
                <w:sz w:val="20"/>
                <w:szCs w:val="20"/>
              </w:rPr>
              <w:t>2</w:t>
            </w:r>
          </w:p>
        </w:tc>
        <w:tc>
          <w:tcPr>
            <w:tcW w:w="1149" w:type="dxa"/>
          </w:tcPr>
          <w:p w14:paraId="61667939"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Marmot, 2020</w:t>
            </w:r>
          </w:p>
        </w:tc>
        <w:tc>
          <w:tcPr>
            <w:tcW w:w="930" w:type="dxa"/>
          </w:tcPr>
          <w:p w14:paraId="334570ED"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Policy report</w:t>
            </w:r>
          </w:p>
        </w:tc>
        <w:tc>
          <w:tcPr>
            <w:tcW w:w="1140" w:type="dxa"/>
          </w:tcPr>
          <w:p w14:paraId="0A09F92F"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England</w:t>
            </w:r>
          </w:p>
        </w:tc>
        <w:tc>
          <w:tcPr>
            <w:tcW w:w="1143" w:type="dxa"/>
            <w:shd w:val="clear" w:color="auto" w:fill="D9E2F3" w:themeFill="accent1" w:themeFillTint="33"/>
          </w:tcPr>
          <w:p w14:paraId="3BA945AF"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Poverty drives outcomes</w:t>
            </w:r>
          </w:p>
        </w:tc>
        <w:tc>
          <w:tcPr>
            <w:tcW w:w="1091" w:type="dxa"/>
            <w:shd w:val="clear" w:color="auto" w:fill="FBE4D5" w:themeFill="accent2" w:themeFillTint="33"/>
          </w:tcPr>
          <w:p w14:paraId="67E31A98"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Stress increases misuse</w:t>
            </w:r>
          </w:p>
        </w:tc>
        <w:tc>
          <w:tcPr>
            <w:tcW w:w="1760" w:type="dxa"/>
            <w:shd w:val="clear" w:color="auto" w:fill="E2EFD9" w:themeFill="accent6" w:themeFillTint="33"/>
          </w:tcPr>
          <w:p w14:paraId="0E803920"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Higher distress</w:t>
            </w:r>
          </w:p>
        </w:tc>
        <w:tc>
          <w:tcPr>
            <w:tcW w:w="1100" w:type="dxa"/>
            <w:shd w:val="clear" w:color="auto" w:fill="FFF2CC" w:themeFill="accent4" w:themeFillTint="33"/>
          </w:tcPr>
          <w:p w14:paraId="681C366C"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Service inequality</w:t>
            </w:r>
          </w:p>
        </w:tc>
        <w:tc>
          <w:tcPr>
            <w:tcW w:w="880" w:type="dxa"/>
          </w:tcPr>
          <w:p w14:paraId="1D60B71C"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1,2,3,4</w:t>
            </w:r>
          </w:p>
        </w:tc>
      </w:tr>
      <w:tr w:rsidR="00986C2E" w:rsidRPr="00C005CE" w14:paraId="5B95DD35"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771A4664" w14:textId="77777777" w:rsidR="00986C2E" w:rsidRPr="0000230A" w:rsidRDefault="00986C2E" w:rsidP="00C005CE">
            <w:pPr>
              <w:spacing w:line="360" w:lineRule="auto"/>
              <w:jc w:val="center"/>
              <w:rPr>
                <w:rFonts w:ascii="Arial" w:hAnsi="Arial" w:cs="Arial"/>
                <w:sz w:val="20"/>
                <w:szCs w:val="20"/>
              </w:rPr>
            </w:pPr>
            <w:r w:rsidRPr="0000230A">
              <w:rPr>
                <w:rFonts w:ascii="Arial" w:hAnsi="Arial" w:cs="Arial"/>
                <w:sz w:val="20"/>
                <w:szCs w:val="20"/>
              </w:rPr>
              <w:t>3</w:t>
            </w:r>
          </w:p>
        </w:tc>
        <w:tc>
          <w:tcPr>
            <w:tcW w:w="1149" w:type="dxa"/>
          </w:tcPr>
          <w:p w14:paraId="460B625D"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Mind, 2022</w:t>
            </w:r>
          </w:p>
        </w:tc>
        <w:tc>
          <w:tcPr>
            <w:tcW w:w="930" w:type="dxa"/>
          </w:tcPr>
          <w:p w14:paraId="3DC96353"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Charity report</w:t>
            </w:r>
          </w:p>
        </w:tc>
        <w:tc>
          <w:tcPr>
            <w:tcW w:w="1140" w:type="dxa"/>
          </w:tcPr>
          <w:p w14:paraId="71F44350"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UK</w:t>
            </w:r>
          </w:p>
        </w:tc>
        <w:tc>
          <w:tcPr>
            <w:tcW w:w="1143" w:type="dxa"/>
            <w:shd w:val="clear" w:color="auto" w:fill="D9E2F3" w:themeFill="accent1" w:themeFillTint="33"/>
          </w:tcPr>
          <w:p w14:paraId="42C73DF0"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Financial stress</w:t>
            </w:r>
          </w:p>
        </w:tc>
        <w:tc>
          <w:tcPr>
            <w:tcW w:w="1091" w:type="dxa"/>
            <w:shd w:val="clear" w:color="auto" w:fill="FBE4D5" w:themeFill="accent2" w:themeFillTint="33"/>
          </w:tcPr>
          <w:p w14:paraId="709FECFD"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Self-medication</w:t>
            </w:r>
          </w:p>
        </w:tc>
        <w:tc>
          <w:tcPr>
            <w:tcW w:w="1760" w:type="dxa"/>
            <w:shd w:val="clear" w:color="auto" w:fill="E2EFD9" w:themeFill="accent6" w:themeFillTint="33"/>
          </w:tcPr>
          <w:p w14:paraId="425386B8"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High untreated MH</w:t>
            </w:r>
          </w:p>
        </w:tc>
        <w:tc>
          <w:tcPr>
            <w:tcW w:w="1100" w:type="dxa"/>
            <w:shd w:val="clear" w:color="auto" w:fill="FFF2CC" w:themeFill="accent4" w:themeFillTint="33"/>
          </w:tcPr>
          <w:p w14:paraId="19640E66"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Wait times</w:t>
            </w:r>
          </w:p>
        </w:tc>
        <w:tc>
          <w:tcPr>
            <w:tcW w:w="880" w:type="dxa"/>
          </w:tcPr>
          <w:p w14:paraId="2E891275"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2,3</w:t>
            </w:r>
          </w:p>
        </w:tc>
      </w:tr>
      <w:tr w:rsidR="00986C2E" w:rsidRPr="00C005CE" w14:paraId="0D9FB6BD"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1F5417C4" w14:textId="77777777" w:rsidR="00986C2E" w:rsidRPr="0000230A" w:rsidRDefault="00986C2E" w:rsidP="00C005CE">
            <w:pPr>
              <w:spacing w:line="360" w:lineRule="auto"/>
              <w:jc w:val="center"/>
              <w:rPr>
                <w:rFonts w:ascii="Arial" w:hAnsi="Arial" w:cs="Arial"/>
                <w:sz w:val="20"/>
                <w:szCs w:val="20"/>
              </w:rPr>
            </w:pPr>
            <w:r w:rsidRPr="0000230A">
              <w:rPr>
                <w:rFonts w:ascii="Arial" w:hAnsi="Arial" w:cs="Arial"/>
                <w:sz w:val="20"/>
                <w:szCs w:val="20"/>
              </w:rPr>
              <w:t>4</w:t>
            </w:r>
          </w:p>
        </w:tc>
        <w:tc>
          <w:tcPr>
            <w:tcW w:w="1149" w:type="dxa"/>
          </w:tcPr>
          <w:p w14:paraId="7820880D"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Pierce et al., 2020</w:t>
            </w:r>
          </w:p>
        </w:tc>
        <w:tc>
          <w:tcPr>
            <w:tcW w:w="930" w:type="dxa"/>
          </w:tcPr>
          <w:p w14:paraId="1310505D"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Cohort</w:t>
            </w:r>
          </w:p>
        </w:tc>
        <w:tc>
          <w:tcPr>
            <w:tcW w:w="1140" w:type="dxa"/>
          </w:tcPr>
          <w:p w14:paraId="73E7BA27"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UK adults</w:t>
            </w:r>
          </w:p>
        </w:tc>
        <w:tc>
          <w:tcPr>
            <w:tcW w:w="1143" w:type="dxa"/>
            <w:shd w:val="clear" w:color="auto" w:fill="D9E2F3" w:themeFill="accent1" w:themeFillTint="33"/>
          </w:tcPr>
          <w:p w14:paraId="1BDD571E"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COVID inequality</w:t>
            </w:r>
          </w:p>
        </w:tc>
        <w:tc>
          <w:tcPr>
            <w:tcW w:w="1091" w:type="dxa"/>
            <w:shd w:val="clear" w:color="auto" w:fill="FBE4D5" w:themeFill="accent2" w:themeFillTint="33"/>
          </w:tcPr>
          <w:p w14:paraId="1563D193"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Increased use</w:t>
            </w:r>
          </w:p>
        </w:tc>
        <w:tc>
          <w:tcPr>
            <w:tcW w:w="1760" w:type="dxa"/>
            <w:shd w:val="clear" w:color="auto" w:fill="E2EFD9" w:themeFill="accent6" w:themeFillTint="33"/>
          </w:tcPr>
          <w:p w14:paraId="316BA64E"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Decline in MH</w:t>
            </w:r>
          </w:p>
        </w:tc>
        <w:tc>
          <w:tcPr>
            <w:tcW w:w="1100" w:type="dxa"/>
            <w:shd w:val="clear" w:color="auto" w:fill="FFF2CC" w:themeFill="accent4" w:themeFillTint="33"/>
          </w:tcPr>
          <w:p w14:paraId="09D7D721"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Loss of support</w:t>
            </w:r>
          </w:p>
        </w:tc>
        <w:tc>
          <w:tcPr>
            <w:tcW w:w="880" w:type="dxa"/>
          </w:tcPr>
          <w:p w14:paraId="3864C9D5"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2,5</w:t>
            </w:r>
          </w:p>
        </w:tc>
      </w:tr>
      <w:tr w:rsidR="00986C2E" w:rsidRPr="00C005CE" w14:paraId="7D3A7571"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433239A4" w14:textId="77777777" w:rsidR="00986C2E" w:rsidRPr="0000230A" w:rsidRDefault="00986C2E" w:rsidP="00C005CE">
            <w:pPr>
              <w:spacing w:line="360" w:lineRule="auto"/>
              <w:jc w:val="center"/>
              <w:rPr>
                <w:rFonts w:ascii="Arial" w:hAnsi="Arial" w:cs="Arial"/>
                <w:sz w:val="20"/>
                <w:szCs w:val="20"/>
              </w:rPr>
            </w:pPr>
            <w:r w:rsidRPr="0000230A">
              <w:rPr>
                <w:rFonts w:ascii="Arial" w:hAnsi="Arial" w:cs="Arial"/>
                <w:sz w:val="20"/>
                <w:szCs w:val="20"/>
              </w:rPr>
              <w:t>5</w:t>
            </w:r>
          </w:p>
        </w:tc>
        <w:tc>
          <w:tcPr>
            <w:tcW w:w="1149" w:type="dxa"/>
          </w:tcPr>
          <w:p w14:paraId="78DA1F44"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Karamanos et al., 2022</w:t>
            </w:r>
          </w:p>
        </w:tc>
        <w:tc>
          <w:tcPr>
            <w:tcW w:w="930" w:type="dxa"/>
          </w:tcPr>
          <w:p w14:paraId="62EE79F9"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Quant</w:t>
            </w:r>
          </w:p>
        </w:tc>
        <w:tc>
          <w:tcPr>
            <w:tcW w:w="1140" w:type="dxa"/>
          </w:tcPr>
          <w:p w14:paraId="71CA327A"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UK teens</w:t>
            </w:r>
          </w:p>
        </w:tc>
        <w:tc>
          <w:tcPr>
            <w:tcW w:w="1143" w:type="dxa"/>
            <w:shd w:val="clear" w:color="auto" w:fill="D9E2F3" w:themeFill="accent1" w:themeFillTint="33"/>
          </w:tcPr>
          <w:p w14:paraId="74FF572C"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 xml:space="preserve">Deprivation </w:t>
            </w:r>
            <w:proofErr w:type="gramStart"/>
            <w:r w:rsidRPr="0000230A">
              <w:rPr>
                <w:rFonts w:ascii="Arial" w:hAnsi="Arial" w:cs="Arial"/>
                <w:sz w:val="20"/>
                <w:szCs w:val="20"/>
              </w:rPr>
              <w:t>moderates</w:t>
            </w:r>
            <w:proofErr w:type="gramEnd"/>
            <w:r w:rsidRPr="0000230A">
              <w:rPr>
                <w:rFonts w:ascii="Arial" w:hAnsi="Arial" w:cs="Arial"/>
                <w:sz w:val="20"/>
                <w:szCs w:val="20"/>
              </w:rPr>
              <w:t xml:space="preserve"> risk</w:t>
            </w:r>
          </w:p>
        </w:tc>
        <w:tc>
          <w:tcPr>
            <w:tcW w:w="1091" w:type="dxa"/>
            <w:shd w:val="clear" w:color="auto" w:fill="FBE4D5" w:themeFill="accent2" w:themeFillTint="33"/>
          </w:tcPr>
          <w:p w14:paraId="02C01FB6"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Higher drug use</w:t>
            </w:r>
          </w:p>
        </w:tc>
        <w:tc>
          <w:tcPr>
            <w:tcW w:w="1760" w:type="dxa"/>
            <w:shd w:val="clear" w:color="auto" w:fill="E2EFD9" w:themeFill="accent6" w:themeFillTint="33"/>
          </w:tcPr>
          <w:p w14:paraId="1F8D2BD0"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Trauma link</w:t>
            </w:r>
          </w:p>
        </w:tc>
        <w:tc>
          <w:tcPr>
            <w:tcW w:w="1100" w:type="dxa"/>
            <w:shd w:val="clear" w:color="auto" w:fill="FFF2CC" w:themeFill="accent4" w:themeFillTint="33"/>
          </w:tcPr>
          <w:p w14:paraId="05D681DE"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w:t>
            </w:r>
          </w:p>
        </w:tc>
        <w:tc>
          <w:tcPr>
            <w:tcW w:w="880" w:type="dxa"/>
          </w:tcPr>
          <w:p w14:paraId="1140C7B7"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1,2</w:t>
            </w:r>
          </w:p>
        </w:tc>
      </w:tr>
      <w:tr w:rsidR="00986C2E" w:rsidRPr="00C005CE" w14:paraId="726910A6"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46B87892" w14:textId="77777777" w:rsidR="00986C2E" w:rsidRPr="0000230A" w:rsidRDefault="00986C2E" w:rsidP="00C005CE">
            <w:pPr>
              <w:spacing w:line="360" w:lineRule="auto"/>
              <w:jc w:val="center"/>
              <w:rPr>
                <w:rFonts w:ascii="Arial" w:hAnsi="Arial" w:cs="Arial"/>
                <w:sz w:val="20"/>
                <w:szCs w:val="20"/>
              </w:rPr>
            </w:pPr>
            <w:r w:rsidRPr="0000230A">
              <w:rPr>
                <w:rFonts w:ascii="Arial" w:hAnsi="Arial" w:cs="Arial"/>
                <w:sz w:val="20"/>
                <w:szCs w:val="20"/>
              </w:rPr>
              <w:t>6</w:t>
            </w:r>
          </w:p>
        </w:tc>
        <w:tc>
          <w:tcPr>
            <w:tcW w:w="1149" w:type="dxa"/>
          </w:tcPr>
          <w:p w14:paraId="2DF65115"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NHS Digital, 2023</w:t>
            </w:r>
          </w:p>
        </w:tc>
        <w:tc>
          <w:tcPr>
            <w:tcW w:w="930" w:type="dxa"/>
          </w:tcPr>
          <w:p w14:paraId="5D915683"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Dataset</w:t>
            </w:r>
          </w:p>
        </w:tc>
        <w:tc>
          <w:tcPr>
            <w:tcW w:w="1140" w:type="dxa"/>
          </w:tcPr>
          <w:p w14:paraId="2BB0CF29"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England</w:t>
            </w:r>
          </w:p>
        </w:tc>
        <w:tc>
          <w:tcPr>
            <w:tcW w:w="1143" w:type="dxa"/>
            <w:shd w:val="clear" w:color="auto" w:fill="D9E2F3" w:themeFill="accent1" w:themeFillTint="33"/>
          </w:tcPr>
          <w:p w14:paraId="39081D21"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Most in low SES</w:t>
            </w:r>
          </w:p>
        </w:tc>
        <w:tc>
          <w:tcPr>
            <w:tcW w:w="1091" w:type="dxa"/>
            <w:shd w:val="clear" w:color="auto" w:fill="FBE4D5" w:themeFill="accent2" w:themeFillTint="33"/>
          </w:tcPr>
          <w:p w14:paraId="07524E8A"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High admissions</w:t>
            </w:r>
          </w:p>
        </w:tc>
        <w:tc>
          <w:tcPr>
            <w:tcW w:w="1760" w:type="dxa"/>
            <w:shd w:val="clear" w:color="auto" w:fill="E2EFD9" w:themeFill="accent6" w:themeFillTint="33"/>
          </w:tcPr>
          <w:p w14:paraId="7B9BA58C"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Anxiety/depression</w:t>
            </w:r>
          </w:p>
        </w:tc>
        <w:tc>
          <w:tcPr>
            <w:tcW w:w="1100" w:type="dxa"/>
            <w:shd w:val="clear" w:color="auto" w:fill="FFF2CC" w:themeFill="accent4" w:themeFillTint="33"/>
          </w:tcPr>
          <w:p w14:paraId="1D2AEC84"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Cost/travel</w:t>
            </w:r>
          </w:p>
        </w:tc>
        <w:tc>
          <w:tcPr>
            <w:tcW w:w="880" w:type="dxa"/>
          </w:tcPr>
          <w:p w14:paraId="12C032C9"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1,2,3</w:t>
            </w:r>
          </w:p>
        </w:tc>
      </w:tr>
      <w:tr w:rsidR="00986C2E" w:rsidRPr="00C005CE" w14:paraId="6F18D460"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43B0A305" w14:textId="77777777" w:rsidR="00986C2E" w:rsidRPr="0000230A" w:rsidRDefault="00986C2E" w:rsidP="00C005CE">
            <w:pPr>
              <w:spacing w:line="360" w:lineRule="auto"/>
              <w:jc w:val="center"/>
              <w:rPr>
                <w:rFonts w:ascii="Arial" w:hAnsi="Arial" w:cs="Arial"/>
                <w:sz w:val="20"/>
                <w:szCs w:val="20"/>
              </w:rPr>
            </w:pPr>
            <w:r w:rsidRPr="0000230A">
              <w:rPr>
                <w:rFonts w:ascii="Arial" w:hAnsi="Arial" w:cs="Arial"/>
                <w:sz w:val="20"/>
                <w:szCs w:val="20"/>
              </w:rPr>
              <w:t>7</w:t>
            </w:r>
          </w:p>
        </w:tc>
        <w:tc>
          <w:tcPr>
            <w:tcW w:w="1149" w:type="dxa"/>
          </w:tcPr>
          <w:p w14:paraId="6A6AD440"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ONS, 2023</w:t>
            </w:r>
          </w:p>
        </w:tc>
        <w:tc>
          <w:tcPr>
            <w:tcW w:w="930" w:type="dxa"/>
          </w:tcPr>
          <w:p w14:paraId="1F5D887F"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Gov data</w:t>
            </w:r>
          </w:p>
        </w:tc>
        <w:tc>
          <w:tcPr>
            <w:tcW w:w="1140" w:type="dxa"/>
          </w:tcPr>
          <w:p w14:paraId="624A4388"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England</w:t>
            </w:r>
          </w:p>
        </w:tc>
        <w:tc>
          <w:tcPr>
            <w:tcW w:w="1143" w:type="dxa"/>
            <w:shd w:val="clear" w:color="auto" w:fill="D9E2F3" w:themeFill="accent1" w:themeFillTint="33"/>
          </w:tcPr>
          <w:p w14:paraId="560D989D"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5× drug deaths</w:t>
            </w:r>
          </w:p>
        </w:tc>
        <w:tc>
          <w:tcPr>
            <w:tcW w:w="1091" w:type="dxa"/>
            <w:shd w:val="clear" w:color="auto" w:fill="FBE4D5" w:themeFill="accent2" w:themeFillTint="33"/>
          </w:tcPr>
          <w:p w14:paraId="62A4A190"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High mortality</w:t>
            </w:r>
          </w:p>
        </w:tc>
        <w:tc>
          <w:tcPr>
            <w:tcW w:w="1760" w:type="dxa"/>
            <w:shd w:val="clear" w:color="auto" w:fill="E2EFD9" w:themeFill="accent6" w:themeFillTint="33"/>
          </w:tcPr>
          <w:p w14:paraId="60D70C0B"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High distress</w:t>
            </w:r>
          </w:p>
        </w:tc>
        <w:tc>
          <w:tcPr>
            <w:tcW w:w="1100" w:type="dxa"/>
            <w:shd w:val="clear" w:color="auto" w:fill="FFF2CC" w:themeFill="accent4" w:themeFillTint="33"/>
          </w:tcPr>
          <w:p w14:paraId="34F5F011"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w:t>
            </w:r>
          </w:p>
        </w:tc>
        <w:tc>
          <w:tcPr>
            <w:tcW w:w="880" w:type="dxa"/>
          </w:tcPr>
          <w:p w14:paraId="5A078F7F"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1</w:t>
            </w:r>
          </w:p>
        </w:tc>
      </w:tr>
      <w:tr w:rsidR="00986C2E" w:rsidRPr="00C005CE" w14:paraId="24D74720"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26984D87" w14:textId="77777777" w:rsidR="00986C2E" w:rsidRPr="0000230A" w:rsidRDefault="00986C2E" w:rsidP="00C005CE">
            <w:pPr>
              <w:spacing w:line="360" w:lineRule="auto"/>
              <w:jc w:val="center"/>
              <w:rPr>
                <w:rFonts w:ascii="Arial" w:hAnsi="Arial" w:cs="Arial"/>
                <w:sz w:val="20"/>
                <w:szCs w:val="20"/>
              </w:rPr>
            </w:pPr>
            <w:r w:rsidRPr="0000230A">
              <w:rPr>
                <w:rFonts w:ascii="Arial" w:hAnsi="Arial" w:cs="Arial"/>
                <w:sz w:val="20"/>
                <w:szCs w:val="20"/>
              </w:rPr>
              <w:t>8</w:t>
            </w:r>
          </w:p>
        </w:tc>
        <w:tc>
          <w:tcPr>
            <w:tcW w:w="1149" w:type="dxa"/>
          </w:tcPr>
          <w:p w14:paraId="3BE30830"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Molina &amp; Whittaker, 2022</w:t>
            </w:r>
          </w:p>
        </w:tc>
        <w:tc>
          <w:tcPr>
            <w:tcW w:w="930" w:type="dxa"/>
          </w:tcPr>
          <w:p w14:paraId="0FBDF29B"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Mixed</w:t>
            </w:r>
          </w:p>
        </w:tc>
        <w:tc>
          <w:tcPr>
            <w:tcW w:w="1140" w:type="dxa"/>
          </w:tcPr>
          <w:p w14:paraId="0510DDA2"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roofErr w:type="gramStart"/>
            <w:r w:rsidRPr="0000230A">
              <w:rPr>
                <w:rFonts w:ascii="Arial" w:hAnsi="Arial" w:cs="Arial"/>
                <w:sz w:val="20"/>
                <w:szCs w:val="20"/>
              </w:rPr>
              <w:t>Adults</w:t>
            </w:r>
            <w:proofErr w:type="gramEnd"/>
            <w:r w:rsidRPr="0000230A">
              <w:rPr>
                <w:rFonts w:ascii="Arial" w:hAnsi="Arial" w:cs="Arial"/>
                <w:sz w:val="20"/>
                <w:szCs w:val="20"/>
              </w:rPr>
              <w:t xml:space="preserve"> w/ ACEs</w:t>
            </w:r>
          </w:p>
        </w:tc>
        <w:tc>
          <w:tcPr>
            <w:tcW w:w="1143" w:type="dxa"/>
            <w:shd w:val="clear" w:color="auto" w:fill="D9E2F3" w:themeFill="accent1" w:themeFillTint="33"/>
          </w:tcPr>
          <w:p w14:paraId="7313419A"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Poverty + ACEs</w:t>
            </w:r>
          </w:p>
        </w:tc>
        <w:tc>
          <w:tcPr>
            <w:tcW w:w="1091" w:type="dxa"/>
            <w:shd w:val="clear" w:color="auto" w:fill="FBE4D5" w:themeFill="accent2" w:themeFillTint="33"/>
          </w:tcPr>
          <w:p w14:paraId="44C8A229"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Relapse risk</w:t>
            </w:r>
          </w:p>
        </w:tc>
        <w:tc>
          <w:tcPr>
            <w:tcW w:w="1760" w:type="dxa"/>
            <w:shd w:val="clear" w:color="auto" w:fill="E2EFD9" w:themeFill="accent6" w:themeFillTint="33"/>
          </w:tcPr>
          <w:p w14:paraId="6001EA6A"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Trauma</w:t>
            </w:r>
          </w:p>
        </w:tc>
        <w:tc>
          <w:tcPr>
            <w:tcW w:w="1100" w:type="dxa"/>
            <w:shd w:val="clear" w:color="auto" w:fill="FFF2CC" w:themeFill="accent4" w:themeFillTint="33"/>
          </w:tcPr>
          <w:p w14:paraId="448AD773"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Low trauma care</w:t>
            </w:r>
          </w:p>
        </w:tc>
        <w:tc>
          <w:tcPr>
            <w:tcW w:w="880" w:type="dxa"/>
          </w:tcPr>
          <w:p w14:paraId="1D7822AF"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1,2,3</w:t>
            </w:r>
          </w:p>
        </w:tc>
      </w:tr>
      <w:tr w:rsidR="00986C2E" w:rsidRPr="00C005CE" w14:paraId="7D65A9FB"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71D06F43" w14:textId="77777777" w:rsidR="00986C2E" w:rsidRPr="0000230A" w:rsidRDefault="00986C2E" w:rsidP="00C005CE">
            <w:pPr>
              <w:spacing w:line="360" w:lineRule="auto"/>
              <w:jc w:val="center"/>
              <w:rPr>
                <w:rFonts w:ascii="Arial" w:hAnsi="Arial" w:cs="Arial"/>
                <w:sz w:val="20"/>
                <w:szCs w:val="20"/>
              </w:rPr>
            </w:pPr>
            <w:r w:rsidRPr="0000230A">
              <w:rPr>
                <w:rFonts w:ascii="Arial" w:hAnsi="Arial" w:cs="Arial"/>
                <w:sz w:val="20"/>
                <w:szCs w:val="20"/>
              </w:rPr>
              <w:lastRenderedPageBreak/>
              <w:t>9</w:t>
            </w:r>
          </w:p>
        </w:tc>
        <w:tc>
          <w:tcPr>
            <w:tcW w:w="1149" w:type="dxa"/>
          </w:tcPr>
          <w:p w14:paraId="644958F8"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Health Foundation, 2023</w:t>
            </w:r>
          </w:p>
        </w:tc>
        <w:tc>
          <w:tcPr>
            <w:tcW w:w="930" w:type="dxa"/>
          </w:tcPr>
          <w:p w14:paraId="6CE71734"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Policy</w:t>
            </w:r>
          </w:p>
        </w:tc>
        <w:tc>
          <w:tcPr>
            <w:tcW w:w="1140" w:type="dxa"/>
          </w:tcPr>
          <w:p w14:paraId="7872226B"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England</w:t>
            </w:r>
          </w:p>
        </w:tc>
        <w:tc>
          <w:tcPr>
            <w:tcW w:w="1143" w:type="dxa"/>
            <w:shd w:val="clear" w:color="auto" w:fill="D9E2F3" w:themeFill="accent1" w:themeFillTint="33"/>
          </w:tcPr>
          <w:p w14:paraId="4D9F5EE0"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Resource gaps</w:t>
            </w:r>
          </w:p>
        </w:tc>
        <w:tc>
          <w:tcPr>
            <w:tcW w:w="1091" w:type="dxa"/>
            <w:shd w:val="clear" w:color="auto" w:fill="FBE4D5" w:themeFill="accent2" w:themeFillTint="33"/>
          </w:tcPr>
          <w:p w14:paraId="7607A8E3"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Treatment gaps</w:t>
            </w:r>
          </w:p>
        </w:tc>
        <w:tc>
          <w:tcPr>
            <w:tcW w:w="1760" w:type="dxa"/>
            <w:shd w:val="clear" w:color="auto" w:fill="E2EFD9" w:themeFill="accent6" w:themeFillTint="33"/>
          </w:tcPr>
          <w:p w14:paraId="1EE713CA"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Stress exposure</w:t>
            </w:r>
          </w:p>
        </w:tc>
        <w:tc>
          <w:tcPr>
            <w:tcW w:w="1100" w:type="dxa"/>
            <w:shd w:val="clear" w:color="auto" w:fill="FFF2CC" w:themeFill="accent4" w:themeFillTint="33"/>
          </w:tcPr>
          <w:p w14:paraId="21EEE1A9"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Workforce shortages</w:t>
            </w:r>
          </w:p>
        </w:tc>
        <w:tc>
          <w:tcPr>
            <w:tcW w:w="880" w:type="dxa"/>
          </w:tcPr>
          <w:p w14:paraId="6453C97D"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3,4</w:t>
            </w:r>
          </w:p>
        </w:tc>
      </w:tr>
      <w:tr w:rsidR="00986C2E" w:rsidRPr="00C005CE" w14:paraId="30FFC993"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4036FFC4" w14:textId="77777777" w:rsidR="00986C2E" w:rsidRPr="0000230A" w:rsidRDefault="00986C2E" w:rsidP="00C005CE">
            <w:pPr>
              <w:spacing w:line="360" w:lineRule="auto"/>
              <w:jc w:val="center"/>
              <w:rPr>
                <w:rFonts w:ascii="Arial" w:hAnsi="Arial" w:cs="Arial"/>
                <w:sz w:val="20"/>
                <w:szCs w:val="20"/>
              </w:rPr>
            </w:pPr>
            <w:r w:rsidRPr="0000230A">
              <w:rPr>
                <w:rFonts w:ascii="Arial" w:hAnsi="Arial" w:cs="Arial"/>
                <w:sz w:val="20"/>
                <w:szCs w:val="20"/>
              </w:rPr>
              <w:t>10</w:t>
            </w:r>
          </w:p>
        </w:tc>
        <w:tc>
          <w:tcPr>
            <w:tcW w:w="1149" w:type="dxa"/>
          </w:tcPr>
          <w:p w14:paraId="18FEC62A"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PHE, 2021</w:t>
            </w:r>
          </w:p>
        </w:tc>
        <w:tc>
          <w:tcPr>
            <w:tcW w:w="930" w:type="dxa"/>
          </w:tcPr>
          <w:p w14:paraId="0105096F"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Gov report</w:t>
            </w:r>
          </w:p>
        </w:tc>
        <w:tc>
          <w:tcPr>
            <w:tcW w:w="1140" w:type="dxa"/>
          </w:tcPr>
          <w:p w14:paraId="3947A870"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England</w:t>
            </w:r>
          </w:p>
        </w:tc>
        <w:tc>
          <w:tcPr>
            <w:tcW w:w="1143" w:type="dxa"/>
            <w:shd w:val="clear" w:color="auto" w:fill="D9E2F3" w:themeFill="accent1" w:themeFillTint="33"/>
          </w:tcPr>
          <w:p w14:paraId="0D15A49D"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Deprivation link</w:t>
            </w:r>
          </w:p>
        </w:tc>
        <w:tc>
          <w:tcPr>
            <w:tcW w:w="1091" w:type="dxa"/>
            <w:shd w:val="clear" w:color="auto" w:fill="FBE4D5" w:themeFill="accent2" w:themeFillTint="33"/>
          </w:tcPr>
          <w:p w14:paraId="1258C466"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Drug harm rise</w:t>
            </w:r>
          </w:p>
        </w:tc>
        <w:tc>
          <w:tcPr>
            <w:tcW w:w="1760" w:type="dxa"/>
            <w:shd w:val="clear" w:color="auto" w:fill="E2EFD9" w:themeFill="accent6" w:themeFillTint="33"/>
          </w:tcPr>
          <w:p w14:paraId="72733AB8"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MH unmet needs</w:t>
            </w:r>
          </w:p>
        </w:tc>
        <w:tc>
          <w:tcPr>
            <w:tcW w:w="1100" w:type="dxa"/>
            <w:shd w:val="clear" w:color="auto" w:fill="FFF2CC" w:themeFill="accent4" w:themeFillTint="33"/>
          </w:tcPr>
          <w:p w14:paraId="49A0917D"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Local variation</w:t>
            </w:r>
          </w:p>
        </w:tc>
        <w:tc>
          <w:tcPr>
            <w:tcW w:w="880" w:type="dxa"/>
          </w:tcPr>
          <w:p w14:paraId="2FFA50F0"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1,2,3</w:t>
            </w:r>
          </w:p>
        </w:tc>
      </w:tr>
      <w:tr w:rsidR="00986C2E" w:rsidRPr="00C005CE" w14:paraId="4B0B6BEC"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5FE4E3B1" w14:textId="77777777" w:rsidR="00986C2E" w:rsidRPr="0000230A" w:rsidRDefault="00986C2E" w:rsidP="00C005CE">
            <w:pPr>
              <w:spacing w:line="360" w:lineRule="auto"/>
              <w:jc w:val="center"/>
              <w:rPr>
                <w:rFonts w:ascii="Arial" w:hAnsi="Arial" w:cs="Arial"/>
                <w:sz w:val="20"/>
                <w:szCs w:val="20"/>
              </w:rPr>
            </w:pPr>
            <w:r w:rsidRPr="0000230A">
              <w:rPr>
                <w:rFonts w:ascii="Arial" w:hAnsi="Arial" w:cs="Arial"/>
                <w:sz w:val="20"/>
                <w:szCs w:val="20"/>
              </w:rPr>
              <w:t>11</w:t>
            </w:r>
          </w:p>
        </w:tc>
        <w:tc>
          <w:tcPr>
            <w:tcW w:w="1149" w:type="dxa"/>
          </w:tcPr>
          <w:p w14:paraId="6AFFEE97"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Kwong et al., 2020</w:t>
            </w:r>
          </w:p>
        </w:tc>
        <w:tc>
          <w:tcPr>
            <w:tcW w:w="930" w:type="dxa"/>
          </w:tcPr>
          <w:p w14:paraId="77710945"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Cohort</w:t>
            </w:r>
          </w:p>
        </w:tc>
        <w:tc>
          <w:tcPr>
            <w:tcW w:w="1140" w:type="dxa"/>
          </w:tcPr>
          <w:p w14:paraId="467D83FE"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UK</w:t>
            </w:r>
          </w:p>
        </w:tc>
        <w:tc>
          <w:tcPr>
            <w:tcW w:w="1143" w:type="dxa"/>
            <w:shd w:val="clear" w:color="auto" w:fill="D9E2F3" w:themeFill="accent1" w:themeFillTint="33"/>
          </w:tcPr>
          <w:p w14:paraId="583D7EB7"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Pandemic income impact</w:t>
            </w:r>
          </w:p>
        </w:tc>
        <w:tc>
          <w:tcPr>
            <w:tcW w:w="1091" w:type="dxa"/>
            <w:shd w:val="clear" w:color="auto" w:fill="FBE4D5" w:themeFill="accent2" w:themeFillTint="33"/>
          </w:tcPr>
          <w:p w14:paraId="4A330B58"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Higher risky use</w:t>
            </w:r>
          </w:p>
        </w:tc>
        <w:tc>
          <w:tcPr>
            <w:tcW w:w="1760" w:type="dxa"/>
            <w:shd w:val="clear" w:color="auto" w:fill="E2EFD9" w:themeFill="accent6" w:themeFillTint="33"/>
          </w:tcPr>
          <w:p w14:paraId="23471925"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Distress rising</w:t>
            </w:r>
          </w:p>
        </w:tc>
        <w:tc>
          <w:tcPr>
            <w:tcW w:w="1100" w:type="dxa"/>
            <w:shd w:val="clear" w:color="auto" w:fill="FFF2CC" w:themeFill="accent4" w:themeFillTint="33"/>
          </w:tcPr>
          <w:p w14:paraId="799C62AD"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Digital exclusion</w:t>
            </w:r>
          </w:p>
        </w:tc>
        <w:tc>
          <w:tcPr>
            <w:tcW w:w="880" w:type="dxa"/>
          </w:tcPr>
          <w:p w14:paraId="7F827690"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2,5</w:t>
            </w:r>
          </w:p>
        </w:tc>
      </w:tr>
      <w:tr w:rsidR="00986C2E" w:rsidRPr="00C005CE" w14:paraId="74E42CCD"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10380F15" w14:textId="77777777" w:rsidR="00986C2E" w:rsidRPr="0000230A" w:rsidRDefault="00986C2E" w:rsidP="00C005CE">
            <w:pPr>
              <w:spacing w:line="360" w:lineRule="auto"/>
              <w:jc w:val="center"/>
              <w:rPr>
                <w:rFonts w:ascii="Arial" w:hAnsi="Arial" w:cs="Arial"/>
                <w:sz w:val="20"/>
                <w:szCs w:val="20"/>
              </w:rPr>
            </w:pPr>
            <w:r w:rsidRPr="0000230A">
              <w:rPr>
                <w:rFonts w:ascii="Arial" w:hAnsi="Arial" w:cs="Arial"/>
                <w:sz w:val="20"/>
                <w:szCs w:val="20"/>
              </w:rPr>
              <w:t>12</w:t>
            </w:r>
          </w:p>
        </w:tc>
        <w:tc>
          <w:tcPr>
            <w:tcW w:w="1149" w:type="dxa"/>
          </w:tcPr>
          <w:p w14:paraId="51A76402"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JRF, 2023</w:t>
            </w:r>
          </w:p>
        </w:tc>
        <w:tc>
          <w:tcPr>
            <w:tcW w:w="930" w:type="dxa"/>
          </w:tcPr>
          <w:p w14:paraId="1DB4703A"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Research</w:t>
            </w:r>
          </w:p>
        </w:tc>
        <w:tc>
          <w:tcPr>
            <w:tcW w:w="1140" w:type="dxa"/>
          </w:tcPr>
          <w:p w14:paraId="2E423032"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UK</w:t>
            </w:r>
          </w:p>
        </w:tc>
        <w:tc>
          <w:tcPr>
            <w:tcW w:w="1143" w:type="dxa"/>
            <w:shd w:val="clear" w:color="auto" w:fill="D9E2F3" w:themeFill="accent1" w:themeFillTint="33"/>
          </w:tcPr>
          <w:p w14:paraId="3C3FC0CF"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Rising poverty</w:t>
            </w:r>
          </w:p>
        </w:tc>
        <w:tc>
          <w:tcPr>
            <w:tcW w:w="1091" w:type="dxa"/>
            <w:shd w:val="clear" w:color="auto" w:fill="FBE4D5" w:themeFill="accent2" w:themeFillTint="33"/>
          </w:tcPr>
          <w:p w14:paraId="74D4AC73"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Stress coping</w:t>
            </w:r>
          </w:p>
        </w:tc>
        <w:tc>
          <w:tcPr>
            <w:tcW w:w="1760" w:type="dxa"/>
            <w:shd w:val="clear" w:color="auto" w:fill="E2EFD9" w:themeFill="accent6" w:themeFillTint="33"/>
          </w:tcPr>
          <w:p w14:paraId="1DE89D28"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MH strain</w:t>
            </w:r>
          </w:p>
        </w:tc>
        <w:tc>
          <w:tcPr>
            <w:tcW w:w="1100" w:type="dxa"/>
            <w:shd w:val="clear" w:color="auto" w:fill="FFF2CC" w:themeFill="accent4" w:themeFillTint="33"/>
          </w:tcPr>
          <w:p w14:paraId="7FE1D83A"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Service mismatch</w:t>
            </w:r>
          </w:p>
        </w:tc>
        <w:tc>
          <w:tcPr>
            <w:tcW w:w="880" w:type="dxa"/>
          </w:tcPr>
          <w:p w14:paraId="16311AF7" w14:textId="77777777" w:rsidR="00986C2E" w:rsidRPr="0000230A" w:rsidRDefault="00986C2E" w:rsidP="00C005CE">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00230A">
              <w:rPr>
                <w:rFonts w:ascii="Arial" w:hAnsi="Arial" w:cs="Arial"/>
                <w:sz w:val="20"/>
                <w:szCs w:val="20"/>
              </w:rPr>
              <w:t>1,2,3</w:t>
            </w:r>
          </w:p>
        </w:tc>
      </w:tr>
    </w:tbl>
    <w:p w14:paraId="7097A1B7" w14:textId="77777777" w:rsidR="00986C2E" w:rsidRPr="00C005CE" w:rsidRDefault="00986C2E" w:rsidP="00C005CE">
      <w:pPr>
        <w:spacing w:line="360" w:lineRule="auto"/>
        <w:jc w:val="center"/>
        <w:rPr>
          <w:rFonts w:ascii="Arial" w:hAnsi="Arial" w:cs="Arial"/>
          <w:sz w:val="20"/>
          <w:szCs w:val="20"/>
        </w:rPr>
      </w:pPr>
    </w:p>
    <w:p w14:paraId="17384306" w14:textId="77777777" w:rsidR="00986C2E" w:rsidRPr="00C005CE" w:rsidRDefault="00986C2E" w:rsidP="00C005CE">
      <w:pPr>
        <w:pStyle w:val="Heading1"/>
        <w:spacing w:line="360" w:lineRule="auto"/>
        <w:rPr>
          <w:rFonts w:cs="Arial"/>
          <w:sz w:val="20"/>
          <w:szCs w:val="20"/>
        </w:rPr>
      </w:pPr>
    </w:p>
    <w:p w14:paraId="234CD09C" w14:textId="69B8DCF0" w:rsidR="00E93FB4" w:rsidRPr="00C005CE" w:rsidRDefault="00C005CE" w:rsidP="00C005CE">
      <w:pPr>
        <w:rPr>
          <w:sz w:val="20"/>
          <w:szCs w:val="20"/>
        </w:rPr>
      </w:pPr>
      <w:r w:rsidRPr="00C005CE">
        <w:rPr>
          <w:sz w:val="20"/>
          <w:szCs w:val="20"/>
        </w:rPr>
        <w:t xml:space="preserve">Table B6: </w:t>
      </w:r>
      <w:r w:rsidR="00E93FB4" w:rsidRPr="00C005CE">
        <w:rPr>
          <w:sz w:val="20"/>
          <w:szCs w:val="20"/>
        </w:rPr>
        <w:t>Source Tracking Table</w:t>
      </w:r>
    </w:p>
    <w:p w14:paraId="7400DBD2" w14:textId="77777777" w:rsidR="00C005CE" w:rsidRPr="00C005CE" w:rsidRDefault="00C005CE" w:rsidP="00C005CE"/>
    <w:tbl>
      <w:tblPr>
        <w:tblStyle w:val="TableGrid"/>
        <w:tblW w:w="11341" w:type="dxa"/>
        <w:jc w:val="center"/>
        <w:tblLook w:val="04A0" w:firstRow="1" w:lastRow="0" w:firstColumn="1" w:lastColumn="0" w:noHBand="0" w:noVBand="1"/>
      </w:tblPr>
      <w:tblGrid>
        <w:gridCol w:w="748"/>
        <w:gridCol w:w="1027"/>
        <w:gridCol w:w="1374"/>
        <w:gridCol w:w="1758"/>
        <w:gridCol w:w="1682"/>
        <w:gridCol w:w="4752"/>
      </w:tblGrid>
      <w:tr w:rsidR="00901E26" w:rsidRPr="00C005CE" w14:paraId="44227DBD" w14:textId="77777777" w:rsidTr="00D65B71">
        <w:trPr>
          <w:trHeight w:val="992"/>
          <w:jc w:val="center"/>
        </w:trPr>
        <w:tc>
          <w:tcPr>
            <w:tcW w:w="769" w:type="dxa"/>
          </w:tcPr>
          <w:p w14:paraId="54EBA319"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Saved</w:t>
            </w:r>
          </w:p>
        </w:tc>
        <w:tc>
          <w:tcPr>
            <w:tcW w:w="993" w:type="dxa"/>
          </w:tcPr>
          <w:p w14:paraId="6EDCD949"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Author &amp; Year</w:t>
            </w:r>
          </w:p>
        </w:tc>
        <w:tc>
          <w:tcPr>
            <w:tcW w:w="1535" w:type="dxa"/>
          </w:tcPr>
          <w:p w14:paraId="2988B23E"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Title</w:t>
            </w:r>
          </w:p>
        </w:tc>
        <w:tc>
          <w:tcPr>
            <w:tcW w:w="1801" w:type="dxa"/>
          </w:tcPr>
          <w:p w14:paraId="7C2ABD93"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Summary of Source</w:t>
            </w:r>
          </w:p>
        </w:tc>
        <w:tc>
          <w:tcPr>
            <w:tcW w:w="2078" w:type="dxa"/>
          </w:tcPr>
          <w:p w14:paraId="0EB7B46E"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CRAAP Notes</w:t>
            </w:r>
          </w:p>
        </w:tc>
        <w:tc>
          <w:tcPr>
            <w:tcW w:w="4165" w:type="dxa"/>
          </w:tcPr>
          <w:p w14:paraId="38919589"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File Name / Link to Source</w:t>
            </w:r>
          </w:p>
        </w:tc>
      </w:tr>
      <w:tr w:rsidR="00901E26" w:rsidRPr="00C005CE" w14:paraId="52182033" w14:textId="77777777" w:rsidTr="00D65B71">
        <w:trPr>
          <w:jc w:val="center"/>
        </w:trPr>
        <w:tc>
          <w:tcPr>
            <w:tcW w:w="769" w:type="dxa"/>
          </w:tcPr>
          <w:p w14:paraId="7A3E94BF"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pple Color Emoji" w:hAnsi="Apple Color Emoji" w:cs="Apple Color Emoji"/>
                <w:color w:val="000000" w:themeColor="text1"/>
                <w:sz w:val="18"/>
                <w:szCs w:val="18"/>
              </w:rPr>
              <w:t>☑️</w:t>
            </w:r>
          </w:p>
        </w:tc>
        <w:tc>
          <w:tcPr>
            <w:tcW w:w="993" w:type="dxa"/>
          </w:tcPr>
          <w:p w14:paraId="4DDD6277" w14:textId="696029D1"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Aveyard, H. (20</w:t>
            </w:r>
            <w:r w:rsidR="00684878">
              <w:rPr>
                <w:rFonts w:ascii="Arial" w:hAnsi="Arial" w:cs="Arial"/>
                <w:color w:val="000000" w:themeColor="text1"/>
                <w:sz w:val="18"/>
                <w:szCs w:val="18"/>
              </w:rPr>
              <w:t>23</w:t>
            </w:r>
            <w:r w:rsidRPr="00C005CE">
              <w:rPr>
                <w:rFonts w:ascii="Arial" w:hAnsi="Arial" w:cs="Arial"/>
                <w:color w:val="000000" w:themeColor="text1"/>
                <w:sz w:val="18"/>
                <w:szCs w:val="18"/>
              </w:rPr>
              <w:t>)</w:t>
            </w:r>
          </w:p>
        </w:tc>
        <w:tc>
          <w:tcPr>
            <w:tcW w:w="1535" w:type="dxa"/>
          </w:tcPr>
          <w:p w14:paraId="41174B78"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Doing a Literature Review in Health and Social Care: A Practical Guide</w:t>
            </w:r>
          </w:p>
        </w:tc>
        <w:tc>
          <w:tcPr>
            <w:tcW w:w="1801" w:type="dxa"/>
          </w:tcPr>
          <w:p w14:paraId="35B70513"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Explains how to plan, search, and structure literature-based dissertations. Used to guide search strategy and inclusion/exclusion logic.</w:t>
            </w:r>
          </w:p>
        </w:tc>
        <w:tc>
          <w:tcPr>
            <w:tcW w:w="2078" w:type="dxa"/>
          </w:tcPr>
          <w:p w14:paraId="494A7282"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C: 2019 edition; R: highly relevant; A: authoritative textbook; A: well-cited; P: educational.</w:t>
            </w:r>
          </w:p>
        </w:tc>
        <w:tc>
          <w:tcPr>
            <w:tcW w:w="4165" w:type="dxa"/>
          </w:tcPr>
          <w:p w14:paraId="4817BF71"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https://www.mheducation.co.uk/doing-a-literature-review-in-health-and-social-care-9780335248258-emea-group</w:t>
            </w:r>
          </w:p>
        </w:tc>
      </w:tr>
      <w:tr w:rsidR="00901E26" w:rsidRPr="00C005CE" w14:paraId="386DF15B" w14:textId="77777777" w:rsidTr="00D65B71">
        <w:trPr>
          <w:jc w:val="center"/>
        </w:trPr>
        <w:tc>
          <w:tcPr>
            <w:tcW w:w="769" w:type="dxa"/>
          </w:tcPr>
          <w:p w14:paraId="02982FAE"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pple Color Emoji" w:hAnsi="Apple Color Emoji" w:cs="Apple Color Emoji"/>
                <w:color w:val="000000" w:themeColor="text1"/>
                <w:sz w:val="18"/>
                <w:szCs w:val="18"/>
              </w:rPr>
              <w:t>☑️</w:t>
            </w:r>
          </w:p>
        </w:tc>
        <w:tc>
          <w:tcPr>
            <w:tcW w:w="993" w:type="dxa"/>
          </w:tcPr>
          <w:p w14:paraId="2369CFF3"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Braun, V. &amp; Clarke, V. (2006)</w:t>
            </w:r>
          </w:p>
        </w:tc>
        <w:tc>
          <w:tcPr>
            <w:tcW w:w="1535" w:type="dxa"/>
          </w:tcPr>
          <w:p w14:paraId="2D5B576D"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Using thematic analysis in psychology</w:t>
            </w:r>
          </w:p>
        </w:tc>
        <w:tc>
          <w:tcPr>
            <w:tcW w:w="1801" w:type="dxa"/>
          </w:tcPr>
          <w:p w14:paraId="2435B948"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Outlines six-step framework for qualitative thematic analysis. Used for coding process.</w:t>
            </w:r>
          </w:p>
        </w:tc>
        <w:tc>
          <w:tcPr>
            <w:tcW w:w="2078" w:type="dxa"/>
          </w:tcPr>
          <w:p w14:paraId="3C11B9FA"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C: foundational; R: essential; A: peer-reviewed; A: robust; P: academic.</w:t>
            </w:r>
          </w:p>
        </w:tc>
        <w:tc>
          <w:tcPr>
            <w:tcW w:w="4165" w:type="dxa"/>
          </w:tcPr>
          <w:p w14:paraId="0F1875DA"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https://doi.org/10.1191/1478088706qp063oa</w:t>
            </w:r>
          </w:p>
        </w:tc>
      </w:tr>
      <w:tr w:rsidR="00901E26" w:rsidRPr="00C005CE" w14:paraId="7E10BB9B" w14:textId="77777777" w:rsidTr="00D65B71">
        <w:trPr>
          <w:jc w:val="center"/>
        </w:trPr>
        <w:tc>
          <w:tcPr>
            <w:tcW w:w="769" w:type="dxa"/>
          </w:tcPr>
          <w:p w14:paraId="6CD0FCA2"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pple Color Emoji" w:hAnsi="Apple Color Emoji" w:cs="Apple Color Emoji"/>
                <w:color w:val="000000" w:themeColor="text1"/>
                <w:sz w:val="18"/>
                <w:szCs w:val="18"/>
              </w:rPr>
              <w:t>☑️</w:t>
            </w:r>
          </w:p>
        </w:tc>
        <w:tc>
          <w:tcPr>
            <w:tcW w:w="993" w:type="dxa"/>
          </w:tcPr>
          <w:p w14:paraId="2878C51E"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Black, D.C. (2021)</w:t>
            </w:r>
          </w:p>
        </w:tc>
        <w:tc>
          <w:tcPr>
            <w:tcW w:w="1535" w:type="dxa"/>
          </w:tcPr>
          <w:p w14:paraId="3C2EE9E3"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Independent Review of Drugs: Prevention, Treatment and Recovery</w:t>
            </w:r>
          </w:p>
        </w:tc>
        <w:tc>
          <w:tcPr>
            <w:tcW w:w="1801" w:type="dxa"/>
          </w:tcPr>
          <w:p w14:paraId="6ECF8912"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UK Government review detailing national drug policy reforms and service gaps.</w:t>
            </w:r>
          </w:p>
        </w:tc>
        <w:tc>
          <w:tcPr>
            <w:tcW w:w="2078" w:type="dxa"/>
          </w:tcPr>
          <w:p w14:paraId="2ACA6F0D"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C: 2021; R: highly relevant; A: official UK review; A: data-based; P: policy.</w:t>
            </w:r>
          </w:p>
        </w:tc>
        <w:tc>
          <w:tcPr>
            <w:tcW w:w="4165" w:type="dxa"/>
          </w:tcPr>
          <w:p w14:paraId="331314C6"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https://www.gov.uk/government/publications/review-of-drugs-part-two</w:t>
            </w:r>
          </w:p>
        </w:tc>
      </w:tr>
      <w:tr w:rsidR="00901E26" w:rsidRPr="00C005CE" w14:paraId="2CE81E02" w14:textId="77777777" w:rsidTr="00D65B71">
        <w:trPr>
          <w:jc w:val="center"/>
        </w:trPr>
        <w:tc>
          <w:tcPr>
            <w:tcW w:w="769" w:type="dxa"/>
          </w:tcPr>
          <w:p w14:paraId="62FA14AE"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pple Color Emoji" w:hAnsi="Apple Color Emoji" w:cs="Apple Color Emoji"/>
                <w:color w:val="000000" w:themeColor="text1"/>
                <w:sz w:val="18"/>
                <w:szCs w:val="18"/>
              </w:rPr>
              <w:t>☑️</w:t>
            </w:r>
          </w:p>
        </w:tc>
        <w:tc>
          <w:tcPr>
            <w:tcW w:w="993" w:type="dxa"/>
          </w:tcPr>
          <w:p w14:paraId="2EF83C4A"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Marmot, M. (2020)</w:t>
            </w:r>
          </w:p>
        </w:tc>
        <w:tc>
          <w:tcPr>
            <w:tcW w:w="1535" w:type="dxa"/>
          </w:tcPr>
          <w:p w14:paraId="042DBE00"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 xml:space="preserve">Health Equity in England: The Marmot </w:t>
            </w:r>
            <w:r w:rsidRPr="00C005CE">
              <w:rPr>
                <w:rFonts w:ascii="Arial" w:hAnsi="Arial" w:cs="Arial"/>
                <w:color w:val="000000" w:themeColor="text1"/>
                <w:sz w:val="18"/>
                <w:szCs w:val="18"/>
              </w:rPr>
              <w:lastRenderedPageBreak/>
              <w:t>Review 10 Years On</w:t>
            </w:r>
          </w:p>
        </w:tc>
        <w:tc>
          <w:tcPr>
            <w:tcW w:w="1801" w:type="dxa"/>
          </w:tcPr>
          <w:p w14:paraId="69DEB4AE"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lastRenderedPageBreak/>
              <w:t xml:space="preserve">Analyses effects of austerity on health inequality and </w:t>
            </w:r>
            <w:r w:rsidRPr="00C005CE">
              <w:rPr>
                <w:rFonts w:ascii="Arial" w:hAnsi="Arial" w:cs="Arial"/>
                <w:color w:val="000000" w:themeColor="text1"/>
                <w:sz w:val="18"/>
                <w:szCs w:val="18"/>
              </w:rPr>
              <w:lastRenderedPageBreak/>
              <w:t>social determinants.</w:t>
            </w:r>
          </w:p>
        </w:tc>
        <w:tc>
          <w:tcPr>
            <w:tcW w:w="2078" w:type="dxa"/>
          </w:tcPr>
          <w:p w14:paraId="1FC65745"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lastRenderedPageBreak/>
              <w:t xml:space="preserve">C: 2020; R: high; A: Institute of Health Equity; A: </w:t>
            </w:r>
            <w:r w:rsidRPr="00C005CE">
              <w:rPr>
                <w:rFonts w:ascii="Arial" w:hAnsi="Arial" w:cs="Arial"/>
                <w:color w:val="000000" w:themeColor="text1"/>
                <w:sz w:val="18"/>
                <w:szCs w:val="18"/>
              </w:rPr>
              <w:lastRenderedPageBreak/>
              <w:t>statistical; P: policy reform.</w:t>
            </w:r>
          </w:p>
        </w:tc>
        <w:tc>
          <w:tcPr>
            <w:tcW w:w="4165" w:type="dxa"/>
          </w:tcPr>
          <w:p w14:paraId="170EC6AA"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lastRenderedPageBreak/>
              <w:t>https://www.health.org.uk/publications/reports/the-marmot-review-10-years-on</w:t>
            </w:r>
          </w:p>
        </w:tc>
      </w:tr>
      <w:tr w:rsidR="00901E26" w:rsidRPr="00C005CE" w14:paraId="3CA5EB7C" w14:textId="77777777" w:rsidTr="00D65B71">
        <w:trPr>
          <w:jc w:val="center"/>
        </w:trPr>
        <w:tc>
          <w:tcPr>
            <w:tcW w:w="769" w:type="dxa"/>
          </w:tcPr>
          <w:p w14:paraId="5FD3F9AF"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pple Color Emoji" w:hAnsi="Apple Color Emoji" w:cs="Apple Color Emoji"/>
                <w:color w:val="000000" w:themeColor="text1"/>
                <w:sz w:val="18"/>
                <w:szCs w:val="18"/>
              </w:rPr>
              <w:t>☑️</w:t>
            </w:r>
          </w:p>
        </w:tc>
        <w:tc>
          <w:tcPr>
            <w:tcW w:w="993" w:type="dxa"/>
          </w:tcPr>
          <w:p w14:paraId="621E88F0"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Molina, G. &amp; Whittaker, A. (2022)</w:t>
            </w:r>
          </w:p>
        </w:tc>
        <w:tc>
          <w:tcPr>
            <w:tcW w:w="1535" w:type="dxa"/>
          </w:tcPr>
          <w:p w14:paraId="48783B46"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Treatment of PTSD and substance use disorder in adults with adverse childhood experiences</w:t>
            </w:r>
          </w:p>
        </w:tc>
        <w:tc>
          <w:tcPr>
            <w:tcW w:w="1801" w:type="dxa"/>
          </w:tcPr>
          <w:p w14:paraId="4786CF56"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Systematic review linking trauma and substance misuse.</w:t>
            </w:r>
          </w:p>
        </w:tc>
        <w:tc>
          <w:tcPr>
            <w:tcW w:w="2078" w:type="dxa"/>
          </w:tcPr>
          <w:p w14:paraId="19CCE718"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C: 2022; R: high; A: Drug &amp; Alcohol Dependence Reports; A: peer-reviewed; P: academic.</w:t>
            </w:r>
          </w:p>
        </w:tc>
        <w:tc>
          <w:tcPr>
            <w:tcW w:w="4165" w:type="dxa"/>
          </w:tcPr>
          <w:p w14:paraId="64CA36D1"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https://doi.org/10.1016/j.dadr.2022.100028</w:t>
            </w:r>
          </w:p>
        </w:tc>
      </w:tr>
      <w:tr w:rsidR="00901E26" w:rsidRPr="00C005CE" w14:paraId="345B2DF5" w14:textId="77777777" w:rsidTr="00D65B71">
        <w:trPr>
          <w:jc w:val="center"/>
        </w:trPr>
        <w:tc>
          <w:tcPr>
            <w:tcW w:w="769" w:type="dxa"/>
          </w:tcPr>
          <w:p w14:paraId="4447BBAE"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pple Color Emoji" w:hAnsi="Apple Color Emoji" w:cs="Apple Color Emoji"/>
                <w:color w:val="000000" w:themeColor="text1"/>
                <w:sz w:val="18"/>
                <w:szCs w:val="18"/>
              </w:rPr>
              <w:t>☑️</w:t>
            </w:r>
          </w:p>
        </w:tc>
        <w:tc>
          <w:tcPr>
            <w:tcW w:w="993" w:type="dxa"/>
          </w:tcPr>
          <w:p w14:paraId="0EF7CE91"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Pierce, M. et al. (2020)</w:t>
            </w:r>
          </w:p>
        </w:tc>
        <w:tc>
          <w:tcPr>
            <w:tcW w:w="1535" w:type="dxa"/>
          </w:tcPr>
          <w:p w14:paraId="53BC47AC"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Mental health before and during the COVID-19 pandemic</w:t>
            </w:r>
          </w:p>
        </w:tc>
        <w:tc>
          <w:tcPr>
            <w:tcW w:w="1801" w:type="dxa"/>
          </w:tcPr>
          <w:p w14:paraId="791677C2"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Longitudinal UK survey on population mental health trends.</w:t>
            </w:r>
          </w:p>
        </w:tc>
        <w:tc>
          <w:tcPr>
            <w:tcW w:w="2078" w:type="dxa"/>
          </w:tcPr>
          <w:p w14:paraId="6DFD4B5B"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C: 2020; R: strong; A: The Lancet Psychiatry; A: high; P: academic.</w:t>
            </w:r>
          </w:p>
        </w:tc>
        <w:tc>
          <w:tcPr>
            <w:tcW w:w="4165" w:type="dxa"/>
          </w:tcPr>
          <w:p w14:paraId="2940C1E5"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https://doi.org/10.1016/S2215-0366(20)30308-4</w:t>
            </w:r>
          </w:p>
        </w:tc>
      </w:tr>
      <w:tr w:rsidR="00901E26" w:rsidRPr="00C005CE" w14:paraId="019EE6DE" w14:textId="77777777" w:rsidTr="00D65B71">
        <w:trPr>
          <w:jc w:val="center"/>
        </w:trPr>
        <w:tc>
          <w:tcPr>
            <w:tcW w:w="769" w:type="dxa"/>
          </w:tcPr>
          <w:p w14:paraId="28FED996"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pple Color Emoji" w:hAnsi="Apple Color Emoji" w:cs="Apple Color Emoji"/>
                <w:color w:val="000000" w:themeColor="text1"/>
                <w:sz w:val="18"/>
                <w:szCs w:val="18"/>
              </w:rPr>
              <w:t>☑️</w:t>
            </w:r>
          </w:p>
        </w:tc>
        <w:tc>
          <w:tcPr>
            <w:tcW w:w="993" w:type="dxa"/>
          </w:tcPr>
          <w:p w14:paraId="53EE1134"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NHS Digital (2023)</w:t>
            </w:r>
          </w:p>
        </w:tc>
        <w:tc>
          <w:tcPr>
            <w:tcW w:w="1535" w:type="dxa"/>
          </w:tcPr>
          <w:p w14:paraId="6F16DD31"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Adult Substance Misuse Treatment Statistics 2022–23</w:t>
            </w:r>
          </w:p>
        </w:tc>
        <w:tc>
          <w:tcPr>
            <w:tcW w:w="1801" w:type="dxa"/>
          </w:tcPr>
          <w:p w14:paraId="5B3090D1"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National dataset on treatment engagement and demographic trends.</w:t>
            </w:r>
          </w:p>
        </w:tc>
        <w:tc>
          <w:tcPr>
            <w:tcW w:w="2078" w:type="dxa"/>
          </w:tcPr>
          <w:p w14:paraId="7130910B"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C: 2023; R: high; A: NHS Digital; A: government data; P: public reporting.</w:t>
            </w:r>
          </w:p>
        </w:tc>
        <w:tc>
          <w:tcPr>
            <w:tcW w:w="4165" w:type="dxa"/>
          </w:tcPr>
          <w:p w14:paraId="6F393B25"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https://digital.nhs.uk/data-and-information/publications</w:t>
            </w:r>
          </w:p>
        </w:tc>
      </w:tr>
      <w:tr w:rsidR="00901E26" w:rsidRPr="00C005CE" w14:paraId="48BDD626" w14:textId="77777777" w:rsidTr="00D65B71">
        <w:trPr>
          <w:jc w:val="center"/>
        </w:trPr>
        <w:tc>
          <w:tcPr>
            <w:tcW w:w="769" w:type="dxa"/>
          </w:tcPr>
          <w:p w14:paraId="480B7FD4"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pple Color Emoji" w:hAnsi="Apple Color Emoji" w:cs="Apple Color Emoji"/>
                <w:color w:val="000000" w:themeColor="text1"/>
                <w:sz w:val="18"/>
                <w:szCs w:val="18"/>
              </w:rPr>
              <w:t>☑️</w:t>
            </w:r>
          </w:p>
        </w:tc>
        <w:tc>
          <w:tcPr>
            <w:tcW w:w="993" w:type="dxa"/>
          </w:tcPr>
          <w:p w14:paraId="7C33D628"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ONS (2022)</w:t>
            </w:r>
          </w:p>
        </w:tc>
        <w:tc>
          <w:tcPr>
            <w:tcW w:w="1535" w:type="dxa"/>
          </w:tcPr>
          <w:p w14:paraId="6BABC8A5"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Drug Misuse in England and Wales: Year Ending June 2022</w:t>
            </w:r>
          </w:p>
        </w:tc>
        <w:tc>
          <w:tcPr>
            <w:tcW w:w="1801" w:type="dxa"/>
          </w:tcPr>
          <w:p w14:paraId="383D558E"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Statistical analysis of national drug-use patterns.</w:t>
            </w:r>
          </w:p>
        </w:tc>
        <w:tc>
          <w:tcPr>
            <w:tcW w:w="2078" w:type="dxa"/>
          </w:tcPr>
          <w:p w14:paraId="24080CEB"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C: 2022; R: high; A: ONS; A: verified; P: informational.</w:t>
            </w:r>
          </w:p>
        </w:tc>
        <w:tc>
          <w:tcPr>
            <w:tcW w:w="4165" w:type="dxa"/>
          </w:tcPr>
          <w:p w14:paraId="63E44F29"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https://www.ons.gov.uk/peoplepopulationandcommunity</w:t>
            </w:r>
          </w:p>
        </w:tc>
      </w:tr>
      <w:tr w:rsidR="00901E26" w:rsidRPr="00C005CE" w14:paraId="551B0E88" w14:textId="77777777" w:rsidTr="00D65B71">
        <w:trPr>
          <w:jc w:val="center"/>
        </w:trPr>
        <w:tc>
          <w:tcPr>
            <w:tcW w:w="769" w:type="dxa"/>
          </w:tcPr>
          <w:p w14:paraId="35CD4C1E"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pple Color Emoji" w:hAnsi="Apple Color Emoji" w:cs="Apple Color Emoji"/>
                <w:color w:val="000000" w:themeColor="text1"/>
                <w:sz w:val="18"/>
                <w:szCs w:val="18"/>
              </w:rPr>
              <w:t>☑️</w:t>
            </w:r>
          </w:p>
        </w:tc>
        <w:tc>
          <w:tcPr>
            <w:tcW w:w="993" w:type="dxa"/>
          </w:tcPr>
          <w:p w14:paraId="1FEDEC59"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Mind (2022)</w:t>
            </w:r>
          </w:p>
        </w:tc>
        <w:tc>
          <w:tcPr>
            <w:tcW w:w="1535" w:type="dxa"/>
          </w:tcPr>
          <w:p w14:paraId="0590D6D2"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Mental Health in the Pandemic: Inequality and Recovery</w:t>
            </w:r>
          </w:p>
        </w:tc>
        <w:tc>
          <w:tcPr>
            <w:tcW w:w="1801" w:type="dxa"/>
          </w:tcPr>
          <w:p w14:paraId="208DEA84"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NGO report documenting service barriers and lived experiences.</w:t>
            </w:r>
          </w:p>
        </w:tc>
        <w:tc>
          <w:tcPr>
            <w:tcW w:w="2078" w:type="dxa"/>
          </w:tcPr>
          <w:p w14:paraId="7F6A9494"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C: 2022; R: strong; A: Mind; A: qualitative; P: advocacy.</w:t>
            </w:r>
          </w:p>
        </w:tc>
        <w:tc>
          <w:tcPr>
            <w:tcW w:w="4165" w:type="dxa"/>
          </w:tcPr>
          <w:p w14:paraId="36D2EEAC" w14:textId="77777777" w:rsidR="00E93FB4" w:rsidRPr="00C005CE" w:rsidRDefault="00E93FB4" w:rsidP="00C005CE">
            <w:pPr>
              <w:spacing w:line="360" w:lineRule="auto"/>
              <w:rPr>
                <w:rFonts w:ascii="Arial" w:hAnsi="Arial" w:cs="Arial"/>
                <w:color w:val="000000" w:themeColor="text1"/>
                <w:sz w:val="18"/>
                <w:szCs w:val="18"/>
              </w:rPr>
            </w:pPr>
            <w:r w:rsidRPr="00C005CE">
              <w:rPr>
                <w:rFonts w:ascii="Arial" w:hAnsi="Arial" w:cs="Arial"/>
                <w:color w:val="000000" w:themeColor="text1"/>
                <w:sz w:val="18"/>
                <w:szCs w:val="18"/>
              </w:rPr>
              <w:t>https://www.mind.org.uk</w:t>
            </w:r>
          </w:p>
        </w:tc>
      </w:tr>
      <w:tr w:rsidR="00901E26" w:rsidRPr="00C005CE" w14:paraId="272E5F37" w14:textId="77777777" w:rsidTr="00D65B71">
        <w:trPr>
          <w:jc w:val="center"/>
        </w:trPr>
        <w:tc>
          <w:tcPr>
            <w:tcW w:w="769" w:type="dxa"/>
          </w:tcPr>
          <w:p w14:paraId="0A094D47" w14:textId="77777777" w:rsidR="00E93FB4" w:rsidRPr="00C005CE" w:rsidRDefault="00E93FB4" w:rsidP="00C005CE">
            <w:pPr>
              <w:spacing w:line="360" w:lineRule="auto"/>
              <w:rPr>
                <w:rFonts w:ascii="Arial" w:hAnsi="Arial" w:cs="Arial"/>
                <w:color w:val="000000" w:themeColor="text1"/>
                <w:sz w:val="20"/>
                <w:szCs w:val="20"/>
              </w:rPr>
            </w:pPr>
            <w:r w:rsidRPr="00C005CE">
              <w:rPr>
                <w:rFonts w:ascii="Apple Color Emoji" w:hAnsi="Apple Color Emoji" w:cs="Apple Color Emoji"/>
                <w:color w:val="000000" w:themeColor="text1"/>
                <w:sz w:val="20"/>
                <w:szCs w:val="20"/>
              </w:rPr>
              <w:t>☑️</w:t>
            </w:r>
          </w:p>
        </w:tc>
        <w:tc>
          <w:tcPr>
            <w:tcW w:w="993" w:type="dxa"/>
          </w:tcPr>
          <w:p w14:paraId="21E6566A" w14:textId="77777777" w:rsidR="00E93FB4" w:rsidRPr="00C005CE" w:rsidRDefault="00E93FB4"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Public Health England (2021)</w:t>
            </w:r>
          </w:p>
        </w:tc>
        <w:tc>
          <w:tcPr>
            <w:tcW w:w="1535" w:type="dxa"/>
          </w:tcPr>
          <w:p w14:paraId="1C8DEE23" w14:textId="77777777" w:rsidR="00E93FB4" w:rsidRPr="00C005CE" w:rsidRDefault="00E93FB4"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Adult Substance Misuse Treatment Statistics 2020–21</w:t>
            </w:r>
          </w:p>
        </w:tc>
        <w:tc>
          <w:tcPr>
            <w:tcW w:w="1801" w:type="dxa"/>
          </w:tcPr>
          <w:p w14:paraId="0BF56F16" w14:textId="77777777" w:rsidR="00E93FB4" w:rsidRPr="00C005CE" w:rsidRDefault="00E93FB4"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Comprehensive annual report on drug/alcohol services.</w:t>
            </w:r>
          </w:p>
        </w:tc>
        <w:tc>
          <w:tcPr>
            <w:tcW w:w="2078" w:type="dxa"/>
          </w:tcPr>
          <w:p w14:paraId="61B36593" w14:textId="77777777" w:rsidR="00E93FB4" w:rsidRPr="00C005CE" w:rsidRDefault="00E93FB4"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C: 2021; R: high; A: PHE; A: official data; P: public health.</w:t>
            </w:r>
          </w:p>
        </w:tc>
        <w:tc>
          <w:tcPr>
            <w:tcW w:w="4165" w:type="dxa"/>
          </w:tcPr>
          <w:p w14:paraId="3A4C964A" w14:textId="77777777" w:rsidR="00E93FB4" w:rsidRPr="00C005CE" w:rsidRDefault="00E93FB4"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https://www.gov.uk/government/collections/alcohol-and-drug-misuse-and-treatment-statistics</w:t>
            </w:r>
          </w:p>
        </w:tc>
      </w:tr>
    </w:tbl>
    <w:p w14:paraId="39077BA6" w14:textId="77777777" w:rsidR="00E93FB4" w:rsidRPr="00C005CE" w:rsidRDefault="00E93FB4" w:rsidP="00C005CE">
      <w:pPr>
        <w:spacing w:line="360" w:lineRule="auto"/>
        <w:rPr>
          <w:rFonts w:ascii="Arial" w:hAnsi="Arial" w:cs="Arial"/>
          <w:color w:val="000000" w:themeColor="text1"/>
          <w:sz w:val="20"/>
          <w:szCs w:val="20"/>
        </w:rPr>
      </w:pPr>
    </w:p>
    <w:p w14:paraId="74E8D553" w14:textId="1533717E" w:rsidR="00E93FB4" w:rsidRPr="00C005CE" w:rsidRDefault="00E93FB4" w:rsidP="00C005CE">
      <w:pPr>
        <w:spacing w:line="360" w:lineRule="auto"/>
        <w:jc w:val="center"/>
        <w:rPr>
          <w:rFonts w:ascii="Arial" w:hAnsi="Arial" w:cs="Arial"/>
          <w:color w:val="000000" w:themeColor="text1"/>
          <w:sz w:val="20"/>
          <w:szCs w:val="20"/>
        </w:rPr>
      </w:pPr>
    </w:p>
    <w:p w14:paraId="71959D3A" w14:textId="13BDAB97" w:rsidR="006B3A77" w:rsidRPr="00C005CE" w:rsidRDefault="006B3A77" w:rsidP="00C005CE">
      <w:pPr>
        <w:spacing w:line="360" w:lineRule="auto"/>
        <w:jc w:val="center"/>
        <w:rPr>
          <w:rFonts w:ascii="Arial" w:hAnsi="Arial" w:cs="Arial"/>
          <w:color w:val="000000" w:themeColor="text1"/>
          <w:sz w:val="20"/>
          <w:szCs w:val="20"/>
        </w:rPr>
      </w:pPr>
    </w:p>
    <w:p w14:paraId="3338E437" w14:textId="77777777" w:rsidR="00E47702" w:rsidRPr="00C005CE" w:rsidRDefault="00E47702" w:rsidP="00C005CE">
      <w:pPr>
        <w:spacing w:line="360" w:lineRule="auto"/>
        <w:rPr>
          <w:rFonts w:ascii="Arial" w:hAnsi="Arial" w:cs="Arial"/>
          <w:color w:val="000000" w:themeColor="text1"/>
          <w:sz w:val="20"/>
          <w:szCs w:val="20"/>
        </w:rPr>
      </w:pPr>
    </w:p>
    <w:p w14:paraId="685903C2" w14:textId="77777777" w:rsidR="00C005CE" w:rsidRPr="00C005CE" w:rsidRDefault="00C005CE" w:rsidP="00C005CE">
      <w:pPr>
        <w:spacing w:line="360" w:lineRule="auto"/>
        <w:jc w:val="center"/>
        <w:rPr>
          <w:rFonts w:ascii="Arial" w:hAnsi="Arial" w:cs="Arial"/>
          <w:color w:val="000000" w:themeColor="text1"/>
          <w:sz w:val="20"/>
          <w:szCs w:val="20"/>
        </w:rPr>
      </w:pPr>
    </w:p>
    <w:p w14:paraId="411F5EA9" w14:textId="5C1463B8" w:rsidR="006B3A77" w:rsidRPr="00C005CE" w:rsidRDefault="00C005CE" w:rsidP="00C005CE">
      <w:pPr>
        <w:pStyle w:val="Heading2"/>
      </w:pPr>
      <w:bookmarkStart w:id="91" w:name="_Toc215043432"/>
      <w:r w:rsidRPr="00C005CE">
        <w:lastRenderedPageBreak/>
        <w:t xml:space="preserve">Appendix C: </w:t>
      </w:r>
      <w:r w:rsidR="006B3A77" w:rsidRPr="00C005CE">
        <w:t>Summary of Key Findings &amp; Recommendations</w:t>
      </w:r>
      <w:bookmarkEnd w:id="91"/>
    </w:p>
    <w:p w14:paraId="622ED5E8" w14:textId="77777777" w:rsidR="00C005CE" w:rsidRPr="00C005CE" w:rsidRDefault="00C005CE" w:rsidP="00C005CE">
      <w:pPr>
        <w:rPr>
          <w:sz w:val="20"/>
          <w:szCs w:val="20"/>
        </w:rPr>
      </w:pPr>
    </w:p>
    <w:tbl>
      <w:tblPr>
        <w:tblStyle w:val="TableGridLight"/>
        <w:tblW w:w="11058" w:type="dxa"/>
        <w:tblInd w:w="-998" w:type="dxa"/>
        <w:tblLook w:val="04A0" w:firstRow="1" w:lastRow="0" w:firstColumn="1" w:lastColumn="0" w:noHBand="0" w:noVBand="1"/>
      </w:tblPr>
      <w:tblGrid>
        <w:gridCol w:w="2758"/>
        <w:gridCol w:w="2793"/>
        <w:gridCol w:w="1764"/>
        <w:gridCol w:w="3743"/>
      </w:tblGrid>
      <w:tr w:rsidR="006B3A77" w:rsidRPr="00C005CE" w14:paraId="5F0F1D5A" w14:textId="77777777" w:rsidTr="009526E9">
        <w:tc>
          <w:tcPr>
            <w:tcW w:w="2758" w:type="dxa"/>
            <w:hideMark/>
          </w:tcPr>
          <w:p w14:paraId="6B7F4B10"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Theme / Key Finding</w:t>
            </w:r>
          </w:p>
        </w:tc>
        <w:tc>
          <w:tcPr>
            <w:tcW w:w="0" w:type="auto"/>
            <w:hideMark/>
          </w:tcPr>
          <w:p w14:paraId="0D6FA492"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Summary Insight</w:t>
            </w:r>
          </w:p>
        </w:tc>
        <w:tc>
          <w:tcPr>
            <w:tcW w:w="0" w:type="auto"/>
            <w:hideMark/>
          </w:tcPr>
          <w:p w14:paraId="0F091CFB"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Supporting Evidence (Key Authors)</w:t>
            </w:r>
          </w:p>
        </w:tc>
        <w:tc>
          <w:tcPr>
            <w:tcW w:w="3743" w:type="dxa"/>
            <w:hideMark/>
          </w:tcPr>
          <w:p w14:paraId="6BA9758A"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Practical / Policy Recommendation</w:t>
            </w:r>
          </w:p>
        </w:tc>
      </w:tr>
      <w:tr w:rsidR="006B3A77" w:rsidRPr="00C005CE" w14:paraId="2E640D72" w14:textId="77777777" w:rsidTr="009526E9">
        <w:tc>
          <w:tcPr>
            <w:tcW w:w="2758" w:type="dxa"/>
            <w:hideMark/>
          </w:tcPr>
          <w:p w14:paraId="61E5E707"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1. Low-Income Status &amp; Substance Misuse</w:t>
            </w:r>
          </w:p>
        </w:tc>
        <w:tc>
          <w:tcPr>
            <w:tcW w:w="0" w:type="auto"/>
            <w:hideMark/>
          </w:tcPr>
          <w:p w14:paraId="4BDCCF82"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Poverty, unemployment, and housing insecurity drive substance misuse; addiction deepens deprivation.</w:t>
            </w:r>
          </w:p>
        </w:tc>
        <w:tc>
          <w:tcPr>
            <w:tcW w:w="0" w:type="auto"/>
            <w:hideMark/>
          </w:tcPr>
          <w:p w14:paraId="71119181"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Marmot (2020); Black (2021); ONS (2023)</w:t>
            </w:r>
          </w:p>
        </w:tc>
        <w:tc>
          <w:tcPr>
            <w:tcW w:w="3743" w:type="dxa"/>
            <w:hideMark/>
          </w:tcPr>
          <w:p w14:paraId="4A07F58D"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Integrate socioeconomic support (housing, employment) into addiction services.</w:t>
            </w:r>
          </w:p>
        </w:tc>
      </w:tr>
      <w:tr w:rsidR="006B3A77" w:rsidRPr="00C005CE" w14:paraId="3C94B21D" w14:textId="77777777" w:rsidTr="009526E9">
        <w:tc>
          <w:tcPr>
            <w:tcW w:w="2758" w:type="dxa"/>
            <w:hideMark/>
          </w:tcPr>
          <w:p w14:paraId="4F64A57B"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2. Untreated Mental Health &amp; Dual Diagnosis</w:t>
            </w:r>
          </w:p>
        </w:tc>
        <w:tc>
          <w:tcPr>
            <w:tcW w:w="0" w:type="auto"/>
            <w:hideMark/>
          </w:tcPr>
          <w:p w14:paraId="632D3C11"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Mental illness and substance misuse are interlinked; lack of integrated care worsens both.</w:t>
            </w:r>
          </w:p>
        </w:tc>
        <w:tc>
          <w:tcPr>
            <w:tcW w:w="0" w:type="auto"/>
            <w:hideMark/>
          </w:tcPr>
          <w:p w14:paraId="596656F4"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NICE (2022); Molina &amp; Whittaker (2022); Mind (2022)</w:t>
            </w:r>
          </w:p>
        </w:tc>
        <w:tc>
          <w:tcPr>
            <w:tcW w:w="3743" w:type="dxa"/>
            <w:hideMark/>
          </w:tcPr>
          <w:p w14:paraId="4622B55E"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Create unified mental health and addiction treatment pathways.</w:t>
            </w:r>
          </w:p>
        </w:tc>
      </w:tr>
      <w:tr w:rsidR="006B3A77" w:rsidRPr="00C005CE" w14:paraId="6BF186D2" w14:textId="77777777" w:rsidTr="009526E9">
        <w:tc>
          <w:tcPr>
            <w:tcW w:w="2758" w:type="dxa"/>
            <w:hideMark/>
          </w:tcPr>
          <w:p w14:paraId="2F81C9A5"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3. Barriers to Access &amp; Service Inequality</w:t>
            </w:r>
          </w:p>
        </w:tc>
        <w:tc>
          <w:tcPr>
            <w:tcW w:w="0" w:type="auto"/>
            <w:hideMark/>
          </w:tcPr>
          <w:p w14:paraId="212180E1"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Cost, stigma, and geography limit access to services in deprived areas.</w:t>
            </w:r>
          </w:p>
        </w:tc>
        <w:tc>
          <w:tcPr>
            <w:tcW w:w="0" w:type="auto"/>
            <w:hideMark/>
          </w:tcPr>
          <w:p w14:paraId="1D5A0B96"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Hart (1971); NHS Digital (2023); PHE (2021)</w:t>
            </w:r>
          </w:p>
        </w:tc>
        <w:tc>
          <w:tcPr>
            <w:tcW w:w="3743" w:type="dxa"/>
            <w:hideMark/>
          </w:tcPr>
          <w:p w14:paraId="227B36C9"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Target funding to high-need regions; expand outreach services.</w:t>
            </w:r>
          </w:p>
        </w:tc>
      </w:tr>
      <w:tr w:rsidR="006B3A77" w:rsidRPr="00C005CE" w14:paraId="16DA40B3" w14:textId="77777777" w:rsidTr="009526E9">
        <w:tc>
          <w:tcPr>
            <w:tcW w:w="2758" w:type="dxa"/>
            <w:hideMark/>
          </w:tcPr>
          <w:p w14:paraId="2BCE2345"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4. Policy &amp; Legislation</w:t>
            </w:r>
          </w:p>
        </w:tc>
        <w:tc>
          <w:tcPr>
            <w:tcW w:w="0" w:type="auto"/>
            <w:hideMark/>
          </w:tcPr>
          <w:p w14:paraId="1E2BE702"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 xml:space="preserve">UK strategies focus too heavily on enforcement; prevention and equity </w:t>
            </w:r>
            <w:proofErr w:type="gramStart"/>
            <w:r w:rsidRPr="00C005CE">
              <w:rPr>
                <w:rFonts w:ascii="Arial" w:hAnsi="Arial" w:cs="Arial"/>
                <w:color w:val="000000" w:themeColor="text1"/>
                <w:sz w:val="20"/>
                <w:szCs w:val="20"/>
              </w:rPr>
              <w:t>lag behind</w:t>
            </w:r>
            <w:proofErr w:type="gramEnd"/>
            <w:r w:rsidRPr="00C005CE">
              <w:rPr>
                <w:rFonts w:ascii="Arial" w:hAnsi="Arial" w:cs="Arial"/>
                <w:color w:val="000000" w:themeColor="text1"/>
                <w:sz w:val="20"/>
                <w:szCs w:val="20"/>
              </w:rPr>
              <w:t>.</w:t>
            </w:r>
          </w:p>
        </w:tc>
        <w:tc>
          <w:tcPr>
            <w:tcW w:w="0" w:type="auto"/>
            <w:hideMark/>
          </w:tcPr>
          <w:p w14:paraId="154A0282"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Black (2021); UK Drug Strategy (2021); WHO (2022)</w:t>
            </w:r>
          </w:p>
        </w:tc>
        <w:tc>
          <w:tcPr>
            <w:tcW w:w="3743" w:type="dxa"/>
            <w:hideMark/>
          </w:tcPr>
          <w:p w14:paraId="534EF357"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Shift national policy toward harm reduction and prevention.</w:t>
            </w:r>
          </w:p>
        </w:tc>
      </w:tr>
      <w:tr w:rsidR="006B3A77" w:rsidRPr="00C005CE" w14:paraId="06A097C3" w14:textId="77777777" w:rsidTr="009526E9">
        <w:tc>
          <w:tcPr>
            <w:tcW w:w="2758" w:type="dxa"/>
            <w:hideMark/>
          </w:tcPr>
          <w:p w14:paraId="4DF0E2AD"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5. COVID-19 &amp; Social Inequality</w:t>
            </w:r>
          </w:p>
        </w:tc>
        <w:tc>
          <w:tcPr>
            <w:tcW w:w="0" w:type="auto"/>
            <w:hideMark/>
          </w:tcPr>
          <w:p w14:paraId="2D34E3E9"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The pandemic worsened mental health, substance use, and service access among low-income groups.</w:t>
            </w:r>
          </w:p>
        </w:tc>
        <w:tc>
          <w:tcPr>
            <w:tcW w:w="0" w:type="auto"/>
            <w:hideMark/>
          </w:tcPr>
          <w:p w14:paraId="61182C0C"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Pierce et al. (2020); Kwong et al. (2020)</w:t>
            </w:r>
          </w:p>
        </w:tc>
        <w:tc>
          <w:tcPr>
            <w:tcW w:w="3743" w:type="dxa"/>
            <w:hideMark/>
          </w:tcPr>
          <w:p w14:paraId="775EB05B"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Strengthen post-pandemic mental health funding and community recovery.</w:t>
            </w:r>
          </w:p>
        </w:tc>
      </w:tr>
    </w:tbl>
    <w:p w14:paraId="59EABB53" w14:textId="293B07F7" w:rsidR="006B3A77" w:rsidRPr="00C005CE" w:rsidRDefault="006B3A77" w:rsidP="00C005CE">
      <w:pPr>
        <w:spacing w:line="360" w:lineRule="auto"/>
        <w:rPr>
          <w:rFonts w:ascii="Arial" w:hAnsi="Arial" w:cs="Arial"/>
          <w:sz w:val="20"/>
          <w:szCs w:val="20"/>
        </w:rPr>
      </w:pPr>
    </w:p>
    <w:p w14:paraId="58AD5BAE" w14:textId="33A1C3F0" w:rsidR="00833777" w:rsidRPr="00C005CE" w:rsidRDefault="00833777" w:rsidP="00C005CE">
      <w:pPr>
        <w:spacing w:line="360" w:lineRule="auto"/>
        <w:rPr>
          <w:rFonts w:ascii="Arial" w:hAnsi="Arial" w:cs="Arial"/>
          <w:sz w:val="20"/>
          <w:szCs w:val="20"/>
        </w:rPr>
      </w:pPr>
    </w:p>
    <w:p w14:paraId="0580C7C0" w14:textId="77777777" w:rsidR="00833777" w:rsidRPr="00C005CE" w:rsidRDefault="00833777" w:rsidP="00C005CE">
      <w:pPr>
        <w:pStyle w:val="Heading2"/>
        <w:spacing w:line="360" w:lineRule="auto"/>
        <w:rPr>
          <w:rFonts w:cs="Arial"/>
          <w:bCs w:val="0"/>
          <w:sz w:val="20"/>
          <w:szCs w:val="20"/>
        </w:rPr>
      </w:pPr>
      <w:bookmarkStart w:id="92" w:name="_Toc215043433"/>
      <w:r w:rsidRPr="00C005CE">
        <w:rPr>
          <w:rFonts w:cs="Arial"/>
          <w:bCs w:val="0"/>
          <w:sz w:val="20"/>
          <w:szCs w:val="20"/>
        </w:rPr>
        <w:t>smaller table summarises action priorities</w:t>
      </w:r>
      <w:bookmarkEnd w:id="92"/>
    </w:p>
    <w:p w14:paraId="556B03E2" w14:textId="77777777" w:rsidR="00833777" w:rsidRPr="00C005CE" w:rsidRDefault="00833777" w:rsidP="00C005CE">
      <w:pPr>
        <w:spacing w:line="360" w:lineRule="auto"/>
        <w:rPr>
          <w:rFonts w:ascii="Arial" w:hAnsi="Arial" w:cs="Arial"/>
          <w:sz w:val="20"/>
          <w:szCs w:val="20"/>
        </w:rPr>
      </w:pPr>
    </w:p>
    <w:tbl>
      <w:tblPr>
        <w:tblStyle w:val="TableGridLight"/>
        <w:tblW w:w="11058" w:type="dxa"/>
        <w:tblInd w:w="-998" w:type="dxa"/>
        <w:tblLook w:val="04A0" w:firstRow="1" w:lastRow="0" w:firstColumn="1" w:lastColumn="0" w:noHBand="0" w:noVBand="1"/>
      </w:tblPr>
      <w:tblGrid>
        <w:gridCol w:w="2441"/>
        <w:gridCol w:w="2871"/>
        <w:gridCol w:w="5746"/>
      </w:tblGrid>
      <w:tr w:rsidR="006B3A77" w:rsidRPr="00C005CE" w14:paraId="054C03CB" w14:textId="77777777" w:rsidTr="009526E9">
        <w:tc>
          <w:tcPr>
            <w:tcW w:w="2441" w:type="dxa"/>
            <w:hideMark/>
          </w:tcPr>
          <w:p w14:paraId="1D2154CB" w14:textId="4102E89F"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Level</w:t>
            </w:r>
          </w:p>
        </w:tc>
        <w:tc>
          <w:tcPr>
            <w:tcW w:w="0" w:type="auto"/>
            <w:hideMark/>
          </w:tcPr>
          <w:p w14:paraId="22BEA9F8"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Key Action</w:t>
            </w:r>
          </w:p>
        </w:tc>
        <w:tc>
          <w:tcPr>
            <w:tcW w:w="5746" w:type="dxa"/>
            <w:hideMark/>
          </w:tcPr>
          <w:p w14:paraId="078B47BE"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Example Implementation</w:t>
            </w:r>
          </w:p>
        </w:tc>
      </w:tr>
      <w:tr w:rsidR="006B3A77" w:rsidRPr="00C005CE" w14:paraId="72F7D6B6" w14:textId="77777777" w:rsidTr="009526E9">
        <w:tc>
          <w:tcPr>
            <w:tcW w:w="2441" w:type="dxa"/>
            <w:hideMark/>
          </w:tcPr>
          <w:p w14:paraId="503A25F6"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Policy</w:t>
            </w:r>
          </w:p>
        </w:tc>
        <w:tc>
          <w:tcPr>
            <w:tcW w:w="0" w:type="auto"/>
            <w:hideMark/>
          </w:tcPr>
          <w:p w14:paraId="61CF3671"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Tackle poverty as a public health crisis</w:t>
            </w:r>
          </w:p>
        </w:tc>
        <w:tc>
          <w:tcPr>
            <w:tcW w:w="5746" w:type="dxa"/>
            <w:hideMark/>
          </w:tcPr>
          <w:p w14:paraId="6568725A"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Expand housing support, raise minimum wage, increase benefits</w:t>
            </w:r>
          </w:p>
        </w:tc>
      </w:tr>
      <w:tr w:rsidR="006B3A77" w:rsidRPr="00C005CE" w14:paraId="5F35768C" w14:textId="77777777" w:rsidTr="009526E9">
        <w:tc>
          <w:tcPr>
            <w:tcW w:w="2441" w:type="dxa"/>
            <w:hideMark/>
          </w:tcPr>
          <w:p w14:paraId="28F4F32A"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Service</w:t>
            </w:r>
          </w:p>
        </w:tc>
        <w:tc>
          <w:tcPr>
            <w:tcW w:w="0" w:type="auto"/>
            <w:hideMark/>
          </w:tcPr>
          <w:p w14:paraId="58214D3A"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Integrate dual diagnosis treatment</w:t>
            </w:r>
          </w:p>
        </w:tc>
        <w:tc>
          <w:tcPr>
            <w:tcW w:w="5746" w:type="dxa"/>
            <w:hideMark/>
          </w:tcPr>
          <w:p w14:paraId="109C820A"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NHS trusts co-fund mental health &amp; addiction teams</w:t>
            </w:r>
          </w:p>
        </w:tc>
      </w:tr>
      <w:tr w:rsidR="006B3A77" w:rsidRPr="00C005CE" w14:paraId="6E82A70C" w14:textId="77777777" w:rsidTr="009526E9">
        <w:tc>
          <w:tcPr>
            <w:tcW w:w="2441" w:type="dxa"/>
            <w:hideMark/>
          </w:tcPr>
          <w:p w14:paraId="2111CC8D"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Community</w:t>
            </w:r>
          </w:p>
        </w:tc>
        <w:tc>
          <w:tcPr>
            <w:tcW w:w="0" w:type="auto"/>
            <w:hideMark/>
          </w:tcPr>
          <w:p w14:paraId="42E10215"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Reduce stigma and improve engagement</w:t>
            </w:r>
          </w:p>
        </w:tc>
        <w:tc>
          <w:tcPr>
            <w:tcW w:w="5746" w:type="dxa"/>
            <w:hideMark/>
          </w:tcPr>
          <w:p w14:paraId="4D19B6B2"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Peer mentors and public education campaigns</w:t>
            </w:r>
          </w:p>
        </w:tc>
      </w:tr>
      <w:tr w:rsidR="006B3A77" w:rsidRPr="00C005CE" w14:paraId="33291DB6" w14:textId="77777777" w:rsidTr="009526E9">
        <w:tc>
          <w:tcPr>
            <w:tcW w:w="2441" w:type="dxa"/>
            <w:hideMark/>
          </w:tcPr>
          <w:p w14:paraId="254F7624"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Research</w:t>
            </w:r>
          </w:p>
        </w:tc>
        <w:tc>
          <w:tcPr>
            <w:tcW w:w="0" w:type="auto"/>
            <w:hideMark/>
          </w:tcPr>
          <w:p w14:paraId="74740370"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Evaluate integrated service models</w:t>
            </w:r>
          </w:p>
        </w:tc>
        <w:tc>
          <w:tcPr>
            <w:tcW w:w="5746" w:type="dxa"/>
            <w:hideMark/>
          </w:tcPr>
          <w:p w14:paraId="21B4E104" w14:textId="77777777" w:rsidR="006B3A77" w:rsidRPr="00C005CE" w:rsidRDefault="006B3A77" w:rsidP="00C005CE">
            <w:pPr>
              <w:spacing w:line="360" w:lineRule="auto"/>
              <w:rPr>
                <w:rFonts w:ascii="Arial" w:hAnsi="Arial" w:cs="Arial"/>
                <w:color w:val="000000" w:themeColor="text1"/>
                <w:sz w:val="20"/>
                <w:szCs w:val="20"/>
              </w:rPr>
            </w:pPr>
            <w:r w:rsidRPr="00C005CE">
              <w:rPr>
                <w:rFonts w:ascii="Arial" w:hAnsi="Arial" w:cs="Arial"/>
                <w:color w:val="000000" w:themeColor="text1"/>
                <w:sz w:val="20"/>
                <w:szCs w:val="20"/>
              </w:rPr>
              <w:t>Longitudinal UK studies on health inequalities</w:t>
            </w:r>
          </w:p>
        </w:tc>
      </w:tr>
    </w:tbl>
    <w:p w14:paraId="149141E1" w14:textId="77777777" w:rsidR="006B3A77" w:rsidRPr="00C005CE" w:rsidRDefault="006B3A77" w:rsidP="00C005CE">
      <w:pPr>
        <w:spacing w:line="360" w:lineRule="auto"/>
        <w:rPr>
          <w:rFonts w:ascii="Arial" w:hAnsi="Arial" w:cs="Arial"/>
          <w:color w:val="000000" w:themeColor="text1"/>
          <w:sz w:val="20"/>
          <w:szCs w:val="20"/>
        </w:rPr>
      </w:pPr>
    </w:p>
    <w:p w14:paraId="4272456B" w14:textId="343C94A1" w:rsidR="006B3A77" w:rsidRPr="000679BA" w:rsidRDefault="00C005CE" w:rsidP="000679BA">
      <w:pPr>
        <w:pStyle w:val="Heading2"/>
      </w:pPr>
      <w:bookmarkStart w:id="93" w:name="_Toc215043434"/>
      <w:r w:rsidRPr="000679BA">
        <w:lastRenderedPageBreak/>
        <w:t>Appendix D: Academic Methodology Poster</w:t>
      </w:r>
      <w:bookmarkEnd w:id="93"/>
    </w:p>
    <w:p w14:paraId="131EC0E1" w14:textId="77777777" w:rsidR="000679BA" w:rsidRDefault="000679BA" w:rsidP="00C005CE">
      <w:pPr>
        <w:pStyle w:val="Heading2"/>
      </w:pPr>
    </w:p>
    <w:p w14:paraId="24E3CD85" w14:textId="17C1F358" w:rsidR="00C005CE" w:rsidRDefault="00C005CE" w:rsidP="000679BA">
      <w:r>
        <w:rPr>
          <w:noProof/>
        </w:rPr>
        <w:drawing>
          <wp:inline distT="0" distB="0" distL="0" distR="0" wp14:anchorId="06A123B4" wp14:editId="5DC9CD75">
            <wp:extent cx="5731510" cy="8174492"/>
            <wp:effectExtent l="0" t="0" r="0" b="4445"/>
            <wp:docPr id="24" name="Picture 24"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document with text on it&#10;&#10;Description automatically generated"/>
                    <pic:cNvPicPr/>
                  </pic:nvPicPr>
                  <pic:blipFill>
                    <a:blip r:embed="rId80">
                      <a:extLst>
                        <a:ext uri="{28A0092B-C50C-407E-A947-70E740481C1C}">
                          <a14:useLocalDpi xmlns:a14="http://schemas.microsoft.com/office/drawing/2010/main" val="0"/>
                        </a:ext>
                      </a:extLst>
                    </a:blip>
                    <a:stretch>
                      <a:fillRect/>
                    </a:stretch>
                  </pic:blipFill>
                  <pic:spPr>
                    <a:xfrm>
                      <a:off x="0" y="0"/>
                      <a:ext cx="5731967" cy="8175144"/>
                    </a:xfrm>
                    <a:prstGeom prst="rect">
                      <a:avLst/>
                    </a:prstGeom>
                  </pic:spPr>
                </pic:pic>
              </a:graphicData>
            </a:graphic>
          </wp:inline>
        </w:drawing>
      </w:r>
    </w:p>
    <w:p w14:paraId="789AEF96" w14:textId="6AE647B3" w:rsidR="00C005CE" w:rsidRDefault="00C005CE" w:rsidP="00C005CE">
      <w:pPr>
        <w:pStyle w:val="Heading2"/>
        <w:rPr>
          <w:color w:val="000000" w:themeColor="text1"/>
          <w:sz w:val="20"/>
          <w:szCs w:val="20"/>
        </w:rPr>
      </w:pPr>
    </w:p>
    <w:p w14:paraId="1F5981C2" w14:textId="1A5339EE" w:rsidR="00C005CE" w:rsidRDefault="00C005CE" w:rsidP="000679BA">
      <w:r>
        <w:rPr>
          <w:noProof/>
        </w:rPr>
        <w:drawing>
          <wp:inline distT="0" distB="0" distL="0" distR="0" wp14:anchorId="05E2121E" wp14:editId="709B13A6">
            <wp:extent cx="5731510" cy="8172450"/>
            <wp:effectExtent l="0" t="0" r="0" b="6350"/>
            <wp:docPr id="25" name="Picture 25"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close-up of a paper&#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5731510" cy="8172450"/>
                    </a:xfrm>
                    <a:prstGeom prst="rect">
                      <a:avLst/>
                    </a:prstGeom>
                  </pic:spPr>
                </pic:pic>
              </a:graphicData>
            </a:graphic>
          </wp:inline>
        </w:drawing>
      </w:r>
    </w:p>
    <w:p w14:paraId="2186099E" w14:textId="77777777" w:rsidR="00C005CE" w:rsidRPr="00C005CE" w:rsidRDefault="00C005CE" w:rsidP="00C005CE">
      <w:pPr>
        <w:pStyle w:val="Heading2"/>
        <w:rPr>
          <w:color w:val="000000" w:themeColor="text1"/>
          <w:sz w:val="20"/>
          <w:szCs w:val="20"/>
        </w:rPr>
      </w:pPr>
    </w:p>
    <w:sectPr w:rsidR="00C005CE" w:rsidRPr="00C005CE" w:rsidSect="00A8429E">
      <w:footerReference w:type="even" r:id="rId82"/>
      <w:footerReference w:type="default" r:id="rId8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81242" w14:textId="77777777" w:rsidR="008808A7" w:rsidRDefault="008808A7" w:rsidP="00A8429E">
      <w:r>
        <w:separator/>
      </w:r>
    </w:p>
  </w:endnote>
  <w:endnote w:type="continuationSeparator" w:id="0">
    <w:p w14:paraId="1D1BCEBC" w14:textId="77777777" w:rsidR="008808A7" w:rsidRDefault="008808A7" w:rsidP="00A842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5215601"/>
      <w:docPartObj>
        <w:docPartGallery w:val="Page Numbers (Bottom of Page)"/>
        <w:docPartUnique/>
      </w:docPartObj>
    </w:sdtPr>
    <w:sdtEndPr>
      <w:rPr>
        <w:rStyle w:val="PageNumber"/>
      </w:rPr>
    </w:sdtEndPr>
    <w:sdtContent>
      <w:p w14:paraId="31D411C7" w14:textId="2CC16F31" w:rsidR="00A8429E" w:rsidRDefault="00A8429E" w:rsidP="006F38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43A9C1" w14:textId="77777777" w:rsidR="00A8429E" w:rsidRDefault="00A842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0570047"/>
      <w:docPartObj>
        <w:docPartGallery w:val="Page Numbers (Bottom of Page)"/>
        <w:docPartUnique/>
      </w:docPartObj>
    </w:sdtPr>
    <w:sdtEndPr>
      <w:rPr>
        <w:rStyle w:val="PageNumber"/>
      </w:rPr>
    </w:sdtEndPr>
    <w:sdtContent>
      <w:p w14:paraId="73060955" w14:textId="74C8296B" w:rsidR="00A8429E" w:rsidRDefault="00A8429E" w:rsidP="006F38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F9462E" w14:textId="77777777" w:rsidR="00A8429E" w:rsidRDefault="00A84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E1534" w14:textId="77777777" w:rsidR="008808A7" w:rsidRDefault="008808A7" w:rsidP="00A8429E">
      <w:r>
        <w:separator/>
      </w:r>
    </w:p>
  </w:footnote>
  <w:footnote w:type="continuationSeparator" w:id="0">
    <w:p w14:paraId="08799188" w14:textId="77777777" w:rsidR="008808A7" w:rsidRDefault="008808A7" w:rsidP="00A842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A991"/>
    <w:multiLevelType w:val="multilevel"/>
    <w:tmpl w:val="CC542FAE"/>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 w15:restartNumberingAfterBreak="0">
    <w:nsid w:val="044F0CFA"/>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0A667C"/>
    <w:multiLevelType w:val="multilevel"/>
    <w:tmpl w:val="E0A6B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2E6937"/>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FE56E7"/>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AE6416"/>
    <w:multiLevelType w:val="hybridMultilevel"/>
    <w:tmpl w:val="F3D8582C"/>
    <w:lvl w:ilvl="0" w:tplc="FFB2E3AA">
      <w:start w:val="1"/>
      <w:numFmt w:val="decimal"/>
      <w:lvlText w:val="%1."/>
      <w:lvlJc w:val="left"/>
      <w:pPr>
        <w:ind w:left="720" w:hanging="360"/>
      </w:pPr>
      <w:rPr>
        <w:rFonts w:ascii="Arial" w:eastAsiaTheme="majorEastAsia"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407499"/>
    <w:multiLevelType w:val="multilevel"/>
    <w:tmpl w:val="DD2C70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2B2BB2"/>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5048ED"/>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0437DE"/>
    <w:multiLevelType w:val="multilevel"/>
    <w:tmpl w:val="1CDA6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7E4FC8"/>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4C74EB"/>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8E3E74"/>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CE56D0"/>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A626A"/>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6A093F"/>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9F66AF"/>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3373E9"/>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5B3B3C"/>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A351EE"/>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2609DF"/>
    <w:multiLevelType w:val="multilevel"/>
    <w:tmpl w:val="D1623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336369C"/>
    <w:multiLevelType w:val="hybridMultilevel"/>
    <w:tmpl w:val="43047238"/>
    <w:lvl w:ilvl="0" w:tplc="FCBE8FBA">
      <w:numFmt w:val="bullet"/>
      <w:lvlText w:val="·"/>
      <w:lvlJc w:val="left"/>
      <w:pPr>
        <w:ind w:left="720" w:hanging="360"/>
      </w:pPr>
      <w:rPr>
        <w:rFonts w:ascii="Arial" w:eastAsia="Symbo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986E5B"/>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736731"/>
    <w:multiLevelType w:val="multilevel"/>
    <w:tmpl w:val="FBD241C8"/>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Symbol"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FD6E03"/>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296C4F"/>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7F440D"/>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5B6CF9"/>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E93168C"/>
    <w:multiLevelType w:val="multilevel"/>
    <w:tmpl w:val="05423858"/>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3605BC"/>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F3236A"/>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AF55B3"/>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815776"/>
    <w:multiLevelType w:val="hybridMultilevel"/>
    <w:tmpl w:val="4224E418"/>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31167D"/>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013113"/>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1124BC"/>
    <w:multiLevelType w:val="multilevel"/>
    <w:tmpl w:val="06180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5E54538"/>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3F2F7A"/>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BB42C7"/>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4BF0C1D"/>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69162E"/>
    <w:multiLevelType w:val="multilevel"/>
    <w:tmpl w:val="35B6D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8FB007F"/>
    <w:multiLevelType w:val="multilevel"/>
    <w:tmpl w:val="565EC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FDB5682"/>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8116600">
    <w:abstractNumId w:val="4"/>
  </w:num>
  <w:num w:numId="2" w16cid:durableId="1022703996">
    <w:abstractNumId w:val="13"/>
  </w:num>
  <w:num w:numId="3" w16cid:durableId="1987314236">
    <w:abstractNumId w:val="37"/>
  </w:num>
  <w:num w:numId="4" w16cid:durableId="1717507814">
    <w:abstractNumId w:val="40"/>
  </w:num>
  <w:num w:numId="5" w16cid:durableId="1415281833">
    <w:abstractNumId w:val="25"/>
  </w:num>
  <w:num w:numId="6" w16cid:durableId="1013997610">
    <w:abstractNumId w:val="26"/>
  </w:num>
  <w:num w:numId="7" w16cid:durableId="1780486755">
    <w:abstractNumId w:val="19"/>
  </w:num>
  <w:num w:numId="8" w16cid:durableId="534272603">
    <w:abstractNumId w:val="8"/>
  </w:num>
  <w:num w:numId="9" w16cid:durableId="513081377">
    <w:abstractNumId w:val="2"/>
  </w:num>
  <w:num w:numId="10" w16cid:durableId="790981073">
    <w:abstractNumId w:val="41"/>
  </w:num>
  <w:num w:numId="11" w16cid:durableId="186217442">
    <w:abstractNumId w:val="30"/>
  </w:num>
  <w:num w:numId="12" w16cid:durableId="2062095666">
    <w:abstractNumId w:val="39"/>
  </w:num>
  <w:num w:numId="13" w16cid:durableId="1169293333">
    <w:abstractNumId w:val="34"/>
  </w:num>
  <w:num w:numId="14" w16cid:durableId="1497916028">
    <w:abstractNumId w:val="29"/>
  </w:num>
  <w:num w:numId="15" w16cid:durableId="210388073">
    <w:abstractNumId w:val="42"/>
  </w:num>
  <w:num w:numId="16" w16cid:durableId="816993351">
    <w:abstractNumId w:val="17"/>
  </w:num>
  <w:num w:numId="17" w16cid:durableId="1413744401">
    <w:abstractNumId w:val="33"/>
  </w:num>
  <w:num w:numId="18" w16cid:durableId="1492065913">
    <w:abstractNumId w:val="10"/>
  </w:num>
  <w:num w:numId="19" w16cid:durableId="280692469">
    <w:abstractNumId w:val="32"/>
  </w:num>
  <w:num w:numId="20" w16cid:durableId="314184063">
    <w:abstractNumId w:val="5"/>
  </w:num>
  <w:num w:numId="21" w16cid:durableId="119425138">
    <w:abstractNumId w:val="23"/>
  </w:num>
  <w:num w:numId="22" w16cid:durableId="287783516">
    <w:abstractNumId w:val="14"/>
  </w:num>
  <w:num w:numId="23" w16cid:durableId="761145398">
    <w:abstractNumId w:val="36"/>
  </w:num>
  <w:num w:numId="24" w16cid:durableId="1290236057">
    <w:abstractNumId w:val="11"/>
  </w:num>
  <w:num w:numId="25" w16cid:durableId="2107604956">
    <w:abstractNumId w:val="6"/>
  </w:num>
  <w:num w:numId="26" w16cid:durableId="1634798172">
    <w:abstractNumId w:val="22"/>
  </w:num>
  <w:num w:numId="27" w16cid:durableId="244539685">
    <w:abstractNumId w:val="15"/>
  </w:num>
  <w:num w:numId="28" w16cid:durableId="611089149">
    <w:abstractNumId w:val="7"/>
  </w:num>
  <w:num w:numId="29" w16cid:durableId="85228439">
    <w:abstractNumId w:val="18"/>
  </w:num>
  <w:num w:numId="30" w16cid:durableId="872380529">
    <w:abstractNumId w:val="35"/>
  </w:num>
  <w:num w:numId="31" w16cid:durableId="1673414216">
    <w:abstractNumId w:val="9"/>
  </w:num>
  <w:num w:numId="32" w16cid:durableId="181239095">
    <w:abstractNumId w:val="24"/>
  </w:num>
  <w:num w:numId="33" w16cid:durableId="1893543539">
    <w:abstractNumId w:val="28"/>
  </w:num>
  <w:num w:numId="34" w16cid:durableId="506209396">
    <w:abstractNumId w:val="27"/>
  </w:num>
  <w:num w:numId="35" w16cid:durableId="725956279">
    <w:abstractNumId w:val="16"/>
  </w:num>
  <w:num w:numId="36" w16cid:durableId="1225944274">
    <w:abstractNumId w:val="31"/>
  </w:num>
  <w:num w:numId="37" w16cid:durableId="359549998">
    <w:abstractNumId w:val="1"/>
  </w:num>
  <w:num w:numId="38" w16cid:durableId="1380671359">
    <w:abstractNumId w:val="38"/>
  </w:num>
  <w:num w:numId="39" w16cid:durableId="1502819856">
    <w:abstractNumId w:val="20"/>
  </w:num>
  <w:num w:numId="40" w16cid:durableId="809055629">
    <w:abstractNumId w:val="12"/>
  </w:num>
  <w:num w:numId="41" w16cid:durableId="1617523995">
    <w:abstractNumId w:val="0"/>
  </w:num>
  <w:num w:numId="42" w16cid:durableId="1895853818">
    <w:abstractNumId w:val="21"/>
  </w:num>
  <w:num w:numId="43" w16cid:durableId="47802422">
    <w:abstractNumId w:val="3"/>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CF3"/>
    <w:rsid w:val="00001FDC"/>
    <w:rsid w:val="0000230A"/>
    <w:rsid w:val="00007F2C"/>
    <w:rsid w:val="00027926"/>
    <w:rsid w:val="00043EFA"/>
    <w:rsid w:val="00054C50"/>
    <w:rsid w:val="00056795"/>
    <w:rsid w:val="000679BA"/>
    <w:rsid w:val="000C2547"/>
    <w:rsid w:val="000E7815"/>
    <w:rsid w:val="000F66E3"/>
    <w:rsid w:val="0010066B"/>
    <w:rsid w:val="00104BAA"/>
    <w:rsid w:val="00111E78"/>
    <w:rsid w:val="00124393"/>
    <w:rsid w:val="00134FE6"/>
    <w:rsid w:val="001357CA"/>
    <w:rsid w:val="00143557"/>
    <w:rsid w:val="00143B06"/>
    <w:rsid w:val="00143F7C"/>
    <w:rsid w:val="00150E55"/>
    <w:rsid w:val="00152064"/>
    <w:rsid w:val="0016589C"/>
    <w:rsid w:val="00170ACB"/>
    <w:rsid w:val="00174771"/>
    <w:rsid w:val="00180193"/>
    <w:rsid w:val="0018245B"/>
    <w:rsid w:val="001960BD"/>
    <w:rsid w:val="00196CC7"/>
    <w:rsid w:val="001B49EC"/>
    <w:rsid w:val="001D1EB8"/>
    <w:rsid w:val="001D2E69"/>
    <w:rsid w:val="001E1D63"/>
    <w:rsid w:val="001E722F"/>
    <w:rsid w:val="001F503F"/>
    <w:rsid w:val="002214F2"/>
    <w:rsid w:val="0024488E"/>
    <w:rsid w:val="00264524"/>
    <w:rsid w:val="00275792"/>
    <w:rsid w:val="002821F5"/>
    <w:rsid w:val="002A2470"/>
    <w:rsid w:val="002D4C10"/>
    <w:rsid w:val="002E34E8"/>
    <w:rsid w:val="002E57A6"/>
    <w:rsid w:val="002F6749"/>
    <w:rsid w:val="00303E61"/>
    <w:rsid w:val="0032712B"/>
    <w:rsid w:val="00334658"/>
    <w:rsid w:val="00353708"/>
    <w:rsid w:val="0038306A"/>
    <w:rsid w:val="003A1DEE"/>
    <w:rsid w:val="003A6507"/>
    <w:rsid w:val="003C3E69"/>
    <w:rsid w:val="003D23D0"/>
    <w:rsid w:val="003F1243"/>
    <w:rsid w:val="00405A85"/>
    <w:rsid w:val="00406E7E"/>
    <w:rsid w:val="00433871"/>
    <w:rsid w:val="00437528"/>
    <w:rsid w:val="00470800"/>
    <w:rsid w:val="00503363"/>
    <w:rsid w:val="005173C3"/>
    <w:rsid w:val="00542793"/>
    <w:rsid w:val="00543333"/>
    <w:rsid w:val="005455BB"/>
    <w:rsid w:val="00567C94"/>
    <w:rsid w:val="00576D09"/>
    <w:rsid w:val="005851B9"/>
    <w:rsid w:val="00592C19"/>
    <w:rsid w:val="005A439E"/>
    <w:rsid w:val="005B1FE1"/>
    <w:rsid w:val="005C3947"/>
    <w:rsid w:val="005C5ACD"/>
    <w:rsid w:val="005D4542"/>
    <w:rsid w:val="005F7216"/>
    <w:rsid w:val="006009CD"/>
    <w:rsid w:val="006054A4"/>
    <w:rsid w:val="00626853"/>
    <w:rsid w:val="006453A3"/>
    <w:rsid w:val="00656CF3"/>
    <w:rsid w:val="00675ACB"/>
    <w:rsid w:val="00677A5C"/>
    <w:rsid w:val="00684878"/>
    <w:rsid w:val="006B3A77"/>
    <w:rsid w:val="006C0B1F"/>
    <w:rsid w:val="006E01D1"/>
    <w:rsid w:val="00710671"/>
    <w:rsid w:val="0073322D"/>
    <w:rsid w:val="00743F38"/>
    <w:rsid w:val="00761CA2"/>
    <w:rsid w:val="00764F83"/>
    <w:rsid w:val="007701CF"/>
    <w:rsid w:val="00772E44"/>
    <w:rsid w:val="00777A2B"/>
    <w:rsid w:val="007963F8"/>
    <w:rsid w:val="00797FF3"/>
    <w:rsid w:val="00825E43"/>
    <w:rsid w:val="00833777"/>
    <w:rsid w:val="00842145"/>
    <w:rsid w:val="008515C6"/>
    <w:rsid w:val="00854728"/>
    <w:rsid w:val="00862B64"/>
    <w:rsid w:val="00871A60"/>
    <w:rsid w:val="008808A7"/>
    <w:rsid w:val="008B3B6B"/>
    <w:rsid w:val="008C3C82"/>
    <w:rsid w:val="008D16E1"/>
    <w:rsid w:val="008D2244"/>
    <w:rsid w:val="008D3834"/>
    <w:rsid w:val="008F377F"/>
    <w:rsid w:val="00901E26"/>
    <w:rsid w:val="00925ECC"/>
    <w:rsid w:val="009276ED"/>
    <w:rsid w:val="0092772B"/>
    <w:rsid w:val="00935115"/>
    <w:rsid w:val="00937805"/>
    <w:rsid w:val="009502FE"/>
    <w:rsid w:val="00951E70"/>
    <w:rsid w:val="00986C2E"/>
    <w:rsid w:val="00992AC5"/>
    <w:rsid w:val="009D1E3F"/>
    <w:rsid w:val="009D38F6"/>
    <w:rsid w:val="009D6F64"/>
    <w:rsid w:val="009E0454"/>
    <w:rsid w:val="009E7603"/>
    <w:rsid w:val="009F04AA"/>
    <w:rsid w:val="00A06DCA"/>
    <w:rsid w:val="00A10AEB"/>
    <w:rsid w:val="00A27305"/>
    <w:rsid w:val="00A4510D"/>
    <w:rsid w:val="00A63D11"/>
    <w:rsid w:val="00A8429E"/>
    <w:rsid w:val="00A9025C"/>
    <w:rsid w:val="00A91181"/>
    <w:rsid w:val="00A92BDB"/>
    <w:rsid w:val="00A96FF3"/>
    <w:rsid w:val="00B172D9"/>
    <w:rsid w:val="00B404EE"/>
    <w:rsid w:val="00B56FE2"/>
    <w:rsid w:val="00B738A5"/>
    <w:rsid w:val="00B7524F"/>
    <w:rsid w:val="00B80FF6"/>
    <w:rsid w:val="00BA29F2"/>
    <w:rsid w:val="00BA4FAC"/>
    <w:rsid w:val="00BF3042"/>
    <w:rsid w:val="00BF4A2F"/>
    <w:rsid w:val="00BF7D36"/>
    <w:rsid w:val="00C005CE"/>
    <w:rsid w:val="00C01ACC"/>
    <w:rsid w:val="00C05A93"/>
    <w:rsid w:val="00C102E8"/>
    <w:rsid w:val="00C1113F"/>
    <w:rsid w:val="00C1360C"/>
    <w:rsid w:val="00C23B21"/>
    <w:rsid w:val="00C40CF1"/>
    <w:rsid w:val="00C51004"/>
    <w:rsid w:val="00C61C6E"/>
    <w:rsid w:val="00C918CF"/>
    <w:rsid w:val="00C97774"/>
    <w:rsid w:val="00CA4A67"/>
    <w:rsid w:val="00CB16F6"/>
    <w:rsid w:val="00CB505B"/>
    <w:rsid w:val="00CD0187"/>
    <w:rsid w:val="00D34398"/>
    <w:rsid w:val="00D65B71"/>
    <w:rsid w:val="00D97154"/>
    <w:rsid w:val="00DC1BB0"/>
    <w:rsid w:val="00DE402C"/>
    <w:rsid w:val="00DF009B"/>
    <w:rsid w:val="00E016C3"/>
    <w:rsid w:val="00E01AE7"/>
    <w:rsid w:val="00E01F56"/>
    <w:rsid w:val="00E23F64"/>
    <w:rsid w:val="00E42F37"/>
    <w:rsid w:val="00E47702"/>
    <w:rsid w:val="00E704DE"/>
    <w:rsid w:val="00E75ACC"/>
    <w:rsid w:val="00E77C2B"/>
    <w:rsid w:val="00E93FB4"/>
    <w:rsid w:val="00EB40A3"/>
    <w:rsid w:val="00EB5D6A"/>
    <w:rsid w:val="00EE5BE9"/>
    <w:rsid w:val="00F01DA4"/>
    <w:rsid w:val="00F14487"/>
    <w:rsid w:val="00F15F0C"/>
    <w:rsid w:val="00F2521F"/>
    <w:rsid w:val="00F31AEC"/>
    <w:rsid w:val="00F425BC"/>
    <w:rsid w:val="00F54E1E"/>
    <w:rsid w:val="00F8405F"/>
    <w:rsid w:val="00F87C0C"/>
    <w:rsid w:val="00F95349"/>
    <w:rsid w:val="00F97DAF"/>
    <w:rsid w:val="00FB0EA3"/>
    <w:rsid w:val="00FC662E"/>
    <w:rsid w:val="00FD1A96"/>
    <w:rsid w:val="00FD1D25"/>
    <w:rsid w:val="00FE218B"/>
    <w:rsid w:val="00FE7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EF877"/>
  <w15:chartTrackingRefBased/>
  <w15:docId w15:val="{27E00020-A24A-AB4B-9D80-A36D652AE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0"/>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8CF"/>
    <w:rPr>
      <w:rFonts w:ascii="Times New Roman" w:eastAsia="Times New Roman" w:hAnsi="Times New Roman" w:cs="Times New Roman"/>
      <w:lang w:eastAsia="en-GB"/>
    </w:rPr>
  </w:style>
  <w:style w:type="paragraph" w:styleId="Heading1">
    <w:name w:val="heading 1"/>
    <w:basedOn w:val="Normal"/>
    <w:link w:val="Heading1Char"/>
    <w:uiPriority w:val="9"/>
    <w:qFormat/>
    <w:rsid w:val="00C005CE"/>
    <w:pPr>
      <w:spacing w:before="100" w:beforeAutospacing="1" w:after="100" w:afterAutospacing="1"/>
      <w:outlineLvl w:val="0"/>
    </w:pPr>
    <w:rPr>
      <w:rFonts w:ascii="Arial" w:hAnsi="Arial"/>
      <w:b/>
      <w:bCs/>
      <w:kern w:val="36"/>
      <w:sz w:val="22"/>
      <w:szCs w:val="48"/>
    </w:rPr>
  </w:style>
  <w:style w:type="paragraph" w:styleId="Heading2">
    <w:name w:val="heading 2"/>
    <w:basedOn w:val="Normal"/>
    <w:link w:val="Heading2Char"/>
    <w:uiPriority w:val="9"/>
    <w:qFormat/>
    <w:rsid w:val="00825E43"/>
    <w:pPr>
      <w:spacing w:before="100" w:beforeAutospacing="1" w:after="100" w:afterAutospacing="1"/>
      <w:outlineLvl w:val="1"/>
    </w:pPr>
    <w:rPr>
      <w:rFonts w:ascii="Arial" w:hAnsi="Arial"/>
      <w:bCs/>
      <w:sz w:val="22"/>
      <w:szCs w:val="36"/>
    </w:rPr>
  </w:style>
  <w:style w:type="paragraph" w:styleId="Heading3">
    <w:name w:val="heading 3"/>
    <w:basedOn w:val="Normal"/>
    <w:link w:val="Heading3Char"/>
    <w:uiPriority w:val="9"/>
    <w:qFormat/>
    <w:rsid w:val="00656CF3"/>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1D2E6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5CE"/>
    <w:rPr>
      <w:rFonts w:ascii="Arial" w:eastAsia="Times New Roman" w:hAnsi="Arial" w:cs="Times New Roman"/>
      <w:b/>
      <w:bCs/>
      <w:kern w:val="36"/>
      <w:sz w:val="22"/>
      <w:szCs w:val="48"/>
      <w:lang w:eastAsia="en-GB"/>
    </w:rPr>
  </w:style>
  <w:style w:type="character" w:customStyle="1" w:styleId="Heading2Char">
    <w:name w:val="Heading 2 Char"/>
    <w:basedOn w:val="DefaultParagraphFont"/>
    <w:link w:val="Heading2"/>
    <w:uiPriority w:val="9"/>
    <w:rsid w:val="00825E43"/>
    <w:rPr>
      <w:rFonts w:ascii="Arial" w:eastAsia="Times New Roman" w:hAnsi="Arial" w:cs="Times New Roman"/>
      <w:bCs/>
      <w:sz w:val="22"/>
      <w:szCs w:val="36"/>
      <w:lang w:eastAsia="en-GB"/>
    </w:rPr>
  </w:style>
  <w:style w:type="character" w:customStyle="1" w:styleId="Heading3Char">
    <w:name w:val="Heading 3 Char"/>
    <w:basedOn w:val="DefaultParagraphFont"/>
    <w:link w:val="Heading3"/>
    <w:uiPriority w:val="9"/>
    <w:rsid w:val="00656CF3"/>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56CF3"/>
    <w:pPr>
      <w:spacing w:before="100" w:beforeAutospacing="1" w:after="100" w:afterAutospacing="1"/>
    </w:pPr>
  </w:style>
  <w:style w:type="character" w:customStyle="1" w:styleId="apple-converted-space">
    <w:name w:val="apple-converted-space"/>
    <w:basedOn w:val="DefaultParagraphFont"/>
    <w:rsid w:val="00656CF3"/>
  </w:style>
  <w:style w:type="character" w:styleId="Strong">
    <w:name w:val="Strong"/>
    <w:basedOn w:val="DefaultParagraphFont"/>
    <w:uiPriority w:val="22"/>
    <w:qFormat/>
    <w:rsid w:val="00656CF3"/>
    <w:rPr>
      <w:b/>
      <w:bCs/>
    </w:rPr>
  </w:style>
  <w:style w:type="character" w:styleId="Emphasis">
    <w:name w:val="Emphasis"/>
    <w:basedOn w:val="DefaultParagraphFont"/>
    <w:uiPriority w:val="20"/>
    <w:qFormat/>
    <w:rsid w:val="00656CF3"/>
    <w:rPr>
      <w:i/>
      <w:iCs/>
    </w:rPr>
  </w:style>
  <w:style w:type="character" w:styleId="Hyperlink">
    <w:name w:val="Hyperlink"/>
    <w:basedOn w:val="DefaultParagraphFont"/>
    <w:uiPriority w:val="99"/>
    <w:unhideWhenUsed/>
    <w:rsid w:val="00656CF3"/>
    <w:rPr>
      <w:color w:val="0000FF"/>
      <w:u w:val="single"/>
    </w:rPr>
  </w:style>
  <w:style w:type="table" w:styleId="TableGrid">
    <w:name w:val="Table Grid"/>
    <w:basedOn w:val="TableNormal"/>
    <w:uiPriority w:val="59"/>
    <w:rsid w:val="00104BA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1D2E69"/>
    <w:rPr>
      <w:rFonts w:asciiTheme="majorHAnsi" w:eastAsiaTheme="majorEastAsia" w:hAnsiTheme="majorHAnsi" w:cstheme="majorBidi"/>
      <w:i/>
      <w:iCs/>
      <w:color w:val="2F5496" w:themeColor="accent1" w:themeShade="BF"/>
    </w:rPr>
  </w:style>
  <w:style w:type="table" w:styleId="TableGridLight">
    <w:name w:val="Grid Table Light"/>
    <w:basedOn w:val="TableNormal"/>
    <w:uiPriority w:val="40"/>
    <w:rsid w:val="0054279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cvgsua">
    <w:name w:val="cvgsua"/>
    <w:basedOn w:val="Normal"/>
    <w:rsid w:val="00C1113F"/>
    <w:pPr>
      <w:spacing w:before="100" w:beforeAutospacing="1" w:after="100" w:afterAutospacing="1"/>
    </w:pPr>
  </w:style>
  <w:style w:type="character" w:customStyle="1" w:styleId="agcmg">
    <w:name w:val="a_gcmg"/>
    <w:basedOn w:val="DefaultParagraphFont"/>
    <w:rsid w:val="00C1113F"/>
  </w:style>
  <w:style w:type="paragraph" w:styleId="NoSpacing">
    <w:name w:val="No Spacing"/>
    <w:link w:val="NoSpacingChar"/>
    <w:uiPriority w:val="1"/>
    <w:qFormat/>
    <w:rsid w:val="00A8429E"/>
    <w:rPr>
      <w:rFonts w:eastAsiaTheme="minorEastAsia"/>
      <w:sz w:val="22"/>
      <w:szCs w:val="22"/>
      <w:lang w:val="en-US" w:eastAsia="zh-CN"/>
    </w:rPr>
  </w:style>
  <w:style w:type="character" w:customStyle="1" w:styleId="NoSpacingChar">
    <w:name w:val="No Spacing Char"/>
    <w:basedOn w:val="DefaultParagraphFont"/>
    <w:link w:val="NoSpacing"/>
    <w:uiPriority w:val="1"/>
    <w:rsid w:val="00A8429E"/>
    <w:rPr>
      <w:rFonts w:eastAsiaTheme="minorEastAsia"/>
      <w:sz w:val="22"/>
      <w:szCs w:val="22"/>
      <w:lang w:val="en-US" w:eastAsia="zh-CN"/>
    </w:rPr>
  </w:style>
  <w:style w:type="paragraph" w:styleId="Footer">
    <w:name w:val="footer"/>
    <w:basedOn w:val="Normal"/>
    <w:link w:val="FooterChar"/>
    <w:uiPriority w:val="99"/>
    <w:unhideWhenUsed/>
    <w:rsid w:val="00A8429E"/>
    <w:pPr>
      <w:tabs>
        <w:tab w:val="center" w:pos="4513"/>
        <w:tab w:val="right" w:pos="9026"/>
      </w:tabs>
    </w:pPr>
  </w:style>
  <w:style w:type="character" w:customStyle="1" w:styleId="FooterChar">
    <w:name w:val="Footer Char"/>
    <w:basedOn w:val="DefaultParagraphFont"/>
    <w:link w:val="Footer"/>
    <w:uiPriority w:val="99"/>
    <w:rsid w:val="00A8429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8429E"/>
  </w:style>
  <w:style w:type="paragraph" w:customStyle="1" w:styleId="p1">
    <w:name w:val="p1"/>
    <w:basedOn w:val="Normal"/>
    <w:rsid w:val="00BF3042"/>
    <w:rPr>
      <w:rFonts w:ascii="Helvetica" w:hAnsi="Helvetica"/>
      <w:color w:val="000000"/>
      <w:sz w:val="23"/>
      <w:szCs w:val="23"/>
    </w:rPr>
  </w:style>
  <w:style w:type="paragraph" w:styleId="TOCHeading">
    <w:name w:val="TOC Heading"/>
    <w:basedOn w:val="Heading1"/>
    <w:next w:val="Normal"/>
    <w:uiPriority w:val="39"/>
    <w:unhideWhenUsed/>
    <w:qFormat/>
    <w:rsid w:val="00BF3042"/>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BF3042"/>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170ACB"/>
    <w:pPr>
      <w:tabs>
        <w:tab w:val="right" w:leader="dot" w:pos="9016"/>
      </w:tabs>
      <w:ind w:left="220"/>
    </w:pPr>
    <w:rPr>
      <w:rFonts w:ascii="Arial" w:eastAsia="Arial Unicode MS" w:hAnsi="Arial" w:cs="Arial"/>
      <w:smallCaps/>
      <w:noProof/>
      <w:sz w:val="20"/>
      <w:szCs w:val="20"/>
    </w:rPr>
  </w:style>
  <w:style w:type="paragraph" w:styleId="TOC3">
    <w:name w:val="toc 3"/>
    <w:basedOn w:val="Normal"/>
    <w:next w:val="Normal"/>
    <w:autoRedefine/>
    <w:uiPriority w:val="39"/>
    <w:unhideWhenUsed/>
    <w:rsid w:val="00BF3042"/>
    <w:pPr>
      <w:ind w:left="440"/>
    </w:pPr>
    <w:rPr>
      <w:rFonts w:asciiTheme="minorHAnsi" w:hAnsiTheme="minorHAnsi" w:cstheme="minorHAnsi"/>
      <w:i/>
      <w:iCs/>
      <w:sz w:val="20"/>
      <w:szCs w:val="20"/>
    </w:rPr>
  </w:style>
  <w:style w:type="paragraph" w:styleId="TOC4">
    <w:name w:val="toc 4"/>
    <w:basedOn w:val="Normal"/>
    <w:next w:val="Normal"/>
    <w:autoRedefine/>
    <w:uiPriority w:val="39"/>
    <w:unhideWhenUsed/>
    <w:rsid w:val="00BF3042"/>
    <w:pPr>
      <w:ind w:left="660"/>
    </w:pPr>
    <w:rPr>
      <w:rFonts w:asciiTheme="minorHAnsi" w:hAnsiTheme="minorHAnsi" w:cstheme="minorHAnsi"/>
      <w:sz w:val="18"/>
      <w:szCs w:val="18"/>
    </w:rPr>
  </w:style>
  <w:style w:type="paragraph" w:styleId="TOC5">
    <w:name w:val="toc 5"/>
    <w:basedOn w:val="Normal"/>
    <w:next w:val="Normal"/>
    <w:autoRedefine/>
    <w:uiPriority w:val="39"/>
    <w:unhideWhenUsed/>
    <w:rsid w:val="00BF3042"/>
    <w:pPr>
      <w:ind w:left="880"/>
    </w:pPr>
    <w:rPr>
      <w:rFonts w:asciiTheme="minorHAnsi" w:hAnsiTheme="minorHAnsi" w:cstheme="minorHAnsi"/>
      <w:sz w:val="18"/>
      <w:szCs w:val="18"/>
    </w:rPr>
  </w:style>
  <w:style w:type="paragraph" w:styleId="TOC6">
    <w:name w:val="toc 6"/>
    <w:basedOn w:val="Normal"/>
    <w:next w:val="Normal"/>
    <w:autoRedefine/>
    <w:uiPriority w:val="39"/>
    <w:unhideWhenUsed/>
    <w:rsid w:val="00BF3042"/>
    <w:pPr>
      <w:ind w:left="1100"/>
    </w:pPr>
    <w:rPr>
      <w:rFonts w:asciiTheme="minorHAnsi" w:hAnsiTheme="minorHAnsi" w:cstheme="minorHAnsi"/>
      <w:sz w:val="18"/>
      <w:szCs w:val="18"/>
    </w:rPr>
  </w:style>
  <w:style w:type="paragraph" w:styleId="TOC7">
    <w:name w:val="toc 7"/>
    <w:basedOn w:val="Normal"/>
    <w:next w:val="Normal"/>
    <w:autoRedefine/>
    <w:uiPriority w:val="39"/>
    <w:unhideWhenUsed/>
    <w:rsid w:val="00BF3042"/>
    <w:pPr>
      <w:ind w:left="1320"/>
    </w:pPr>
    <w:rPr>
      <w:rFonts w:asciiTheme="minorHAnsi" w:hAnsiTheme="minorHAnsi" w:cstheme="minorHAnsi"/>
      <w:sz w:val="18"/>
      <w:szCs w:val="18"/>
    </w:rPr>
  </w:style>
  <w:style w:type="paragraph" w:styleId="TOC8">
    <w:name w:val="toc 8"/>
    <w:basedOn w:val="Normal"/>
    <w:next w:val="Normal"/>
    <w:autoRedefine/>
    <w:uiPriority w:val="39"/>
    <w:unhideWhenUsed/>
    <w:rsid w:val="00BF3042"/>
    <w:pPr>
      <w:ind w:left="1540"/>
    </w:pPr>
    <w:rPr>
      <w:rFonts w:asciiTheme="minorHAnsi" w:hAnsiTheme="minorHAnsi" w:cstheme="minorHAnsi"/>
      <w:sz w:val="18"/>
      <w:szCs w:val="18"/>
    </w:rPr>
  </w:style>
  <w:style w:type="paragraph" w:styleId="TOC9">
    <w:name w:val="toc 9"/>
    <w:basedOn w:val="Normal"/>
    <w:next w:val="Normal"/>
    <w:autoRedefine/>
    <w:uiPriority w:val="39"/>
    <w:unhideWhenUsed/>
    <w:rsid w:val="00BF3042"/>
    <w:pPr>
      <w:ind w:left="1760"/>
    </w:pPr>
    <w:rPr>
      <w:rFonts w:asciiTheme="minorHAnsi" w:hAnsiTheme="minorHAnsi" w:cstheme="minorHAnsi"/>
      <w:sz w:val="18"/>
      <w:szCs w:val="18"/>
    </w:rPr>
  </w:style>
  <w:style w:type="character" w:styleId="UnresolvedMention">
    <w:name w:val="Unresolved Mention"/>
    <w:basedOn w:val="DefaultParagraphFont"/>
    <w:uiPriority w:val="99"/>
    <w:semiHidden/>
    <w:unhideWhenUsed/>
    <w:rsid w:val="00BF3042"/>
    <w:rPr>
      <w:color w:val="605E5C"/>
      <w:shd w:val="clear" w:color="auto" w:fill="E1DFDD"/>
    </w:rPr>
  </w:style>
  <w:style w:type="paragraph" w:styleId="Header">
    <w:name w:val="header"/>
    <w:basedOn w:val="Normal"/>
    <w:link w:val="HeaderChar"/>
    <w:uiPriority w:val="99"/>
    <w:unhideWhenUsed/>
    <w:rsid w:val="00BF3042"/>
    <w:pPr>
      <w:tabs>
        <w:tab w:val="center" w:pos="4513"/>
        <w:tab w:val="right" w:pos="9026"/>
      </w:tabs>
    </w:pPr>
  </w:style>
  <w:style w:type="character" w:customStyle="1" w:styleId="HeaderChar">
    <w:name w:val="Header Char"/>
    <w:basedOn w:val="DefaultParagraphFont"/>
    <w:link w:val="Header"/>
    <w:uiPriority w:val="99"/>
    <w:rsid w:val="00BF3042"/>
    <w:rPr>
      <w:rFonts w:ascii="Times New Roman" w:eastAsia="Times New Roman" w:hAnsi="Times New Roman" w:cs="Times New Roman"/>
      <w:lang w:eastAsia="en-GB"/>
    </w:rPr>
  </w:style>
  <w:style w:type="paragraph" w:styleId="ListParagraph">
    <w:name w:val="List Paragraph"/>
    <w:basedOn w:val="Normal"/>
    <w:uiPriority w:val="34"/>
    <w:qFormat/>
    <w:rsid w:val="00EE5BE9"/>
    <w:pPr>
      <w:ind w:left="720"/>
      <w:contextualSpacing/>
    </w:pPr>
  </w:style>
  <w:style w:type="character" w:styleId="FollowedHyperlink">
    <w:name w:val="FollowedHyperlink"/>
    <w:basedOn w:val="DefaultParagraphFont"/>
    <w:uiPriority w:val="99"/>
    <w:semiHidden/>
    <w:unhideWhenUsed/>
    <w:rsid w:val="008F377F"/>
    <w:rPr>
      <w:color w:val="954F72" w:themeColor="followedHyperlink"/>
      <w:u w:val="single"/>
    </w:rPr>
  </w:style>
  <w:style w:type="table" w:styleId="GridTable1Light-Accent1">
    <w:name w:val="Grid Table 1 Light Accent 1"/>
    <w:basedOn w:val="TableNormal"/>
    <w:uiPriority w:val="46"/>
    <w:rsid w:val="00986C2E"/>
    <w:rPr>
      <w:rFonts w:eastAsiaTheme="minorEastAsia"/>
      <w:sz w:val="22"/>
      <w:szCs w:val="22"/>
      <w:lang w:val="en-US"/>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customStyle="1" w:styleId="FirstParagraph">
    <w:name w:val="First Paragraph"/>
    <w:basedOn w:val="BodyText"/>
    <w:next w:val="BodyText"/>
    <w:qFormat/>
    <w:rsid w:val="00C40CF1"/>
    <w:pPr>
      <w:spacing w:before="180" w:after="180"/>
    </w:pPr>
    <w:rPr>
      <w:rFonts w:asciiTheme="minorHAnsi" w:eastAsiaTheme="minorHAnsi" w:hAnsiTheme="minorHAnsi" w:cstheme="minorBidi"/>
      <w:lang w:val="en-US" w:eastAsia="en-US"/>
    </w:rPr>
  </w:style>
  <w:style w:type="paragraph" w:styleId="BodyText">
    <w:name w:val="Body Text"/>
    <w:basedOn w:val="Normal"/>
    <w:link w:val="BodyTextChar"/>
    <w:uiPriority w:val="99"/>
    <w:semiHidden/>
    <w:unhideWhenUsed/>
    <w:rsid w:val="00C40CF1"/>
    <w:pPr>
      <w:spacing w:after="120"/>
    </w:pPr>
  </w:style>
  <w:style w:type="character" w:customStyle="1" w:styleId="BodyTextChar">
    <w:name w:val="Body Text Char"/>
    <w:basedOn w:val="DefaultParagraphFont"/>
    <w:link w:val="BodyText"/>
    <w:uiPriority w:val="99"/>
    <w:semiHidden/>
    <w:rsid w:val="00C40CF1"/>
    <w:rPr>
      <w:rFonts w:ascii="Arial" w:eastAsia="Times New Roman" w:hAnsi="Arial" w:cs="Times New Roman"/>
      <w:sz w:val="22"/>
      <w:lang w:eastAsia="en-GB"/>
    </w:rPr>
  </w:style>
  <w:style w:type="paragraph" w:customStyle="1" w:styleId="Compact">
    <w:name w:val="Compact"/>
    <w:basedOn w:val="BodyText"/>
    <w:qFormat/>
    <w:rsid w:val="00C005CE"/>
    <w:pPr>
      <w:spacing w:before="36" w:after="36"/>
    </w:pPr>
    <w:rPr>
      <w:rFonts w:asciiTheme="minorHAnsi" w:eastAsiaTheme="minorHAnsi" w:hAnsiTheme="minorHAnsi" w:cstheme="minorBidi"/>
      <w:lang w:val="en-US" w:eastAsia="en-US"/>
    </w:rPr>
  </w:style>
  <w:style w:type="table" w:styleId="PlainTable2">
    <w:name w:val="Plain Table 2"/>
    <w:basedOn w:val="TableNormal"/>
    <w:rsid w:val="00C005CE"/>
    <w:rPr>
      <w:lang w:val="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8150">
      <w:bodyDiv w:val="1"/>
      <w:marLeft w:val="0"/>
      <w:marRight w:val="0"/>
      <w:marTop w:val="0"/>
      <w:marBottom w:val="0"/>
      <w:divBdr>
        <w:top w:val="none" w:sz="0" w:space="0" w:color="auto"/>
        <w:left w:val="none" w:sz="0" w:space="0" w:color="auto"/>
        <w:bottom w:val="none" w:sz="0" w:space="0" w:color="auto"/>
        <w:right w:val="none" w:sz="0" w:space="0" w:color="auto"/>
      </w:divBdr>
    </w:div>
    <w:div w:id="19281712">
      <w:bodyDiv w:val="1"/>
      <w:marLeft w:val="0"/>
      <w:marRight w:val="0"/>
      <w:marTop w:val="0"/>
      <w:marBottom w:val="0"/>
      <w:divBdr>
        <w:top w:val="none" w:sz="0" w:space="0" w:color="auto"/>
        <w:left w:val="none" w:sz="0" w:space="0" w:color="auto"/>
        <w:bottom w:val="none" w:sz="0" w:space="0" w:color="auto"/>
        <w:right w:val="none" w:sz="0" w:space="0" w:color="auto"/>
      </w:divBdr>
    </w:div>
    <w:div w:id="28529188">
      <w:bodyDiv w:val="1"/>
      <w:marLeft w:val="0"/>
      <w:marRight w:val="0"/>
      <w:marTop w:val="0"/>
      <w:marBottom w:val="0"/>
      <w:divBdr>
        <w:top w:val="none" w:sz="0" w:space="0" w:color="auto"/>
        <w:left w:val="none" w:sz="0" w:space="0" w:color="auto"/>
        <w:bottom w:val="none" w:sz="0" w:space="0" w:color="auto"/>
        <w:right w:val="none" w:sz="0" w:space="0" w:color="auto"/>
      </w:divBdr>
    </w:div>
    <w:div w:id="28654353">
      <w:bodyDiv w:val="1"/>
      <w:marLeft w:val="0"/>
      <w:marRight w:val="0"/>
      <w:marTop w:val="0"/>
      <w:marBottom w:val="0"/>
      <w:divBdr>
        <w:top w:val="none" w:sz="0" w:space="0" w:color="auto"/>
        <w:left w:val="none" w:sz="0" w:space="0" w:color="auto"/>
        <w:bottom w:val="none" w:sz="0" w:space="0" w:color="auto"/>
        <w:right w:val="none" w:sz="0" w:space="0" w:color="auto"/>
      </w:divBdr>
    </w:div>
    <w:div w:id="31419315">
      <w:bodyDiv w:val="1"/>
      <w:marLeft w:val="0"/>
      <w:marRight w:val="0"/>
      <w:marTop w:val="0"/>
      <w:marBottom w:val="0"/>
      <w:divBdr>
        <w:top w:val="none" w:sz="0" w:space="0" w:color="auto"/>
        <w:left w:val="none" w:sz="0" w:space="0" w:color="auto"/>
        <w:bottom w:val="none" w:sz="0" w:space="0" w:color="auto"/>
        <w:right w:val="none" w:sz="0" w:space="0" w:color="auto"/>
      </w:divBdr>
    </w:div>
    <w:div w:id="33235206">
      <w:bodyDiv w:val="1"/>
      <w:marLeft w:val="0"/>
      <w:marRight w:val="0"/>
      <w:marTop w:val="0"/>
      <w:marBottom w:val="0"/>
      <w:divBdr>
        <w:top w:val="none" w:sz="0" w:space="0" w:color="auto"/>
        <w:left w:val="none" w:sz="0" w:space="0" w:color="auto"/>
        <w:bottom w:val="none" w:sz="0" w:space="0" w:color="auto"/>
        <w:right w:val="none" w:sz="0" w:space="0" w:color="auto"/>
      </w:divBdr>
    </w:div>
    <w:div w:id="37513521">
      <w:bodyDiv w:val="1"/>
      <w:marLeft w:val="0"/>
      <w:marRight w:val="0"/>
      <w:marTop w:val="0"/>
      <w:marBottom w:val="0"/>
      <w:divBdr>
        <w:top w:val="none" w:sz="0" w:space="0" w:color="auto"/>
        <w:left w:val="none" w:sz="0" w:space="0" w:color="auto"/>
        <w:bottom w:val="none" w:sz="0" w:space="0" w:color="auto"/>
        <w:right w:val="none" w:sz="0" w:space="0" w:color="auto"/>
      </w:divBdr>
    </w:div>
    <w:div w:id="42872560">
      <w:bodyDiv w:val="1"/>
      <w:marLeft w:val="0"/>
      <w:marRight w:val="0"/>
      <w:marTop w:val="0"/>
      <w:marBottom w:val="0"/>
      <w:divBdr>
        <w:top w:val="none" w:sz="0" w:space="0" w:color="auto"/>
        <w:left w:val="none" w:sz="0" w:space="0" w:color="auto"/>
        <w:bottom w:val="none" w:sz="0" w:space="0" w:color="auto"/>
        <w:right w:val="none" w:sz="0" w:space="0" w:color="auto"/>
      </w:divBdr>
    </w:div>
    <w:div w:id="67383206">
      <w:bodyDiv w:val="1"/>
      <w:marLeft w:val="0"/>
      <w:marRight w:val="0"/>
      <w:marTop w:val="0"/>
      <w:marBottom w:val="0"/>
      <w:divBdr>
        <w:top w:val="none" w:sz="0" w:space="0" w:color="auto"/>
        <w:left w:val="none" w:sz="0" w:space="0" w:color="auto"/>
        <w:bottom w:val="none" w:sz="0" w:space="0" w:color="auto"/>
        <w:right w:val="none" w:sz="0" w:space="0" w:color="auto"/>
      </w:divBdr>
    </w:div>
    <w:div w:id="78408580">
      <w:bodyDiv w:val="1"/>
      <w:marLeft w:val="0"/>
      <w:marRight w:val="0"/>
      <w:marTop w:val="0"/>
      <w:marBottom w:val="0"/>
      <w:divBdr>
        <w:top w:val="none" w:sz="0" w:space="0" w:color="auto"/>
        <w:left w:val="none" w:sz="0" w:space="0" w:color="auto"/>
        <w:bottom w:val="none" w:sz="0" w:space="0" w:color="auto"/>
        <w:right w:val="none" w:sz="0" w:space="0" w:color="auto"/>
      </w:divBdr>
    </w:div>
    <w:div w:id="141973465">
      <w:bodyDiv w:val="1"/>
      <w:marLeft w:val="0"/>
      <w:marRight w:val="0"/>
      <w:marTop w:val="0"/>
      <w:marBottom w:val="0"/>
      <w:divBdr>
        <w:top w:val="none" w:sz="0" w:space="0" w:color="auto"/>
        <w:left w:val="none" w:sz="0" w:space="0" w:color="auto"/>
        <w:bottom w:val="none" w:sz="0" w:space="0" w:color="auto"/>
        <w:right w:val="none" w:sz="0" w:space="0" w:color="auto"/>
      </w:divBdr>
    </w:div>
    <w:div w:id="146940725">
      <w:bodyDiv w:val="1"/>
      <w:marLeft w:val="0"/>
      <w:marRight w:val="0"/>
      <w:marTop w:val="0"/>
      <w:marBottom w:val="0"/>
      <w:divBdr>
        <w:top w:val="none" w:sz="0" w:space="0" w:color="auto"/>
        <w:left w:val="none" w:sz="0" w:space="0" w:color="auto"/>
        <w:bottom w:val="none" w:sz="0" w:space="0" w:color="auto"/>
        <w:right w:val="none" w:sz="0" w:space="0" w:color="auto"/>
      </w:divBdr>
    </w:div>
    <w:div w:id="167208661">
      <w:bodyDiv w:val="1"/>
      <w:marLeft w:val="0"/>
      <w:marRight w:val="0"/>
      <w:marTop w:val="0"/>
      <w:marBottom w:val="0"/>
      <w:divBdr>
        <w:top w:val="none" w:sz="0" w:space="0" w:color="auto"/>
        <w:left w:val="none" w:sz="0" w:space="0" w:color="auto"/>
        <w:bottom w:val="none" w:sz="0" w:space="0" w:color="auto"/>
        <w:right w:val="none" w:sz="0" w:space="0" w:color="auto"/>
      </w:divBdr>
    </w:div>
    <w:div w:id="171915016">
      <w:bodyDiv w:val="1"/>
      <w:marLeft w:val="0"/>
      <w:marRight w:val="0"/>
      <w:marTop w:val="0"/>
      <w:marBottom w:val="0"/>
      <w:divBdr>
        <w:top w:val="none" w:sz="0" w:space="0" w:color="auto"/>
        <w:left w:val="none" w:sz="0" w:space="0" w:color="auto"/>
        <w:bottom w:val="none" w:sz="0" w:space="0" w:color="auto"/>
        <w:right w:val="none" w:sz="0" w:space="0" w:color="auto"/>
      </w:divBdr>
      <w:divsChild>
        <w:div w:id="144053603">
          <w:marLeft w:val="0"/>
          <w:marRight w:val="0"/>
          <w:marTop w:val="0"/>
          <w:marBottom w:val="0"/>
          <w:divBdr>
            <w:top w:val="none" w:sz="0" w:space="0" w:color="auto"/>
            <w:left w:val="none" w:sz="0" w:space="0" w:color="auto"/>
            <w:bottom w:val="none" w:sz="0" w:space="0" w:color="auto"/>
            <w:right w:val="none" w:sz="0" w:space="0" w:color="auto"/>
          </w:divBdr>
        </w:div>
      </w:divsChild>
    </w:div>
    <w:div w:id="183792264">
      <w:bodyDiv w:val="1"/>
      <w:marLeft w:val="0"/>
      <w:marRight w:val="0"/>
      <w:marTop w:val="0"/>
      <w:marBottom w:val="0"/>
      <w:divBdr>
        <w:top w:val="none" w:sz="0" w:space="0" w:color="auto"/>
        <w:left w:val="none" w:sz="0" w:space="0" w:color="auto"/>
        <w:bottom w:val="none" w:sz="0" w:space="0" w:color="auto"/>
        <w:right w:val="none" w:sz="0" w:space="0" w:color="auto"/>
      </w:divBdr>
    </w:div>
    <w:div w:id="186063702">
      <w:bodyDiv w:val="1"/>
      <w:marLeft w:val="0"/>
      <w:marRight w:val="0"/>
      <w:marTop w:val="0"/>
      <w:marBottom w:val="0"/>
      <w:divBdr>
        <w:top w:val="none" w:sz="0" w:space="0" w:color="auto"/>
        <w:left w:val="none" w:sz="0" w:space="0" w:color="auto"/>
        <w:bottom w:val="none" w:sz="0" w:space="0" w:color="auto"/>
        <w:right w:val="none" w:sz="0" w:space="0" w:color="auto"/>
      </w:divBdr>
    </w:div>
    <w:div w:id="198251522">
      <w:bodyDiv w:val="1"/>
      <w:marLeft w:val="0"/>
      <w:marRight w:val="0"/>
      <w:marTop w:val="0"/>
      <w:marBottom w:val="0"/>
      <w:divBdr>
        <w:top w:val="none" w:sz="0" w:space="0" w:color="auto"/>
        <w:left w:val="none" w:sz="0" w:space="0" w:color="auto"/>
        <w:bottom w:val="none" w:sz="0" w:space="0" w:color="auto"/>
        <w:right w:val="none" w:sz="0" w:space="0" w:color="auto"/>
      </w:divBdr>
    </w:div>
    <w:div w:id="216165282">
      <w:bodyDiv w:val="1"/>
      <w:marLeft w:val="0"/>
      <w:marRight w:val="0"/>
      <w:marTop w:val="0"/>
      <w:marBottom w:val="0"/>
      <w:divBdr>
        <w:top w:val="none" w:sz="0" w:space="0" w:color="auto"/>
        <w:left w:val="none" w:sz="0" w:space="0" w:color="auto"/>
        <w:bottom w:val="none" w:sz="0" w:space="0" w:color="auto"/>
        <w:right w:val="none" w:sz="0" w:space="0" w:color="auto"/>
      </w:divBdr>
    </w:div>
    <w:div w:id="217598461">
      <w:bodyDiv w:val="1"/>
      <w:marLeft w:val="0"/>
      <w:marRight w:val="0"/>
      <w:marTop w:val="0"/>
      <w:marBottom w:val="0"/>
      <w:divBdr>
        <w:top w:val="none" w:sz="0" w:space="0" w:color="auto"/>
        <w:left w:val="none" w:sz="0" w:space="0" w:color="auto"/>
        <w:bottom w:val="none" w:sz="0" w:space="0" w:color="auto"/>
        <w:right w:val="none" w:sz="0" w:space="0" w:color="auto"/>
      </w:divBdr>
    </w:div>
    <w:div w:id="228884147">
      <w:bodyDiv w:val="1"/>
      <w:marLeft w:val="0"/>
      <w:marRight w:val="0"/>
      <w:marTop w:val="0"/>
      <w:marBottom w:val="0"/>
      <w:divBdr>
        <w:top w:val="none" w:sz="0" w:space="0" w:color="auto"/>
        <w:left w:val="none" w:sz="0" w:space="0" w:color="auto"/>
        <w:bottom w:val="none" w:sz="0" w:space="0" w:color="auto"/>
        <w:right w:val="none" w:sz="0" w:space="0" w:color="auto"/>
      </w:divBdr>
    </w:div>
    <w:div w:id="250286900">
      <w:bodyDiv w:val="1"/>
      <w:marLeft w:val="0"/>
      <w:marRight w:val="0"/>
      <w:marTop w:val="0"/>
      <w:marBottom w:val="0"/>
      <w:divBdr>
        <w:top w:val="none" w:sz="0" w:space="0" w:color="auto"/>
        <w:left w:val="none" w:sz="0" w:space="0" w:color="auto"/>
        <w:bottom w:val="none" w:sz="0" w:space="0" w:color="auto"/>
        <w:right w:val="none" w:sz="0" w:space="0" w:color="auto"/>
      </w:divBdr>
      <w:divsChild>
        <w:div w:id="580481059">
          <w:marLeft w:val="0"/>
          <w:marRight w:val="0"/>
          <w:marTop w:val="0"/>
          <w:marBottom w:val="0"/>
          <w:divBdr>
            <w:top w:val="none" w:sz="0" w:space="0" w:color="auto"/>
            <w:left w:val="none" w:sz="0" w:space="0" w:color="auto"/>
            <w:bottom w:val="none" w:sz="0" w:space="0" w:color="auto"/>
            <w:right w:val="none" w:sz="0" w:space="0" w:color="auto"/>
          </w:divBdr>
        </w:div>
      </w:divsChild>
    </w:div>
    <w:div w:id="258222161">
      <w:bodyDiv w:val="1"/>
      <w:marLeft w:val="0"/>
      <w:marRight w:val="0"/>
      <w:marTop w:val="0"/>
      <w:marBottom w:val="0"/>
      <w:divBdr>
        <w:top w:val="none" w:sz="0" w:space="0" w:color="auto"/>
        <w:left w:val="none" w:sz="0" w:space="0" w:color="auto"/>
        <w:bottom w:val="none" w:sz="0" w:space="0" w:color="auto"/>
        <w:right w:val="none" w:sz="0" w:space="0" w:color="auto"/>
      </w:divBdr>
    </w:div>
    <w:div w:id="259686311">
      <w:bodyDiv w:val="1"/>
      <w:marLeft w:val="0"/>
      <w:marRight w:val="0"/>
      <w:marTop w:val="0"/>
      <w:marBottom w:val="0"/>
      <w:divBdr>
        <w:top w:val="none" w:sz="0" w:space="0" w:color="auto"/>
        <w:left w:val="none" w:sz="0" w:space="0" w:color="auto"/>
        <w:bottom w:val="none" w:sz="0" w:space="0" w:color="auto"/>
        <w:right w:val="none" w:sz="0" w:space="0" w:color="auto"/>
      </w:divBdr>
    </w:div>
    <w:div w:id="277102021">
      <w:bodyDiv w:val="1"/>
      <w:marLeft w:val="0"/>
      <w:marRight w:val="0"/>
      <w:marTop w:val="0"/>
      <w:marBottom w:val="0"/>
      <w:divBdr>
        <w:top w:val="none" w:sz="0" w:space="0" w:color="auto"/>
        <w:left w:val="none" w:sz="0" w:space="0" w:color="auto"/>
        <w:bottom w:val="none" w:sz="0" w:space="0" w:color="auto"/>
        <w:right w:val="none" w:sz="0" w:space="0" w:color="auto"/>
      </w:divBdr>
    </w:div>
    <w:div w:id="300617512">
      <w:bodyDiv w:val="1"/>
      <w:marLeft w:val="0"/>
      <w:marRight w:val="0"/>
      <w:marTop w:val="0"/>
      <w:marBottom w:val="0"/>
      <w:divBdr>
        <w:top w:val="none" w:sz="0" w:space="0" w:color="auto"/>
        <w:left w:val="none" w:sz="0" w:space="0" w:color="auto"/>
        <w:bottom w:val="none" w:sz="0" w:space="0" w:color="auto"/>
        <w:right w:val="none" w:sz="0" w:space="0" w:color="auto"/>
      </w:divBdr>
    </w:div>
    <w:div w:id="304504886">
      <w:bodyDiv w:val="1"/>
      <w:marLeft w:val="0"/>
      <w:marRight w:val="0"/>
      <w:marTop w:val="0"/>
      <w:marBottom w:val="0"/>
      <w:divBdr>
        <w:top w:val="none" w:sz="0" w:space="0" w:color="auto"/>
        <w:left w:val="none" w:sz="0" w:space="0" w:color="auto"/>
        <w:bottom w:val="none" w:sz="0" w:space="0" w:color="auto"/>
        <w:right w:val="none" w:sz="0" w:space="0" w:color="auto"/>
      </w:divBdr>
    </w:div>
    <w:div w:id="317804271">
      <w:bodyDiv w:val="1"/>
      <w:marLeft w:val="0"/>
      <w:marRight w:val="0"/>
      <w:marTop w:val="0"/>
      <w:marBottom w:val="0"/>
      <w:divBdr>
        <w:top w:val="none" w:sz="0" w:space="0" w:color="auto"/>
        <w:left w:val="none" w:sz="0" w:space="0" w:color="auto"/>
        <w:bottom w:val="none" w:sz="0" w:space="0" w:color="auto"/>
        <w:right w:val="none" w:sz="0" w:space="0" w:color="auto"/>
      </w:divBdr>
    </w:div>
    <w:div w:id="333725043">
      <w:bodyDiv w:val="1"/>
      <w:marLeft w:val="0"/>
      <w:marRight w:val="0"/>
      <w:marTop w:val="0"/>
      <w:marBottom w:val="0"/>
      <w:divBdr>
        <w:top w:val="none" w:sz="0" w:space="0" w:color="auto"/>
        <w:left w:val="none" w:sz="0" w:space="0" w:color="auto"/>
        <w:bottom w:val="none" w:sz="0" w:space="0" w:color="auto"/>
        <w:right w:val="none" w:sz="0" w:space="0" w:color="auto"/>
      </w:divBdr>
    </w:div>
    <w:div w:id="335695387">
      <w:bodyDiv w:val="1"/>
      <w:marLeft w:val="0"/>
      <w:marRight w:val="0"/>
      <w:marTop w:val="0"/>
      <w:marBottom w:val="0"/>
      <w:divBdr>
        <w:top w:val="none" w:sz="0" w:space="0" w:color="auto"/>
        <w:left w:val="none" w:sz="0" w:space="0" w:color="auto"/>
        <w:bottom w:val="none" w:sz="0" w:space="0" w:color="auto"/>
        <w:right w:val="none" w:sz="0" w:space="0" w:color="auto"/>
      </w:divBdr>
    </w:div>
    <w:div w:id="352460052">
      <w:bodyDiv w:val="1"/>
      <w:marLeft w:val="0"/>
      <w:marRight w:val="0"/>
      <w:marTop w:val="0"/>
      <w:marBottom w:val="0"/>
      <w:divBdr>
        <w:top w:val="none" w:sz="0" w:space="0" w:color="auto"/>
        <w:left w:val="none" w:sz="0" w:space="0" w:color="auto"/>
        <w:bottom w:val="none" w:sz="0" w:space="0" w:color="auto"/>
        <w:right w:val="none" w:sz="0" w:space="0" w:color="auto"/>
      </w:divBdr>
      <w:divsChild>
        <w:div w:id="1007832543">
          <w:marLeft w:val="0"/>
          <w:marRight w:val="0"/>
          <w:marTop w:val="0"/>
          <w:marBottom w:val="0"/>
          <w:divBdr>
            <w:top w:val="none" w:sz="0" w:space="0" w:color="auto"/>
            <w:left w:val="none" w:sz="0" w:space="0" w:color="auto"/>
            <w:bottom w:val="none" w:sz="0" w:space="0" w:color="auto"/>
            <w:right w:val="none" w:sz="0" w:space="0" w:color="auto"/>
          </w:divBdr>
        </w:div>
      </w:divsChild>
    </w:div>
    <w:div w:id="358817660">
      <w:bodyDiv w:val="1"/>
      <w:marLeft w:val="0"/>
      <w:marRight w:val="0"/>
      <w:marTop w:val="0"/>
      <w:marBottom w:val="0"/>
      <w:divBdr>
        <w:top w:val="none" w:sz="0" w:space="0" w:color="auto"/>
        <w:left w:val="none" w:sz="0" w:space="0" w:color="auto"/>
        <w:bottom w:val="none" w:sz="0" w:space="0" w:color="auto"/>
        <w:right w:val="none" w:sz="0" w:space="0" w:color="auto"/>
      </w:divBdr>
    </w:div>
    <w:div w:id="399250996">
      <w:bodyDiv w:val="1"/>
      <w:marLeft w:val="0"/>
      <w:marRight w:val="0"/>
      <w:marTop w:val="0"/>
      <w:marBottom w:val="0"/>
      <w:divBdr>
        <w:top w:val="none" w:sz="0" w:space="0" w:color="auto"/>
        <w:left w:val="none" w:sz="0" w:space="0" w:color="auto"/>
        <w:bottom w:val="none" w:sz="0" w:space="0" w:color="auto"/>
        <w:right w:val="none" w:sz="0" w:space="0" w:color="auto"/>
      </w:divBdr>
    </w:div>
    <w:div w:id="419834410">
      <w:bodyDiv w:val="1"/>
      <w:marLeft w:val="0"/>
      <w:marRight w:val="0"/>
      <w:marTop w:val="0"/>
      <w:marBottom w:val="0"/>
      <w:divBdr>
        <w:top w:val="none" w:sz="0" w:space="0" w:color="auto"/>
        <w:left w:val="none" w:sz="0" w:space="0" w:color="auto"/>
        <w:bottom w:val="none" w:sz="0" w:space="0" w:color="auto"/>
        <w:right w:val="none" w:sz="0" w:space="0" w:color="auto"/>
      </w:divBdr>
      <w:divsChild>
        <w:div w:id="74210451">
          <w:marLeft w:val="0"/>
          <w:marRight w:val="0"/>
          <w:marTop w:val="0"/>
          <w:marBottom w:val="0"/>
          <w:divBdr>
            <w:top w:val="none" w:sz="0" w:space="0" w:color="auto"/>
            <w:left w:val="none" w:sz="0" w:space="0" w:color="auto"/>
            <w:bottom w:val="none" w:sz="0" w:space="0" w:color="auto"/>
            <w:right w:val="none" w:sz="0" w:space="0" w:color="auto"/>
          </w:divBdr>
        </w:div>
      </w:divsChild>
    </w:div>
    <w:div w:id="421756031">
      <w:bodyDiv w:val="1"/>
      <w:marLeft w:val="0"/>
      <w:marRight w:val="0"/>
      <w:marTop w:val="0"/>
      <w:marBottom w:val="0"/>
      <w:divBdr>
        <w:top w:val="none" w:sz="0" w:space="0" w:color="auto"/>
        <w:left w:val="none" w:sz="0" w:space="0" w:color="auto"/>
        <w:bottom w:val="none" w:sz="0" w:space="0" w:color="auto"/>
        <w:right w:val="none" w:sz="0" w:space="0" w:color="auto"/>
      </w:divBdr>
    </w:div>
    <w:div w:id="422458511">
      <w:bodyDiv w:val="1"/>
      <w:marLeft w:val="0"/>
      <w:marRight w:val="0"/>
      <w:marTop w:val="0"/>
      <w:marBottom w:val="0"/>
      <w:divBdr>
        <w:top w:val="none" w:sz="0" w:space="0" w:color="auto"/>
        <w:left w:val="none" w:sz="0" w:space="0" w:color="auto"/>
        <w:bottom w:val="none" w:sz="0" w:space="0" w:color="auto"/>
        <w:right w:val="none" w:sz="0" w:space="0" w:color="auto"/>
      </w:divBdr>
      <w:divsChild>
        <w:div w:id="786432845">
          <w:marLeft w:val="0"/>
          <w:marRight w:val="0"/>
          <w:marTop w:val="0"/>
          <w:marBottom w:val="0"/>
          <w:divBdr>
            <w:top w:val="none" w:sz="0" w:space="0" w:color="auto"/>
            <w:left w:val="none" w:sz="0" w:space="0" w:color="auto"/>
            <w:bottom w:val="none" w:sz="0" w:space="0" w:color="auto"/>
            <w:right w:val="none" w:sz="0" w:space="0" w:color="auto"/>
          </w:divBdr>
        </w:div>
      </w:divsChild>
    </w:div>
    <w:div w:id="434524272">
      <w:bodyDiv w:val="1"/>
      <w:marLeft w:val="0"/>
      <w:marRight w:val="0"/>
      <w:marTop w:val="0"/>
      <w:marBottom w:val="0"/>
      <w:divBdr>
        <w:top w:val="none" w:sz="0" w:space="0" w:color="auto"/>
        <w:left w:val="none" w:sz="0" w:space="0" w:color="auto"/>
        <w:bottom w:val="none" w:sz="0" w:space="0" w:color="auto"/>
        <w:right w:val="none" w:sz="0" w:space="0" w:color="auto"/>
      </w:divBdr>
    </w:div>
    <w:div w:id="436219598">
      <w:bodyDiv w:val="1"/>
      <w:marLeft w:val="0"/>
      <w:marRight w:val="0"/>
      <w:marTop w:val="0"/>
      <w:marBottom w:val="0"/>
      <w:divBdr>
        <w:top w:val="none" w:sz="0" w:space="0" w:color="auto"/>
        <w:left w:val="none" w:sz="0" w:space="0" w:color="auto"/>
        <w:bottom w:val="none" w:sz="0" w:space="0" w:color="auto"/>
        <w:right w:val="none" w:sz="0" w:space="0" w:color="auto"/>
      </w:divBdr>
      <w:divsChild>
        <w:div w:id="1149980797">
          <w:blockQuote w:val="1"/>
          <w:marLeft w:val="720"/>
          <w:marRight w:val="720"/>
          <w:marTop w:val="100"/>
          <w:marBottom w:val="100"/>
          <w:divBdr>
            <w:top w:val="none" w:sz="0" w:space="0" w:color="auto"/>
            <w:left w:val="none" w:sz="0" w:space="0" w:color="auto"/>
            <w:bottom w:val="none" w:sz="0" w:space="0" w:color="auto"/>
            <w:right w:val="none" w:sz="0" w:space="0" w:color="auto"/>
          </w:divBdr>
        </w:div>
        <w:div w:id="1065888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43429823">
      <w:bodyDiv w:val="1"/>
      <w:marLeft w:val="0"/>
      <w:marRight w:val="0"/>
      <w:marTop w:val="0"/>
      <w:marBottom w:val="0"/>
      <w:divBdr>
        <w:top w:val="none" w:sz="0" w:space="0" w:color="auto"/>
        <w:left w:val="none" w:sz="0" w:space="0" w:color="auto"/>
        <w:bottom w:val="none" w:sz="0" w:space="0" w:color="auto"/>
        <w:right w:val="none" w:sz="0" w:space="0" w:color="auto"/>
      </w:divBdr>
    </w:div>
    <w:div w:id="481311685">
      <w:bodyDiv w:val="1"/>
      <w:marLeft w:val="0"/>
      <w:marRight w:val="0"/>
      <w:marTop w:val="0"/>
      <w:marBottom w:val="0"/>
      <w:divBdr>
        <w:top w:val="none" w:sz="0" w:space="0" w:color="auto"/>
        <w:left w:val="none" w:sz="0" w:space="0" w:color="auto"/>
        <w:bottom w:val="none" w:sz="0" w:space="0" w:color="auto"/>
        <w:right w:val="none" w:sz="0" w:space="0" w:color="auto"/>
      </w:divBdr>
    </w:div>
    <w:div w:id="492375064">
      <w:bodyDiv w:val="1"/>
      <w:marLeft w:val="0"/>
      <w:marRight w:val="0"/>
      <w:marTop w:val="0"/>
      <w:marBottom w:val="0"/>
      <w:divBdr>
        <w:top w:val="none" w:sz="0" w:space="0" w:color="auto"/>
        <w:left w:val="none" w:sz="0" w:space="0" w:color="auto"/>
        <w:bottom w:val="none" w:sz="0" w:space="0" w:color="auto"/>
        <w:right w:val="none" w:sz="0" w:space="0" w:color="auto"/>
      </w:divBdr>
    </w:div>
    <w:div w:id="498498370">
      <w:bodyDiv w:val="1"/>
      <w:marLeft w:val="0"/>
      <w:marRight w:val="0"/>
      <w:marTop w:val="0"/>
      <w:marBottom w:val="0"/>
      <w:divBdr>
        <w:top w:val="none" w:sz="0" w:space="0" w:color="auto"/>
        <w:left w:val="none" w:sz="0" w:space="0" w:color="auto"/>
        <w:bottom w:val="none" w:sz="0" w:space="0" w:color="auto"/>
        <w:right w:val="none" w:sz="0" w:space="0" w:color="auto"/>
      </w:divBdr>
    </w:div>
    <w:div w:id="520558245">
      <w:bodyDiv w:val="1"/>
      <w:marLeft w:val="0"/>
      <w:marRight w:val="0"/>
      <w:marTop w:val="0"/>
      <w:marBottom w:val="0"/>
      <w:divBdr>
        <w:top w:val="none" w:sz="0" w:space="0" w:color="auto"/>
        <w:left w:val="none" w:sz="0" w:space="0" w:color="auto"/>
        <w:bottom w:val="none" w:sz="0" w:space="0" w:color="auto"/>
        <w:right w:val="none" w:sz="0" w:space="0" w:color="auto"/>
      </w:divBdr>
      <w:divsChild>
        <w:div w:id="842664958">
          <w:marLeft w:val="0"/>
          <w:marRight w:val="0"/>
          <w:marTop w:val="0"/>
          <w:marBottom w:val="0"/>
          <w:divBdr>
            <w:top w:val="none" w:sz="0" w:space="0" w:color="auto"/>
            <w:left w:val="none" w:sz="0" w:space="0" w:color="auto"/>
            <w:bottom w:val="none" w:sz="0" w:space="0" w:color="auto"/>
            <w:right w:val="none" w:sz="0" w:space="0" w:color="auto"/>
          </w:divBdr>
        </w:div>
      </w:divsChild>
    </w:div>
    <w:div w:id="582570154">
      <w:bodyDiv w:val="1"/>
      <w:marLeft w:val="0"/>
      <w:marRight w:val="0"/>
      <w:marTop w:val="0"/>
      <w:marBottom w:val="0"/>
      <w:divBdr>
        <w:top w:val="none" w:sz="0" w:space="0" w:color="auto"/>
        <w:left w:val="none" w:sz="0" w:space="0" w:color="auto"/>
        <w:bottom w:val="none" w:sz="0" w:space="0" w:color="auto"/>
        <w:right w:val="none" w:sz="0" w:space="0" w:color="auto"/>
      </w:divBdr>
      <w:divsChild>
        <w:div w:id="378864887">
          <w:marLeft w:val="0"/>
          <w:marRight w:val="0"/>
          <w:marTop w:val="0"/>
          <w:marBottom w:val="0"/>
          <w:divBdr>
            <w:top w:val="none" w:sz="0" w:space="0" w:color="auto"/>
            <w:left w:val="none" w:sz="0" w:space="0" w:color="auto"/>
            <w:bottom w:val="none" w:sz="0" w:space="0" w:color="auto"/>
            <w:right w:val="none" w:sz="0" w:space="0" w:color="auto"/>
          </w:divBdr>
          <w:divsChild>
            <w:div w:id="1559318284">
              <w:marLeft w:val="0"/>
              <w:marRight w:val="0"/>
              <w:marTop w:val="0"/>
              <w:marBottom w:val="0"/>
              <w:divBdr>
                <w:top w:val="none" w:sz="0" w:space="0" w:color="auto"/>
                <w:left w:val="none" w:sz="0" w:space="0" w:color="auto"/>
                <w:bottom w:val="none" w:sz="0" w:space="0" w:color="auto"/>
                <w:right w:val="none" w:sz="0" w:space="0" w:color="auto"/>
              </w:divBdr>
            </w:div>
          </w:divsChild>
        </w:div>
        <w:div w:id="2062511676">
          <w:marLeft w:val="0"/>
          <w:marRight w:val="0"/>
          <w:marTop w:val="0"/>
          <w:marBottom w:val="0"/>
          <w:divBdr>
            <w:top w:val="none" w:sz="0" w:space="0" w:color="auto"/>
            <w:left w:val="none" w:sz="0" w:space="0" w:color="auto"/>
            <w:bottom w:val="none" w:sz="0" w:space="0" w:color="auto"/>
            <w:right w:val="none" w:sz="0" w:space="0" w:color="auto"/>
          </w:divBdr>
          <w:divsChild>
            <w:div w:id="102521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251118">
      <w:bodyDiv w:val="1"/>
      <w:marLeft w:val="0"/>
      <w:marRight w:val="0"/>
      <w:marTop w:val="0"/>
      <w:marBottom w:val="0"/>
      <w:divBdr>
        <w:top w:val="none" w:sz="0" w:space="0" w:color="auto"/>
        <w:left w:val="none" w:sz="0" w:space="0" w:color="auto"/>
        <w:bottom w:val="none" w:sz="0" w:space="0" w:color="auto"/>
        <w:right w:val="none" w:sz="0" w:space="0" w:color="auto"/>
      </w:divBdr>
    </w:div>
    <w:div w:id="602954979">
      <w:bodyDiv w:val="1"/>
      <w:marLeft w:val="0"/>
      <w:marRight w:val="0"/>
      <w:marTop w:val="0"/>
      <w:marBottom w:val="0"/>
      <w:divBdr>
        <w:top w:val="none" w:sz="0" w:space="0" w:color="auto"/>
        <w:left w:val="none" w:sz="0" w:space="0" w:color="auto"/>
        <w:bottom w:val="none" w:sz="0" w:space="0" w:color="auto"/>
        <w:right w:val="none" w:sz="0" w:space="0" w:color="auto"/>
      </w:divBdr>
    </w:div>
    <w:div w:id="656346023">
      <w:bodyDiv w:val="1"/>
      <w:marLeft w:val="0"/>
      <w:marRight w:val="0"/>
      <w:marTop w:val="0"/>
      <w:marBottom w:val="0"/>
      <w:divBdr>
        <w:top w:val="none" w:sz="0" w:space="0" w:color="auto"/>
        <w:left w:val="none" w:sz="0" w:space="0" w:color="auto"/>
        <w:bottom w:val="none" w:sz="0" w:space="0" w:color="auto"/>
        <w:right w:val="none" w:sz="0" w:space="0" w:color="auto"/>
      </w:divBdr>
    </w:div>
    <w:div w:id="696391188">
      <w:bodyDiv w:val="1"/>
      <w:marLeft w:val="0"/>
      <w:marRight w:val="0"/>
      <w:marTop w:val="0"/>
      <w:marBottom w:val="0"/>
      <w:divBdr>
        <w:top w:val="none" w:sz="0" w:space="0" w:color="auto"/>
        <w:left w:val="none" w:sz="0" w:space="0" w:color="auto"/>
        <w:bottom w:val="none" w:sz="0" w:space="0" w:color="auto"/>
        <w:right w:val="none" w:sz="0" w:space="0" w:color="auto"/>
      </w:divBdr>
    </w:div>
    <w:div w:id="704526672">
      <w:bodyDiv w:val="1"/>
      <w:marLeft w:val="0"/>
      <w:marRight w:val="0"/>
      <w:marTop w:val="0"/>
      <w:marBottom w:val="0"/>
      <w:divBdr>
        <w:top w:val="none" w:sz="0" w:space="0" w:color="auto"/>
        <w:left w:val="none" w:sz="0" w:space="0" w:color="auto"/>
        <w:bottom w:val="none" w:sz="0" w:space="0" w:color="auto"/>
        <w:right w:val="none" w:sz="0" w:space="0" w:color="auto"/>
      </w:divBdr>
    </w:div>
    <w:div w:id="706641058">
      <w:bodyDiv w:val="1"/>
      <w:marLeft w:val="0"/>
      <w:marRight w:val="0"/>
      <w:marTop w:val="0"/>
      <w:marBottom w:val="0"/>
      <w:divBdr>
        <w:top w:val="none" w:sz="0" w:space="0" w:color="auto"/>
        <w:left w:val="none" w:sz="0" w:space="0" w:color="auto"/>
        <w:bottom w:val="none" w:sz="0" w:space="0" w:color="auto"/>
        <w:right w:val="none" w:sz="0" w:space="0" w:color="auto"/>
      </w:divBdr>
    </w:div>
    <w:div w:id="714695017">
      <w:bodyDiv w:val="1"/>
      <w:marLeft w:val="0"/>
      <w:marRight w:val="0"/>
      <w:marTop w:val="0"/>
      <w:marBottom w:val="0"/>
      <w:divBdr>
        <w:top w:val="none" w:sz="0" w:space="0" w:color="auto"/>
        <w:left w:val="none" w:sz="0" w:space="0" w:color="auto"/>
        <w:bottom w:val="none" w:sz="0" w:space="0" w:color="auto"/>
        <w:right w:val="none" w:sz="0" w:space="0" w:color="auto"/>
      </w:divBdr>
    </w:div>
    <w:div w:id="721563684">
      <w:bodyDiv w:val="1"/>
      <w:marLeft w:val="0"/>
      <w:marRight w:val="0"/>
      <w:marTop w:val="0"/>
      <w:marBottom w:val="0"/>
      <w:divBdr>
        <w:top w:val="none" w:sz="0" w:space="0" w:color="auto"/>
        <w:left w:val="none" w:sz="0" w:space="0" w:color="auto"/>
        <w:bottom w:val="none" w:sz="0" w:space="0" w:color="auto"/>
        <w:right w:val="none" w:sz="0" w:space="0" w:color="auto"/>
      </w:divBdr>
    </w:div>
    <w:div w:id="723330377">
      <w:bodyDiv w:val="1"/>
      <w:marLeft w:val="0"/>
      <w:marRight w:val="0"/>
      <w:marTop w:val="0"/>
      <w:marBottom w:val="0"/>
      <w:divBdr>
        <w:top w:val="none" w:sz="0" w:space="0" w:color="auto"/>
        <w:left w:val="none" w:sz="0" w:space="0" w:color="auto"/>
        <w:bottom w:val="none" w:sz="0" w:space="0" w:color="auto"/>
        <w:right w:val="none" w:sz="0" w:space="0" w:color="auto"/>
      </w:divBdr>
    </w:div>
    <w:div w:id="728384382">
      <w:bodyDiv w:val="1"/>
      <w:marLeft w:val="0"/>
      <w:marRight w:val="0"/>
      <w:marTop w:val="0"/>
      <w:marBottom w:val="0"/>
      <w:divBdr>
        <w:top w:val="none" w:sz="0" w:space="0" w:color="auto"/>
        <w:left w:val="none" w:sz="0" w:space="0" w:color="auto"/>
        <w:bottom w:val="none" w:sz="0" w:space="0" w:color="auto"/>
        <w:right w:val="none" w:sz="0" w:space="0" w:color="auto"/>
      </w:divBdr>
    </w:div>
    <w:div w:id="734163379">
      <w:bodyDiv w:val="1"/>
      <w:marLeft w:val="0"/>
      <w:marRight w:val="0"/>
      <w:marTop w:val="0"/>
      <w:marBottom w:val="0"/>
      <w:divBdr>
        <w:top w:val="none" w:sz="0" w:space="0" w:color="auto"/>
        <w:left w:val="none" w:sz="0" w:space="0" w:color="auto"/>
        <w:bottom w:val="none" w:sz="0" w:space="0" w:color="auto"/>
        <w:right w:val="none" w:sz="0" w:space="0" w:color="auto"/>
      </w:divBdr>
      <w:divsChild>
        <w:div w:id="1360743857">
          <w:marLeft w:val="0"/>
          <w:marRight w:val="0"/>
          <w:marTop w:val="0"/>
          <w:marBottom w:val="0"/>
          <w:divBdr>
            <w:top w:val="none" w:sz="0" w:space="0" w:color="auto"/>
            <w:left w:val="none" w:sz="0" w:space="0" w:color="auto"/>
            <w:bottom w:val="none" w:sz="0" w:space="0" w:color="auto"/>
            <w:right w:val="none" w:sz="0" w:space="0" w:color="auto"/>
          </w:divBdr>
        </w:div>
      </w:divsChild>
    </w:div>
    <w:div w:id="750346909">
      <w:bodyDiv w:val="1"/>
      <w:marLeft w:val="0"/>
      <w:marRight w:val="0"/>
      <w:marTop w:val="0"/>
      <w:marBottom w:val="0"/>
      <w:divBdr>
        <w:top w:val="none" w:sz="0" w:space="0" w:color="auto"/>
        <w:left w:val="none" w:sz="0" w:space="0" w:color="auto"/>
        <w:bottom w:val="none" w:sz="0" w:space="0" w:color="auto"/>
        <w:right w:val="none" w:sz="0" w:space="0" w:color="auto"/>
      </w:divBdr>
    </w:div>
    <w:div w:id="756370393">
      <w:bodyDiv w:val="1"/>
      <w:marLeft w:val="0"/>
      <w:marRight w:val="0"/>
      <w:marTop w:val="0"/>
      <w:marBottom w:val="0"/>
      <w:divBdr>
        <w:top w:val="none" w:sz="0" w:space="0" w:color="auto"/>
        <w:left w:val="none" w:sz="0" w:space="0" w:color="auto"/>
        <w:bottom w:val="none" w:sz="0" w:space="0" w:color="auto"/>
        <w:right w:val="none" w:sz="0" w:space="0" w:color="auto"/>
      </w:divBdr>
    </w:div>
    <w:div w:id="757407733">
      <w:bodyDiv w:val="1"/>
      <w:marLeft w:val="0"/>
      <w:marRight w:val="0"/>
      <w:marTop w:val="0"/>
      <w:marBottom w:val="0"/>
      <w:divBdr>
        <w:top w:val="none" w:sz="0" w:space="0" w:color="auto"/>
        <w:left w:val="none" w:sz="0" w:space="0" w:color="auto"/>
        <w:bottom w:val="none" w:sz="0" w:space="0" w:color="auto"/>
        <w:right w:val="none" w:sz="0" w:space="0" w:color="auto"/>
      </w:divBdr>
    </w:div>
    <w:div w:id="761292221">
      <w:bodyDiv w:val="1"/>
      <w:marLeft w:val="0"/>
      <w:marRight w:val="0"/>
      <w:marTop w:val="0"/>
      <w:marBottom w:val="0"/>
      <w:divBdr>
        <w:top w:val="none" w:sz="0" w:space="0" w:color="auto"/>
        <w:left w:val="none" w:sz="0" w:space="0" w:color="auto"/>
        <w:bottom w:val="none" w:sz="0" w:space="0" w:color="auto"/>
        <w:right w:val="none" w:sz="0" w:space="0" w:color="auto"/>
      </w:divBdr>
    </w:div>
    <w:div w:id="763653272">
      <w:bodyDiv w:val="1"/>
      <w:marLeft w:val="0"/>
      <w:marRight w:val="0"/>
      <w:marTop w:val="0"/>
      <w:marBottom w:val="0"/>
      <w:divBdr>
        <w:top w:val="none" w:sz="0" w:space="0" w:color="auto"/>
        <w:left w:val="none" w:sz="0" w:space="0" w:color="auto"/>
        <w:bottom w:val="none" w:sz="0" w:space="0" w:color="auto"/>
        <w:right w:val="none" w:sz="0" w:space="0" w:color="auto"/>
      </w:divBdr>
    </w:div>
    <w:div w:id="812672219">
      <w:bodyDiv w:val="1"/>
      <w:marLeft w:val="0"/>
      <w:marRight w:val="0"/>
      <w:marTop w:val="0"/>
      <w:marBottom w:val="0"/>
      <w:divBdr>
        <w:top w:val="none" w:sz="0" w:space="0" w:color="auto"/>
        <w:left w:val="none" w:sz="0" w:space="0" w:color="auto"/>
        <w:bottom w:val="none" w:sz="0" w:space="0" w:color="auto"/>
        <w:right w:val="none" w:sz="0" w:space="0" w:color="auto"/>
      </w:divBdr>
    </w:div>
    <w:div w:id="812985612">
      <w:bodyDiv w:val="1"/>
      <w:marLeft w:val="0"/>
      <w:marRight w:val="0"/>
      <w:marTop w:val="0"/>
      <w:marBottom w:val="0"/>
      <w:divBdr>
        <w:top w:val="none" w:sz="0" w:space="0" w:color="auto"/>
        <w:left w:val="none" w:sz="0" w:space="0" w:color="auto"/>
        <w:bottom w:val="none" w:sz="0" w:space="0" w:color="auto"/>
        <w:right w:val="none" w:sz="0" w:space="0" w:color="auto"/>
      </w:divBdr>
    </w:div>
    <w:div w:id="825050658">
      <w:bodyDiv w:val="1"/>
      <w:marLeft w:val="0"/>
      <w:marRight w:val="0"/>
      <w:marTop w:val="0"/>
      <w:marBottom w:val="0"/>
      <w:divBdr>
        <w:top w:val="none" w:sz="0" w:space="0" w:color="auto"/>
        <w:left w:val="none" w:sz="0" w:space="0" w:color="auto"/>
        <w:bottom w:val="none" w:sz="0" w:space="0" w:color="auto"/>
        <w:right w:val="none" w:sz="0" w:space="0" w:color="auto"/>
      </w:divBdr>
    </w:div>
    <w:div w:id="825319194">
      <w:bodyDiv w:val="1"/>
      <w:marLeft w:val="0"/>
      <w:marRight w:val="0"/>
      <w:marTop w:val="0"/>
      <w:marBottom w:val="0"/>
      <w:divBdr>
        <w:top w:val="none" w:sz="0" w:space="0" w:color="auto"/>
        <w:left w:val="none" w:sz="0" w:space="0" w:color="auto"/>
        <w:bottom w:val="none" w:sz="0" w:space="0" w:color="auto"/>
        <w:right w:val="none" w:sz="0" w:space="0" w:color="auto"/>
      </w:divBdr>
    </w:div>
    <w:div w:id="845094400">
      <w:bodyDiv w:val="1"/>
      <w:marLeft w:val="0"/>
      <w:marRight w:val="0"/>
      <w:marTop w:val="0"/>
      <w:marBottom w:val="0"/>
      <w:divBdr>
        <w:top w:val="none" w:sz="0" w:space="0" w:color="auto"/>
        <w:left w:val="none" w:sz="0" w:space="0" w:color="auto"/>
        <w:bottom w:val="none" w:sz="0" w:space="0" w:color="auto"/>
        <w:right w:val="none" w:sz="0" w:space="0" w:color="auto"/>
      </w:divBdr>
    </w:div>
    <w:div w:id="847016889">
      <w:bodyDiv w:val="1"/>
      <w:marLeft w:val="0"/>
      <w:marRight w:val="0"/>
      <w:marTop w:val="0"/>
      <w:marBottom w:val="0"/>
      <w:divBdr>
        <w:top w:val="none" w:sz="0" w:space="0" w:color="auto"/>
        <w:left w:val="none" w:sz="0" w:space="0" w:color="auto"/>
        <w:bottom w:val="none" w:sz="0" w:space="0" w:color="auto"/>
        <w:right w:val="none" w:sz="0" w:space="0" w:color="auto"/>
      </w:divBdr>
    </w:div>
    <w:div w:id="854417771">
      <w:bodyDiv w:val="1"/>
      <w:marLeft w:val="0"/>
      <w:marRight w:val="0"/>
      <w:marTop w:val="0"/>
      <w:marBottom w:val="0"/>
      <w:divBdr>
        <w:top w:val="none" w:sz="0" w:space="0" w:color="auto"/>
        <w:left w:val="none" w:sz="0" w:space="0" w:color="auto"/>
        <w:bottom w:val="none" w:sz="0" w:space="0" w:color="auto"/>
        <w:right w:val="none" w:sz="0" w:space="0" w:color="auto"/>
      </w:divBdr>
    </w:div>
    <w:div w:id="863521427">
      <w:bodyDiv w:val="1"/>
      <w:marLeft w:val="0"/>
      <w:marRight w:val="0"/>
      <w:marTop w:val="0"/>
      <w:marBottom w:val="0"/>
      <w:divBdr>
        <w:top w:val="none" w:sz="0" w:space="0" w:color="auto"/>
        <w:left w:val="none" w:sz="0" w:space="0" w:color="auto"/>
        <w:bottom w:val="none" w:sz="0" w:space="0" w:color="auto"/>
        <w:right w:val="none" w:sz="0" w:space="0" w:color="auto"/>
      </w:divBdr>
    </w:div>
    <w:div w:id="876431130">
      <w:bodyDiv w:val="1"/>
      <w:marLeft w:val="0"/>
      <w:marRight w:val="0"/>
      <w:marTop w:val="0"/>
      <w:marBottom w:val="0"/>
      <w:divBdr>
        <w:top w:val="none" w:sz="0" w:space="0" w:color="auto"/>
        <w:left w:val="none" w:sz="0" w:space="0" w:color="auto"/>
        <w:bottom w:val="none" w:sz="0" w:space="0" w:color="auto"/>
        <w:right w:val="none" w:sz="0" w:space="0" w:color="auto"/>
      </w:divBdr>
    </w:div>
    <w:div w:id="896401591">
      <w:bodyDiv w:val="1"/>
      <w:marLeft w:val="0"/>
      <w:marRight w:val="0"/>
      <w:marTop w:val="0"/>
      <w:marBottom w:val="0"/>
      <w:divBdr>
        <w:top w:val="none" w:sz="0" w:space="0" w:color="auto"/>
        <w:left w:val="none" w:sz="0" w:space="0" w:color="auto"/>
        <w:bottom w:val="none" w:sz="0" w:space="0" w:color="auto"/>
        <w:right w:val="none" w:sz="0" w:space="0" w:color="auto"/>
      </w:divBdr>
    </w:div>
    <w:div w:id="904685097">
      <w:bodyDiv w:val="1"/>
      <w:marLeft w:val="0"/>
      <w:marRight w:val="0"/>
      <w:marTop w:val="0"/>
      <w:marBottom w:val="0"/>
      <w:divBdr>
        <w:top w:val="none" w:sz="0" w:space="0" w:color="auto"/>
        <w:left w:val="none" w:sz="0" w:space="0" w:color="auto"/>
        <w:bottom w:val="none" w:sz="0" w:space="0" w:color="auto"/>
        <w:right w:val="none" w:sz="0" w:space="0" w:color="auto"/>
      </w:divBdr>
      <w:divsChild>
        <w:div w:id="1875726610">
          <w:marLeft w:val="0"/>
          <w:marRight w:val="0"/>
          <w:marTop w:val="0"/>
          <w:marBottom w:val="0"/>
          <w:divBdr>
            <w:top w:val="none" w:sz="0" w:space="0" w:color="auto"/>
            <w:left w:val="none" w:sz="0" w:space="0" w:color="auto"/>
            <w:bottom w:val="none" w:sz="0" w:space="0" w:color="auto"/>
            <w:right w:val="none" w:sz="0" w:space="0" w:color="auto"/>
          </w:divBdr>
        </w:div>
      </w:divsChild>
    </w:div>
    <w:div w:id="923534603">
      <w:bodyDiv w:val="1"/>
      <w:marLeft w:val="0"/>
      <w:marRight w:val="0"/>
      <w:marTop w:val="0"/>
      <w:marBottom w:val="0"/>
      <w:divBdr>
        <w:top w:val="none" w:sz="0" w:space="0" w:color="auto"/>
        <w:left w:val="none" w:sz="0" w:space="0" w:color="auto"/>
        <w:bottom w:val="none" w:sz="0" w:space="0" w:color="auto"/>
        <w:right w:val="none" w:sz="0" w:space="0" w:color="auto"/>
      </w:divBdr>
    </w:div>
    <w:div w:id="941110624">
      <w:bodyDiv w:val="1"/>
      <w:marLeft w:val="0"/>
      <w:marRight w:val="0"/>
      <w:marTop w:val="0"/>
      <w:marBottom w:val="0"/>
      <w:divBdr>
        <w:top w:val="none" w:sz="0" w:space="0" w:color="auto"/>
        <w:left w:val="none" w:sz="0" w:space="0" w:color="auto"/>
        <w:bottom w:val="none" w:sz="0" w:space="0" w:color="auto"/>
        <w:right w:val="none" w:sz="0" w:space="0" w:color="auto"/>
      </w:divBdr>
    </w:div>
    <w:div w:id="950816815">
      <w:bodyDiv w:val="1"/>
      <w:marLeft w:val="0"/>
      <w:marRight w:val="0"/>
      <w:marTop w:val="0"/>
      <w:marBottom w:val="0"/>
      <w:divBdr>
        <w:top w:val="none" w:sz="0" w:space="0" w:color="auto"/>
        <w:left w:val="none" w:sz="0" w:space="0" w:color="auto"/>
        <w:bottom w:val="none" w:sz="0" w:space="0" w:color="auto"/>
        <w:right w:val="none" w:sz="0" w:space="0" w:color="auto"/>
      </w:divBdr>
    </w:div>
    <w:div w:id="951279359">
      <w:bodyDiv w:val="1"/>
      <w:marLeft w:val="0"/>
      <w:marRight w:val="0"/>
      <w:marTop w:val="0"/>
      <w:marBottom w:val="0"/>
      <w:divBdr>
        <w:top w:val="none" w:sz="0" w:space="0" w:color="auto"/>
        <w:left w:val="none" w:sz="0" w:space="0" w:color="auto"/>
        <w:bottom w:val="none" w:sz="0" w:space="0" w:color="auto"/>
        <w:right w:val="none" w:sz="0" w:space="0" w:color="auto"/>
      </w:divBdr>
    </w:div>
    <w:div w:id="953706884">
      <w:bodyDiv w:val="1"/>
      <w:marLeft w:val="0"/>
      <w:marRight w:val="0"/>
      <w:marTop w:val="0"/>
      <w:marBottom w:val="0"/>
      <w:divBdr>
        <w:top w:val="none" w:sz="0" w:space="0" w:color="auto"/>
        <w:left w:val="none" w:sz="0" w:space="0" w:color="auto"/>
        <w:bottom w:val="none" w:sz="0" w:space="0" w:color="auto"/>
        <w:right w:val="none" w:sz="0" w:space="0" w:color="auto"/>
      </w:divBdr>
    </w:div>
    <w:div w:id="969750552">
      <w:bodyDiv w:val="1"/>
      <w:marLeft w:val="0"/>
      <w:marRight w:val="0"/>
      <w:marTop w:val="0"/>
      <w:marBottom w:val="0"/>
      <w:divBdr>
        <w:top w:val="none" w:sz="0" w:space="0" w:color="auto"/>
        <w:left w:val="none" w:sz="0" w:space="0" w:color="auto"/>
        <w:bottom w:val="none" w:sz="0" w:space="0" w:color="auto"/>
        <w:right w:val="none" w:sz="0" w:space="0" w:color="auto"/>
      </w:divBdr>
    </w:div>
    <w:div w:id="994184379">
      <w:bodyDiv w:val="1"/>
      <w:marLeft w:val="0"/>
      <w:marRight w:val="0"/>
      <w:marTop w:val="0"/>
      <w:marBottom w:val="0"/>
      <w:divBdr>
        <w:top w:val="none" w:sz="0" w:space="0" w:color="auto"/>
        <w:left w:val="none" w:sz="0" w:space="0" w:color="auto"/>
        <w:bottom w:val="none" w:sz="0" w:space="0" w:color="auto"/>
        <w:right w:val="none" w:sz="0" w:space="0" w:color="auto"/>
      </w:divBdr>
    </w:div>
    <w:div w:id="1009715116">
      <w:bodyDiv w:val="1"/>
      <w:marLeft w:val="0"/>
      <w:marRight w:val="0"/>
      <w:marTop w:val="0"/>
      <w:marBottom w:val="0"/>
      <w:divBdr>
        <w:top w:val="none" w:sz="0" w:space="0" w:color="auto"/>
        <w:left w:val="none" w:sz="0" w:space="0" w:color="auto"/>
        <w:bottom w:val="none" w:sz="0" w:space="0" w:color="auto"/>
        <w:right w:val="none" w:sz="0" w:space="0" w:color="auto"/>
      </w:divBdr>
    </w:div>
    <w:div w:id="1011688916">
      <w:bodyDiv w:val="1"/>
      <w:marLeft w:val="0"/>
      <w:marRight w:val="0"/>
      <w:marTop w:val="0"/>
      <w:marBottom w:val="0"/>
      <w:divBdr>
        <w:top w:val="none" w:sz="0" w:space="0" w:color="auto"/>
        <w:left w:val="none" w:sz="0" w:space="0" w:color="auto"/>
        <w:bottom w:val="none" w:sz="0" w:space="0" w:color="auto"/>
        <w:right w:val="none" w:sz="0" w:space="0" w:color="auto"/>
      </w:divBdr>
    </w:div>
    <w:div w:id="1048644142">
      <w:bodyDiv w:val="1"/>
      <w:marLeft w:val="0"/>
      <w:marRight w:val="0"/>
      <w:marTop w:val="0"/>
      <w:marBottom w:val="0"/>
      <w:divBdr>
        <w:top w:val="none" w:sz="0" w:space="0" w:color="auto"/>
        <w:left w:val="none" w:sz="0" w:space="0" w:color="auto"/>
        <w:bottom w:val="none" w:sz="0" w:space="0" w:color="auto"/>
        <w:right w:val="none" w:sz="0" w:space="0" w:color="auto"/>
      </w:divBdr>
    </w:div>
    <w:div w:id="1050686008">
      <w:bodyDiv w:val="1"/>
      <w:marLeft w:val="0"/>
      <w:marRight w:val="0"/>
      <w:marTop w:val="0"/>
      <w:marBottom w:val="0"/>
      <w:divBdr>
        <w:top w:val="none" w:sz="0" w:space="0" w:color="auto"/>
        <w:left w:val="none" w:sz="0" w:space="0" w:color="auto"/>
        <w:bottom w:val="none" w:sz="0" w:space="0" w:color="auto"/>
        <w:right w:val="none" w:sz="0" w:space="0" w:color="auto"/>
      </w:divBdr>
    </w:div>
    <w:div w:id="1078138330">
      <w:bodyDiv w:val="1"/>
      <w:marLeft w:val="0"/>
      <w:marRight w:val="0"/>
      <w:marTop w:val="0"/>
      <w:marBottom w:val="0"/>
      <w:divBdr>
        <w:top w:val="none" w:sz="0" w:space="0" w:color="auto"/>
        <w:left w:val="none" w:sz="0" w:space="0" w:color="auto"/>
        <w:bottom w:val="none" w:sz="0" w:space="0" w:color="auto"/>
        <w:right w:val="none" w:sz="0" w:space="0" w:color="auto"/>
      </w:divBdr>
    </w:div>
    <w:div w:id="1088888954">
      <w:bodyDiv w:val="1"/>
      <w:marLeft w:val="0"/>
      <w:marRight w:val="0"/>
      <w:marTop w:val="0"/>
      <w:marBottom w:val="0"/>
      <w:divBdr>
        <w:top w:val="none" w:sz="0" w:space="0" w:color="auto"/>
        <w:left w:val="none" w:sz="0" w:space="0" w:color="auto"/>
        <w:bottom w:val="none" w:sz="0" w:space="0" w:color="auto"/>
        <w:right w:val="none" w:sz="0" w:space="0" w:color="auto"/>
      </w:divBdr>
    </w:div>
    <w:div w:id="1109159394">
      <w:bodyDiv w:val="1"/>
      <w:marLeft w:val="0"/>
      <w:marRight w:val="0"/>
      <w:marTop w:val="0"/>
      <w:marBottom w:val="0"/>
      <w:divBdr>
        <w:top w:val="none" w:sz="0" w:space="0" w:color="auto"/>
        <w:left w:val="none" w:sz="0" w:space="0" w:color="auto"/>
        <w:bottom w:val="none" w:sz="0" w:space="0" w:color="auto"/>
        <w:right w:val="none" w:sz="0" w:space="0" w:color="auto"/>
      </w:divBdr>
      <w:divsChild>
        <w:div w:id="1934587190">
          <w:marLeft w:val="0"/>
          <w:marRight w:val="0"/>
          <w:marTop w:val="0"/>
          <w:marBottom w:val="0"/>
          <w:divBdr>
            <w:top w:val="none" w:sz="0" w:space="0" w:color="auto"/>
            <w:left w:val="none" w:sz="0" w:space="0" w:color="auto"/>
            <w:bottom w:val="none" w:sz="0" w:space="0" w:color="auto"/>
            <w:right w:val="none" w:sz="0" w:space="0" w:color="auto"/>
          </w:divBdr>
        </w:div>
      </w:divsChild>
    </w:div>
    <w:div w:id="1129858664">
      <w:bodyDiv w:val="1"/>
      <w:marLeft w:val="0"/>
      <w:marRight w:val="0"/>
      <w:marTop w:val="0"/>
      <w:marBottom w:val="0"/>
      <w:divBdr>
        <w:top w:val="none" w:sz="0" w:space="0" w:color="auto"/>
        <w:left w:val="none" w:sz="0" w:space="0" w:color="auto"/>
        <w:bottom w:val="none" w:sz="0" w:space="0" w:color="auto"/>
        <w:right w:val="none" w:sz="0" w:space="0" w:color="auto"/>
      </w:divBdr>
    </w:div>
    <w:div w:id="1153835799">
      <w:bodyDiv w:val="1"/>
      <w:marLeft w:val="0"/>
      <w:marRight w:val="0"/>
      <w:marTop w:val="0"/>
      <w:marBottom w:val="0"/>
      <w:divBdr>
        <w:top w:val="none" w:sz="0" w:space="0" w:color="auto"/>
        <w:left w:val="none" w:sz="0" w:space="0" w:color="auto"/>
        <w:bottom w:val="none" w:sz="0" w:space="0" w:color="auto"/>
        <w:right w:val="none" w:sz="0" w:space="0" w:color="auto"/>
      </w:divBdr>
    </w:div>
    <w:div w:id="1156410564">
      <w:bodyDiv w:val="1"/>
      <w:marLeft w:val="0"/>
      <w:marRight w:val="0"/>
      <w:marTop w:val="0"/>
      <w:marBottom w:val="0"/>
      <w:divBdr>
        <w:top w:val="none" w:sz="0" w:space="0" w:color="auto"/>
        <w:left w:val="none" w:sz="0" w:space="0" w:color="auto"/>
        <w:bottom w:val="none" w:sz="0" w:space="0" w:color="auto"/>
        <w:right w:val="none" w:sz="0" w:space="0" w:color="auto"/>
      </w:divBdr>
    </w:div>
    <w:div w:id="1173451582">
      <w:bodyDiv w:val="1"/>
      <w:marLeft w:val="0"/>
      <w:marRight w:val="0"/>
      <w:marTop w:val="0"/>
      <w:marBottom w:val="0"/>
      <w:divBdr>
        <w:top w:val="none" w:sz="0" w:space="0" w:color="auto"/>
        <w:left w:val="none" w:sz="0" w:space="0" w:color="auto"/>
        <w:bottom w:val="none" w:sz="0" w:space="0" w:color="auto"/>
        <w:right w:val="none" w:sz="0" w:space="0" w:color="auto"/>
      </w:divBdr>
    </w:div>
    <w:div w:id="1188369532">
      <w:bodyDiv w:val="1"/>
      <w:marLeft w:val="0"/>
      <w:marRight w:val="0"/>
      <w:marTop w:val="0"/>
      <w:marBottom w:val="0"/>
      <w:divBdr>
        <w:top w:val="none" w:sz="0" w:space="0" w:color="auto"/>
        <w:left w:val="none" w:sz="0" w:space="0" w:color="auto"/>
        <w:bottom w:val="none" w:sz="0" w:space="0" w:color="auto"/>
        <w:right w:val="none" w:sz="0" w:space="0" w:color="auto"/>
      </w:divBdr>
    </w:div>
    <w:div w:id="1199665645">
      <w:bodyDiv w:val="1"/>
      <w:marLeft w:val="0"/>
      <w:marRight w:val="0"/>
      <w:marTop w:val="0"/>
      <w:marBottom w:val="0"/>
      <w:divBdr>
        <w:top w:val="none" w:sz="0" w:space="0" w:color="auto"/>
        <w:left w:val="none" w:sz="0" w:space="0" w:color="auto"/>
        <w:bottom w:val="none" w:sz="0" w:space="0" w:color="auto"/>
        <w:right w:val="none" w:sz="0" w:space="0" w:color="auto"/>
      </w:divBdr>
    </w:div>
    <w:div w:id="1216234189">
      <w:bodyDiv w:val="1"/>
      <w:marLeft w:val="0"/>
      <w:marRight w:val="0"/>
      <w:marTop w:val="0"/>
      <w:marBottom w:val="0"/>
      <w:divBdr>
        <w:top w:val="none" w:sz="0" w:space="0" w:color="auto"/>
        <w:left w:val="none" w:sz="0" w:space="0" w:color="auto"/>
        <w:bottom w:val="none" w:sz="0" w:space="0" w:color="auto"/>
        <w:right w:val="none" w:sz="0" w:space="0" w:color="auto"/>
      </w:divBdr>
    </w:div>
    <w:div w:id="1219127873">
      <w:bodyDiv w:val="1"/>
      <w:marLeft w:val="0"/>
      <w:marRight w:val="0"/>
      <w:marTop w:val="0"/>
      <w:marBottom w:val="0"/>
      <w:divBdr>
        <w:top w:val="none" w:sz="0" w:space="0" w:color="auto"/>
        <w:left w:val="none" w:sz="0" w:space="0" w:color="auto"/>
        <w:bottom w:val="none" w:sz="0" w:space="0" w:color="auto"/>
        <w:right w:val="none" w:sz="0" w:space="0" w:color="auto"/>
      </w:divBdr>
    </w:div>
    <w:div w:id="1261645495">
      <w:bodyDiv w:val="1"/>
      <w:marLeft w:val="0"/>
      <w:marRight w:val="0"/>
      <w:marTop w:val="0"/>
      <w:marBottom w:val="0"/>
      <w:divBdr>
        <w:top w:val="none" w:sz="0" w:space="0" w:color="auto"/>
        <w:left w:val="none" w:sz="0" w:space="0" w:color="auto"/>
        <w:bottom w:val="none" w:sz="0" w:space="0" w:color="auto"/>
        <w:right w:val="none" w:sz="0" w:space="0" w:color="auto"/>
      </w:divBdr>
    </w:div>
    <w:div w:id="1268075488">
      <w:bodyDiv w:val="1"/>
      <w:marLeft w:val="0"/>
      <w:marRight w:val="0"/>
      <w:marTop w:val="0"/>
      <w:marBottom w:val="0"/>
      <w:divBdr>
        <w:top w:val="none" w:sz="0" w:space="0" w:color="auto"/>
        <w:left w:val="none" w:sz="0" w:space="0" w:color="auto"/>
        <w:bottom w:val="none" w:sz="0" w:space="0" w:color="auto"/>
        <w:right w:val="none" w:sz="0" w:space="0" w:color="auto"/>
      </w:divBdr>
    </w:div>
    <w:div w:id="1282764607">
      <w:bodyDiv w:val="1"/>
      <w:marLeft w:val="0"/>
      <w:marRight w:val="0"/>
      <w:marTop w:val="0"/>
      <w:marBottom w:val="0"/>
      <w:divBdr>
        <w:top w:val="none" w:sz="0" w:space="0" w:color="auto"/>
        <w:left w:val="none" w:sz="0" w:space="0" w:color="auto"/>
        <w:bottom w:val="none" w:sz="0" w:space="0" w:color="auto"/>
        <w:right w:val="none" w:sz="0" w:space="0" w:color="auto"/>
      </w:divBdr>
    </w:div>
    <w:div w:id="1292244987">
      <w:bodyDiv w:val="1"/>
      <w:marLeft w:val="0"/>
      <w:marRight w:val="0"/>
      <w:marTop w:val="0"/>
      <w:marBottom w:val="0"/>
      <w:divBdr>
        <w:top w:val="none" w:sz="0" w:space="0" w:color="auto"/>
        <w:left w:val="none" w:sz="0" w:space="0" w:color="auto"/>
        <w:bottom w:val="none" w:sz="0" w:space="0" w:color="auto"/>
        <w:right w:val="none" w:sz="0" w:space="0" w:color="auto"/>
      </w:divBdr>
    </w:div>
    <w:div w:id="1304383039">
      <w:bodyDiv w:val="1"/>
      <w:marLeft w:val="0"/>
      <w:marRight w:val="0"/>
      <w:marTop w:val="0"/>
      <w:marBottom w:val="0"/>
      <w:divBdr>
        <w:top w:val="none" w:sz="0" w:space="0" w:color="auto"/>
        <w:left w:val="none" w:sz="0" w:space="0" w:color="auto"/>
        <w:bottom w:val="none" w:sz="0" w:space="0" w:color="auto"/>
        <w:right w:val="none" w:sz="0" w:space="0" w:color="auto"/>
      </w:divBdr>
    </w:div>
    <w:div w:id="1325008856">
      <w:bodyDiv w:val="1"/>
      <w:marLeft w:val="0"/>
      <w:marRight w:val="0"/>
      <w:marTop w:val="0"/>
      <w:marBottom w:val="0"/>
      <w:divBdr>
        <w:top w:val="none" w:sz="0" w:space="0" w:color="auto"/>
        <w:left w:val="none" w:sz="0" w:space="0" w:color="auto"/>
        <w:bottom w:val="none" w:sz="0" w:space="0" w:color="auto"/>
        <w:right w:val="none" w:sz="0" w:space="0" w:color="auto"/>
      </w:divBdr>
    </w:div>
    <w:div w:id="1327516160">
      <w:bodyDiv w:val="1"/>
      <w:marLeft w:val="0"/>
      <w:marRight w:val="0"/>
      <w:marTop w:val="0"/>
      <w:marBottom w:val="0"/>
      <w:divBdr>
        <w:top w:val="none" w:sz="0" w:space="0" w:color="auto"/>
        <w:left w:val="none" w:sz="0" w:space="0" w:color="auto"/>
        <w:bottom w:val="none" w:sz="0" w:space="0" w:color="auto"/>
        <w:right w:val="none" w:sz="0" w:space="0" w:color="auto"/>
      </w:divBdr>
    </w:div>
    <w:div w:id="1329287846">
      <w:bodyDiv w:val="1"/>
      <w:marLeft w:val="0"/>
      <w:marRight w:val="0"/>
      <w:marTop w:val="0"/>
      <w:marBottom w:val="0"/>
      <w:divBdr>
        <w:top w:val="none" w:sz="0" w:space="0" w:color="auto"/>
        <w:left w:val="none" w:sz="0" w:space="0" w:color="auto"/>
        <w:bottom w:val="none" w:sz="0" w:space="0" w:color="auto"/>
        <w:right w:val="none" w:sz="0" w:space="0" w:color="auto"/>
      </w:divBdr>
    </w:div>
    <w:div w:id="1331831605">
      <w:bodyDiv w:val="1"/>
      <w:marLeft w:val="0"/>
      <w:marRight w:val="0"/>
      <w:marTop w:val="0"/>
      <w:marBottom w:val="0"/>
      <w:divBdr>
        <w:top w:val="none" w:sz="0" w:space="0" w:color="auto"/>
        <w:left w:val="none" w:sz="0" w:space="0" w:color="auto"/>
        <w:bottom w:val="none" w:sz="0" w:space="0" w:color="auto"/>
        <w:right w:val="none" w:sz="0" w:space="0" w:color="auto"/>
      </w:divBdr>
    </w:div>
    <w:div w:id="1333487202">
      <w:bodyDiv w:val="1"/>
      <w:marLeft w:val="0"/>
      <w:marRight w:val="0"/>
      <w:marTop w:val="0"/>
      <w:marBottom w:val="0"/>
      <w:divBdr>
        <w:top w:val="none" w:sz="0" w:space="0" w:color="auto"/>
        <w:left w:val="none" w:sz="0" w:space="0" w:color="auto"/>
        <w:bottom w:val="none" w:sz="0" w:space="0" w:color="auto"/>
        <w:right w:val="none" w:sz="0" w:space="0" w:color="auto"/>
      </w:divBdr>
    </w:div>
    <w:div w:id="1374040156">
      <w:bodyDiv w:val="1"/>
      <w:marLeft w:val="0"/>
      <w:marRight w:val="0"/>
      <w:marTop w:val="0"/>
      <w:marBottom w:val="0"/>
      <w:divBdr>
        <w:top w:val="none" w:sz="0" w:space="0" w:color="auto"/>
        <w:left w:val="none" w:sz="0" w:space="0" w:color="auto"/>
        <w:bottom w:val="none" w:sz="0" w:space="0" w:color="auto"/>
        <w:right w:val="none" w:sz="0" w:space="0" w:color="auto"/>
      </w:divBdr>
    </w:div>
    <w:div w:id="1376661833">
      <w:bodyDiv w:val="1"/>
      <w:marLeft w:val="0"/>
      <w:marRight w:val="0"/>
      <w:marTop w:val="0"/>
      <w:marBottom w:val="0"/>
      <w:divBdr>
        <w:top w:val="none" w:sz="0" w:space="0" w:color="auto"/>
        <w:left w:val="none" w:sz="0" w:space="0" w:color="auto"/>
        <w:bottom w:val="none" w:sz="0" w:space="0" w:color="auto"/>
        <w:right w:val="none" w:sz="0" w:space="0" w:color="auto"/>
      </w:divBdr>
    </w:div>
    <w:div w:id="1391004245">
      <w:bodyDiv w:val="1"/>
      <w:marLeft w:val="0"/>
      <w:marRight w:val="0"/>
      <w:marTop w:val="0"/>
      <w:marBottom w:val="0"/>
      <w:divBdr>
        <w:top w:val="none" w:sz="0" w:space="0" w:color="auto"/>
        <w:left w:val="none" w:sz="0" w:space="0" w:color="auto"/>
        <w:bottom w:val="none" w:sz="0" w:space="0" w:color="auto"/>
        <w:right w:val="none" w:sz="0" w:space="0" w:color="auto"/>
      </w:divBdr>
    </w:div>
    <w:div w:id="1413970579">
      <w:bodyDiv w:val="1"/>
      <w:marLeft w:val="0"/>
      <w:marRight w:val="0"/>
      <w:marTop w:val="0"/>
      <w:marBottom w:val="0"/>
      <w:divBdr>
        <w:top w:val="none" w:sz="0" w:space="0" w:color="auto"/>
        <w:left w:val="none" w:sz="0" w:space="0" w:color="auto"/>
        <w:bottom w:val="none" w:sz="0" w:space="0" w:color="auto"/>
        <w:right w:val="none" w:sz="0" w:space="0" w:color="auto"/>
      </w:divBdr>
    </w:div>
    <w:div w:id="1414737224">
      <w:bodyDiv w:val="1"/>
      <w:marLeft w:val="0"/>
      <w:marRight w:val="0"/>
      <w:marTop w:val="0"/>
      <w:marBottom w:val="0"/>
      <w:divBdr>
        <w:top w:val="none" w:sz="0" w:space="0" w:color="auto"/>
        <w:left w:val="none" w:sz="0" w:space="0" w:color="auto"/>
        <w:bottom w:val="none" w:sz="0" w:space="0" w:color="auto"/>
        <w:right w:val="none" w:sz="0" w:space="0" w:color="auto"/>
      </w:divBdr>
    </w:div>
    <w:div w:id="1425297020">
      <w:bodyDiv w:val="1"/>
      <w:marLeft w:val="0"/>
      <w:marRight w:val="0"/>
      <w:marTop w:val="0"/>
      <w:marBottom w:val="0"/>
      <w:divBdr>
        <w:top w:val="none" w:sz="0" w:space="0" w:color="auto"/>
        <w:left w:val="none" w:sz="0" w:space="0" w:color="auto"/>
        <w:bottom w:val="none" w:sz="0" w:space="0" w:color="auto"/>
        <w:right w:val="none" w:sz="0" w:space="0" w:color="auto"/>
      </w:divBdr>
    </w:div>
    <w:div w:id="1426733509">
      <w:bodyDiv w:val="1"/>
      <w:marLeft w:val="0"/>
      <w:marRight w:val="0"/>
      <w:marTop w:val="0"/>
      <w:marBottom w:val="0"/>
      <w:divBdr>
        <w:top w:val="none" w:sz="0" w:space="0" w:color="auto"/>
        <w:left w:val="none" w:sz="0" w:space="0" w:color="auto"/>
        <w:bottom w:val="none" w:sz="0" w:space="0" w:color="auto"/>
        <w:right w:val="none" w:sz="0" w:space="0" w:color="auto"/>
      </w:divBdr>
    </w:div>
    <w:div w:id="1456215156">
      <w:bodyDiv w:val="1"/>
      <w:marLeft w:val="0"/>
      <w:marRight w:val="0"/>
      <w:marTop w:val="0"/>
      <w:marBottom w:val="0"/>
      <w:divBdr>
        <w:top w:val="none" w:sz="0" w:space="0" w:color="auto"/>
        <w:left w:val="none" w:sz="0" w:space="0" w:color="auto"/>
        <w:bottom w:val="none" w:sz="0" w:space="0" w:color="auto"/>
        <w:right w:val="none" w:sz="0" w:space="0" w:color="auto"/>
      </w:divBdr>
    </w:div>
    <w:div w:id="1475179696">
      <w:bodyDiv w:val="1"/>
      <w:marLeft w:val="0"/>
      <w:marRight w:val="0"/>
      <w:marTop w:val="0"/>
      <w:marBottom w:val="0"/>
      <w:divBdr>
        <w:top w:val="none" w:sz="0" w:space="0" w:color="auto"/>
        <w:left w:val="none" w:sz="0" w:space="0" w:color="auto"/>
        <w:bottom w:val="none" w:sz="0" w:space="0" w:color="auto"/>
        <w:right w:val="none" w:sz="0" w:space="0" w:color="auto"/>
      </w:divBdr>
    </w:div>
    <w:div w:id="1478037863">
      <w:bodyDiv w:val="1"/>
      <w:marLeft w:val="0"/>
      <w:marRight w:val="0"/>
      <w:marTop w:val="0"/>
      <w:marBottom w:val="0"/>
      <w:divBdr>
        <w:top w:val="none" w:sz="0" w:space="0" w:color="auto"/>
        <w:left w:val="none" w:sz="0" w:space="0" w:color="auto"/>
        <w:bottom w:val="none" w:sz="0" w:space="0" w:color="auto"/>
        <w:right w:val="none" w:sz="0" w:space="0" w:color="auto"/>
      </w:divBdr>
    </w:div>
    <w:div w:id="1485122039">
      <w:bodyDiv w:val="1"/>
      <w:marLeft w:val="0"/>
      <w:marRight w:val="0"/>
      <w:marTop w:val="0"/>
      <w:marBottom w:val="0"/>
      <w:divBdr>
        <w:top w:val="none" w:sz="0" w:space="0" w:color="auto"/>
        <w:left w:val="none" w:sz="0" w:space="0" w:color="auto"/>
        <w:bottom w:val="none" w:sz="0" w:space="0" w:color="auto"/>
        <w:right w:val="none" w:sz="0" w:space="0" w:color="auto"/>
      </w:divBdr>
    </w:div>
    <w:div w:id="1486704418">
      <w:bodyDiv w:val="1"/>
      <w:marLeft w:val="0"/>
      <w:marRight w:val="0"/>
      <w:marTop w:val="0"/>
      <w:marBottom w:val="0"/>
      <w:divBdr>
        <w:top w:val="none" w:sz="0" w:space="0" w:color="auto"/>
        <w:left w:val="none" w:sz="0" w:space="0" w:color="auto"/>
        <w:bottom w:val="none" w:sz="0" w:space="0" w:color="auto"/>
        <w:right w:val="none" w:sz="0" w:space="0" w:color="auto"/>
      </w:divBdr>
    </w:div>
    <w:div w:id="1495991811">
      <w:bodyDiv w:val="1"/>
      <w:marLeft w:val="0"/>
      <w:marRight w:val="0"/>
      <w:marTop w:val="0"/>
      <w:marBottom w:val="0"/>
      <w:divBdr>
        <w:top w:val="none" w:sz="0" w:space="0" w:color="auto"/>
        <w:left w:val="none" w:sz="0" w:space="0" w:color="auto"/>
        <w:bottom w:val="none" w:sz="0" w:space="0" w:color="auto"/>
        <w:right w:val="none" w:sz="0" w:space="0" w:color="auto"/>
      </w:divBdr>
    </w:div>
    <w:div w:id="1507482263">
      <w:bodyDiv w:val="1"/>
      <w:marLeft w:val="0"/>
      <w:marRight w:val="0"/>
      <w:marTop w:val="0"/>
      <w:marBottom w:val="0"/>
      <w:divBdr>
        <w:top w:val="none" w:sz="0" w:space="0" w:color="auto"/>
        <w:left w:val="none" w:sz="0" w:space="0" w:color="auto"/>
        <w:bottom w:val="none" w:sz="0" w:space="0" w:color="auto"/>
        <w:right w:val="none" w:sz="0" w:space="0" w:color="auto"/>
      </w:divBdr>
      <w:divsChild>
        <w:div w:id="760881280">
          <w:marLeft w:val="0"/>
          <w:marRight w:val="0"/>
          <w:marTop w:val="0"/>
          <w:marBottom w:val="0"/>
          <w:divBdr>
            <w:top w:val="none" w:sz="0" w:space="0" w:color="auto"/>
            <w:left w:val="none" w:sz="0" w:space="0" w:color="auto"/>
            <w:bottom w:val="none" w:sz="0" w:space="0" w:color="auto"/>
            <w:right w:val="none" w:sz="0" w:space="0" w:color="auto"/>
          </w:divBdr>
        </w:div>
      </w:divsChild>
    </w:div>
    <w:div w:id="1520198871">
      <w:bodyDiv w:val="1"/>
      <w:marLeft w:val="0"/>
      <w:marRight w:val="0"/>
      <w:marTop w:val="0"/>
      <w:marBottom w:val="0"/>
      <w:divBdr>
        <w:top w:val="none" w:sz="0" w:space="0" w:color="auto"/>
        <w:left w:val="none" w:sz="0" w:space="0" w:color="auto"/>
        <w:bottom w:val="none" w:sz="0" w:space="0" w:color="auto"/>
        <w:right w:val="none" w:sz="0" w:space="0" w:color="auto"/>
      </w:divBdr>
    </w:div>
    <w:div w:id="1521046082">
      <w:bodyDiv w:val="1"/>
      <w:marLeft w:val="0"/>
      <w:marRight w:val="0"/>
      <w:marTop w:val="0"/>
      <w:marBottom w:val="0"/>
      <w:divBdr>
        <w:top w:val="none" w:sz="0" w:space="0" w:color="auto"/>
        <w:left w:val="none" w:sz="0" w:space="0" w:color="auto"/>
        <w:bottom w:val="none" w:sz="0" w:space="0" w:color="auto"/>
        <w:right w:val="none" w:sz="0" w:space="0" w:color="auto"/>
      </w:divBdr>
    </w:div>
    <w:div w:id="1523786117">
      <w:bodyDiv w:val="1"/>
      <w:marLeft w:val="0"/>
      <w:marRight w:val="0"/>
      <w:marTop w:val="0"/>
      <w:marBottom w:val="0"/>
      <w:divBdr>
        <w:top w:val="none" w:sz="0" w:space="0" w:color="auto"/>
        <w:left w:val="none" w:sz="0" w:space="0" w:color="auto"/>
        <w:bottom w:val="none" w:sz="0" w:space="0" w:color="auto"/>
        <w:right w:val="none" w:sz="0" w:space="0" w:color="auto"/>
      </w:divBdr>
      <w:divsChild>
        <w:div w:id="2070764523">
          <w:marLeft w:val="0"/>
          <w:marRight w:val="0"/>
          <w:marTop w:val="0"/>
          <w:marBottom w:val="0"/>
          <w:divBdr>
            <w:top w:val="none" w:sz="0" w:space="0" w:color="auto"/>
            <w:left w:val="none" w:sz="0" w:space="0" w:color="auto"/>
            <w:bottom w:val="none" w:sz="0" w:space="0" w:color="auto"/>
            <w:right w:val="none" w:sz="0" w:space="0" w:color="auto"/>
          </w:divBdr>
        </w:div>
      </w:divsChild>
    </w:div>
    <w:div w:id="1536507665">
      <w:bodyDiv w:val="1"/>
      <w:marLeft w:val="0"/>
      <w:marRight w:val="0"/>
      <w:marTop w:val="0"/>
      <w:marBottom w:val="0"/>
      <w:divBdr>
        <w:top w:val="none" w:sz="0" w:space="0" w:color="auto"/>
        <w:left w:val="none" w:sz="0" w:space="0" w:color="auto"/>
        <w:bottom w:val="none" w:sz="0" w:space="0" w:color="auto"/>
        <w:right w:val="none" w:sz="0" w:space="0" w:color="auto"/>
      </w:divBdr>
    </w:div>
    <w:div w:id="1549872344">
      <w:bodyDiv w:val="1"/>
      <w:marLeft w:val="0"/>
      <w:marRight w:val="0"/>
      <w:marTop w:val="0"/>
      <w:marBottom w:val="0"/>
      <w:divBdr>
        <w:top w:val="none" w:sz="0" w:space="0" w:color="auto"/>
        <w:left w:val="none" w:sz="0" w:space="0" w:color="auto"/>
        <w:bottom w:val="none" w:sz="0" w:space="0" w:color="auto"/>
        <w:right w:val="none" w:sz="0" w:space="0" w:color="auto"/>
      </w:divBdr>
    </w:div>
    <w:div w:id="1570188402">
      <w:bodyDiv w:val="1"/>
      <w:marLeft w:val="0"/>
      <w:marRight w:val="0"/>
      <w:marTop w:val="0"/>
      <w:marBottom w:val="0"/>
      <w:divBdr>
        <w:top w:val="none" w:sz="0" w:space="0" w:color="auto"/>
        <w:left w:val="none" w:sz="0" w:space="0" w:color="auto"/>
        <w:bottom w:val="none" w:sz="0" w:space="0" w:color="auto"/>
        <w:right w:val="none" w:sz="0" w:space="0" w:color="auto"/>
      </w:divBdr>
      <w:divsChild>
        <w:div w:id="1047681391">
          <w:blockQuote w:val="1"/>
          <w:marLeft w:val="720"/>
          <w:marRight w:val="720"/>
          <w:marTop w:val="100"/>
          <w:marBottom w:val="100"/>
          <w:divBdr>
            <w:top w:val="none" w:sz="0" w:space="0" w:color="auto"/>
            <w:left w:val="none" w:sz="0" w:space="0" w:color="auto"/>
            <w:bottom w:val="none" w:sz="0" w:space="0" w:color="auto"/>
            <w:right w:val="none" w:sz="0" w:space="0" w:color="auto"/>
          </w:divBdr>
        </w:div>
        <w:div w:id="1871146088">
          <w:blockQuote w:val="1"/>
          <w:marLeft w:val="720"/>
          <w:marRight w:val="720"/>
          <w:marTop w:val="100"/>
          <w:marBottom w:val="100"/>
          <w:divBdr>
            <w:top w:val="none" w:sz="0" w:space="0" w:color="auto"/>
            <w:left w:val="none" w:sz="0" w:space="0" w:color="auto"/>
            <w:bottom w:val="none" w:sz="0" w:space="0" w:color="auto"/>
            <w:right w:val="none" w:sz="0" w:space="0" w:color="auto"/>
          </w:divBdr>
        </w:div>
        <w:div w:id="427387847">
          <w:blockQuote w:val="1"/>
          <w:marLeft w:val="720"/>
          <w:marRight w:val="720"/>
          <w:marTop w:val="100"/>
          <w:marBottom w:val="100"/>
          <w:divBdr>
            <w:top w:val="none" w:sz="0" w:space="0" w:color="auto"/>
            <w:left w:val="none" w:sz="0" w:space="0" w:color="auto"/>
            <w:bottom w:val="none" w:sz="0" w:space="0" w:color="auto"/>
            <w:right w:val="none" w:sz="0" w:space="0" w:color="auto"/>
          </w:divBdr>
        </w:div>
        <w:div w:id="1319773198">
          <w:blockQuote w:val="1"/>
          <w:marLeft w:val="720"/>
          <w:marRight w:val="720"/>
          <w:marTop w:val="100"/>
          <w:marBottom w:val="100"/>
          <w:divBdr>
            <w:top w:val="none" w:sz="0" w:space="0" w:color="auto"/>
            <w:left w:val="none" w:sz="0" w:space="0" w:color="auto"/>
            <w:bottom w:val="none" w:sz="0" w:space="0" w:color="auto"/>
            <w:right w:val="none" w:sz="0" w:space="0" w:color="auto"/>
          </w:divBdr>
        </w:div>
        <w:div w:id="991373041">
          <w:blockQuote w:val="1"/>
          <w:marLeft w:val="720"/>
          <w:marRight w:val="720"/>
          <w:marTop w:val="100"/>
          <w:marBottom w:val="100"/>
          <w:divBdr>
            <w:top w:val="none" w:sz="0" w:space="0" w:color="auto"/>
            <w:left w:val="none" w:sz="0" w:space="0" w:color="auto"/>
            <w:bottom w:val="none" w:sz="0" w:space="0" w:color="auto"/>
            <w:right w:val="none" w:sz="0" w:space="0" w:color="auto"/>
          </w:divBdr>
        </w:div>
        <w:div w:id="13543804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2471932">
      <w:bodyDiv w:val="1"/>
      <w:marLeft w:val="0"/>
      <w:marRight w:val="0"/>
      <w:marTop w:val="0"/>
      <w:marBottom w:val="0"/>
      <w:divBdr>
        <w:top w:val="none" w:sz="0" w:space="0" w:color="auto"/>
        <w:left w:val="none" w:sz="0" w:space="0" w:color="auto"/>
        <w:bottom w:val="none" w:sz="0" w:space="0" w:color="auto"/>
        <w:right w:val="none" w:sz="0" w:space="0" w:color="auto"/>
      </w:divBdr>
    </w:div>
    <w:div w:id="1599562387">
      <w:bodyDiv w:val="1"/>
      <w:marLeft w:val="0"/>
      <w:marRight w:val="0"/>
      <w:marTop w:val="0"/>
      <w:marBottom w:val="0"/>
      <w:divBdr>
        <w:top w:val="none" w:sz="0" w:space="0" w:color="auto"/>
        <w:left w:val="none" w:sz="0" w:space="0" w:color="auto"/>
        <w:bottom w:val="none" w:sz="0" w:space="0" w:color="auto"/>
        <w:right w:val="none" w:sz="0" w:space="0" w:color="auto"/>
      </w:divBdr>
    </w:div>
    <w:div w:id="1599869063">
      <w:bodyDiv w:val="1"/>
      <w:marLeft w:val="0"/>
      <w:marRight w:val="0"/>
      <w:marTop w:val="0"/>
      <w:marBottom w:val="0"/>
      <w:divBdr>
        <w:top w:val="none" w:sz="0" w:space="0" w:color="auto"/>
        <w:left w:val="none" w:sz="0" w:space="0" w:color="auto"/>
        <w:bottom w:val="none" w:sz="0" w:space="0" w:color="auto"/>
        <w:right w:val="none" w:sz="0" w:space="0" w:color="auto"/>
      </w:divBdr>
    </w:div>
    <w:div w:id="1600523224">
      <w:bodyDiv w:val="1"/>
      <w:marLeft w:val="0"/>
      <w:marRight w:val="0"/>
      <w:marTop w:val="0"/>
      <w:marBottom w:val="0"/>
      <w:divBdr>
        <w:top w:val="none" w:sz="0" w:space="0" w:color="auto"/>
        <w:left w:val="none" w:sz="0" w:space="0" w:color="auto"/>
        <w:bottom w:val="none" w:sz="0" w:space="0" w:color="auto"/>
        <w:right w:val="none" w:sz="0" w:space="0" w:color="auto"/>
      </w:divBdr>
    </w:div>
    <w:div w:id="1608465463">
      <w:bodyDiv w:val="1"/>
      <w:marLeft w:val="0"/>
      <w:marRight w:val="0"/>
      <w:marTop w:val="0"/>
      <w:marBottom w:val="0"/>
      <w:divBdr>
        <w:top w:val="none" w:sz="0" w:space="0" w:color="auto"/>
        <w:left w:val="none" w:sz="0" w:space="0" w:color="auto"/>
        <w:bottom w:val="none" w:sz="0" w:space="0" w:color="auto"/>
        <w:right w:val="none" w:sz="0" w:space="0" w:color="auto"/>
      </w:divBdr>
    </w:div>
    <w:div w:id="1613585460">
      <w:bodyDiv w:val="1"/>
      <w:marLeft w:val="0"/>
      <w:marRight w:val="0"/>
      <w:marTop w:val="0"/>
      <w:marBottom w:val="0"/>
      <w:divBdr>
        <w:top w:val="none" w:sz="0" w:space="0" w:color="auto"/>
        <w:left w:val="none" w:sz="0" w:space="0" w:color="auto"/>
        <w:bottom w:val="none" w:sz="0" w:space="0" w:color="auto"/>
        <w:right w:val="none" w:sz="0" w:space="0" w:color="auto"/>
      </w:divBdr>
    </w:div>
    <w:div w:id="1615821581">
      <w:bodyDiv w:val="1"/>
      <w:marLeft w:val="0"/>
      <w:marRight w:val="0"/>
      <w:marTop w:val="0"/>
      <w:marBottom w:val="0"/>
      <w:divBdr>
        <w:top w:val="none" w:sz="0" w:space="0" w:color="auto"/>
        <w:left w:val="none" w:sz="0" w:space="0" w:color="auto"/>
        <w:bottom w:val="none" w:sz="0" w:space="0" w:color="auto"/>
        <w:right w:val="none" w:sz="0" w:space="0" w:color="auto"/>
      </w:divBdr>
    </w:div>
    <w:div w:id="1629581171">
      <w:bodyDiv w:val="1"/>
      <w:marLeft w:val="0"/>
      <w:marRight w:val="0"/>
      <w:marTop w:val="0"/>
      <w:marBottom w:val="0"/>
      <w:divBdr>
        <w:top w:val="none" w:sz="0" w:space="0" w:color="auto"/>
        <w:left w:val="none" w:sz="0" w:space="0" w:color="auto"/>
        <w:bottom w:val="none" w:sz="0" w:space="0" w:color="auto"/>
        <w:right w:val="none" w:sz="0" w:space="0" w:color="auto"/>
      </w:divBdr>
    </w:div>
    <w:div w:id="1641417290">
      <w:bodyDiv w:val="1"/>
      <w:marLeft w:val="0"/>
      <w:marRight w:val="0"/>
      <w:marTop w:val="0"/>
      <w:marBottom w:val="0"/>
      <w:divBdr>
        <w:top w:val="none" w:sz="0" w:space="0" w:color="auto"/>
        <w:left w:val="none" w:sz="0" w:space="0" w:color="auto"/>
        <w:bottom w:val="none" w:sz="0" w:space="0" w:color="auto"/>
        <w:right w:val="none" w:sz="0" w:space="0" w:color="auto"/>
      </w:divBdr>
    </w:div>
    <w:div w:id="1674644330">
      <w:bodyDiv w:val="1"/>
      <w:marLeft w:val="0"/>
      <w:marRight w:val="0"/>
      <w:marTop w:val="0"/>
      <w:marBottom w:val="0"/>
      <w:divBdr>
        <w:top w:val="none" w:sz="0" w:space="0" w:color="auto"/>
        <w:left w:val="none" w:sz="0" w:space="0" w:color="auto"/>
        <w:bottom w:val="none" w:sz="0" w:space="0" w:color="auto"/>
        <w:right w:val="none" w:sz="0" w:space="0" w:color="auto"/>
      </w:divBdr>
    </w:div>
    <w:div w:id="1687095857">
      <w:bodyDiv w:val="1"/>
      <w:marLeft w:val="0"/>
      <w:marRight w:val="0"/>
      <w:marTop w:val="0"/>
      <w:marBottom w:val="0"/>
      <w:divBdr>
        <w:top w:val="none" w:sz="0" w:space="0" w:color="auto"/>
        <w:left w:val="none" w:sz="0" w:space="0" w:color="auto"/>
        <w:bottom w:val="none" w:sz="0" w:space="0" w:color="auto"/>
        <w:right w:val="none" w:sz="0" w:space="0" w:color="auto"/>
      </w:divBdr>
    </w:div>
    <w:div w:id="1691683792">
      <w:bodyDiv w:val="1"/>
      <w:marLeft w:val="0"/>
      <w:marRight w:val="0"/>
      <w:marTop w:val="0"/>
      <w:marBottom w:val="0"/>
      <w:divBdr>
        <w:top w:val="none" w:sz="0" w:space="0" w:color="auto"/>
        <w:left w:val="none" w:sz="0" w:space="0" w:color="auto"/>
        <w:bottom w:val="none" w:sz="0" w:space="0" w:color="auto"/>
        <w:right w:val="none" w:sz="0" w:space="0" w:color="auto"/>
      </w:divBdr>
    </w:div>
    <w:div w:id="1697850655">
      <w:bodyDiv w:val="1"/>
      <w:marLeft w:val="0"/>
      <w:marRight w:val="0"/>
      <w:marTop w:val="0"/>
      <w:marBottom w:val="0"/>
      <w:divBdr>
        <w:top w:val="none" w:sz="0" w:space="0" w:color="auto"/>
        <w:left w:val="none" w:sz="0" w:space="0" w:color="auto"/>
        <w:bottom w:val="none" w:sz="0" w:space="0" w:color="auto"/>
        <w:right w:val="none" w:sz="0" w:space="0" w:color="auto"/>
      </w:divBdr>
    </w:div>
    <w:div w:id="1708262174">
      <w:bodyDiv w:val="1"/>
      <w:marLeft w:val="0"/>
      <w:marRight w:val="0"/>
      <w:marTop w:val="0"/>
      <w:marBottom w:val="0"/>
      <w:divBdr>
        <w:top w:val="none" w:sz="0" w:space="0" w:color="auto"/>
        <w:left w:val="none" w:sz="0" w:space="0" w:color="auto"/>
        <w:bottom w:val="none" w:sz="0" w:space="0" w:color="auto"/>
        <w:right w:val="none" w:sz="0" w:space="0" w:color="auto"/>
      </w:divBdr>
    </w:div>
    <w:div w:id="1710954086">
      <w:bodyDiv w:val="1"/>
      <w:marLeft w:val="0"/>
      <w:marRight w:val="0"/>
      <w:marTop w:val="0"/>
      <w:marBottom w:val="0"/>
      <w:divBdr>
        <w:top w:val="none" w:sz="0" w:space="0" w:color="auto"/>
        <w:left w:val="none" w:sz="0" w:space="0" w:color="auto"/>
        <w:bottom w:val="none" w:sz="0" w:space="0" w:color="auto"/>
        <w:right w:val="none" w:sz="0" w:space="0" w:color="auto"/>
      </w:divBdr>
    </w:div>
    <w:div w:id="1722434691">
      <w:bodyDiv w:val="1"/>
      <w:marLeft w:val="0"/>
      <w:marRight w:val="0"/>
      <w:marTop w:val="0"/>
      <w:marBottom w:val="0"/>
      <w:divBdr>
        <w:top w:val="none" w:sz="0" w:space="0" w:color="auto"/>
        <w:left w:val="none" w:sz="0" w:space="0" w:color="auto"/>
        <w:bottom w:val="none" w:sz="0" w:space="0" w:color="auto"/>
        <w:right w:val="none" w:sz="0" w:space="0" w:color="auto"/>
      </w:divBdr>
    </w:div>
    <w:div w:id="1730379469">
      <w:bodyDiv w:val="1"/>
      <w:marLeft w:val="0"/>
      <w:marRight w:val="0"/>
      <w:marTop w:val="0"/>
      <w:marBottom w:val="0"/>
      <w:divBdr>
        <w:top w:val="none" w:sz="0" w:space="0" w:color="auto"/>
        <w:left w:val="none" w:sz="0" w:space="0" w:color="auto"/>
        <w:bottom w:val="none" w:sz="0" w:space="0" w:color="auto"/>
        <w:right w:val="none" w:sz="0" w:space="0" w:color="auto"/>
      </w:divBdr>
    </w:div>
    <w:div w:id="1758166377">
      <w:bodyDiv w:val="1"/>
      <w:marLeft w:val="0"/>
      <w:marRight w:val="0"/>
      <w:marTop w:val="0"/>
      <w:marBottom w:val="0"/>
      <w:divBdr>
        <w:top w:val="none" w:sz="0" w:space="0" w:color="auto"/>
        <w:left w:val="none" w:sz="0" w:space="0" w:color="auto"/>
        <w:bottom w:val="none" w:sz="0" w:space="0" w:color="auto"/>
        <w:right w:val="none" w:sz="0" w:space="0" w:color="auto"/>
      </w:divBdr>
    </w:div>
    <w:div w:id="1759523115">
      <w:bodyDiv w:val="1"/>
      <w:marLeft w:val="0"/>
      <w:marRight w:val="0"/>
      <w:marTop w:val="0"/>
      <w:marBottom w:val="0"/>
      <w:divBdr>
        <w:top w:val="none" w:sz="0" w:space="0" w:color="auto"/>
        <w:left w:val="none" w:sz="0" w:space="0" w:color="auto"/>
        <w:bottom w:val="none" w:sz="0" w:space="0" w:color="auto"/>
        <w:right w:val="none" w:sz="0" w:space="0" w:color="auto"/>
      </w:divBdr>
    </w:div>
    <w:div w:id="1763332893">
      <w:bodyDiv w:val="1"/>
      <w:marLeft w:val="0"/>
      <w:marRight w:val="0"/>
      <w:marTop w:val="0"/>
      <w:marBottom w:val="0"/>
      <w:divBdr>
        <w:top w:val="none" w:sz="0" w:space="0" w:color="auto"/>
        <w:left w:val="none" w:sz="0" w:space="0" w:color="auto"/>
        <w:bottom w:val="none" w:sz="0" w:space="0" w:color="auto"/>
        <w:right w:val="none" w:sz="0" w:space="0" w:color="auto"/>
      </w:divBdr>
      <w:divsChild>
        <w:div w:id="524947727">
          <w:marLeft w:val="0"/>
          <w:marRight w:val="0"/>
          <w:marTop w:val="0"/>
          <w:marBottom w:val="0"/>
          <w:divBdr>
            <w:top w:val="none" w:sz="0" w:space="0" w:color="auto"/>
            <w:left w:val="none" w:sz="0" w:space="0" w:color="auto"/>
            <w:bottom w:val="none" w:sz="0" w:space="0" w:color="auto"/>
            <w:right w:val="none" w:sz="0" w:space="0" w:color="auto"/>
          </w:divBdr>
        </w:div>
      </w:divsChild>
    </w:div>
    <w:div w:id="1800412427">
      <w:bodyDiv w:val="1"/>
      <w:marLeft w:val="0"/>
      <w:marRight w:val="0"/>
      <w:marTop w:val="0"/>
      <w:marBottom w:val="0"/>
      <w:divBdr>
        <w:top w:val="none" w:sz="0" w:space="0" w:color="auto"/>
        <w:left w:val="none" w:sz="0" w:space="0" w:color="auto"/>
        <w:bottom w:val="none" w:sz="0" w:space="0" w:color="auto"/>
        <w:right w:val="none" w:sz="0" w:space="0" w:color="auto"/>
      </w:divBdr>
    </w:div>
    <w:div w:id="1803883702">
      <w:bodyDiv w:val="1"/>
      <w:marLeft w:val="0"/>
      <w:marRight w:val="0"/>
      <w:marTop w:val="0"/>
      <w:marBottom w:val="0"/>
      <w:divBdr>
        <w:top w:val="none" w:sz="0" w:space="0" w:color="auto"/>
        <w:left w:val="none" w:sz="0" w:space="0" w:color="auto"/>
        <w:bottom w:val="none" w:sz="0" w:space="0" w:color="auto"/>
        <w:right w:val="none" w:sz="0" w:space="0" w:color="auto"/>
      </w:divBdr>
    </w:div>
    <w:div w:id="1807506059">
      <w:bodyDiv w:val="1"/>
      <w:marLeft w:val="0"/>
      <w:marRight w:val="0"/>
      <w:marTop w:val="0"/>
      <w:marBottom w:val="0"/>
      <w:divBdr>
        <w:top w:val="none" w:sz="0" w:space="0" w:color="auto"/>
        <w:left w:val="none" w:sz="0" w:space="0" w:color="auto"/>
        <w:bottom w:val="none" w:sz="0" w:space="0" w:color="auto"/>
        <w:right w:val="none" w:sz="0" w:space="0" w:color="auto"/>
      </w:divBdr>
    </w:div>
    <w:div w:id="1813055308">
      <w:bodyDiv w:val="1"/>
      <w:marLeft w:val="0"/>
      <w:marRight w:val="0"/>
      <w:marTop w:val="0"/>
      <w:marBottom w:val="0"/>
      <w:divBdr>
        <w:top w:val="none" w:sz="0" w:space="0" w:color="auto"/>
        <w:left w:val="none" w:sz="0" w:space="0" w:color="auto"/>
        <w:bottom w:val="none" w:sz="0" w:space="0" w:color="auto"/>
        <w:right w:val="none" w:sz="0" w:space="0" w:color="auto"/>
      </w:divBdr>
      <w:divsChild>
        <w:div w:id="1227301359">
          <w:marLeft w:val="0"/>
          <w:marRight w:val="0"/>
          <w:marTop w:val="0"/>
          <w:marBottom w:val="0"/>
          <w:divBdr>
            <w:top w:val="none" w:sz="0" w:space="0" w:color="auto"/>
            <w:left w:val="none" w:sz="0" w:space="0" w:color="auto"/>
            <w:bottom w:val="none" w:sz="0" w:space="0" w:color="auto"/>
            <w:right w:val="none" w:sz="0" w:space="0" w:color="auto"/>
          </w:divBdr>
        </w:div>
      </w:divsChild>
    </w:div>
    <w:div w:id="1819960599">
      <w:bodyDiv w:val="1"/>
      <w:marLeft w:val="0"/>
      <w:marRight w:val="0"/>
      <w:marTop w:val="0"/>
      <w:marBottom w:val="0"/>
      <w:divBdr>
        <w:top w:val="none" w:sz="0" w:space="0" w:color="auto"/>
        <w:left w:val="none" w:sz="0" w:space="0" w:color="auto"/>
        <w:bottom w:val="none" w:sz="0" w:space="0" w:color="auto"/>
        <w:right w:val="none" w:sz="0" w:space="0" w:color="auto"/>
      </w:divBdr>
    </w:div>
    <w:div w:id="1822690170">
      <w:bodyDiv w:val="1"/>
      <w:marLeft w:val="0"/>
      <w:marRight w:val="0"/>
      <w:marTop w:val="0"/>
      <w:marBottom w:val="0"/>
      <w:divBdr>
        <w:top w:val="none" w:sz="0" w:space="0" w:color="auto"/>
        <w:left w:val="none" w:sz="0" w:space="0" w:color="auto"/>
        <w:bottom w:val="none" w:sz="0" w:space="0" w:color="auto"/>
        <w:right w:val="none" w:sz="0" w:space="0" w:color="auto"/>
      </w:divBdr>
    </w:div>
    <w:div w:id="1847548078">
      <w:bodyDiv w:val="1"/>
      <w:marLeft w:val="0"/>
      <w:marRight w:val="0"/>
      <w:marTop w:val="0"/>
      <w:marBottom w:val="0"/>
      <w:divBdr>
        <w:top w:val="none" w:sz="0" w:space="0" w:color="auto"/>
        <w:left w:val="none" w:sz="0" w:space="0" w:color="auto"/>
        <w:bottom w:val="none" w:sz="0" w:space="0" w:color="auto"/>
        <w:right w:val="none" w:sz="0" w:space="0" w:color="auto"/>
      </w:divBdr>
    </w:div>
    <w:div w:id="1849979222">
      <w:bodyDiv w:val="1"/>
      <w:marLeft w:val="0"/>
      <w:marRight w:val="0"/>
      <w:marTop w:val="0"/>
      <w:marBottom w:val="0"/>
      <w:divBdr>
        <w:top w:val="none" w:sz="0" w:space="0" w:color="auto"/>
        <w:left w:val="none" w:sz="0" w:space="0" w:color="auto"/>
        <w:bottom w:val="none" w:sz="0" w:space="0" w:color="auto"/>
        <w:right w:val="none" w:sz="0" w:space="0" w:color="auto"/>
      </w:divBdr>
    </w:div>
    <w:div w:id="1871600868">
      <w:bodyDiv w:val="1"/>
      <w:marLeft w:val="0"/>
      <w:marRight w:val="0"/>
      <w:marTop w:val="0"/>
      <w:marBottom w:val="0"/>
      <w:divBdr>
        <w:top w:val="none" w:sz="0" w:space="0" w:color="auto"/>
        <w:left w:val="none" w:sz="0" w:space="0" w:color="auto"/>
        <w:bottom w:val="none" w:sz="0" w:space="0" w:color="auto"/>
        <w:right w:val="none" w:sz="0" w:space="0" w:color="auto"/>
      </w:divBdr>
    </w:div>
    <w:div w:id="1889803716">
      <w:bodyDiv w:val="1"/>
      <w:marLeft w:val="0"/>
      <w:marRight w:val="0"/>
      <w:marTop w:val="0"/>
      <w:marBottom w:val="0"/>
      <w:divBdr>
        <w:top w:val="none" w:sz="0" w:space="0" w:color="auto"/>
        <w:left w:val="none" w:sz="0" w:space="0" w:color="auto"/>
        <w:bottom w:val="none" w:sz="0" w:space="0" w:color="auto"/>
        <w:right w:val="none" w:sz="0" w:space="0" w:color="auto"/>
      </w:divBdr>
      <w:divsChild>
        <w:div w:id="932053008">
          <w:marLeft w:val="0"/>
          <w:marRight w:val="0"/>
          <w:marTop w:val="0"/>
          <w:marBottom w:val="0"/>
          <w:divBdr>
            <w:top w:val="none" w:sz="0" w:space="0" w:color="auto"/>
            <w:left w:val="none" w:sz="0" w:space="0" w:color="auto"/>
            <w:bottom w:val="none" w:sz="0" w:space="0" w:color="auto"/>
            <w:right w:val="none" w:sz="0" w:space="0" w:color="auto"/>
          </w:divBdr>
        </w:div>
      </w:divsChild>
    </w:div>
    <w:div w:id="1897356208">
      <w:bodyDiv w:val="1"/>
      <w:marLeft w:val="0"/>
      <w:marRight w:val="0"/>
      <w:marTop w:val="0"/>
      <w:marBottom w:val="0"/>
      <w:divBdr>
        <w:top w:val="none" w:sz="0" w:space="0" w:color="auto"/>
        <w:left w:val="none" w:sz="0" w:space="0" w:color="auto"/>
        <w:bottom w:val="none" w:sz="0" w:space="0" w:color="auto"/>
        <w:right w:val="none" w:sz="0" w:space="0" w:color="auto"/>
      </w:divBdr>
      <w:divsChild>
        <w:div w:id="1809010149">
          <w:marLeft w:val="0"/>
          <w:marRight w:val="0"/>
          <w:marTop w:val="0"/>
          <w:marBottom w:val="0"/>
          <w:divBdr>
            <w:top w:val="none" w:sz="0" w:space="0" w:color="auto"/>
            <w:left w:val="none" w:sz="0" w:space="0" w:color="auto"/>
            <w:bottom w:val="none" w:sz="0" w:space="0" w:color="auto"/>
            <w:right w:val="none" w:sz="0" w:space="0" w:color="auto"/>
          </w:divBdr>
        </w:div>
      </w:divsChild>
    </w:div>
    <w:div w:id="1916015972">
      <w:bodyDiv w:val="1"/>
      <w:marLeft w:val="0"/>
      <w:marRight w:val="0"/>
      <w:marTop w:val="0"/>
      <w:marBottom w:val="0"/>
      <w:divBdr>
        <w:top w:val="none" w:sz="0" w:space="0" w:color="auto"/>
        <w:left w:val="none" w:sz="0" w:space="0" w:color="auto"/>
        <w:bottom w:val="none" w:sz="0" w:space="0" w:color="auto"/>
        <w:right w:val="none" w:sz="0" w:space="0" w:color="auto"/>
      </w:divBdr>
    </w:div>
    <w:div w:id="1925456013">
      <w:bodyDiv w:val="1"/>
      <w:marLeft w:val="0"/>
      <w:marRight w:val="0"/>
      <w:marTop w:val="0"/>
      <w:marBottom w:val="0"/>
      <w:divBdr>
        <w:top w:val="none" w:sz="0" w:space="0" w:color="auto"/>
        <w:left w:val="none" w:sz="0" w:space="0" w:color="auto"/>
        <w:bottom w:val="none" w:sz="0" w:space="0" w:color="auto"/>
        <w:right w:val="none" w:sz="0" w:space="0" w:color="auto"/>
      </w:divBdr>
    </w:div>
    <w:div w:id="1933930489">
      <w:bodyDiv w:val="1"/>
      <w:marLeft w:val="0"/>
      <w:marRight w:val="0"/>
      <w:marTop w:val="0"/>
      <w:marBottom w:val="0"/>
      <w:divBdr>
        <w:top w:val="none" w:sz="0" w:space="0" w:color="auto"/>
        <w:left w:val="none" w:sz="0" w:space="0" w:color="auto"/>
        <w:bottom w:val="none" w:sz="0" w:space="0" w:color="auto"/>
        <w:right w:val="none" w:sz="0" w:space="0" w:color="auto"/>
      </w:divBdr>
    </w:div>
    <w:div w:id="1939215424">
      <w:bodyDiv w:val="1"/>
      <w:marLeft w:val="0"/>
      <w:marRight w:val="0"/>
      <w:marTop w:val="0"/>
      <w:marBottom w:val="0"/>
      <w:divBdr>
        <w:top w:val="none" w:sz="0" w:space="0" w:color="auto"/>
        <w:left w:val="none" w:sz="0" w:space="0" w:color="auto"/>
        <w:bottom w:val="none" w:sz="0" w:space="0" w:color="auto"/>
        <w:right w:val="none" w:sz="0" w:space="0" w:color="auto"/>
      </w:divBdr>
    </w:div>
    <w:div w:id="1942762174">
      <w:bodyDiv w:val="1"/>
      <w:marLeft w:val="0"/>
      <w:marRight w:val="0"/>
      <w:marTop w:val="0"/>
      <w:marBottom w:val="0"/>
      <w:divBdr>
        <w:top w:val="none" w:sz="0" w:space="0" w:color="auto"/>
        <w:left w:val="none" w:sz="0" w:space="0" w:color="auto"/>
        <w:bottom w:val="none" w:sz="0" w:space="0" w:color="auto"/>
        <w:right w:val="none" w:sz="0" w:space="0" w:color="auto"/>
      </w:divBdr>
    </w:div>
    <w:div w:id="1943683594">
      <w:bodyDiv w:val="1"/>
      <w:marLeft w:val="0"/>
      <w:marRight w:val="0"/>
      <w:marTop w:val="0"/>
      <w:marBottom w:val="0"/>
      <w:divBdr>
        <w:top w:val="none" w:sz="0" w:space="0" w:color="auto"/>
        <w:left w:val="none" w:sz="0" w:space="0" w:color="auto"/>
        <w:bottom w:val="none" w:sz="0" w:space="0" w:color="auto"/>
        <w:right w:val="none" w:sz="0" w:space="0" w:color="auto"/>
      </w:divBdr>
    </w:div>
    <w:div w:id="1972443296">
      <w:bodyDiv w:val="1"/>
      <w:marLeft w:val="0"/>
      <w:marRight w:val="0"/>
      <w:marTop w:val="0"/>
      <w:marBottom w:val="0"/>
      <w:divBdr>
        <w:top w:val="none" w:sz="0" w:space="0" w:color="auto"/>
        <w:left w:val="none" w:sz="0" w:space="0" w:color="auto"/>
        <w:bottom w:val="none" w:sz="0" w:space="0" w:color="auto"/>
        <w:right w:val="none" w:sz="0" w:space="0" w:color="auto"/>
      </w:divBdr>
    </w:div>
    <w:div w:id="1990396818">
      <w:bodyDiv w:val="1"/>
      <w:marLeft w:val="0"/>
      <w:marRight w:val="0"/>
      <w:marTop w:val="0"/>
      <w:marBottom w:val="0"/>
      <w:divBdr>
        <w:top w:val="none" w:sz="0" w:space="0" w:color="auto"/>
        <w:left w:val="none" w:sz="0" w:space="0" w:color="auto"/>
        <w:bottom w:val="none" w:sz="0" w:space="0" w:color="auto"/>
        <w:right w:val="none" w:sz="0" w:space="0" w:color="auto"/>
      </w:divBdr>
    </w:div>
    <w:div w:id="2029215080">
      <w:bodyDiv w:val="1"/>
      <w:marLeft w:val="0"/>
      <w:marRight w:val="0"/>
      <w:marTop w:val="0"/>
      <w:marBottom w:val="0"/>
      <w:divBdr>
        <w:top w:val="none" w:sz="0" w:space="0" w:color="auto"/>
        <w:left w:val="none" w:sz="0" w:space="0" w:color="auto"/>
        <w:bottom w:val="none" w:sz="0" w:space="0" w:color="auto"/>
        <w:right w:val="none" w:sz="0" w:space="0" w:color="auto"/>
      </w:divBdr>
    </w:div>
    <w:div w:id="2037655317">
      <w:bodyDiv w:val="1"/>
      <w:marLeft w:val="0"/>
      <w:marRight w:val="0"/>
      <w:marTop w:val="0"/>
      <w:marBottom w:val="0"/>
      <w:divBdr>
        <w:top w:val="none" w:sz="0" w:space="0" w:color="auto"/>
        <w:left w:val="none" w:sz="0" w:space="0" w:color="auto"/>
        <w:bottom w:val="none" w:sz="0" w:space="0" w:color="auto"/>
        <w:right w:val="none" w:sz="0" w:space="0" w:color="auto"/>
      </w:divBdr>
    </w:div>
    <w:div w:id="2048135542">
      <w:bodyDiv w:val="1"/>
      <w:marLeft w:val="0"/>
      <w:marRight w:val="0"/>
      <w:marTop w:val="0"/>
      <w:marBottom w:val="0"/>
      <w:divBdr>
        <w:top w:val="none" w:sz="0" w:space="0" w:color="auto"/>
        <w:left w:val="none" w:sz="0" w:space="0" w:color="auto"/>
        <w:bottom w:val="none" w:sz="0" w:space="0" w:color="auto"/>
        <w:right w:val="none" w:sz="0" w:space="0" w:color="auto"/>
      </w:divBdr>
    </w:div>
    <w:div w:id="2048794357">
      <w:bodyDiv w:val="1"/>
      <w:marLeft w:val="0"/>
      <w:marRight w:val="0"/>
      <w:marTop w:val="0"/>
      <w:marBottom w:val="0"/>
      <w:divBdr>
        <w:top w:val="none" w:sz="0" w:space="0" w:color="auto"/>
        <w:left w:val="none" w:sz="0" w:space="0" w:color="auto"/>
        <w:bottom w:val="none" w:sz="0" w:space="0" w:color="auto"/>
        <w:right w:val="none" w:sz="0" w:space="0" w:color="auto"/>
      </w:divBdr>
    </w:div>
    <w:div w:id="2051299455">
      <w:bodyDiv w:val="1"/>
      <w:marLeft w:val="0"/>
      <w:marRight w:val="0"/>
      <w:marTop w:val="0"/>
      <w:marBottom w:val="0"/>
      <w:divBdr>
        <w:top w:val="none" w:sz="0" w:space="0" w:color="auto"/>
        <w:left w:val="none" w:sz="0" w:space="0" w:color="auto"/>
        <w:bottom w:val="none" w:sz="0" w:space="0" w:color="auto"/>
        <w:right w:val="none" w:sz="0" w:space="0" w:color="auto"/>
      </w:divBdr>
    </w:div>
    <w:div w:id="2056586996">
      <w:bodyDiv w:val="1"/>
      <w:marLeft w:val="0"/>
      <w:marRight w:val="0"/>
      <w:marTop w:val="0"/>
      <w:marBottom w:val="0"/>
      <w:divBdr>
        <w:top w:val="none" w:sz="0" w:space="0" w:color="auto"/>
        <w:left w:val="none" w:sz="0" w:space="0" w:color="auto"/>
        <w:bottom w:val="none" w:sz="0" w:space="0" w:color="auto"/>
        <w:right w:val="none" w:sz="0" w:space="0" w:color="auto"/>
      </w:divBdr>
    </w:div>
    <w:div w:id="2065374454">
      <w:bodyDiv w:val="1"/>
      <w:marLeft w:val="0"/>
      <w:marRight w:val="0"/>
      <w:marTop w:val="0"/>
      <w:marBottom w:val="0"/>
      <w:divBdr>
        <w:top w:val="none" w:sz="0" w:space="0" w:color="auto"/>
        <w:left w:val="none" w:sz="0" w:space="0" w:color="auto"/>
        <w:bottom w:val="none" w:sz="0" w:space="0" w:color="auto"/>
        <w:right w:val="none" w:sz="0" w:space="0" w:color="auto"/>
      </w:divBdr>
    </w:div>
    <w:div w:id="2067025901">
      <w:bodyDiv w:val="1"/>
      <w:marLeft w:val="0"/>
      <w:marRight w:val="0"/>
      <w:marTop w:val="0"/>
      <w:marBottom w:val="0"/>
      <w:divBdr>
        <w:top w:val="none" w:sz="0" w:space="0" w:color="auto"/>
        <w:left w:val="none" w:sz="0" w:space="0" w:color="auto"/>
        <w:bottom w:val="none" w:sz="0" w:space="0" w:color="auto"/>
        <w:right w:val="none" w:sz="0" w:space="0" w:color="auto"/>
      </w:divBdr>
    </w:div>
    <w:div w:id="2074039118">
      <w:bodyDiv w:val="1"/>
      <w:marLeft w:val="0"/>
      <w:marRight w:val="0"/>
      <w:marTop w:val="0"/>
      <w:marBottom w:val="0"/>
      <w:divBdr>
        <w:top w:val="none" w:sz="0" w:space="0" w:color="auto"/>
        <w:left w:val="none" w:sz="0" w:space="0" w:color="auto"/>
        <w:bottom w:val="none" w:sz="0" w:space="0" w:color="auto"/>
        <w:right w:val="none" w:sz="0" w:space="0" w:color="auto"/>
      </w:divBdr>
    </w:div>
    <w:div w:id="2074160437">
      <w:bodyDiv w:val="1"/>
      <w:marLeft w:val="0"/>
      <w:marRight w:val="0"/>
      <w:marTop w:val="0"/>
      <w:marBottom w:val="0"/>
      <w:divBdr>
        <w:top w:val="none" w:sz="0" w:space="0" w:color="auto"/>
        <w:left w:val="none" w:sz="0" w:space="0" w:color="auto"/>
        <w:bottom w:val="none" w:sz="0" w:space="0" w:color="auto"/>
        <w:right w:val="none" w:sz="0" w:space="0" w:color="auto"/>
      </w:divBdr>
    </w:div>
    <w:div w:id="2080252159">
      <w:bodyDiv w:val="1"/>
      <w:marLeft w:val="0"/>
      <w:marRight w:val="0"/>
      <w:marTop w:val="0"/>
      <w:marBottom w:val="0"/>
      <w:divBdr>
        <w:top w:val="none" w:sz="0" w:space="0" w:color="auto"/>
        <w:left w:val="none" w:sz="0" w:space="0" w:color="auto"/>
        <w:bottom w:val="none" w:sz="0" w:space="0" w:color="auto"/>
        <w:right w:val="none" w:sz="0" w:space="0" w:color="auto"/>
      </w:divBdr>
    </w:div>
    <w:div w:id="2091342544">
      <w:bodyDiv w:val="1"/>
      <w:marLeft w:val="0"/>
      <w:marRight w:val="0"/>
      <w:marTop w:val="0"/>
      <w:marBottom w:val="0"/>
      <w:divBdr>
        <w:top w:val="none" w:sz="0" w:space="0" w:color="auto"/>
        <w:left w:val="none" w:sz="0" w:space="0" w:color="auto"/>
        <w:bottom w:val="none" w:sz="0" w:space="0" w:color="auto"/>
        <w:right w:val="none" w:sz="0" w:space="0" w:color="auto"/>
      </w:divBdr>
      <w:divsChild>
        <w:div w:id="385763416">
          <w:marLeft w:val="0"/>
          <w:marRight w:val="0"/>
          <w:marTop w:val="0"/>
          <w:marBottom w:val="0"/>
          <w:divBdr>
            <w:top w:val="none" w:sz="0" w:space="0" w:color="auto"/>
            <w:left w:val="none" w:sz="0" w:space="0" w:color="auto"/>
            <w:bottom w:val="none" w:sz="0" w:space="0" w:color="auto"/>
            <w:right w:val="none" w:sz="0" w:space="0" w:color="auto"/>
          </w:divBdr>
        </w:div>
      </w:divsChild>
    </w:div>
    <w:div w:id="2091729296">
      <w:bodyDiv w:val="1"/>
      <w:marLeft w:val="0"/>
      <w:marRight w:val="0"/>
      <w:marTop w:val="0"/>
      <w:marBottom w:val="0"/>
      <w:divBdr>
        <w:top w:val="none" w:sz="0" w:space="0" w:color="auto"/>
        <w:left w:val="none" w:sz="0" w:space="0" w:color="auto"/>
        <w:bottom w:val="none" w:sz="0" w:space="0" w:color="auto"/>
        <w:right w:val="none" w:sz="0" w:space="0" w:color="auto"/>
      </w:divBdr>
    </w:div>
    <w:div w:id="2095199003">
      <w:bodyDiv w:val="1"/>
      <w:marLeft w:val="0"/>
      <w:marRight w:val="0"/>
      <w:marTop w:val="0"/>
      <w:marBottom w:val="0"/>
      <w:divBdr>
        <w:top w:val="none" w:sz="0" w:space="0" w:color="auto"/>
        <w:left w:val="none" w:sz="0" w:space="0" w:color="auto"/>
        <w:bottom w:val="none" w:sz="0" w:space="0" w:color="auto"/>
        <w:right w:val="none" w:sz="0" w:space="0" w:color="auto"/>
      </w:divBdr>
    </w:div>
    <w:div w:id="2119988357">
      <w:bodyDiv w:val="1"/>
      <w:marLeft w:val="0"/>
      <w:marRight w:val="0"/>
      <w:marTop w:val="0"/>
      <w:marBottom w:val="0"/>
      <w:divBdr>
        <w:top w:val="none" w:sz="0" w:space="0" w:color="auto"/>
        <w:left w:val="none" w:sz="0" w:space="0" w:color="auto"/>
        <w:bottom w:val="none" w:sz="0" w:space="0" w:color="auto"/>
        <w:right w:val="none" w:sz="0" w:space="0" w:color="auto"/>
      </w:divBdr>
      <w:divsChild>
        <w:div w:id="13853271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ubhtml5.com/enuk/cykh/Creswell_and_Poth%2C_2018%2C_Qualitative_Inquiry_4th/" TargetMode="External"/><Relationship Id="rId21" Type="http://schemas.openxmlformats.org/officeDocument/2006/relationships/hyperlink" Target="https://www.researchgate.net/profile/David-Morgan-43/post/How_to_teach_and_or_supervise_qualitatve_data_analysis/attachment/5d448bd33843b0b9825d91e4/AS%3A787530584698880%401564773331825/download/Braun+12+APA+Handbook.pdf" TargetMode="External"/><Relationship Id="rId42" Type="http://schemas.openxmlformats.org/officeDocument/2006/relationships/hyperlink" Target="https://www.thelancet.com/journals/lanpub/article/PIIS2468-2667(17)30118-4/fulltext" TargetMode="External"/><Relationship Id="rId47" Type="http://schemas.openxmlformats.org/officeDocument/2006/relationships/hyperlink" Target="https://www.theworkfoundation.com/" TargetMode="External"/><Relationship Id="rId63" Type="http://schemas.openxmlformats.org/officeDocument/2006/relationships/hyperlink" Target="https://www.gov.uk/government/statistics/substance-misuse-treatment-for-adults-statistics-2020-to-2021" TargetMode="External"/><Relationship Id="rId68" Type="http://schemas.openxmlformats.org/officeDocument/2006/relationships/hyperlink" Target="https://doi.org/10.1016/j.addbeh.2018.08.036" TargetMode="External"/><Relationship Id="rId84" Type="http://schemas.openxmlformats.org/officeDocument/2006/relationships/fontTable" Target="fontTable.xml"/><Relationship Id="rId16" Type="http://schemas.openxmlformats.org/officeDocument/2006/relationships/hyperlink" Target="https://assets.publishing.service.gov.uk/media/60eef5588fa8f50c768386fd/independent-review-of-drugs-part-2-annexes.pdf" TargetMode="External"/><Relationship Id="rId11" Type="http://schemas.openxmlformats.org/officeDocument/2006/relationships/hyperlink" Target="https://doi.org/10.2307/jj.26193249" TargetMode="External"/><Relationship Id="rId32" Type="http://schemas.openxmlformats.org/officeDocument/2006/relationships/hyperlink" Target="https://doi.org/10.1086/382250" TargetMode="External"/><Relationship Id="rId37" Type="http://schemas.openxmlformats.org/officeDocument/2006/relationships/hyperlink" Target="https://doi.org/10.2307/1140513" TargetMode="External"/><Relationship Id="rId53" Type="http://schemas.openxmlformats.org/officeDocument/2006/relationships/hyperlink" Target="https://doi:10.1016/j.dadr.2022.100028" TargetMode="External"/><Relationship Id="rId58" Type="http://schemas.openxmlformats.org/officeDocument/2006/relationships/hyperlink" Target="https://www.longtermplan.nhs.uk/" TargetMode="External"/><Relationship Id="rId74" Type="http://schemas.openxmlformats.org/officeDocument/2006/relationships/hyperlink" Target="https://www.unodc.org/unodc/en/data-and-analysis/world-drug-report-2022.html?utm_source=chatgpt.com" TargetMode="External"/><Relationship Id="rId79" Type="http://schemas.openxmlformats.org/officeDocument/2006/relationships/hyperlink" Target="https://www.who.int/publications/i/item/9241544686" TargetMode="External"/><Relationship Id="rId5" Type="http://schemas.openxmlformats.org/officeDocument/2006/relationships/webSettings" Target="webSettings.xml"/><Relationship Id="rId19" Type="http://schemas.openxmlformats.org/officeDocument/2006/relationships/hyperlink" Target="https://books.google.co.uk/books?hl=en&amp;lr=&amp;id=Zpc3DwAAQBAJ&amp;oi=fnd&amp;pg=PP1&amp;dq=Doing+a+Systematic+Review:+A+Student&#8217;s+Guide.+2nd+ed.&amp;ots=KjI78ALSA5&amp;sig=URTqa_rqi5W6MNNWmUbT6vimRHY&amp;redir_esc=y" TargetMode="External"/><Relationship Id="rId14" Type="http://schemas.openxmlformats.org/officeDocument/2006/relationships/hyperlink" Target="https://monoskop.org/images/2/2b/Becker_Howard_Outsiders_Studies_In_The_Sociogy_Of_Deviance_1963.pdf" TargetMode="External"/><Relationship Id="rId22" Type="http://schemas.openxmlformats.org/officeDocument/2006/relationships/hyperlink" Target="https://doi.org/10.1016/S0740-5472(97)00286-9" TargetMode="External"/><Relationship Id="rId27" Type="http://schemas.openxmlformats.org/officeDocument/2006/relationships/hyperlink" Target="https://ajph.aphapublications.org/doi/full/10.2105/AJPH.2017.304187" TargetMode="External"/><Relationship Id="rId30" Type="http://schemas.openxmlformats.org/officeDocument/2006/relationships/hyperlink" Target="https://www.emcdda.europa.eu/publications/edr/trends-developments/2022_en" TargetMode="External"/><Relationship Id="rId35" Type="http://schemas.openxmlformats.org/officeDocument/2006/relationships/hyperlink" Target="https://books.google.co.uk/books?hl=en&amp;lr=&amp;id=L_YvEQAAQBAJ&amp;oi=fnd&amp;pg=PR12&amp;dq=How+to+Read+a+Paper:+the+Basics+of+Evidence-Based+Healthcare,+7th+Edition&amp;ots=F28FSKoKI1&amp;sig=c4bPEIMzeXz-DpLKNnoKfaTiYSQ&amp;redir_esc=y" TargetMode="External"/><Relationship Id="rId43" Type="http://schemas.openxmlformats.org/officeDocument/2006/relationships/hyperlink" Target="https://www.instituteofhealthequity.org/resources-reports/fair-society-healthy-lives-the-marmot-review" TargetMode="External"/><Relationship Id="rId48" Type="http://schemas.openxmlformats.org/officeDocument/2006/relationships/hyperlink" Target="https://doi:10.1080/16066359.2018.1478429" TargetMode="External"/><Relationship Id="rId56" Type="http://schemas.openxmlformats.org/officeDocument/2006/relationships/hyperlink" Target="https://www.nice.org.uk/" TargetMode="External"/><Relationship Id="rId64" Type="http://schemas.openxmlformats.org/officeDocument/2006/relationships/hyperlink" Target="https://onlinelibrary.wiley.com/doi/10.1080/09595230500102434" TargetMode="External"/><Relationship Id="rId69" Type="http://schemas.openxmlformats.org/officeDocument/2006/relationships/hyperlink" Target="https://doi.org/10.1016/j.drugpo.2018.03.030" TargetMode="External"/><Relationship Id="rId77" Type="http://schemas.openxmlformats.org/officeDocument/2006/relationships/hyperlink" Target="https://www.who.int/publications/i/item/9789240096745" TargetMode="External"/><Relationship Id="rId8" Type="http://schemas.openxmlformats.org/officeDocument/2006/relationships/image" Target="media/image1.png"/><Relationship Id="rId51" Type="http://schemas.openxmlformats.org/officeDocument/2006/relationships/hyperlink" Target="https://www.mind.org.uk/" TargetMode="External"/><Relationship Id="rId72" Type="http://schemas.openxmlformats.org/officeDocument/2006/relationships/hyperlink" Target="https://www.turning-point.co.uk/_themesdelivery/turningpoint23/assets/downloads/Reports%20and%20strategy%20page%20downloads/SUMH%20Resource%20Pack%20July%202021%20(1).pdf" TargetMode="External"/><Relationship Id="rId80" Type="http://schemas.openxmlformats.org/officeDocument/2006/relationships/image" Target="media/image2.png"/><Relationship Id="rId85"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hyperlink" Target="https://books.google.co.uk/books?hl=en&amp;lr=&amp;id=65W1EAAAQBAJ&amp;oi=fnd&amp;pg=PR11&amp;dq=Aveyard" TargetMode="External"/><Relationship Id="rId17" Type="http://schemas.openxmlformats.org/officeDocument/2006/relationships/hyperlink" Target="https://library.csuchico.edu/sites/default/files/craap-test.pdf" TargetMode="External"/><Relationship Id="rId25" Type="http://schemas.openxmlformats.org/officeDocument/2006/relationships/hyperlink" Target="https://www.macmillanihe.com/page/detail/Critical-Thinking-Skills/?K=9781137550507" TargetMode="External"/><Relationship Id="rId33" Type="http://schemas.openxmlformats.org/officeDocument/2006/relationships/hyperlink" Target="https://journals.library.ualberta.ca/pandpr/index.php/pandpr/article/download/19818/15336" TargetMode="External"/><Relationship Id="rId38" Type="http://schemas.openxmlformats.org/officeDocument/2006/relationships/hyperlink" Target="https://ajph.aphapublications.org/doi/10.2105/AJPH.2012.301069" TargetMode="External"/><Relationship Id="rId46" Type="http://schemas.openxmlformats.org/officeDocument/2006/relationships/hyperlink" Target="https://doi.org/10.1192/bjp.2020.242" TargetMode="External"/><Relationship Id="rId59" Type="http://schemas.openxmlformats.org/officeDocument/2006/relationships/hyperlink" Target="https://doi.org/10.1136/ebnurs-2019-103145" TargetMode="External"/><Relationship Id="rId67" Type="http://schemas.openxmlformats.org/officeDocument/2006/relationships/hyperlink" Target="https://nyaspubs.onlinelibrary.wiley.com/doi/10.1196/annals.1441.030" TargetMode="External"/><Relationship Id="rId20" Type="http://schemas.openxmlformats.org/officeDocument/2006/relationships/hyperlink" Target="https://doi.org/10.1191/1478088706qp063oa" TargetMode="External"/><Relationship Id="rId41" Type="http://schemas.openxmlformats.org/officeDocument/2006/relationships/hyperlink" Target="https://doi:10.1016/S2468-2667%20(17)30118-4" TargetMode="External"/><Relationship Id="rId54" Type="http://schemas.openxmlformats.org/officeDocument/2006/relationships/hyperlink" Target="https://doi.org/10.1016/j.dadr.2022.100028" TargetMode="External"/><Relationship Id="rId62" Type="http://schemas.openxmlformats.org/officeDocument/2006/relationships/hyperlink" Target="https://doi.org/10.1016/S2215-0366(20)30308-4" TargetMode="External"/><Relationship Id="rId70" Type="http://schemas.openxmlformats.org/officeDocument/2006/relationships/hyperlink" Target="https://link.springer.com/book/10.1007/978-3-030-25595-1" TargetMode="External"/><Relationship Id="rId75" Type="http://schemas.openxmlformats.org/officeDocument/2006/relationships/hyperlink" Target="https://www.unodc.org/unodc/en/data-and-analysis/world-drug-report-2022.html?utm_source=chatgpt.com" TargetMode="External"/><Relationship Id="rId83"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academic.oup.com/book/9780199604982" TargetMode="External"/><Relationship Id="rId23" Type="http://schemas.openxmlformats.org/officeDocument/2006/relationships/hyperlink" Target="https://doi.org/10.15123/uel.84y7v" TargetMode="External"/><Relationship Id="rId28" Type="http://schemas.openxmlformats.org/officeDocument/2006/relationships/hyperlink" Target="https://www.gov.uk/government/statistics/households-below-average-income-for-financial-years-ending-1995-to-2023/households-below-average-income-an-analysis-of-the-uk-income-distribution-fye-1995-to-fye-2023" TargetMode="External"/><Relationship Id="rId36" Type="http://schemas.openxmlformats.org/officeDocument/2006/relationships/hyperlink" Target="https://www.cato.org/publications/white-paper/drug-decriminalization-portugal-lessons-creating-fair-successful" TargetMode="External"/><Relationship Id="rId49" Type="http://schemas.openxmlformats.org/officeDocument/2006/relationships/hyperlink" Target="https://www.instituteofhealthequity.org/resources-reports/marmot-review-10-years-on/the-marmot-review-10-years-on-full-report.pdf" TargetMode="External"/><Relationship Id="rId57" Type="http://schemas.openxmlformats.org/officeDocument/2006/relationships/hyperlink" Target="https://digital.nhs.uk/data-and-information/publications" TargetMode="External"/><Relationship Id="rId10" Type="http://schemas.openxmlformats.org/officeDocument/2006/relationships/hyperlink" Target="https://alcoholchange.org.uk/facts-faqs/facts" TargetMode="External"/><Relationship Id="rId31" Type="http://schemas.openxmlformats.org/officeDocument/2006/relationships/hyperlink" Target="https://www.emcdda.europa.eu/" TargetMode="External"/><Relationship Id="rId44" Type="http://schemas.openxmlformats.org/officeDocument/2006/relationships/hyperlink" Target="https://doi.org/10.1016/j.ssmph.2022.101142" TargetMode="External"/><Relationship Id="rId52" Type="http://schemas.openxmlformats.org/officeDocument/2006/relationships/hyperlink" Target="https://www.mind.org.uk/information-support/guides-to-support-and-services/seeking-help-for-a-mental-health-problem/facing-and-overcoming-barriers/?utm_source=chatgpt.com" TargetMode="External"/><Relationship Id="rId60" Type="http://schemas.openxmlformats.org/officeDocument/2006/relationships/hyperlink" Target="https://www.ons.gov.uk/peoplepopulationandcommunity" TargetMode="External"/><Relationship Id="rId65" Type="http://schemas.openxmlformats.org/officeDocument/2006/relationships/hyperlink" Target="https://doi.org/10.5209/psic.84045" TargetMode="External"/><Relationship Id="rId73" Type="http://schemas.openxmlformats.org/officeDocument/2006/relationships/hyperlink" Target="https://www.unodc.org/res/WDR-2023/WDR23_Exsum_fin_DP.pdf" TargetMode="External"/><Relationship Id="rId78" Type="http://schemas.openxmlformats.org/officeDocument/2006/relationships/hyperlink" Target="https://www.who.int/teams/mental-health-and-substance-use/alcohol-drugs-and-addictive-behaviours/alcohol/our-activities/towards-and-action-plan-on-alcohol" TargetMode="External"/><Relationship Id="rId81" Type="http://schemas.openxmlformats.org/officeDocument/2006/relationships/image" Target="media/image3.png"/><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pmc.ncbi.nlm.nih.gov/articles/PMC1071804/" TargetMode="External"/><Relationship Id="rId13" Type="http://schemas.openxmlformats.org/officeDocument/2006/relationships/hyperlink" Target="https://policy.bristoluniversitypress.co.uk/the-unequal-pandemic" TargetMode="External"/><Relationship Id="rId18" Type="http://schemas.openxmlformats.org/officeDocument/2006/relationships/hyperlink" Target="https://doi.org/10.53841/bpsicpr.2020.15.2.119" TargetMode="External"/><Relationship Id="rId39" Type="http://schemas.openxmlformats.org/officeDocument/2006/relationships/hyperlink" Target="https://www.legislation.gov.uk/ukpga/1971/38/contents/enacted" TargetMode="External"/><Relationship Id="rId34" Type="http://schemas.openxmlformats.org/officeDocument/2006/relationships/hyperlink" Target="https://content.e-bookshelf.de/media/reading/L-12549069-30fab85148.pdf" TargetMode="External"/><Relationship Id="rId50" Type="http://schemas.openxmlformats.org/officeDocument/2006/relationships/hyperlink" Target="https://www.mind.org.uk/" TargetMode="External"/><Relationship Id="rId55" Type="http://schemas.openxmlformats.org/officeDocument/2006/relationships/hyperlink" Target="https://www.nice.org.uk/guidance/ng58" TargetMode="External"/><Relationship Id="rId76" Type="http://schemas.openxmlformats.org/officeDocument/2006/relationships/hyperlink" Target="https://www.who.int/health-topics/social-determinants-of-health" TargetMode="External"/><Relationship Id="rId7" Type="http://schemas.openxmlformats.org/officeDocument/2006/relationships/endnotes" Target="endnotes.xml"/><Relationship Id="rId71" Type="http://schemas.openxmlformats.org/officeDocument/2006/relationships/hyperlink" Target="https://doi.org/10.1016/0277-9536(94)00435-V" TargetMode="External"/><Relationship Id="rId2" Type="http://schemas.openxmlformats.org/officeDocument/2006/relationships/numbering" Target="numbering.xml"/><Relationship Id="rId29" Type="http://schemas.openxmlformats.org/officeDocument/2006/relationships/hyperlink" Target="https://www.gov.uk/government/statistics" TargetMode="External"/><Relationship Id="rId24" Type="http://schemas.openxmlformats.org/officeDocument/2006/relationships/hyperlink" Target="https://doi.org/10.1080/17439760.2016.1262613" TargetMode="External"/><Relationship Id="rId40" Type="http://schemas.openxmlformats.org/officeDocument/2006/relationships/hyperlink" Target="https://academic.oup.com/bjc/article/50/6/999/608687" TargetMode="External"/><Relationship Id="rId45" Type="http://schemas.openxmlformats.org/officeDocument/2006/relationships/hyperlink" Target="https://harmreductionjournal.biomedcentral.com/articles/10.1186/s12954-017-0154-1" TargetMode="External"/><Relationship Id="rId66" Type="http://schemas.openxmlformats.org/officeDocument/2006/relationships/hyperlink" Target="https://onlinelibrary.wiley.com/doi/10.1111/j.1564-913X.1994.tb00553.x" TargetMode="External"/><Relationship Id="rId61" Type="http://schemas.openxmlformats.org/officeDocument/2006/relationships/hyperlink" Target="https://doi.org/10.1136/bmj.n71" TargetMode="External"/><Relationship Id="rId8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2BE798C6FA64A449DDDB191C5CDAE75"/>
        <w:category>
          <w:name w:val="General"/>
          <w:gallery w:val="placeholder"/>
        </w:category>
        <w:types>
          <w:type w:val="bbPlcHdr"/>
        </w:types>
        <w:behaviors>
          <w:behavior w:val="content"/>
        </w:behaviors>
        <w:guid w:val="{ABE843D4-F14F-B043-BE9D-4EBF57BC662B}"/>
      </w:docPartPr>
      <w:docPartBody>
        <w:p w:rsidR="00017483" w:rsidRDefault="00AA5D02" w:rsidP="00AA5D02">
          <w:pPr>
            <w:pStyle w:val="52BE798C6FA64A449DDDB191C5CDAE7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pple Color Emoji">
    <w:panose1 w:val="00000000000000000000"/>
    <w:charset w:val="00"/>
    <w:family w:val="auto"/>
    <w:pitch w:val="variable"/>
    <w:sig w:usb0="00000003" w:usb1="18000000" w:usb2="14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D02"/>
    <w:rsid w:val="00017483"/>
    <w:rsid w:val="001C005E"/>
    <w:rsid w:val="001C6B17"/>
    <w:rsid w:val="001D2979"/>
    <w:rsid w:val="00902697"/>
    <w:rsid w:val="00AA5D02"/>
    <w:rsid w:val="00D61F0D"/>
    <w:rsid w:val="00EC1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BE798C6FA64A449DDDB191C5CDAE75">
    <w:name w:val="52BE798C6FA64A449DDDB191C5CDAE75"/>
    <w:rsid w:val="00AA5D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CAA4E8-B340-EC4A-A2C4-D967956BE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1267</TotalTime>
  <Pages>66</Pages>
  <Words>18827</Words>
  <Characters>107314</Characters>
  <Application>Microsoft Office Word</Application>
  <DocSecurity>0</DocSecurity>
  <Lines>894</Lines>
  <Paragraphs>251</Paragraphs>
  <ScaleCrop>false</ScaleCrop>
  <HeadingPairs>
    <vt:vector size="2" baseType="variant">
      <vt:variant>
        <vt:lpstr>Title</vt:lpstr>
      </vt:variant>
      <vt:variant>
        <vt:i4>1</vt:i4>
      </vt:variant>
    </vt:vector>
  </HeadingPairs>
  <TitlesOfParts>
    <vt:vector size="1" baseType="lpstr">
      <vt:lpstr>Institute of Inner-City Learning Birmingham Campus BSc (Hons) Health and Social Care</vt:lpstr>
    </vt:vector>
  </TitlesOfParts>
  <Company/>
  <LinksUpToDate>false</LinksUpToDate>
  <CharactersWithSpaces>125890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Institute of Inner-City Learning Birmingham Campus BSc (Hons) Health and Social Care</dc:title>
  <dc:subject/>
  <dc:creator>Fawaz Yaslam (2113070)</dc:creator>
  <cp:keywords/>
  <dc:description/>
  <cp:lastModifiedBy>Fawaz Yaslam (2113070)</cp:lastModifiedBy>
  <cp:revision>135</cp:revision>
  <dcterms:created xsi:type="dcterms:W3CDTF">2025-11-05T15:45:00Z</dcterms:created>
  <dcterms:modified xsi:type="dcterms:W3CDTF">2025-11-26T10:25:00Z</dcterms:modified>
</cp:coreProperties>
</file>