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8C9A5" w14:textId="77777777" w:rsidR="00C41678" w:rsidRPr="006D52A6" w:rsidRDefault="00C41678" w:rsidP="006D52A6">
      <w:pPr>
        <w:spacing w:line="360" w:lineRule="auto"/>
        <w:ind w:left="720" w:hanging="360"/>
        <w:rPr>
          <w:rFonts w:ascii="Arial" w:hAnsi="Arial" w:cs="Arial"/>
          <w:color w:val="000000" w:themeColor="text1"/>
        </w:rPr>
      </w:pPr>
    </w:p>
    <w:p w14:paraId="20BFFE66" w14:textId="77777777" w:rsidR="00C41678" w:rsidRPr="006D52A6" w:rsidRDefault="00C41678" w:rsidP="006D52A6">
      <w:pPr>
        <w:spacing w:line="360" w:lineRule="auto"/>
        <w:rPr>
          <w:rFonts w:ascii="Arial" w:hAnsi="Arial" w:cs="Arial"/>
          <w:color w:val="000000" w:themeColor="text1"/>
        </w:rPr>
      </w:pPr>
    </w:p>
    <w:p w14:paraId="1528B3DD" w14:textId="77777777" w:rsidR="00C41678" w:rsidRPr="006D52A6" w:rsidRDefault="00C41678" w:rsidP="006D52A6">
      <w:pPr>
        <w:spacing w:line="360" w:lineRule="auto"/>
        <w:rPr>
          <w:rFonts w:ascii="Arial" w:hAnsi="Arial" w:cs="Arial"/>
          <w:color w:val="000000" w:themeColor="text1"/>
        </w:rPr>
      </w:pPr>
    </w:p>
    <w:p w14:paraId="7E2CEB4B" w14:textId="77777777" w:rsidR="00C41678" w:rsidRPr="006D52A6" w:rsidRDefault="00C41678" w:rsidP="006D52A6">
      <w:pPr>
        <w:spacing w:line="360" w:lineRule="auto"/>
        <w:rPr>
          <w:rFonts w:ascii="Arial" w:hAnsi="Arial" w:cs="Arial"/>
          <w:color w:val="000000" w:themeColor="text1"/>
        </w:rPr>
      </w:pPr>
    </w:p>
    <w:p w14:paraId="1C6751F9" w14:textId="77777777" w:rsidR="00C41678" w:rsidRPr="006D52A6" w:rsidRDefault="00C41678" w:rsidP="006D52A6">
      <w:pPr>
        <w:spacing w:line="360" w:lineRule="auto"/>
        <w:rPr>
          <w:rFonts w:ascii="Arial" w:hAnsi="Arial" w:cs="Arial"/>
          <w:color w:val="000000" w:themeColor="text1"/>
        </w:rPr>
      </w:pPr>
    </w:p>
    <w:p w14:paraId="6EE4B125" w14:textId="77777777" w:rsidR="00250A81" w:rsidRPr="006D52A6" w:rsidRDefault="00C41678" w:rsidP="006D52A6">
      <w:pPr>
        <w:tabs>
          <w:tab w:val="left" w:pos="3293"/>
        </w:tabs>
        <w:spacing w:line="360" w:lineRule="auto"/>
        <w:rPr>
          <w:rFonts w:ascii="Arial" w:hAnsi="Arial" w:cs="Arial"/>
          <w:color w:val="000000" w:themeColor="text1"/>
        </w:rPr>
      </w:pPr>
      <w:r w:rsidRPr="006D52A6">
        <w:rPr>
          <w:rFonts w:ascii="Arial" w:hAnsi="Arial" w:cs="Arial"/>
          <w:color w:val="000000" w:themeColor="text1"/>
        </w:rPr>
        <w:tab/>
      </w:r>
    </w:p>
    <w:p w14:paraId="241FB8F9" w14:textId="77777777" w:rsidR="00250A81" w:rsidRPr="006D52A6" w:rsidRDefault="00250A81" w:rsidP="006D52A6">
      <w:pPr>
        <w:tabs>
          <w:tab w:val="left" w:pos="3293"/>
        </w:tabs>
        <w:spacing w:line="360" w:lineRule="auto"/>
        <w:rPr>
          <w:rFonts w:ascii="Arial" w:hAnsi="Arial" w:cs="Arial"/>
          <w:color w:val="000000" w:themeColor="text1"/>
        </w:rPr>
      </w:pPr>
    </w:p>
    <w:p w14:paraId="7B02B52C" w14:textId="77777777" w:rsidR="00250A81" w:rsidRPr="006D52A6" w:rsidRDefault="00250A81" w:rsidP="006D52A6">
      <w:pPr>
        <w:tabs>
          <w:tab w:val="left" w:pos="3293"/>
        </w:tabs>
        <w:spacing w:line="360" w:lineRule="auto"/>
        <w:rPr>
          <w:rFonts w:ascii="Arial" w:hAnsi="Arial" w:cs="Arial"/>
          <w:color w:val="000000" w:themeColor="text1"/>
        </w:rPr>
      </w:pPr>
    </w:p>
    <w:p w14:paraId="766FBB9E" w14:textId="77777777" w:rsidR="00250A81" w:rsidRPr="006D52A6" w:rsidRDefault="00250A81" w:rsidP="006D52A6">
      <w:pPr>
        <w:tabs>
          <w:tab w:val="left" w:pos="3293"/>
        </w:tabs>
        <w:spacing w:line="360" w:lineRule="auto"/>
        <w:rPr>
          <w:rFonts w:ascii="Arial" w:hAnsi="Arial" w:cs="Arial"/>
          <w:color w:val="000000" w:themeColor="text1"/>
        </w:rPr>
      </w:pPr>
    </w:p>
    <w:p w14:paraId="66A60BDE" w14:textId="77777777" w:rsidR="00250A81" w:rsidRPr="006D52A6" w:rsidRDefault="00250A81" w:rsidP="006D52A6">
      <w:pPr>
        <w:tabs>
          <w:tab w:val="left" w:pos="3293"/>
        </w:tabs>
        <w:spacing w:line="360" w:lineRule="auto"/>
        <w:rPr>
          <w:rFonts w:ascii="Arial" w:hAnsi="Arial" w:cs="Arial"/>
          <w:color w:val="000000" w:themeColor="text1"/>
        </w:rPr>
      </w:pPr>
    </w:p>
    <w:p w14:paraId="39178B02" w14:textId="377D8D64" w:rsidR="00250A81" w:rsidRPr="006D52A6" w:rsidRDefault="00C41678" w:rsidP="006D52A6">
      <w:pPr>
        <w:tabs>
          <w:tab w:val="left" w:pos="3293"/>
        </w:tabs>
        <w:spacing w:line="360" w:lineRule="auto"/>
        <w:jc w:val="center"/>
        <w:rPr>
          <w:rFonts w:ascii="Arial" w:hAnsi="Arial" w:cs="Arial"/>
          <w:color w:val="000000" w:themeColor="text1"/>
        </w:rPr>
      </w:pPr>
      <w:r w:rsidRPr="006D52A6">
        <w:rPr>
          <w:rFonts w:ascii="Arial" w:hAnsi="Arial" w:cs="Arial"/>
          <w:color w:val="000000" w:themeColor="text1"/>
        </w:rPr>
        <w:t>Introduction to Health and Social Care</w:t>
      </w:r>
    </w:p>
    <w:p w14:paraId="6D1EFBA7" w14:textId="293FDDCB" w:rsidR="00857FF4" w:rsidRPr="006D52A6" w:rsidRDefault="00857FF4" w:rsidP="006D52A6">
      <w:pPr>
        <w:tabs>
          <w:tab w:val="left" w:pos="3293"/>
        </w:tabs>
        <w:spacing w:line="360" w:lineRule="auto"/>
        <w:jc w:val="center"/>
        <w:rPr>
          <w:rFonts w:ascii="Arial" w:hAnsi="Arial" w:cs="Arial"/>
          <w:color w:val="000000" w:themeColor="text1"/>
        </w:rPr>
      </w:pPr>
    </w:p>
    <w:p w14:paraId="35525062" w14:textId="438B90C3" w:rsidR="00C41678" w:rsidRPr="006D52A6" w:rsidRDefault="00C41678" w:rsidP="006D52A6">
      <w:pPr>
        <w:tabs>
          <w:tab w:val="left" w:pos="3293"/>
        </w:tabs>
        <w:spacing w:line="360" w:lineRule="auto"/>
        <w:rPr>
          <w:rFonts w:ascii="Arial" w:hAnsi="Arial" w:cs="Arial"/>
          <w:color w:val="000000" w:themeColor="text1"/>
        </w:rPr>
        <w:sectPr w:rsidR="00C41678" w:rsidRPr="006D52A6" w:rsidSect="00E27F07">
          <w:pgSz w:w="12240" w:h="15840"/>
          <w:pgMar w:top="1440" w:right="1440" w:bottom="1440" w:left="1440" w:header="720" w:footer="720" w:gutter="0"/>
          <w:cols w:space="720"/>
          <w:docGrid w:linePitch="360"/>
        </w:sectPr>
      </w:pPr>
      <w:r w:rsidRPr="006D52A6">
        <w:rPr>
          <w:rFonts w:ascii="Arial" w:hAnsi="Arial" w:cs="Arial"/>
          <w:color w:val="000000" w:themeColor="text1"/>
        </w:rPr>
        <w:tab/>
      </w:r>
    </w:p>
    <w:sdt>
      <w:sdtPr>
        <w:rPr>
          <w:rFonts w:ascii="Arial" w:hAnsi="Arial" w:cs="Arial"/>
          <w:color w:val="000000" w:themeColor="text1"/>
          <w:sz w:val="22"/>
          <w:szCs w:val="22"/>
        </w:rPr>
        <w:id w:val="-381482486"/>
        <w:docPartObj>
          <w:docPartGallery w:val="Table of Contents"/>
          <w:docPartUnique/>
        </w:docPartObj>
      </w:sdtPr>
      <w:sdtEndPr>
        <w:rPr>
          <w:rFonts w:eastAsiaTheme="minorHAnsi"/>
          <w:b/>
          <w:bCs/>
          <w:noProof/>
          <w:kern w:val="2"/>
          <w:lang w:val="en-GB"/>
          <w14:ligatures w14:val="standardContextual"/>
        </w:rPr>
      </w:sdtEndPr>
      <w:sdtContent>
        <w:p w14:paraId="38E3481A" w14:textId="277C48A1" w:rsidR="006D52A6" w:rsidRPr="006D52A6" w:rsidRDefault="006D52A6" w:rsidP="006D52A6">
          <w:pPr>
            <w:pStyle w:val="TOCHeading"/>
            <w:spacing w:line="360" w:lineRule="auto"/>
            <w:jc w:val="center"/>
            <w:rPr>
              <w:rFonts w:ascii="Arial" w:hAnsi="Arial" w:cs="Arial"/>
              <w:color w:val="000000" w:themeColor="text1"/>
              <w:sz w:val="22"/>
              <w:szCs w:val="22"/>
            </w:rPr>
          </w:pPr>
          <w:r w:rsidRPr="006D52A6">
            <w:rPr>
              <w:rFonts w:ascii="Arial" w:hAnsi="Arial" w:cs="Arial"/>
              <w:color w:val="000000" w:themeColor="text1"/>
              <w:sz w:val="22"/>
              <w:szCs w:val="22"/>
            </w:rPr>
            <w:t>Table of Contents</w:t>
          </w:r>
        </w:p>
        <w:p w14:paraId="50FBC613" w14:textId="289CB43C" w:rsidR="006D52A6" w:rsidRPr="006D52A6" w:rsidRDefault="006D52A6" w:rsidP="006D52A6">
          <w:pPr>
            <w:pStyle w:val="TOC1"/>
            <w:tabs>
              <w:tab w:val="right" w:leader="dot" w:pos="9350"/>
            </w:tabs>
            <w:spacing w:line="360" w:lineRule="auto"/>
            <w:rPr>
              <w:rFonts w:ascii="Arial" w:hAnsi="Arial" w:cs="Arial"/>
              <w:noProof/>
              <w:color w:val="000000" w:themeColor="text1"/>
            </w:rPr>
          </w:pPr>
          <w:r w:rsidRPr="006D52A6">
            <w:rPr>
              <w:rFonts w:ascii="Arial" w:hAnsi="Arial" w:cs="Arial"/>
              <w:color w:val="000000" w:themeColor="text1"/>
            </w:rPr>
            <w:fldChar w:fldCharType="begin"/>
          </w:r>
          <w:r w:rsidRPr="006D52A6">
            <w:rPr>
              <w:rFonts w:ascii="Arial" w:hAnsi="Arial" w:cs="Arial"/>
              <w:color w:val="000000" w:themeColor="text1"/>
            </w:rPr>
            <w:instrText xml:space="preserve"> TOC \o "1-3" \h \z \u </w:instrText>
          </w:r>
          <w:r w:rsidRPr="006D52A6">
            <w:rPr>
              <w:rFonts w:ascii="Arial" w:hAnsi="Arial" w:cs="Arial"/>
              <w:color w:val="000000" w:themeColor="text1"/>
            </w:rPr>
            <w:fldChar w:fldCharType="separate"/>
          </w:r>
          <w:hyperlink w:anchor="_Toc236671955" w:history="1">
            <w:r w:rsidRPr="006D52A6">
              <w:rPr>
                <w:rStyle w:val="Hyperlink"/>
                <w:rFonts w:ascii="Arial" w:hAnsi="Arial" w:cs="Arial"/>
                <w:noProof/>
                <w:color w:val="000000" w:themeColor="text1"/>
              </w:rPr>
              <w:t>Introduction</w:t>
            </w:r>
            <w:r w:rsidRPr="006D52A6">
              <w:rPr>
                <w:rFonts w:ascii="Arial" w:hAnsi="Arial" w:cs="Arial"/>
                <w:noProof/>
                <w:webHidden/>
                <w:color w:val="000000" w:themeColor="text1"/>
              </w:rPr>
              <w:tab/>
            </w:r>
            <w:r w:rsidRPr="006D52A6">
              <w:rPr>
                <w:rFonts w:ascii="Arial" w:hAnsi="Arial" w:cs="Arial"/>
                <w:noProof/>
                <w:webHidden/>
                <w:color w:val="000000" w:themeColor="text1"/>
              </w:rPr>
              <w:fldChar w:fldCharType="begin"/>
            </w:r>
            <w:r w:rsidRPr="006D52A6">
              <w:rPr>
                <w:rFonts w:ascii="Arial" w:hAnsi="Arial" w:cs="Arial"/>
                <w:noProof/>
                <w:webHidden/>
                <w:color w:val="000000" w:themeColor="text1"/>
              </w:rPr>
              <w:instrText xml:space="preserve"> PAGEREF _Toc236671955 \h </w:instrText>
            </w:r>
            <w:r w:rsidRPr="006D52A6">
              <w:rPr>
                <w:rFonts w:ascii="Arial" w:hAnsi="Arial" w:cs="Arial"/>
                <w:noProof/>
                <w:webHidden/>
                <w:color w:val="000000" w:themeColor="text1"/>
              </w:rPr>
            </w:r>
            <w:r w:rsidRPr="006D52A6">
              <w:rPr>
                <w:rFonts w:ascii="Arial" w:hAnsi="Arial" w:cs="Arial"/>
                <w:noProof/>
                <w:webHidden/>
                <w:color w:val="000000" w:themeColor="text1"/>
              </w:rPr>
              <w:fldChar w:fldCharType="separate"/>
            </w:r>
            <w:r w:rsidRPr="006D52A6">
              <w:rPr>
                <w:rFonts w:ascii="Arial" w:hAnsi="Arial" w:cs="Arial"/>
                <w:noProof/>
                <w:webHidden/>
                <w:color w:val="000000" w:themeColor="text1"/>
              </w:rPr>
              <w:t>1</w:t>
            </w:r>
            <w:r w:rsidRPr="006D52A6">
              <w:rPr>
                <w:rFonts w:ascii="Arial" w:hAnsi="Arial" w:cs="Arial"/>
                <w:noProof/>
                <w:webHidden/>
                <w:color w:val="000000" w:themeColor="text1"/>
              </w:rPr>
              <w:fldChar w:fldCharType="end"/>
            </w:r>
          </w:hyperlink>
        </w:p>
        <w:p w14:paraId="65EAB7D1" w14:textId="0DB8473D" w:rsidR="006D52A6" w:rsidRPr="006D52A6" w:rsidRDefault="006D52A6" w:rsidP="006D52A6">
          <w:pPr>
            <w:pStyle w:val="TOC1"/>
            <w:tabs>
              <w:tab w:val="right" w:leader="dot" w:pos="9350"/>
            </w:tabs>
            <w:spacing w:line="360" w:lineRule="auto"/>
            <w:rPr>
              <w:rFonts w:ascii="Arial" w:hAnsi="Arial" w:cs="Arial"/>
              <w:noProof/>
              <w:color w:val="000000" w:themeColor="text1"/>
            </w:rPr>
          </w:pPr>
          <w:hyperlink w:anchor="_Toc236671956" w:history="1">
            <w:r w:rsidRPr="006D52A6">
              <w:rPr>
                <w:rStyle w:val="Hyperlink"/>
                <w:rFonts w:ascii="Arial" w:hAnsi="Arial" w:cs="Arial"/>
                <w:noProof/>
                <w:color w:val="000000" w:themeColor="text1"/>
              </w:rPr>
              <w:t>1. Effective Communication in the context of Mrs Thompson's care.</w:t>
            </w:r>
            <w:r w:rsidRPr="006D52A6">
              <w:rPr>
                <w:rFonts w:ascii="Arial" w:hAnsi="Arial" w:cs="Arial"/>
                <w:noProof/>
                <w:webHidden/>
                <w:color w:val="000000" w:themeColor="text1"/>
              </w:rPr>
              <w:tab/>
            </w:r>
            <w:r w:rsidRPr="006D52A6">
              <w:rPr>
                <w:rFonts w:ascii="Arial" w:hAnsi="Arial" w:cs="Arial"/>
                <w:noProof/>
                <w:webHidden/>
                <w:color w:val="000000" w:themeColor="text1"/>
              </w:rPr>
              <w:fldChar w:fldCharType="begin"/>
            </w:r>
            <w:r w:rsidRPr="006D52A6">
              <w:rPr>
                <w:rFonts w:ascii="Arial" w:hAnsi="Arial" w:cs="Arial"/>
                <w:noProof/>
                <w:webHidden/>
                <w:color w:val="000000" w:themeColor="text1"/>
              </w:rPr>
              <w:instrText xml:space="preserve"> PAGEREF _Toc236671956 \h </w:instrText>
            </w:r>
            <w:r w:rsidRPr="006D52A6">
              <w:rPr>
                <w:rFonts w:ascii="Arial" w:hAnsi="Arial" w:cs="Arial"/>
                <w:noProof/>
                <w:webHidden/>
                <w:color w:val="000000" w:themeColor="text1"/>
              </w:rPr>
            </w:r>
            <w:r w:rsidRPr="006D52A6">
              <w:rPr>
                <w:rFonts w:ascii="Arial" w:hAnsi="Arial" w:cs="Arial"/>
                <w:noProof/>
                <w:webHidden/>
                <w:color w:val="000000" w:themeColor="text1"/>
              </w:rPr>
              <w:fldChar w:fldCharType="separate"/>
            </w:r>
            <w:r w:rsidRPr="006D52A6">
              <w:rPr>
                <w:rFonts w:ascii="Arial" w:hAnsi="Arial" w:cs="Arial"/>
                <w:noProof/>
                <w:webHidden/>
                <w:color w:val="000000" w:themeColor="text1"/>
              </w:rPr>
              <w:t>1</w:t>
            </w:r>
            <w:r w:rsidRPr="006D52A6">
              <w:rPr>
                <w:rFonts w:ascii="Arial" w:hAnsi="Arial" w:cs="Arial"/>
                <w:noProof/>
                <w:webHidden/>
                <w:color w:val="000000" w:themeColor="text1"/>
              </w:rPr>
              <w:fldChar w:fldCharType="end"/>
            </w:r>
          </w:hyperlink>
        </w:p>
        <w:p w14:paraId="789AC2DC" w14:textId="7B58560A" w:rsidR="006D52A6" w:rsidRPr="006D52A6" w:rsidRDefault="006D52A6" w:rsidP="006D52A6">
          <w:pPr>
            <w:pStyle w:val="TOC1"/>
            <w:tabs>
              <w:tab w:val="right" w:leader="dot" w:pos="9350"/>
            </w:tabs>
            <w:spacing w:line="360" w:lineRule="auto"/>
            <w:rPr>
              <w:rFonts w:ascii="Arial" w:hAnsi="Arial" w:cs="Arial"/>
              <w:noProof/>
              <w:color w:val="000000" w:themeColor="text1"/>
            </w:rPr>
          </w:pPr>
          <w:hyperlink w:anchor="_Toc236671957" w:history="1">
            <w:r w:rsidRPr="006D52A6">
              <w:rPr>
                <w:rStyle w:val="Hyperlink"/>
                <w:rFonts w:ascii="Arial" w:hAnsi="Arial" w:cs="Arial"/>
                <w:noProof/>
                <w:color w:val="000000" w:themeColor="text1"/>
              </w:rPr>
              <w:t>2. The Importance of Good Administrative Skills within Professional Practice in the Context of Mrs Thompson's Care</w:t>
            </w:r>
            <w:r w:rsidRPr="006D52A6">
              <w:rPr>
                <w:rFonts w:ascii="Arial" w:hAnsi="Arial" w:cs="Arial"/>
                <w:noProof/>
                <w:webHidden/>
                <w:color w:val="000000" w:themeColor="text1"/>
              </w:rPr>
              <w:tab/>
            </w:r>
            <w:r w:rsidRPr="006D52A6">
              <w:rPr>
                <w:rFonts w:ascii="Arial" w:hAnsi="Arial" w:cs="Arial"/>
                <w:noProof/>
                <w:webHidden/>
                <w:color w:val="000000" w:themeColor="text1"/>
              </w:rPr>
              <w:fldChar w:fldCharType="begin"/>
            </w:r>
            <w:r w:rsidRPr="006D52A6">
              <w:rPr>
                <w:rFonts w:ascii="Arial" w:hAnsi="Arial" w:cs="Arial"/>
                <w:noProof/>
                <w:webHidden/>
                <w:color w:val="000000" w:themeColor="text1"/>
              </w:rPr>
              <w:instrText xml:space="preserve"> PAGEREF _Toc236671957 \h </w:instrText>
            </w:r>
            <w:r w:rsidRPr="006D52A6">
              <w:rPr>
                <w:rFonts w:ascii="Arial" w:hAnsi="Arial" w:cs="Arial"/>
                <w:noProof/>
                <w:webHidden/>
                <w:color w:val="000000" w:themeColor="text1"/>
              </w:rPr>
            </w:r>
            <w:r w:rsidRPr="006D52A6">
              <w:rPr>
                <w:rFonts w:ascii="Arial" w:hAnsi="Arial" w:cs="Arial"/>
                <w:noProof/>
                <w:webHidden/>
                <w:color w:val="000000" w:themeColor="text1"/>
              </w:rPr>
              <w:fldChar w:fldCharType="separate"/>
            </w:r>
            <w:r w:rsidRPr="006D52A6">
              <w:rPr>
                <w:rFonts w:ascii="Arial" w:hAnsi="Arial" w:cs="Arial"/>
                <w:noProof/>
                <w:webHidden/>
                <w:color w:val="000000" w:themeColor="text1"/>
              </w:rPr>
              <w:t>2</w:t>
            </w:r>
            <w:r w:rsidRPr="006D52A6">
              <w:rPr>
                <w:rFonts w:ascii="Arial" w:hAnsi="Arial" w:cs="Arial"/>
                <w:noProof/>
                <w:webHidden/>
                <w:color w:val="000000" w:themeColor="text1"/>
              </w:rPr>
              <w:fldChar w:fldCharType="end"/>
            </w:r>
          </w:hyperlink>
        </w:p>
        <w:p w14:paraId="64326E60" w14:textId="4DFCA552" w:rsidR="006D52A6" w:rsidRPr="006D52A6" w:rsidRDefault="006D52A6" w:rsidP="006D52A6">
          <w:pPr>
            <w:pStyle w:val="TOC1"/>
            <w:tabs>
              <w:tab w:val="right" w:leader="dot" w:pos="9350"/>
            </w:tabs>
            <w:spacing w:line="360" w:lineRule="auto"/>
            <w:rPr>
              <w:rFonts w:ascii="Arial" w:hAnsi="Arial" w:cs="Arial"/>
              <w:noProof/>
              <w:color w:val="000000" w:themeColor="text1"/>
            </w:rPr>
          </w:pPr>
          <w:hyperlink w:anchor="_Toc236671958" w:history="1">
            <w:r w:rsidRPr="006D52A6">
              <w:rPr>
                <w:rStyle w:val="Hyperlink"/>
                <w:rFonts w:ascii="Arial" w:hAnsi="Arial" w:cs="Arial"/>
                <w:noProof/>
                <w:color w:val="000000" w:themeColor="text1"/>
              </w:rPr>
              <w:t>3. The importance of working collaboratively with other professionals in Mrs Thompson's care</w:t>
            </w:r>
            <w:r w:rsidRPr="006D52A6">
              <w:rPr>
                <w:rFonts w:ascii="Arial" w:hAnsi="Arial" w:cs="Arial"/>
                <w:noProof/>
                <w:webHidden/>
                <w:color w:val="000000" w:themeColor="text1"/>
              </w:rPr>
              <w:tab/>
            </w:r>
            <w:r w:rsidRPr="006D52A6">
              <w:rPr>
                <w:rFonts w:ascii="Arial" w:hAnsi="Arial" w:cs="Arial"/>
                <w:noProof/>
                <w:webHidden/>
                <w:color w:val="000000" w:themeColor="text1"/>
              </w:rPr>
              <w:fldChar w:fldCharType="begin"/>
            </w:r>
            <w:r w:rsidRPr="006D52A6">
              <w:rPr>
                <w:rFonts w:ascii="Arial" w:hAnsi="Arial" w:cs="Arial"/>
                <w:noProof/>
                <w:webHidden/>
                <w:color w:val="000000" w:themeColor="text1"/>
              </w:rPr>
              <w:instrText xml:space="preserve"> PAGEREF _Toc236671958 \h </w:instrText>
            </w:r>
            <w:r w:rsidRPr="006D52A6">
              <w:rPr>
                <w:rFonts w:ascii="Arial" w:hAnsi="Arial" w:cs="Arial"/>
                <w:noProof/>
                <w:webHidden/>
                <w:color w:val="000000" w:themeColor="text1"/>
              </w:rPr>
            </w:r>
            <w:r w:rsidRPr="006D52A6">
              <w:rPr>
                <w:rFonts w:ascii="Arial" w:hAnsi="Arial" w:cs="Arial"/>
                <w:noProof/>
                <w:webHidden/>
                <w:color w:val="000000" w:themeColor="text1"/>
              </w:rPr>
              <w:fldChar w:fldCharType="separate"/>
            </w:r>
            <w:r w:rsidRPr="006D52A6">
              <w:rPr>
                <w:rFonts w:ascii="Arial" w:hAnsi="Arial" w:cs="Arial"/>
                <w:noProof/>
                <w:webHidden/>
                <w:color w:val="000000" w:themeColor="text1"/>
              </w:rPr>
              <w:t>4</w:t>
            </w:r>
            <w:r w:rsidRPr="006D52A6">
              <w:rPr>
                <w:rFonts w:ascii="Arial" w:hAnsi="Arial" w:cs="Arial"/>
                <w:noProof/>
                <w:webHidden/>
                <w:color w:val="000000" w:themeColor="text1"/>
              </w:rPr>
              <w:fldChar w:fldCharType="end"/>
            </w:r>
          </w:hyperlink>
        </w:p>
        <w:p w14:paraId="7DC14DD6" w14:textId="097963BE" w:rsidR="006D52A6" w:rsidRPr="006D52A6" w:rsidRDefault="006D52A6" w:rsidP="006D52A6">
          <w:pPr>
            <w:pStyle w:val="TOC1"/>
            <w:tabs>
              <w:tab w:val="right" w:leader="dot" w:pos="9350"/>
            </w:tabs>
            <w:spacing w:line="360" w:lineRule="auto"/>
            <w:rPr>
              <w:rFonts w:ascii="Arial" w:hAnsi="Arial" w:cs="Arial"/>
              <w:noProof/>
              <w:color w:val="000000" w:themeColor="text1"/>
            </w:rPr>
          </w:pPr>
          <w:hyperlink w:anchor="_Toc236671959" w:history="1">
            <w:r w:rsidRPr="006D52A6">
              <w:rPr>
                <w:rStyle w:val="Hyperlink"/>
                <w:rFonts w:ascii="Arial" w:hAnsi="Arial" w:cs="Arial"/>
                <w:noProof/>
                <w:color w:val="000000" w:themeColor="text1"/>
              </w:rPr>
              <w:t>Conclusion</w:t>
            </w:r>
            <w:r w:rsidRPr="006D52A6">
              <w:rPr>
                <w:rFonts w:ascii="Arial" w:hAnsi="Arial" w:cs="Arial"/>
                <w:noProof/>
                <w:webHidden/>
                <w:color w:val="000000" w:themeColor="text1"/>
              </w:rPr>
              <w:tab/>
            </w:r>
            <w:r w:rsidRPr="006D52A6">
              <w:rPr>
                <w:rFonts w:ascii="Arial" w:hAnsi="Arial" w:cs="Arial"/>
                <w:noProof/>
                <w:webHidden/>
                <w:color w:val="000000" w:themeColor="text1"/>
              </w:rPr>
              <w:fldChar w:fldCharType="begin"/>
            </w:r>
            <w:r w:rsidRPr="006D52A6">
              <w:rPr>
                <w:rFonts w:ascii="Arial" w:hAnsi="Arial" w:cs="Arial"/>
                <w:noProof/>
                <w:webHidden/>
                <w:color w:val="000000" w:themeColor="text1"/>
              </w:rPr>
              <w:instrText xml:space="preserve"> PAGEREF _Toc236671959 \h </w:instrText>
            </w:r>
            <w:r w:rsidRPr="006D52A6">
              <w:rPr>
                <w:rFonts w:ascii="Arial" w:hAnsi="Arial" w:cs="Arial"/>
                <w:noProof/>
                <w:webHidden/>
                <w:color w:val="000000" w:themeColor="text1"/>
              </w:rPr>
            </w:r>
            <w:r w:rsidRPr="006D52A6">
              <w:rPr>
                <w:rFonts w:ascii="Arial" w:hAnsi="Arial" w:cs="Arial"/>
                <w:noProof/>
                <w:webHidden/>
                <w:color w:val="000000" w:themeColor="text1"/>
              </w:rPr>
              <w:fldChar w:fldCharType="separate"/>
            </w:r>
            <w:r w:rsidRPr="006D52A6">
              <w:rPr>
                <w:rFonts w:ascii="Arial" w:hAnsi="Arial" w:cs="Arial"/>
                <w:noProof/>
                <w:webHidden/>
                <w:color w:val="000000" w:themeColor="text1"/>
              </w:rPr>
              <w:t>4</w:t>
            </w:r>
            <w:r w:rsidRPr="006D52A6">
              <w:rPr>
                <w:rFonts w:ascii="Arial" w:hAnsi="Arial" w:cs="Arial"/>
                <w:noProof/>
                <w:webHidden/>
                <w:color w:val="000000" w:themeColor="text1"/>
              </w:rPr>
              <w:fldChar w:fldCharType="end"/>
            </w:r>
          </w:hyperlink>
        </w:p>
        <w:p w14:paraId="7BD3F955" w14:textId="028F6554" w:rsidR="006D52A6" w:rsidRPr="006D52A6" w:rsidRDefault="006D52A6" w:rsidP="006D52A6">
          <w:pPr>
            <w:pStyle w:val="TOC1"/>
            <w:tabs>
              <w:tab w:val="right" w:leader="dot" w:pos="9350"/>
            </w:tabs>
            <w:spacing w:line="360" w:lineRule="auto"/>
            <w:rPr>
              <w:rFonts w:ascii="Arial" w:hAnsi="Arial" w:cs="Arial"/>
              <w:noProof/>
              <w:color w:val="000000" w:themeColor="text1"/>
            </w:rPr>
          </w:pPr>
          <w:hyperlink w:anchor="_Toc236671960" w:history="1">
            <w:r w:rsidRPr="006D52A6">
              <w:rPr>
                <w:rStyle w:val="Hyperlink"/>
                <w:rFonts w:ascii="Arial" w:hAnsi="Arial" w:cs="Arial"/>
                <w:noProof/>
                <w:color w:val="000000" w:themeColor="text1"/>
              </w:rPr>
              <w:t>References</w:t>
            </w:r>
            <w:r w:rsidRPr="006D52A6">
              <w:rPr>
                <w:rFonts w:ascii="Arial" w:hAnsi="Arial" w:cs="Arial"/>
                <w:noProof/>
                <w:webHidden/>
                <w:color w:val="000000" w:themeColor="text1"/>
              </w:rPr>
              <w:tab/>
            </w:r>
            <w:r w:rsidRPr="006D52A6">
              <w:rPr>
                <w:rFonts w:ascii="Arial" w:hAnsi="Arial" w:cs="Arial"/>
                <w:noProof/>
                <w:webHidden/>
                <w:color w:val="000000" w:themeColor="text1"/>
              </w:rPr>
              <w:fldChar w:fldCharType="begin"/>
            </w:r>
            <w:r w:rsidRPr="006D52A6">
              <w:rPr>
                <w:rFonts w:ascii="Arial" w:hAnsi="Arial" w:cs="Arial"/>
                <w:noProof/>
                <w:webHidden/>
                <w:color w:val="000000" w:themeColor="text1"/>
              </w:rPr>
              <w:instrText xml:space="preserve"> PAGEREF _Toc236671960 \h </w:instrText>
            </w:r>
            <w:r w:rsidRPr="006D52A6">
              <w:rPr>
                <w:rFonts w:ascii="Arial" w:hAnsi="Arial" w:cs="Arial"/>
                <w:noProof/>
                <w:webHidden/>
                <w:color w:val="000000" w:themeColor="text1"/>
              </w:rPr>
            </w:r>
            <w:r w:rsidRPr="006D52A6">
              <w:rPr>
                <w:rFonts w:ascii="Arial" w:hAnsi="Arial" w:cs="Arial"/>
                <w:noProof/>
                <w:webHidden/>
                <w:color w:val="000000" w:themeColor="text1"/>
              </w:rPr>
              <w:fldChar w:fldCharType="separate"/>
            </w:r>
            <w:r w:rsidRPr="006D52A6">
              <w:rPr>
                <w:rFonts w:ascii="Arial" w:hAnsi="Arial" w:cs="Arial"/>
                <w:noProof/>
                <w:webHidden/>
                <w:color w:val="000000" w:themeColor="text1"/>
              </w:rPr>
              <w:t>6</w:t>
            </w:r>
            <w:r w:rsidRPr="006D52A6">
              <w:rPr>
                <w:rFonts w:ascii="Arial" w:hAnsi="Arial" w:cs="Arial"/>
                <w:noProof/>
                <w:webHidden/>
                <w:color w:val="000000" w:themeColor="text1"/>
              </w:rPr>
              <w:fldChar w:fldCharType="end"/>
            </w:r>
          </w:hyperlink>
        </w:p>
        <w:p w14:paraId="0251E74A" w14:textId="522F0149" w:rsidR="006D52A6" w:rsidRPr="006D52A6" w:rsidRDefault="006D52A6" w:rsidP="006D52A6">
          <w:pPr>
            <w:spacing w:line="360" w:lineRule="auto"/>
            <w:rPr>
              <w:rFonts w:ascii="Arial" w:hAnsi="Arial" w:cs="Arial"/>
              <w:color w:val="000000" w:themeColor="text1"/>
            </w:rPr>
          </w:pPr>
          <w:r w:rsidRPr="006D52A6">
            <w:rPr>
              <w:rFonts w:ascii="Arial" w:hAnsi="Arial" w:cs="Arial"/>
              <w:b/>
              <w:bCs/>
              <w:noProof/>
              <w:color w:val="000000" w:themeColor="text1"/>
            </w:rPr>
            <w:fldChar w:fldCharType="end"/>
          </w:r>
        </w:p>
      </w:sdtContent>
    </w:sdt>
    <w:p w14:paraId="34B92667" w14:textId="77777777" w:rsidR="006D52A6" w:rsidRPr="006D52A6" w:rsidRDefault="006D52A6" w:rsidP="006D52A6">
      <w:pPr>
        <w:pStyle w:val="Heading1"/>
        <w:spacing w:line="360" w:lineRule="auto"/>
        <w:rPr>
          <w:rFonts w:ascii="Arial" w:hAnsi="Arial" w:cs="Arial"/>
          <w:color w:val="000000" w:themeColor="text1"/>
          <w:sz w:val="22"/>
          <w:szCs w:val="22"/>
        </w:rPr>
        <w:sectPr w:rsidR="006D52A6" w:rsidRPr="006D52A6" w:rsidSect="00C41678">
          <w:headerReference w:type="default" r:id="rId8"/>
          <w:pgSz w:w="12240" w:h="15840"/>
          <w:pgMar w:top="1440" w:right="1440" w:bottom="1440" w:left="1440" w:header="720" w:footer="720" w:gutter="0"/>
          <w:pgNumType w:start="1"/>
          <w:cols w:space="720"/>
          <w:docGrid w:linePitch="360"/>
        </w:sectPr>
      </w:pPr>
    </w:p>
    <w:p w14:paraId="44541CD9" w14:textId="253EC03E" w:rsidR="00B135E0" w:rsidRPr="006D52A6" w:rsidRDefault="00B135E0" w:rsidP="006D52A6">
      <w:pPr>
        <w:pStyle w:val="Heading1"/>
        <w:spacing w:line="360" w:lineRule="auto"/>
        <w:rPr>
          <w:rFonts w:ascii="Arial" w:hAnsi="Arial" w:cs="Arial"/>
          <w:color w:val="000000" w:themeColor="text1"/>
          <w:sz w:val="22"/>
          <w:szCs w:val="22"/>
        </w:rPr>
      </w:pPr>
      <w:bookmarkStart w:id="0" w:name="_Toc236671955"/>
      <w:r w:rsidRPr="006D52A6">
        <w:rPr>
          <w:rFonts w:ascii="Arial" w:hAnsi="Arial" w:cs="Arial"/>
          <w:color w:val="000000" w:themeColor="text1"/>
          <w:sz w:val="22"/>
          <w:szCs w:val="22"/>
        </w:rPr>
        <w:t>Introduction</w:t>
      </w:r>
      <w:bookmarkEnd w:id="0"/>
    </w:p>
    <w:p w14:paraId="69E38B1E" w14:textId="5077DD7D" w:rsidR="00B135E0"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 xml:space="preserve">Health and social care professionals are key to providing safe, individualised and caring services that are essential in supporting the wellbeing, dignity and independence of people who have a variety of health needs (Kinnear et al. 2014). Good communication, good admin work and good working practice are essential in providing </w:t>
      </w:r>
      <w:r w:rsidR="006C7664" w:rsidRPr="006D52A6">
        <w:rPr>
          <w:rFonts w:ascii="Arial" w:hAnsi="Arial" w:cs="Arial"/>
          <w:color w:val="000000" w:themeColor="text1"/>
        </w:rPr>
        <w:t>high-quality</w:t>
      </w:r>
      <w:r w:rsidRPr="006D52A6">
        <w:rPr>
          <w:rFonts w:ascii="Arial" w:hAnsi="Arial" w:cs="Arial"/>
          <w:color w:val="000000" w:themeColor="text1"/>
        </w:rPr>
        <w:t xml:space="preserve"> care, especially for older people with complex physical health and cognitive challenges (Frost et al. 2020). Mrs Thompson's case is representative of problems with medication, mild dementia and 'safeguarding' issues after discharge from hospital. This report explores the role of effective communication and good administrative practice in promoting Mrs Thompson's health, safety and wellbeing and also considers the UK legislation, policies and evidence-based practice.</w:t>
      </w:r>
    </w:p>
    <w:p w14:paraId="595CF961" w14:textId="228101C0" w:rsidR="00B135E0" w:rsidRPr="006D52A6" w:rsidRDefault="002F65B7" w:rsidP="006D52A6">
      <w:pPr>
        <w:pStyle w:val="Heading1"/>
        <w:spacing w:line="360" w:lineRule="auto"/>
        <w:rPr>
          <w:rFonts w:ascii="Arial" w:hAnsi="Arial" w:cs="Arial"/>
          <w:color w:val="000000" w:themeColor="text1"/>
          <w:sz w:val="22"/>
          <w:szCs w:val="22"/>
        </w:rPr>
      </w:pPr>
      <w:bookmarkStart w:id="1" w:name="_Toc236671956"/>
      <w:r w:rsidRPr="006D52A6">
        <w:rPr>
          <w:rFonts w:ascii="Arial" w:hAnsi="Arial" w:cs="Arial"/>
          <w:color w:val="000000" w:themeColor="text1"/>
          <w:sz w:val="22"/>
          <w:szCs w:val="22"/>
        </w:rPr>
        <w:t>1</w:t>
      </w:r>
      <w:r w:rsidR="00B135E0" w:rsidRPr="006D52A6">
        <w:rPr>
          <w:rFonts w:ascii="Arial" w:hAnsi="Arial" w:cs="Arial"/>
          <w:color w:val="000000" w:themeColor="text1"/>
          <w:sz w:val="22"/>
          <w:szCs w:val="22"/>
        </w:rPr>
        <w:t>. Effective Communication in the context of Mrs Thompson's care.</w:t>
      </w:r>
      <w:bookmarkEnd w:id="1"/>
      <w:r w:rsidR="00B135E0" w:rsidRPr="006D52A6">
        <w:rPr>
          <w:rFonts w:ascii="Arial" w:hAnsi="Arial" w:cs="Arial"/>
          <w:color w:val="000000" w:themeColor="text1"/>
          <w:sz w:val="22"/>
          <w:szCs w:val="22"/>
        </w:rPr>
        <w:t xml:space="preserve"> </w:t>
      </w:r>
    </w:p>
    <w:p w14:paraId="7DC8FDBE"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 xml:space="preserve">Communication is one of the principals of safe, compassionate and </w:t>
      </w:r>
      <w:r w:rsidR="006C7664" w:rsidRPr="006D52A6">
        <w:rPr>
          <w:rFonts w:ascii="Arial" w:hAnsi="Arial" w:cs="Arial"/>
          <w:color w:val="000000" w:themeColor="text1"/>
        </w:rPr>
        <w:t>person-centred</w:t>
      </w:r>
      <w:r w:rsidRPr="006D52A6">
        <w:rPr>
          <w:rFonts w:ascii="Arial" w:hAnsi="Arial" w:cs="Arial"/>
          <w:color w:val="000000" w:themeColor="text1"/>
        </w:rPr>
        <w:t xml:space="preserve"> health and social care practice (Santana et al. 2018). It helps professionals to establish trusting relationships, gain insight into individual needs, minimise misunderstandings and enhance health outcomes (NHS England, 2024). For Mrs Thompson, communication is important as she is aged 84, recently discharged from hospital after pneumonia, living alone in sheltered accommodation and has mild dementia which impacts on her memory. There is a need for effective, consistent and coordinated communication between Mrs Thompson, her family, her carers at home and health and care services. This is reflected in her failure to take her medication as prescribed and in leaving the house without appropriate clothing.</w:t>
      </w:r>
    </w:p>
    <w:p w14:paraId="3BF7DBEA"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The individual's ability to communicate should be facilitated to address her cognitive requirements, not compromise her dignity and independence. People with dementia may have problems with retaining memory, concentration and processing information, which can make it challenging for them to understand instructions or to recall health-related advice (Alzheimer's Society, 2024). So, it is advisable for professionals to use simple language with a slow pace, eye contact, limited distracting noise, and limited information. Reminding her to repeat key information, providing written reminders or medication charts, and verifying understanding may all help her to contribute to decision making. These strategies are based on person centred care and recognise the ability of Mrs Thompson as the person rather than just her limitations (NICE, 2022).</w:t>
      </w:r>
    </w:p>
    <w:p w14:paraId="2AFD5D67"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 xml:space="preserve">Therapeutic communication can be enhanced by using the SOLER communication model that was developed by Egan (1975) (Johnson, 2024). Sit Squarely, Open Posture, </w:t>
      </w:r>
      <w:r w:rsidR="00080691" w:rsidRPr="006D52A6">
        <w:rPr>
          <w:rFonts w:ascii="Arial" w:hAnsi="Arial" w:cs="Arial"/>
          <w:color w:val="000000" w:themeColor="text1"/>
        </w:rPr>
        <w:t>lean</w:t>
      </w:r>
      <w:r w:rsidRPr="006D52A6">
        <w:rPr>
          <w:rFonts w:ascii="Arial" w:hAnsi="Arial" w:cs="Arial"/>
          <w:color w:val="000000" w:themeColor="text1"/>
        </w:rPr>
        <w:t xml:space="preserve"> towards the person, maintain appropriate Eye contact, Relax during interactions (SOLER). This model can be used when Mrs Thompson is visiting the home, which will make her feel valued, respected and comfortable to discuss issues related to her using medications or confusion. Eye contact and an open posture for example, are good signs of listening and caring, and enable Mrs Thompson to voice her concerns openly. This can help carers to recognise early signs of ill health or worsening memory before it becomes a more significant incident and necessitates hospital admission.</w:t>
      </w:r>
    </w:p>
    <w:p w14:paraId="791D4690"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Mrs Thompson's family should also be included in the communication process, if appropriate and with Mrs Thompson's consent, or as required by the law if Mrs Thompson cannot make decisions for herself. Family members can be knowledgeable about behavioural changes, routines and preferences that can be incorporated as part of personalised care planning (Coulter et al. 2015). Details of medication reviews, concerns for protection and care plans allow families to be a good part of the care and support provided, and to help support continuity of care between services. The family should be involved but Mrs Thompson needs to maintain her privacy and autonomy and this will need to be balanced with the lawful and ethical sharing of information by healthcare professionals.</w:t>
      </w:r>
    </w:p>
    <w:p w14:paraId="69027A5E"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 xml:space="preserve">Effective communication is supported by the Equality Act 2010, which gives individuals the protection from discrimination based on protected characteristics such as age, disability (Munday, 2026). Mrs Thompson's dementia and advanced age means that carers are legally obliged to make reasonable adjustments to allow Mrs Thompson to access care on an equal basis with others. In some </w:t>
      </w:r>
      <w:r w:rsidR="00080691" w:rsidRPr="006D52A6">
        <w:rPr>
          <w:rFonts w:ascii="Arial" w:hAnsi="Arial" w:cs="Arial"/>
          <w:color w:val="000000" w:themeColor="text1"/>
        </w:rPr>
        <w:t>cases,</w:t>
      </w:r>
      <w:r w:rsidRPr="006D52A6">
        <w:rPr>
          <w:rFonts w:ascii="Arial" w:hAnsi="Arial" w:cs="Arial"/>
          <w:color w:val="000000" w:themeColor="text1"/>
        </w:rPr>
        <w:t xml:space="preserve"> these changes may involve providing information in accessible formats, the provision of additional time for discussions, the incorporation of dementia-friendly communication techniques and provision of appropriate training for staff (Handley et al. 2017). These principles inhibit access to care, foster inclusion, and encourage fair delivery of health care.</w:t>
      </w:r>
    </w:p>
    <w:p w14:paraId="65C3AF0D" w14:textId="4686B2E0" w:rsidR="00B135E0"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 xml:space="preserve">In general, good communication is vital to protecting Mrs Thompson's wellbeing, encouraging adherence to medicines, minimising unnecessary risk and allowing for co-ordinated </w:t>
      </w:r>
      <w:r w:rsidR="00080691" w:rsidRPr="006D52A6">
        <w:rPr>
          <w:rFonts w:ascii="Arial" w:hAnsi="Arial" w:cs="Arial"/>
          <w:color w:val="000000" w:themeColor="text1"/>
        </w:rPr>
        <w:t>person-centred</w:t>
      </w:r>
      <w:r w:rsidRPr="006D52A6">
        <w:rPr>
          <w:rFonts w:ascii="Arial" w:hAnsi="Arial" w:cs="Arial"/>
          <w:color w:val="000000" w:themeColor="text1"/>
        </w:rPr>
        <w:t xml:space="preserve"> care. Professionals can enhance the quality and safety of the care she receives by adapting communication to her individual needs and by using the Equality Act 2010 and evidence-based communication models, such as SOLER.</w:t>
      </w:r>
    </w:p>
    <w:p w14:paraId="1F1F7D63" w14:textId="39F74922" w:rsidR="00B135E0" w:rsidRPr="006D52A6" w:rsidRDefault="002F65B7" w:rsidP="006D52A6">
      <w:pPr>
        <w:pStyle w:val="Heading1"/>
        <w:spacing w:line="360" w:lineRule="auto"/>
        <w:rPr>
          <w:rFonts w:ascii="Arial" w:hAnsi="Arial" w:cs="Arial"/>
          <w:color w:val="000000" w:themeColor="text1"/>
          <w:sz w:val="22"/>
          <w:szCs w:val="22"/>
        </w:rPr>
      </w:pPr>
      <w:bookmarkStart w:id="2" w:name="_Toc236671957"/>
      <w:r w:rsidRPr="006D52A6">
        <w:rPr>
          <w:rFonts w:ascii="Arial" w:hAnsi="Arial" w:cs="Arial"/>
          <w:color w:val="000000" w:themeColor="text1"/>
          <w:sz w:val="22"/>
          <w:szCs w:val="22"/>
        </w:rPr>
        <w:t>2</w:t>
      </w:r>
      <w:r w:rsidR="00B135E0" w:rsidRPr="006D52A6">
        <w:rPr>
          <w:rFonts w:ascii="Arial" w:hAnsi="Arial" w:cs="Arial"/>
          <w:color w:val="000000" w:themeColor="text1"/>
          <w:sz w:val="22"/>
          <w:szCs w:val="22"/>
        </w:rPr>
        <w:t>. The Importance of Good Administrative Skills within Professional Practice in the Context of Mrs Thompson's Care</w:t>
      </w:r>
      <w:bookmarkEnd w:id="2"/>
    </w:p>
    <w:p w14:paraId="154431FA"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Effective, safe and person-centred care is essential to effective administrative skills. They help to ensure continuity of care, help professional accountability and minimise risk of error (Nursing and Midwifery Council (NMC), 2018). Record keeping is especially pertinent in Mrs Thompson's case as she has mild dementia, has taken some medication the day before and has experienced a safeguarding incident. When she has clear documentation, professionals can keep track of her condition, find out what risks might exist and then offer her timely interventions.</w:t>
      </w:r>
    </w:p>
    <w:p w14:paraId="030FCA63"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Record keeping includes documenting of assessment, care plans, medication administration, incidents, and changes in a service user condition (Foba et al. 2024). It is important that domiciliary care workers make a proper note of each time Mrs Thompson sees a medicine, if she skips a dose and if she becomes more confused. Similarly, if she is found outside without suitable clothing, this should be recorded immediately to help with safeguarding investigations and planning for further care. NICE (2022) states that good documentation ensures continuity of care, as they are able to make informed decisions based on accurate information.</w:t>
      </w:r>
    </w:p>
    <w:p w14:paraId="496190A6"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Another benefit of good record keeping is good communication within the multi-disciplinary team. There is a need for Mrs Thompson's GP, community nurse, pharmacist, domiciliary carers and local authority to have consistent information to facilitate the co-ordination of her medication review and her ongoing support. The World Health Organization (2021) emphasizes that proper clinical documentation helps to minimize preventable mistakes and enhance patient safety by facilitating seamless patient care across medical facilities.</w:t>
      </w:r>
    </w:p>
    <w:p w14:paraId="0E1FDF5B"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These legal requirements include adherence to the Data Protection Act 2018 and the UK General Data Protection Regulation (UK GDPR), which all health professionals have to follow when handling Mrs Thompson's personal data (Chico, 2018). These demand that personal information is processed lawfully, securely and only for legitimate healthcare-related purposes (Information Commissioner's Office) (ICO, 2024). As a result, the information in Mrs Thompson's records should only be accessed by those involved in her care and where necessary to safeguard her.</w:t>
      </w:r>
    </w:p>
    <w:p w14:paraId="7D2A4DA8"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Further, the Caldicott Principles state that ‘Confidential information should be disclosed only if it is necessary and proportionate' (Caldicott, 2013). When Mrs Thompson has mental capacity to make decisions, her family may make valuable contributions, but it is important that the professionals obtain her consent before releasing confidential information. If capacity is raised in question due to dementia, then decisions must be based on the Mental Capacity Act 2005 which stipulates that any action taken must be in her best interests (Donnelly, 2016).</w:t>
      </w:r>
    </w:p>
    <w:p w14:paraId="5027EE90" w14:textId="5EAF10F4" w:rsidR="00B135E0"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In summary, good administrative skills, especially the management of information and the maintenance of accurate records, are integral to ensuring the safety and wellbeing of Mrs Thompson, continuity of care and to the development of good professional practice.</w:t>
      </w:r>
    </w:p>
    <w:p w14:paraId="26F7EC05" w14:textId="246771ED" w:rsidR="00B135E0" w:rsidRPr="006D52A6" w:rsidRDefault="002F65B7" w:rsidP="006D52A6">
      <w:pPr>
        <w:pStyle w:val="Heading1"/>
        <w:spacing w:line="360" w:lineRule="auto"/>
        <w:rPr>
          <w:rFonts w:ascii="Arial" w:hAnsi="Arial" w:cs="Arial"/>
          <w:color w:val="000000" w:themeColor="text1"/>
          <w:sz w:val="22"/>
          <w:szCs w:val="22"/>
        </w:rPr>
      </w:pPr>
      <w:bookmarkStart w:id="3" w:name="_Toc236671958"/>
      <w:r w:rsidRPr="006D52A6">
        <w:rPr>
          <w:rFonts w:ascii="Arial" w:hAnsi="Arial" w:cs="Arial"/>
          <w:color w:val="000000" w:themeColor="text1"/>
          <w:sz w:val="22"/>
          <w:szCs w:val="22"/>
        </w:rPr>
        <w:t>3</w:t>
      </w:r>
      <w:r w:rsidR="00B135E0" w:rsidRPr="006D52A6">
        <w:rPr>
          <w:rFonts w:ascii="Arial" w:hAnsi="Arial" w:cs="Arial"/>
          <w:color w:val="000000" w:themeColor="text1"/>
          <w:sz w:val="22"/>
          <w:szCs w:val="22"/>
        </w:rPr>
        <w:t>. The importance of working collaboratively with other professionals in Mrs Thompson's care</w:t>
      </w:r>
      <w:bookmarkEnd w:id="3"/>
      <w:r w:rsidR="00B135E0" w:rsidRPr="006D52A6">
        <w:rPr>
          <w:rFonts w:ascii="Arial" w:hAnsi="Arial" w:cs="Arial"/>
          <w:color w:val="000000" w:themeColor="text1"/>
          <w:sz w:val="22"/>
          <w:szCs w:val="22"/>
        </w:rPr>
        <w:t xml:space="preserve"> </w:t>
      </w:r>
    </w:p>
    <w:p w14:paraId="59F69E38"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 xml:space="preserve">Health and social care requires collaborative working as people with complex needs may need to be supported by multiple professionals (Couturier et al. 2023). In the case of Mrs Thompson, the effective working of a partnership between her doctor, community nurse, pharmacist, domiciliary care workers and the local authority is required to provide a coordinated, person-centred approach to her care. The Care Act 2014 is an Act that requires organisations to work together to promote wellbeing and protect vulnerable adults (Donnelly et al. 2017). </w:t>
      </w:r>
    </w:p>
    <w:p w14:paraId="0DC29D0B" w14:textId="77777777" w:rsidR="00080691"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Each expert brings their expertise. The GP can check the medication that Mrs Thompson missed, and the community nurse can be monitoring her for pneumonia and determine if there has been any change in her cognitive function. Domiciliary care workers monitor her every day and remind her to take her medication, and report any problems to them right away (Dijkstra et al. 2021). Local authority will investigate this safeguarding incident as she was found out of clothing. Good information sharing will help professionals to create plans of coordinated care that reduce risks and enhance outcomes (NICE, 2022).</w:t>
      </w:r>
    </w:p>
    <w:p w14:paraId="7DB50DA6" w14:textId="34C53D04" w:rsidR="00B135E0"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One of the important ways to encourage partnership working is through multidisciplinary team (MDT) meetings, which enable professionals to share information and agree on interventions for Mrs Thompson (NHS England, 2023). Multi-agency working can be problematic because of failure to communicate, lack of clarity about professional roles and issues with information sharing, which can affect patient safety (Glasby, 2017). Sharing of electronic care records, communication protocols, and a shared understanding of responsibilities can help overcome these challenges. If co-working, then professionals can deliver holistic, safe and effective care that will support Mrs Thompson's independence, wellbeing and quality of life.</w:t>
      </w:r>
    </w:p>
    <w:p w14:paraId="25D99949" w14:textId="77777777" w:rsidR="00B135E0" w:rsidRPr="006D52A6" w:rsidRDefault="00B135E0" w:rsidP="006D52A6">
      <w:pPr>
        <w:pStyle w:val="Heading1"/>
        <w:spacing w:line="360" w:lineRule="auto"/>
        <w:rPr>
          <w:rFonts w:ascii="Arial" w:hAnsi="Arial" w:cs="Arial"/>
          <w:color w:val="000000" w:themeColor="text1"/>
          <w:sz w:val="22"/>
          <w:szCs w:val="22"/>
        </w:rPr>
      </w:pPr>
      <w:bookmarkStart w:id="4" w:name="_Toc236671959"/>
      <w:r w:rsidRPr="006D52A6">
        <w:rPr>
          <w:rFonts w:ascii="Arial" w:hAnsi="Arial" w:cs="Arial"/>
          <w:color w:val="000000" w:themeColor="text1"/>
          <w:sz w:val="22"/>
          <w:szCs w:val="22"/>
        </w:rPr>
        <w:t>Conclusion</w:t>
      </w:r>
      <w:bookmarkEnd w:id="4"/>
    </w:p>
    <w:p w14:paraId="1E17B97A" w14:textId="193FD654" w:rsidR="002F65B7" w:rsidRPr="006D52A6" w:rsidRDefault="00B135E0" w:rsidP="006D52A6">
      <w:pPr>
        <w:spacing w:line="360" w:lineRule="auto"/>
        <w:ind w:firstLine="720"/>
        <w:jc w:val="both"/>
        <w:rPr>
          <w:rFonts w:ascii="Arial" w:hAnsi="Arial" w:cs="Arial"/>
          <w:color w:val="000000" w:themeColor="text1"/>
        </w:rPr>
      </w:pPr>
      <w:r w:rsidRPr="006D52A6">
        <w:rPr>
          <w:rFonts w:ascii="Arial" w:hAnsi="Arial" w:cs="Arial"/>
          <w:color w:val="000000" w:themeColor="text1"/>
        </w:rPr>
        <w:t>Mrs Thompson's case is an example of the need for good communication, correct administration and working as a team to provide safe, person-centred care. Ensuring that communication is adapted to fit her needs and using the Equality Act 2010 promotes dignity and inclusion. Accurate record keeping and compliance with the Data Protection Act 2018 and UK GDPR ensures safe and compliant information management. The GP, community nurse, domiciliary carers, pharmacist and local authority work together to ensure interventions are timely and effective safeguarding is achieved. These approaches are delivered as co-ordinated, evidence-based practice, which enhances Mrs Thompson's wellbeing, independence and quality of life, whilst also improving continuity of care and minimising risk.</w:t>
      </w:r>
    </w:p>
    <w:p w14:paraId="410E1B19" w14:textId="77777777" w:rsidR="002F65B7" w:rsidRPr="006D52A6" w:rsidRDefault="002F65B7" w:rsidP="006D52A6">
      <w:pPr>
        <w:spacing w:line="360" w:lineRule="auto"/>
        <w:rPr>
          <w:rFonts w:ascii="Arial" w:hAnsi="Arial" w:cs="Arial"/>
          <w:color w:val="000000" w:themeColor="text1"/>
        </w:rPr>
      </w:pPr>
      <w:r w:rsidRPr="006D52A6">
        <w:rPr>
          <w:rFonts w:ascii="Arial" w:hAnsi="Arial" w:cs="Arial"/>
          <w:color w:val="000000" w:themeColor="text1"/>
        </w:rPr>
        <w:br w:type="page"/>
      </w:r>
    </w:p>
    <w:p w14:paraId="580632BA" w14:textId="047FC51A" w:rsidR="006D52A6" w:rsidRPr="006D52A6" w:rsidRDefault="00675390" w:rsidP="006D52A6">
      <w:pPr>
        <w:pStyle w:val="Heading1"/>
        <w:spacing w:line="360" w:lineRule="auto"/>
        <w:rPr>
          <w:rFonts w:ascii="Arial" w:hAnsi="Arial" w:cs="Arial"/>
          <w:color w:val="000000" w:themeColor="text1"/>
          <w:sz w:val="22"/>
          <w:szCs w:val="22"/>
        </w:rPr>
      </w:pPr>
      <w:bookmarkStart w:id="5" w:name="_Toc236671960"/>
      <w:r w:rsidRPr="006D52A6">
        <w:rPr>
          <w:rFonts w:ascii="Arial" w:hAnsi="Arial" w:cs="Arial"/>
          <w:color w:val="000000" w:themeColor="text1"/>
          <w:sz w:val="22"/>
          <w:szCs w:val="22"/>
        </w:rPr>
        <w:t>References</w:t>
      </w:r>
      <w:bookmarkEnd w:id="5"/>
      <w:r w:rsidRPr="006D52A6">
        <w:rPr>
          <w:rFonts w:ascii="Arial" w:hAnsi="Arial" w:cs="Arial"/>
          <w:color w:val="000000" w:themeColor="text1"/>
          <w:sz w:val="22"/>
          <w:szCs w:val="22"/>
        </w:rPr>
        <w:t xml:space="preserve"> </w:t>
      </w:r>
    </w:p>
    <w:p w14:paraId="00D4E835"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 xml:space="preserve">A guide to the data protection principles. [Online] Available at: </w:t>
      </w:r>
      <w:hyperlink r:id="rId9" w:history="1">
        <w:r w:rsidRPr="006D52A6">
          <w:rPr>
            <w:rStyle w:val="Hyperlink"/>
            <w:rFonts w:ascii="Arial" w:hAnsi="Arial" w:cs="Arial"/>
            <w:color w:val="000000" w:themeColor="text1"/>
          </w:rPr>
          <w:t>https://ico.org.uk/for-organisations/uk-gdpr-guidance-and-resources/data-protection-principles/a-guide-to-the-data-protection-principles/</w:t>
        </w:r>
      </w:hyperlink>
    </w:p>
    <w:p w14:paraId="02DCFC8B" w14:textId="77777777" w:rsidR="006D52A6" w:rsidRPr="006D52A6" w:rsidRDefault="006D52A6" w:rsidP="006D52A6">
      <w:pPr>
        <w:spacing w:line="360" w:lineRule="auto"/>
        <w:ind w:left="720" w:hanging="720"/>
        <w:jc w:val="both"/>
        <w:rPr>
          <w:rFonts w:ascii="Arial" w:hAnsi="Arial" w:cs="Arial"/>
          <w:color w:val="000000" w:themeColor="text1"/>
        </w:rPr>
      </w:pPr>
      <w:proofErr w:type="spellStart"/>
      <w:r w:rsidRPr="006D52A6">
        <w:rPr>
          <w:rFonts w:ascii="Arial" w:hAnsi="Arial" w:cs="Arial"/>
          <w:color w:val="000000" w:themeColor="text1"/>
        </w:rPr>
        <w:t>Aljohani</w:t>
      </w:r>
      <w:proofErr w:type="spellEnd"/>
      <w:r w:rsidRPr="006D52A6">
        <w:rPr>
          <w:rFonts w:ascii="Arial" w:hAnsi="Arial" w:cs="Arial"/>
          <w:color w:val="000000" w:themeColor="text1"/>
        </w:rPr>
        <w:t xml:space="preserve">, L.M.S., </w:t>
      </w:r>
      <w:proofErr w:type="spellStart"/>
      <w:r w:rsidRPr="006D52A6">
        <w:rPr>
          <w:rFonts w:ascii="Arial" w:hAnsi="Arial" w:cs="Arial"/>
          <w:color w:val="000000" w:themeColor="text1"/>
        </w:rPr>
        <w:t>Alealaasi</w:t>
      </w:r>
      <w:proofErr w:type="spellEnd"/>
      <w:r w:rsidRPr="006D52A6">
        <w:rPr>
          <w:rFonts w:ascii="Arial" w:hAnsi="Arial" w:cs="Arial"/>
          <w:color w:val="000000" w:themeColor="text1"/>
        </w:rPr>
        <w:t>, M.H.M., Al-</w:t>
      </w:r>
      <w:proofErr w:type="spellStart"/>
      <w:r w:rsidRPr="006D52A6">
        <w:rPr>
          <w:rFonts w:ascii="Arial" w:hAnsi="Arial" w:cs="Arial"/>
          <w:color w:val="000000" w:themeColor="text1"/>
        </w:rPr>
        <w:t>awfi</w:t>
      </w:r>
      <w:proofErr w:type="spellEnd"/>
      <w:r w:rsidRPr="006D52A6">
        <w:rPr>
          <w:rFonts w:ascii="Arial" w:hAnsi="Arial" w:cs="Arial"/>
          <w:color w:val="000000" w:themeColor="text1"/>
        </w:rPr>
        <w:t>, R.A.A., Alshammari, N.N.K., Al-</w:t>
      </w:r>
      <w:proofErr w:type="spellStart"/>
      <w:r w:rsidRPr="006D52A6">
        <w:rPr>
          <w:rFonts w:ascii="Arial" w:hAnsi="Arial" w:cs="Arial"/>
          <w:color w:val="000000" w:themeColor="text1"/>
        </w:rPr>
        <w:t>Omairi</w:t>
      </w:r>
      <w:proofErr w:type="spellEnd"/>
      <w:r w:rsidRPr="006D52A6">
        <w:rPr>
          <w:rFonts w:ascii="Arial" w:hAnsi="Arial" w:cs="Arial"/>
          <w:color w:val="000000" w:themeColor="text1"/>
        </w:rPr>
        <w:t>, A.N.M., Al-Juhani, L.A.A.S. and Al-Juhani, H.A.S., 2024. Health information and administration: standards and evaluation of healthcare quality, safety, and person-</w:t>
      </w:r>
      <w:proofErr w:type="spellStart"/>
      <w:r w:rsidRPr="006D52A6">
        <w:rPr>
          <w:rFonts w:ascii="Arial" w:hAnsi="Arial" w:cs="Arial"/>
          <w:color w:val="000000" w:themeColor="text1"/>
        </w:rPr>
        <w:t>centered</w:t>
      </w:r>
      <w:proofErr w:type="spellEnd"/>
      <w:r w:rsidRPr="006D52A6">
        <w:rPr>
          <w:rFonts w:ascii="Arial" w:hAnsi="Arial" w:cs="Arial"/>
          <w:color w:val="000000" w:themeColor="text1"/>
        </w:rPr>
        <w:t xml:space="preserve"> care. </w:t>
      </w:r>
      <w:r w:rsidRPr="006D52A6">
        <w:rPr>
          <w:rFonts w:ascii="Arial" w:hAnsi="Arial" w:cs="Arial"/>
          <w:i/>
          <w:iCs/>
          <w:color w:val="000000" w:themeColor="text1"/>
        </w:rPr>
        <w:t>Saudi Journal of Medicine and Public Health</w:t>
      </w:r>
      <w:r w:rsidRPr="006D52A6">
        <w:rPr>
          <w:rFonts w:ascii="Arial" w:hAnsi="Arial" w:cs="Arial"/>
          <w:color w:val="000000" w:themeColor="text1"/>
        </w:rPr>
        <w:t>, </w:t>
      </w:r>
      <w:r w:rsidRPr="006D52A6">
        <w:rPr>
          <w:rFonts w:ascii="Arial" w:hAnsi="Arial" w:cs="Arial"/>
          <w:i/>
          <w:iCs/>
          <w:color w:val="000000" w:themeColor="text1"/>
        </w:rPr>
        <w:t>1</w:t>
      </w:r>
      <w:r w:rsidRPr="006D52A6">
        <w:rPr>
          <w:rFonts w:ascii="Arial" w:hAnsi="Arial" w:cs="Arial"/>
          <w:color w:val="000000" w:themeColor="text1"/>
        </w:rPr>
        <w:t>(2), pp.918-928.</w:t>
      </w:r>
    </w:p>
    <w:p w14:paraId="72D11851"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 xml:space="preserve">Alzheimer's Society. 2024. Understanding and supporting a person with dementia. [Online] Available at: </w:t>
      </w:r>
      <w:hyperlink r:id="rId10" w:history="1">
        <w:r w:rsidRPr="006D52A6">
          <w:rPr>
            <w:rStyle w:val="Hyperlink"/>
            <w:rFonts w:ascii="Arial" w:hAnsi="Arial" w:cs="Arial"/>
            <w:color w:val="000000" w:themeColor="text1"/>
          </w:rPr>
          <w:t>https://www.alzheimers.org.uk/get-support/help-dementia-care/understanding-supporting-person-dementia</w:t>
        </w:r>
      </w:hyperlink>
    </w:p>
    <w:p w14:paraId="5A9ECD20"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Caldicott, F., 2013. Information: To share or not to share. Information Governance Review. </w:t>
      </w:r>
      <w:r w:rsidRPr="006D52A6">
        <w:rPr>
          <w:rFonts w:ascii="Arial" w:hAnsi="Arial" w:cs="Arial"/>
          <w:i/>
          <w:iCs/>
          <w:color w:val="000000" w:themeColor="text1"/>
        </w:rPr>
        <w:t>Information: To share or not to share</w:t>
      </w:r>
      <w:r w:rsidRPr="006D52A6">
        <w:rPr>
          <w:rFonts w:ascii="Arial" w:hAnsi="Arial" w:cs="Arial"/>
          <w:color w:val="000000" w:themeColor="text1"/>
        </w:rPr>
        <w:t>.</w:t>
      </w:r>
    </w:p>
    <w:p w14:paraId="1930334C"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Chico, V., 2018. The impact of the general data protection regulation on health research. </w:t>
      </w:r>
      <w:r w:rsidRPr="006D52A6">
        <w:rPr>
          <w:rFonts w:ascii="Arial" w:hAnsi="Arial" w:cs="Arial"/>
          <w:i/>
          <w:iCs/>
          <w:color w:val="000000" w:themeColor="text1"/>
        </w:rPr>
        <w:t>British medical bulletin</w:t>
      </w:r>
      <w:r w:rsidRPr="006D52A6">
        <w:rPr>
          <w:rFonts w:ascii="Arial" w:hAnsi="Arial" w:cs="Arial"/>
          <w:color w:val="000000" w:themeColor="text1"/>
        </w:rPr>
        <w:t>, </w:t>
      </w:r>
      <w:r w:rsidRPr="006D52A6">
        <w:rPr>
          <w:rFonts w:ascii="Arial" w:hAnsi="Arial" w:cs="Arial"/>
          <w:i/>
          <w:iCs/>
          <w:color w:val="000000" w:themeColor="text1"/>
        </w:rPr>
        <w:t>128</w:t>
      </w:r>
      <w:r w:rsidRPr="006D52A6">
        <w:rPr>
          <w:rFonts w:ascii="Arial" w:hAnsi="Arial" w:cs="Arial"/>
          <w:color w:val="000000" w:themeColor="text1"/>
        </w:rPr>
        <w:t>(1), pp.109-118.</w:t>
      </w:r>
    </w:p>
    <w:p w14:paraId="692CA8F3"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Coulter, A., Entwistle, V.A., Eccles, A., Ryan, S., Shepperd, S. and Perera, R., 2015. Personalised care planning for adults with chronic or long</w:t>
      </w:r>
      <w:r w:rsidRPr="006D52A6">
        <w:rPr>
          <w:rFonts w:ascii="Cambria Math" w:hAnsi="Cambria Math" w:cs="Cambria Math"/>
          <w:color w:val="000000" w:themeColor="text1"/>
        </w:rPr>
        <w:t>‐</w:t>
      </w:r>
      <w:r w:rsidRPr="006D52A6">
        <w:rPr>
          <w:rFonts w:ascii="Arial" w:hAnsi="Arial" w:cs="Arial"/>
          <w:color w:val="000000" w:themeColor="text1"/>
        </w:rPr>
        <w:t>term health conditions. </w:t>
      </w:r>
      <w:r w:rsidRPr="006D52A6">
        <w:rPr>
          <w:rFonts w:ascii="Arial" w:hAnsi="Arial" w:cs="Arial"/>
          <w:i/>
          <w:iCs/>
          <w:color w:val="000000" w:themeColor="text1"/>
        </w:rPr>
        <w:t>Cochrane Database of Systematic Reviews</w:t>
      </w:r>
      <w:r w:rsidRPr="006D52A6">
        <w:rPr>
          <w:rFonts w:ascii="Arial" w:hAnsi="Arial" w:cs="Arial"/>
          <w:color w:val="000000" w:themeColor="text1"/>
        </w:rPr>
        <w:t>, (3).</w:t>
      </w:r>
    </w:p>
    <w:p w14:paraId="715A50E9"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Couturier, Y., Lanoue, S., Karam, M., Guillette, M. and Hudon, C., 2023. Social workers coordination in primary healthcare for patients with complex needs: A scoping review. </w:t>
      </w:r>
      <w:r w:rsidRPr="006D52A6">
        <w:rPr>
          <w:rFonts w:ascii="Arial" w:hAnsi="Arial" w:cs="Arial"/>
          <w:i/>
          <w:iCs/>
          <w:color w:val="000000" w:themeColor="text1"/>
        </w:rPr>
        <w:t>International Journal of Care Coordination</w:t>
      </w:r>
      <w:r w:rsidRPr="006D52A6">
        <w:rPr>
          <w:rFonts w:ascii="Arial" w:hAnsi="Arial" w:cs="Arial"/>
          <w:color w:val="000000" w:themeColor="text1"/>
        </w:rPr>
        <w:t>, </w:t>
      </w:r>
      <w:r w:rsidRPr="006D52A6">
        <w:rPr>
          <w:rFonts w:ascii="Arial" w:hAnsi="Arial" w:cs="Arial"/>
          <w:i/>
          <w:iCs/>
          <w:color w:val="000000" w:themeColor="text1"/>
        </w:rPr>
        <w:t>26</w:t>
      </w:r>
      <w:r w:rsidRPr="006D52A6">
        <w:rPr>
          <w:rFonts w:ascii="Arial" w:hAnsi="Arial" w:cs="Arial"/>
          <w:color w:val="000000" w:themeColor="text1"/>
        </w:rPr>
        <w:t>(1), pp.5-25.</w:t>
      </w:r>
    </w:p>
    <w:p w14:paraId="30DEE44B"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 xml:space="preserve">Dijkstra, N.E., Vervloet, M., Sino, C.G., </w:t>
      </w:r>
      <w:proofErr w:type="spellStart"/>
      <w:r w:rsidRPr="006D52A6">
        <w:rPr>
          <w:rFonts w:ascii="Arial" w:hAnsi="Arial" w:cs="Arial"/>
          <w:color w:val="000000" w:themeColor="text1"/>
        </w:rPr>
        <w:t>Heerdink</w:t>
      </w:r>
      <w:proofErr w:type="spellEnd"/>
      <w:r w:rsidRPr="006D52A6">
        <w:rPr>
          <w:rFonts w:ascii="Arial" w:hAnsi="Arial" w:cs="Arial"/>
          <w:color w:val="000000" w:themeColor="text1"/>
        </w:rPr>
        <w:t>, E.R., Nelissen-</w:t>
      </w:r>
      <w:proofErr w:type="spellStart"/>
      <w:r w:rsidRPr="006D52A6">
        <w:rPr>
          <w:rFonts w:ascii="Arial" w:hAnsi="Arial" w:cs="Arial"/>
          <w:color w:val="000000" w:themeColor="text1"/>
        </w:rPr>
        <w:t>Vrancken</w:t>
      </w:r>
      <w:proofErr w:type="spellEnd"/>
      <w:r w:rsidRPr="006D52A6">
        <w:rPr>
          <w:rFonts w:ascii="Arial" w:hAnsi="Arial" w:cs="Arial"/>
          <w:color w:val="000000" w:themeColor="text1"/>
        </w:rPr>
        <w:t xml:space="preserve">, M., </w:t>
      </w:r>
      <w:proofErr w:type="spellStart"/>
      <w:r w:rsidRPr="006D52A6">
        <w:rPr>
          <w:rFonts w:ascii="Arial" w:hAnsi="Arial" w:cs="Arial"/>
          <w:color w:val="000000" w:themeColor="text1"/>
        </w:rPr>
        <w:t>Bleijenberg</w:t>
      </w:r>
      <w:proofErr w:type="spellEnd"/>
      <w:r w:rsidRPr="006D52A6">
        <w:rPr>
          <w:rFonts w:ascii="Arial" w:hAnsi="Arial" w:cs="Arial"/>
          <w:color w:val="000000" w:themeColor="text1"/>
        </w:rPr>
        <w:t>, N., De Bruin, M. and Schoonhoven, L., 2021. Home care patients’ experiences with home care nurses’ support in medication adherence. </w:t>
      </w:r>
      <w:r w:rsidRPr="006D52A6">
        <w:rPr>
          <w:rFonts w:ascii="Arial" w:hAnsi="Arial" w:cs="Arial"/>
          <w:i/>
          <w:iCs/>
          <w:color w:val="000000" w:themeColor="text1"/>
        </w:rPr>
        <w:t>Patient preference and adherence</w:t>
      </w:r>
      <w:r w:rsidRPr="006D52A6">
        <w:rPr>
          <w:rFonts w:ascii="Arial" w:hAnsi="Arial" w:cs="Arial"/>
          <w:color w:val="000000" w:themeColor="text1"/>
        </w:rPr>
        <w:t>, pp.1929-1940.</w:t>
      </w:r>
    </w:p>
    <w:p w14:paraId="71E8EF94"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Donnelly, M., 2016. Best interests in the mental capacity act: time to say goodbye?. </w:t>
      </w:r>
      <w:r w:rsidRPr="006D52A6">
        <w:rPr>
          <w:rFonts w:ascii="Arial" w:hAnsi="Arial" w:cs="Arial"/>
          <w:i/>
          <w:iCs/>
          <w:color w:val="000000" w:themeColor="text1"/>
        </w:rPr>
        <w:t>Medical Law Review</w:t>
      </w:r>
      <w:r w:rsidRPr="006D52A6">
        <w:rPr>
          <w:rFonts w:ascii="Arial" w:hAnsi="Arial" w:cs="Arial"/>
          <w:color w:val="000000" w:themeColor="text1"/>
        </w:rPr>
        <w:t>, </w:t>
      </w:r>
      <w:r w:rsidRPr="006D52A6">
        <w:rPr>
          <w:rFonts w:ascii="Arial" w:hAnsi="Arial" w:cs="Arial"/>
          <w:i/>
          <w:iCs/>
          <w:color w:val="000000" w:themeColor="text1"/>
        </w:rPr>
        <w:t>24</w:t>
      </w:r>
      <w:r w:rsidRPr="006D52A6">
        <w:rPr>
          <w:rFonts w:ascii="Arial" w:hAnsi="Arial" w:cs="Arial"/>
          <w:color w:val="000000" w:themeColor="text1"/>
        </w:rPr>
        <w:t>(3), pp.318-332.</w:t>
      </w:r>
    </w:p>
    <w:p w14:paraId="103BF4E8"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 xml:space="preserve">Donnelly, S., O'Brien, M., Walsh, J., McInerney, J., Campbell, J. and </w:t>
      </w:r>
      <w:proofErr w:type="spellStart"/>
      <w:r w:rsidRPr="006D52A6">
        <w:rPr>
          <w:rFonts w:ascii="Arial" w:hAnsi="Arial" w:cs="Arial"/>
          <w:color w:val="000000" w:themeColor="text1"/>
        </w:rPr>
        <w:t>Kodate</w:t>
      </w:r>
      <w:proofErr w:type="spellEnd"/>
      <w:r w:rsidRPr="006D52A6">
        <w:rPr>
          <w:rFonts w:ascii="Arial" w:hAnsi="Arial" w:cs="Arial"/>
          <w:color w:val="000000" w:themeColor="text1"/>
        </w:rPr>
        <w:t>, N., 2017. Adult safeguarding legislation and policy rapid realist literature review.</w:t>
      </w:r>
    </w:p>
    <w:p w14:paraId="672F30BC"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 xml:space="preserve">Foba, M.S., </w:t>
      </w:r>
      <w:proofErr w:type="spellStart"/>
      <w:r w:rsidRPr="006D52A6">
        <w:rPr>
          <w:rFonts w:ascii="Arial" w:hAnsi="Arial" w:cs="Arial"/>
          <w:color w:val="000000" w:themeColor="text1"/>
        </w:rPr>
        <w:t>Liforter</w:t>
      </w:r>
      <w:proofErr w:type="spellEnd"/>
      <w:r w:rsidRPr="006D52A6">
        <w:rPr>
          <w:rFonts w:ascii="Arial" w:hAnsi="Arial" w:cs="Arial"/>
          <w:color w:val="000000" w:themeColor="text1"/>
        </w:rPr>
        <w:t>, K.N. and Atanga, M.B.S., 2024. Nursing Documents and Documentation for Patients with Heart Diseases; Could Be Made Easier. </w:t>
      </w:r>
      <w:r w:rsidRPr="006D52A6">
        <w:rPr>
          <w:rFonts w:ascii="Arial" w:hAnsi="Arial" w:cs="Arial"/>
          <w:i/>
          <w:iCs/>
          <w:color w:val="000000" w:themeColor="text1"/>
        </w:rPr>
        <w:t>Glob J Emerg Crit Care Med</w:t>
      </w:r>
      <w:r w:rsidRPr="006D52A6">
        <w:rPr>
          <w:rFonts w:ascii="Arial" w:hAnsi="Arial" w:cs="Arial"/>
          <w:color w:val="000000" w:themeColor="text1"/>
        </w:rPr>
        <w:t>, </w:t>
      </w:r>
      <w:r w:rsidRPr="006D52A6">
        <w:rPr>
          <w:rFonts w:ascii="Arial" w:hAnsi="Arial" w:cs="Arial"/>
          <w:i/>
          <w:iCs/>
          <w:color w:val="000000" w:themeColor="text1"/>
        </w:rPr>
        <w:t>1</w:t>
      </w:r>
      <w:r w:rsidRPr="006D52A6">
        <w:rPr>
          <w:rFonts w:ascii="Arial" w:hAnsi="Arial" w:cs="Arial"/>
          <w:color w:val="000000" w:themeColor="text1"/>
        </w:rPr>
        <w:t>(1), pp.1-5.</w:t>
      </w:r>
    </w:p>
    <w:p w14:paraId="186D8EF1"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 xml:space="preserve">Frost, R., Rait, G., Wheatley, A., Wilcock, J., Robinson, L., Harrison Dening, K., Allan, L., Banerjee, S., Manthorpe, J., Walters, K. and </w:t>
      </w:r>
      <w:proofErr w:type="spellStart"/>
      <w:r w:rsidRPr="006D52A6">
        <w:rPr>
          <w:rFonts w:ascii="Arial" w:hAnsi="Arial" w:cs="Arial"/>
          <w:color w:val="000000" w:themeColor="text1"/>
        </w:rPr>
        <w:t>PriDem</w:t>
      </w:r>
      <w:proofErr w:type="spellEnd"/>
      <w:r w:rsidRPr="006D52A6">
        <w:rPr>
          <w:rFonts w:ascii="Arial" w:hAnsi="Arial" w:cs="Arial"/>
          <w:color w:val="000000" w:themeColor="text1"/>
        </w:rPr>
        <w:t xml:space="preserve"> Study Project Team, 2020. What works in managing complex conditions in older people in primary and community care? A state</w:t>
      </w:r>
      <w:r w:rsidRPr="006D52A6">
        <w:rPr>
          <w:rFonts w:ascii="Cambria Math" w:hAnsi="Cambria Math" w:cs="Cambria Math"/>
          <w:color w:val="000000" w:themeColor="text1"/>
        </w:rPr>
        <w:t>‐</w:t>
      </w:r>
      <w:r w:rsidRPr="006D52A6">
        <w:rPr>
          <w:rFonts w:ascii="Arial" w:hAnsi="Arial" w:cs="Arial"/>
          <w:color w:val="000000" w:themeColor="text1"/>
        </w:rPr>
        <w:t>of</w:t>
      </w:r>
      <w:r w:rsidRPr="006D52A6">
        <w:rPr>
          <w:rFonts w:ascii="Cambria Math" w:hAnsi="Cambria Math" w:cs="Cambria Math"/>
          <w:color w:val="000000" w:themeColor="text1"/>
        </w:rPr>
        <w:t>‐</w:t>
      </w:r>
      <w:r w:rsidRPr="006D52A6">
        <w:rPr>
          <w:rFonts w:ascii="Arial" w:hAnsi="Arial" w:cs="Arial"/>
          <w:color w:val="000000" w:themeColor="text1"/>
        </w:rPr>
        <w:t>the</w:t>
      </w:r>
      <w:r w:rsidRPr="006D52A6">
        <w:rPr>
          <w:rFonts w:ascii="Cambria Math" w:hAnsi="Cambria Math" w:cs="Cambria Math"/>
          <w:color w:val="000000" w:themeColor="text1"/>
        </w:rPr>
        <w:t>‐</w:t>
      </w:r>
      <w:r w:rsidRPr="006D52A6">
        <w:rPr>
          <w:rFonts w:ascii="Arial" w:hAnsi="Arial" w:cs="Arial"/>
          <w:color w:val="000000" w:themeColor="text1"/>
        </w:rPr>
        <w:t>art review. </w:t>
      </w:r>
      <w:r w:rsidRPr="006D52A6">
        <w:rPr>
          <w:rFonts w:ascii="Arial" w:hAnsi="Arial" w:cs="Arial"/>
          <w:i/>
          <w:iCs/>
          <w:color w:val="000000" w:themeColor="text1"/>
        </w:rPr>
        <w:t>Health &amp; social care in the community</w:t>
      </w:r>
      <w:r w:rsidRPr="006D52A6">
        <w:rPr>
          <w:rFonts w:ascii="Arial" w:hAnsi="Arial" w:cs="Arial"/>
          <w:color w:val="000000" w:themeColor="text1"/>
        </w:rPr>
        <w:t>, </w:t>
      </w:r>
      <w:r w:rsidRPr="006D52A6">
        <w:rPr>
          <w:rFonts w:ascii="Arial" w:hAnsi="Arial" w:cs="Arial"/>
          <w:i/>
          <w:iCs/>
          <w:color w:val="000000" w:themeColor="text1"/>
        </w:rPr>
        <w:t>28</w:t>
      </w:r>
      <w:r w:rsidRPr="006D52A6">
        <w:rPr>
          <w:rFonts w:ascii="Arial" w:hAnsi="Arial" w:cs="Arial"/>
          <w:color w:val="000000" w:themeColor="text1"/>
        </w:rPr>
        <w:t>(6), pp.1915-1927.</w:t>
      </w:r>
    </w:p>
    <w:p w14:paraId="3E116395"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Glasby, J., 2017. Partnership working in health and social care. </w:t>
      </w:r>
      <w:r w:rsidRPr="006D52A6">
        <w:rPr>
          <w:rFonts w:ascii="Arial" w:hAnsi="Arial" w:cs="Arial"/>
          <w:i/>
          <w:iCs/>
          <w:color w:val="000000" w:themeColor="text1"/>
        </w:rPr>
        <w:t>Understanding Health and Social Care</w:t>
      </w:r>
      <w:r w:rsidRPr="006D52A6">
        <w:rPr>
          <w:rFonts w:ascii="Arial" w:hAnsi="Arial" w:cs="Arial"/>
          <w:color w:val="000000" w:themeColor="text1"/>
        </w:rPr>
        <w:t>, pp.71-94.</w:t>
      </w:r>
    </w:p>
    <w:p w14:paraId="3C260F2A"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Handley, M., Bunn, F. and Goodman, C., 2017. Dementia-friendly interventions to improve the care of people living with dementia admitted to hospitals: a realist review. </w:t>
      </w:r>
      <w:r w:rsidRPr="006D52A6">
        <w:rPr>
          <w:rFonts w:ascii="Arial" w:hAnsi="Arial" w:cs="Arial"/>
          <w:i/>
          <w:iCs/>
          <w:color w:val="000000" w:themeColor="text1"/>
        </w:rPr>
        <w:t>BMJ open</w:t>
      </w:r>
      <w:r w:rsidRPr="006D52A6">
        <w:rPr>
          <w:rFonts w:ascii="Arial" w:hAnsi="Arial" w:cs="Arial"/>
          <w:color w:val="000000" w:themeColor="text1"/>
        </w:rPr>
        <w:t>, </w:t>
      </w:r>
      <w:r w:rsidRPr="006D52A6">
        <w:rPr>
          <w:rFonts w:ascii="Arial" w:hAnsi="Arial" w:cs="Arial"/>
          <w:i/>
          <w:iCs/>
          <w:color w:val="000000" w:themeColor="text1"/>
        </w:rPr>
        <w:t>7</w:t>
      </w:r>
      <w:r w:rsidRPr="006D52A6">
        <w:rPr>
          <w:rFonts w:ascii="Arial" w:hAnsi="Arial" w:cs="Arial"/>
          <w:color w:val="000000" w:themeColor="text1"/>
        </w:rPr>
        <w:t>(7), p.e015257.</w:t>
      </w:r>
    </w:p>
    <w:p w14:paraId="1B209567"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 xml:space="preserve">Information Commissioner's Office (ICO). 2024. A guide to the data protection principles. [Online] Available at: </w:t>
      </w:r>
      <w:hyperlink r:id="rId11" w:history="1">
        <w:r w:rsidRPr="006D52A6">
          <w:rPr>
            <w:rStyle w:val="Hyperlink"/>
            <w:rFonts w:ascii="Arial" w:hAnsi="Arial" w:cs="Arial"/>
            <w:color w:val="000000" w:themeColor="text1"/>
          </w:rPr>
          <w:t>https://ico.org.uk/for-organisations/uk-gdpr-guidance-and-resources/data-protection-principles/a-guide-to-the-data-protection-principles/</w:t>
        </w:r>
      </w:hyperlink>
    </w:p>
    <w:p w14:paraId="4C104D69"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Johnson, P., 2024. Communication with older people. </w:t>
      </w:r>
      <w:r w:rsidRPr="006D52A6">
        <w:rPr>
          <w:rFonts w:ascii="Arial" w:hAnsi="Arial" w:cs="Arial"/>
          <w:i/>
          <w:iCs/>
          <w:color w:val="000000" w:themeColor="text1"/>
        </w:rPr>
        <w:t>Effective Communication for Nursing Practice</w:t>
      </w:r>
      <w:r w:rsidRPr="006D52A6">
        <w:rPr>
          <w:rFonts w:ascii="Arial" w:hAnsi="Arial" w:cs="Arial"/>
          <w:color w:val="000000" w:themeColor="text1"/>
        </w:rPr>
        <w:t>, p.111.</w:t>
      </w:r>
    </w:p>
    <w:p w14:paraId="28768971"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Kinnear, D., Williams, V. and Victor, C., 2014. The meaning of dignified care: an exploration of health and social care professionals’ perspectives working with older people. </w:t>
      </w:r>
      <w:r w:rsidRPr="006D52A6">
        <w:rPr>
          <w:rFonts w:ascii="Arial" w:hAnsi="Arial" w:cs="Arial"/>
          <w:i/>
          <w:iCs/>
          <w:color w:val="000000" w:themeColor="text1"/>
        </w:rPr>
        <w:t>BMC research notes</w:t>
      </w:r>
      <w:r w:rsidRPr="006D52A6">
        <w:rPr>
          <w:rFonts w:ascii="Arial" w:hAnsi="Arial" w:cs="Arial"/>
          <w:color w:val="000000" w:themeColor="text1"/>
        </w:rPr>
        <w:t>, </w:t>
      </w:r>
      <w:r w:rsidRPr="006D52A6">
        <w:rPr>
          <w:rFonts w:ascii="Arial" w:hAnsi="Arial" w:cs="Arial"/>
          <w:i/>
          <w:iCs/>
          <w:color w:val="000000" w:themeColor="text1"/>
        </w:rPr>
        <w:t>7</w:t>
      </w:r>
      <w:r w:rsidRPr="006D52A6">
        <w:rPr>
          <w:rFonts w:ascii="Arial" w:hAnsi="Arial" w:cs="Arial"/>
          <w:color w:val="000000" w:themeColor="text1"/>
        </w:rPr>
        <w:t>(1), p.854.</w:t>
      </w:r>
    </w:p>
    <w:p w14:paraId="668374C9"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Ljungholm, L., Edin-Liljegren, A., Ekstedt, M. and Klinga, C., 2022. What is needed for continuity of care and how can we achieve it?–Perceptions among multiprofessionals on the chronic care trajectory. </w:t>
      </w:r>
      <w:r w:rsidRPr="006D52A6">
        <w:rPr>
          <w:rFonts w:ascii="Arial" w:hAnsi="Arial" w:cs="Arial"/>
          <w:i/>
          <w:iCs/>
          <w:color w:val="000000" w:themeColor="text1"/>
        </w:rPr>
        <w:t>BMC health services research</w:t>
      </w:r>
      <w:r w:rsidRPr="006D52A6">
        <w:rPr>
          <w:rFonts w:ascii="Arial" w:hAnsi="Arial" w:cs="Arial"/>
          <w:color w:val="000000" w:themeColor="text1"/>
        </w:rPr>
        <w:t>, </w:t>
      </w:r>
      <w:r w:rsidRPr="006D52A6">
        <w:rPr>
          <w:rFonts w:ascii="Arial" w:hAnsi="Arial" w:cs="Arial"/>
          <w:i/>
          <w:iCs/>
          <w:color w:val="000000" w:themeColor="text1"/>
        </w:rPr>
        <w:t>22</w:t>
      </w:r>
      <w:r w:rsidRPr="006D52A6">
        <w:rPr>
          <w:rFonts w:ascii="Arial" w:hAnsi="Arial" w:cs="Arial"/>
          <w:color w:val="000000" w:themeColor="text1"/>
        </w:rPr>
        <w:t>(1), p.686.</w:t>
      </w:r>
    </w:p>
    <w:p w14:paraId="5C2440D3"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Munday, D., 2026. </w:t>
      </w:r>
      <w:r w:rsidRPr="006D52A6">
        <w:rPr>
          <w:rFonts w:ascii="Arial" w:hAnsi="Arial" w:cs="Arial"/>
          <w:i/>
          <w:iCs/>
          <w:color w:val="000000" w:themeColor="text1"/>
        </w:rPr>
        <w:t>Is the Gender Reassignment protected characteristic under the Equality Act 2010 inclusive of the non-binary community?</w:t>
      </w:r>
      <w:r w:rsidRPr="006D52A6">
        <w:rPr>
          <w:rFonts w:ascii="Arial" w:hAnsi="Arial" w:cs="Arial"/>
          <w:color w:val="000000" w:themeColor="text1"/>
        </w:rPr>
        <w:t> (Doctoral dissertation, University of Exeter).</w:t>
      </w:r>
    </w:p>
    <w:p w14:paraId="75D7B784"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 xml:space="preserve">National Institute for Health and Care Excellence (NICE). 2022. Medicines Optimisation: The Safe and Effective Use of Medicines to Enable the Best Possible Outcomes. [Online] Available at: </w:t>
      </w:r>
      <w:hyperlink r:id="rId12" w:history="1">
        <w:r w:rsidRPr="006D52A6">
          <w:rPr>
            <w:rStyle w:val="Hyperlink"/>
            <w:rFonts w:ascii="Arial" w:hAnsi="Arial" w:cs="Arial"/>
            <w:color w:val="000000" w:themeColor="text1"/>
          </w:rPr>
          <w:t>https://pubmed.ncbi.nlm.nih.gov/26180890/</w:t>
        </w:r>
      </w:hyperlink>
    </w:p>
    <w:p w14:paraId="6FA82D20"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 xml:space="preserve">NHS England. 2024. </w:t>
      </w:r>
      <w:r w:rsidRPr="006D52A6">
        <w:rPr>
          <w:rFonts w:ascii="Arial" w:hAnsi="Arial" w:cs="Arial"/>
          <w:i/>
          <w:iCs/>
          <w:color w:val="000000" w:themeColor="text1"/>
        </w:rPr>
        <w:t xml:space="preserve">Universal personalised care. </w:t>
      </w:r>
      <w:r w:rsidRPr="006D52A6">
        <w:rPr>
          <w:rFonts w:ascii="Arial" w:hAnsi="Arial" w:cs="Arial"/>
          <w:color w:val="000000" w:themeColor="text1"/>
        </w:rPr>
        <w:t xml:space="preserve">[Online] Available at: </w:t>
      </w:r>
      <w:hyperlink r:id="rId13" w:history="1">
        <w:r w:rsidRPr="006D52A6">
          <w:rPr>
            <w:rStyle w:val="Hyperlink"/>
            <w:rFonts w:ascii="Arial" w:hAnsi="Arial" w:cs="Arial"/>
            <w:color w:val="000000" w:themeColor="text1"/>
          </w:rPr>
          <w:t>https://www.england.nhs.uk/personalisedcare/comprehensive-model/</w:t>
        </w:r>
      </w:hyperlink>
    </w:p>
    <w:p w14:paraId="21D80D4D"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 xml:space="preserve">Nursing and Midwifery Council. NMC. 2018. The Code. [Online] Available at: </w:t>
      </w:r>
      <w:hyperlink r:id="rId14" w:history="1">
        <w:r w:rsidRPr="006D52A6">
          <w:rPr>
            <w:rStyle w:val="Hyperlink"/>
            <w:rFonts w:ascii="Arial" w:hAnsi="Arial" w:cs="Arial"/>
            <w:color w:val="000000" w:themeColor="text1"/>
          </w:rPr>
          <w:t>https://www.nmc.org.uk/standards/code/</w:t>
        </w:r>
      </w:hyperlink>
    </w:p>
    <w:p w14:paraId="7883135E"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Santana, M.J., Manalili, K., Jolley, R.J., Zelinsky, S., Quan, H. and Lu, M., 2018. How to practice person</w:t>
      </w:r>
      <w:r w:rsidRPr="006D52A6">
        <w:rPr>
          <w:rFonts w:ascii="Cambria Math" w:hAnsi="Cambria Math" w:cs="Cambria Math"/>
          <w:color w:val="000000" w:themeColor="text1"/>
        </w:rPr>
        <w:t>‐</w:t>
      </w:r>
      <w:r w:rsidRPr="006D52A6">
        <w:rPr>
          <w:rFonts w:ascii="Arial" w:hAnsi="Arial" w:cs="Arial"/>
          <w:color w:val="000000" w:themeColor="text1"/>
        </w:rPr>
        <w:t>centred care: A conceptual framework. </w:t>
      </w:r>
      <w:r w:rsidRPr="006D52A6">
        <w:rPr>
          <w:rFonts w:ascii="Arial" w:hAnsi="Arial" w:cs="Arial"/>
          <w:i/>
          <w:iCs/>
          <w:color w:val="000000" w:themeColor="text1"/>
        </w:rPr>
        <w:t>Health Expectations</w:t>
      </w:r>
      <w:r w:rsidRPr="006D52A6">
        <w:rPr>
          <w:rFonts w:ascii="Arial" w:hAnsi="Arial" w:cs="Arial"/>
          <w:color w:val="000000" w:themeColor="text1"/>
        </w:rPr>
        <w:t>, </w:t>
      </w:r>
      <w:r w:rsidRPr="006D52A6">
        <w:rPr>
          <w:rFonts w:ascii="Arial" w:hAnsi="Arial" w:cs="Arial"/>
          <w:i/>
          <w:iCs/>
          <w:color w:val="000000" w:themeColor="text1"/>
        </w:rPr>
        <w:t>21</w:t>
      </w:r>
      <w:r w:rsidRPr="006D52A6">
        <w:rPr>
          <w:rFonts w:ascii="Arial" w:hAnsi="Arial" w:cs="Arial"/>
          <w:color w:val="000000" w:themeColor="text1"/>
        </w:rPr>
        <w:t>(2), pp.429-440.</w:t>
      </w:r>
    </w:p>
    <w:p w14:paraId="578AF987" w14:textId="77777777" w:rsidR="006D52A6" w:rsidRPr="006D52A6" w:rsidRDefault="006D52A6" w:rsidP="006D52A6">
      <w:pPr>
        <w:spacing w:line="360" w:lineRule="auto"/>
        <w:ind w:left="720" w:hanging="720"/>
        <w:jc w:val="both"/>
        <w:rPr>
          <w:rFonts w:ascii="Arial" w:hAnsi="Arial" w:cs="Arial"/>
          <w:color w:val="000000" w:themeColor="text1"/>
        </w:rPr>
      </w:pPr>
      <w:r w:rsidRPr="006D52A6">
        <w:rPr>
          <w:rFonts w:ascii="Arial" w:hAnsi="Arial" w:cs="Arial"/>
          <w:color w:val="000000" w:themeColor="text1"/>
        </w:rPr>
        <w:t xml:space="preserve">World Health Organization. 2021. Global Patient Safety Action Plan 2021-2030. [Online] Available at: </w:t>
      </w:r>
      <w:hyperlink r:id="rId15" w:history="1">
        <w:r w:rsidRPr="006D52A6">
          <w:rPr>
            <w:rStyle w:val="Hyperlink"/>
            <w:rFonts w:ascii="Arial" w:hAnsi="Arial" w:cs="Arial"/>
            <w:color w:val="000000" w:themeColor="text1"/>
          </w:rPr>
          <w:t>https://www.who.int/teams/integrated-health-services/patient-safety/policy/global-patient-safety-action-plan</w:t>
        </w:r>
      </w:hyperlink>
    </w:p>
    <w:p w14:paraId="2341984D" w14:textId="77777777" w:rsidR="00675390" w:rsidRPr="006D52A6" w:rsidRDefault="00675390" w:rsidP="006D52A6">
      <w:pPr>
        <w:spacing w:line="360" w:lineRule="auto"/>
        <w:rPr>
          <w:rFonts w:ascii="Arial" w:hAnsi="Arial" w:cs="Arial"/>
          <w:color w:val="000000" w:themeColor="text1"/>
        </w:rPr>
      </w:pPr>
    </w:p>
    <w:sectPr w:rsidR="00675390" w:rsidRPr="006D52A6" w:rsidSect="00C4167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10B2F" w14:textId="77777777" w:rsidR="00BF2578" w:rsidRDefault="00BF2578" w:rsidP="00C41678">
      <w:pPr>
        <w:spacing w:after="0" w:line="240" w:lineRule="auto"/>
      </w:pPr>
      <w:r>
        <w:separator/>
      </w:r>
    </w:p>
  </w:endnote>
  <w:endnote w:type="continuationSeparator" w:id="0">
    <w:p w14:paraId="5459FA62" w14:textId="77777777" w:rsidR="00BF2578" w:rsidRDefault="00BF2578" w:rsidP="00C4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0F168" w14:textId="77777777" w:rsidR="00BF2578" w:rsidRDefault="00BF2578" w:rsidP="00C41678">
      <w:pPr>
        <w:spacing w:after="0" w:line="240" w:lineRule="auto"/>
      </w:pPr>
      <w:r>
        <w:separator/>
      </w:r>
    </w:p>
  </w:footnote>
  <w:footnote w:type="continuationSeparator" w:id="0">
    <w:p w14:paraId="6DC3694D" w14:textId="77777777" w:rsidR="00BF2578" w:rsidRDefault="00BF2578" w:rsidP="00C41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656077"/>
      <w:docPartObj>
        <w:docPartGallery w:val="Page Numbers (Top of Page)"/>
        <w:docPartUnique/>
      </w:docPartObj>
    </w:sdtPr>
    <w:sdtEndPr>
      <w:rPr>
        <w:noProof/>
      </w:rPr>
    </w:sdtEndPr>
    <w:sdtContent>
      <w:p w14:paraId="2F578F26" w14:textId="54383AD0" w:rsidR="00C41678" w:rsidRDefault="00C4167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BF93DAE" w14:textId="77777777" w:rsidR="00C41678" w:rsidRDefault="00C416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600D1A"/>
    <w:multiLevelType w:val="hybridMultilevel"/>
    <w:tmpl w:val="F1283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2195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FC0"/>
    <w:rsid w:val="00072FC0"/>
    <w:rsid w:val="00075D6B"/>
    <w:rsid w:val="00080691"/>
    <w:rsid w:val="001473C6"/>
    <w:rsid w:val="0018557F"/>
    <w:rsid w:val="00217BB1"/>
    <w:rsid w:val="00250A81"/>
    <w:rsid w:val="00255B3A"/>
    <w:rsid w:val="00257B67"/>
    <w:rsid w:val="00287F62"/>
    <w:rsid w:val="002F65B7"/>
    <w:rsid w:val="004B5526"/>
    <w:rsid w:val="004D56FA"/>
    <w:rsid w:val="005C72BD"/>
    <w:rsid w:val="00675390"/>
    <w:rsid w:val="006C7664"/>
    <w:rsid w:val="006D52A6"/>
    <w:rsid w:val="00857FF4"/>
    <w:rsid w:val="008A6F4B"/>
    <w:rsid w:val="009569CF"/>
    <w:rsid w:val="009846E8"/>
    <w:rsid w:val="009D6784"/>
    <w:rsid w:val="00A43D95"/>
    <w:rsid w:val="00AD2716"/>
    <w:rsid w:val="00B135E0"/>
    <w:rsid w:val="00B5408D"/>
    <w:rsid w:val="00B65099"/>
    <w:rsid w:val="00B83AD1"/>
    <w:rsid w:val="00BE2F0F"/>
    <w:rsid w:val="00BF2578"/>
    <w:rsid w:val="00C41678"/>
    <w:rsid w:val="00C419D5"/>
    <w:rsid w:val="00D11ECD"/>
    <w:rsid w:val="00D3006B"/>
    <w:rsid w:val="00E27F07"/>
    <w:rsid w:val="00E50F11"/>
    <w:rsid w:val="00E7524F"/>
    <w:rsid w:val="00FC2F4E"/>
    <w:rsid w:val="00FF4D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2B407"/>
  <w15:chartTrackingRefBased/>
  <w15:docId w15:val="{A8181E65-5902-458D-A67B-BF07D18BF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691"/>
    <w:pPr>
      <w:spacing w:line="480" w:lineRule="auto"/>
      <w:jc w:val="both"/>
      <w:outlineLvl w:val="0"/>
    </w:pPr>
    <w:rPr>
      <w:rFonts w:ascii="Times New Roman" w:hAnsi="Times New Roman" w:cs="Times New Roman"/>
      <w:b/>
      <w:bCs/>
      <w:i/>
      <w:iCs/>
      <w:sz w:val="24"/>
      <w:szCs w:val="24"/>
    </w:rPr>
  </w:style>
  <w:style w:type="paragraph" w:styleId="Heading2">
    <w:name w:val="heading 2"/>
    <w:basedOn w:val="Normal"/>
    <w:next w:val="Normal"/>
    <w:link w:val="Heading2Char"/>
    <w:uiPriority w:val="9"/>
    <w:semiHidden/>
    <w:unhideWhenUsed/>
    <w:qFormat/>
    <w:rsid w:val="00072F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2F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2F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2F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2F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F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F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F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691"/>
    <w:rPr>
      <w:rFonts w:ascii="Times New Roman" w:hAnsi="Times New Roman" w:cs="Times New Roman"/>
      <w:b/>
      <w:bCs/>
      <w:i/>
      <w:iCs/>
      <w:sz w:val="24"/>
      <w:szCs w:val="24"/>
    </w:rPr>
  </w:style>
  <w:style w:type="character" w:customStyle="1" w:styleId="Heading2Char">
    <w:name w:val="Heading 2 Char"/>
    <w:basedOn w:val="DefaultParagraphFont"/>
    <w:link w:val="Heading2"/>
    <w:uiPriority w:val="9"/>
    <w:semiHidden/>
    <w:rsid w:val="00072F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2F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2F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2F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2F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F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F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FC0"/>
    <w:rPr>
      <w:rFonts w:eastAsiaTheme="majorEastAsia" w:cstheme="majorBidi"/>
      <w:color w:val="272727" w:themeColor="text1" w:themeTint="D8"/>
    </w:rPr>
  </w:style>
  <w:style w:type="paragraph" w:styleId="Title">
    <w:name w:val="Title"/>
    <w:basedOn w:val="Normal"/>
    <w:next w:val="Normal"/>
    <w:link w:val="TitleChar"/>
    <w:uiPriority w:val="10"/>
    <w:qFormat/>
    <w:rsid w:val="00072F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F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F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F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FC0"/>
    <w:pPr>
      <w:spacing w:before="160"/>
      <w:jc w:val="center"/>
    </w:pPr>
    <w:rPr>
      <w:i/>
      <w:iCs/>
      <w:color w:val="404040" w:themeColor="text1" w:themeTint="BF"/>
    </w:rPr>
  </w:style>
  <w:style w:type="character" w:customStyle="1" w:styleId="QuoteChar">
    <w:name w:val="Quote Char"/>
    <w:basedOn w:val="DefaultParagraphFont"/>
    <w:link w:val="Quote"/>
    <w:uiPriority w:val="29"/>
    <w:rsid w:val="00072FC0"/>
    <w:rPr>
      <w:i/>
      <w:iCs/>
      <w:color w:val="404040" w:themeColor="text1" w:themeTint="BF"/>
    </w:rPr>
  </w:style>
  <w:style w:type="paragraph" w:styleId="ListParagraph">
    <w:name w:val="List Paragraph"/>
    <w:basedOn w:val="Normal"/>
    <w:uiPriority w:val="34"/>
    <w:qFormat/>
    <w:rsid w:val="00072FC0"/>
    <w:pPr>
      <w:ind w:left="720"/>
      <w:contextualSpacing/>
    </w:pPr>
  </w:style>
  <w:style w:type="character" w:styleId="IntenseEmphasis">
    <w:name w:val="Intense Emphasis"/>
    <w:basedOn w:val="DefaultParagraphFont"/>
    <w:uiPriority w:val="21"/>
    <w:qFormat/>
    <w:rsid w:val="00072FC0"/>
    <w:rPr>
      <w:i/>
      <w:iCs/>
      <w:color w:val="2F5496" w:themeColor="accent1" w:themeShade="BF"/>
    </w:rPr>
  </w:style>
  <w:style w:type="paragraph" w:styleId="IntenseQuote">
    <w:name w:val="Intense Quote"/>
    <w:basedOn w:val="Normal"/>
    <w:next w:val="Normal"/>
    <w:link w:val="IntenseQuoteChar"/>
    <w:uiPriority w:val="30"/>
    <w:qFormat/>
    <w:rsid w:val="00072F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2FC0"/>
    <w:rPr>
      <w:i/>
      <w:iCs/>
      <w:color w:val="2F5496" w:themeColor="accent1" w:themeShade="BF"/>
    </w:rPr>
  </w:style>
  <w:style w:type="character" w:styleId="IntenseReference">
    <w:name w:val="Intense Reference"/>
    <w:basedOn w:val="DefaultParagraphFont"/>
    <w:uiPriority w:val="32"/>
    <w:qFormat/>
    <w:rsid w:val="00072FC0"/>
    <w:rPr>
      <w:b/>
      <w:bCs/>
      <w:smallCaps/>
      <w:color w:val="2F5496" w:themeColor="accent1" w:themeShade="BF"/>
      <w:spacing w:val="5"/>
    </w:rPr>
  </w:style>
  <w:style w:type="paragraph" w:styleId="Header">
    <w:name w:val="header"/>
    <w:basedOn w:val="Normal"/>
    <w:link w:val="HeaderChar"/>
    <w:uiPriority w:val="99"/>
    <w:unhideWhenUsed/>
    <w:rsid w:val="00C41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1678"/>
  </w:style>
  <w:style w:type="paragraph" w:styleId="Footer">
    <w:name w:val="footer"/>
    <w:basedOn w:val="Normal"/>
    <w:link w:val="FooterChar"/>
    <w:uiPriority w:val="99"/>
    <w:unhideWhenUsed/>
    <w:rsid w:val="00C41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678"/>
  </w:style>
  <w:style w:type="character" w:styleId="Hyperlink">
    <w:name w:val="Hyperlink"/>
    <w:basedOn w:val="DefaultParagraphFont"/>
    <w:uiPriority w:val="99"/>
    <w:unhideWhenUsed/>
    <w:rsid w:val="006D52A6"/>
    <w:rPr>
      <w:color w:val="0563C1" w:themeColor="hyperlink"/>
      <w:u w:val="single"/>
    </w:rPr>
  </w:style>
  <w:style w:type="paragraph" w:styleId="TOCHeading">
    <w:name w:val="TOC Heading"/>
    <w:basedOn w:val="Heading1"/>
    <w:next w:val="Normal"/>
    <w:uiPriority w:val="39"/>
    <w:unhideWhenUsed/>
    <w:qFormat/>
    <w:rsid w:val="006D52A6"/>
    <w:pPr>
      <w:keepNext/>
      <w:keepLines/>
      <w:spacing w:before="240" w:after="0" w:line="259" w:lineRule="auto"/>
      <w:jc w:val="left"/>
      <w:outlineLvl w:val="9"/>
    </w:pPr>
    <w:rPr>
      <w:rFonts w:asciiTheme="majorHAnsi" w:eastAsiaTheme="majorEastAsia" w:hAnsiTheme="majorHAnsi" w:cstheme="majorBidi"/>
      <w:b w:val="0"/>
      <w:bCs w:val="0"/>
      <w:i w:val="0"/>
      <w:i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D52A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ngland.nhs.uk/personalisedcare/comprehensive-mode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med.ncbi.nlm.nih.gov/2618089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uk-gdpr-guidance-and-resources/data-protection-principles/a-guide-to-the-data-protection-principles/" TargetMode="External"/><Relationship Id="rId5" Type="http://schemas.openxmlformats.org/officeDocument/2006/relationships/webSettings" Target="webSettings.xml"/><Relationship Id="rId15" Type="http://schemas.openxmlformats.org/officeDocument/2006/relationships/hyperlink" Target="https://www.who.int/teams/integrated-health-services/patient-safety/policy/global-patient-safety-action-plan" TargetMode="External"/><Relationship Id="rId10" Type="http://schemas.openxmlformats.org/officeDocument/2006/relationships/hyperlink" Target="https://www.alzheimers.org.uk/get-support/help-dementia-care/understanding-supporting-person-dementia" TargetMode="External"/><Relationship Id="rId4" Type="http://schemas.openxmlformats.org/officeDocument/2006/relationships/settings" Target="settings.xml"/><Relationship Id="rId9" Type="http://schemas.openxmlformats.org/officeDocument/2006/relationships/hyperlink" Target="https://ico.org.uk/for-organisations/uk-gdpr-guidance-and-resources/data-protection-principles/a-guide-to-the-data-protection-principles/" TargetMode="External"/><Relationship Id="rId14" Type="http://schemas.openxmlformats.org/officeDocument/2006/relationships/hyperlink" Target="https://www.nmc.org.uk/standard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BD8F6-9661-4BEB-BDB6-954AF445D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10</Pages>
  <Words>2609</Words>
  <Characters>14873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CC</cp:lastModifiedBy>
  <cp:revision>30</cp:revision>
  <dcterms:created xsi:type="dcterms:W3CDTF">2026-08-03T10:03:00Z</dcterms:created>
  <dcterms:modified xsi:type="dcterms:W3CDTF">2026-08-03T12:52:00Z</dcterms:modified>
</cp:coreProperties>
</file>