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4E7A3A" w14:textId="56A20E5F" w:rsidR="00572C0F" w:rsidRPr="00572C0F" w:rsidRDefault="00572C0F" w:rsidP="00572C0F">
      <w:pPr>
        <w:jc w:val="right"/>
        <w:rPr>
          <w:rFonts w:ascii="Century Gothic" w:hAnsi="Century Gothic"/>
        </w:rPr>
      </w:pPr>
      <w:r>
        <w:rPr>
          <w:rFonts w:ascii="Century Gothic" w:hAnsi="Century Gothic"/>
        </w:rPr>
        <w:t>Alia</w:t>
      </w:r>
    </w:p>
    <w:p w14:paraId="7A9A8A65" w14:textId="67BBA496" w:rsidR="00572C0F" w:rsidRPr="00F3372E" w:rsidRDefault="00572C0F">
      <w:pPr>
        <w:rPr>
          <w:rFonts w:ascii="Century Gothic" w:hAnsi="Century Gothic"/>
          <w:b/>
          <w:bCs/>
          <w:sz w:val="24"/>
          <w:szCs w:val="24"/>
        </w:rPr>
      </w:pPr>
      <w:r w:rsidRPr="00F3372E">
        <w:rPr>
          <w:rFonts w:ascii="Century Gothic" w:hAnsi="Century Gothic"/>
          <w:b/>
          <w:bCs/>
          <w:sz w:val="24"/>
          <w:szCs w:val="24"/>
        </w:rPr>
        <w:t xml:space="preserve">How Power </w:t>
      </w:r>
      <w:r w:rsidR="00E91D14" w:rsidRPr="00F3372E">
        <w:rPr>
          <w:rFonts w:ascii="Century Gothic" w:hAnsi="Century Gothic"/>
          <w:b/>
          <w:bCs/>
          <w:sz w:val="24"/>
          <w:szCs w:val="24"/>
        </w:rPr>
        <w:t>i</w:t>
      </w:r>
      <w:r w:rsidRPr="00F3372E">
        <w:rPr>
          <w:rFonts w:ascii="Century Gothic" w:hAnsi="Century Gothic"/>
          <w:b/>
          <w:bCs/>
          <w:sz w:val="24"/>
          <w:szCs w:val="24"/>
        </w:rPr>
        <w:t xml:space="preserve">s Created </w:t>
      </w:r>
      <w:r w:rsidR="00E91D14" w:rsidRPr="00F3372E">
        <w:rPr>
          <w:rFonts w:ascii="Century Gothic" w:hAnsi="Century Gothic"/>
          <w:b/>
          <w:bCs/>
          <w:sz w:val="24"/>
          <w:szCs w:val="24"/>
        </w:rPr>
        <w:t>a</w:t>
      </w:r>
      <w:r w:rsidRPr="00F3372E">
        <w:rPr>
          <w:rFonts w:ascii="Century Gothic" w:hAnsi="Century Gothic"/>
          <w:b/>
          <w:bCs/>
          <w:sz w:val="24"/>
          <w:szCs w:val="24"/>
        </w:rPr>
        <w:t>nd Used</w:t>
      </w:r>
      <w:r w:rsidR="00371858" w:rsidRPr="00F3372E">
        <w:rPr>
          <w:rFonts w:ascii="Century Gothic" w:hAnsi="Century Gothic"/>
          <w:b/>
          <w:bCs/>
          <w:sz w:val="24"/>
          <w:szCs w:val="24"/>
        </w:rPr>
        <w:t xml:space="preserve">: </w:t>
      </w:r>
      <w:r w:rsidR="007D2F91" w:rsidRPr="00F3372E">
        <w:rPr>
          <w:rFonts w:ascii="Century Gothic" w:hAnsi="Century Gothic"/>
          <w:b/>
          <w:bCs/>
          <w:sz w:val="24"/>
          <w:szCs w:val="24"/>
        </w:rPr>
        <w:t xml:space="preserve">Egalitarian </w:t>
      </w:r>
      <w:r w:rsidR="00494199" w:rsidRPr="00F3372E">
        <w:rPr>
          <w:rFonts w:ascii="Century Gothic" w:hAnsi="Century Gothic"/>
          <w:b/>
          <w:bCs/>
          <w:sz w:val="24"/>
          <w:szCs w:val="24"/>
        </w:rPr>
        <w:t>S</w:t>
      </w:r>
      <w:r w:rsidR="007D2F91" w:rsidRPr="00F3372E">
        <w:rPr>
          <w:rFonts w:ascii="Century Gothic" w:hAnsi="Century Gothic"/>
          <w:b/>
          <w:bCs/>
          <w:sz w:val="24"/>
          <w:szCs w:val="24"/>
        </w:rPr>
        <w:t>ocieties and</w:t>
      </w:r>
      <w:r w:rsidR="00494199" w:rsidRPr="00F3372E">
        <w:rPr>
          <w:rFonts w:ascii="Century Gothic" w:hAnsi="Century Gothic"/>
          <w:b/>
          <w:bCs/>
          <w:sz w:val="24"/>
          <w:szCs w:val="24"/>
        </w:rPr>
        <w:t xml:space="preserve"> </w:t>
      </w:r>
      <w:r w:rsidR="00020887" w:rsidRPr="00F3372E">
        <w:rPr>
          <w:rFonts w:ascii="Century Gothic" w:hAnsi="Century Gothic"/>
          <w:b/>
          <w:bCs/>
          <w:sz w:val="24"/>
          <w:szCs w:val="24"/>
        </w:rPr>
        <w:t>Emerging Royalty</w:t>
      </w:r>
    </w:p>
    <w:p w14:paraId="3415D4CF" w14:textId="25AB1009" w:rsidR="005B0B23" w:rsidRPr="00A166EA" w:rsidRDefault="007A1A3A">
      <w:pPr>
        <w:rPr>
          <w:rFonts w:ascii="Century Gothic" w:hAnsi="Century Gothic"/>
          <w:sz w:val="18"/>
          <w:szCs w:val="18"/>
        </w:rPr>
      </w:pPr>
      <w:r w:rsidRPr="002A75EA">
        <w:rPr>
          <w:rFonts w:ascii="Century Gothic" w:hAnsi="Century Gothic"/>
          <w:sz w:val="18"/>
          <w:szCs w:val="18"/>
        </w:rPr>
        <w:t xml:space="preserve">Note: The Ju/’hoansi are referred to as such because it is how they are </w:t>
      </w:r>
      <w:r w:rsidR="005232FC" w:rsidRPr="002A75EA">
        <w:rPr>
          <w:rFonts w:ascii="Century Gothic" w:hAnsi="Century Gothic"/>
          <w:sz w:val="18"/>
          <w:szCs w:val="18"/>
        </w:rPr>
        <w:t xml:space="preserve">referred to in one of my main sources: “The </w:t>
      </w:r>
      <w:proofErr w:type="spellStart"/>
      <w:r w:rsidR="005232FC" w:rsidRPr="002A75EA">
        <w:rPr>
          <w:rFonts w:ascii="Century Gothic" w:hAnsi="Century Gothic"/>
          <w:sz w:val="18"/>
          <w:szCs w:val="18"/>
        </w:rPr>
        <w:t>Dobe</w:t>
      </w:r>
      <w:proofErr w:type="spellEnd"/>
      <w:r w:rsidR="005232FC" w:rsidRPr="002A75EA">
        <w:rPr>
          <w:rFonts w:ascii="Century Gothic" w:hAnsi="Century Gothic"/>
          <w:sz w:val="18"/>
          <w:szCs w:val="18"/>
        </w:rPr>
        <w:t xml:space="preserve"> Ju/’hoansi” by Richard Lee</w:t>
      </w:r>
      <w:sdt>
        <w:sdtPr>
          <w:rPr>
            <w:rFonts w:ascii="Century Gothic" w:hAnsi="Century Gothic"/>
            <w:sz w:val="18"/>
            <w:szCs w:val="18"/>
          </w:rPr>
          <w:id w:val="-7144276"/>
          <w:citation/>
        </w:sdtPr>
        <w:sdtEndPr/>
        <w:sdtContent>
          <w:r w:rsidR="005232FC" w:rsidRPr="002A75EA">
            <w:rPr>
              <w:rFonts w:ascii="Century Gothic" w:hAnsi="Century Gothic"/>
              <w:sz w:val="18"/>
              <w:szCs w:val="18"/>
            </w:rPr>
            <w:fldChar w:fldCharType="begin"/>
          </w:r>
          <w:r w:rsidR="005232FC" w:rsidRPr="002A75EA">
            <w:rPr>
              <w:rFonts w:ascii="Century Gothic" w:hAnsi="Century Gothic"/>
              <w:sz w:val="18"/>
              <w:szCs w:val="18"/>
            </w:rPr>
            <w:instrText xml:space="preserve"> CITATION Ric13 \l 2057 </w:instrText>
          </w:r>
          <w:r w:rsidR="005232FC" w:rsidRPr="002A75EA">
            <w:rPr>
              <w:rFonts w:ascii="Century Gothic" w:hAnsi="Century Gothic"/>
              <w:sz w:val="18"/>
              <w:szCs w:val="18"/>
            </w:rPr>
            <w:fldChar w:fldCharType="separate"/>
          </w:r>
          <w:r w:rsidR="005232FC" w:rsidRPr="002A75EA">
            <w:rPr>
              <w:rFonts w:ascii="Century Gothic" w:hAnsi="Century Gothic"/>
              <w:noProof/>
              <w:sz w:val="18"/>
              <w:szCs w:val="18"/>
            </w:rPr>
            <w:t xml:space="preserve"> (Lee, 2013)</w:t>
          </w:r>
          <w:r w:rsidR="005232FC" w:rsidRPr="002A75EA">
            <w:rPr>
              <w:rFonts w:ascii="Century Gothic" w:hAnsi="Century Gothic"/>
              <w:sz w:val="18"/>
              <w:szCs w:val="18"/>
            </w:rPr>
            <w:fldChar w:fldCharType="end"/>
          </w:r>
        </w:sdtContent>
      </w:sdt>
      <w:r w:rsidR="005232FC" w:rsidRPr="002A75EA">
        <w:rPr>
          <w:rFonts w:ascii="Century Gothic" w:hAnsi="Century Gothic"/>
          <w:sz w:val="18"/>
          <w:szCs w:val="18"/>
        </w:rPr>
        <w:t xml:space="preserve">. In other sources they were referred to as </w:t>
      </w:r>
      <w:proofErr w:type="gramStart"/>
      <w:r w:rsidR="00752760">
        <w:rPr>
          <w:rFonts w:ascii="Century Gothic" w:hAnsi="Century Gothic"/>
          <w:sz w:val="18"/>
          <w:szCs w:val="18"/>
        </w:rPr>
        <w:t>t</w:t>
      </w:r>
      <w:r w:rsidR="005232FC" w:rsidRPr="002A75EA">
        <w:rPr>
          <w:rFonts w:ascii="Century Gothic" w:hAnsi="Century Gothic"/>
          <w:sz w:val="18"/>
          <w:szCs w:val="18"/>
        </w:rPr>
        <w:t>he !Kung</w:t>
      </w:r>
      <w:proofErr w:type="gramEnd"/>
      <w:r w:rsidR="005232FC" w:rsidRPr="002A75EA">
        <w:rPr>
          <w:rFonts w:ascii="Century Gothic" w:hAnsi="Century Gothic"/>
          <w:sz w:val="18"/>
          <w:szCs w:val="18"/>
        </w:rPr>
        <w:t xml:space="preserve"> or the Khoisan</w:t>
      </w:r>
      <w:r w:rsidR="002A75EA" w:rsidRPr="002A75EA">
        <w:rPr>
          <w:rFonts w:ascii="Century Gothic" w:hAnsi="Century Gothic"/>
          <w:sz w:val="18"/>
          <w:szCs w:val="18"/>
        </w:rPr>
        <w:t xml:space="preserve"> too. </w:t>
      </w:r>
    </w:p>
    <w:p w14:paraId="6E3F935C" w14:textId="6E32F60A" w:rsidR="007A1A3A" w:rsidRPr="002A75EA" w:rsidRDefault="002A75EA">
      <w:pPr>
        <w:rPr>
          <w:rFonts w:ascii="Century Gothic" w:hAnsi="Century Gothic"/>
          <w:b/>
          <w:bCs/>
        </w:rPr>
      </w:pPr>
      <w:r w:rsidRPr="002A75EA">
        <w:rPr>
          <w:rFonts w:ascii="Century Gothic" w:hAnsi="Century Gothic"/>
          <w:b/>
          <w:bCs/>
        </w:rPr>
        <w:t>Introduction</w:t>
      </w:r>
    </w:p>
    <w:p w14:paraId="7B266705" w14:textId="4FAD10FD" w:rsidR="00E91D14" w:rsidRDefault="004C52AF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Power is defined as “the ability to control people or events” </w:t>
      </w:r>
      <w:sdt>
        <w:sdtPr>
          <w:rPr>
            <w:rFonts w:ascii="Century Gothic" w:hAnsi="Century Gothic"/>
          </w:rPr>
          <w:id w:val="-2106254939"/>
          <w:citation/>
        </w:sdtPr>
        <w:sdtEndPr/>
        <w:sdtContent>
          <w:r>
            <w:rPr>
              <w:rFonts w:ascii="Century Gothic" w:hAnsi="Century Gothic"/>
            </w:rPr>
            <w:fldChar w:fldCharType="begin"/>
          </w:r>
          <w:r w:rsidR="00DF3999">
            <w:rPr>
              <w:rFonts w:ascii="Century Gothic" w:hAnsi="Century Gothic"/>
            </w:rPr>
            <w:instrText xml:space="preserve">CITATION Cam \l 2057 </w:instrText>
          </w:r>
          <w:r>
            <w:rPr>
              <w:rFonts w:ascii="Century Gothic" w:hAnsi="Century Gothic"/>
            </w:rPr>
            <w:fldChar w:fldCharType="separate"/>
          </w:r>
          <w:r w:rsidR="00DF3999" w:rsidRPr="00DF3999">
            <w:rPr>
              <w:rFonts w:ascii="Century Gothic" w:hAnsi="Century Gothic"/>
              <w:noProof/>
            </w:rPr>
            <w:t>(Cambridge Dictionary, n.d.)</w:t>
          </w:r>
          <w:r>
            <w:rPr>
              <w:rFonts w:ascii="Century Gothic" w:hAnsi="Century Gothic"/>
            </w:rPr>
            <w:fldChar w:fldCharType="end"/>
          </w:r>
        </w:sdtContent>
      </w:sdt>
      <w:r w:rsidR="00852569">
        <w:rPr>
          <w:rFonts w:ascii="Century Gothic" w:hAnsi="Century Gothic"/>
        </w:rPr>
        <w:t xml:space="preserve">. Authority of this sort is, according to Malinowski, “the very essence of </w:t>
      </w:r>
      <w:r w:rsidR="00360C6D">
        <w:rPr>
          <w:rFonts w:ascii="Century Gothic" w:hAnsi="Century Gothic"/>
        </w:rPr>
        <w:t xml:space="preserve">social </w:t>
      </w:r>
      <w:r w:rsidR="00852569">
        <w:rPr>
          <w:rFonts w:ascii="Century Gothic" w:hAnsi="Century Gothic"/>
        </w:rPr>
        <w:t xml:space="preserve">organisation” </w:t>
      </w:r>
      <w:sdt>
        <w:sdtPr>
          <w:rPr>
            <w:rFonts w:ascii="Century Gothic" w:hAnsi="Century Gothic"/>
          </w:rPr>
          <w:id w:val="987288670"/>
          <w:citation/>
        </w:sdtPr>
        <w:sdtEndPr/>
        <w:sdtContent>
          <w:r w:rsidR="00852569">
            <w:rPr>
              <w:rFonts w:ascii="Century Gothic" w:hAnsi="Century Gothic"/>
            </w:rPr>
            <w:fldChar w:fldCharType="begin"/>
          </w:r>
          <w:r w:rsidR="00852569">
            <w:rPr>
              <w:rFonts w:ascii="Century Gothic" w:hAnsi="Century Gothic"/>
            </w:rPr>
            <w:instrText xml:space="preserve"> CITATION Jam82 \l 2057 </w:instrText>
          </w:r>
          <w:r w:rsidR="00852569">
            <w:rPr>
              <w:rFonts w:ascii="Century Gothic" w:hAnsi="Century Gothic"/>
            </w:rPr>
            <w:fldChar w:fldCharType="separate"/>
          </w:r>
          <w:r w:rsidR="009D530A" w:rsidRPr="009D530A">
            <w:rPr>
              <w:rFonts w:ascii="Century Gothic" w:hAnsi="Century Gothic"/>
              <w:noProof/>
            </w:rPr>
            <w:t>(Woodburn, 1982)</w:t>
          </w:r>
          <w:r w:rsidR="00852569">
            <w:rPr>
              <w:rFonts w:ascii="Century Gothic" w:hAnsi="Century Gothic"/>
            </w:rPr>
            <w:fldChar w:fldCharType="end"/>
          </w:r>
        </w:sdtContent>
      </w:sdt>
      <w:r w:rsidR="00052FD8">
        <w:rPr>
          <w:rFonts w:ascii="Century Gothic" w:hAnsi="Century Gothic"/>
        </w:rPr>
        <w:t>, which is perhaps why it</w:t>
      </w:r>
      <w:r w:rsidR="008013EE">
        <w:rPr>
          <w:rFonts w:ascii="Century Gothic" w:hAnsi="Century Gothic"/>
        </w:rPr>
        <w:t xml:space="preserve"> has been studied by many anthropologists through time</w:t>
      </w:r>
      <w:r w:rsidR="00052FD8">
        <w:rPr>
          <w:rFonts w:ascii="Century Gothic" w:hAnsi="Century Gothic"/>
        </w:rPr>
        <w:t xml:space="preserve">. </w:t>
      </w:r>
      <w:r>
        <w:rPr>
          <w:rFonts w:ascii="Century Gothic" w:hAnsi="Century Gothic"/>
        </w:rPr>
        <w:t xml:space="preserve">This essay will present ideas on power structures in </w:t>
      </w:r>
      <w:r w:rsidR="00E91D14">
        <w:rPr>
          <w:rFonts w:ascii="Century Gothic" w:hAnsi="Century Gothic"/>
        </w:rPr>
        <w:t>egalitarian societies such as the Ju/</w:t>
      </w:r>
      <w:r w:rsidR="007A1A3A">
        <w:rPr>
          <w:rFonts w:ascii="Century Gothic" w:hAnsi="Century Gothic"/>
        </w:rPr>
        <w:t>’</w:t>
      </w:r>
      <w:r w:rsidR="00E91D14">
        <w:rPr>
          <w:rFonts w:ascii="Century Gothic" w:hAnsi="Century Gothic"/>
        </w:rPr>
        <w:t>hoansi</w:t>
      </w:r>
      <w:r w:rsidR="00052FD8">
        <w:rPr>
          <w:rFonts w:ascii="Century Gothic" w:hAnsi="Century Gothic"/>
        </w:rPr>
        <w:t xml:space="preserve"> and the Mbuti</w:t>
      </w:r>
      <w:r w:rsidR="00E91D14">
        <w:rPr>
          <w:rFonts w:ascii="Century Gothic" w:hAnsi="Century Gothic"/>
        </w:rPr>
        <w:t>, with reference to levelling mechanisms and concepts of ownership</w:t>
      </w:r>
      <w:r w:rsidR="00D841B2">
        <w:rPr>
          <w:rFonts w:ascii="Century Gothic" w:hAnsi="Century Gothic"/>
        </w:rPr>
        <w:t xml:space="preserve">. </w:t>
      </w:r>
      <w:r w:rsidR="00052FD8">
        <w:rPr>
          <w:rFonts w:ascii="Century Gothic" w:hAnsi="Century Gothic"/>
        </w:rPr>
        <w:t xml:space="preserve">Following this, we will explore </w:t>
      </w:r>
      <w:r w:rsidR="00E91D14">
        <w:rPr>
          <w:rFonts w:ascii="Century Gothic" w:hAnsi="Century Gothic"/>
        </w:rPr>
        <w:t>the emergence of kingship and royalty in hierarchical societies</w:t>
      </w:r>
      <w:r w:rsidR="00052FD8">
        <w:rPr>
          <w:rFonts w:ascii="Century Gothic" w:hAnsi="Century Gothic"/>
        </w:rPr>
        <w:t xml:space="preserve">, as some groups began to shift from hunter-gather and forager ways of living to horticulture and farming </w:t>
      </w:r>
      <w:sdt>
        <w:sdtPr>
          <w:rPr>
            <w:rFonts w:ascii="Century Gothic" w:hAnsi="Century Gothic"/>
          </w:rPr>
          <w:id w:val="490529236"/>
          <w:citation/>
        </w:sdtPr>
        <w:sdtEndPr/>
        <w:sdtContent>
          <w:r w:rsidR="00052FD8">
            <w:rPr>
              <w:rFonts w:ascii="Century Gothic" w:hAnsi="Century Gothic"/>
            </w:rPr>
            <w:fldChar w:fldCharType="begin"/>
          </w:r>
          <w:r w:rsidR="00052FD8">
            <w:rPr>
              <w:rFonts w:ascii="Century Gothic" w:hAnsi="Century Gothic"/>
            </w:rPr>
            <w:instrText xml:space="preserve"> CITATION Jar87 \l 2057 </w:instrText>
          </w:r>
          <w:r w:rsidR="00052FD8">
            <w:rPr>
              <w:rFonts w:ascii="Century Gothic" w:hAnsi="Century Gothic"/>
            </w:rPr>
            <w:fldChar w:fldCharType="separate"/>
          </w:r>
          <w:r w:rsidR="009D530A" w:rsidRPr="009D530A">
            <w:rPr>
              <w:rFonts w:ascii="Century Gothic" w:hAnsi="Century Gothic"/>
              <w:noProof/>
            </w:rPr>
            <w:t>(Diamond, 1987)</w:t>
          </w:r>
          <w:r w:rsidR="00052FD8">
            <w:rPr>
              <w:rFonts w:ascii="Century Gothic" w:hAnsi="Century Gothic"/>
            </w:rPr>
            <w:fldChar w:fldCharType="end"/>
          </w:r>
        </w:sdtContent>
      </w:sdt>
      <w:r w:rsidR="00052FD8">
        <w:rPr>
          <w:rFonts w:ascii="Century Gothic" w:hAnsi="Century Gothic"/>
        </w:rPr>
        <w:t>.</w:t>
      </w:r>
      <w:r w:rsidR="00744BAD">
        <w:rPr>
          <w:rFonts w:ascii="Century Gothic" w:hAnsi="Century Gothic"/>
        </w:rPr>
        <w:t xml:space="preserve"> B</w:t>
      </w:r>
      <w:r w:rsidR="00FA2328">
        <w:rPr>
          <w:rFonts w:ascii="Century Gothic" w:hAnsi="Century Gothic"/>
        </w:rPr>
        <w:t>elief systems</w:t>
      </w:r>
      <w:r w:rsidR="00744BAD">
        <w:rPr>
          <w:rFonts w:ascii="Century Gothic" w:hAnsi="Century Gothic"/>
        </w:rPr>
        <w:t xml:space="preserve"> and practices</w:t>
      </w:r>
      <w:r w:rsidR="00FA2328">
        <w:rPr>
          <w:rFonts w:ascii="Century Gothic" w:hAnsi="Century Gothic"/>
        </w:rPr>
        <w:t xml:space="preserve"> influence power and governance in </w:t>
      </w:r>
      <w:r w:rsidR="00003BCA">
        <w:rPr>
          <w:rFonts w:ascii="Century Gothic" w:hAnsi="Century Gothic"/>
        </w:rPr>
        <w:t xml:space="preserve">such </w:t>
      </w:r>
      <w:r w:rsidR="00FA2328">
        <w:rPr>
          <w:rFonts w:ascii="Century Gothic" w:hAnsi="Century Gothic"/>
        </w:rPr>
        <w:t xml:space="preserve">societies and it has particular impact on the creation of power and how it is controlled and used. </w:t>
      </w:r>
    </w:p>
    <w:p w14:paraId="057E8CE5" w14:textId="62EFCDEF" w:rsidR="00E91D14" w:rsidRPr="00A3075A" w:rsidRDefault="00E91D14">
      <w:pPr>
        <w:rPr>
          <w:rFonts w:ascii="Century Gothic" w:hAnsi="Century Gothic"/>
          <w:b/>
          <w:bCs/>
        </w:rPr>
      </w:pPr>
    </w:p>
    <w:p w14:paraId="112E48FA" w14:textId="27499F2F" w:rsidR="00A3075A" w:rsidRPr="005B0B23" w:rsidRDefault="00E91D14">
      <w:pPr>
        <w:rPr>
          <w:rFonts w:ascii="Century Gothic" w:hAnsi="Century Gothic"/>
          <w:b/>
          <w:bCs/>
        </w:rPr>
      </w:pPr>
      <w:r w:rsidRPr="00A3075A">
        <w:rPr>
          <w:rFonts w:ascii="Century Gothic" w:hAnsi="Century Gothic"/>
          <w:b/>
          <w:bCs/>
        </w:rPr>
        <w:t>Egalitarian Societies</w:t>
      </w:r>
      <w:r w:rsidR="00A3075A" w:rsidRPr="00A3075A">
        <w:rPr>
          <w:rFonts w:ascii="Century Gothic" w:hAnsi="Century Gothic"/>
          <w:b/>
          <w:bCs/>
        </w:rPr>
        <w:t>,</w:t>
      </w:r>
      <w:r w:rsidR="006D37CA" w:rsidRPr="00A3075A">
        <w:rPr>
          <w:rFonts w:ascii="Century Gothic" w:hAnsi="Century Gothic"/>
          <w:b/>
          <w:bCs/>
        </w:rPr>
        <w:t xml:space="preserve"> Levelling Mechanisms </w:t>
      </w:r>
      <w:r w:rsidR="00A3075A" w:rsidRPr="00A3075A">
        <w:rPr>
          <w:rFonts w:ascii="Century Gothic" w:hAnsi="Century Gothic"/>
          <w:b/>
          <w:bCs/>
        </w:rPr>
        <w:t>and the Concept of Ownership</w:t>
      </w:r>
    </w:p>
    <w:p w14:paraId="5B3BD031" w14:textId="44533480" w:rsidR="000371CE" w:rsidRDefault="00440216" w:rsidP="000371CE">
      <w:pPr>
        <w:rPr>
          <w:rFonts w:ascii="Century Gothic" w:hAnsi="Century Gothic"/>
        </w:rPr>
      </w:pPr>
      <w:r>
        <w:rPr>
          <w:rFonts w:ascii="Century Gothic" w:hAnsi="Century Gothic"/>
        </w:rPr>
        <w:t>The Ju/</w:t>
      </w:r>
      <w:r w:rsidR="007A1A3A">
        <w:rPr>
          <w:rFonts w:ascii="Century Gothic" w:hAnsi="Century Gothic"/>
        </w:rPr>
        <w:t>’</w:t>
      </w:r>
      <w:r>
        <w:rPr>
          <w:rFonts w:ascii="Century Gothic" w:hAnsi="Century Gothic"/>
        </w:rPr>
        <w:t xml:space="preserve">hoansi </w:t>
      </w:r>
      <w:r w:rsidR="00E6136D">
        <w:rPr>
          <w:rFonts w:ascii="Century Gothic" w:hAnsi="Century Gothic"/>
        </w:rPr>
        <w:t xml:space="preserve">are an egalitarian group who live in the Kalahari </w:t>
      </w:r>
      <w:r w:rsidR="005B0B23">
        <w:rPr>
          <w:rFonts w:ascii="Century Gothic" w:hAnsi="Century Gothic"/>
        </w:rPr>
        <w:t>D</w:t>
      </w:r>
      <w:r w:rsidR="00E6136D">
        <w:rPr>
          <w:rFonts w:ascii="Century Gothic" w:hAnsi="Century Gothic"/>
        </w:rPr>
        <w:t>esert</w:t>
      </w:r>
      <w:r w:rsidR="00FB0E2B">
        <w:rPr>
          <w:rFonts w:ascii="Century Gothic" w:hAnsi="Century Gothic"/>
        </w:rPr>
        <w:t xml:space="preserve"> of Namibia and Botswana in southern Africa</w:t>
      </w:r>
      <w:r w:rsidR="00180119">
        <w:rPr>
          <w:rFonts w:ascii="Century Gothic" w:hAnsi="Century Gothic"/>
        </w:rPr>
        <w:t xml:space="preserve">. An acephalous </w:t>
      </w:r>
      <w:r w:rsidR="00632ADE">
        <w:rPr>
          <w:rFonts w:ascii="Century Gothic" w:hAnsi="Century Gothic"/>
        </w:rPr>
        <w:t>group, they display no signs of specialisation, with group decisions instead being reached by discussion and consensus agreement</w:t>
      </w:r>
      <w:r w:rsidR="006802A3">
        <w:rPr>
          <w:rFonts w:ascii="Century Gothic" w:hAnsi="Century Gothic"/>
        </w:rPr>
        <w:t xml:space="preserve"> (this was disputed by Marshall, but Lee finds no evidence of </w:t>
      </w:r>
      <w:r w:rsidR="00640972">
        <w:rPr>
          <w:rFonts w:ascii="Century Gothic" w:hAnsi="Century Gothic"/>
        </w:rPr>
        <w:t>leadership within the group</w:t>
      </w:r>
      <w:r w:rsidR="00C36D5D">
        <w:rPr>
          <w:rFonts w:ascii="Century Gothic" w:hAnsi="Century Gothic"/>
        </w:rPr>
        <w:t>s indigenous political struct</w:t>
      </w:r>
      <w:r w:rsidR="00940BC9">
        <w:rPr>
          <w:rFonts w:ascii="Century Gothic" w:hAnsi="Century Gothic"/>
        </w:rPr>
        <w:t xml:space="preserve">ure, instead a neighbouring </w:t>
      </w:r>
      <w:r w:rsidR="0045140A">
        <w:rPr>
          <w:rFonts w:ascii="Century Gothic" w:hAnsi="Century Gothic"/>
        </w:rPr>
        <w:t xml:space="preserve">group called one individual chief </w:t>
      </w:r>
      <w:r w:rsidR="000371CE">
        <w:rPr>
          <w:rFonts w:ascii="Century Gothic" w:hAnsi="Century Gothic"/>
        </w:rPr>
        <w:t>al</w:t>
      </w:r>
      <w:r w:rsidR="00AC25DA">
        <w:rPr>
          <w:rFonts w:ascii="Century Gothic" w:hAnsi="Century Gothic"/>
        </w:rPr>
        <w:t xml:space="preserve">though “no </w:t>
      </w:r>
      <w:r w:rsidR="009D548E">
        <w:rPr>
          <w:rFonts w:ascii="Century Gothic" w:hAnsi="Century Gothic"/>
        </w:rPr>
        <w:t>Ju/’hoan person recognises” this)</w:t>
      </w:r>
      <w:r w:rsidR="00CC1C60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992516981"/>
          <w:citation/>
        </w:sdtPr>
        <w:sdtEndPr/>
        <w:sdtContent>
          <w:r w:rsidR="00CC1C60">
            <w:rPr>
              <w:rFonts w:ascii="Century Gothic" w:hAnsi="Century Gothic"/>
            </w:rPr>
            <w:fldChar w:fldCharType="begin"/>
          </w:r>
          <w:r w:rsidR="00E57D81">
            <w:rPr>
              <w:rFonts w:ascii="Century Gothic" w:hAnsi="Century Gothic"/>
            </w:rPr>
            <w:instrText xml:space="preserve">CITATION Ric13 \l 2057 </w:instrText>
          </w:r>
          <w:r w:rsidR="00CC1C60">
            <w:rPr>
              <w:rFonts w:ascii="Century Gothic" w:hAnsi="Century Gothic"/>
            </w:rPr>
            <w:fldChar w:fldCharType="separate"/>
          </w:r>
          <w:r w:rsidR="00E57D81" w:rsidRPr="00E57D81">
            <w:rPr>
              <w:rFonts w:ascii="Century Gothic" w:hAnsi="Century Gothic"/>
              <w:noProof/>
            </w:rPr>
            <w:t>(Lee, 2013)</w:t>
          </w:r>
          <w:r w:rsidR="00CC1C60">
            <w:rPr>
              <w:rFonts w:ascii="Century Gothic" w:hAnsi="Century Gothic"/>
            </w:rPr>
            <w:fldChar w:fldCharType="end"/>
          </w:r>
        </w:sdtContent>
      </w:sdt>
      <w:r w:rsidR="00A0532B">
        <w:rPr>
          <w:rFonts w:ascii="Century Gothic" w:hAnsi="Century Gothic"/>
        </w:rPr>
        <w:t xml:space="preserve">. </w:t>
      </w:r>
      <w:r w:rsidR="00E9239F">
        <w:rPr>
          <w:rFonts w:ascii="Century Gothic" w:hAnsi="Century Gothic"/>
        </w:rPr>
        <w:t xml:space="preserve">Power </w:t>
      </w:r>
      <w:r w:rsidR="00495382">
        <w:rPr>
          <w:rFonts w:ascii="Century Gothic" w:hAnsi="Century Gothic"/>
        </w:rPr>
        <w:t xml:space="preserve">is not </w:t>
      </w:r>
      <w:r w:rsidR="005561B3">
        <w:rPr>
          <w:rFonts w:ascii="Century Gothic" w:hAnsi="Century Gothic"/>
        </w:rPr>
        <w:t>held by</w:t>
      </w:r>
      <w:r w:rsidR="00495382">
        <w:rPr>
          <w:rFonts w:ascii="Century Gothic" w:hAnsi="Century Gothic"/>
        </w:rPr>
        <w:t xml:space="preserve"> one person, with each person instead being “headman over himself” </w:t>
      </w:r>
      <w:sdt>
        <w:sdtPr>
          <w:rPr>
            <w:rFonts w:ascii="Century Gothic" w:hAnsi="Century Gothic"/>
          </w:rPr>
          <w:id w:val="-1854102451"/>
          <w:citation/>
        </w:sdtPr>
        <w:sdtEndPr/>
        <w:sdtContent>
          <w:r w:rsidR="00495382">
            <w:rPr>
              <w:rFonts w:ascii="Century Gothic" w:hAnsi="Century Gothic"/>
            </w:rPr>
            <w:fldChar w:fldCharType="begin"/>
          </w:r>
          <w:r w:rsidR="00495382">
            <w:rPr>
              <w:rFonts w:ascii="Century Gothic" w:hAnsi="Century Gothic"/>
            </w:rPr>
            <w:instrText xml:space="preserve"> CITATION Ric13 \l 2057 </w:instrText>
          </w:r>
          <w:r w:rsidR="00495382">
            <w:rPr>
              <w:rFonts w:ascii="Century Gothic" w:hAnsi="Century Gothic"/>
            </w:rPr>
            <w:fldChar w:fldCharType="separate"/>
          </w:r>
          <w:r w:rsidR="00495382" w:rsidRPr="00495382">
            <w:rPr>
              <w:rFonts w:ascii="Century Gothic" w:hAnsi="Century Gothic"/>
              <w:noProof/>
            </w:rPr>
            <w:t>(Lee, 2013)</w:t>
          </w:r>
          <w:r w:rsidR="00495382">
            <w:rPr>
              <w:rFonts w:ascii="Century Gothic" w:hAnsi="Century Gothic"/>
            </w:rPr>
            <w:fldChar w:fldCharType="end"/>
          </w:r>
        </w:sdtContent>
      </w:sdt>
      <w:r w:rsidR="00495382">
        <w:rPr>
          <w:rFonts w:ascii="Century Gothic" w:hAnsi="Century Gothic"/>
        </w:rPr>
        <w:t>.</w:t>
      </w:r>
    </w:p>
    <w:p w14:paraId="2C904EA6" w14:textId="65F7A035" w:rsidR="000B6D7A" w:rsidRDefault="00E21F42">
      <w:pPr>
        <w:rPr>
          <w:rFonts w:ascii="Century Gothic" w:hAnsi="Century Gothic"/>
        </w:rPr>
      </w:pPr>
      <w:r>
        <w:rPr>
          <w:rFonts w:ascii="Century Gothic" w:hAnsi="Century Gothic"/>
        </w:rPr>
        <w:t>To maintain equality among</w:t>
      </w:r>
      <w:r w:rsidR="00BF5C6D">
        <w:rPr>
          <w:rFonts w:ascii="Century Gothic" w:hAnsi="Century Gothic"/>
        </w:rPr>
        <w:t xml:space="preserve">st its people, the </w:t>
      </w:r>
      <w:r w:rsidR="000371CE">
        <w:rPr>
          <w:rFonts w:ascii="Century Gothic" w:hAnsi="Century Gothic"/>
        </w:rPr>
        <w:t>Ju/</w:t>
      </w:r>
      <w:r w:rsidR="005B0B23">
        <w:rPr>
          <w:rFonts w:ascii="Century Gothic" w:hAnsi="Century Gothic"/>
        </w:rPr>
        <w:t>’</w:t>
      </w:r>
      <w:r w:rsidR="000371CE">
        <w:rPr>
          <w:rFonts w:ascii="Century Gothic" w:hAnsi="Century Gothic"/>
        </w:rPr>
        <w:t xml:space="preserve">hoansi </w:t>
      </w:r>
      <w:r w:rsidR="00BF5C6D">
        <w:rPr>
          <w:rFonts w:ascii="Century Gothic" w:hAnsi="Century Gothic"/>
        </w:rPr>
        <w:t>employ many levelling mechanisms such as ‘</w:t>
      </w:r>
      <w:r w:rsidR="000371CE">
        <w:rPr>
          <w:rFonts w:ascii="Century Gothic" w:hAnsi="Century Gothic"/>
        </w:rPr>
        <w:t>Insulting the meat</w:t>
      </w:r>
      <w:r w:rsidR="00BF5C6D">
        <w:rPr>
          <w:rFonts w:ascii="Century Gothic" w:hAnsi="Century Gothic"/>
        </w:rPr>
        <w:t>’</w:t>
      </w:r>
      <w:r w:rsidR="00E274B8">
        <w:rPr>
          <w:rFonts w:ascii="Century Gothic" w:hAnsi="Century Gothic"/>
        </w:rPr>
        <w:t xml:space="preserve"> – the practice of treating meat brought back from a successful hunt with </w:t>
      </w:r>
      <w:r w:rsidR="00F070B7">
        <w:rPr>
          <w:rFonts w:ascii="Century Gothic" w:hAnsi="Century Gothic"/>
        </w:rPr>
        <w:t>contempt</w:t>
      </w:r>
      <w:r w:rsidR="00E8055B">
        <w:rPr>
          <w:rFonts w:ascii="Century Gothic" w:hAnsi="Century Gothic"/>
        </w:rPr>
        <w:t xml:space="preserve"> and disappointment</w:t>
      </w:r>
      <w:r w:rsidR="003C48EF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746606517"/>
          <w:citation/>
        </w:sdtPr>
        <w:sdtEndPr/>
        <w:sdtContent>
          <w:r w:rsidR="003C48EF">
            <w:rPr>
              <w:rFonts w:ascii="Century Gothic" w:hAnsi="Century Gothic"/>
            </w:rPr>
            <w:fldChar w:fldCharType="begin"/>
          </w:r>
          <w:r w:rsidR="00E57D81">
            <w:rPr>
              <w:rFonts w:ascii="Century Gothic" w:hAnsi="Century Gothic"/>
            </w:rPr>
            <w:instrText xml:space="preserve">CITATION Ric13 \l 2057 </w:instrText>
          </w:r>
          <w:r w:rsidR="003C48EF">
            <w:rPr>
              <w:rFonts w:ascii="Century Gothic" w:hAnsi="Century Gothic"/>
            </w:rPr>
            <w:fldChar w:fldCharType="separate"/>
          </w:r>
          <w:r w:rsidR="00E57D81" w:rsidRPr="00E57D81">
            <w:rPr>
              <w:rFonts w:ascii="Century Gothic" w:hAnsi="Century Gothic"/>
              <w:noProof/>
            </w:rPr>
            <w:t>(Lee, 2013)</w:t>
          </w:r>
          <w:r w:rsidR="003C48EF">
            <w:rPr>
              <w:rFonts w:ascii="Century Gothic" w:hAnsi="Century Gothic"/>
            </w:rPr>
            <w:fldChar w:fldCharType="end"/>
          </w:r>
        </w:sdtContent>
      </w:sdt>
      <w:r w:rsidR="003C48EF">
        <w:rPr>
          <w:rFonts w:ascii="Century Gothic" w:hAnsi="Century Gothic"/>
        </w:rPr>
        <w:t>. This encourages modesty and prevents pride or superiority within the group</w:t>
      </w:r>
      <w:sdt>
        <w:sdtPr>
          <w:rPr>
            <w:rFonts w:ascii="Century Gothic" w:hAnsi="Century Gothic"/>
          </w:rPr>
          <w:id w:val="-566950952"/>
          <w:citation/>
        </w:sdtPr>
        <w:sdtEndPr/>
        <w:sdtContent>
          <w:r w:rsidR="00D80C57">
            <w:rPr>
              <w:rFonts w:ascii="Century Gothic" w:hAnsi="Century Gothic"/>
            </w:rPr>
            <w:fldChar w:fldCharType="begin"/>
          </w:r>
          <w:r w:rsidR="00D80C57">
            <w:rPr>
              <w:rFonts w:ascii="Century Gothic" w:hAnsi="Century Gothic"/>
            </w:rPr>
            <w:instrText xml:space="preserve"> CITATION Ric13 \l 2057 </w:instrText>
          </w:r>
          <w:r w:rsidR="00D80C57">
            <w:rPr>
              <w:rFonts w:ascii="Century Gothic" w:hAnsi="Century Gothic"/>
            </w:rPr>
            <w:fldChar w:fldCharType="separate"/>
          </w:r>
          <w:r w:rsidR="00D80C57">
            <w:rPr>
              <w:rFonts w:ascii="Century Gothic" w:hAnsi="Century Gothic"/>
              <w:noProof/>
            </w:rPr>
            <w:t xml:space="preserve"> </w:t>
          </w:r>
          <w:r w:rsidR="00D80C57" w:rsidRPr="00D80C57">
            <w:rPr>
              <w:rFonts w:ascii="Century Gothic" w:hAnsi="Century Gothic"/>
              <w:noProof/>
            </w:rPr>
            <w:t>(Lee, 2013)</w:t>
          </w:r>
          <w:r w:rsidR="00D80C57">
            <w:rPr>
              <w:rFonts w:ascii="Century Gothic" w:hAnsi="Century Gothic"/>
            </w:rPr>
            <w:fldChar w:fldCharType="end"/>
          </w:r>
        </w:sdtContent>
      </w:sdt>
      <w:r w:rsidR="00276B0A">
        <w:rPr>
          <w:rFonts w:ascii="Century Gothic" w:hAnsi="Century Gothic"/>
        </w:rPr>
        <w:t>.</w:t>
      </w:r>
      <w:r w:rsidR="00534ED1">
        <w:rPr>
          <w:rFonts w:ascii="Century Gothic" w:hAnsi="Century Gothic"/>
        </w:rPr>
        <w:t xml:space="preserve"> </w:t>
      </w:r>
      <w:r w:rsidR="000F1F0A">
        <w:rPr>
          <w:rFonts w:ascii="Century Gothic" w:hAnsi="Century Gothic"/>
        </w:rPr>
        <w:t>Tools such as arrows are shared among the group too,</w:t>
      </w:r>
      <w:r w:rsidR="00276B0A">
        <w:rPr>
          <w:rFonts w:ascii="Century Gothic" w:hAnsi="Century Gothic"/>
        </w:rPr>
        <w:t xml:space="preserve"> </w:t>
      </w:r>
      <w:r w:rsidR="00C33DEE">
        <w:rPr>
          <w:rFonts w:ascii="Century Gothic" w:hAnsi="Century Gothic"/>
        </w:rPr>
        <w:t xml:space="preserve">as </w:t>
      </w:r>
      <w:r w:rsidR="00EE59B5">
        <w:rPr>
          <w:rFonts w:ascii="Century Gothic" w:hAnsi="Century Gothic"/>
        </w:rPr>
        <w:t>‘</w:t>
      </w:r>
      <w:r w:rsidR="00C33DEE">
        <w:rPr>
          <w:rFonts w:ascii="Century Gothic" w:hAnsi="Century Gothic"/>
        </w:rPr>
        <w:t>ownership</w:t>
      </w:r>
      <w:r w:rsidR="00EE59B5">
        <w:rPr>
          <w:rFonts w:ascii="Century Gothic" w:hAnsi="Century Gothic"/>
        </w:rPr>
        <w:t>’</w:t>
      </w:r>
      <w:r w:rsidR="00C33DEE">
        <w:rPr>
          <w:rFonts w:ascii="Century Gothic" w:hAnsi="Century Gothic"/>
        </w:rPr>
        <w:t xml:space="preserve"> of the meat goes to the </w:t>
      </w:r>
      <w:r w:rsidR="00EE59B5">
        <w:rPr>
          <w:rFonts w:ascii="Century Gothic" w:hAnsi="Century Gothic"/>
        </w:rPr>
        <w:t>‘</w:t>
      </w:r>
      <w:r w:rsidR="00C33DEE">
        <w:rPr>
          <w:rFonts w:ascii="Century Gothic" w:hAnsi="Century Gothic"/>
        </w:rPr>
        <w:t>owner</w:t>
      </w:r>
      <w:r w:rsidR="00EE59B5">
        <w:rPr>
          <w:rFonts w:ascii="Century Gothic" w:hAnsi="Century Gothic"/>
        </w:rPr>
        <w:t>’</w:t>
      </w:r>
      <w:r w:rsidR="00C33DEE">
        <w:rPr>
          <w:rFonts w:ascii="Century Gothic" w:hAnsi="Century Gothic"/>
        </w:rPr>
        <w:t xml:space="preserve"> of the arrow, who may not be the hunter himself</w:t>
      </w:r>
      <w:r w:rsidR="00F82A06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657332077"/>
          <w:citation/>
        </w:sdtPr>
        <w:sdtEndPr/>
        <w:sdtContent>
          <w:r w:rsidR="00F82A06">
            <w:rPr>
              <w:rFonts w:ascii="Century Gothic" w:hAnsi="Century Gothic"/>
            </w:rPr>
            <w:fldChar w:fldCharType="begin"/>
          </w:r>
          <w:r w:rsidR="00F82A06">
            <w:rPr>
              <w:rFonts w:ascii="Century Gothic" w:hAnsi="Century Gothic"/>
            </w:rPr>
            <w:instrText xml:space="preserve"> CITATION Ric13 \l 2057 </w:instrText>
          </w:r>
          <w:r w:rsidR="00F82A06">
            <w:rPr>
              <w:rFonts w:ascii="Century Gothic" w:hAnsi="Century Gothic"/>
            </w:rPr>
            <w:fldChar w:fldCharType="separate"/>
          </w:r>
          <w:r w:rsidR="00F82A06" w:rsidRPr="00F82A06">
            <w:rPr>
              <w:rFonts w:ascii="Century Gothic" w:hAnsi="Century Gothic"/>
              <w:noProof/>
            </w:rPr>
            <w:t>(Lee, 2013)</w:t>
          </w:r>
          <w:r w:rsidR="00F82A06">
            <w:rPr>
              <w:rFonts w:ascii="Century Gothic" w:hAnsi="Century Gothic"/>
            </w:rPr>
            <w:fldChar w:fldCharType="end"/>
          </w:r>
        </w:sdtContent>
      </w:sdt>
      <w:r w:rsidR="00C33DEE">
        <w:rPr>
          <w:rFonts w:ascii="Century Gothic" w:hAnsi="Century Gothic"/>
        </w:rPr>
        <w:t xml:space="preserve">. </w:t>
      </w:r>
      <w:r w:rsidR="00F7020C">
        <w:rPr>
          <w:rFonts w:ascii="Century Gothic" w:hAnsi="Century Gothic"/>
        </w:rPr>
        <w:t xml:space="preserve">However, the Ju/’hoansi do not have a concept of ownership as we understand it, for them, to own the arrow is to have the </w:t>
      </w:r>
      <w:r w:rsidR="003F50C2">
        <w:rPr>
          <w:rFonts w:ascii="Century Gothic" w:hAnsi="Century Gothic"/>
        </w:rPr>
        <w:t>responsibility of dividing the meat killed with it</w:t>
      </w:r>
      <w:r w:rsidR="000279BF">
        <w:rPr>
          <w:rFonts w:ascii="Century Gothic" w:hAnsi="Century Gothic"/>
        </w:rPr>
        <w:t xml:space="preserve"> – which can bring </w:t>
      </w:r>
      <w:r w:rsidR="00F82A06">
        <w:rPr>
          <w:rFonts w:ascii="Century Gothic" w:hAnsi="Century Gothic"/>
        </w:rPr>
        <w:t>“</w:t>
      </w:r>
      <w:r w:rsidR="000279BF">
        <w:rPr>
          <w:rFonts w:ascii="Century Gothic" w:hAnsi="Century Gothic"/>
        </w:rPr>
        <w:t xml:space="preserve">accusations of </w:t>
      </w:r>
      <w:r w:rsidR="00F82A06">
        <w:rPr>
          <w:rFonts w:ascii="Century Gothic" w:hAnsi="Century Gothic"/>
        </w:rPr>
        <w:t xml:space="preserve">stinginess or improper behaviour” should an individual dislike how it has been shared </w:t>
      </w:r>
      <w:sdt>
        <w:sdtPr>
          <w:rPr>
            <w:rFonts w:ascii="Century Gothic" w:hAnsi="Century Gothic"/>
          </w:rPr>
          <w:id w:val="-2104408452"/>
          <w:citation/>
        </w:sdtPr>
        <w:sdtEndPr/>
        <w:sdtContent>
          <w:r w:rsidR="00F82A06">
            <w:rPr>
              <w:rFonts w:ascii="Century Gothic" w:hAnsi="Century Gothic"/>
            </w:rPr>
            <w:fldChar w:fldCharType="begin"/>
          </w:r>
          <w:r w:rsidR="00F82A06">
            <w:rPr>
              <w:rFonts w:ascii="Century Gothic" w:hAnsi="Century Gothic"/>
            </w:rPr>
            <w:instrText xml:space="preserve"> CITATION Ric13 \l 2057 </w:instrText>
          </w:r>
          <w:r w:rsidR="00F82A06">
            <w:rPr>
              <w:rFonts w:ascii="Century Gothic" w:hAnsi="Century Gothic"/>
            </w:rPr>
            <w:fldChar w:fldCharType="separate"/>
          </w:r>
          <w:r w:rsidR="00F82A06" w:rsidRPr="00F82A06">
            <w:rPr>
              <w:rFonts w:ascii="Century Gothic" w:hAnsi="Century Gothic"/>
              <w:noProof/>
            </w:rPr>
            <w:t>(Lee, 2013)</w:t>
          </w:r>
          <w:r w:rsidR="00F82A06">
            <w:rPr>
              <w:rFonts w:ascii="Century Gothic" w:hAnsi="Century Gothic"/>
            </w:rPr>
            <w:fldChar w:fldCharType="end"/>
          </w:r>
        </w:sdtContent>
      </w:sdt>
      <w:r w:rsidR="00F82A06">
        <w:rPr>
          <w:rFonts w:ascii="Century Gothic" w:hAnsi="Century Gothic"/>
        </w:rPr>
        <w:t xml:space="preserve">. </w:t>
      </w:r>
      <w:r w:rsidR="000B702D">
        <w:rPr>
          <w:rFonts w:ascii="Century Gothic" w:hAnsi="Century Gothic"/>
        </w:rPr>
        <w:t xml:space="preserve">Marshall explains how the society wants to remove </w:t>
      </w:r>
      <w:r w:rsidR="001F1A3D">
        <w:rPr>
          <w:rFonts w:ascii="Century Gothic" w:hAnsi="Century Gothic"/>
        </w:rPr>
        <w:t>“</w:t>
      </w:r>
      <w:r w:rsidR="000B702D">
        <w:rPr>
          <w:rFonts w:ascii="Century Gothic" w:hAnsi="Century Gothic"/>
        </w:rPr>
        <w:t xml:space="preserve">the concept of </w:t>
      </w:r>
      <w:r w:rsidR="00534ED1">
        <w:rPr>
          <w:rFonts w:ascii="Century Gothic" w:hAnsi="Century Gothic"/>
        </w:rPr>
        <w:t xml:space="preserve">the </w:t>
      </w:r>
      <w:r w:rsidR="001F1A3D">
        <w:rPr>
          <w:rFonts w:ascii="Century Gothic" w:hAnsi="Century Gothic"/>
        </w:rPr>
        <w:t xml:space="preserve">meat </w:t>
      </w:r>
      <w:r w:rsidR="000B702D">
        <w:rPr>
          <w:rFonts w:ascii="Century Gothic" w:hAnsi="Century Gothic"/>
        </w:rPr>
        <w:t>belonging</w:t>
      </w:r>
      <w:r w:rsidR="001F1A3D">
        <w:rPr>
          <w:rFonts w:ascii="Century Gothic" w:hAnsi="Century Gothic"/>
        </w:rPr>
        <w:t xml:space="preserve"> to the hunter”, as this gives the hunters power over the others</w:t>
      </w:r>
      <w:r w:rsidR="00534ED1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-1342853045"/>
          <w:citation/>
        </w:sdtPr>
        <w:sdtEndPr/>
        <w:sdtContent>
          <w:r w:rsidR="00534ED1">
            <w:rPr>
              <w:rFonts w:ascii="Century Gothic" w:hAnsi="Century Gothic"/>
            </w:rPr>
            <w:fldChar w:fldCharType="begin"/>
          </w:r>
          <w:r w:rsidR="00534ED1">
            <w:rPr>
              <w:rFonts w:ascii="Century Gothic" w:hAnsi="Century Gothic"/>
            </w:rPr>
            <w:instrText xml:space="preserve"> CITATION Ric13 \l 2057 </w:instrText>
          </w:r>
          <w:r w:rsidR="00534ED1">
            <w:rPr>
              <w:rFonts w:ascii="Century Gothic" w:hAnsi="Century Gothic"/>
            </w:rPr>
            <w:fldChar w:fldCharType="separate"/>
          </w:r>
          <w:r w:rsidR="00534ED1" w:rsidRPr="00534ED1">
            <w:rPr>
              <w:rFonts w:ascii="Century Gothic" w:hAnsi="Century Gothic"/>
              <w:noProof/>
            </w:rPr>
            <w:t>(Lee, 2013)</w:t>
          </w:r>
          <w:r w:rsidR="00534ED1">
            <w:rPr>
              <w:rFonts w:ascii="Century Gothic" w:hAnsi="Century Gothic"/>
            </w:rPr>
            <w:fldChar w:fldCharType="end"/>
          </w:r>
        </w:sdtContent>
      </w:sdt>
      <w:r w:rsidR="00534ED1">
        <w:rPr>
          <w:rFonts w:ascii="Century Gothic" w:hAnsi="Century Gothic"/>
        </w:rPr>
        <w:t xml:space="preserve">. </w:t>
      </w:r>
    </w:p>
    <w:p w14:paraId="4FB9290E" w14:textId="5BC0142A" w:rsidR="00275DC1" w:rsidRDefault="00275DC1">
      <w:pPr>
        <w:rPr>
          <w:rFonts w:ascii="Century Gothic" w:hAnsi="Century Gothic"/>
        </w:rPr>
      </w:pPr>
      <w:r>
        <w:rPr>
          <w:rFonts w:ascii="Century Gothic" w:hAnsi="Century Gothic"/>
        </w:rPr>
        <w:t>For</w:t>
      </w:r>
      <w:r w:rsidR="00B93BF4">
        <w:rPr>
          <w:rFonts w:ascii="Century Gothic" w:hAnsi="Century Gothic"/>
        </w:rPr>
        <w:t xml:space="preserve"> the</w:t>
      </w:r>
      <w:r>
        <w:rPr>
          <w:rFonts w:ascii="Century Gothic" w:hAnsi="Century Gothic"/>
        </w:rPr>
        <w:t xml:space="preserve"> Mbuti </w:t>
      </w:r>
      <w:r w:rsidR="003A6584">
        <w:rPr>
          <w:rFonts w:ascii="Century Gothic" w:hAnsi="Century Gothic"/>
        </w:rPr>
        <w:t>– an egalitarian group residing in the Democratic Republic of Congo -</w:t>
      </w:r>
      <w:r w:rsidR="00CE6136">
        <w:rPr>
          <w:rFonts w:ascii="Century Gothic" w:hAnsi="Century Gothic"/>
        </w:rPr>
        <w:t xml:space="preserve"> hunting is a shared activity, requiring co-operation, </w:t>
      </w:r>
      <w:r w:rsidR="00A220C4">
        <w:rPr>
          <w:rFonts w:ascii="Century Gothic" w:hAnsi="Century Gothic"/>
        </w:rPr>
        <w:t>as women and children push animals into the nets set up by the men</w:t>
      </w:r>
      <w:r w:rsidR="00FB7FE9">
        <w:rPr>
          <w:rFonts w:ascii="Century Gothic" w:hAnsi="Century Gothic"/>
        </w:rPr>
        <w:t>, then the meat is distributed amongst the participants</w:t>
      </w:r>
      <w:r w:rsidR="00903C1E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2079549319"/>
          <w:citation/>
        </w:sdtPr>
        <w:sdtEndPr/>
        <w:sdtContent>
          <w:r w:rsidR="00903C1E">
            <w:rPr>
              <w:rFonts w:ascii="Century Gothic" w:hAnsi="Century Gothic"/>
            </w:rPr>
            <w:fldChar w:fldCharType="begin"/>
          </w:r>
          <w:r w:rsidR="00903C1E">
            <w:rPr>
              <w:rFonts w:ascii="Century Gothic" w:hAnsi="Century Gothic"/>
            </w:rPr>
            <w:instrText xml:space="preserve"> CITATION Jam82 \l 2057 </w:instrText>
          </w:r>
          <w:r w:rsidR="00903C1E">
            <w:rPr>
              <w:rFonts w:ascii="Century Gothic" w:hAnsi="Century Gothic"/>
            </w:rPr>
            <w:fldChar w:fldCharType="separate"/>
          </w:r>
          <w:r w:rsidR="00903C1E" w:rsidRPr="00903C1E">
            <w:rPr>
              <w:rFonts w:ascii="Century Gothic" w:hAnsi="Century Gothic"/>
              <w:noProof/>
            </w:rPr>
            <w:t>(Woodburn, 1982)</w:t>
          </w:r>
          <w:r w:rsidR="00903C1E">
            <w:rPr>
              <w:rFonts w:ascii="Century Gothic" w:hAnsi="Century Gothic"/>
            </w:rPr>
            <w:fldChar w:fldCharType="end"/>
          </w:r>
        </w:sdtContent>
      </w:sdt>
      <w:r w:rsidR="005E3441">
        <w:rPr>
          <w:rFonts w:ascii="Century Gothic" w:hAnsi="Century Gothic"/>
        </w:rPr>
        <w:t xml:space="preserve">. Participation is optional, and </w:t>
      </w:r>
      <w:r w:rsidR="00F55AC4">
        <w:rPr>
          <w:rFonts w:ascii="Century Gothic" w:hAnsi="Century Gothic"/>
        </w:rPr>
        <w:t xml:space="preserve">individuals may choose when to participate </w:t>
      </w:r>
      <w:r w:rsidR="00903C1E">
        <w:rPr>
          <w:rFonts w:ascii="Century Gothic" w:hAnsi="Century Gothic"/>
        </w:rPr>
        <w:t xml:space="preserve">but the yield is </w:t>
      </w:r>
      <w:r w:rsidR="00141ABB">
        <w:rPr>
          <w:rFonts w:ascii="Century Gothic" w:hAnsi="Century Gothic"/>
        </w:rPr>
        <w:t>divided</w:t>
      </w:r>
      <w:r w:rsidR="00903C1E">
        <w:rPr>
          <w:rFonts w:ascii="Century Gothic" w:hAnsi="Century Gothic"/>
        </w:rPr>
        <w:t xml:space="preserve">, and each person is </w:t>
      </w:r>
      <w:r w:rsidR="00141ABB">
        <w:rPr>
          <w:rFonts w:ascii="Century Gothic" w:hAnsi="Century Gothic"/>
        </w:rPr>
        <w:t xml:space="preserve">entitled to their </w:t>
      </w:r>
      <w:r w:rsidR="00141ABB">
        <w:rPr>
          <w:rFonts w:ascii="Century Gothic" w:hAnsi="Century Gothic"/>
        </w:rPr>
        <w:lastRenderedPageBreak/>
        <w:t xml:space="preserve">share </w:t>
      </w:r>
      <w:sdt>
        <w:sdtPr>
          <w:rPr>
            <w:rFonts w:ascii="Century Gothic" w:hAnsi="Century Gothic"/>
          </w:rPr>
          <w:id w:val="-1321572640"/>
          <w:citation/>
        </w:sdtPr>
        <w:sdtEndPr/>
        <w:sdtContent>
          <w:r w:rsidR="00141ABB">
            <w:rPr>
              <w:rFonts w:ascii="Century Gothic" w:hAnsi="Century Gothic"/>
            </w:rPr>
            <w:fldChar w:fldCharType="begin"/>
          </w:r>
          <w:r w:rsidR="00141ABB">
            <w:rPr>
              <w:rFonts w:ascii="Century Gothic" w:hAnsi="Century Gothic"/>
            </w:rPr>
            <w:instrText xml:space="preserve"> CITATION Jam82 \l 2057 </w:instrText>
          </w:r>
          <w:r w:rsidR="00141ABB">
            <w:rPr>
              <w:rFonts w:ascii="Century Gothic" w:hAnsi="Century Gothic"/>
            </w:rPr>
            <w:fldChar w:fldCharType="separate"/>
          </w:r>
          <w:r w:rsidR="00141ABB" w:rsidRPr="00141ABB">
            <w:rPr>
              <w:rFonts w:ascii="Century Gothic" w:hAnsi="Century Gothic"/>
              <w:noProof/>
            </w:rPr>
            <w:t>(Woodburn, 1982)</w:t>
          </w:r>
          <w:r w:rsidR="00141ABB">
            <w:rPr>
              <w:rFonts w:ascii="Century Gothic" w:hAnsi="Century Gothic"/>
            </w:rPr>
            <w:fldChar w:fldCharType="end"/>
          </w:r>
        </w:sdtContent>
      </w:sdt>
      <w:r w:rsidR="00BD455B">
        <w:rPr>
          <w:rFonts w:ascii="Century Gothic" w:hAnsi="Century Gothic"/>
        </w:rPr>
        <w:t xml:space="preserve">. </w:t>
      </w:r>
      <w:r w:rsidR="000A7A06">
        <w:rPr>
          <w:rFonts w:ascii="Century Gothic" w:hAnsi="Century Gothic"/>
        </w:rPr>
        <w:t>Therefore, as children are able to participate, there is no dependence on others for food</w:t>
      </w:r>
      <w:r w:rsidR="006306EA">
        <w:rPr>
          <w:rFonts w:ascii="Century Gothic" w:hAnsi="Century Gothic"/>
        </w:rPr>
        <w:t xml:space="preserve"> or resources, </w:t>
      </w:r>
      <w:r w:rsidR="003776E7">
        <w:rPr>
          <w:rFonts w:ascii="Century Gothic" w:hAnsi="Century Gothic"/>
        </w:rPr>
        <w:t>eliminating the issue of reliance in control and power</w:t>
      </w:r>
      <w:r w:rsidR="00D9140D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-1338458857"/>
          <w:citation/>
        </w:sdtPr>
        <w:sdtEndPr/>
        <w:sdtContent>
          <w:r w:rsidR="00D9140D">
            <w:rPr>
              <w:rFonts w:ascii="Century Gothic" w:hAnsi="Century Gothic"/>
            </w:rPr>
            <w:fldChar w:fldCharType="begin"/>
          </w:r>
          <w:r w:rsidR="00D9140D">
            <w:rPr>
              <w:rFonts w:ascii="Century Gothic" w:hAnsi="Century Gothic"/>
            </w:rPr>
            <w:instrText xml:space="preserve"> CITATION Jam82 \l 2057 </w:instrText>
          </w:r>
          <w:r w:rsidR="00D9140D">
            <w:rPr>
              <w:rFonts w:ascii="Century Gothic" w:hAnsi="Century Gothic"/>
            </w:rPr>
            <w:fldChar w:fldCharType="separate"/>
          </w:r>
          <w:r w:rsidR="00D9140D" w:rsidRPr="00D9140D">
            <w:rPr>
              <w:rFonts w:ascii="Century Gothic" w:hAnsi="Century Gothic"/>
              <w:noProof/>
            </w:rPr>
            <w:t>(Woodburn, 1982)</w:t>
          </w:r>
          <w:r w:rsidR="00D9140D">
            <w:rPr>
              <w:rFonts w:ascii="Century Gothic" w:hAnsi="Century Gothic"/>
            </w:rPr>
            <w:fldChar w:fldCharType="end"/>
          </w:r>
        </w:sdtContent>
      </w:sdt>
      <w:r w:rsidR="00D9140D">
        <w:rPr>
          <w:rFonts w:ascii="Century Gothic" w:hAnsi="Century Gothic"/>
        </w:rPr>
        <w:t xml:space="preserve">. </w:t>
      </w:r>
    </w:p>
    <w:p w14:paraId="09E3177F" w14:textId="77777777" w:rsidR="00DD7937" w:rsidRDefault="00DD7937">
      <w:pPr>
        <w:rPr>
          <w:rFonts w:ascii="Century Gothic" w:hAnsi="Century Gothic"/>
        </w:rPr>
      </w:pPr>
    </w:p>
    <w:p w14:paraId="1D47F042" w14:textId="52A479F9" w:rsidR="00FA2328" w:rsidRPr="005B0B23" w:rsidRDefault="00E91D14">
      <w:pPr>
        <w:rPr>
          <w:rFonts w:ascii="Century Gothic" w:hAnsi="Century Gothic"/>
          <w:b/>
          <w:bCs/>
        </w:rPr>
      </w:pPr>
      <w:r w:rsidRPr="00A3075A">
        <w:rPr>
          <w:rFonts w:ascii="Century Gothic" w:hAnsi="Century Gothic"/>
          <w:b/>
          <w:bCs/>
        </w:rPr>
        <w:t>Emergence of Royalty</w:t>
      </w:r>
      <w:r w:rsidR="00A3075A" w:rsidRPr="00A3075A">
        <w:rPr>
          <w:rFonts w:ascii="Century Gothic" w:hAnsi="Century Gothic"/>
          <w:b/>
          <w:bCs/>
        </w:rPr>
        <w:t xml:space="preserve"> and the Making of Kings</w:t>
      </w:r>
    </w:p>
    <w:p w14:paraId="76711E6C" w14:textId="5D880233" w:rsidR="00FA2328" w:rsidRDefault="00FA2328">
      <w:pPr>
        <w:rPr>
          <w:rFonts w:ascii="Century Gothic" w:hAnsi="Century Gothic"/>
        </w:rPr>
      </w:pPr>
      <w:r>
        <w:rPr>
          <w:rFonts w:ascii="Century Gothic" w:hAnsi="Century Gothic"/>
        </w:rPr>
        <w:t>Notions of leadership and hierarchy appear where horticulture begins to be developed, in conjunction with grou</w:t>
      </w:r>
      <w:r w:rsidR="00DD7937">
        <w:rPr>
          <w:rFonts w:ascii="Century Gothic" w:hAnsi="Century Gothic"/>
        </w:rPr>
        <w:t>p</w:t>
      </w:r>
      <w:r>
        <w:rPr>
          <w:rFonts w:ascii="Century Gothic" w:hAnsi="Century Gothic"/>
        </w:rPr>
        <w:t>s becoming non-nomadic</w:t>
      </w:r>
      <w:r w:rsidR="00DD7937">
        <w:rPr>
          <w:rFonts w:ascii="Century Gothic" w:hAnsi="Century Gothic"/>
        </w:rPr>
        <w:t xml:space="preserve"> due to the increasing population densities of originally hunter-gatherer groups </w:t>
      </w:r>
      <w:sdt>
        <w:sdtPr>
          <w:rPr>
            <w:rFonts w:ascii="Century Gothic" w:hAnsi="Century Gothic"/>
          </w:rPr>
          <w:id w:val="1234584446"/>
          <w:citation/>
        </w:sdtPr>
        <w:sdtEndPr/>
        <w:sdtContent>
          <w:r w:rsidR="00DD7937">
            <w:rPr>
              <w:rFonts w:ascii="Century Gothic" w:hAnsi="Century Gothic"/>
            </w:rPr>
            <w:fldChar w:fldCharType="begin"/>
          </w:r>
          <w:r w:rsidR="00DD7937">
            <w:rPr>
              <w:rFonts w:ascii="Century Gothic" w:hAnsi="Century Gothic"/>
            </w:rPr>
            <w:instrText xml:space="preserve"> CITATION Jar87 \l 2057 </w:instrText>
          </w:r>
          <w:r w:rsidR="00DD7937">
            <w:rPr>
              <w:rFonts w:ascii="Century Gothic" w:hAnsi="Century Gothic"/>
            </w:rPr>
            <w:fldChar w:fldCharType="separate"/>
          </w:r>
          <w:r w:rsidR="009D530A" w:rsidRPr="009D530A">
            <w:rPr>
              <w:rFonts w:ascii="Century Gothic" w:hAnsi="Century Gothic"/>
              <w:noProof/>
            </w:rPr>
            <w:t>(Diamond, 1987)</w:t>
          </w:r>
          <w:r w:rsidR="00DD7937">
            <w:rPr>
              <w:rFonts w:ascii="Century Gothic" w:hAnsi="Century Gothic"/>
            </w:rPr>
            <w:fldChar w:fldCharType="end"/>
          </w:r>
        </w:sdtContent>
      </w:sdt>
      <w:r w:rsidR="00DD7937">
        <w:rPr>
          <w:rFonts w:ascii="Century Gothic" w:hAnsi="Century Gothic"/>
        </w:rPr>
        <w:t>. Here, the concept of ownership is introduced, as hunter-gatherers did not have much/ any stored food, and anything they obtained was shared among the group</w:t>
      </w:r>
      <w:r w:rsidR="00840629">
        <w:rPr>
          <w:rFonts w:ascii="Century Gothic" w:hAnsi="Century Gothic"/>
        </w:rPr>
        <w:t>, whereas as agricultural societies developed, so did new social problems: theft, property</w:t>
      </w:r>
      <w:r w:rsidR="00240367">
        <w:rPr>
          <w:rFonts w:ascii="Century Gothic" w:hAnsi="Century Gothic"/>
        </w:rPr>
        <w:t xml:space="preserve"> and economic systems,</w:t>
      </w:r>
      <w:r w:rsidR="00840629">
        <w:rPr>
          <w:rFonts w:ascii="Century Gothic" w:hAnsi="Century Gothic"/>
        </w:rPr>
        <w:t xml:space="preserve"> meaning that the non-producing elite can set themselves above the masses </w:t>
      </w:r>
      <w:sdt>
        <w:sdtPr>
          <w:rPr>
            <w:rFonts w:ascii="Century Gothic" w:hAnsi="Century Gothic"/>
          </w:rPr>
          <w:id w:val="802895808"/>
          <w:citation/>
        </w:sdtPr>
        <w:sdtEndPr/>
        <w:sdtContent>
          <w:r w:rsidR="00840629">
            <w:rPr>
              <w:rFonts w:ascii="Century Gothic" w:hAnsi="Century Gothic"/>
            </w:rPr>
            <w:fldChar w:fldCharType="begin"/>
          </w:r>
          <w:r w:rsidR="00840629">
            <w:rPr>
              <w:rFonts w:ascii="Century Gothic" w:hAnsi="Century Gothic"/>
            </w:rPr>
            <w:instrText xml:space="preserve"> CITATION Jar87 \l 2057 </w:instrText>
          </w:r>
          <w:r w:rsidR="00840629">
            <w:rPr>
              <w:rFonts w:ascii="Century Gothic" w:hAnsi="Century Gothic"/>
            </w:rPr>
            <w:fldChar w:fldCharType="separate"/>
          </w:r>
          <w:r w:rsidR="009D530A" w:rsidRPr="009D530A">
            <w:rPr>
              <w:rFonts w:ascii="Century Gothic" w:hAnsi="Century Gothic"/>
              <w:noProof/>
            </w:rPr>
            <w:t>(Diamond, 1987)</w:t>
          </w:r>
          <w:r w:rsidR="00840629">
            <w:rPr>
              <w:rFonts w:ascii="Century Gothic" w:hAnsi="Century Gothic"/>
            </w:rPr>
            <w:fldChar w:fldCharType="end"/>
          </w:r>
        </w:sdtContent>
      </w:sdt>
      <w:r w:rsidR="00840629">
        <w:rPr>
          <w:rFonts w:ascii="Century Gothic" w:hAnsi="Century Gothic"/>
        </w:rPr>
        <w:t xml:space="preserve">. However, this does not explain how these people gained their power, only that the opportunity to exert it presented itself due to changing lifestyles. </w:t>
      </w:r>
    </w:p>
    <w:p w14:paraId="48CBC177" w14:textId="0E642F22" w:rsidR="00840629" w:rsidRDefault="00AB1AEC">
      <w:pPr>
        <w:rPr>
          <w:rFonts w:ascii="Century Gothic" w:hAnsi="Century Gothic"/>
        </w:rPr>
      </w:pPr>
      <w:r>
        <w:rPr>
          <w:rFonts w:ascii="Century Gothic" w:hAnsi="Century Gothic"/>
        </w:rPr>
        <w:t>Lewis-</w:t>
      </w:r>
      <w:r w:rsidR="00240367">
        <w:rPr>
          <w:rFonts w:ascii="Century Gothic" w:hAnsi="Century Gothic"/>
        </w:rPr>
        <w:t>Williams</w:t>
      </w:r>
      <w:r>
        <w:rPr>
          <w:rFonts w:ascii="Century Gothic" w:hAnsi="Century Gothic"/>
        </w:rPr>
        <w:t xml:space="preserve"> and Dowson</w:t>
      </w:r>
      <w:r w:rsidR="00240367">
        <w:rPr>
          <w:rFonts w:ascii="Century Gothic" w:hAnsi="Century Gothic"/>
        </w:rPr>
        <w:t xml:space="preserve"> explain how knowledge of the diets of certain hunter-gatherer groups links with cave art to show rituals being performed as a result of the ingestion of </w:t>
      </w:r>
      <w:r w:rsidR="00B20E84">
        <w:rPr>
          <w:rFonts w:ascii="Century Gothic" w:hAnsi="Century Gothic"/>
        </w:rPr>
        <w:t>entheogens: “</w:t>
      </w:r>
      <w:r w:rsidR="00B20E84" w:rsidRPr="00B20E84">
        <w:rPr>
          <w:rFonts w:ascii="Century Gothic" w:hAnsi="Century Gothic"/>
        </w:rPr>
        <w:t xml:space="preserve">a psychoactive, hallucinogenic substance </w:t>
      </w:r>
      <w:r w:rsidR="00B20E84">
        <w:rPr>
          <w:rFonts w:ascii="Century Gothic" w:hAnsi="Century Gothic"/>
        </w:rPr>
        <w:t xml:space="preserve">[…] </w:t>
      </w:r>
      <w:r w:rsidR="00B20E84" w:rsidRPr="00B20E84">
        <w:rPr>
          <w:rFonts w:ascii="Century Gothic" w:hAnsi="Century Gothic"/>
        </w:rPr>
        <w:t>derived from plants or fungi and used in religious, spiritual, or ritualistic contexts</w:t>
      </w:r>
      <w:r w:rsidR="00B20E84">
        <w:rPr>
          <w:rFonts w:ascii="Century Gothic" w:hAnsi="Century Gothic"/>
        </w:rPr>
        <w:t xml:space="preserve">” </w:t>
      </w:r>
      <w:sdt>
        <w:sdtPr>
          <w:rPr>
            <w:rFonts w:ascii="Century Gothic" w:hAnsi="Century Gothic"/>
          </w:rPr>
          <w:id w:val="-808699507"/>
          <w:citation/>
        </w:sdtPr>
        <w:sdtEndPr/>
        <w:sdtContent>
          <w:r w:rsidR="00B20E84">
            <w:rPr>
              <w:rFonts w:ascii="Century Gothic" w:hAnsi="Century Gothic"/>
            </w:rPr>
            <w:fldChar w:fldCharType="begin"/>
          </w:r>
          <w:r w:rsidR="002F3332">
            <w:rPr>
              <w:rFonts w:ascii="Century Gothic" w:hAnsi="Century Gothic"/>
            </w:rPr>
            <w:instrText xml:space="preserve">CITATION Mer \l 2057 </w:instrText>
          </w:r>
          <w:r w:rsidR="00B20E84">
            <w:rPr>
              <w:rFonts w:ascii="Century Gothic" w:hAnsi="Century Gothic"/>
            </w:rPr>
            <w:fldChar w:fldCharType="separate"/>
          </w:r>
          <w:r w:rsidR="002F3332" w:rsidRPr="002F3332">
            <w:rPr>
              <w:rFonts w:ascii="Century Gothic" w:hAnsi="Century Gothic"/>
              <w:noProof/>
            </w:rPr>
            <w:t>(Merriam-Webster, n.d.)</w:t>
          </w:r>
          <w:r w:rsidR="00B20E84">
            <w:rPr>
              <w:rFonts w:ascii="Century Gothic" w:hAnsi="Century Gothic"/>
            </w:rPr>
            <w:fldChar w:fldCharType="end"/>
          </w:r>
        </w:sdtContent>
      </w:sdt>
      <w:r w:rsidR="005508EA" w:rsidRPr="005508EA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846664631"/>
          <w:citation/>
        </w:sdtPr>
        <w:sdtEndPr/>
        <w:sdtContent>
          <w:r w:rsidR="005508EA">
            <w:rPr>
              <w:rFonts w:ascii="Century Gothic" w:hAnsi="Century Gothic"/>
            </w:rPr>
            <w:fldChar w:fldCharType="begin"/>
          </w:r>
          <w:r w:rsidR="005508EA">
            <w:rPr>
              <w:rFonts w:ascii="Century Gothic" w:hAnsi="Century Gothic"/>
            </w:rPr>
            <w:instrText xml:space="preserve">CITATION JDL88 \l 2057 </w:instrText>
          </w:r>
          <w:r w:rsidR="005508EA">
            <w:rPr>
              <w:rFonts w:ascii="Century Gothic" w:hAnsi="Century Gothic"/>
            </w:rPr>
            <w:fldChar w:fldCharType="separate"/>
          </w:r>
          <w:r w:rsidR="005508EA" w:rsidRPr="003943DA">
            <w:rPr>
              <w:rFonts w:ascii="Century Gothic" w:hAnsi="Century Gothic"/>
              <w:noProof/>
            </w:rPr>
            <w:t>(Lewis-Williams &amp; Dowson, 1988)</w:t>
          </w:r>
          <w:r w:rsidR="005508EA">
            <w:rPr>
              <w:rFonts w:ascii="Century Gothic" w:hAnsi="Century Gothic"/>
            </w:rPr>
            <w:fldChar w:fldCharType="end"/>
          </w:r>
        </w:sdtContent>
      </w:sdt>
      <w:r w:rsidR="007D37E3">
        <w:rPr>
          <w:rFonts w:ascii="Century Gothic" w:hAnsi="Century Gothic"/>
        </w:rPr>
        <w:t>. The hallucinations seen following the use of these substances</w:t>
      </w:r>
      <w:r w:rsidR="00C41F8E">
        <w:rPr>
          <w:rFonts w:ascii="Century Gothic" w:hAnsi="Century Gothic"/>
        </w:rPr>
        <w:t xml:space="preserve"> allow people to establish belief in a higher power</w:t>
      </w:r>
      <w:r w:rsidR="002E0CAD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-408388490"/>
          <w:citation/>
        </w:sdtPr>
        <w:sdtEndPr/>
        <w:sdtContent>
          <w:r w:rsidR="002E0CAD">
            <w:rPr>
              <w:rFonts w:ascii="Century Gothic" w:hAnsi="Century Gothic"/>
            </w:rPr>
            <w:fldChar w:fldCharType="begin"/>
          </w:r>
          <w:r w:rsidR="002E0CAD">
            <w:rPr>
              <w:rFonts w:ascii="Century Gothic" w:hAnsi="Century Gothic"/>
            </w:rPr>
            <w:instrText xml:space="preserve"> CITATION JDL88 \l 2057 </w:instrText>
          </w:r>
          <w:r w:rsidR="002E0CAD">
            <w:rPr>
              <w:rFonts w:ascii="Century Gothic" w:hAnsi="Century Gothic"/>
            </w:rPr>
            <w:fldChar w:fldCharType="separate"/>
          </w:r>
          <w:r w:rsidR="002E0CAD" w:rsidRPr="002E0CAD">
            <w:rPr>
              <w:rFonts w:ascii="Century Gothic" w:hAnsi="Century Gothic"/>
              <w:noProof/>
            </w:rPr>
            <w:t>(Lewis-Williams &amp; Dowson, 1988)</w:t>
          </w:r>
          <w:r w:rsidR="002E0CAD">
            <w:rPr>
              <w:rFonts w:ascii="Century Gothic" w:hAnsi="Century Gothic"/>
            </w:rPr>
            <w:fldChar w:fldCharType="end"/>
          </w:r>
        </w:sdtContent>
      </w:sdt>
      <w:r w:rsidR="002E0CAD">
        <w:rPr>
          <w:rFonts w:ascii="Century Gothic" w:hAnsi="Century Gothic"/>
        </w:rPr>
        <w:t xml:space="preserve">. </w:t>
      </w:r>
      <w:r w:rsidR="00AF24A1">
        <w:rPr>
          <w:rFonts w:ascii="Century Gothic" w:hAnsi="Century Gothic"/>
        </w:rPr>
        <w:t xml:space="preserve">Graeber </w:t>
      </w:r>
      <w:r w:rsidR="00C17643">
        <w:rPr>
          <w:rFonts w:ascii="Century Gothic" w:hAnsi="Century Gothic"/>
        </w:rPr>
        <w:t xml:space="preserve">and Dubrovsky </w:t>
      </w:r>
      <w:r w:rsidR="00D93854">
        <w:rPr>
          <w:rFonts w:ascii="Century Gothic" w:hAnsi="Century Gothic"/>
        </w:rPr>
        <w:t xml:space="preserve">suggest </w:t>
      </w:r>
      <w:r w:rsidR="00AF24A1">
        <w:rPr>
          <w:rFonts w:ascii="Century Gothic" w:hAnsi="Century Gothic"/>
        </w:rPr>
        <w:t>that</w:t>
      </w:r>
      <w:r w:rsidR="001D3ECC">
        <w:rPr>
          <w:rFonts w:ascii="Century Gothic" w:hAnsi="Century Gothic"/>
        </w:rPr>
        <w:t xml:space="preserve"> people may have taken these beliefs, created the rituals in order to make claims to th</w:t>
      </w:r>
      <w:r w:rsidR="00753F7E">
        <w:rPr>
          <w:rFonts w:ascii="Century Gothic" w:hAnsi="Century Gothic"/>
        </w:rPr>
        <w:t xml:space="preserve">e </w:t>
      </w:r>
      <w:r w:rsidR="00910FE2">
        <w:rPr>
          <w:rFonts w:ascii="Century Gothic" w:hAnsi="Century Gothic"/>
        </w:rPr>
        <w:t>divine</w:t>
      </w:r>
      <w:r w:rsidR="00753F7E">
        <w:rPr>
          <w:rFonts w:ascii="Century Gothic" w:hAnsi="Century Gothic"/>
        </w:rPr>
        <w:t xml:space="preserve"> powers</w:t>
      </w:r>
      <w:r w:rsidR="0068737E">
        <w:rPr>
          <w:rFonts w:ascii="Century Gothic" w:hAnsi="Century Gothic"/>
        </w:rPr>
        <w:t xml:space="preserve">, and </w:t>
      </w:r>
      <w:r w:rsidR="00D93854">
        <w:rPr>
          <w:rFonts w:ascii="Century Gothic" w:hAnsi="Century Gothic"/>
        </w:rPr>
        <w:t xml:space="preserve">then given </w:t>
      </w:r>
      <w:r w:rsidR="0068737E">
        <w:rPr>
          <w:rFonts w:ascii="Century Gothic" w:hAnsi="Century Gothic"/>
        </w:rPr>
        <w:t xml:space="preserve">temporary divine status to certain people for these rituals </w:t>
      </w:r>
      <w:sdt>
        <w:sdtPr>
          <w:rPr>
            <w:rFonts w:ascii="Century Gothic" w:hAnsi="Century Gothic"/>
          </w:rPr>
          <w:id w:val="-130029235"/>
          <w:citation/>
        </w:sdtPr>
        <w:sdtEndPr/>
        <w:sdtContent>
          <w:r w:rsidR="0068737E">
            <w:rPr>
              <w:rFonts w:ascii="Century Gothic" w:hAnsi="Century Gothic"/>
            </w:rPr>
            <w:fldChar w:fldCharType="begin"/>
          </w:r>
          <w:r w:rsidR="0068737E">
            <w:rPr>
              <w:rFonts w:ascii="Century Gothic" w:hAnsi="Century Gothic"/>
            </w:rPr>
            <w:instrText xml:space="preserve"> CITATION Dav20 \l 2057 </w:instrText>
          </w:r>
          <w:r w:rsidR="0068737E">
            <w:rPr>
              <w:rFonts w:ascii="Century Gothic" w:hAnsi="Century Gothic"/>
            </w:rPr>
            <w:fldChar w:fldCharType="separate"/>
          </w:r>
          <w:r w:rsidR="0068737E" w:rsidRPr="0068737E">
            <w:rPr>
              <w:rFonts w:ascii="Century Gothic" w:hAnsi="Century Gothic"/>
              <w:noProof/>
            </w:rPr>
            <w:t>(Graeber &amp; Dubrovsky, 2020)</w:t>
          </w:r>
          <w:r w:rsidR="0068737E">
            <w:rPr>
              <w:rFonts w:ascii="Century Gothic" w:hAnsi="Century Gothic"/>
            </w:rPr>
            <w:fldChar w:fldCharType="end"/>
          </w:r>
        </w:sdtContent>
      </w:sdt>
      <w:r w:rsidR="0074301C">
        <w:rPr>
          <w:rFonts w:ascii="Century Gothic" w:hAnsi="Century Gothic"/>
        </w:rPr>
        <w:t xml:space="preserve">. </w:t>
      </w:r>
      <w:r w:rsidR="00F17845">
        <w:rPr>
          <w:rFonts w:ascii="Century Gothic" w:hAnsi="Century Gothic"/>
        </w:rPr>
        <w:t>Their theory suggests that o</w:t>
      </w:r>
      <w:r w:rsidR="0074301C">
        <w:rPr>
          <w:rFonts w:ascii="Century Gothic" w:hAnsi="Century Gothic"/>
        </w:rPr>
        <w:t xml:space="preserve">rders </w:t>
      </w:r>
      <w:r w:rsidR="00F17845">
        <w:rPr>
          <w:rFonts w:ascii="Century Gothic" w:hAnsi="Century Gothic"/>
        </w:rPr>
        <w:t>we</w:t>
      </w:r>
      <w:r w:rsidR="0074301C">
        <w:rPr>
          <w:rFonts w:ascii="Century Gothic" w:hAnsi="Century Gothic"/>
        </w:rPr>
        <w:t xml:space="preserve">re only given within these rituals where humans </w:t>
      </w:r>
      <w:r w:rsidR="00F17845">
        <w:rPr>
          <w:rFonts w:ascii="Century Gothic" w:hAnsi="Century Gothic"/>
        </w:rPr>
        <w:t>we</w:t>
      </w:r>
      <w:r w:rsidR="0074301C">
        <w:rPr>
          <w:rFonts w:ascii="Century Gothic" w:hAnsi="Century Gothic"/>
        </w:rPr>
        <w:t>re impersonating gods</w:t>
      </w:r>
      <w:r w:rsidR="006B1DFF">
        <w:rPr>
          <w:rFonts w:ascii="Century Gothic" w:hAnsi="Century Gothic"/>
        </w:rPr>
        <w:t xml:space="preserve">, but it </w:t>
      </w:r>
      <w:r w:rsidR="00F17845">
        <w:rPr>
          <w:rFonts w:ascii="Century Gothic" w:hAnsi="Century Gothic"/>
        </w:rPr>
        <w:t>wa</w:t>
      </w:r>
      <w:r w:rsidR="006B1DFF">
        <w:rPr>
          <w:rFonts w:ascii="Century Gothic" w:hAnsi="Century Gothic"/>
        </w:rPr>
        <w:t xml:space="preserve">s important that this power </w:t>
      </w:r>
      <w:r w:rsidR="00F17845">
        <w:rPr>
          <w:rFonts w:ascii="Century Gothic" w:hAnsi="Century Gothic"/>
        </w:rPr>
        <w:t>wa</w:t>
      </w:r>
      <w:r w:rsidR="006B1DFF">
        <w:rPr>
          <w:rFonts w:ascii="Century Gothic" w:hAnsi="Century Gothic"/>
        </w:rPr>
        <w:t>s not taken seriously, so the rituals bec</w:t>
      </w:r>
      <w:r w:rsidR="00F17845">
        <w:rPr>
          <w:rFonts w:ascii="Century Gothic" w:hAnsi="Century Gothic"/>
        </w:rPr>
        <w:t>a</w:t>
      </w:r>
      <w:r w:rsidR="006B1DFF">
        <w:rPr>
          <w:rFonts w:ascii="Century Gothic" w:hAnsi="Century Gothic"/>
        </w:rPr>
        <w:t>me something of a game</w:t>
      </w:r>
      <w:r w:rsidR="00D026A8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-306937941"/>
          <w:citation/>
        </w:sdtPr>
        <w:sdtEndPr/>
        <w:sdtContent>
          <w:r w:rsidR="00D026A8">
            <w:rPr>
              <w:rFonts w:ascii="Century Gothic" w:hAnsi="Century Gothic"/>
            </w:rPr>
            <w:fldChar w:fldCharType="begin"/>
          </w:r>
          <w:r w:rsidR="00D026A8">
            <w:rPr>
              <w:rFonts w:ascii="Century Gothic" w:hAnsi="Century Gothic"/>
            </w:rPr>
            <w:instrText xml:space="preserve"> CITATION Dav17 \l 2057 </w:instrText>
          </w:r>
          <w:r w:rsidR="00D026A8">
            <w:rPr>
              <w:rFonts w:ascii="Century Gothic" w:hAnsi="Century Gothic"/>
            </w:rPr>
            <w:fldChar w:fldCharType="separate"/>
          </w:r>
          <w:r w:rsidR="00D026A8" w:rsidRPr="00D026A8">
            <w:rPr>
              <w:rFonts w:ascii="Century Gothic" w:hAnsi="Century Gothic"/>
              <w:noProof/>
            </w:rPr>
            <w:t>(Graeber &amp; Sahlins, 2017)</w:t>
          </w:r>
          <w:r w:rsidR="00D026A8">
            <w:rPr>
              <w:rFonts w:ascii="Century Gothic" w:hAnsi="Century Gothic"/>
            </w:rPr>
            <w:fldChar w:fldCharType="end"/>
          </w:r>
        </w:sdtContent>
      </w:sdt>
      <w:r w:rsidR="00662EA4">
        <w:rPr>
          <w:rFonts w:ascii="Century Gothic" w:hAnsi="Century Gothic"/>
        </w:rPr>
        <w:t xml:space="preserve">. </w:t>
      </w:r>
      <w:r w:rsidR="005E6955">
        <w:rPr>
          <w:rFonts w:ascii="Century Gothic" w:hAnsi="Century Gothic"/>
        </w:rPr>
        <w:t>The rituals could last any str</w:t>
      </w:r>
      <w:r w:rsidR="00046827">
        <w:rPr>
          <w:rFonts w:ascii="Century Gothic" w:hAnsi="Century Gothic"/>
        </w:rPr>
        <w:t>e</w:t>
      </w:r>
      <w:r w:rsidR="005E6955">
        <w:rPr>
          <w:rFonts w:ascii="Century Gothic" w:hAnsi="Century Gothic"/>
        </w:rPr>
        <w:t xml:space="preserve">tch of time, </w:t>
      </w:r>
      <w:r w:rsidR="00046827">
        <w:rPr>
          <w:rFonts w:ascii="Century Gothic" w:hAnsi="Century Gothic"/>
        </w:rPr>
        <w:t>meaning that participants forgot they were playing a game, and these “masters of ceremonies”</w:t>
      </w:r>
      <w:r w:rsidR="00B00937">
        <w:rPr>
          <w:rFonts w:ascii="Century Gothic" w:hAnsi="Century Gothic"/>
        </w:rPr>
        <w:t xml:space="preserve"> became kings </w:t>
      </w:r>
      <w:sdt>
        <w:sdtPr>
          <w:rPr>
            <w:rFonts w:ascii="Century Gothic" w:hAnsi="Century Gothic"/>
          </w:rPr>
          <w:id w:val="-1825882763"/>
          <w:citation/>
        </w:sdtPr>
        <w:sdtEndPr/>
        <w:sdtContent>
          <w:r w:rsidR="00B00937">
            <w:rPr>
              <w:rFonts w:ascii="Century Gothic" w:hAnsi="Century Gothic"/>
            </w:rPr>
            <w:fldChar w:fldCharType="begin"/>
          </w:r>
          <w:r w:rsidR="00B00937">
            <w:rPr>
              <w:rFonts w:ascii="Century Gothic" w:hAnsi="Century Gothic"/>
            </w:rPr>
            <w:instrText xml:space="preserve"> CITATION Dav20 \l 2057 </w:instrText>
          </w:r>
          <w:r w:rsidR="00B00937">
            <w:rPr>
              <w:rFonts w:ascii="Century Gothic" w:hAnsi="Century Gothic"/>
            </w:rPr>
            <w:fldChar w:fldCharType="separate"/>
          </w:r>
          <w:r w:rsidR="00B00937" w:rsidRPr="00B00937">
            <w:rPr>
              <w:rFonts w:ascii="Century Gothic" w:hAnsi="Century Gothic"/>
              <w:noProof/>
            </w:rPr>
            <w:t>(Graeber &amp; Dubrovsky, 2020)</w:t>
          </w:r>
          <w:r w:rsidR="00B00937">
            <w:rPr>
              <w:rFonts w:ascii="Century Gothic" w:hAnsi="Century Gothic"/>
            </w:rPr>
            <w:fldChar w:fldCharType="end"/>
          </w:r>
        </w:sdtContent>
      </w:sdt>
      <w:r w:rsidR="00B00937">
        <w:rPr>
          <w:rFonts w:ascii="Century Gothic" w:hAnsi="Century Gothic"/>
        </w:rPr>
        <w:t>.</w:t>
      </w:r>
      <w:r w:rsidR="00F876C5">
        <w:rPr>
          <w:rFonts w:ascii="Century Gothic" w:hAnsi="Century Gothic"/>
        </w:rPr>
        <w:t xml:space="preserve"> </w:t>
      </w:r>
      <w:r w:rsidR="00963B22">
        <w:rPr>
          <w:rFonts w:ascii="Century Gothic" w:hAnsi="Century Gothic"/>
        </w:rPr>
        <w:t xml:space="preserve">The kings could create any rules they wished, but were exceptions to them, and </w:t>
      </w:r>
      <w:r w:rsidR="0009256C">
        <w:rPr>
          <w:rFonts w:ascii="Century Gothic" w:hAnsi="Century Gothic"/>
        </w:rPr>
        <w:t xml:space="preserve">there would be punishments for those who didn’t follow them </w:t>
      </w:r>
      <w:sdt>
        <w:sdtPr>
          <w:rPr>
            <w:rFonts w:ascii="Century Gothic" w:hAnsi="Century Gothic"/>
          </w:rPr>
          <w:id w:val="2030066958"/>
          <w:citation/>
        </w:sdtPr>
        <w:sdtEndPr/>
        <w:sdtContent>
          <w:r w:rsidR="000B6D7A">
            <w:rPr>
              <w:rFonts w:ascii="Century Gothic" w:hAnsi="Century Gothic"/>
            </w:rPr>
            <w:fldChar w:fldCharType="begin"/>
          </w:r>
          <w:r w:rsidR="000B6D7A">
            <w:rPr>
              <w:rFonts w:ascii="Century Gothic" w:hAnsi="Century Gothic"/>
            </w:rPr>
            <w:instrText xml:space="preserve"> CITATION Dav20 \l 2057 </w:instrText>
          </w:r>
          <w:r w:rsidR="000B6D7A">
            <w:rPr>
              <w:rFonts w:ascii="Century Gothic" w:hAnsi="Century Gothic"/>
            </w:rPr>
            <w:fldChar w:fldCharType="separate"/>
          </w:r>
          <w:r w:rsidR="000B6D7A" w:rsidRPr="000B6D7A">
            <w:rPr>
              <w:rFonts w:ascii="Century Gothic" w:hAnsi="Century Gothic"/>
              <w:noProof/>
            </w:rPr>
            <w:t>(Graeber &amp; Dubrovsky, 2020)</w:t>
          </w:r>
          <w:r w:rsidR="000B6D7A">
            <w:rPr>
              <w:rFonts w:ascii="Century Gothic" w:hAnsi="Century Gothic"/>
            </w:rPr>
            <w:fldChar w:fldCharType="end"/>
          </w:r>
        </w:sdtContent>
      </w:sdt>
      <w:r w:rsidR="000B6D7A">
        <w:rPr>
          <w:rFonts w:ascii="Century Gothic" w:hAnsi="Century Gothic"/>
        </w:rPr>
        <w:t xml:space="preserve"> </w:t>
      </w:r>
      <w:r w:rsidR="0009256C">
        <w:rPr>
          <w:rFonts w:ascii="Century Gothic" w:hAnsi="Century Gothic"/>
        </w:rPr>
        <w:t xml:space="preserve">– </w:t>
      </w:r>
      <w:r w:rsidR="00F17845">
        <w:rPr>
          <w:rFonts w:ascii="Century Gothic" w:hAnsi="Century Gothic"/>
        </w:rPr>
        <w:t xml:space="preserve">possibly </w:t>
      </w:r>
      <w:r w:rsidR="0009256C">
        <w:rPr>
          <w:rFonts w:ascii="Century Gothic" w:hAnsi="Century Gothic"/>
        </w:rPr>
        <w:t xml:space="preserve">the beginning of the law. </w:t>
      </w:r>
      <w:r w:rsidR="00F876C5">
        <w:rPr>
          <w:rFonts w:ascii="Century Gothic" w:hAnsi="Century Gothic"/>
        </w:rPr>
        <w:t>Here we see how religion is tied to royalty</w:t>
      </w:r>
      <w:r w:rsidR="00170669">
        <w:rPr>
          <w:rFonts w:ascii="Century Gothic" w:hAnsi="Century Gothic"/>
        </w:rPr>
        <w:t>, as kings are seen as human representatives for the gods</w:t>
      </w:r>
      <w:sdt>
        <w:sdtPr>
          <w:rPr>
            <w:rFonts w:ascii="Century Gothic" w:hAnsi="Century Gothic"/>
          </w:rPr>
          <w:id w:val="-1689674373"/>
          <w:citation/>
        </w:sdtPr>
        <w:sdtEndPr/>
        <w:sdtContent>
          <w:r w:rsidR="00963B22">
            <w:rPr>
              <w:rFonts w:ascii="Century Gothic" w:hAnsi="Century Gothic"/>
            </w:rPr>
            <w:fldChar w:fldCharType="begin"/>
          </w:r>
          <w:r w:rsidR="00963B22">
            <w:rPr>
              <w:rFonts w:ascii="Century Gothic" w:hAnsi="Century Gothic"/>
            </w:rPr>
            <w:instrText xml:space="preserve"> CITATION Dav17 \l 2057 </w:instrText>
          </w:r>
          <w:r w:rsidR="00963B22">
            <w:rPr>
              <w:rFonts w:ascii="Century Gothic" w:hAnsi="Century Gothic"/>
            </w:rPr>
            <w:fldChar w:fldCharType="separate"/>
          </w:r>
          <w:r w:rsidR="00963B22">
            <w:rPr>
              <w:rFonts w:ascii="Century Gothic" w:hAnsi="Century Gothic"/>
              <w:noProof/>
            </w:rPr>
            <w:t xml:space="preserve"> </w:t>
          </w:r>
          <w:r w:rsidR="00963B22" w:rsidRPr="00963B22">
            <w:rPr>
              <w:rFonts w:ascii="Century Gothic" w:hAnsi="Century Gothic"/>
              <w:noProof/>
            </w:rPr>
            <w:t>(Graeber &amp; Sahlins, 2017)</w:t>
          </w:r>
          <w:r w:rsidR="00963B22">
            <w:rPr>
              <w:rFonts w:ascii="Century Gothic" w:hAnsi="Century Gothic"/>
            </w:rPr>
            <w:fldChar w:fldCharType="end"/>
          </w:r>
        </w:sdtContent>
      </w:sdt>
      <w:r w:rsidR="00170669">
        <w:rPr>
          <w:rFonts w:ascii="Century Gothic" w:hAnsi="Century Gothic"/>
        </w:rPr>
        <w:t xml:space="preserve">. </w:t>
      </w:r>
    </w:p>
    <w:p w14:paraId="7388EF1A" w14:textId="77777777" w:rsidR="00534ED1" w:rsidRDefault="00534ED1">
      <w:pPr>
        <w:rPr>
          <w:rFonts w:ascii="Century Gothic" w:hAnsi="Century Gothic"/>
        </w:rPr>
      </w:pPr>
    </w:p>
    <w:p w14:paraId="135FDCEB" w14:textId="66815B3B" w:rsidR="00534ED1" w:rsidRDefault="00534ED1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To conclude, </w:t>
      </w:r>
      <w:r w:rsidR="007A1A3A">
        <w:rPr>
          <w:rFonts w:ascii="Century Gothic" w:hAnsi="Century Gothic"/>
        </w:rPr>
        <w:t>the egalitarian structure of societies such as the Mbuti and the Ju/’hoansi</w:t>
      </w:r>
      <w:r w:rsidR="00F72DA3">
        <w:rPr>
          <w:rFonts w:ascii="Century Gothic" w:hAnsi="Century Gothic"/>
        </w:rPr>
        <w:t xml:space="preserve"> means that no chief or leader </w:t>
      </w:r>
      <w:r w:rsidR="00394A34">
        <w:rPr>
          <w:rFonts w:ascii="Century Gothic" w:hAnsi="Century Gothic"/>
        </w:rPr>
        <w:t>hold</w:t>
      </w:r>
      <w:r w:rsidR="007C1B2E">
        <w:rPr>
          <w:rFonts w:ascii="Century Gothic" w:hAnsi="Century Gothic"/>
        </w:rPr>
        <w:t>s</w:t>
      </w:r>
      <w:r w:rsidR="00394A34">
        <w:rPr>
          <w:rFonts w:ascii="Century Gothic" w:hAnsi="Century Gothic"/>
        </w:rPr>
        <w:t xml:space="preserve"> authority or power of the rest, and they have found ways of </w:t>
      </w:r>
      <w:r w:rsidR="00EF471D">
        <w:rPr>
          <w:rFonts w:ascii="Century Gothic" w:hAnsi="Century Gothic"/>
        </w:rPr>
        <w:t>establishing and continuing such ideas: levelling mechanisms such as insulting the meat</w:t>
      </w:r>
      <w:r w:rsidR="00D65B58">
        <w:rPr>
          <w:rFonts w:ascii="Century Gothic" w:hAnsi="Century Gothic"/>
        </w:rPr>
        <w:t xml:space="preserve"> and ownership of resources</w:t>
      </w:r>
      <w:r w:rsidR="009E1A03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980110585"/>
          <w:citation/>
        </w:sdtPr>
        <w:sdtEndPr/>
        <w:sdtContent>
          <w:r w:rsidR="009E1A03">
            <w:rPr>
              <w:rFonts w:ascii="Century Gothic" w:hAnsi="Century Gothic"/>
            </w:rPr>
            <w:fldChar w:fldCharType="begin"/>
          </w:r>
          <w:r w:rsidR="009E1A03">
            <w:rPr>
              <w:rFonts w:ascii="Century Gothic" w:hAnsi="Century Gothic"/>
            </w:rPr>
            <w:instrText xml:space="preserve"> CITATION Ric13 \l 2057 </w:instrText>
          </w:r>
          <w:r w:rsidR="009E1A03">
            <w:rPr>
              <w:rFonts w:ascii="Century Gothic" w:hAnsi="Century Gothic"/>
            </w:rPr>
            <w:fldChar w:fldCharType="separate"/>
          </w:r>
          <w:r w:rsidR="009E1A03" w:rsidRPr="009E1A03">
            <w:rPr>
              <w:rFonts w:ascii="Century Gothic" w:hAnsi="Century Gothic"/>
              <w:noProof/>
            </w:rPr>
            <w:t>(Lee, 2013)</w:t>
          </w:r>
          <w:r w:rsidR="009E1A03">
            <w:rPr>
              <w:rFonts w:ascii="Century Gothic" w:hAnsi="Century Gothic"/>
            </w:rPr>
            <w:fldChar w:fldCharType="end"/>
          </w:r>
        </w:sdtContent>
      </w:sdt>
      <w:sdt>
        <w:sdtPr>
          <w:rPr>
            <w:rFonts w:ascii="Century Gothic" w:hAnsi="Century Gothic"/>
          </w:rPr>
          <w:id w:val="-1492404309"/>
          <w:citation/>
        </w:sdtPr>
        <w:sdtEndPr/>
        <w:sdtContent>
          <w:r w:rsidR="009E1A03">
            <w:rPr>
              <w:rFonts w:ascii="Century Gothic" w:hAnsi="Century Gothic"/>
            </w:rPr>
            <w:fldChar w:fldCharType="begin"/>
          </w:r>
          <w:r w:rsidR="009E1A03">
            <w:rPr>
              <w:rFonts w:ascii="Century Gothic" w:hAnsi="Century Gothic"/>
            </w:rPr>
            <w:instrText xml:space="preserve"> CITATION Jam82 \l 2057 </w:instrText>
          </w:r>
          <w:r w:rsidR="009E1A03">
            <w:rPr>
              <w:rFonts w:ascii="Century Gothic" w:hAnsi="Century Gothic"/>
            </w:rPr>
            <w:fldChar w:fldCharType="separate"/>
          </w:r>
          <w:r w:rsidR="009E1A03">
            <w:rPr>
              <w:rFonts w:ascii="Century Gothic" w:hAnsi="Century Gothic"/>
              <w:noProof/>
            </w:rPr>
            <w:t xml:space="preserve"> </w:t>
          </w:r>
          <w:r w:rsidR="009E1A03" w:rsidRPr="009E1A03">
            <w:rPr>
              <w:rFonts w:ascii="Century Gothic" w:hAnsi="Century Gothic"/>
              <w:noProof/>
            </w:rPr>
            <w:t>(Woodburn, 1982)</w:t>
          </w:r>
          <w:r w:rsidR="009E1A03">
            <w:rPr>
              <w:rFonts w:ascii="Century Gothic" w:hAnsi="Century Gothic"/>
            </w:rPr>
            <w:fldChar w:fldCharType="end"/>
          </w:r>
        </w:sdtContent>
      </w:sdt>
      <w:r w:rsidR="00D65B58">
        <w:rPr>
          <w:rFonts w:ascii="Century Gothic" w:hAnsi="Century Gothic"/>
        </w:rPr>
        <w:t xml:space="preserve">. </w:t>
      </w:r>
      <w:r w:rsidR="000002AD">
        <w:rPr>
          <w:rFonts w:ascii="Century Gothic" w:hAnsi="Century Gothic"/>
        </w:rPr>
        <w:t>Po</w:t>
      </w:r>
      <w:r w:rsidR="00962B43">
        <w:rPr>
          <w:rFonts w:ascii="Century Gothic" w:hAnsi="Century Gothic"/>
        </w:rPr>
        <w:t>wer in such societies is therefore not attri</w:t>
      </w:r>
      <w:r w:rsidR="00E9239F">
        <w:rPr>
          <w:rFonts w:ascii="Century Gothic" w:hAnsi="Century Gothic"/>
        </w:rPr>
        <w:t>buted to people</w:t>
      </w:r>
      <w:sdt>
        <w:sdtPr>
          <w:rPr>
            <w:rFonts w:ascii="Century Gothic" w:hAnsi="Century Gothic"/>
          </w:rPr>
          <w:id w:val="-1926947529"/>
          <w:citation/>
        </w:sdtPr>
        <w:sdtEndPr/>
        <w:sdtContent>
          <w:r w:rsidR="00E9239F">
            <w:rPr>
              <w:rFonts w:ascii="Century Gothic" w:hAnsi="Century Gothic"/>
            </w:rPr>
            <w:fldChar w:fldCharType="begin"/>
          </w:r>
          <w:r w:rsidR="00E9239F">
            <w:rPr>
              <w:rFonts w:ascii="Century Gothic" w:hAnsi="Century Gothic"/>
            </w:rPr>
            <w:instrText xml:space="preserve"> CITATION Ric13 \l 2057 </w:instrText>
          </w:r>
          <w:r w:rsidR="00E9239F">
            <w:rPr>
              <w:rFonts w:ascii="Century Gothic" w:hAnsi="Century Gothic"/>
            </w:rPr>
            <w:fldChar w:fldCharType="separate"/>
          </w:r>
          <w:r w:rsidR="00E9239F" w:rsidRPr="00E9239F">
            <w:rPr>
              <w:rFonts w:ascii="Century Gothic" w:hAnsi="Century Gothic"/>
              <w:noProof/>
            </w:rPr>
            <w:t>(Lee, 2013)</w:t>
          </w:r>
          <w:r w:rsidR="00E9239F">
            <w:rPr>
              <w:rFonts w:ascii="Century Gothic" w:hAnsi="Century Gothic"/>
            </w:rPr>
            <w:fldChar w:fldCharType="end"/>
          </w:r>
        </w:sdtContent>
      </w:sdt>
      <w:r w:rsidR="00A166EA">
        <w:rPr>
          <w:rFonts w:ascii="Century Gothic" w:hAnsi="Century Gothic"/>
        </w:rPr>
        <w:t xml:space="preserve"> but </w:t>
      </w:r>
      <w:r w:rsidR="006D0FB8">
        <w:rPr>
          <w:rFonts w:ascii="Century Gothic" w:hAnsi="Century Gothic"/>
        </w:rPr>
        <w:t>in hierarchical societies with kings as the leaders, one person holds all power over the individuals</w:t>
      </w:r>
      <w:r w:rsidR="00C8704F">
        <w:rPr>
          <w:rFonts w:ascii="Century Gothic" w:hAnsi="Century Gothic"/>
        </w:rPr>
        <w:t xml:space="preserve"> as kings are human representations of the divine powers</w:t>
      </w:r>
      <w:r w:rsidR="00B76583">
        <w:rPr>
          <w:rFonts w:ascii="Century Gothic" w:hAnsi="Century Gothic"/>
        </w:rPr>
        <w:t>, created through ritual and belief</w:t>
      </w:r>
      <w:r w:rsidR="00725F4C">
        <w:rPr>
          <w:rFonts w:ascii="Century Gothic" w:hAnsi="Century Gothic"/>
        </w:rPr>
        <w:t>.</w:t>
      </w:r>
      <w:r w:rsidR="009C24B0">
        <w:rPr>
          <w:rFonts w:ascii="Century Gothic" w:hAnsi="Century Gothic"/>
        </w:rPr>
        <w:t xml:space="preserve"> </w:t>
      </w:r>
      <w:sdt>
        <w:sdtPr>
          <w:rPr>
            <w:rFonts w:ascii="Century Gothic" w:hAnsi="Century Gothic"/>
          </w:rPr>
          <w:id w:val="1425839050"/>
          <w:citation/>
        </w:sdtPr>
        <w:sdtEndPr/>
        <w:sdtContent>
          <w:r w:rsidR="009C24B0">
            <w:rPr>
              <w:rFonts w:ascii="Century Gothic" w:hAnsi="Century Gothic"/>
            </w:rPr>
            <w:fldChar w:fldCharType="begin"/>
          </w:r>
          <w:r w:rsidR="009C24B0">
            <w:rPr>
              <w:rFonts w:ascii="Century Gothic" w:hAnsi="Century Gothic"/>
            </w:rPr>
            <w:instrText xml:space="preserve"> CITATION Dav17 \l 2057 </w:instrText>
          </w:r>
          <w:r w:rsidR="009C24B0">
            <w:rPr>
              <w:rFonts w:ascii="Century Gothic" w:hAnsi="Century Gothic"/>
            </w:rPr>
            <w:fldChar w:fldCharType="separate"/>
          </w:r>
          <w:r w:rsidR="009C24B0" w:rsidRPr="009C24B0">
            <w:rPr>
              <w:rFonts w:ascii="Century Gothic" w:hAnsi="Century Gothic"/>
              <w:noProof/>
            </w:rPr>
            <w:t>(Graeber &amp; Sahlins, 2017)</w:t>
          </w:r>
          <w:r w:rsidR="009C24B0">
            <w:rPr>
              <w:rFonts w:ascii="Century Gothic" w:hAnsi="Century Gothic"/>
            </w:rPr>
            <w:fldChar w:fldCharType="end"/>
          </w:r>
        </w:sdtContent>
      </w:sdt>
      <w:r w:rsidR="009C24B0">
        <w:rPr>
          <w:rFonts w:ascii="Century Gothic" w:hAnsi="Century Gothic"/>
        </w:rPr>
        <w:t xml:space="preserve">. </w:t>
      </w:r>
    </w:p>
    <w:p w14:paraId="712B02F0" w14:textId="77777777" w:rsidR="00725F4C" w:rsidRDefault="00725F4C">
      <w:pPr>
        <w:rPr>
          <w:rFonts w:ascii="Century Gothic" w:hAnsi="Century Gothic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77127839"/>
        <w:docPartObj>
          <w:docPartGallery w:val="Bibliographies"/>
          <w:docPartUnique/>
        </w:docPartObj>
      </w:sdtPr>
      <w:sdtEndPr/>
      <w:sdtContent>
        <w:p w14:paraId="6EBF2EE3" w14:textId="2F487F01" w:rsidR="002F3332" w:rsidRDefault="002F333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9B367B2" w14:textId="77777777" w:rsidR="002F3332" w:rsidRDefault="002F3332" w:rsidP="002F333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Cambridge Dictionary, n.d. </w:t>
              </w:r>
              <w:r>
                <w:rPr>
                  <w:i/>
                  <w:iCs/>
                  <w:noProof/>
                  <w:lang w:val="en-US"/>
                </w:rPr>
                <w:t xml:space="preserve">Power.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https://dictionary.cambridge.org/dictionary/english/power</w:t>
              </w:r>
              <w:r>
                <w:rPr>
                  <w:noProof/>
                  <w:lang w:val="en-US"/>
                </w:rPr>
                <w:br/>
                <w:t>[Accessed 28th September 2022].</w:t>
              </w:r>
            </w:p>
            <w:p w14:paraId="029E0271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Diamond, J., 1987. The Worst Mistake in the History of the Human Race. </w:t>
              </w:r>
              <w:r>
                <w:rPr>
                  <w:i/>
                  <w:iCs/>
                  <w:noProof/>
                  <w:lang w:val="en-US"/>
                </w:rPr>
                <w:t>Discover Magazine</w:t>
              </w:r>
              <w:r>
                <w:rPr>
                  <w:noProof/>
                  <w:lang w:val="en-US"/>
                </w:rPr>
                <w:t>, May, pp. 64-66.</w:t>
              </w:r>
            </w:p>
            <w:p w14:paraId="02D05650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Graeber, D. &amp; Dubrovsky, N., 2020. </w:t>
              </w:r>
              <w:r>
                <w:rPr>
                  <w:i/>
                  <w:iCs/>
                  <w:noProof/>
                  <w:lang w:val="en-US"/>
                </w:rPr>
                <w:t xml:space="preserve">What are Kings?. </w:t>
              </w:r>
              <w:r>
                <w:rPr>
                  <w:noProof/>
                  <w:lang w:val="en-US"/>
                </w:rPr>
                <w:t>s.l.:Eb00k LLC.</w:t>
              </w:r>
            </w:p>
            <w:p w14:paraId="0D8BE374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Graeber, D. &amp; Sahlins, M., 2017. </w:t>
              </w:r>
              <w:r>
                <w:rPr>
                  <w:i/>
                  <w:iCs/>
                  <w:noProof/>
                  <w:lang w:val="en-US"/>
                </w:rPr>
                <w:t xml:space="preserve">On Kings. </w:t>
              </w:r>
              <w:r>
                <w:rPr>
                  <w:noProof/>
                  <w:lang w:val="en-US"/>
                </w:rPr>
                <w:t>Chicago: Hua Books.</w:t>
              </w:r>
            </w:p>
            <w:p w14:paraId="4AA19FF1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Lee, R. B., 2013. </w:t>
              </w:r>
              <w:r>
                <w:rPr>
                  <w:i/>
                  <w:iCs/>
                  <w:noProof/>
                  <w:lang w:val="en-US"/>
                </w:rPr>
                <w:t xml:space="preserve">The Dobe Ju/'hoansi. </w:t>
              </w:r>
              <w:r>
                <w:rPr>
                  <w:noProof/>
                  <w:lang w:val="en-US"/>
                </w:rPr>
                <w:t>fourth edition ed. s.l.:Wadsworth Cengage Learning.</w:t>
              </w:r>
            </w:p>
            <w:p w14:paraId="3581CBB8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Lewis-Williams, J. &amp; Dowson, T., 1988. The Signs of All Times: Entopic Phenomena in Upper Paleolithic Art. </w:t>
              </w:r>
              <w:r>
                <w:rPr>
                  <w:i/>
                  <w:iCs/>
                  <w:noProof/>
                  <w:lang w:val="en-US"/>
                </w:rPr>
                <w:t xml:space="preserve">The University of Chicago Press Journals, </w:t>
              </w:r>
              <w:r>
                <w:rPr>
                  <w:noProof/>
                  <w:lang w:val="en-US"/>
                </w:rPr>
                <w:t>Volume 29, pp. 201-245.</w:t>
              </w:r>
            </w:p>
            <w:p w14:paraId="4F711A13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Merriam-Webster, n.d. </w:t>
              </w:r>
              <w:r>
                <w:rPr>
                  <w:i/>
                  <w:iCs/>
                  <w:noProof/>
                  <w:lang w:val="en-US"/>
                </w:rPr>
                <w:t xml:space="preserve">Entheogen.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https://www.merriam-webster.com/dictionary/entheogen</w:t>
              </w:r>
              <w:r>
                <w:rPr>
                  <w:noProof/>
                  <w:lang w:val="en-US"/>
                </w:rPr>
                <w:br/>
                <w:t>[Accessed 28th September 2022].</w:t>
              </w:r>
            </w:p>
            <w:p w14:paraId="410228A3" w14:textId="77777777" w:rsidR="002F3332" w:rsidRDefault="002F3332" w:rsidP="002F333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Woodburn, J., 1982. Egalitarian Societies. </w:t>
              </w:r>
              <w:r>
                <w:rPr>
                  <w:i/>
                  <w:iCs/>
                  <w:noProof/>
                  <w:lang w:val="en-US"/>
                </w:rPr>
                <w:t xml:space="preserve">Man, Volume 17, No.3 , </w:t>
              </w:r>
              <w:r>
                <w:rPr>
                  <w:noProof/>
                  <w:lang w:val="en-US"/>
                </w:rPr>
                <w:t>pp. 431-451.</w:t>
              </w:r>
            </w:p>
            <w:p w14:paraId="3776BC77" w14:textId="2406ADDB" w:rsidR="002F3332" w:rsidRDefault="002F3332" w:rsidP="002F333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8472CA9" w14:textId="494ECA99" w:rsidR="00725F4C" w:rsidRPr="00572C0F" w:rsidRDefault="00725F4C">
      <w:pPr>
        <w:rPr>
          <w:rFonts w:ascii="Century Gothic" w:hAnsi="Century Gothic"/>
        </w:rPr>
      </w:pPr>
    </w:p>
    <w:sectPr w:rsidR="00725F4C" w:rsidRPr="00572C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altName w:val="Century Gothic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C0F"/>
    <w:rsid w:val="000002AD"/>
    <w:rsid w:val="00003BCA"/>
    <w:rsid w:val="00005A3D"/>
    <w:rsid w:val="00020887"/>
    <w:rsid w:val="000279BF"/>
    <w:rsid w:val="000371CE"/>
    <w:rsid w:val="00046827"/>
    <w:rsid w:val="00052FD8"/>
    <w:rsid w:val="0009256C"/>
    <w:rsid w:val="000A7A06"/>
    <w:rsid w:val="000B6D7A"/>
    <w:rsid w:val="000B702D"/>
    <w:rsid w:val="000F1F0A"/>
    <w:rsid w:val="00141ABB"/>
    <w:rsid w:val="00170669"/>
    <w:rsid w:val="00180119"/>
    <w:rsid w:val="001B04E4"/>
    <w:rsid w:val="001C19BA"/>
    <w:rsid w:val="001D3ECC"/>
    <w:rsid w:val="001F1A3D"/>
    <w:rsid w:val="00240367"/>
    <w:rsid w:val="00275DC1"/>
    <w:rsid w:val="00276B0A"/>
    <w:rsid w:val="002A75EA"/>
    <w:rsid w:val="002D1CFA"/>
    <w:rsid w:val="002E0CAD"/>
    <w:rsid w:val="002F3332"/>
    <w:rsid w:val="00360C6D"/>
    <w:rsid w:val="00371858"/>
    <w:rsid w:val="003776E7"/>
    <w:rsid w:val="00391C41"/>
    <w:rsid w:val="003943DA"/>
    <w:rsid w:val="00394A34"/>
    <w:rsid w:val="003A2A0E"/>
    <w:rsid w:val="003A6584"/>
    <w:rsid w:val="003C48EF"/>
    <w:rsid w:val="003F50C2"/>
    <w:rsid w:val="00440216"/>
    <w:rsid w:val="0045140A"/>
    <w:rsid w:val="00494199"/>
    <w:rsid w:val="00495382"/>
    <w:rsid w:val="004C52AF"/>
    <w:rsid w:val="00517FDC"/>
    <w:rsid w:val="005232FC"/>
    <w:rsid w:val="00534ED1"/>
    <w:rsid w:val="0054425B"/>
    <w:rsid w:val="005508EA"/>
    <w:rsid w:val="005561B3"/>
    <w:rsid w:val="00572C0F"/>
    <w:rsid w:val="00576321"/>
    <w:rsid w:val="005B0B23"/>
    <w:rsid w:val="005E3441"/>
    <w:rsid w:val="005E6955"/>
    <w:rsid w:val="006306EA"/>
    <w:rsid w:val="00632ADE"/>
    <w:rsid w:val="00640972"/>
    <w:rsid w:val="00662EA4"/>
    <w:rsid w:val="006802A3"/>
    <w:rsid w:val="0068737E"/>
    <w:rsid w:val="006B1DFF"/>
    <w:rsid w:val="006D0FB8"/>
    <w:rsid w:val="006D37CA"/>
    <w:rsid w:val="00725F4C"/>
    <w:rsid w:val="0074301C"/>
    <w:rsid w:val="00744BAD"/>
    <w:rsid w:val="00752760"/>
    <w:rsid w:val="00753F7E"/>
    <w:rsid w:val="007A1A3A"/>
    <w:rsid w:val="007C1B2E"/>
    <w:rsid w:val="007D2F91"/>
    <w:rsid w:val="007D37E3"/>
    <w:rsid w:val="007F6E02"/>
    <w:rsid w:val="008013EE"/>
    <w:rsid w:val="00840629"/>
    <w:rsid w:val="00852569"/>
    <w:rsid w:val="00903C1E"/>
    <w:rsid w:val="00910FE2"/>
    <w:rsid w:val="00920A0A"/>
    <w:rsid w:val="00940BC9"/>
    <w:rsid w:val="00962B43"/>
    <w:rsid w:val="00963B22"/>
    <w:rsid w:val="009C24B0"/>
    <w:rsid w:val="009D530A"/>
    <w:rsid w:val="009D548E"/>
    <w:rsid w:val="009E1A03"/>
    <w:rsid w:val="00A0532B"/>
    <w:rsid w:val="00A166EA"/>
    <w:rsid w:val="00A220C4"/>
    <w:rsid w:val="00A3075A"/>
    <w:rsid w:val="00AB1AEC"/>
    <w:rsid w:val="00AC25DA"/>
    <w:rsid w:val="00AF24A1"/>
    <w:rsid w:val="00B00937"/>
    <w:rsid w:val="00B20E84"/>
    <w:rsid w:val="00B76583"/>
    <w:rsid w:val="00B93BF4"/>
    <w:rsid w:val="00BD455B"/>
    <w:rsid w:val="00BF5C6D"/>
    <w:rsid w:val="00C04FFF"/>
    <w:rsid w:val="00C17643"/>
    <w:rsid w:val="00C227A8"/>
    <w:rsid w:val="00C33DEE"/>
    <w:rsid w:val="00C36D5D"/>
    <w:rsid w:val="00C41F8E"/>
    <w:rsid w:val="00C8704F"/>
    <w:rsid w:val="00CC1C60"/>
    <w:rsid w:val="00CE6136"/>
    <w:rsid w:val="00D026A8"/>
    <w:rsid w:val="00D16483"/>
    <w:rsid w:val="00D65B58"/>
    <w:rsid w:val="00D80C57"/>
    <w:rsid w:val="00D841B2"/>
    <w:rsid w:val="00D9140D"/>
    <w:rsid w:val="00D93854"/>
    <w:rsid w:val="00DD7937"/>
    <w:rsid w:val="00DF3999"/>
    <w:rsid w:val="00E21F42"/>
    <w:rsid w:val="00E274B8"/>
    <w:rsid w:val="00E57D81"/>
    <w:rsid w:val="00E6136D"/>
    <w:rsid w:val="00E8055B"/>
    <w:rsid w:val="00E91D14"/>
    <w:rsid w:val="00E9239F"/>
    <w:rsid w:val="00EE59B5"/>
    <w:rsid w:val="00EF471D"/>
    <w:rsid w:val="00F070B7"/>
    <w:rsid w:val="00F17845"/>
    <w:rsid w:val="00F3372E"/>
    <w:rsid w:val="00F55AC4"/>
    <w:rsid w:val="00F7020C"/>
    <w:rsid w:val="00F72DA3"/>
    <w:rsid w:val="00F82A06"/>
    <w:rsid w:val="00F876C5"/>
    <w:rsid w:val="00FA2328"/>
    <w:rsid w:val="00FB0E2B"/>
    <w:rsid w:val="00FB7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1EDB2"/>
  <w15:chartTrackingRefBased/>
  <w15:docId w15:val="{942DEDCA-55EE-49E0-9B65-E5A7CDA66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5F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F4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25F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24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2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7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7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8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62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80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8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7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0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6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11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5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63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7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9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4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2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1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3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0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7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5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0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1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2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6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8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5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Jam82</b:Tag>
    <b:SourceType>JournalArticle</b:SourceType>
    <b:Guid>{DAC1BF75-D21F-4C2E-A31C-D1E9E4343CD0}</b:Guid>
    <b:Title>Egalitarian Societies</b:Title>
    <b:Year>1982</b:Year>
    <b:Author>
      <b:Author>
        <b:NameList>
          <b:Person>
            <b:Last>Woodburn</b:Last>
            <b:First>James</b:First>
          </b:Person>
        </b:NameList>
      </b:Author>
    </b:Author>
    <b:JournalName>Man, Volume 17, No.3 </b:JournalName>
    <b:Pages>431-451</b:Pages>
    <b:RefOrder>3</b:RefOrder>
  </b:Source>
  <b:Source>
    <b:Tag>Jar87</b:Tag>
    <b:SourceType>ArticleInAPeriodical</b:SourceType>
    <b:Guid>{BD0136F3-A267-4807-902F-3F1FD5D28E81}</b:Guid>
    <b:Title>The Worst Mistake in the History of the Human Race</b:Title>
    <b:Year>1987</b:Year>
    <b:Pages>64-66</b:Pages>
    <b:Author>
      <b:Author>
        <b:NameList>
          <b:Person>
            <b:Last>Diamond</b:Last>
            <b:First>Jared</b:First>
          </b:Person>
        </b:NameList>
      </b:Author>
    </b:Author>
    <b:PeriodicalTitle>Discover Magazine</b:PeriodicalTitle>
    <b:Month>May</b:Month>
    <b:RefOrder>4</b:RefOrder>
  </b:Source>
  <b:Source>
    <b:Tag>JDL88</b:Tag>
    <b:SourceType>JournalArticle</b:SourceType>
    <b:Guid>{550521F1-0DF9-4390-ABC4-39DA73823980}</b:Guid>
    <b:Title>The Signs of All Times: Entopic Phenomena in Upper Paleolithic Art</b:Title>
    <b:Year>1988</b:Year>
    <b:Author>
      <b:Author>
        <b:NameList>
          <b:Person>
            <b:Last>Lewis-Williams</b:Last>
            <b:First>JD</b:First>
          </b:Person>
          <b:Person>
            <b:Last>Dowson</b:Last>
            <b:First>TA</b:First>
          </b:Person>
        </b:NameList>
      </b:Author>
    </b:Author>
    <b:JournalName>The University of Chicago Press Journals</b:JournalName>
    <b:Pages>201-245</b:Pages>
    <b:Volume>29</b:Volume>
    <b:RefOrder>5</b:RefOrder>
  </b:Source>
  <b:Source>
    <b:Tag>Dav20</b:Tag>
    <b:SourceType>Book</b:SourceType>
    <b:Guid>{ECFFA250-EB43-46F6-A4E7-2AAB17517212}</b:Guid>
    <b:Title>What are Kings?</b:Title>
    <b:Year>2020</b:Year>
    <b:Author>
      <b:Author>
        <b:NameList>
          <b:Person>
            <b:Last>Graeber</b:Last>
            <b:First>David</b:First>
          </b:Person>
          <b:Person>
            <b:Last>Dubrovsky</b:Last>
            <b:First>Nika</b:First>
          </b:Person>
        </b:NameList>
      </b:Author>
    </b:Author>
    <b:Publisher>Eb00k LLC</b:Publisher>
    <b:RefOrder>7</b:RefOrder>
  </b:Source>
  <b:Source>
    <b:Tag>Dav17</b:Tag>
    <b:SourceType>Book</b:SourceType>
    <b:Guid>{908E031A-F7E1-4AC5-A69F-57D1C65FD91B}</b:Guid>
    <b:Author>
      <b:Author>
        <b:NameList>
          <b:Person>
            <b:Last>Graeber</b:Last>
            <b:First>David</b:First>
          </b:Person>
          <b:Person>
            <b:Last>Sahlins</b:Last>
            <b:First>Marshall</b:First>
          </b:Person>
        </b:NameList>
      </b:Author>
    </b:Author>
    <b:Title>On Kings</b:Title>
    <b:Year>2017</b:Year>
    <b:City>Chicago</b:City>
    <b:Publisher>Hua Books</b:Publisher>
    <b:RefOrder>8</b:RefOrder>
  </b:Source>
  <b:Source>
    <b:Tag>Ric13</b:Tag>
    <b:SourceType>Book</b:SourceType>
    <b:Guid>{197F2804-6ED9-406E-8ECF-671FBEBB1CB5}</b:Guid>
    <b:Author>
      <b:Author>
        <b:NameList>
          <b:Person>
            <b:Last>Lee</b:Last>
            <b:First>Richard</b:First>
            <b:Middle>B.</b:Middle>
          </b:Person>
        </b:NameList>
      </b:Author>
    </b:Author>
    <b:Title>The Dobe Ju/'hoansi</b:Title>
    <b:Year>2013</b:Year>
    <b:Publisher>Wadsworth Cengage Learning</b:Publisher>
    <b:Edition>fourth edition</b:Edition>
    <b:RefOrder>1</b:RefOrder>
  </b:Source>
  <b:Source>
    <b:Tag>Cam</b:Tag>
    <b:SourceType>InternetSite</b:SourceType>
    <b:Guid>{8BD5DB6A-77B8-4189-A878-53E337D2418B}</b:Guid>
    <b:Title>Power</b:Title>
    <b:Author>
      <b:Author>
        <b:Corporate>Cambridge Dictionary</b:Corporate>
      </b:Author>
    </b:Author>
    <b:InternetSiteTitle>Cambridge Dictionary</b:InternetSiteTitle>
    <b:URL>https://dictionary.cambridge.org/dictionary/english/power</b:URL>
    <b:YearAccessed>2022</b:YearAccessed>
    <b:MonthAccessed>September</b:MonthAccessed>
    <b:DayAccessed>28th</b:DayAccessed>
    <b:RefOrder>2</b:RefOrder>
  </b:Source>
  <b:Source>
    <b:Tag>Mer</b:Tag>
    <b:SourceType>InternetSite</b:SourceType>
    <b:Guid>{AAB28DE5-74E7-4F8C-A3E4-F64EFA135686}</b:Guid>
    <b:Title>Entheogen</b:Title>
    <b:Author>
      <b:Author>
        <b:Corporate>Merriam-Webster</b:Corporate>
      </b:Author>
    </b:Author>
    <b:InternetSiteTitle>Merriam-Webster</b:InternetSiteTitle>
    <b:URL>https://www.merriam-webster.com/dictionary/entheogen</b:URL>
    <b:YearAccessed>2022</b:YearAccessed>
    <b:MonthAccessed>September</b:MonthAccessed>
    <b:DayAccessed>28th</b:DayAccessed>
    <b:RefOrder>6</b:RefOrder>
  </b:Source>
</b:Sources>
</file>

<file path=customXml/itemProps1.xml><?xml version="1.0" encoding="utf-8"?>
<ds:datastoreItem xmlns:ds="http://schemas.openxmlformats.org/officeDocument/2006/customXml" ds:itemID="{74608A59-5DFF-4564-822C-D705B21C9B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</TotalTime>
  <Pages>3</Pages>
  <Words>1202</Words>
  <Characters>6857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Collins</dc:creator>
  <cp:keywords/>
  <dc:description/>
  <cp:lastModifiedBy>Holly Collins</cp:lastModifiedBy>
  <cp:revision>129</cp:revision>
  <dcterms:created xsi:type="dcterms:W3CDTF">2022-09-28T11:53:00Z</dcterms:created>
  <dcterms:modified xsi:type="dcterms:W3CDTF">2022-09-30T13:25:00Z</dcterms:modified>
</cp:coreProperties>
</file>