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A8BE2" w14:textId="77777777" w:rsidR="00E22F67" w:rsidRDefault="00E22F6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0C52ED9" w14:textId="77777777" w:rsidR="00E22F67" w:rsidRDefault="00E22F6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7A326A8" w14:textId="77777777" w:rsidR="00E22F67" w:rsidRDefault="00E22F6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90EBD1F" w14:textId="77777777" w:rsidR="00E22F67" w:rsidRDefault="00E22F6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57A09AF" w14:textId="77777777" w:rsidR="00E22F67" w:rsidRDefault="00E22F6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4FB58E8" w14:textId="77777777" w:rsidR="00290C86" w:rsidRPr="00290C8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52"/>
          <w:szCs w:val="52"/>
        </w:rPr>
      </w:pPr>
      <w:r w:rsidRPr="00290C86">
        <w:rPr>
          <w:rFonts w:ascii="Times New Roman" w:eastAsia="Times New Roman" w:hAnsi="Times New Roman" w:cs="Times New Roman"/>
          <w:b/>
          <w:color w:val="000000"/>
          <w:sz w:val="52"/>
          <w:szCs w:val="52"/>
        </w:rPr>
        <w:t xml:space="preserve">MANAGING PROJECTS IN THE </w:t>
      </w:r>
      <w:r w:rsidR="00290C86" w:rsidRPr="00290C86">
        <w:rPr>
          <w:rFonts w:ascii="Times New Roman" w:eastAsia="Times New Roman" w:hAnsi="Times New Roman" w:cs="Times New Roman"/>
          <w:b/>
          <w:color w:val="000000"/>
          <w:sz w:val="52"/>
          <w:szCs w:val="52"/>
        </w:rPr>
        <w:t>ORGANISATION</w:t>
      </w:r>
    </w:p>
    <w:p w14:paraId="7D41BF04" w14:textId="77777777" w:rsidR="00290C86"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98AF277" w14:textId="77777777" w:rsidR="00290C86"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3CBBAE4" w14:textId="77777777" w:rsidR="00290C86"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D4A9916" w14:textId="24EB4A89" w:rsidR="00290C86"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Student Name: Mihai Alexandru Netoi </w:t>
      </w:r>
    </w:p>
    <w:p w14:paraId="470EC121" w14:textId="77777777" w:rsidR="00290C86"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 2026780</w:t>
      </w:r>
    </w:p>
    <w:p w14:paraId="05D233A1" w14:textId="67EC5002" w:rsidR="00E22F67" w:rsidRDefault="00290C8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Module Code: BMSW 5104</w:t>
      </w:r>
      <w:r w:rsidR="00000000">
        <w:br w:type="page"/>
      </w:r>
    </w:p>
    <w:p w14:paraId="6C134BAD"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 xml:space="preserve">Executive Summary </w:t>
      </w:r>
    </w:p>
    <w:p w14:paraId="3B4B21C9" w14:textId="5EDED616" w:rsidR="00E22F67" w:rsidRDefault="009C0D0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main aim of the report is to enhance revenue and transform its position in the UK Food and beverage industry, Eco-Bites is set to introduce an innovative fizzy drink variety. This comes as a result of previous failed attempts to meet sales objectives for new products. The top management has allocated this crucial project with the aim of guaranteeing a successful launch of the fresh brand. Eco-Bites envisions setting themselves apart in the cut-throat market by prioritizing growth and originality, while also breathing new life into their brand identity, with the ultimate goal of leading the industry. The Agile approach gives the necessary flexibility to navigate through the ever-shifting dynamics of the market and allows quick adjustment in response to market trends and customer feedback. Targeted marketing campaigns, comprehensive market research, and sustainable practices make up the project. Navigating the dynamic F&amp;B landscape requires adept project management, stakeholder collaboration, and an agile approach for success. The Quad chart serves as a valuable communication tool offering stakeholders a concise project overview regarding its performance indications and goals. This in turn can help in fostering effective communication throughout the lifecycle of the project. Ever-evolving markets challenge companies to foster innovation, create opportunities, and sustain success. Eco-Bites' pivotal project represents their dedication to this goal, displaying their resilience as they overcome obstacles.</w:t>
      </w:r>
    </w:p>
    <w:p w14:paraId="4C5BF243" w14:textId="77777777" w:rsidR="00E22F67" w:rsidRDefault="00000000">
      <w:pPr>
        <w:rPr>
          <w:rFonts w:ascii="Times New Roman" w:eastAsia="Times New Roman" w:hAnsi="Times New Roman" w:cs="Times New Roman"/>
          <w:sz w:val="24"/>
          <w:szCs w:val="24"/>
        </w:rPr>
      </w:pPr>
      <w:r>
        <w:br w:type="page"/>
      </w:r>
    </w:p>
    <w:p w14:paraId="7E69D0CC" w14:textId="77777777" w:rsidR="00E22F67" w:rsidRDefault="00000000">
      <w:pPr>
        <w:keepNext/>
        <w:keepLines/>
        <w:pBdr>
          <w:top w:val="nil"/>
          <w:left w:val="nil"/>
          <w:bottom w:val="nil"/>
          <w:right w:val="nil"/>
          <w:between w:val="nil"/>
        </w:pBdr>
        <w:spacing w:before="240" w:line="360" w:lineRule="auto"/>
        <w:ind w:left="720" w:hanging="360"/>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6248878"/>
        <w:docPartObj>
          <w:docPartGallery w:val="Table of Contents"/>
          <w:docPartUnique/>
        </w:docPartObj>
      </w:sdtPr>
      <w:sdtContent>
        <w:p w14:paraId="3C7C27DB"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color w:val="000000"/>
                <w:sz w:val="24"/>
                <w:szCs w:val="24"/>
              </w:rPr>
              <w:t>1.</w:t>
            </w:r>
            <w:r>
              <w:rPr>
                <w:rFonts w:ascii="Times New Roman" w:eastAsia="Times New Roman" w:hAnsi="Times New Roman" w:cs="Times New Roman"/>
                <w:color w:val="000000"/>
                <w:sz w:val="24"/>
                <w:szCs w:val="24"/>
              </w:rPr>
              <w:tab/>
              <w:t>Introduction</w:t>
            </w:r>
            <w:r>
              <w:rPr>
                <w:rFonts w:ascii="Times New Roman" w:eastAsia="Times New Roman" w:hAnsi="Times New Roman" w:cs="Times New Roman"/>
                <w:color w:val="000000"/>
                <w:sz w:val="24"/>
                <w:szCs w:val="24"/>
              </w:rPr>
              <w:tab/>
              <w:t>4</w:t>
            </w:r>
          </w:hyperlink>
        </w:p>
        <w:p w14:paraId="0211DF3E"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2.</w:t>
            </w:r>
            <w:r>
              <w:rPr>
                <w:rFonts w:ascii="Times New Roman" w:eastAsia="Times New Roman" w:hAnsi="Times New Roman" w:cs="Times New Roman"/>
                <w:color w:val="000000"/>
                <w:sz w:val="24"/>
                <w:szCs w:val="24"/>
              </w:rPr>
              <w:tab/>
              <w:t>Project description</w:t>
            </w:r>
            <w:r>
              <w:rPr>
                <w:rFonts w:ascii="Times New Roman" w:eastAsia="Times New Roman" w:hAnsi="Times New Roman" w:cs="Times New Roman"/>
                <w:color w:val="000000"/>
                <w:sz w:val="24"/>
                <w:szCs w:val="24"/>
              </w:rPr>
              <w:tab/>
              <w:t>4</w:t>
            </w:r>
          </w:hyperlink>
        </w:p>
        <w:p w14:paraId="02AE0978"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ab/>
              <w:t>Scope</w:t>
            </w:r>
            <w:r>
              <w:rPr>
                <w:rFonts w:ascii="Times New Roman" w:eastAsia="Times New Roman" w:hAnsi="Times New Roman" w:cs="Times New Roman"/>
                <w:color w:val="000000"/>
                <w:sz w:val="24"/>
                <w:szCs w:val="24"/>
              </w:rPr>
              <w:tab/>
              <w:t>6</w:t>
            </w:r>
          </w:hyperlink>
        </w:p>
        <w:p w14:paraId="69AE000F"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4.</w:t>
            </w:r>
            <w:r>
              <w:rPr>
                <w:rFonts w:ascii="Times New Roman" w:eastAsia="Times New Roman" w:hAnsi="Times New Roman" w:cs="Times New Roman"/>
                <w:color w:val="000000"/>
                <w:sz w:val="24"/>
                <w:szCs w:val="24"/>
              </w:rPr>
              <w:tab/>
              <w:t>Work breakdown structure</w:t>
            </w:r>
            <w:r>
              <w:rPr>
                <w:rFonts w:ascii="Times New Roman" w:eastAsia="Times New Roman" w:hAnsi="Times New Roman" w:cs="Times New Roman"/>
                <w:color w:val="000000"/>
                <w:sz w:val="24"/>
                <w:szCs w:val="24"/>
              </w:rPr>
              <w:tab/>
              <w:t>7</w:t>
            </w:r>
          </w:hyperlink>
        </w:p>
        <w:p w14:paraId="53452A84"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5.</w:t>
            </w:r>
            <w:r>
              <w:rPr>
                <w:rFonts w:ascii="Times New Roman" w:eastAsia="Times New Roman" w:hAnsi="Times New Roman" w:cs="Times New Roman"/>
                <w:color w:val="000000"/>
                <w:sz w:val="24"/>
                <w:szCs w:val="24"/>
              </w:rPr>
              <w:tab/>
              <w:t>Quad Chart</w:t>
            </w:r>
            <w:r>
              <w:rPr>
                <w:rFonts w:ascii="Times New Roman" w:eastAsia="Times New Roman" w:hAnsi="Times New Roman" w:cs="Times New Roman"/>
                <w:color w:val="000000"/>
                <w:sz w:val="24"/>
                <w:szCs w:val="24"/>
              </w:rPr>
              <w:tab/>
              <w:t>8</w:t>
            </w:r>
          </w:hyperlink>
        </w:p>
        <w:p w14:paraId="1F7CF1CE"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6.</w:t>
            </w:r>
            <w:r>
              <w:rPr>
                <w:rFonts w:ascii="Times New Roman" w:eastAsia="Times New Roman" w:hAnsi="Times New Roman" w:cs="Times New Roman"/>
                <w:color w:val="000000"/>
                <w:sz w:val="24"/>
                <w:szCs w:val="24"/>
              </w:rPr>
              <w:tab/>
              <w:t>Gantt Chart</w:t>
            </w:r>
            <w:r>
              <w:rPr>
                <w:rFonts w:ascii="Times New Roman" w:eastAsia="Times New Roman" w:hAnsi="Times New Roman" w:cs="Times New Roman"/>
                <w:color w:val="000000"/>
                <w:sz w:val="24"/>
                <w:szCs w:val="24"/>
              </w:rPr>
              <w:tab/>
              <w:t>11</w:t>
            </w:r>
          </w:hyperlink>
        </w:p>
        <w:p w14:paraId="17553C3D"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7.</w:t>
            </w:r>
            <w:r>
              <w:rPr>
                <w:rFonts w:ascii="Times New Roman" w:eastAsia="Times New Roman" w:hAnsi="Times New Roman" w:cs="Times New Roman"/>
                <w:color w:val="000000"/>
                <w:sz w:val="24"/>
                <w:szCs w:val="24"/>
              </w:rPr>
              <w:tab/>
              <w:t>Stakeholders Involvement</w:t>
            </w:r>
            <w:r>
              <w:rPr>
                <w:rFonts w:ascii="Times New Roman" w:eastAsia="Times New Roman" w:hAnsi="Times New Roman" w:cs="Times New Roman"/>
                <w:color w:val="000000"/>
                <w:sz w:val="24"/>
                <w:szCs w:val="24"/>
              </w:rPr>
              <w:tab/>
              <w:t>11</w:t>
            </w:r>
          </w:hyperlink>
        </w:p>
        <w:p w14:paraId="3BF49FD1"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8.</w:t>
            </w:r>
            <w:r>
              <w:rPr>
                <w:rFonts w:ascii="Times New Roman" w:eastAsia="Times New Roman" w:hAnsi="Times New Roman" w:cs="Times New Roman"/>
                <w:color w:val="000000"/>
                <w:sz w:val="24"/>
                <w:szCs w:val="24"/>
              </w:rPr>
              <w:tab/>
              <w:t>Allocation of resources</w:t>
            </w:r>
            <w:r>
              <w:rPr>
                <w:rFonts w:ascii="Times New Roman" w:eastAsia="Times New Roman" w:hAnsi="Times New Roman" w:cs="Times New Roman"/>
                <w:color w:val="000000"/>
                <w:sz w:val="24"/>
                <w:szCs w:val="24"/>
              </w:rPr>
              <w:tab/>
              <w:t>12</w:t>
            </w:r>
          </w:hyperlink>
        </w:p>
        <w:p w14:paraId="32A3DC7C" w14:textId="77777777" w:rsidR="00E22F67" w:rsidRDefault="00000000">
          <w:pPr>
            <w:pBdr>
              <w:top w:val="nil"/>
              <w:left w:val="nil"/>
              <w:bottom w:val="nil"/>
              <w:right w:val="nil"/>
              <w:between w:val="nil"/>
            </w:pBdr>
            <w:tabs>
              <w:tab w:val="left" w:pos="440"/>
              <w:tab w:val="right" w:leader="dot" w:pos="9350"/>
            </w:tabs>
            <w:spacing w:after="100" w:line="360" w:lineRule="auto"/>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9.</w:t>
            </w:r>
            <w:r>
              <w:rPr>
                <w:rFonts w:ascii="Times New Roman" w:eastAsia="Times New Roman" w:hAnsi="Times New Roman" w:cs="Times New Roman"/>
                <w:color w:val="000000"/>
                <w:sz w:val="24"/>
                <w:szCs w:val="24"/>
              </w:rPr>
              <w:tab/>
              <w:t>Risk Analysis</w:t>
            </w:r>
            <w:r>
              <w:rPr>
                <w:rFonts w:ascii="Times New Roman" w:eastAsia="Times New Roman" w:hAnsi="Times New Roman" w:cs="Times New Roman"/>
                <w:color w:val="000000"/>
                <w:sz w:val="24"/>
                <w:szCs w:val="24"/>
              </w:rPr>
              <w:tab/>
              <w:t>13</w:t>
            </w:r>
          </w:hyperlink>
        </w:p>
        <w:p w14:paraId="534E466E" w14:textId="77777777" w:rsidR="00E22F67" w:rsidRDefault="00000000">
          <w:pPr>
            <w:pBdr>
              <w:top w:val="nil"/>
              <w:left w:val="nil"/>
              <w:bottom w:val="nil"/>
              <w:right w:val="nil"/>
              <w:between w:val="nil"/>
            </w:pBdr>
            <w:tabs>
              <w:tab w:val="left" w:pos="660"/>
              <w:tab w:val="right" w:leader="dot" w:pos="9350"/>
            </w:tabs>
            <w:spacing w:after="100" w:line="360" w:lineRule="auto"/>
            <w:jc w:val="both"/>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10.</w:t>
            </w:r>
            <w:r>
              <w:rPr>
                <w:rFonts w:ascii="Times New Roman" w:eastAsia="Times New Roman" w:hAnsi="Times New Roman" w:cs="Times New Roman"/>
                <w:color w:val="000000"/>
                <w:sz w:val="24"/>
                <w:szCs w:val="24"/>
              </w:rPr>
              <w:tab/>
              <w:t>Conclusion</w:t>
            </w:r>
            <w:r>
              <w:rPr>
                <w:rFonts w:ascii="Times New Roman" w:eastAsia="Times New Roman" w:hAnsi="Times New Roman" w:cs="Times New Roman"/>
                <w:color w:val="000000"/>
                <w:sz w:val="24"/>
                <w:szCs w:val="24"/>
              </w:rPr>
              <w:tab/>
              <w:t>14</w:t>
            </w:r>
          </w:hyperlink>
        </w:p>
        <w:p w14:paraId="7CF0CB70" w14:textId="77777777" w:rsidR="00E22F67" w:rsidRDefault="00000000">
          <w:pPr>
            <w:pBdr>
              <w:top w:val="nil"/>
              <w:left w:val="nil"/>
              <w:bottom w:val="nil"/>
              <w:right w:val="nil"/>
              <w:between w:val="nil"/>
            </w:pBdr>
            <w:tabs>
              <w:tab w:val="left" w:pos="660"/>
              <w:tab w:val="right" w:leader="dot" w:pos="9350"/>
            </w:tabs>
            <w:spacing w:after="100" w:line="360" w:lineRule="auto"/>
            <w:jc w:val="both"/>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rPr>
              <w:t>11.</w:t>
            </w:r>
            <w:r>
              <w:rPr>
                <w:rFonts w:ascii="Times New Roman" w:eastAsia="Times New Roman" w:hAnsi="Times New Roman" w:cs="Times New Roman"/>
                <w:color w:val="000000"/>
                <w:sz w:val="24"/>
                <w:szCs w:val="24"/>
              </w:rPr>
              <w:tab/>
              <w:t>References</w:t>
            </w:r>
            <w:r>
              <w:rPr>
                <w:rFonts w:ascii="Times New Roman" w:eastAsia="Times New Roman" w:hAnsi="Times New Roman" w:cs="Times New Roman"/>
                <w:color w:val="000000"/>
                <w:sz w:val="24"/>
                <w:szCs w:val="24"/>
              </w:rPr>
              <w:tab/>
              <w:t>16</w:t>
            </w:r>
          </w:hyperlink>
        </w:p>
        <w:p w14:paraId="3CB993F4" w14:textId="77777777" w:rsidR="00E22F67" w:rsidRDefault="00000000">
          <w:pPr>
            <w:spacing w:line="360" w:lineRule="auto"/>
            <w:jc w:val="both"/>
          </w:pPr>
          <w:r>
            <w:fldChar w:fldCharType="end"/>
          </w:r>
        </w:p>
      </w:sdtContent>
    </w:sdt>
    <w:p w14:paraId="366DD2AE" w14:textId="77777777" w:rsidR="00E22F67" w:rsidRDefault="00E22F6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E382B4A" w14:textId="77777777" w:rsidR="00E22F67" w:rsidRDefault="00E22F6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BE173B3" w14:textId="77777777" w:rsidR="00E22F67" w:rsidRDefault="00E22F6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3206E3F"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1E324706" w14:textId="77777777" w:rsidR="00E22F67" w:rsidRDefault="00000000">
      <w:pPr>
        <w:pStyle w:val="Heading1"/>
        <w:numPr>
          <w:ilvl w:val="0"/>
          <w:numId w:val="1"/>
        </w:numPr>
      </w:pPr>
      <w:bookmarkStart w:id="0" w:name="_gjdgxs" w:colFirst="0" w:colLast="0"/>
      <w:bookmarkEnd w:id="0"/>
      <w:r>
        <w:lastRenderedPageBreak/>
        <w:t xml:space="preserve">Introduction </w:t>
      </w:r>
    </w:p>
    <w:p w14:paraId="09DB6662"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Eco-Bites is a British food and beverage firm, that aims to revolutionize with a groundbreaking fuzzy drink, sustained success, and fostering innovation. The company unveils plans for the launch of an innovative fuzzy drink variant in the competitive UK market. Acknowledging past challenges in product releases and sales achievements, Eco-bites is steadfast in its commitment to innovation and growth. Positioned as a strategic response to market demands, the new fizzy drink is poised to be a game-changer, elevating Eco-Bites above competitors and amplifying sales in the fiercely competitive UK food and beverage sector. This venture parents more than a product launch as it is a pivotal step towards reinvigorating Eco-Bites brand identity, securing a leadership piston, and setting new industry benchmarks for success. The present study includes a project management plan that includes a comprehensive plan and strategy for the fuzzy drink’s debut, addressing issues and targeting different client demographics.</w:t>
      </w:r>
    </w:p>
    <w:p w14:paraId="40F36FBB" w14:textId="77777777" w:rsidR="00E22F67" w:rsidRDefault="00000000">
      <w:pPr>
        <w:pStyle w:val="Heading1"/>
        <w:numPr>
          <w:ilvl w:val="0"/>
          <w:numId w:val="1"/>
        </w:numPr>
      </w:pPr>
      <w:bookmarkStart w:id="1" w:name="_30j0zll" w:colFirst="0" w:colLast="0"/>
      <w:bookmarkEnd w:id="1"/>
      <w:r>
        <w:t xml:space="preserve">Project description </w:t>
      </w:r>
    </w:p>
    <w:p w14:paraId="56122044"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project presents an unprecedented opportunity to redefine the future trajectory of Eco-bites, an esteemed player in the UK food and beverage domain. The project's core is to spotlight Eco-Bite's legacy of excellence and innovation by launching an avant-garde line of fizzy drinks, poised to revolutionize the duty with its distinctive flavour profile. Beyond merely introducing a product, this initiative seeks to rectify past missteps, charting a strategic course to dominate a saturated market and substantially augment the company's profitability. The project embodies a commitment to learning from past experiences, fostering creativity, and capitalizing on a unique market niche. The project management plan includes strategies that elucidate key goals, elements, and the envisioned path to success (Zaman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This can help in providing secure support for a transformative venture that corrects the curse of Eco-bites and also establishes it as a trailblazer in the ever-changing landscape of the UK food and verbiage sector. </w:t>
      </w:r>
    </w:p>
    <w:p w14:paraId="106CA78C"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Aims </w:t>
      </w:r>
    </w:p>
    <w:p w14:paraId="33646D58"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aim of the project management plan is to ensure the successful launch of a new brand of Fuzzy beverages into the UK food and beverage market. This initiative goes beyond product introduction, intending to establish Eco-bites as a dominant player in the fiercely competitive UK food and beverage market. </w:t>
      </w:r>
    </w:p>
    <w:p w14:paraId="2EC38763"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Purpose</w:t>
      </w:r>
    </w:p>
    <w:p w14:paraId="1E2DA035"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main purpose of the project is to rectify the shortcomings of the previous product launch, which failed to meet the estimated sales targets and has been deemed to be unsuccessful by stakeholders of Eco-bites. This project interfaces with fundamental principles of Eco-Bites like customer satisfaction, innovation, and long-term development. By addressing past failures and integrating these principles, the project seeks to only launch a successful new product into the market. This in turn drives Eco-Bites towards market leadership and enhanced profitability in the long term. </w:t>
      </w:r>
    </w:p>
    <w:p w14:paraId="5767D06B"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Project Methodology </w:t>
      </w:r>
    </w:p>
    <w:p w14:paraId="44B3776E"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chosen project methodology for the specific project is the Agile project management approach. This methodology is deemed to be most suitable due to the dynamic nature of the food and beverage industry, where rapid adaptation is crucial. The iterative process inherent in Agile methodology aligns well with the objectives of the project, allowing the project management team to promptly incorporate modifications based on real-time consumer input. This approach improves the responsiveness of the project to changing market conditions, ultimately increasing the likelihood of a successful product launch. The Agile framework’s emphasis on collaboration, continuous improvement, and adaptability aligns seamlessly with the project goals (Zhao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Thus, ensuring that Eco-Bites can effectively navigate uncertainties and capitalize on emerging opportunities in the comprehensive UK food and beverage sector. </w:t>
      </w:r>
    </w:p>
    <w:p w14:paraId="33F999A4"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753EDB34" wp14:editId="076C3EAC">
            <wp:extent cx="5095875" cy="2295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95875" cy="2295525"/>
                    </a:xfrm>
                    <a:prstGeom prst="rect">
                      <a:avLst/>
                    </a:prstGeom>
                    <a:ln/>
                  </pic:spPr>
                </pic:pic>
              </a:graphicData>
            </a:graphic>
          </wp:inline>
        </w:drawing>
      </w:r>
    </w:p>
    <w:p w14:paraId="09880AE3"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Agile project management methodology</w:t>
      </w:r>
    </w:p>
    <w:p w14:paraId="431665EE"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Senabre Hidalgo and Fuster Morell, 2019)</w:t>
      </w:r>
    </w:p>
    <w:p w14:paraId="4D512F88"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Success criteria </w:t>
      </w:r>
    </w:p>
    <w:p w14:paraId="3E99469A"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success of the Eco-Bites projects hinges on several criteria that collectively define its effect and acceptance in the competitive market. The ambiguous target of acquiring almost 27% of the market share within a year serves as a pivotal benchmark. This can be measured with the help of comparative analysis with competitors, and success is going to be evident by a substantial increase in market share, reflecting the project’s acceptance and competitiveness in the industry. In addition, the project’s success is intricately tied to surpassing or achieving predetermined sales objectives within a particular time frame. Exceeding these targets can unequivocally determine the project’s success, showcasing its market acceptance and meeting customer demand. </w:t>
      </w:r>
    </w:p>
    <w:p w14:paraId="193665C1"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customer contentment is a crucial success criterion, gauged through outstanding satisfaction levels reflected in consumer reviews, recommendations, and a high proportion of repurchases (Aurelia and Kusumawati, 2023). An all-inclusive survey is conducted by the project management team that can provide valuable insights into consumer sentiments, ensuring that satisfaction levels align with the goals of the project. </w:t>
      </w:r>
    </w:p>
    <w:p w14:paraId="56EA4E7D"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Establishing the new fuzzy drink brand's recognition within the target audience is significant for long-term success. While initial recognition is key, true success is going to be evident when customers recognize and also remember brand identity. Market research and surveys need to be employed to analyse the effectiveness of branding strategies, ensuring that the brand becomes synonymous with innovation and quality in the consumer's minds (Maharani and Hidayat, 2023). Thus, these success criteria form an all-inclusive framework for analysing the project's achievements and effects on the UK food and beverage market. </w:t>
      </w:r>
    </w:p>
    <w:p w14:paraId="75D20625" w14:textId="77777777" w:rsidR="00E22F67" w:rsidRDefault="00000000">
      <w:pPr>
        <w:pStyle w:val="Heading1"/>
        <w:numPr>
          <w:ilvl w:val="0"/>
          <w:numId w:val="1"/>
        </w:numPr>
      </w:pPr>
      <w:bookmarkStart w:id="2" w:name="_1fob9te" w:colFirst="0" w:colLast="0"/>
      <w:bookmarkEnd w:id="2"/>
      <w:r>
        <w:t xml:space="preserve">Scope  </w:t>
      </w:r>
    </w:p>
    <w:p w14:paraId="1542B97F"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scope of the project is comprehensive, with the primary goal being the successful introduction of Eco-Bite's new fuzzy drink into the dynamic UK food and beverage industry. The campaign’s target audience is diverse, encompassing individuals, retail establishments, hotels, and schools, underscoring the ambition of the project for widespread market penetration. In order to address prior deficiencies, the project hinges on innovation and prioritizing consumer happiness, aiming to position Eco-Bites as a dominant force in the direct competitive UK beverage market. The scope extends across multiple facets, including marketing strategies, product creation, regulatory compliance, distribution channels, staff management, and logistics. These elements collectively contribute to the project’s estimated cost of £1.5 million and an anticipated completion timeframe of 18 months. The project’s success is going to be defined by its ability to navigate the complexities </w:t>
      </w:r>
      <w:r>
        <w:rPr>
          <w:rFonts w:ascii="Times New Roman" w:eastAsia="Times New Roman" w:hAnsi="Times New Roman" w:cs="Times New Roman"/>
          <w:color w:val="000000"/>
          <w:sz w:val="24"/>
          <w:szCs w:val="24"/>
        </w:rPr>
        <w:lastRenderedPageBreak/>
        <w:t xml:space="preserve">of the industry, address previous shortcomings, and establish Eco-Bites as a significant player in the UK food and beverage landscape. </w:t>
      </w:r>
    </w:p>
    <w:p w14:paraId="3BD300F3" w14:textId="77777777" w:rsidR="00E22F67" w:rsidRDefault="00000000">
      <w:pPr>
        <w:pStyle w:val="Heading1"/>
        <w:numPr>
          <w:ilvl w:val="0"/>
          <w:numId w:val="1"/>
        </w:numPr>
      </w:pPr>
      <w:bookmarkStart w:id="3" w:name="_3znysh7" w:colFirst="0" w:colLast="0"/>
      <w:bookmarkEnd w:id="3"/>
      <w:r>
        <w:t xml:space="preserve">Work breakdown structure </w:t>
      </w:r>
    </w:p>
    <w:p w14:paraId="28D82C84"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work breakdown structure (WBS) is a hierarchical division of a project into phases, tasks, costs, and durations. It organizes tasks in a visual and systematic way, breaking down complex projects into manageable components. WBS clarifies project scope, and facilities resource allocation, improves communication among team members, and helps in project scheduling and budgeting. It provides a clear roadmap for project execution, making it a significant tool in project management for effective planning, control, and successful project delivery (Aliu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w:t>
      </w:r>
    </w:p>
    <w:tbl>
      <w:tblPr>
        <w:tblStyle w:val="a"/>
        <w:tblW w:w="9847"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37"/>
        <w:gridCol w:w="2543"/>
        <w:gridCol w:w="1997"/>
        <w:gridCol w:w="2270"/>
      </w:tblGrid>
      <w:tr w:rsidR="00E22F67" w14:paraId="5428B940" w14:textId="77777777">
        <w:trPr>
          <w:trHeight w:val="270"/>
        </w:trPr>
        <w:tc>
          <w:tcPr>
            <w:tcW w:w="3037" w:type="dxa"/>
            <w:shd w:val="clear" w:color="auto" w:fill="auto"/>
            <w:tcMar>
              <w:top w:w="100" w:type="dxa"/>
              <w:left w:w="100" w:type="dxa"/>
              <w:bottom w:w="100" w:type="dxa"/>
              <w:right w:w="100" w:type="dxa"/>
            </w:tcMar>
          </w:tcPr>
          <w:p w14:paraId="08308D50" w14:textId="77777777" w:rsidR="00E22F67" w:rsidRDefault="0000000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Project phase </w:t>
            </w:r>
          </w:p>
        </w:tc>
        <w:tc>
          <w:tcPr>
            <w:tcW w:w="2543" w:type="dxa"/>
            <w:shd w:val="clear" w:color="auto" w:fill="auto"/>
            <w:tcMar>
              <w:top w:w="100" w:type="dxa"/>
              <w:left w:w="100" w:type="dxa"/>
              <w:bottom w:w="100" w:type="dxa"/>
              <w:right w:w="100" w:type="dxa"/>
            </w:tcMar>
          </w:tcPr>
          <w:p w14:paraId="49A9E2DF" w14:textId="77777777" w:rsidR="00E22F67" w:rsidRDefault="0000000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Task</w:t>
            </w:r>
          </w:p>
        </w:tc>
        <w:tc>
          <w:tcPr>
            <w:tcW w:w="1997" w:type="dxa"/>
            <w:shd w:val="clear" w:color="auto" w:fill="auto"/>
            <w:tcMar>
              <w:top w:w="100" w:type="dxa"/>
              <w:left w:w="100" w:type="dxa"/>
              <w:bottom w:w="100" w:type="dxa"/>
              <w:right w:w="100" w:type="dxa"/>
            </w:tcMar>
          </w:tcPr>
          <w:p w14:paraId="15715051" w14:textId="77777777" w:rsidR="00E22F67" w:rsidRDefault="0000000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Cost</w:t>
            </w:r>
          </w:p>
        </w:tc>
        <w:tc>
          <w:tcPr>
            <w:tcW w:w="2270" w:type="dxa"/>
            <w:shd w:val="clear" w:color="auto" w:fill="auto"/>
            <w:tcMar>
              <w:top w:w="100" w:type="dxa"/>
              <w:left w:w="100" w:type="dxa"/>
              <w:bottom w:w="100" w:type="dxa"/>
              <w:right w:w="100" w:type="dxa"/>
            </w:tcMar>
          </w:tcPr>
          <w:p w14:paraId="3722FBF5" w14:textId="77777777" w:rsidR="00E22F67" w:rsidRDefault="00000000">
            <w:pPr>
              <w:widowControl w:val="0"/>
              <w:pBdr>
                <w:top w:val="nil"/>
                <w:left w:val="nil"/>
                <w:bottom w:val="nil"/>
                <w:right w:val="nil"/>
                <w:between w:val="nil"/>
              </w:pBdr>
              <w:spacing w:line="24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Duration of task</w:t>
            </w:r>
          </w:p>
        </w:tc>
      </w:tr>
      <w:tr w:rsidR="00E22F67" w14:paraId="12D3FB27" w14:textId="77777777">
        <w:trPr>
          <w:trHeight w:val="8306"/>
        </w:trPr>
        <w:tc>
          <w:tcPr>
            <w:tcW w:w="3037" w:type="dxa"/>
            <w:shd w:val="clear" w:color="auto" w:fill="auto"/>
            <w:tcMar>
              <w:top w:w="100" w:type="dxa"/>
              <w:left w:w="100" w:type="dxa"/>
              <w:bottom w:w="100" w:type="dxa"/>
              <w:right w:w="100" w:type="dxa"/>
            </w:tcMar>
          </w:tcPr>
          <w:p w14:paraId="39579E86"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Phase 1: Pre-Launch preparation</w:t>
            </w:r>
          </w:p>
        </w:tc>
        <w:tc>
          <w:tcPr>
            <w:tcW w:w="2543" w:type="dxa"/>
            <w:shd w:val="clear" w:color="auto" w:fill="auto"/>
            <w:tcMar>
              <w:top w:w="100" w:type="dxa"/>
              <w:left w:w="100" w:type="dxa"/>
              <w:bottom w:w="100" w:type="dxa"/>
              <w:right w:w="100" w:type="dxa"/>
            </w:tcMar>
          </w:tcPr>
          <w:p w14:paraId="71693F16"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Market research </w:t>
            </w:r>
          </w:p>
          <w:p w14:paraId="6DA628F9"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 development </w:t>
            </w:r>
          </w:p>
          <w:p w14:paraId="1A7ECD93"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Development of marketing strategy </w:t>
            </w:r>
          </w:p>
          <w:p w14:paraId="0DA13049"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Setup of distribution network </w:t>
            </w:r>
          </w:p>
          <w:p w14:paraId="7BC6169D"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Providing training to the team </w:t>
            </w:r>
          </w:p>
          <w:p w14:paraId="795E8AC7"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Implementation of quality control</w:t>
            </w:r>
          </w:p>
          <w:p w14:paraId="3AFEFD56"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Sustainability initiative </w:t>
            </w:r>
          </w:p>
          <w:p w14:paraId="6349AE9F"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feedback </w:t>
            </w:r>
          </w:p>
        </w:tc>
        <w:tc>
          <w:tcPr>
            <w:tcW w:w="1997" w:type="dxa"/>
            <w:shd w:val="clear" w:color="auto" w:fill="auto"/>
            <w:tcMar>
              <w:top w:w="100" w:type="dxa"/>
              <w:left w:w="100" w:type="dxa"/>
              <w:bottom w:w="100" w:type="dxa"/>
              <w:right w:w="100" w:type="dxa"/>
            </w:tcMar>
          </w:tcPr>
          <w:p w14:paraId="1CBCF68F"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£83,333</w:t>
            </w:r>
          </w:p>
          <w:p w14:paraId="184B9BE7"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£83,333</w:t>
            </w:r>
            <w:r>
              <w:rPr>
                <w:rFonts w:ascii="Times New Roman" w:eastAsia="Times New Roman" w:hAnsi="Times New Roman" w:cs="Times New Roman"/>
                <w:color w:val="000000"/>
                <w:sz w:val="24"/>
                <w:szCs w:val="24"/>
              </w:rPr>
              <w:tab/>
            </w:r>
          </w:p>
          <w:p w14:paraId="27A89921"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£83,333</w:t>
            </w:r>
          </w:p>
          <w:p w14:paraId="0A0740E9"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w:t>
            </w:r>
          </w:p>
          <w:p w14:paraId="5351EDC8"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£33,333</w:t>
            </w:r>
            <w:r>
              <w:rPr>
                <w:rFonts w:ascii="Times New Roman" w:eastAsia="Times New Roman" w:hAnsi="Times New Roman" w:cs="Times New Roman"/>
                <w:color w:val="000000"/>
                <w:sz w:val="24"/>
                <w:szCs w:val="24"/>
              </w:rPr>
              <w:tab/>
            </w:r>
          </w:p>
          <w:p w14:paraId="091BE1E8"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£83,333</w:t>
            </w:r>
          </w:p>
          <w:p w14:paraId="0DB6495E"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w:t>
            </w:r>
          </w:p>
          <w:p w14:paraId="25294496" w14:textId="77777777" w:rsidR="00E22F67"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£83,334</w:t>
            </w:r>
          </w:p>
        </w:tc>
        <w:tc>
          <w:tcPr>
            <w:tcW w:w="2270" w:type="dxa"/>
            <w:shd w:val="clear" w:color="auto" w:fill="auto"/>
            <w:tcMar>
              <w:top w:w="100" w:type="dxa"/>
              <w:left w:w="100" w:type="dxa"/>
              <w:bottom w:w="100" w:type="dxa"/>
              <w:right w:w="100" w:type="dxa"/>
            </w:tcMar>
          </w:tcPr>
          <w:p w14:paraId="3B38F321"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6 months </w:t>
            </w:r>
          </w:p>
        </w:tc>
      </w:tr>
      <w:tr w:rsidR="00E22F67" w14:paraId="44AB5B51" w14:textId="77777777">
        <w:trPr>
          <w:trHeight w:val="4559"/>
        </w:trPr>
        <w:tc>
          <w:tcPr>
            <w:tcW w:w="3037" w:type="dxa"/>
            <w:shd w:val="clear" w:color="auto" w:fill="auto"/>
            <w:tcMar>
              <w:top w:w="100" w:type="dxa"/>
              <w:left w:w="100" w:type="dxa"/>
              <w:bottom w:w="100" w:type="dxa"/>
              <w:right w:w="100" w:type="dxa"/>
            </w:tcMar>
          </w:tcPr>
          <w:p w14:paraId="6956C98D"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Phase 2: Launch and Promotion </w:t>
            </w:r>
          </w:p>
        </w:tc>
        <w:tc>
          <w:tcPr>
            <w:tcW w:w="2543" w:type="dxa"/>
            <w:shd w:val="clear" w:color="auto" w:fill="auto"/>
            <w:tcMar>
              <w:top w:w="100" w:type="dxa"/>
              <w:left w:w="100" w:type="dxa"/>
              <w:bottom w:w="100" w:type="dxa"/>
              <w:right w:w="100" w:type="dxa"/>
            </w:tcMar>
          </w:tcPr>
          <w:p w14:paraId="417F23E1" w14:textId="77777777" w:rsidR="00E22F67"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Product Launch</w:t>
            </w:r>
          </w:p>
          <w:p w14:paraId="459039AB" w14:textId="77777777" w:rsidR="00E22F67"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Execution of marketing campaigns </w:t>
            </w:r>
          </w:p>
          <w:p w14:paraId="4901212C" w14:textId="77777777" w:rsidR="00E22F67"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Deployment of sales team</w:t>
            </w:r>
          </w:p>
          <w:p w14:paraId="4B627CD6" w14:textId="77777777" w:rsidR="00E22F67"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engagement </w:t>
            </w:r>
          </w:p>
          <w:p w14:paraId="1C5BEE25" w14:textId="77777777" w:rsidR="00E22F67"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Monitor and adjust</w:t>
            </w:r>
          </w:p>
        </w:tc>
        <w:tc>
          <w:tcPr>
            <w:tcW w:w="1997" w:type="dxa"/>
            <w:shd w:val="clear" w:color="auto" w:fill="auto"/>
            <w:tcMar>
              <w:top w:w="100" w:type="dxa"/>
              <w:left w:w="100" w:type="dxa"/>
              <w:bottom w:w="100" w:type="dxa"/>
              <w:right w:w="100" w:type="dxa"/>
            </w:tcMar>
          </w:tcPr>
          <w:p w14:paraId="0DCBB119"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£166,667</w:t>
            </w:r>
          </w:p>
          <w:p w14:paraId="5A55D3A3"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p w14:paraId="29A4FFF7"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£66,667</w:t>
            </w:r>
          </w:p>
          <w:p w14:paraId="39FC61D9"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£66,667</w:t>
            </w:r>
          </w:p>
          <w:p w14:paraId="2242A7BD"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£100,000</w:t>
            </w:r>
          </w:p>
        </w:tc>
        <w:tc>
          <w:tcPr>
            <w:tcW w:w="2270" w:type="dxa"/>
            <w:shd w:val="clear" w:color="auto" w:fill="auto"/>
            <w:tcMar>
              <w:top w:w="100" w:type="dxa"/>
              <w:left w:w="100" w:type="dxa"/>
              <w:bottom w:w="100" w:type="dxa"/>
              <w:right w:w="100" w:type="dxa"/>
            </w:tcMar>
          </w:tcPr>
          <w:p w14:paraId="7229B255"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6 months </w:t>
            </w:r>
          </w:p>
        </w:tc>
      </w:tr>
      <w:tr w:rsidR="00E22F67" w14:paraId="4669A674" w14:textId="77777777">
        <w:trPr>
          <w:trHeight w:val="1670"/>
        </w:trPr>
        <w:tc>
          <w:tcPr>
            <w:tcW w:w="3037" w:type="dxa"/>
            <w:shd w:val="clear" w:color="auto" w:fill="auto"/>
            <w:tcMar>
              <w:top w:w="100" w:type="dxa"/>
              <w:left w:w="100" w:type="dxa"/>
              <w:bottom w:w="100" w:type="dxa"/>
              <w:right w:w="100" w:type="dxa"/>
            </w:tcMar>
          </w:tcPr>
          <w:p w14:paraId="7CDB16C0"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Phase 3: Post-Launch evaluation </w:t>
            </w:r>
          </w:p>
        </w:tc>
        <w:tc>
          <w:tcPr>
            <w:tcW w:w="2543" w:type="dxa"/>
            <w:shd w:val="clear" w:color="auto" w:fill="auto"/>
            <w:tcMar>
              <w:top w:w="100" w:type="dxa"/>
              <w:left w:w="100" w:type="dxa"/>
              <w:bottom w:w="100" w:type="dxa"/>
              <w:right w:w="100" w:type="dxa"/>
            </w:tcMar>
          </w:tcPr>
          <w:p w14:paraId="7C04CC44" w14:textId="77777777" w:rsidR="00E22F67"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Analysis of sales </w:t>
            </w:r>
          </w:p>
          <w:p w14:paraId="5F1D4B1B" w14:textId="77777777" w:rsidR="00E22F67"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feedback </w:t>
            </w:r>
          </w:p>
        </w:tc>
        <w:tc>
          <w:tcPr>
            <w:tcW w:w="1997" w:type="dxa"/>
            <w:shd w:val="clear" w:color="auto" w:fill="auto"/>
            <w:tcMar>
              <w:top w:w="100" w:type="dxa"/>
              <w:left w:w="100" w:type="dxa"/>
              <w:bottom w:w="100" w:type="dxa"/>
              <w:right w:w="100" w:type="dxa"/>
            </w:tcMar>
          </w:tcPr>
          <w:p w14:paraId="01D73523"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p w14:paraId="381E2987"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£250,000</w:t>
            </w:r>
          </w:p>
        </w:tc>
        <w:tc>
          <w:tcPr>
            <w:tcW w:w="2270" w:type="dxa"/>
            <w:shd w:val="clear" w:color="auto" w:fill="auto"/>
            <w:tcMar>
              <w:top w:w="100" w:type="dxa"/>
              <w:left w:w="100" w:type="dxa"/>
              <w:bottom w:w="100" w:type="dxa"/>
              <w:right w:w="100" w:type="dxa"/>
            </w:tcMar>
          </w:tcPr>
          <w:p w14:paraId="782BE128"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6 months </w:t>
            </w:r>
          </w:p>
        </w:tc>
      </w:tr>
    </w:tbl>
    <w:p w14:paraId="5E2391C5"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Work breakdown structure (WBS)</w:t>
      </w:r>
    </w:p>
    <w:p w14:paraId="159C2669"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227A3694" w14:textId="77777777" w:rsidR="00E22F67" w:rsidRDefault="00000000">
      <w:pPr>
        <w:pStyle w:val="Heading1"/>
        <w:numPr>
          <w:ilvl w:val="0"/>
          <w:numId w:val="1"/>
        </w:numPr>
      </w:pPr>
      <w:bookmarkStart w:id="4" w:name="_2et92p0" w:colFirst="0" w:colLast="0"/>
      <w:bookmarkEnd w:id="4"/>
      <w:r>
        <w:t xml:space="preserve">Quad Chart </w:t>
      </w:r>
    </w:p>
    <w:p w14:paraId="458C9A97"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Quad chart provides a comprehensive overview of key objectives, metrics, accomplishments, risks, future plans, and targets for the Eco-Bites project. This helps stakeholders in understanding and managing the multifaceted goals of the project. </w:t>
      </w:r>
    </w:p>
    <w:p w14:paraId="3E136FFE" w14:textId="77777777" w:rsidR="00E22F67" w:rsidRDefault="00000000">
      <w:pPr>
        <w:rPr>
          <w:rFonts w:ascii="Times New Roman" w:eastAsia="Times New Roman" w:hAnsi="Times New Roman" w:cs="Times New Roman"/>
          <w:sz w:val="24"/>
          <w:szCs w:val="24"/>
        </w:rPr>
      </w:pPr>
      <w:r>
        <w:br w:type="page"/>
      </w:r>
    </w:p>
    <w:tbl>
      <w:tblPr>
        <w:tblStyle w:val="a0"/>
        <w:tblW w:w="10890" w:type="dxa"/>
        <w:tblInd w:w="-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2070"/>
        <w:gridCol w:w="1980"/>
        <w:gridCol w:w="1890"/>
        <w:gridCol w:w="1710"/>
        <w:gridCol w:w="1710"/>
      </w:tblGrid>
      <w:tr w:rsidR="00E22F67" w14:paraId="31C4BEA0" w14:textId="77777777">
        <w:tc>
          <w:tcPr>
            <w:tcW w:w="1530" w:type="dxa"/>
            <w:shd w:val="clear" w:color="auto" w:fill="auto"/>
            <w:tcMar>
              <w:top w:w="100" w:type="dxa"/>
              <w:left w:w="100" w:type="dxa"/>
              <w:bottom w:w="100" w:type="dxa"/>
              <w:right w:w="100" w:type="dxa"/>
            </w:tcMar>
          </w:tcPr>
          <w:p w14:paraId="0ABC34A6"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Objective</w:t>
            </w:r>
          </w:p>
        </w:tc>
        <w:tc>
          <w:tcPr>
            <w:tcW w:w="2070" w:type="dxa"/>
            <w:shd w:val="clear" w:color="auto" w:fill="auto"/>
            <w:tcMar>
              <w:top w:w="100" w:type="dxa"/>
              <w:left w:w="100" w:type="dxa"/>
              <w:bottom w:w="100" w:type="dxa"/>
              <w:right w:w="100" w:type="dxa"/>
            </w:tcMar>
          </w:tcPr>
          <w:p w14:paraId="713C81D1"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Key accomplishments </w:t>
            </w:r>
          </w:p>
        </w:tc>
        <w:tc>
          <w:tcPr>
            <w:tcW w:w="1980" w:type="dxa"/>
            <w:shd w:val="clear" w:color="auto" w:fill="auto"/>
            <w:tcMar>
              <w:top w:w="100" w:type="dxa"/>
              <w:left w:w="100" w:type="dxa"/>
              <w:bottom w:w="100" w:type="dxa"/>
              <w:right w:w="100" w:type="dxa"/>
            </w:tcMar>
          </w:tcPr>
          <w:p w14:paraId="394D3400"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Key metrics</w:t>
            </w:r>
          </w:p>
        </w:tc>
        <w:tc>
          <w:tcPr>
            <w:tcW w:w="1890" w:type="dxa"/>
            <w:shd w:val="clear" w:color="auto" w:fill="auto"/>
            <w:tcMar>
              <w:top w:w="100" w:type="dxa"/>
              <w:left w:w="100" w:type="dxa"/>
              <w:bottom w:w="100" w:type="dxa"/>
              <w:right w:w="100" w:type="dxa"/>
            </w:tcMar>
          </w:tcPr>
          <w:p w14:paraId="61D0AE41"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Targets </w:t>
            </w:r>
          </w:p>
        </w:tc>
        <w:tc>
          <w:tcPr>
            <w:tcW w:w="1710" w:type="dxa"/>
            <w:shd w:val="clear" w:color="auto" w:fill="auto"/>
            <w:tcMar>
              <w:top w:w="100" w:type="dxa"/>
              <w:left w:w="100" w:type="dxa"/>
              <w:bottom w:w="100" w:type="dxa"/>
              <w:right w:w="100" w:type="dxa"/>
            </w:tcMar>
          </w:tcPr>
          <w:p w14:paraId="1DB9CDAE"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Future plans </w:t>
            </w:r>
          </w:p>
        </w:tc>
        <w:tc>
          <w:tcPr>
            <w:tcW w:w="1710" w:type="dxa"/>
            <w:shd w:val="clear" w:color="auto" w:fill="auto"/>
            <w:tcMar>
              <w:top w:w="100" w:type="dxa"/>
              <w:left w:w="100" w:type="dxa"/>
              <w:bottom w:w="100" w:type="dxa"/>
              <w:right w:w="100" w:type="dxa"/>
            </w:tcMar>
          </w:tcPr>
          <w:p w14:paraId="7C144C6C"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Key risks </w:t>
            </w:r>
          </w:p>
        </w:tc>
      </w:tr>
      <w:tr w:rsidR="00E22F67" w14:paraId="1B04775F" w14:textId="77777777">
        <w:tc>
          <w:tcPr>
            <w:tcW w:w="1530" w:type="dxa"/>
            <w:shd w:val="clear" w:color="auto" w:fill="auto"/>
            <w:tcMar>
              <w:top w:w="100" w:type="dxa"/>
              <w:left w:w="100" w:type="dxa"/>
              <w:bottom w:w="100" w:type="dxa"/>
              <w:right w:w="100" w:type="dxa"/>
            </w:tcMar>
          </w:tcPr>
          <w:p w14:paraId="63D1CF7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Develop and Launch Fuzzy Drink Variants</w:t>
            </w:r>
          </w:p>
        </w:tc>
        <w:tc>
          <w:tcPr>
            <w:tcW w:w="2070" w:type="dxa"/>
            <w:shd w:val="clear" w:color="auto" w:fill="auto"/>
            <w:tcMar>
              <w:top w:w="100" w:type="dxa"/>
              <w:left w:w="100" w:type="dxa"/>
              <w:bottom w:w="100" w:type="dxa"/>
              <w:right w:w="100" w:type="dxa"/>
            </w:tcMar>
          </w:tcPr>
          <w:p w14:paraId="03113C8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Completed Product Development</w:t>
            </w:r>
          </w:p>
          <w:p w14:paraId="474B221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Research</w:t>
            </w:r>
          </w:p>
        </w:tc>
        <w:tc>
          <w:tcPr>
            <w:tcW w:w="1980" w:type="dxa"/>
            <w:shd w:val="clear" w:color="auto" w:fill="auto"/>
            <w:tcMar>
              <w:top w:w="100" w:type="dxa"/>
              <w:left w:w="100" w:type="dxa"/>
              <w:bottom w:w="100" w:type="dxa"/>
              <w:right w:w="100" w:type="dxa"/>
            </w:tcMar>
          </w:tcPr>
          <w:p w14:paraId="2868990B"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 design </w:t>
            </w:r>
          </w:p>
          <w:p w14:paraId="4FC3F1B1"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Manufacturing </w:t>
            </w:r>
          </w:p>
          <w:p w14:paraId="2B1C0412"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Launch date</w:t>
            </w:r>
          </w:p>
          <w:p w14:paraId="6CD4E82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Budget adherence </w:t>
            </w:r>
          </w:p>
        </w:tc>
        <w:tc>
          <w:tcPr>
            <w:tcW w:w="1890" w:type="dxa"/>
            <w:shd w:val="clear" w:color="auto" w:fill="auto"/>
            <w:tcMar>
              <w:top w:w="100" w:type="dxa"/>
              <w:left w:w="100" w:type="dxa"/>
              <w:bottom w:w="100" w:type="dxa"/>
              <w:right w:w="100" w:type="dxa"/>
            </w:tcMar>
          </w:tcPr>
          <w:p w14:paraId="3EDBE4AF"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Complete </w:t>
            </w:r>
          </w:p>
          <w:p w14:paraId="14E0DB6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Schedule </w:t>
            </w:r>
          </w:p>
          <w:p w14:paraId="114EB3E0"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Schedule</w:t>
            </w:r>
          </w:p>
          <w:p w14:paraId="1357529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Within 5%</w:t>
            </w:r>
          </w:p>
          <w:p w14:paraId="1808703B" w14:textId="77777777" w:rsidR="00E22F67" w:rsidRDefault="00E22F67">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p>
        </w:tc>
        <w:tc>
          <w:tcPr>
            <w:tcW w:w="1710" w:type="dxa"/>
            <w:shd w:val="clear" w:color="auto" w:fill="auto"/>
            <w:tcMar>
              <w:top w:w="100" w:type="dxa"/>
              <w:left w:w="100" w:type="dxa"/>
              <w:bottom w:w="100" w:type="dxa"/>
              <w:right w:w="100" w:type="dxa"/>
            </w:tcMar>
          </w:tcPr>
          <w:p w14:paraId="16C6473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Enhance Branding and Packaging</w:t>
            </w:r>
          </w:p>
          <w:p w14:paraId="4FA6391B"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Evaluate Product Performance</w:t>
            </w:r>
          </w:p>
        </w:tc>
        <w:tc>
          <w:tcPr>
            <w:tcW w:w="1710" w:type="dxa"/>
            <w:shd w:val="clear" w:color="auto" w:fill="auto"/>
            <w:tcMar>
              <w:top w:w="100" w:type="dxa"/>
              <w:left w:w="100" w:type="dxa"/>
              <w:bottom w:w="100" w:type="dxa"/>
              <w:right w:w="100" w:type="dxa"/>
            </w:tcMar>
          </w:tcPr>
          <w:p w14:paraId="36E9A8E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Compliance</w:t>
            </w:r>
          </w:p>
          <w:p w14:paraId="3D00CB6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Consumer Acceptance</w:t>
            </w:r>
          </w:p>
          <w:p w14:paraId="62881E6F"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Supply Chain Risks</w:t>
            </w:r>
          </w:p>
        </w:tc>
      </w:tr>
      <w:tr w:rsidR="00E22F67" w14:paraId="5DFE6699" w14:textId="77777777">
        <w:tc>
          <w:tcPr>
            <w:tcW w:w="1530" w:type="dxa"/>
            <w:shd w:val="clear" w:color="auto" w:fill="auto"/>
            <w:tcMar>
              <w:top w:w="100" w:type="dxa"/>
              <w:left w:w="100" w:type="dxa"/>
              <w:bottom w:w="100" w:type="dxa"/>
              <w:right w:w="100" w:type="dxa"/>
            </w:tcMar>
          </w:tcPr>
          <w:p w14:paraId="15643255"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Establish a Strong Market Presence</w:t>
            </w:r>
          </w:p>
        </w:tc>
        <w:tc>
          <w:tcPr>
            <w:tcW w:w="2070" w:type="dxa"/>
            <w:shd w:val="clear" w:color="auto" w:fill="auto"/>
            <w:tcMar>
              <w:top w:w="100" w:type="dxa"/>
              <w:left w:w="100" w:type="dxa"/>
              <w:bottom w:w="100" w:type="dxa"/>
              <w:right w:w="100" w:type="dxa"/>
            </w:tcMar>
          </w:tcPr>
          <w:p w14:paraId="3FEBB0E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Initiated Marketing Campaign</w:t>
            </w:r>
          </w:p>
          <w:p w14:paraId="4FEE9FC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Distribution Logistics</w:t>
            </w:r>
          </w:p>
        </w:tc>
        <w:tc>
          <w:tcPr>
            <w:tcW w:w="1980" w:type="dxa"/>
            <w:shd w:val="clear" w:color="auto" w:fill="auto"/>
            <w:tcMar>
              <w:top w:w="100" w:type="dxa"/>
              <w:left w:w="100" w:type="dxa"/>
              <w:bottom w:w="100" w:type="dxa"/>
              <w:right w:w="100" w:type="dxa"/>
            </w:tcMar>
          </w:tcPr>
          <w:p w14:paraId="10756E6A"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share</w:t>
            </w:r>
          </w:p>
          <w:p w14:paraId="0419A46A"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Brand recognition</w:t>
            </w:r>
          </w:p>
          <w:p w14:paraId="66C52A0E" w14:textId="77777777" w:rsidR="00E22F67" w:rsidRDefault="00E22F67">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p>
          <w:p w14:paraId="34EB5A17" w14:textId="77777777" w:rsidR="00E22F67" w:rsidRDefault="00E22F67">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p>
          <w:p w14:paraId="43EBF9A0" w14:textId="77777777" w:rsidR="00E22F67" w:rsidRDefault="00E22F67">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p>
        </w:tc>
        <w:tc>
          <w:tcPr>
            <w:tcW w:w="1890" w:type="dxa"/>
            <w:shd w:val="clear" w:color="auto" w:fill="auto"/>
            <w:tcMar>
              <w:top w:w="100" w:type="dxa"/>
              <w:left w:w="100" w:type="dxa"/>
              <w:bottom w:w="100" w:type="dxa"/>
              <w:right w:w="100" w:type="dxa"/>
            </w:tcMar>
          </w:tcPr>
          <w:p w14:paraId="4ED43DB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 by second year</w:t>
            </w:r>
          </w:p>
          <w:p w14:paraId="3F50D0C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w:t>
            </w:r>
          </w:p>
          <w:p w14:paraId="1A672636"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Ongoing </w:t>
            </w:r>
          </w:p>
        </w:tc>
        <w:tc>
          <w:tcPr>
            <w:tcW w:w="1710" w:type="dxa"/>
            <w:shd w:val="clear" w:color="auto" w:fill="auto"/>
            <w:tcMar>
              <w:top w:w="100" w:type="dxa"/>
              <w:left w:w="100" w:type="dxa"/>
              <w:bottom w:w="100" w:type="dxa"/>
              <w:right w:w="100" w:type="dxa"/>
            </w:tcMar>
          </w:tcPr>
          <w:p w14:paraId="0231A20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Adjust Marketing Strategies </w:t>
            </w:r>
          </w:p>
          <w:p w14:paraId="45211000"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Explore New Distribution Channels</w:t>
            </w:r>
          </w:p>
        </w:tc>
        <w:tc>
          <w:tcPr>
            <w:tcW w:w="1710" w:type="dxa"/>
            <w:shd w:val="clear" w:color="auto" w:fill="auto"/>
            <w:tcMar>
              <w:top w:w="100" w:type="dxa"/>
              <w:left w:w="100" w:type="dxa"/>
              <w:bottom w:w="100" w:type="dxa"/>
              <w:right w:w="100" w:type="dxa"/>
            </w:tcMar>
          </w:tcPr>
          <w:p w14:paraId="206FB1B6"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Intense Competition</w:t>
            </w:r>
          </w:p>
          <w:p w14:paraId="7801583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Distribution Challenges</w:t>
            </w:r>
          </w:p>
          <w:p w14:paraId="66A1887F"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Brand Visibility</w:t>
            </w:r>
          </w:p>
        </w:tc>
      </w:tr>
      <w:tr w:rsidR="00E22F67" w14:paraId="30800E6E" w14:textId="77777777">
        <w:tc>
          <w:tcPr>
            <w:tcW w:w="1530" w:type="dxa"/>
            <w:shd w:val="clear" w:color="auto" w:fill="auto"/>
            <w:tcMar>
              <w:top w:w="100" w:type="dxa"/>
              <w:left w:w="100" w:type="dxa"/>
              <w:bottom w:w="100" w:type="dxa"/>
              <w:right w:w="100" w:type="dxa"/>
            </w:tcMar>
          </w:tcPr>
          <w:p w14:paraId="03B2DC1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Achieve Sales Targets</w:t>
            </w:r>
          </w:p>
        </w:tc>
        <w:tc>
          <w:tcPr>
            <w:tcW w:w="2070" w:type="dxa"/>
            <w:shd w:val="clear" w:color="auto" w:fill="auto"/>
            <w:tcMar>
              <w:top w:w="100" w:type="dxa"/>
              <w:left w:w="100" w:type="dxa"/>
              <w:bottom w:w="100" w:type="dxa"/>
              <w:right w:w="100" w:type="dxa"/>
            </w:tcMar>
          </w:tcPr>
          <w:p w14:paraId="7FB23665"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Implemented Sales Promotion Initiatives, Analysed Sales Data</w:t>
            </w:r>
          </w:p>
        </w:tc>
        <w:tc>
          <w:tcPr>
            <w:tcW w:w="1980" w:type="dxa"/>
            <w:shd w:val="clear" w:color="auto" w:fill="auto"/>
            <w:tcMar>
              <w:top w:w="100" w:type="dxa"/>
              <w:left w:w="100" w:type="dxa"/>
              <w:bottom w:w="100" w:type="dxa"/>
              <w:right w:w="100" w:type="dxa"/>
            </w:tcMar>
          </w:tcPr>
          <w:p w14:paraId="72DDAAF0"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Sales revenue</w:t>
            </w:r>
          </w:p>
          <w:p w14:paraId="3CF3A8E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Sales growth rate</w:t>
            </w:r>
          </w:p>
          <w:p w14:paraId="6AA39F86"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Return on investment </w:t>
            </w:r>
          </w:p>
        </w:tc>
        <w:tc>
          <w:tcPr>
            <w:tcW w:w="1890" w:type="dxa"/>
            <w:shd w:val="clear" w:color="auto" w:fill="auto"/>
            <w:tcMar>
              <w:top w:w="100" w:type="dxa"/>
              <w:left w:w="100" w:type="dxa"/>
              <w:bottom w:w="100" w:type="dxa"/>
              <w:right w:w="100" w:type="dxa"/>
            </w:tcMar>
          </w:tcPr>
          <w:p w14:paraId="222BD051"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 million</w:t>
            </w:r>
          </w:p>
          <w:p w14:paraId="05E377D7"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14%</w:t>
            </w:r>
          </w:p>
          <w:p w14:paraId="0279205E"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23%</w:t>
            </w:r>
          </w:p>
        </w:tc>
        <w:tc>
          <w:tcPr>
            <w:tcW w:w="1710" w:type="dxa"/>
            <w:shd w:val="clear" w:color="auto" w:fill="auto"/>
            <w:tcMar>
              <w:top w:w="100" w:type="dxa"/>
              <w:left w:w="100" w:type="dxa"/>
              <w:bottom w:w="100" w:type="dxa"/>
              <w:right w:w="100" w:type="dxa"/>
            </w:tcMar>
          </w:tcPr>
          <w:p w14:paraId="7BDB5E8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Optimize Sales Strategies </w:t>
            </w:r>
          </w:p>
          <w:p w14:paraId="29C683F1"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Introduce Incentive Programs</w:t>
            </w:r>
          </w:p>
        </w:tc>
        <w:tc>
          <w:tcPr>
            <w:tcW w:w="1710" w:type="dxa"/>
            <w:shd w:val="clear" w:color="auto" w:fill="auto"/>
            <w:tcMar>
              <w:top w:w="100" w:type="dxa"/>
              <w:left w:w="100" w:type="dxa"/>
              <w:bottom w:w="100" w:type="dxa"/>
              <w:right w:w="100" w:type="dxa"/>
            </w:tcMar>
          </w:tcPr>
          <w:p w14:paraId="3FC07AC2"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Economic Downturn</w:t>
            </w:r>
          </w:p>
          <w:p w14:paraId="563245E2"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Consumer Preferences Shift</w:t>
            </w:r>
          </w:p>
          <w:p w14:paraId="61AFCE0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Impact</w:t>
            </w:r>
          </w:p>
        </w:tc>
      </w:tr>
      <w:tr w:rsidR="00E22F67" w14:paraId="78E31C7F" w14:textId="77777777">
        <w:tc>
          <w:tcPr>
            <w:tcW w:w="1530" w:type="dxa"/>
            <w:shd w:val="clear" w:color="auto" w:fill="auto"/>
            <w:tcMar>
              <w:top w:w="100" w:type="dxa"/>
              <w:left w:w="100" w:type="dxa"/>
              <w:bottom w:w="100" w:type="dxa"/>
              <w:right w:w="100" w:type="dxa"/>
            </w:tcMar>
          </w:tcPr>
          <w:p w14:paraId="3BB65FAA"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w:t>
            </w:r>
          </w:p>
        </w:tc>
        <w:tc>
          <w:tcPr>
            <w:tcW w:w="2070" w:type="dxa"/>
            <w:shd w:val="clear" w:color="auto" w:fill="auto"/>
            <w:tcMar>
              <w:top w:w="100" w:type="dxa"/>
              <w:left w:w="100" w:type="dxa"/>
              <w:bottom w:w="100" w:type="dxa"/>
              <w:right w:w="100" w:type="dxa"/>
            </w:tcMar>
          </w:tcPr>
          <w:p w14:paraId="5E80BE1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Launched Customer </w:t>
            </w:r>
            <w:r>
              <w:rPr>
                <w:rFonts w:ascii="Times New Roman" w:eastAsia="Times New Roman" w:hAnsi="Times New Roman" w:cs="Times New Roman"/>
                <w:color w:val="000000"/>
                <w:sz w:val="24"/>
                <w:szCs w:val="24"/>
              </w:rPr>
              <w:lastRenderedPageBreak/>
              <w:t>Engagement Programs</w:t>
            </w:r>
          </w:p>
          <w:p w14:paraId="0C09878C"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Conducted Surveys</w:t>
            </w:r>
          </w:p>
        </w:tc>
        <w:tc>
          <w:tcPr>
            <w:tcW w:w="1980" w:type="dxa"/>
            <w:shd w:val="clear" w:color="auto" w:fill="auto"/>
            <w:tcMar>
              <w:top w:w="100" w:type="dxa"/>
              <w:left w:w="100" w:type="dxa"/>
              <w:bottom w:w="100" w:type="dxa"/>
              <w:right w:w="100" w:type="dxa"/>
            </w:tcMar>
          </w:tcPr>
          <w:p w14:paraId="64A1BDC1"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Customer Satisfaction </w:t>
            </w:r>
          </w:p>
          <w:p w14:paraId="2BF9824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Customer retention</w:t>
            </w:r>
          </w:p>
          <w:p w14:paraId="1E07F6F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Repeat Sales</w:t>
            </w:r>
          </w:p>
        </w:tc>
        <w:tc>
          <w:tcPr>
            <w:tcW w:w="1890" w:type="dxa"/>
            <w:shd w:val="clear" w:color="auto" w:fill="auto"/>
            <w:tcMar>
              <w:top w:w="100" w:type="dxa"/>
              <w:left w:w="100" w:type="dxa"/>
              <w:bottom w:w="100" w:type="dxa"/>
              <w:right w:w="100" w:type="dxa"/>
            </w:tcMar>
          </w:tcPr>
          <w:p w14:paraId="3299863F"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90%</w:t>
            </w:r>
          </w:p>
          <w:p w14:paraId="46BFDAAE"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75%</w:t>
            </w:r>
          </w:p>
          <w:p w14:paraId="49351D1A"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w:t>
            </w:r>
          </w:p>
        </w:tc>
        <w:tc>
          <w:tcPr>
            <w:tcW w:w="1710" w:type="dxa"/>
            <w:shd w:val="clear" w:color="auto" w:fill="auto"/>
            <w:tcMar>
              <w:top w:w="100" w:type="dxa"/>
              <w:left w:w="100" w:type="dxa"/>
              <w:bottom w:w="100" w:type="dxa"/>
              <w:right w:w="100" w:type="dxa"/>
            </w:tcMar>
          </w:tcPr>
          <w:p w14:paraId="15AA4AC3"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Continuous Customer </w:t>
            </w:r>
            <w:r>
              <w:rPr>
                <w:rFonts w:ascii="Times New Roman" w:eastAsia="Times New Roman" w:hAnsi="Times New Roman" w:cs="Times New Roman"/>
                <w:color w:val="000000"/>
                <w:sz w:val="24"/>
                <w:szCs w:val="24"/>
              </w:rPr>
              <w:lastRenderedPageBreak/>
              <w:t>Feedback Analysis</w:t>
            </w:r>
          </w:p>
          <w:p w14:paraId="4102C5ED"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Incentives</w:t>
            </w:r>
          </w:p>
        </w:tc>
        <w:tc>
          <w:tcPr>
            <w:tcW w:w="1710" w:type="dxa"/>
            <w:shd w:val="clear" w:color="auto" w:fill="auto"/>
            <w:tcMar>
              <w:top w:w="100" w:type="dxa"/>
              <w:left w:w="100" w:type="dxa"/>
              <w:bottom w:w="100" w:type="dxa"/>
              <w:right w:w="100" w:type="dxa"/>
            </w:tcMar>
          </w:tcPr>
          <w:p w14:paraId="226FD996"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Negative Customer </w:t>
            </w:r>
            <w:r>
              <w:rPr>
                <w:rFonts w:ascii="Times New Roman" w:eastAsia="Times New Roman" w:hAnsi="Times New Roman" w:cs="Times New Roman"/>
                <w:color w:val="000000"/>
                <w:sz w:val="24"/>
                <w:szCs w:val="24"/>
              </w:rPr>
              <w:lastRenderedPageBreak/>
              <w:t>Feedback</w:t>
            </w:r>
          </w:p>
          <w:p w14:paraId="37FB03B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Insufficient Engagement</w:t>
            </w:r>
          </w:p>
          <w:p w14:paraId="33CA747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Competitor Action</w:t>
            </w:r>
          </w:p>
        </w:tc>
      </w:tr>
      <w:tr w:rsidR="00E22F67" w14:paraId="6CD8A3F4" w14:textId="77777777">
        <w:tc>
          <w:tcPr>
            <w:tcW w:w="1530" w:type="dxa"/>
            <w:shd w:val="clear" w:color="auto" w:fill="auto"/>
            <w:tcMar>
              <w:top w:w="100" w:type="dxa"/>
              <w:left w:w="100" w:type="dxa"/>
              <w:bottom w:w="100" w:type="dxa"/>
              <w:right w:w="100" w:type="dxa"/>
            </w:tcMar>
          </w:tcPr>
          <w:p w14:paraId="3BC92C79"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Sustainability</w:t>
            </w:r>
          </w:p>
        </w:tc>
        <w:tc>
          <w:tcPr>
            <w:tcW w:w="2070" w:type="dxa"/>
            <w:shd w:val="clear" w:color="auto" w:fill="auto"/>
            <w:tcMar>
              <w:top w:w="100" w:type="dxa"/>
              <w:left w:w="100" w:type="dxa"/>
              <w:bottom w:w="100" w:type="dxa"/>
              <w:right w:w="100" w:type="dxa"/>
            </w:tcMar>
          </w:tcPr>
          <w:p w14:paraId="2FBBED02" w14:textId="77777777" w:rsidR="00E22F67" w:rsidRDefault="00000000">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Incorporated Sustainable Practices</w:t>
            </w:r>
          </w:p>
          <w:p w14:paraId="57803167" w14:textId="77777777" w:rsidR="00E22F67" w:rsidRDefault="00000000">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Monitored Environmental Impact</w:t>
            </w:r>
          </w:p>
        </w:tc>
        <w:tc>
          <w:tcPr>
            <w:tcW w:w="1980" w:type="dxa"/>
            <w:shd w:val="clear" w:color="auto" w:fill="auto"/>
            <w:tcMar>
              <w:top w:w="100" w:type="dxa"/>
              <w:left w:w="100" w:type="dxa"/>
              <w:bottom w:w="100" w:type="dxa"/>
              <w:right w:w="100" w:type="dxa"/>
            </w:tcMar>
          </w:tcPr>
          <w:p w14:paraId="6BF427CA"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Eco-friendly packaging</w:t>
            </w:r>
          </w:p>
          <w:p w14:paraId="10A75564"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Waste reduction</w:t>
            </w:r>
          </w:p>
          <w:p w14:paraId="7E838B1B"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Sustainability reports</w:t>
            </w:r>
          </w:p>
          <w:p w14:paraId="177C8A57" w14:textId="77777777" w:rsidR="00E22F67" w:rsidRDefault="00E22F67">
            <w:pPr>
              <w:widowControl w:val="0"/>
              <w:pBdr>
                <w:top w:val="nil"/>
                <w:left w:val="nil"/>
                <w:bottom w:val="nil"/>
                <w:right w:val="nil"/>
                <w:between w:val="nil"/>
              </w:pBdr>
              <w:spacing w:before="240" w:line="360" w:lineRule="auto"/>
              <w:ind w:left="360"/>
              <w:jc w:val="both"/>
              <w:rPr>
                <w:rFonts w:ascii="Times New Roman" w:eastAsia="Times New Roman" w:hAnsi="Times New Roman" w:cs="Times New Roman"/>
                <w:color w:val="000000"/>
                <w:sz w:val="24"/>
                <w:szCs w:val="24"/>
              </w:rPr>
            </w:pPr>
          </w:p>
        </w:tc>
        <w:tc>
          <w:tcPr>
            <w:tcW w:w="1890" w:type="dxa"/>
            <w:shd w:val="clear" w:color="auto" w:fill="auto"/>
            <w:tcMar>
              <w:top w:w="100" w:type="dxa"/>
              <w:left w:w="100" w:type="dxa"/>
              <w:bottom w:w="100" w:type="dxa"/>
              <w:right w:w="100" w:type="dxa"/>
            </w:tcMar>
          </w:tcPr>
          <w:p w14:paraId="1FD3E514"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Implemented</w:t>
            </w:r>
          </w:p>
          <w:p w14:paraId="1F07EFF5"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 reduction</w:t>
            </w:r>
          </w:p>
          <w:p w14:paraId="0E8D4C9E"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Quarterly </w:t>
            </w:r>
          </w:p>
        </w:tc>
        <w:tc>
          <w:tcPr>
            <w:tcW w:w="1710" w:type="dxa"/>
            <w:shd w:val="clear" w:color="auto" w:fill="auto"/>
            <w:tcMar>
              <w:top w:w="100" w:type="dxa"/>
              <w:left w:w="100" w:type="dxa"/>
              <w:bottom w:w="100" w:type="dxa"/>
              <w:right w:w="100" w:type="dxa"/>
            </w:tcMar>
          </w:tcPr>
          <w:p w14:paraId="5DC10F3B"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Enhance Sustainability Practices</w:t>
            </w:r>
          </w:p>
          <w:p w14:paraId="52722F5C"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Collaborate on Green Initiatives</w:t>
            </w:r>
          </w:p>
        </w:tc>
        <w:tc>
          <w:tcPr>
            <w:tcW w:w="1710" w:type="dxa"/>
            <w:shd w:val="clear" w:color="auto" w:fill="auto"/>
            <w:tcMar>
              <w:top w:w="100" w:type="dxa"/>
              <w:left w:w="100" w:type="dxa"/>
              <w:bottom w:w="100" w:type="dxa"/>
              <w:right w:w="100" w:type="dxa"/>
            </w:tcMar>
          </w:tcPr>
          <w:p w14:paraId="018FCFF7"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Supply Chain Sustainability</w:t>
            </w:r>
          </w:p>
          <w:p w14:paraId="0529EDA8"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Compliance</w:t>
            </w:r>
          </w:p>
          <w:p w14:paraId="348EFEFB" w14:textId="77777777" w:rsidR="00E22F67" w:rsidRDefault="00000000">
            <w:pPr>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Public Perception</w:t>
            </w:r>
          </w:p>
        </w:tc>
      </w:tr>
    </w:tbl>
    <w:p w14:paraId="4E16AE1B"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Quad chart</w:t>
      </w:r>
    </w:p>
    <w:p w14:paraId="5722179A"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(Self-developed)</w:t>
      </w:r>
    </w:p>
    <w:p w14:paraId="51F047F6" w14:textId="77777777" w:rsidR="00E22F67" w:rsidRDefault="00000000">
      <w:pPr>
        <w:rPr>
          <w:rFonts w:ascii="Times New Roman" w:eastAsia="Times New Roman" w:hAnsi="Times New Roman" w:cs="Times New Roman"/>
          <w:b/>
          <w:sz w:val="24"/>
          <w:szCs w:val="24"/>
        </w:rPr>
      </w:pPr>
      <w:r>
        <w:br w:type="page"/>
      </w:r>
    </w:p>
    <w:p w14:paraId="0A057A1E" w14:textId="77777777" w:rsidR="00E22F67" w:rsidRDefault="00000000">
      <w:pPr>
        <w:pStyle w:val="Heading1"/>
        <w:numPr>
          <w:ilvl w:val="0"/>
          <w:numId w:val="1"/>
        </w:numPr>
      </w:pPr>
      <w:bookmarkStart w:id="5" w:name="_tyjcwt" w:colFirst="0" w:colLast="0"/>
      <w:bookmarkEnd w:id="5"/>
      <w:r>
        <w:lastRenderedPageBreak/>
        <w:t xml:space="preserve">Gantt Chart </w:t>
      </w:r>
    </w:p>
    <w:p w14:paraId="0F2A8AE5"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14:anchorId="5EAD0BCC" wp14:editId="2FAA7D9B">
            <wp:extent cx="5943600" cy="4318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318000"/>
                    </a:xfrm>
                    <a:prstGeom prst="rect">
                      <a:avLst/>
                    </a:prstGeom>
                    <a:ln/>
                  </pic:spPr>
                </pic:pic>
              </a:graphicData>
            </a:graphic>
          </wp:inline>
        </w:drawing>
      </w:r>
    </w:p>
    <w:p w14:paraId="6E1F3D4B"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Gantt chart</w:t>
      </w:r>
    </w:p>
    <w:p w14:paraId="3F7F58BD"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137C131E" w14:textId="77777777" w:rsidR="00E22F67" w:rsidRDefault="00000000">
      <w:pPr>
        <w:pStyle w:val="Heading1"/>
        <w:numPr>
          <w:ilvl w:val="0"/>
          <w:numId w:val="1"/>
        </w:numPr>
      </w:pPr>
      <w:bookmarkStart w:id="6" w:name="_3dy6vkm" w:colFirst="0" w:colLast="0"/>
      <w:bookmarkEnd w:id="6"/>
      <w:r>
        <w:t xml:space="preserve">Stakeholders Involvement </w:t>
      </w:r>
    </w:p>
    <w:p w14:paraId="19F6322E"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success of the project cantered around the launch of a new Fuzzy drink by Eco-Bites, hinges on the active engagement of internal and external stakeholders. The Project recognizes the crucial role these stakeholders play in shaping its outcomes and emphasizes the significance of their effective involvement (Martínez-Peláez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w:t>
      </w:r>
    </w:p>
    <w:tbl>
      <w:tblPr>
        <w:tblStyle w:val="a1"/>
        <w:tblW w:w="8830" w:type="dxa"/>
        <w:tblInd w:w="5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0"/>
        <w:gridCol w:w="4320"/>
      </w:tblGrid>
      <w:tr w:rsidR="00E22F67" w14:paraId="499A6D97" w14:textId="77777777">
        <w:tc>
          <w:tcPr>
            <w:tcW w:w="4510" w:type="dxa"/>
            <w:shd w:val="clear" w:color="auto" w:fill="C6D9F1"/>
            <w:tcMar>
              <w:top w:w="100" w:type="dxa"/>
              <w:left w:w="100" w:type="dxa"/>
              <w:bottom w:w="100" w:type="dxa"/>
              <w:right w:w="100" w:type="dxa"/>
            </w:tcMar>
          </w:tcPr>
          <w:p w14:paraId="14EFBEBE"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Internal stakeholders</w:t>
            </w:r>
          </w:p>
        </w:tc>
        <w:tc>
          <w:tcPr>
            <w:tcW w:w="4320" w:type="dxa"/>
            <w:shd w:val="clear" w:color="auto" w:fill="C6D9F1"/>
            <w:tcMar>
              <w:top w:w="100" w:type="dxa"/>
              <w:left w:w="100" w:type="dxa"/>
              <w:bottom w:w="100" w:type="dxa"/>
              <w:right w:w="100" w:type="dxa"/>
            </w:tcMar>
          </w:tcPr>
          <w:p w14:paraId="4C75430F" w14:textId="77777777" w:rsidR="00E22F67"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External stakeholders </w:t>
            </w:r>
          </w:p>
        </w:tc>
      </w:tr>
      <w:tr w:rsidR="00E22F67" w14:paraId="1CDFD272" w14:textId="77777777">
        <w:tc>
          <w:tcPr>
            <w:tcW w:w="4510" w:type="dxa"/>
            <w:shd w:val="clear" w:color="auto" w:fill="F2DCDB"/>
            <w:tcMar>
              <w:top w:w="100" w:type="dxa"/>
              <w:left w:w="100" w:type="dxa"/>
              <w:bottom w:w="100" w:type="dxa"/>
              <w:right w:w="100" w:type="dxa"/>
            </w:tcMar>
          </w:tcPr>
          <w:p w14:paraId="446B1D36"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Senior management</w:t>
            </w:r>
          </w:p>
          <w:p w14:paraId="5C4C74E9"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Project management team</w:t>
            </w:r>
          </w:p>
        </w:tc>
        <w:tc>
          <w:tcPr>
            <w:tcW w:w="4320" w:type="dxa"/>
            <w:shd w:val="clear" w:color="auto" w:fill="F2DCDB"/>
            <w:tcMar>
              <w:top w:w="100" w:type="dxa"/>
              <w:left w:w="100" w:type="dxa"/>
              <w:bottom w:w="100" w:type="dxa"/>
              <w:right w:w="100" w:type="dxa"/>
            </w:tcMar>
          </w:tcPr>
          <w:p w14:paraId="7C2DF5BE"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Customers</w:t>
            </w:r>
          </w:p>
          <w:p w14:paraId="0A3977D5"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Suppliers</w:t>
            </w:r>
          </w:p>
          <w:p w14:paraId="59B6D8F4"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Distributors and competitors</w:t>
            </w:r>
          </w:p>
          <w:p w14:paraId="56ADF9C8" w14:textId="77777777" w:rsidR="00E22F67"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authorities</w:t>
            </w:r>
          </w:p>
          <w:p w14:paraId="6B545222" w14:textId="77777777" w:rsidR="00E22F67" w:rsidRDefault="00E22F67">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p>
        </w:tc>
      </w:tr>
    </w:tbl>
    <w:p w14:paraId="51992F10"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3: Internal and external stakeholders of Eco-Bites</w:t>
      </w:r>
    </w:p>
    <w:p w14:paraId="7CAF55DF"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6D7E3CC7"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Internal stakeholders</w:t>
      </w:r>
    </w:p>
    <w:p w14:paraId="1EEE865F"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Senior management</w:t>
      </w:r>
      <w:r>
        <w:rPr>
          <w:rFonts w:ascii="Times New Roman" w:eastAsia="Times New Roman" w:hAnsi="Times New Roman" w:cs="Times New Roman"/>
          <w:color w:val="000000"/>
          <w:sz w:val="24"/>
          <w:szCs w:val="24"/>
        </w:rPr>
        <w:t xml:space="preserve">- As a primary internal stakeholder, senior management is instrumental in providing strategic decisions, allocation of resources, and overall support to the team of project management. Leadership is vital in aligning the project with the broader organizational goals and ensuring that the essential resources are available for successful execution (Msimango, 2023). </w:t>
      </w:r>
    </w:p>
    <w:p w14:paraId="3FA5A987"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Project management team-</w:t>
      </w:r>
      <w:r>
        <w:rPr>
          <w:rFonts w:ascii="Times New Roman" w:eastAsia="Times New Roman" w:hAnsi="Times New Roman" w:cs="Times New Roman"/>
          <w:color w:val="000000"/>
          <w:sz w:val="24"/>
          <w:szCs w:val="24"/>
        </w:rPr>
        <w:t xml:space="preserve"> This team holds a pivotal role, being involved from project initiation to execution. Expertise and knowledge of the team members are important in steering the project through several phases, overcoming issues, and achieving project objectives. Leadership and effective coordination among the team members are critical to project success (Zada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w:t>
      </w:r>
    </w:p>
    <w:p w14:paraId="516570AA"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External stakeholders</w:t>
      </w:r>
    </w:p>
    <w:p w14:paraId="3BA014AE"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Customers</w:t>
      </w:r>
      <w:r>
        <w:rPr>
          <w:rFonts w:ascii="Times New Roman" w:eastAsia="Times New Roman" w:hAnsi="Times New Roman" w:cs="Times New Roman"/>
          <w:color w:val="000000"/>
          <w:sz w:val="24"/>
          <w:szCs w:val="24"/>
        </w:rPr>
        <w:t xml:space="preserve">- Customers represent a key external stakeholder group, and their role is to actively engage with the project plan. Providing feedback on the new Fizzy drink is significant for refining the product and shaping market strategies. Customer involvement contributes to the overall success by ensuring the product aligns with customer preferences and expectations (Sheth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w:t>
      </w:r>
    </w:p>
    <w:p w14:paraId="074638C5"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Suppliers</w:t>
      </w:r>
      <w:r>
        <w:rPr>
          <w:rFonts w:ascii="Times New Roman" w:eastAsia="Times New Roman" w:hAnsi="Times New Roman" w:cs="Times New Roman"/>
          <w:color w:val="000000"/>
          <w:sz w:val="24"/>
          <w:szCs w:val="24"/>
        </w:rPr>
        <w:t xml:space="preserve">- Suppliers or vendors play a crucial role in the project by streamlining their supply chain and ensuring the timely availability of high-quality ingredients important for manufacturing the Fuzzy drinks.  Collaboration among supplies is essential for maintaining product quality and meeting production timelines (Liu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w:t>
      </w:r>
    </w:p>
    <w:p w14:paraId="2BFCA413"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Distributors and competitors</w:t>
      </w:r>
      <w:r>
        <w:rPr>
          <w:rFonts w:ascii="Times New Roman" w:eastAsia="Times New Roman" w:hAnsi="Times New Roman" w:cs="Times New Roman"/>
          <w:color w:val="000000"/>
          <w:sz w:val="24"/>
          <w:szCs w:val="24"/>
        </w:rPr>
        <w:t xml:space="preserve">- Distributors are vital external stakeholders responsible for ensuring the efficient distribution of the new product. Competitors are also external stakeholders whose actions and strategies may affect the success of the project. Monitoring competitor activities are significant for adapting distribution and marketing strategies to remain competitive in the market (Sudirjo, 2023). </w:t>
      </w:r>
    </w:p>
    <w:p w14:paraId="162F43D2"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Regulatory authorities</w:t>
      </w:r>
      <w:r>
        <w:rPr>
          <w:rFonts w:ascii="Times New Roman" w:eastAsia="Times New Roman" w:hAnsi="Times New Roman" w:cs="Times New Roman"/>
          <w:color w:val="000000"/>
          <w:sz w:val="24"/>
          <w:szCs w:val="24"/>
        </w:rPr>
        <w:t xml:space="preserve">- Regulatory authorities contribute to project success by developing regulations focused on product safety and fair business practices. Compliance with regulatory standards is important for ensuring the ethicality and legality of the project. </w:t>
      </w:r>
    </w:p>
    <w:p w14:paraId="2E499DBE" w14:textId="77777777" w:rsidR="00E22F67" w:rsidRDefault="00000000">
      <w:pPr>
        <w:pStyle w:val="Heading1"/>
        <w:numPr>
          <w:ilvl w:val="0"/>
          <w:numId w:val="1"/>
        </w:numPr>
      </w:pPr>
      <w:bookmarkStart w:id="7" w:name="_1t3h5sf" w:colFirst="0" w:colLast="0"/>
      <w:bookmarkEnd w:id="7"/>
      <w:r>
        <w:t>Allocation of resources</w:t>
      </w:r>
    </w:p>
    <w:p w14:paraId="59353C51"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allocation of resources for the Eco-Bites project cantered around the launch of a new Fuzzy drink, is meticulously structured to ensure comprehensive coverage of all project aspects within the specified timeframe and budget. With an estimated budget of £1.5 million, the financial resources are strategically earmarked for diverse project components. The 18-month time frame is carefully considered in the allocation of resources, ensuring that the budget is distributed across the project life cycles efficiently. This strategic resource allocation plan aims to optimize project outcomes, ensuring the successful launch of the new Fuzzy drink while adhering to budget constraints and meeting the specified timeline. </w:t>
      </w:r>
    </w:p>
    <w:p w14:paraId="6A57D567"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Product development</w:t>
      </w:r>
      <w:r>
        <w:rPr>
          <w:rFonts w:ascii="Times New Roman" w:eastAsia="Times New Roman" w:hAnsi="Times New Roman" w:cs="Times New Roman"/>
          <w:color w:val="000000"/>
          <w:sz w:val="24"/>
          <w:szCs w:val="24"/>
        </w:rPr>
        <w:t xml:space="preserve">- A significant portion of the budget is allocated to product development, encompassing research, design, and manufacturing of the innovative Fuzzy drink (Alvarado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 This ensures the creation of a high-quality product that aligns with market demands.</w:t>
      </w:r>
    </w:p>
    <w:p w14:paraId="46A2B26D"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Marketing</w:t>
      </w:r>
      <w:r>
        <w:rPr>
          <w:rFonts w:ascii="Times New Roman" w:eastAsia="Times New Roman" w:hAnsi="Times New Roman" w:cs="Times New Roman"/>
          <w:color w:val="000000"/>
          <w:sz w:val="24"/>
          <w:szCs w:val="24"/>
        </w:rPr>
        <w:t xml:space="preserve">- Substantial resources are directed toward marketing initiatives, including promotional materials, advertising campaigns, market research, and promotional materials (Ayenew, 2023). This allocation aims to build brand awareness, engage the target audience, and establish a strong market presence. </w:t>
      </w:r>
    </w:p>
    <w:p w14:paraId="6AA3C98D"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Distribution and Logistics</w:t>
      </w:r>
      <w:r>
        <w:rPr>
          <w:rFonts w:ascii="Times New Roman" w:eastAsia="Times New Roman" w:hAnsi="Times New Roman" w:cs="Times New Roman"/>
          <w:color w:val="000000"/>
          <w:sz w:val="24"/>
          <w:szCs w:val="24"/>
        </w:rPr>
        <w:t xml:space="preserve">- Resources are dedicated to optimizing the distribution networks, ensuring efficient logistics, and securing a seamless supply chain (Ji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This allocation is significant for reaching diverse stakeholders like hotels, schools, retail establishments, and individual customers. </w:t>
      </w:r>
    </w:p>
    <w:p w14:paraId="28780AC7"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Regulatory compliance</w:t>
      </w:r>
      <w:r>
        <w:rPr>
          <w:rFonts w:ascii="Times New Roman" w:eastAsia="Times New Roman" w:hAnsi="Times New Roman" w:cs="Times New Roman"/>
          <w:color w:val="000000"/>
          <w:sz w:val="24"/>
          <w:szCs w:val="24"/>
        </w:rPr>
        <w:t xml:space="preserve">- Adequate resources are allocated to meet regulatory standards and compliance needs. This includes engaging with regulatory authorities, conducting essential tests, and obtaining approvals to ensure the product’s safety and legality. </w:t>
      </w:r>
    </w:p>
    <w:p w14:paraId="204244FE"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Employee wages</w:t>
      </w:r>
      <w:r>
        <w:rPr>
          <w:rFonts w:ascii="Times New Roman" w:eastAsia="Times New Roman" w:hAnsi="Times New Roman" w:cs="Times New Roman"/>
          <w:color w:val="000000"/>
          <w:sz w:val="24"/>
          <w:szCs w:val="24"/>
        </w:rPr>
        <w:t xml:space="preserve">- The project recognizes the significance of a skilled and motivated workforce. Resources are allocated for employee wages, acknowledging the dedication and expertise needed from the project management team and staff included in several project phases. </w:t>
      </w:r>
    </w:p>
    <w:p w14:paraId="295D8FCE" w14:textId="77777777" w:rsidR="00E22F67" w:rsidRDefault="00000000">
      <w:pPr>
        <w:pStyle w:val="Heading1"/>
        <w:numPr>
          <w:ilvl w:val="0"/>
          <w:numId w:val="1"/>
        </w:numPr>
      </w:pPr>
      <w:bookmarkStart w:id="8" w:name="_4d34og8" w:colFirst="0" w:colLast="0"/>
      <w:bookmarkEnd w:id="8"/>
      <w:r>
        <w:t xml:space="preserve">Risk Analysis </w:t>
      </w:r>
    </w:p>
    <w:p w14:paraId="056288EA"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Eco-Bites project includes launching a new Fuzzy drink, which faces many potential issues that necessitate careful risk analysis and mitigation strategies. </w:t>
      </w:r>
    </w:p>
    <w:p w14:paraId="302B1987" w14:textId="77777777" w:rsidR="00E22F67" w:rsidRDefault="00000000">
      <w:pPr>
        <w:rPr>
          <w:rFonts w:ascii="Times New Roman" w:eastAsia="Times New Roman" w:hAnsi="Times New Roman" w:cs="Times New Roman"/>
          <w:sz w:val="24"/>
          <w:szCs w:val="24"/>
        </w:rPr>
      </w:pPr>
      <w:r>
        <w:br w:type="page"/>
      </w:r>
    </w:p>
    <w:tbl>
      <w:tblPr>
        <w:tblStyle w:val="a2"/>
        <w:tblW w:w="864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2880"/>
        <w:gridCol w:w="2880"/>
      </w:tblGrid>
      <w:tr w:rsidR="00E22F67" w14:paraId="3304B714" w14:textId="77777777">
        <w:tc>
          <w:tcPr>
            <w:tcW w:w="2880" w:type="dxa"/>
            <w:shd w:val="clear" w:color="auto" w:fill="CCC1D9"/>
            <w:tcMar>
              <w:top w:w="100" w:type="dxa"/>
              <w:left w:w="100" w:type="dxa"/>
              <w:bottom w:w="100" w:type="dxa"/>
              <w:right w:w="100" w:type="dxa"/>
            </w:tcMar>
          </w:tcPr>
          <w:p w14:paraId="007F2371" w14:textId="77777777" w:rsidR="00E22F67"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Risk areas</w:t>
            </w:r>
          </w:p>
        </w:tc>
        <w:tc>
          <w:tcPr>
            <w:tcW w:w="2880" w:type="dxa"/>
            <w:shd w:val="clear" w:color="auto" w:fill="CCC1D9"/>
            <w:tcMar>
              <w:top w:w="100" w:type="dxa"/>
              <w:left w:w="100" w:type="dxa"/>
              <w:bottom w:w="100" w:type="dxa"/>
              <w:right w:w="100" w:type="dxa"/>
            </w:tcMar>
          </w:tcPr>
          <w:p w14:paraId="287F5FE6" w14:textId="77777777" w:rsidR="00E22F67"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Identified risks </w:t>
            </w:r>
          </w:p>
        </w:tc>
        <w:tc>
          <w:tcPr>
            <w:tcW w:w="2880" w:type="dxa"/>
            <w:shd w:val="clear" w:color="auto" w:fill="CCC1D9"/>
            <w:tcMar>
              <w:top w:w="100" w:type="dxa"/>
              <w:left w:w="100" w:type="dxa"/>
              <w:bottom w:w="100" w:type="dxa"/>
              <w:right w:w="100" w:type="dxa"/>
            </w:tcMar>
          </w:tcPr>
          <w:p w14:paraId="398EB6B9" w14:textId="77777777" w:rsidR="00E22F67"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Mitigation strategies </w:t>
            </w:r>
          </w:p>
        </w:tc>
      </w:tr>
      <w:tr w:rsidR="00E22F67" w14:paraId="45D23E99" w14:textId="77777777">
        <w:tc>
          <w:tcPr>
            <w:tcW w:w="2880" w:type="dxa"/>
            <w:shd w:val="clear" w:color="auto" w:fill="E5DFEC"/>
            <w:tcMar>
              <w:top w:w="100" w:type="dxa"/>
              <w:left w:w="100" w:type="dxa"/>
              <w:bottom w:w="100" w:type="dxa"/>
              <w:right w:w="100" w:type="dxa"/>
            </w:tcMar>
          </w:tcPr>
          <w:p w14:paraId="56F05095"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Competition</w:t>
            </w:r>
          </w:p>
        </w:tc>
        <w:tc>
          <w:tcPr>
            <w:tcW w:w="2880" w:type="dxa"/>
            <w:shd w:val="clear" w:color="auto" w:fill="E5DFEC"/>
            <w:tcMar>
              <w:top w:w="100" w:type="dxa"/>
              <w:left w:w="100" w:type="dxa"/>
              <w:bottom w:w="100" w:type="dxa"/>
              <w:right w:w="100" w:type="dxa"/>
            </w:tcMar>
          </w:tcPr>
          <w:p w14:paraId="5C50478F"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competition, saturation</w:t>
            </w:r>
          </w:p>
        </w:tc>
        <w:tc>
          <w:tcPr>
            <w:tcW w:w="2880" w:type="dxa"/>
            <w:shd w:val="clear" w:color="auto" w:fill="E5DFEC"/>
            <w:tcMar>
              <w:top w:w="100" w:type="dxa"/>
              <w:left w:w="100" w:type="dxa"/>
              <w:bottom w:w="100" w:type="dxa"/>
              <w:right w:w="100" w:type="dxa"/>
            </w:tcMar>
          </w:tcPr>
          <w:p w14:paraId="0ED61437"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Implement differentiation strategies </w:t>
            </w:r>
          </w:p>
        </w:tc>
      </w:tr>
      <w:tr w:rsidR="00E22F67" w14:paraId="3E3AA93C" w14:textId="77777777">
        <w:tc>
          <w:tcPr>
            <w:tcW w:w="2880" w:type="dxa"/>
            <w:shd w:val="clear" w:color="auto" w:fill="E5DFEC"/>
            <w:tcMar>
              <w:top w:w="100" w:type="dxa"/>
              <w:left w:w="100" w:type="dxa"/>
              <w:bottom w:w="100" w:type="dxa"/>
              <w:right w:w="100" w:type="dxa"/>
            </w:tcMar>
          </w:tcPr>
          <w:p w14:paraId="2DB84B66"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Trust</w:t>
            </w:r>
          </w:p>
        </w:tc>
        <w:tc>
          <w:tcPr>
            <w:tcW w:w="2880" w:type="dxa"/>
            <w:shd w:val="clear" w:color="auto" w:fill="E5DFEC"/>
            <w:tcMar>
              <w:top w:w="100" w:type="dxa"/>
              <w:left w:w="100" w:type="dxa"/>
              <w:bottom w:w="100" w:type="dxa"/>
              <w:right w:w="100" w:type="dxa"/>
            </w:tcMar>
          </w:tcPr>
          <w:p w14:paraId="12315D67"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Difficulty in gaining trust </w:t>
            </w:r>
          </w:p>
        </w:tc>
        <w:tc>
          <w:tcPr>
            <w:tcW w:w="2880" w:type="dxa"/>
            <w:shd w:val="clear" w:color="auto" w:fill="E5DFEC"/>
            <w:tcMar>
              <w:top w:w="100" w:type="dxa"/>
              <w:left w:w="100" w:type="dxa"/>
              <w:bottom w:w="100" w:type="dxa"/>
              <w:right w:w="100" w:type="dxa"/>
            </w:tcMar>
          </w:tcPr>
          <w:p w14:paraId="0AD8E7A0"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Prioritize the quality of the product</w:t>
            </w:r>
          </w:p>
        </w:tc>
      </w:tr>
      <w:tr w:rsidR="00E22F67" w14:paraId="114E7E4A" w14:textId="77777777">
        <w:tc>
          <w:tcPr>
            <w:tcW w:w="2880" w:type="dxa"/>
            <w:shd w:val="clear" w:color="auto" w:fill="E5DFEC"/>
            <w:tcMar>
              <w:top w:w="100" w:type="dxa"/>
              <w:left w:w="100" w:type="dxa"/>
              <w:bottom w:w="100" w:type="dxa"/>
              <w:right w:w="100" w:type="dxa"/>
            </w:tcMar>
          </w:tcPr>
          <w:p w14:paraId="6B7B40E8"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External Factors</w:t>
            </w:r>
          </w:p>
        </w:tc>
        <w:tc>
          <w:tcPr>
            <w:tcW w:w="2880" w:type="dxa"/>
            <w:shd w:val="clear" w:color="auto" w:fill="E5DFEC"/>
            <w:tcMar>
              <w:top w:w="100" w:type="dxa"/>
              <w:left w:w="100" w:type="dxa"/>
              <w:bottom w:w="100" w:type="dxa"/>
              <w:right w:w="100" w:type="dxa"/>
            </w:tcMar>
          </w:tcPr>
          <w:p w14:paraId="7275E383"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Economic and social effects</w:t>
            </w:r>
          </w:p>
        </w:tc>
        <w:tc>
          <w:tcPr>
            <w:tcW w:w="2880" w:type="dxa"/>
            <w:shd w:val="clear" w:color="auto" w:fill="E5DFEC"/>
            <w:tcMar>
              <w:top w:w="100" w:type="dxa"/>
              <w:left w:w="100" w:type="dxa"/>
              <w:bottom w:w="100" w:type="dxa"/>
              <w:right w:w="100" w:type="dxa"/>
            </w:tcMar>
          </w:tcPr>
          <w:p w14:paraId="2FA613B3"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Adapt to external changes</w:t>
            </w:r>
          </w:p>
        </w:tc>
      </w:tr>
      <w:tr w:rsidR="00E22F67" w14:paraId="24C70EAC" w14:textId="77777777">
        <w:tc>
          <w:tcPr>
            <w:tcW w:w="2880" w:type="dxa"/>
            <w:shd w:val="clear" w:color="auto" w:fill="E5DFEC"/>
            <w:tcMar>
              <w:top w:w="100" w:type="dxa"/>
              <w:left w:w="100" w:type="dxa"/>
              <w:bottom w:w="100" w:type="dxa"/>
              <w:right w:w="100" w:type="dxa"/>
            </w:tcMar>
          </w:tcPr>
          <w:p w14:paraId="0B4FA292"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Compliance</w:t>
            </w:r>
          </w:p>
        </w:tc>
        <w:tc>
          <w:tcPr>
            <w:tcW w:w="2880" w:type="dxa"/>
            <w:shd w:val="clear" w:color="auto" w:fill="E5DFEC"/>
            <w:tcMar>
              <w:top w:w="100" w:type="dxa"/>
              <w:left w:w="100" w:type="dxa"/>
              <w:bottom w:w="100" w:type="dxa"/>
              <w:right w:w="100" w:type="dxa"/>
            </w:tcMar>
          </w:tcPr>
          <w:p w14:paraId="091C6BAC"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Safety regulation issues</w:t>
            </w:r>
          </w:p>
        </w:tc>
        <w:tc>
          <w:tcPr>
            <w:tcW w:w="2880" w:type="dxa"/>
            <w:shd w:val="clear" w:color="auto" w:fill="E5DFEC"/>
            <w:tcMar>
              <w:top w:w="100" w:type="dxa"/>
              <w:left w:w="100" w:type="dxa"/>
              <w:bottom w:w="100" w:type="dxa"/>
              <w:right w:w="100" w:type="dxa"/>
            </w:tcMar>
          </w:tcPr>
          <w:p w14:paraId="225B548B"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Form a legal oversight team</w:t>
            </w:r>
          </w:p>
        </w:tc>
      </w:tr>
      <w:tr w:rsidR="00E22F67" w14:paraId="7EE48D43" w14:textId="77777777">
        <w:tc>
          <w:tcPr>
            <w:tcW w:w="2880" w:type="dxa"/>
            <w:shd w:val="clear" w:color="auto" w:fill="E5DFEC"/>
            <w:tcMar>
              <w:top w:w="100" w:type="dxa"/>
              <w:left w:w="100" w:type="dxa"/>
              <w:bottom w:w="100" w:type="dxa"/>
              <w:right w:w="100" w:type="dxa"/>
            </w:tcMar>
          </w:tcPr>
          <w:p w14:paraId="038A9C7A"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Trends</w:t>
            </w:r>
          </w:p>
        </w:tc>
        <w:tc>
          <w:tcPr>
            <w:tcW w:w="2880" w:type="dxa"/>
            <w:shd w:val="clear" w:color="auto" w:fill="E5DFEC"/>
            <w:tcMar>
              <w:top w:w="100" w:type="dxa"/>
              <w:left w:w="100" w:type="dxa"/>
              <w:bottom w:w="100" w:type="dxa"/>
              <w:right w:w="100" w:type="dxa"/>
            </w:tcMar>
          </w:tcPr>
          <w:p w14:paraId="77A1AC70"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Difficulty in staying updated </w:t>
            </w:r>
          </w:p>
        </w:tc>
        <w:tc>
          <w:tcPr>
            <w:tcW w:w="2880" w:type="dxa"/>
            <w:shd w:val="clear" w:color="auto" w:fill="E5DFEC"/>
            <w:tcMar>
              <w:top w:w="100" w:type="dxa"/>
              <w:left w:w="100" w:type="dxa"/>
              <w:bottom w:w="100" w:type="dxa"/>
              <w:right w:w="100" w:type="dxa"/>
            </w:tcMar>
          </w:tcPr>
          <w:p w14:paraId="106146C4" w14:textId="77777777" w:rsidR="00E22F67"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Conduct regular market analysis </w:t>
            </w:r>
          </w:p>
        </w:tc>
      </w:tr>
    </w:tbl>
    <w:p w14:paraId="210C4F29"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4: Risk analysis</w:t>
      </w:r>
    </w:p>
    <w:p w14:paraId="70458945" w14:textId="77777777" w:rsidR="00E22F67" w:rsidRDefault="00000000">
      <w:pPr>
        <w:pBdr>
          <w:top w:val="nil"/>
          <w:left w:val="nil"/>
          <w:bottom w:val="nil"/>
          <w:right w:val="nil"/>
          <w:between w:val="nil"/>
        </w:pBdr>
        <w:spacing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36B010CE"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Market saturation and competition: </w:t>
      </w:r>
      <w:r>
        <w:rPr>
          <w:rFonts w:ascii="Times New Roman" w:eastAsia="Times New Roman" w:hAnsi="Times New Roman" w:cs="Times New Roman"/>
          <w:color w:val="000000"/>
          <w:sz w:val="24"/>
          <w:szCs w:val="24"/>
        </w:rPr>
        <w:t xml:space="preserve">The market saturation due to intense competition poses a risk to the success of the project. Differentiation strategies can be employed to gain a competitive edge, focusing on unique features that set the Fuzzy drink apart from competitors. </w:t>
      </w:r>
    </w:p>
    <w:p w14:paraId="1B8188AD"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Building customer trust: </w:t>
      </w:r>
      <w:r>
        <w:rPr>
          <w:rFonts w:ascii="Times New Roman" w:eastAsia="Times New Roman" w:hAnsi="Times New Roman" w:cs="Times New Roman"/>
          <w:color w:val="000000"/>
          <w:sz w:val="24"/>
          <w:szCs w:val="24"/>
        </w:rPr>
        <w:t>Winning customer trust and persuading them to switch brands is identified as an issue. The company needs to prioritize product quality, and strategic discounts have to be offered to incentivize customers to choose Eco-Bites over competitors.</w:t>
      </w:r>
    </w:p>
    <w:p w14:paraId="53652685"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External business factors: </w:t>
      </w:r>
      <w:r>
        <w:rPr>
          <w:rFonts w:ascii="Times New Roman" w:eastAsia="Times New Roman" w:hAnsi="Times New Roman" w:cs="Times New Roman"/>
          <w:color w:val="000000"/>
          <w:sz w:val="24"/>
          <w:szCs w:val="24"/>
        </w:rPr>
        <w:t>Economic and political factors affecting the supply chain pose a potential risk. Robust supply chain management and proactive adoption strategies have to be implemented to navigate external business uncertainties (</w:t>
      </w:r>
      <w:r>
        <w:rPr>
          <w:rFonts w:ascii="Times New Roman" w:eastAsia="Times New Roman" w:hAnsi="Times New Roman" w:cs="Times New Roman"/>
          <w:color w:val="000000"/>
          <w:sz w:val="24"/>
          <w:szCs w:val="24"/>
          <w:highlight w:val="white"/>
        </w:rPr>
        <w:t>Mistarihi and Magableh, 2023)</w:t>
      </w:r>
      <w:r>
        <w:rPr>
          <w:rFonts w:ascii="Times New Roman" w:eastAsia="Times New Roman" w:hAnsi="Times New Roman" w:cs="Times New Roman"/>
          <w:color w:val="000000"/>
          <w:sz w:val="24"/>
          <w:szCs w:val="24"/>
        </w:rPr>
        <w:t xml:space="preserve">.  </w:t>
      </w:r>
    </w:p>
    <w:p w14:paraId="6A8395B4"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Regulatory compliance: </w:t>
      </w:r>
      <w:r>
        <w:rPr>
          <w:rFonts w:ascii="Times New Roman" w:eastAsia="Times New Roman" w:hAnsi="Times New Roman" w:cs="Times New Roman"/>
          <w:color w:val="000000"/>
          <w:sz w:val="24"/>
          <w:szCs w:val="24"/>
        </w:rPr>
        <w:t xml:space="preserve">Adhering to regulations concerning customer risks, product safety, and ethical business practices is identified as a challenging aspect.  A dedicated legal team needs to be developed to oversee and ensure compliance with all relevant regulations, reducing legal risks. </w:t>
      </w:r>
    </w:p>
    <w:p w14:paraId="55130EFA"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Market trends: </w:t>
      </w:r>
      <w:r>
        <w:rPr>
          <w:rFonts w:ascii="Times New Roman" w:eastAsia="Times New Roman" w:hAnsi="Times New Roman" w:cs="Times New Roman"/>
          <w:color w:val="000000"/>
          <w:sz w:val="24"/>
          <w:szCs w:val="24"/>
        </w:rPr>
        <w:t xml:space="preserve">Staying abreast of rapidly changing market trends and customer preferences presents an issue. Regular market analysis can be conducted to track changing trends and customer preferences, enabling the company to adapt its strategies accordingly (George and George, 2023). </w:t>
      </w:r>
    </w:p>
    <w:p w14:paraId="57327EEF" w14:textId="77777777" w:rsidR="00E22F67" w:rsidRDefault="00000000">
      <w:pPr>
        <w:pStyle w:val="Heading1"/>
        <w:numPr>
          <w:ilvl w:val="0"/>
          <w:numId w:val="1"/>
        </w:numPr>
      </w:pPr>
      <w:bookmarkStart w:id="9" w:name="_2s8eyo1" w:colFirst="0" w:colLast="0"/>
      <w:bookmarkEnd w:id="9"/>
      <w:r>
        <w:t xml:space="preserve">Conclusion </w:t>
      </w:r>
    </w:p>
    <w:p w14:paraId="473C892A" w14:textId="77777777" w:rsidR="00E22F67"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It can be concluded that Eco-Bite's strategic initiatives to launch a new range of fizzy drinks is a pivotal move for the organization’s future in the highly competitive market of UK food and beverage. The project, driven by the imperative requirements for increased market dominance and revenue, aims to rectify past product introduction flaws. Stakeholders' engagement, a commitment to creativity, and implementation of agile project management practices are deemed imperative for the success of the project. Despite issues like building customer trust, market saturation, and many more, the project incorporated well-considered risk mitigation techniques. Therefore, the project represents a strategic and multifaceted approach to piston Eco-Bites as a leader in the ever-changing landscape of the UK food and beverage industry. </w:t>
      </w:r>
    </w:p>
    <w:p w14:paraId="7866F123" w14:textId="77777777" w:rsidR="00E22F67" w:rsidRDefault="00000000">
      <w:pPr>
        <w:rPr>
          <w:rFonts w:ascii="Times New Roman" w:eastAsia="Times New Roman" w:hAnsi="Times New Roman" w:cs="Times New Roman"/>
          <w:b/>
          <w:sz w:val="28"/>
          <w:szCs w:val="28"/>
        </w:rPr>
      </w:pPr>
      <w:r>
        <w:br w:type="page"/>
      </w:r>
    </w:p>
    <w:p w14:paraId="203DC699" w14:textId="77777777" w:rsidR="00E22F67" w:rsidRDefault="00000000">
      <w:pPr>
        <w:pStyle w:val="Heading1"/>
        <w:numPr>
          <w:ilvl w:val="0"/>
          <w:numId w:val="1"/>
        </w:numPr>
      </w:pPr>
      <w:bookmarkStart w:id="10" w:name="_17dp8vu" w:colFirst="0" w:colLast="0"/>
      <w:bookmarkEnd w:id="10"/>
      <w:r>
        <w:lastRenderedPageBreak/>
        <w:t xml:space="preserve">References </w:t>
      </w:r>
    </w:p>
    <w:p w14:paraId="7CF8B139"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Aliu, J., </w:t>
      </w:r>
      <w:proofErr w:type="spellStart"/>
      <w:r>
        <w:rPr>
          <w:rFonts w:ascii="Times New Roman" w:eastAsia="Times New Roman" w:hAnsi="Times New Roman" w:cs="Times New Roman"/>
          <w:color w:val="000000"/>
          <w:sz w:val="24"/>
          <w:szCs w:val="24"/>
        </w:rPr>
        <w:t>Oke</w:t>
      </w:r>
      <w:proofErr w:type="spellEnd"/>
      <w:r>
        <w:rPr>
          <w:rFonts w:ascii="Times New Roman" w:eastAsia="Times New Roman" w:hAnsi="Times New Roman" w:cs="Times New Roman"/>
          <w:color w:val="000000"/>
          <w:sz w:val="24"/>
          <w:szCs w:val="24"/>
        </w:rPr>
        <w:t xml:space="preserve">, A.E., </w:t>
      </w:r>
      <w:proofErr w:type="spellStart"/>
      <w:r>
        <w:rPr>
          <w:rFonts w:ascii="Times New Roman" w:eastAsia="Times New Roman" w:hAnsi="Times New Roman" w:cs="Times New Roman"/>
          <w:color w:val="000000"/>
          <w:sz w:val="24"/>
          <w:szCs w:val="24"/>
        </w:rPr>
        <w:t>Kineber</w:t>
      </w:r>
      <w:proofErr w:type="spellEnd"/>
      <w:r>
        <w:rPr>
          <w:rFonts w:ascii="Times New Roman" w:eastAsia="Times New Roman" w:hAnsi="Times New Roman" w:cs="Times New Roman"/>
          <w:color w:val="000000"/>
          <w:sz w:val="24"/>
          <w:szCs w:val="24"/>
        </w:rPr>
        <w:t xml:space="preserve">, A.F., </w:t>
      </w:r>
      <w:proofErr w:type="spellStart"/>
      <w:r>
        <w:rPr>
          <w:rFonts w:ascii="Times New Roman" w:eastAsia="Times New Roman" w:hAnsi="Times New Roman" w:cs="Times New Roman"/>
          <w:color w:val="000000"/>
          <w:sz w:val="24"/>
          <w:szCs w:val="24"/>
        </w:rPr>
        <w:t>Ebekozien</w:t>
      </w:r>
      <w:proofErr w:type="spellEnd"/>
      <w:r>
        <w:rPr>
          <w:rFonts w:ascii="Times New Roman" w:eastAsia="Times New Roman" w:hAnsi="Times New Roman" w:cs="Times New Roman"/>
          <w:color w:val="000000"/>
          <w:sz w:val="24"/>
          <w:szCs w:val="24"/>
        </w:rPr>
        <w:t xml:space="preserve">, A., </w:t>
      </w:r>
      <w:proofErr w:type="spellStart"/>
      <w:r>
        <w:rPr>
          <w:rFonts w:ascii="Times New Roman" w:eastAsia="Times New Roman" w:hAnsi="Times New Roman" w:cs="Times New Roman"/>
          <w:color w:val="000000"/>
          <w:sz w:val="24"/>
          <w:szCs w:val="24"/>
        </w:rPr>
        <w:t>Aigbavboa</w:t>
      </w:r>
      <w:proofErr w:type="spellEnd"/>
      <w:r>
        <w:rPr>
          <w:rFonts w:ascii="Times New Roman" w:eastAsia="Times New Roman" w:hAnsi="Times New Roman" w:cs="Times New Roman"/>
          <w:color w:val="000000"/>
          <w:sz w:val="24"/>
          <w:szCs w:val="24"/>
        </w:rPr>
        <w:t xml:space="preserve">, C.O., </w:t>
      </w:r>
      <w:proofErr w:type="spellStart"/>
      <w:r>
        <w:rPr>
          <w:rFonts w:ascii="Times New Roman" w:eastAsia="Times New Roman" w:hAnsi="Times New Roman" w:cs="Times New Roman"/>
          <w:color w:val="000000"/>
          <w:sz w:val="24"/>
          <w:szCs w:val="24"/>
        </w:rPr>
        <w:t>Alaboud</w:t>
      </w:r>
      <w:proofErr w:type="spellEnd"/>
      <w:r>
        <w:rPr>
          <w:rFonts w:ascii="Times New Roman" w:eastAsia="Times New Roman" w:hAnsi="Times New Roman" w:cs="Times New Roman"/>
          <w:color w:val="000000"/>
          <w:sz w:val="24"/>
          <w:szCs w:val="24"/>
        </w:rPr>
        <w:t xml:space="preserve">, N.S. and Daoud, A.O., 2023. Towards a New Paradigm of Project Management: A Bibliometric Review. </w:t>
      </w:r>
      <w:r>
        <w:rPr>
          <w:rFonts w:ascii="Times New Roman" w:eastAsia="Times New Roman" w:hAnsi="Times New Roman" w:cs="Times New Roman"/>
          <w:i/>
          <w:color w:val="000000"/>
          <w:sz w:val="24"/>
          <w:szCs w:val="24"/>
        </w:rPr>
        <w:t>Sustainability, 15</w:t>
      </w:r>
      <w:r>
        <w:rPr>
          <w:rFonts w:ascii="Times New Roman" w:eastAsia="Times New Roman" w:hAnsi="Times New Roman" w:cs="Times New Roman"/>
          <w:color w:val="000000"/>
          <w:sz w:val="24"/>
          <w:szCs w:val="24"/>
        </w:rPr>
        <w:t>(13), p.9967.</w:t>
      </w:r>
    </w:p>
    <w:p w14:paraId="6BB3C925"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Alvarado, M., Adams, J., Penney, T., Murphy, M.M., Abdool Karim, S., Egan, N., Rogers, N.T., Carters-White, L. and White, M., 2023. A systematic scoping review evaluating sugar-sweetened beverage taxation from a systems perspective. </w:t>
      </w:r>
      <w:r>
        <w:rPr>
          <w:rFonts w:ascii="Times New Roman" w:eastAsia="Times New Roman" w:hAnsi="Times New Roman" w:cs="Times New Roman"/>
          <w:i/>
          <w:color w:val="000000"/>
          <w:sz w:val="24"/>
          <w:szCs w:val="24"/>
        </w:rPr>
        <w:t>Nature Food,</w:t>
      </w:r>
      <w:r>
        <w:rPr>
          <w:rFonts w:ascii="Times New Roman" w:eastAsia="Times New Roman" w:hAnsi="Times New Roman" w:cs="Times New Roman"/>
          <w:color w:val="000000"/>
          <w:sz w:val="24"/>
          <w:szCs w:val="24"/>
        </w:rPr>
        <w:t xml:space="preserve"> pp.1-10.</w:t>
      </w:r>
    </w:p>
    <w:p w14:paraId="6B3890F1"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Aurelia, C. and Kusumawati, N., 2023, September. The Effect of Online Customer Experience Toward Customer Satisfaction and Customer Loyalty. In </w:t>
      </w:r>
      <w:r>
        <w:rPr>
          <w:rFonts w:ascii="Times New Roman" w:eastAsia="Times New Roman" w:hAnsi="Times New Roman" w:cs="Times New Roman"/>
          <w:i/>
          <w:color w:val="000000"/>
          <w:sz w:val="24"/>
          <w:szCs w:val="24"/>
        </w:rPr>
        <w:t xml:space="preserve">7th Global Conference on Business, Management, and Entrepreneurship (GCBME 2022) </w:t>
      </w:r>
      <w:r>
        <w:rPr>
          <w:rFonts w:ascii="Times New Roman" w:eastAsia="Times New Roman" w:hAnsi="Times New Roman" w:cs="Times New Roman"/>
          <w:color w:val="000000"/>
          <w:sz w:val="24"/>
          <w:szCs w:val="24"/>
        </w:rPr>
        <w:t>(pp. 560-568). Atlantis Press.</w:t>
      </w:r>
    </w:p>
    <w:p w14:paraId="741D5B2B"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Ayenew, Y.Y., 2023. Promotional Strategy and Organizational Performance: Source from Systematic Review Literature. </w:t>
      </w:r>
      <w:r>
        <w:rPr>
          <w:rFonts w:ascii="Times New Roman" w:eastAsia="Times New Roman" w:hAnsi="Times New Roman" w:cs="Times New Roman"/>
          <w:i/>
          <w:color w:val="000000"/>
          <w:sz w:val="24"/>
          <w:szCs w:val="24"/>
        </w:rPr>
        <w:t>American Journal of Theoretical and Applied Business, 9</w:t>
      </w:r>
      <w:r>
        <w:rPr>
          <w:rFonts w:ascii="Times New Roman" w:eastAsia="Times New Roman" w:hAnsi="Times New Roman" w:cs="Times New Roman"/>
          <w:color w:val="000000"/>
          <w:sz w:val="24"/>
          <w:szCs w:val="24"/>
        </w:rPr>
        <w:t>(3), pp.75-85.</w:t>
      </w:r>
    </w:p>
    <w:p w14:paraId="253F76EF"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George, A.S. and George, A.H., 2023. Revolutionizing Manufacturing: Exploring the Promises and Challenges of Industry 5.0. </w:t>
      </w:r>
      <w:r>
        <w:rPr>
          <w:rFonts w:ascii="Times New Roman" w:eastAsia="Times New Roman" w:hAnsi="Times New Roman" w:cs="Times New Roman"/>
          <w:i/>
          <w:color w:val="000000"/>
          <w:sz w:val="24"/>
          <w:szCs w:val="24"/>
        </w:rPr>
        <w:t>Partners Universal International Innovation Journal, 1</w:t>
      </w:r>
      <w:r>
        <w:rPr>
          <w:rFonts w:ascii="Times New Roman" w:eastAsia="Times New Roman" w:hAnsi="Times New Roman" w:cs="Times New Roman"/>
          <w:color w:val="000000"/>
          <w:sz w:val="24"/>
          <w:szCs w:val="24"/>
        </w:rPr>
        <w:t>(2), pp.22-38.</w:t>
      </w:r>
    </w:p>
    <w:p w14:paraId="0EC28179"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Ji, S., Zhao, P. and Ji, T., 2023. A Hybrid Optimization Method for Sustainable and Flexible Design of Supply–Production–Distribution Network in the Physical Internet. </w:t>
      </w:r>
      <w:r>
        <w:rPr>
          <w:rFonts w:ascii="Times New Roman" w:eastAsia="Times New Roman" w:hAnsi="Times New Roman" w:cs="Times New Roman"/>
          <w:i/>
          <w:color w:val="000000"/>
          <w:sz w:val="24"/>
          <w:szCs w:val="24"/>
        </w:rPr>
        <w:t>Sustainability, 15</w:t>
      </w:r>
      <w:r>
        <w:rPr>
          <w:rFonts w:ascii="Times New Roman" w:eastAsia="Times New Roman" w:hAnsi="Times New Roman" w:cs="Times New Roman"/>
          <w:color w:val="000000"/>
          <w:sz w:val="24"/>
          <w:szCs w:val="24"/>
        </w:rPr>
        <w:t>(7), p.6327.</w:t>
      </w:r>
    </w:p>
    <w:p w14:paraId="56EDBFD8"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Liu, L., Song, W. and Liu, Y., 2023. Leveraging digital capabilities toward a circular economy: Reinforcing sustainable supply chain management with Industry 4.0 technologies. </w:t>
      </w:r>
      <w:r>
        <w:rPr>
          <w:rFonts w:ascii="Times New Roman" w:eastAsia="Times New Roman" w:hAnsi="Times New Roman" w:cs="Times New Roman"/>
          <w:i/>
          <w:color w:val="000000"/>
          <w:sz w:val="24"/>
          <w:szCs w:val="24"/>
        </w:rPr>
        <w:t>Computers &amp; Industrial Engineering, 178</w:t>
      </w:r>
      <w:r>
        <w:rPr>
          <w:rFonts w:ascii="Times New Roman" w:eastAsia="Times New Roman" w:hAnsi="Times New Roman" w:cs="Times New Roman"/>
          <w:color w:val="000000"/>
          <w:sz w:val="24"/>
          <w:szCs w:val="24"/>
        </w:rPr>
        <w:t>, p.109113.</w:t>
      </w:r>
    </w:p>
    <w:p w14:paraId="79E5A6D8"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Maharani, A.S. and Hidayat, A., 2023. The influence of brand innovativeness and quality affect consumer perceived value: the role of symbolic brand qualities as mediating. </w:t>
      </w:r>
      <w:r>
        <w:rPr>
          <w:rFonts w:ascii="Times New Roman" w:eastAsia="Times New Roman" w:hAnsi="Times New Roman" w:cs="Times New Roman"/>
          <w:i/>
          <w:color w:val="000000"/>
          <w:sz w:val="24"/>
          <w:szCs w:val="24"/>
        </w:rPr>
        <w:t>International Journal of Research in Business and Social Science (2147-4478), 12</w:t>
      </w:r>
      <w:r>
        <w:rPr>
          <w:rFonts w:ascii="Times New Roman" w:eastAsia="Times New Roman" w:hAnsi="Times New Roman" w:cs="Times New Roman"/>
          <w:color w:val="000000"/>
          <w:sz w:val="24"/>
          <w:szCs w:val="24"/>
        </w:rPr>
        <w:t>(4), pp.15-32.</w:t>
      </w:r>
    </w:p>
    <w:p w14:paraId="7A3EA374"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Martínez-Peláez, R., Ochoa-Brust, A., Rivera, S., Félix, V.G., Ostos, R., Brito, H., Félix, R.A. and Mena, L.J., 2023. Role of digital transformation for achieving sustainability: mediated role of stakeholders, key capabilities, and technology. </w:t>
      </w:r>
      <w:r>
        <w:rPr>
          <w:rFonts w:ascii="Times New Roman" w:eastAsia="Times New Roman" w:hAnsi="Times New Roman" w:cs="Times New Roman"/>
          <w:i/>
          <w:color w:val="000000"/>
          <w:sz w:val="24"/>
          <w:szCs w:val="24"/>
        </w:rPr>
        <w:t>Sustainability, 15</w:t>
      </w:r>
      <w:r>
        <w:rPr>
          <w:rFonts w:ascii="Times New Roman" w:eastAsia="Times New Roman" w:hAnsi="Times New Roman" w:cs="Times New Roman"/>
          <w:color w:val="000000"/>
          <w:sz w:val="24"/>
          <w:szCs w:val="24"/>
        </w:rPr>
        <w:t>(14), p.11221.</w:t>
      </w:r>
    </w:p>
    <w:p w14:paraId="50118410" w14:textId="77777777" w:rsidR="00E22F67" w:rsidRDefault="00000000">
      <w:pPr>
        <w:spacing w:before="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Mistarihi, M.Z. and Magableh, G.M., 2023. Unveiling Supply Chain Nervousness: A Strategic Framework for Disruption Management under Fuzzy Environment.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15</w:t>
      </w:r>
      <w:r>
        <w:rPr>
          <w:rFonts w:ascii="Times New Roman" w:eastAsia="Times New Roman" w:hAnsi="Times New Roman" w:cs="Times New Roman"/>
          <w:color w:val="000000"/>
          <w:sz w:val="24"/>
          <w:szCs w:val="24"/>
          <w:highlight w:val="white"/>
        </w:rPr>
        <w:t>(14), p.11179.</w:t>
      </w:r>
    </w:p>
    <w:p w14:paraId="4B043B72"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Msimango, T., 2023. Change management and organisational transformation are necessary for major financial service providers. </w:t>
      </w:r>
      <w:r>
        <w:rPr>
          <w:rFonts w:ascii="Times New Roman" w:eastAsia="Times New Roman" w:hAnsi="Times New Roman" w:cs="Times New Roman"/>
          <w:i/>
          <w:color w:val="000000"/>
          <w:sz w:val="24"/>
          <w:szCs w:val="24"/>
        </w:rPr>
        <w:t>International Journal of Scientific and Research Publications (IJSRP), 13</w:t>
      </w:r>
      <w:r>
        <w:rPr>
          <w:rFonts w:ascii="Times New Roman" w:eastAsia="Times New Roman" w:hAnsi="Times New Roman" w:cs="Times New Roman"/>
          <w:color w:val="000000"/>
          <w:sz w:val="24"/>
          <w:szCs w:val="24"/>
        </w:rPr>
        <w:t>(06).</w:t>
      </w:r>
    </w:p>
    <w:p w14:paraId="7C6951E3"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Senabre Hidalgo, E. and Fuster Morell, M., 2019. Co-designed strategic planning and agile project management in academia: Case study of an action research group. </w:t>
      </w:r>
      <w:r>
        <w:rPr>
          <w:rFonts w:ascii="Times New Roman" w:eastAsia="Times New Roman" w:hAnsi="Times New Roman" w:cs="Times New Roman"/>
          <w:i/>
          <w:color w:val="000000"/>
          <w:sz w:val="24"/>
          <w:szCs w:val="24"/>
        </w:rPr>
        <w:t>Palgrave Communications, 5</w:t>
      </w:r>
      <w:r>
        <w:rPr>
          <w:rFonts w:ascii="Times New Roman" w:eastAsia="Times New Roman" w:hAnsi="Times New Roman" w:cs="Times New Roman"/>
          <w:color w:val="000000"/>
          <w:sz w:val="24"/>
          <w:szCs w:val="24"/>
        </w:rPr>
        <w:t>(1), pp.1-13.</w:t>
      </w:r>
    </w:p>
    <w:p w14:paraId="6F776A9F"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Sheth, J.N., Jain, V. and Ambika, A., 2023. The growing importance of customer-centric support services for improving customer experience. </w:t>
      </w:r>
      <w:r>
        <w:rPr>
          <w:rFonts w:ascii="Times New Roman" w:eastAsia="Times New Roman" w:hAnsi="Times New Roman" w:cs="Times New Roman"/>
          <w:i/>
          <w:color w:val="000000"/>
          <w:sz w:val="24"/>
          <w:szCs w:val="24"/>
        </w:rPr>
        <w:t>Journal of Business Research, 164</w:t>
      </w:r>
      <w:r>
        <w:rPr>
          <w:rFonts w:ascii="Times New Roman" w:eastAsia="Times New Roman" w:hAnsi="Times New Roman" w:cs="Times New Roman"/>
          <w:color w:val="000000"/>
          <w:sz w:val="24"/>
          <w:szCs w:val="24"/>
        </w:rPr>
        <w:t>, p.113943.</w:t>
      </w:r>
    </w:p>
    <w:p w14:paraId="53424B06"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Sudirjo, F., 2023. Marketing Strategy in Improving Product Competitiveness in the Global Market. </w:t>
      </w:r>
      <w:r>
        <w:rPr>
          <w:rFonts w:ascii="Times New Roman" w:eastAsia="Times New Roman" w:hAnsi="Times New Roman" w:cs="Times New Roman"/>
          <w:i/>
          <w:color w:val="000000"/>
          <w:sz w:val="24"/>
          <w:szCs w:val="24"/>
        </w:rPr>
        <w:t>Journal of Contemporary Administration and Management (ADMAN), 1</w:t>
      </w:r>
      <w:r>
        <w:rPr>
          <w:rFonts w:ascii="Times New Roman" w:eastAsia="Times New Roman" w:hAnsi="Times New Roman" w:cs="Times New Roman"/>
          <w:color w:val="000000"/>
          <w:sz w:val="24"/>
          <w:szCs w:val="24"/>
        </w:rPr>
        <w:t>(2), pp.63-69.</w:t>
      </w:r>
    </w:p>
    <w:p w14:paraId="3145095C"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Zada, M., Khan, J., Saeed, I., Zada, S. and Jun, Z.Y., 2023. Linking public leadership with project management effectiveness: Mediating role of goal clarity and moderating role of top management support. </w:t>
      </w:r>
      <w:proofErr w:type="spellStart"/>
      <w:r>
        <w:rPr>
          <w:rFonts w:ascii="Times New Roman" w:eastAsia="Times New Roman" w:hAnsi="Times New Roman" w:cs="Times New Roman"/>
          <w:i/>
          <w:color w:val="000000"/>
          <w:sz w:val="24"/>
          <w:szCs w:val="24"/>
        </w:rPr>
        <w:t>Heliyon</w:t>
      </w:r>
      <w:proofErr w:type="spellEnd"/>
      <w:r>
        <w:rPr>
          <w:rFonts w:ascii="Times New Roman" w:eastAsia="Times New Roman" w:hAnsi="Times New Roman" w:cs="Times New Roman"/>
          <w:i/>
          <w:color w:val="000000"/>
          <w:sz w:val="24"/>
          <w:szCs w:val="24"/>
        </w:rPr>
        <w:t>, 9</w:t>
      </w:r>
      <w:r>
        <w:rPr>
          <w:rFonts w:ascii="Times New Roman" w:eastAsia="Times New Roman" w:hAnsi="Times New Roman" w:cs="Times New Roman"/>
          <w:color w:val="000000"/>
          <w:sz w:val="24"/>
          <w:szCs w:val="24"/>
        </w:rPr>
        <w:t>(5).</w:t>
      </w:r>
    </w:p>
    <w:p w14:paraId="4084E2A4"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Zaman, U., </w:t>
      </w:r>
      <w:proofErr w:type="spellStart"/>
      <w:r>
        <w:rPr>
          <w:rFonts w:ascii="Times New Roman" w:eastAsia="Times New Roman" w:hAnsi="Times New Roman" w:cs="Times New Roman"/>
          <w:color w:val="000000"/>
          <w:sz w:val="24"/>
          <w:szCs w:val="24"/>
        </w:rPr>
        <w:t>Naeni</w:t>
      </w:r>
      <w:proofErr w:type="spellEnd"/>
      <w:r>
        <w:rPr>
          <w:rFonts w:ascii="Times New Roman" w:eastAsia="Times New Roman" w:hAnsi="Times New Roman" w:cs="Times New Roman"/>
          <w:color w:val="000000"/>
          <w:sz w:val="24"/>
          <w:szCs w:val="24"/>
        </w:rPr>
        <w:t xml:space="preserve">, L.M., Huda, N.U. and Khwaja, M.G., 2023. Time Flies When You are Having Fun: The Mediating Effects of Project Opportunity Management in the Relationship Between Project Leaders’ Self-Efficacy and Multidimensional Project Success. </w:t>
      </w:r>
      <w:r>
        <w:rPr>
          <w:rFonts w:ascii="Times New Roman" w:eastAsia="Times New Roman" w:hAnsi="Times New Roman" w:cs="Times New Roman"/>
          <w:i/>
          <w:color w:val="000000"/>
          <w:sz w:val="24"/>
          <w:szCs w:val="24"/>
        </w:rPr>
        <w:t>Project Management Journal, 54</w:t>
      </w:r>
      <w:r>
        <w:rPr>
          <w:rFonts w:ascii="Times New Roman" w:eastAsia="Times New Roman" w:hAnsi="Times New Roman" w:cs="Times New Roman"/>
          <w:color w:val="000000"/>
          <w:sz w:val="24"/>
          <w:szCs w:val="24"/>
        </w:rPr>
        <w:t>(2), pp.132-148.</w:t>
      </w:r>
    </w:p>
    <w:p w14:paraId="44F78DB6" w14:textId="77777777" w:rsidR="00E22F67"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Zhao, Z., Alli, H. and Me, R.C., 2023. A Systematic Review on the Implementation of Agility in Sustainable Design Development. </w:t>
      </w:r>
      <w:r>
        <w:rPr>
          <w:rFonts w:ascii="Times New Roman" w:eastAsia="Times New Roman" w:hAnsi="Times New Roman" w:cs="Times New Roman"/>
          <w:i/>
          <w:color w:val="000000"/>
          <w:sz w:val="24"/>
          <w:szCs w:val="24"/>
        </w:rPr>
        <w:t>Designs, 7</w:t>
      </w:r>
      <w:r>
        <w:rPr>
          <w:rFonts w:ascii="Times New Roman" w:eastAsia="Times New Roman" w:hAnsi="Times New Roman" w:cs="Times New Roman"/>
          <w:color w:val="000000"/>
          <w:sz w:val="24"/>
          <w:szCs w:val="24"/>
        </w:rPr>
        <w:t>(5), p.111.</w:t>
      </w:r>
    </w:p>
    <w:p w14:paraId="68045AAD" w14:textId="77777777" w:rsidR="00E22F67" w:rsidRDefault="00E22F67">
      <w:pPr>
        <w:pBdr>
          <w:top w:val="nil"/>
          <w:left w:val="nil"/>
          <w:bottom w:val="nil"/>
          <w:right w:val="nil"/>
          <w:between w:val="nil"/>
        </w:pBdr>
        <w:rPr>
          <w:color w:val="000000"/>
        </w:rPr>
      </w:pPr>
    </w:p>
    <w:p w14:paraId="0A179DB4" w14:textId="77777777" w:rsidR="00E22F67" w:rsidRDefault="00E22F67">
      <w:pPr>
        <w:pBdr>
          <w:top w:val="nil"/>
          <w:left w:val="nil"/>
          <w:bottom w:val="nil"/>
          <w:right w:val="nil"/>
          <w:between w:val="nil"/>
        </w:pBdr>
        <w:spacing w:before="240" w:after="240" w:line="360" w:lineRule="auto"/>
        <w:ind w:left="720"/>
        <w:jc w:val="both"/>
        <w:rPr>
          <w:rFonts w:ascii="Times New Roman" w:eastAsia="Times New Roman" w:hAnsi="Times New Roman" w:cs="Times New Roman"/>
          <w:b/>
          <w:color w:val="000000"/>
          <w:sz w:val="24"/>
          <w:szCs w:val="24"/>
        </w:rPr>
      </w:pPr>
    </w:p>
    <w:p w14:paraId="4709C9B9" w14:textId="77777777" w:rsidR="00E22F67" w:rsidRDefault="00E22F67">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5D8C950C" w14:textId="77777777" w:rsidR="00E22F67" w:rsidRDefault="00E22F6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E22F67" w:rsidSect="0069756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AD0A4" w14:textId="77777777" w:rsidR="00CF3201" w:rsidRDefault="00CF3201">
      <w:pPr>
        <w:spacing w:line="240" w:lineRule="auto"/>
      </w:pPr>
      <w:r>
        <w:separator/>
      </w:r>
    </w:p>
  </w:endnote>
  <w:endnote w:type="continuationSeparator" w:id="0">
    <w:p w14:paraId="263560EB" w14:textId="77777777" w:rsidR="00CF3201" w:rsidRDefault="00CF32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6535C" w14:textId="77777777" w:rsidR="00E22F67"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9C0D0C">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4508F139" w14:textId="77777777" w:rsidR="00E22F67" w:rsidRDefault="00E22F6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F257A" w14:textId="77777777" w:rsidR="00CF3201" w:rsidRDefault="00CF3201">
      <w:pPr>
        <w:spacing w:line="240" w:lineRule="auto"/>
      </w:pPr>
      <w:r>
        <w:separator/>
      </w:r>
    </w:p>
  </w:footnote>
  <w:footnote w:type="continuationSeparator" w:id="0">
    <w:p w14:paraId="59E866C3" w14:textId="77777777" w:rsidR="00CF3201" w:rsidRDefault="00CF32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D7233"/>
    <w:multiLevelType w:val="multilevel"/>
    <w:tmpl w:val="C5968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7D1E84"/>
    <w:multiLevelType w:val="multilevel"/>
    <w:tmpl w:val="BDDC5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7454C6"/>
    <w:multiLevelType w:val="multilevel"/>
    <w:tmpl w:val="D33AE3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2D24BDB"/>
    <w:multiLevelType w:val="multilevel"/>
    <w:tmpl w:val="BA7CC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2104788">
    <w:abstractNumId w:val="2"/>
  </w:num>
  <w:num w:numId="2" w16cid:durableId="2039043324">
    <w:abstractNumId w:val="3"/>
  </w:num>
  <w:num w:numId="3" w16cid:durableId="2061007571">
    <w:abstractNumId w:val="0"/>
  </w:num>
  <w:num w:numId="4" w16cid:durableId="762991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F67"/>
    <w:rsid w:val="00290C86"/>
    <w:rsid w:val="0069756F"/>
    <w:rsid w:val="008F0B0A"/>
    <w:rsid w:val="009B139B"/>
    <w:rsid w:val="009C0D0C"/>
    <w:rsid w:val="00CF3201"/>
    <w:rsid w:val="00E22F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4437B"/>
  <w15:docId w15:val="{5FCDFE7B-9C85-4438-9B4E-0DE74D218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line="360" w:lineRule="auto"/>
      <w:ind w:left="720" w:hanging="360"/>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18</Pages>
  <Words>3608</Words>
  <Characters>20569</Characters>
  <Application>Microsoft Office Word</Application>
  <DocSecurity>0</DocSecurity>
  <Lines>171</Lines>
  <Paragraphs>48</Paragraphs>
  <ScaleCrop>false</ScaleCrop>
  <Company/>
  <LinksUpToDate>false</LinksUpToDate>
  <CharactersWithSpaces>24129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5</cp:revision>
  <dcterms:created xsi:type="dcterms:W3CDTF">2023-10-26T12:36:00Z</dcterms:created>
  <dcterms:modified xsi:type="dcterms:W3CDTF">2023-11-05T22:32:00Z</dcterms:modified>
</cp:coreProperties>
</file>