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E7D38" w14:textId="77777777" w:rsidR="002678BD" w:rsidRDefault="000B1049" w:rsidP="00790ACE">
      <w:pPr>
        <w:spacing w:line="480" w:lineRule="auto"/>
        <w:jc w:val="both"/>
        <w:rPr>
          <w:rFonts w:ascii="Arial" w:hAnsi="Arial" w:cs="Arial"/>
          <w:sz w:val="24"/>
          <w:szCs w:val="24"/>
          <w:lang w:val="en-US"/>
        </w:rPr>
      </w:pPr>
      <w:r>
        <w:rPr>
          <w:rFonts w:ascii="Arial" w:hAnsi="Arial" w:cs="Arial"/>
          <w:sz w:val="24"/>
          <w:szCs w:val="24"/>
          <w:lang w:val="en-US"/>
        </w:rPr>
        <w:t>Shauna Curry – 1900085</w:t>
      </w:r>
    </w:p>
    <w:p w14:paraId="4696E15D" w14:textId="1EDBE7B2" w:rsidR="006A6D6E" w:rsidRDefault="00234B8D" w:rsidP="00790ACE">
      <w:pPr>
        <w:spacing w:line="480" w:lineRule="auto"/>
        <w:jc w:val="both"/>
        <w:rPr>
          <w:rFonts w:ascii="Arial" w:hAnsi="Arial" w:cs="Arial"/>
          <w:sz w:val="24"/>
          <w:szCs w:val="24"/>
          <w:lang w:val="en-US"/>
        </w:rPr>
      </w:pPr>
      <w:r>
        <w:rPr>
          <w:rFonts w:ascii="Arial" w:hAnsi="Arial" w:cs="Arial"/>
          <w:sz w:val="24"/>
          <w:szCs w:val="24"/>
          <w:lang w:val="en-US"/>
        </w:rPr>
        <w:t>Land Law</w:t>
      </w:r>
    </w:p>
    <w:p w14:paraId="20B6889D" w14:textId="75544930" w:rsidR="000B1049" w:rsidRDefault="000B1049" w:rsidP="00790ACE">
      <w:pPr>
        <w:spacing w:line="480" w:lineRule="auto"/>
        <w:jc w:val="center"/>
        <w:rPr>
          <w:rFonts w:ascii="Arial" w:hAnsi="Arial" w:cs="Arial"/>
          <w:b/>
          <w:bCs/>
          <w:sz w:val="24"/>
          <w:szCs w:val="24"/>
          <w:u w:val="single"/>
          <w:lang w:val="en-US"/>
        </w:rPr>
      </w:pPr>
      <w:r w:rsidRPr="006A6D6E">
        <w:rPr>
          <w:rFonts w:ascii="Arial" w:hAnsi="Arial" w:cs="Arial"/>
          <w:b/>
          <w:bCs/>
          <w:sz w:val="24"/>
          <w:szCs w:val="24"/>
          <w:u w:val="single"/>
          <w:lang w:val="en-US"/>
        </w:rPr>
        <w:t>Scenario Questions</w:t>
      </w:r>
      <w:r w:rsidR="00234B8D" w:rsidRPr="006A6D6E">
        <w:rPr>
          <w:rFonts w:ascii="Arial" w:hAnsi="Arial" w:cs="Arial"/>
          <w:b/>
          <w:bCs/>
          <w:sz w:val="24"/>
          <w:szCs w:val="24"/>
          <w:u w:val="single"/>
          <w:lang w:val="en-US"/>
        </w:rPr>
        <w:t xml:space="preserve"> Assignment</w:t>
      </w:r>
    </w:p>
    <w:p w14:paraId="3D88B91D" w14:textId="57B41ABF" w:rsidR="006A6D6E" w:rsidRDefault="006A6D6E" w:rsidP="00790ACE">
      <w:pPr>
        <w:spacing w:line="480" w:lineRule="auto"/>
        <w:jc w:val="both"/>
        <w:rPr>
          <w:rFonts w:ascii="Arial" w:hAnsi="Arial" w:cs="Arial"/>
          <w:b/>
          <w:bCs/>
          <w:sz w:val="24"/>
          <w:szCs w:val="24"/>
          <w:u w:val="single"/>
        </w:rPr>
      </w:pPr>
    </w:p>
    <w:p w14:paraId="47BCCD27" w14:textId="711317A9" w:rsidR="00523021" w:rsidRPr="00523021" w:rsidRDefault="00523021" w:rsidP="00790ACE">
      <w:pPr>
        <w:spacing w:line="480" w:lineRule="auto"/>
        <w:jc w:val="both"/>
        <w:rPr>
          <w:rFonts w:ascii="Arial" w:hAnsi="Arial" w:cs="Arial"/>
          <w:b/>
          <w:bCs/>
          <w:sz w:val="24"/>
          <w:szCs w:val="24"/>
          <w:u w:val="single"/>
        </w:rPr>
      </w:pPr>
      <w:r>
        <w:rPr>
          <w:rFonts w:ascii="Arial" w:hAnsi="Arial" w:cs="Arial"/>
          <w:b/>
          <w:bCs/>
          <w:sz w:val="24"/>
          <w:szCs w:val="24"/>
          <w:u w:val="single"/>
        </w:rPr>
        <w:t>Task 1</w:t>
      </w:r>
    </w:p>
    <w:p w14:paraId="4406A8FC" w14:textId="77777777" w:rsidR="00C71129" w:rsidRDefault="00C71129" w:rsidP="00790ACE">
      <w:pPr>
        <w:spacing w:line="480" w:lineRule="auto"/>
        <w:jc w:val="both"/>
        <w:rPr>
          <w:rFonts w:ascii="Arial" w:hAnsi="Arial" w:cs="Arial"/>
          <w:sz w:val="24"/>
          <w:szCs w:val="24"/>
        </w:rPr>
      </w:pPr>
    </w:p>
    <w:p w14:paraId="7BC9AF55" w14:textId="53FA5D4A" w:rsidR="00D12C0E" w:rsidRPr="00BE4988" w:rsidRDefault="001715FD" w:rsidP="00790ACE">
      <w:pPr>
        <w:spacing w:line="480" w:lineRule="auto"/>
        <w:jc w:val="both"/>
        <w:rPr>
          <w:rFonts w:ascii="Arial" w:hAnsi="Arial" w:cs="Arial"/>
          <w:color w:val="1A1A1A" w:themeColor="background1" w:themeShade="1A"/>
          <w:sz w:val="24"/>
          <w:szCs w:val="24"/>
        </w:rPr>
      </w:pPr>
      <w:r w:rsidRPr="00822749">
        <w:rPr>
          <w:rFonts w:ascii="Arial" w:hAnsi="Arial" w:cs="Arial"/>
          <w:i/>
          <w:iCs/>
          <w:color w:val="1A1A1A" w:themeColor="background1" w:themeShade="1A"/>
          <w:sz w:val="24"/>
          <w:szCs w:val="24"/>
        </w:rPr>
        <w:t>‘</w:t>
      </w:r>
      <w:r w:rsidR="005D3E3C" w:rsidRPr="00822749">
        <w:rPr>
          <w:rFonts w:ascii="Arial" w:hAnsi="Arial" w:cs="Arial"/>
          <w:i/>
          <w:iCs/>
          <w:color w:val="1A1A1A" w:themeColor="background1" w:themeShade="1A"/>
          <w:sz w:val="24"/>
          <w:szCs w:val="24"/>
        </w:rPr>
        <w:t xml:space="preserve">Cuius est solum, eius est usque ad coelum et ad </w:t>
      </w:r>
      <w:r w:rsidRPr="00822749">
        <w:rPr>
          <w:rFonts w:ascii="Arial" w:hAnsi="Arial" w:cs="Arial"/>
          <w:i/>
          <w:iCs/>
          <w:color w:val="1A1A1A" w:themeColor="background1" w:themeShade="1A"/>
          <w:sz w:val="24"/>
          <w:szCs w:val="24"/>
        </w:rPr>
        <w:t xml:space="preserve">infernos’; </w:t>
      </w:r>
      <w:r w:rsidR="00161050" w:rsidRPr="00822749">
        <w:rPr>
          <w:rFonts w:ascii="Arial" w:hAnsi="Arial" w:cs="Arial"/>
          <w:i/>
          <w:iCs/>
          <w:color w:val="1A1A1A" w:themeColor="background1" w:themeShade="1A"/>
          <w:sz w:val="24"/>
          <w:szCs w:val="24"/>
        </w:rPr>
        <w:t>‘</w:t>
      </w:r>
      <w:r w:rsidR="00C46449" w:rsidRPr="00822749">
        <w:rPr>
          <w:rFonts w:ascii="Arial" w:hAnsi="Arial" w:cs="Arial"/>
          <w:color w:val="1A1A1A" w:themeColor="background1" w:themeShade="1A"/>
          <w:sz w:val="24"/>
          <w:szCs w:val="24"/>
        </w:rPr>
        <w:t>Whoever’s is the soil, it is theirs up to the Heaven and down to the depths below</w:t>
      </w:r>
      <w:r w:rsidR="00161050" w:rsidRPr="00822749">
        <w:rPr>
          <w:rFonts w:ascii="Arial" w:hAnsi="Arial" w:cs="Arial"/>
          <w:color w:val="1A1A1A" w:themeColor="background1" w:themeShade="1A"/>
          <w:sz w:val="24"/>
          <w:szCs w:val="24"/>
        </w:rPr>
        <w:t>’</w:t>
      </w:r>
      <w:r w:rsidR="008A4507">
        <w:rPr>
          <w:rFonts w:ascii="Arial" w:hAnsi="Arial" w:cs="Arial"/>
          <w:color w:val="1A1A1A" w:themeColor="background1" w:themeShade="1A"/>
          <w:sz w:val="24"/>
          <w:szCs w:val="24"/>
        </w:rPr>
        <w:t xml:space="preserve"> (</w:t>
      </w:r>
      <w:r w:rsidR="00153842">
        <w:rPr>
          <w:rFonts w:ascii="Arial" w:hAnsi="Arial" w:cs="Arial"/>
          <w:color w:val="1A1A1A" w:themeColor="background1" w:themeShade="1A"/>
          <w:sz w:val="24"/>
          <w:szCs w:val="24"/>
        </w:rPr>
        <w:t>Loveday, 2009</w:t>
      </w:r>
      <w:r w:rsidR="008A4507">
        <w:rPr>
          <w:rFonts w:ascii="Arial" w:hAnsi="Arial" w:cs="Arial"/>
          <w:color w:val="1A1A1A" w:themeColor="background1" w:themeShade="1A"/>
          <w:sz w:val="24"/>
          <w:szCs w:val="24"/>
        </w:rPr>
        <w:t>)</w:t>
      </w:r>
      <w:r w:rsidR="00C46449" w:rsidRPr="00822749">
        <w:rPr>
          <w:rFonts w:ascii="Arial" w:hAnsi="Arial" w:cs="Arial"/>
          <w:color w:val="1A1A1A" w:themeColor="background1" w:themeShade="1A"/>
          <w:sz w:val="24"/>
          <w:szCs w:val="24"/>
        </w:rPr>
        <w:t>.</w:t>
      </w:r>
      <w:r w:rsidR="008438EF" w:rsidRPr="00822749">
        <w:rPr>
          <w:rFonts w:ascii="Arial" w:hAnsi="Arial" w:cs="Arial"/>
          <w:color w:val="1A1A1A" w:themeColor="background1" w:themeShade="1A"/>
          <w:sz w:val="24"/>
          <w:szCs w:val="24"/>
        </w:rPr>
        <w:t xml:space="preserve"> </w:t>
      </w:r>
      <w:r w:rsidR="0068073B">
        <w:rPr>
          <w:rFonts w:ascii="Arial" w:hAnsi="Arial" w:cs="Arial"/>
          <w:color w:val="1A1A1A" w:themeColor="background1" w:themeShade="1A"/>
          <w:sz w:val="24"/>
          <w:szCs w:val="24"/>
        </w:rPr>
        <w:t>T</w:t>
      </w:r>
      <w:r w:rsidR="00B82415" w:rsidRPr="00822749">
        <w:rPr>
          <w:rFonts w:ascii="Arial" w:hAnsi="Arial" w:cs="Arial"/>
          <w:color w:val="1A1A1A" w:themeColor="background1" w:themeShade="1A"/>
          <w:sz w:val="24"/>
          <w:szCs w:val="24"/>
        </w:rPr>
        <w:t xml:space="preserve">his definition </w:t>
      </w:r>
      <w:r w:rsidR="00397D9E" w:rsidRPr="00822749">
        <w:rPr>
          <w:rFonts w:ascii="Arial" w:hAnsi="Arial" w:cs="Arial"/>
          <w:color w:val="1A1A1A" w:themeColor="background1" w:themeShade="1A"/>
          <w:sz w:val="24"/>
          <w:szCs w:val="24"/>
        </w:rPr>
        <w:t>concerns itself with the relationship between</w:t>
      </w:r>
      <w:r w:rsidR="00482567" w:rsidRPr="00822749">
        <w:rPr>
          <w:rFonts w:ascii="Arial" w:hAnsi="Arial" w:cs="Arial"/>
          <w:color w:val="1A1A1A" w:themeColor="background1" w:themeShade="1A"/>
          <w:sz w:val="24"/>
          <w:szCs w:val="24"/>
        </w:rPr>
        <w:t xml:space="preserve"> land and the owner of said land</w:t>
      </w:r>
      <w:r w:rsidR="006B10FD" w:rsidRPr="00822749">
        <w:rPr>
          <w:rFonts w:ascii="Arial" w:hAnsi="Arial" w:cs="Arial"/>
          <w:color w:val="1A1A1A" w:themeColor="background1" w:themeShade="1A"/>
          <w:sz w:val="24"/>
          <w:szCs w:val="24"/>
        </w:rPr>
        <w:t xml:space="preserve"> </w:t>
      </w:r>
      <w:r w:rsidR="000D3E5B">
        <w:rPr>
          <w:rFonts w:ascii="Arial" w:hAnsi="Arial" w:cs="Arial"/>
          <w:color w:val="1A1A1A" w:themeColor="background1" w:themeShade="1A"/>
          <w:sz w:val="24"/>
          <w:szCs w:val="24"/>
        </w:rPr>
        <w:t>and is</w:t>
      </w:r>
      <w:r w:rsidR="005D38C0" w:rsidRPr="005D38C0">
        <w:rPr>
          <w:rFonts w:ascii="Arial" w:hAnsi="Arial" w:cs="Arial"/>
          <w:color w:val="1A1A1A" w:themeColor="background1" w:themeShade="1A"/>
          <w:sz w:val="24"/>
          <w:szCs w:val="24"/>
        </w:rPr>
        <w:t xml:space="preserve"> </w:t>
      </w:r>
      <w:r w:rsidR="005D38C0">
        <w:rPr>
          <w:rFonts w:ascii="Arial" w:hAnsi="Arial" w:cs="Arial"/>
          <w:color w:val="1A1A1A" w:themeColor="background1" w:themeShade="1A"/>
          <w:sz w:val="24"/>
          <w:szCs w:val="24"/>
        </w:rPr>
        <w:t>r</w:t>
      </w:r>
      <w:r w:rsidR="005D38C0" w:rsidRPr="00822749">
        <w:rPr>
          <w:rFonts w:ascii="Arial" w:hAnsi="Arial" w:cs="Arial"/>
          <w:color w:val="1A1A1A" w:themeColor="background1" w:themeShade="1A"/>
          <w:sz w:val="24"/>
          <w:szCs w:val="24"/>
        </w:rPr>
        <w:t>eferred to as the traditional starting point for land law</w:t>
      </w:r>
      <w:r w:rsidR="000D3E5B">
        <w:rPr>
          <w:rFonts w:ascii="Arial" w:hAnsi="Arial" w:cs="Arial"/>
          <w:color w:val="1A1A1A" w:themeColor="background1" w:themeShade="1A"/>
          <w:sz w:val="24"/>
          <w:szCs w:val="24"/>
        </w:rPr>
        <w:t xml:space="preserve"> </w:t>
      </w:r>
      <w:r w:rsidR="006B10FD" w:rsidRPr="00822749">
        <w:rPr>
          <w:rFonts w:ascii="Arial" w:hAnsi="Arial" w:cs="Arial"/>
          <w:color w:val="1A1A1A" w:themeColor="background1" w:themeShade="1A"/>
          <w:sz w:val="24"/>
          <w:szCs w:val="24"/>
        </w:rPr>
        <w:t>(Bray, 2016, pp.1)</w:t>
      </w:r>
      <w:r w:rsidR="00482567" w:rsidRPr="00822749">
        <w:rPr>
          <w:rFonts w:ascii="Arial" w:hAnsi="Arial" w:cs="Arial"/>
          <w:color w:val="1A1A1A" w:themeColor="background1" w:themeShade="1A"/>
          <w:sz w:val="24"/>
          <w:szCs w:val="24"/>
        </w:rPr>
        <w:t>.</w:t>
      </w:r>
      <w:r w:rsidR="001977AC">
        <w:rPr>
          <w:rFonts w:ascii="Arial" w:hAnsi="Arial" w:cs="Arial"/>
          <w:color w:val="1A1A1A" w:themeColor="background1" w:themeShade="1A"/>
          <w:sz w:val="24"/>
          <w:szCs w:val="24"/>
        </w:rPr>
        <w:t xml:space="preserve"> </w:t>
      </w:r>
      <w:r w:rsidR="0027626D" w:rsidRPr="00822749">
        <w:rPr>
          <w:rFonts w:ascii="Arial" w:hAnsi="Arial" w:cs="Arial"/>
          <w:color w:val="1A1A1A" w:themeColor="background1" w:themeShade="1A"/>
          <w:sz w:val="24"/>
          <w:szCs w:val="24"/>
        </w:rPr>
        <w:t>‘</w:t>
      </w:r>
      <w:r w:rsidR="001977AC">
        <w:rPr>
          <w:rFonts w:ascii="Arial" w:hAnsi="Arial" w:cs="Arial"/>
          <w:color w:val="1A1A1A" w:themeColor="background1" w:themeShade="1A"/>
          <w:sz w:val="24"/>
          <w:szCs w:val="24"/>
        </w:rPr>
        <w:t>L</w:t>
      </w:r>
      <w:r w:rsidR="0027626D" w:rsidRPr="00822749">
        <w:rPr>
          <w:rFonts w:ascii="Arial" w:hAnsi="Arial" w:cs="Arial"/>
          <w:color w:val="1A1A1A" w:themeColor="background1" w:themeShade="1A"/>
          <w:sz w:val="24"/>
          <w:szCs w:val="24"/>
        </w:rPr>
        <w:t>and’ has been defined within</w:t>
      </w:r>
      <w:r w:rsidR="00FD2CEA" w:rsidRPr="00822749">
        <w:rPr>
          <w:rFonts w:ascii="Arial" w:hAnsi="Arial" w:cs="Arial"/>
          <w:color w:val="1A1A1A" w:themeColor="background1" w:themeShade="1A"/>
          <w:sz w:val="24"/>
          <w:szCs w:val="24"/>
        </w:rPr>
        <w:t xml:space="preserve"> s.205(1)(ix) Law of Property Act (LPA) 1925, to include the physical land itself, as well as the buildings and fixtures on it known as ‘corporeal hereditaments’, and any rights over the land known as ‘incorporeal hereditaments’ </w:t>
      </w:r>
      <w:r w:rsidR="004A144E">
        <w:rPr>
          <w:rFonts w:ascii="Arial" w:hAnsi="Arial" w:cs="Arial"/>
          <w:color w:val="1A1A1A" w:themeColor="background1" w:themeShade="1A"/>
          <w:sz w:val="24"/>
          <w:szCs w:val="24"/>
        </w:rPr>
        <w:t>(Law of Property Act</w:t>
      </w:r>
      <w:r w:rsidR="00626899">
        <w:rPr>
          <w:rFonts w:ascii="Arial" w:hAnsi="Arial" w:cs="Arial"/>
          <w:color w:val="1A1A1A" w:themeColor="background1" w:themeShade="1A"/>
          <w:sz w:val="24"/>
          <w:szCs w:val="24"/>
        </w:rPr>
        <w:t>, 1925</w:t>
      </w:r>
      <w:r w:rsidR="004A144E">
        <w:rPr>
          <w:rFonts w:ascii="Arial" w:hAnsi="Arial" w:cs="Arial"/>
          <w:color w:val="1A1A1A" w:themeColor="background1" w:themeShade="1A"/>
          <w:sz w:val="24"/>
          <w:szCs w:val="24"/>
        </w:rPr>
        <w:t xml:space="preserve">), </w:t>
      </w:r>
      <w:r w:rsidR="00FD2CEA" w:rsidRPr="00822749">
        <w:rPr>
          <w:rFonts w:ascii="Arial" w:hAnsi="Arial" w:cs="Arial"/>
          <w:color w:val="1A1A1A" w:themeColor="background1" w:themeShade="1A"/>
          <w:sz w:val="24"/>
          <w:szCs w:val="24"/>
        </w:rPr>
        <w:t>(Duddington, 2015, pp.4-5).</w:t>
      </w:r>
    </w:p>
    <w:p w14:paraId="3B759870" w14:textId="033249B5" w:rsidR="00876DB5" w:rsidRPr="00C75432" w:rsidRDefault="00656E42" w:rsidP="00790ACE">
      <w:pPr>
        <w:spacing w:line="480" w:lineRule="auto"/>
        <w:jc w:val="both"/>
        <w:rPr>
          <w:rFonts w:ascii="Arial" w:hAnsi="Arial" w:cs="Arial"/>
          <w:color w:val="000000" w:themeColor="text1"/>
          <w:sz w:val="24"/>
          <w:szCs w:val="24"/>
        </w:rPr>
      </w:pPr>
      <w:r w:rsidRPr="002B2D8C">
        <w:rPr>
          <w:rFonts w:ascii="Arial" w:hAnsi="Arial" w:cs="Arial"/>
          <w:color w:val="000000" w:themeColor="text1"/>
          <w:sz w:val="24"/>
          <w:szCs w:val="24"/>
        </w:rPr>
        <w:t>Corp</w:t>
      </w:r>
      <w:r w:rsidR="005655FD" w:rsidRPr="002B2D8C">
        <w:rPr>
          <w:rFonts w:ascii="Arial" w:hAnsi="Arial" w:cs="Arial"/>
          <w:color w:val="000000" w:themeColor="text1"/>
          <w:sz w:val="24"/>
          <w:szCs w:val="24"/>
        </w:rPr>
        <w:t xml:space="preserve">oreal hereditaments are tangible, physical </w:t>
      </w:r>
      <w:r w:rsidR="0094308E" w:rsidRPr="002B2D8C">
        <w:rPr>
          <w:rFonts w:ascii="Arial" w:hAnsi="Arial" w:cs="Arial"/>
          <w:color w:val="000000" w:themeColor="text1"/>
          <w:sz w:val="24"/>
          <w:szCs w:val="24"/>
        </w:rPr>
        <w:t>things</w:t>
      </w:r>
      <w:r w:rsidR="000005B0">
        <w:rPr>
          <w:rFonts w:ascii="Arial" w:hAnsi="Arial" w:cs="Arial"/>
          <w:color w:val="000000" w:themeColor="text1"/>
          <w:sz w:val="24"/>
          <w:szCs w:val="24"/>
        </w:rPr>
        <w:t>,</w:t>
      </w:r>
      <w:r w:rsidR="0094308E" w:rsidRPr="002B2D8C">
        <w:rPr>
          <w:rFonts w:ascii="Arial" w:hAnsi="Arial" w:cs="Arial"/>
          <w:color w:val="000000" w:themeColor="text1"/>
          <w:sz w:val="24"/>
          <w:szCs w:val="24"/>
        </w:rPr>
        <w:t xml:space="preserve"> </w:t>
      </w:r>
      <w:r w:rsidR="00651809" w:rsidRPr="002B2D8C">
        <w:rPr>
          <w:rFonts w:ascii="Arial" w:hAnsi="Arial" w:cs="Arial"/>
          <w:color w:val="000000" w:themeColor="text1"/>
          <w:sz w:val="24"/>
          <w:szCs w:val="24"/>
        </w:rPr>
        <w:t xml:space="preserve">therefore when </w:t>
      </w:r>
      <w:r w:rsidR="0013241F" w:rsidRPr="002B2D8C">
        <w:rPr>
          <w:rFonts w:ascii="Arial" w:hAnsi="Arial" w:cs="Arial"/>
          <w:color w:val="000000" w:themeColor="text1"/>
          <w:sz w:val="24"/>
          <w:szCs w:val="24"/>
        </w:rPr>
        <w:t xml:space="preserve">deciding whether an object is a fixture or fitting </w:t>
      </w:r>
      <w:r w:rsidR="00D57719">
        <w:rPr>
          <w:rFonts w:ascii="Arial" w:hAnsi="Arial" w:cs="Arial"/>
          <w:color w:val="000000" w:themeColor="text1"/>
          <w:sz w:val="24"/>
          <w:szCs w:val="24"/>
        </w:rPr>
        <w:t xml:space="preserve">and where a TA10 form is </w:t>
      </w:r>
      <w:r w:rsidR="003C1C62">
        <w:rPr>
          <w:rFonts w:ascii="Arial" w:hAnsi="Arial" w:cs="Arial"/>
          <w:color w:val="000000" w:themeColor="text1"/>
          <w:sz w:val="24"/>
          <w:szCs w:val="24"/>
        </w:rPr>
        <w:t xml:space="preserve">ambiguous or silent on an issue </w:t>
      </w:r>
      <w:r w:rsidR="00606993">
        <w:rPr>
          <w:rFonts w:ascii="Arial" w:hAnsi="Arial" w:cs="Arial"/>
          <w:color w:val="000000" w:themeColor="text1"/>
          <w:sz w:val="24"/>
          <w:szCs w:val="24"/>
        </w:rPr>
        <w:t xml:space="preserve">Justice </w:t>
      </w:r>
      <w:r w:rsidR="0013241F" w:rsidRPr="002B2D8C">
        <w:rPr>
          <w:rFonts w:ascii="Arial" w:hAnsi="Arial" w:cs="Arial"/>
          <w:color w:val="000000" w:themeColor="text1"/>
          <w:sz w:val="24"/>
          <w:szCs w:val="24"/>
        </w:rPr>
        <w:t xml:space="preserve">Blackburn in </w:t>
      </w:r>
      <w:r w:rsidR="0013241F" w:rsidRPr="002B2D8C">
        <w:rPr>
          <w:rFonts w:ascii="Arial" w:hAnsi="Arial" w:cs="Arial"/>
          <w:i/>
          <w:iCs/>
          <w:color w:val="000000" w:themeColor="text1"/>
          <w:sz w:val="24"/>
          <w:szCs w:val="24"/>
        </w:rPr>
        <w:t xml:space="preserve">Holland v Hodgson [1872] </w:t>
      </w:r>
      <w:r w:rsidR="0013241F" w:rsidRPr="002B2D8C">
        <w:rPr>
          <w:rFonts w:ascii="Arial" w:hAnsi="Arial" w:cs="Arial"/>
          <w:color w:val="000000" w:themeColor="text1"/>
          <w:sz w:val="24"/>
          <w:szCs w:val="24"/>
        </w:rPr>
        <w:t>identified two tests</w:t>
      </w:r>
      <w:r w:rsidR="00D0674C">
        <w:rPr>
          <w:rFonts w:ascii="Arial" w:hAnsi="Arial" w:cs="Arial"/>
          <w:color w:val="000000" w:themeColor="text1"/>
          <w:sz w:val="24"/>
          <w:szCs w:val="24"/>
        </w:rPr>
        <w:t xml:space="preserve"> to limit disputes</w:t>
      </w:r>
      <w:r w:rsidR="00645927">
        <w:rPr>
          <w:rFonts w:ascii="Arial" w:hAnsi="Arial" w:cs="Arial"/>
          <w:color w:val="000000" w:themeColor="text1"/>
          <w:sz w:val="24"/>
          <w:szCs w:val="24"/>
        </w:rPr>
        <w:t xml:space="preserve"> (</w:t>
      </w:r>
      <w:r w:rsidR="00F037F0">
        <w:rPr>
          <w:rFonts w:ascii="Arial" w:hAnsi="Arial" w:cs="Arial"/>
          <w:color w:val="000000" w:themeColor="text1"/>
          <w:sz w:val="24"/>
          <w:szCs w:val="24"/>
        </w:rPr>
        <w:t>O’Neil</w:t>
      </w:r>
      <w:r w:rsidR="00645927">
        <w:rPr>
          <w:rFonts w:ascii="Arial" w:hAnsi="Arial" w:cs="Arial"/>
          <w:color w:val="000000" w:themeColor="text1"/>
          <w:sz w:val="24"/>
          <w:szCs w:val="24"/>
        </w:rPr>
        <w:t>, 201</w:t>
      </w:r>
      <w:r w:rsidR="00F037F0">
        <w:rPr>
          <w:rFonts w:ascii="Arial" w:hAnsi="Arial" w:cs="Arial"/>
          <w:color w:val="000000" w:themeColor="text1"/>
          <w:sz w:val="24"/>
          <w:szCs w:val="24"/>
        </w:rPr>
        <w:t>5</w:t>
      </w:r>
      <w:r w:rsidR="00645927">
        <w:rPr>
          <w:rFonts w:ascii="Arial" w:hAnsi="Arial" w:cs="Arial"/>
          <w:color w:val="000000" w:themeColor="text1"/>
          <w:sz w:val="24"/>
          <w:szCs w:val="24"/>
        </w:rPr>
        <w:t>)</w:t>
      </w:r>
      <w:r w:rsidR="0013241F" w:rsidRPr="002B2D8C">
        <w:rPr>
          <w:rFonts w:ascii="Arial" w:hAnsi="Arial" w:cs="Arial"/>
          <w:color w:val="000000" w:themeColor="text1"/>
          <w:sz w:val="24"/>
          <w:szCs w:val="24"/>
        </w:rPr>
        <w:t xml:space="preserve">. Specifically, the degree of annexation; which identifies the extent to which something is fixed </w:t>
      </w:r>
      <w:r w:rsidR="00C71205">
        <w:rPr>
          <w:rFonts w:ascii="Arial" w:hAnsi="Arial" w:cs="Arial"/>
          <w:color w:val="000000" w:themeColor="text1"/>
          <w:sz w:val="24"/>
          <w:szCs w:val="24"/>
        </w:rPr>
        <w:t xml:space="preserve">as </w:t>
      </w:r>
      <w:r w:rsidR="00E13F31">
        <w:rPr>
          <w:rFonts w:ascii="Arial" w:hAnsi="Arial" w:cs="Arial"/>
          <w:color w:val="000000" w:themeColor="text1"/>
          <w:sz w:val="24"/>
          <w:szCs w:val="24"/>
        </w:rPr>
        <w:t xml:space="preserve">seen in </w:t>
      </w:r>
      <w:r w:rsidR="00E13F31">
        <w:rPr>
          <w:rFonts w:ascii="Arial" w:hAnsi="Arial" w:cs="Arial"/>
          <w:i/>
          <w:iCs/>
          <w:color w:val="000000" w:themeColor="text1"/>
          <w:sz w:val="24"/>
          <w:szCs w:val="24"/>
        </w:rPr>
        <w:t>Holland [187</w:t>
      </w:r>
      <w:r w:rsidR="000A74D3">
        <w:rPr>
          <w:rFonts w:ascii="Arial" w:hAnsi="Arial" w:cs="Arial"/>
          <w:i/>
          <w:iCs/>
          <w:color w:val="000000" w:themeColor="text1"/>
          <w:sz w:val="24"/>
          <w:szCs w:val="24"/>
        </w:rPr>
        <w:t>2</w:t>
      </w:r>
      <w:r w:rsidR="00E13F31">
        <w:rPr>
          <w:rFonts w:ascii="Arial" w:hAnsi="Arial" w:cs="Arial"/>
          <w:i/>
          <w:iCs/>
          <w:color w:val="000000" w:themeColor="text1"/>
          <w:sz w:val="24"/>
          <w:szCs w:val="24"/>
        </w:rPr>
        <w:t xml:space="preserve">] </w:t>
      </w:r>
      <w:r w:rsidR="00E13F31">
        <w:rPr>
          <w:rFonts w:ascii="Arial" w:hAnsi="Arial" w:cs="Arial"/>
          <w:color w:val="000000" w:themeColor="text1"/>
          <w:sz w:val="24"/>
          <w:szCs w:val="24"/>
        </w:rPr>
        <w:t xml:space="preserve">where </w:t>
      </w:r>
      <w:r w:rsidR="007706B2">
        <w:rPr>
          <w:rFonts w:ascii="Arial" w:hAnsi="Arial" w:cs="Arial"/>
          <w:color w:val="000000" w:themeColor="text1"/>
          <w:sz w:val="24"/>
          <w:szCs w:val="24"/>
        </w:rPr>
        <w:t xml:space="preserve">spinning looms were </w:t>
      </w:r>
      <w:r w:rsidR="005C12B5">
        <w:rPr>
          <w:rFonts w:ascii="Arial" w:hAnsi="Arial" w:cs="Arial"/>
          <w:color w:val="000000" w:themeColor="text1"/>
          <w:sz w:val="24"/>
          <w:szCs w:val="24"/>
        </w:rPr>
        <w:t xml:space="preserve">bolted </w:t>
      </w:r>
      <w:r w:rsidR="007706B2">
        <w:rPr>
          <w:rFonts w:ascii="Arial" w:hAnsi="Arial" w:cs="Arial"/>
          <w:color w:val="000000" w:themeColor="text1"/>
          <w:sz w:val="24"/>
          <w:szCs w:val="24"/>
        </w:rPr>
        <w:t xml:space="preserve">to the floor </w:t>
      </w:r>
      <w:r w:rsidR="0013241F" w:rsidRPr="002B2D8C">
        <w:rPr>
          <w:rFonts w:ascii="Arial" w:hAnsi="Arial" w:cs="Arial"/>
          <w:color w:val="000000" w:themeColor="text1"/>
          <w:sz w:val="24"/>
          <w:szCs w:val="24"/>
        </w:rPr>
        <w:t>and the purpose of annexation; focusing on the reasoning behind fixing the item</w:t>
      </w:r>
      <w:r w:rsidR="007B72CF">
        <w:rPr>
          <w:rFonts w:ascii="Arial" w:hAnsi="Arial" w:cs="Arial"/>
          <w:color w:val="000000" w:themeColor="text1"/>
          <w:sz w:val="24"/>
          <w:szCs w:val="24"/>
        </w:rPr>
        <w:t xml:space="preserve"> </w:t>
      </w:r>
      <w:r w:rsidR="007B72CF">
        <w:rPr>
          <w:rFonts w:ascii="Arial" w:hAnsi="Arial" w:cs="Arial"/>
          <w:color w:val="000000" w:themeColor="text1"/>
          <w:sz w:val="24"/>
          <w:szCs w:val="24"/>
        </w:rPr>
        <w:lastRenderedPageBreak/>
        <w:t xml:space="preserve">seen in </w:t>
      </w:r>
      <w:r w:rsidR="007D65F2">
        <w:rPr>
          <w:rFonts w:ascii="Arial" w:hAnsi="Arial" w:cs="Arial"/>
          <w:i/>
          <w:iCs/>
          <w:color w:val="000000" w:themeColor="text1"/>
          <w:sz w:val="24"/>
          <w:szCs w:val="24"/>
        </w:rPr>
        <w:t xml:space="preserve">Leigh v </w:t>
      </w:r>
      <w:r w:rsidR="00983664">
        <w:rPr>
          <w:rFonts w:ascii="Arial" w:hAnsi="Arial" w:cs="Arial"/>
          <w:i/>
          <w:iCs/>
          <w:color w:val="000000" w:themeColor="text1"/>
          <w:sz w:val="24"/>
          <w:szCs w:val="24"/>
        </w:rPr>
        <w:t>Taylor [</w:t>
      </w:r>
      <w:r w:rsidR="000E7A77">
        <w:rPr>
          <w:rFonts w:ascii="Arial" w:hAnsi="Arial" w:cs="Arial"/>
          <w:i/>
          <w:iCs/>
          <w:color w:val="000000" w:themeColor="text1"/>
          <w:sz w:val="24"/>
          <w:szCs w:val="24"/>
        </w:rPr>
        <w:t xml:space="preserve">1902] </w:t>
      </w:r>
      <w:r w:rsidR="000E7A77">
        <w:rPr>
          <w:rFonts w:ascii="Arial" w:hAnsi="Arial" w:cs="Arial"/>
          <w:color w:val="000000" w:themeColor="text1"/>
          <w:sz w:val="24"/>
          <w:szCs w:val="24"/>
        </w:rPr>
        <w:t xml:space="preserve">where the annexation </w:t>
      </w:r>
      <w:r w:rsidR="00D53B19">
        <w:rPr>
          <w:rFonts w:ascii="Arial" w:hAnsi="Arial" w:cs="Arial"/>
          <w:color w:val="000000" w:themeColor="text1"/>
          <w:sz w:val="24"/>
          <w:szCs w:val="24"/>
        </w:rPr>
        <w:t xml:space="preserve">was merely to enjoy the </w:t>
      </w:r>
      <w:r w:rsidR="00F802D9">
        <w:rPr>
          <w:rFonts w:ascii="Arial" w:hAnsi="Arial" w:cs="Arial"/>
          <w:color w:val="000000" w:themeColor="text1"/>
          <w:sz w:val="24"/>
          <w:szCs w:val="24"/>
        </w:rPr>
        <w:t>object as a fitting and so remained a fitting</w:t>
      </w:r>
      <w:r w:rsidR="0013241F" w:rsidRPr="002B2D8C">
        <w:rPr>
          <w:rFonts w:ascii="Arial" w:hAnsi="Arial" w:cs="Arial"/>
          <w:color w:val="000000" w:themeColor="text1"/>
          <w:sz w:val="24"/>
          <w:szCs w:val="24"/>
        </w:rPr>
        <w:t xml:space="preserve"> (</w:t>
      </w:r>
      <w:r w:rsidR="000E4ADE">
        <w:rPr>
          <w:rFonts w:ascii="Arial" w:hAnsi="Arial" w:cs="Arial"/>
          <w:color w:val="000000" w:themeColor="text1"/>
          <w:sz w:val="24"/>
          <w:szCs w:val="24"/>
        </w:rPr>
        <w:t>Sayles</w:t>
      </w:r>
      <w:r w:rsidR="0013241F" w:rsidRPr="002B2D8C">
        <w:rPr>
          <w:rFonts w:ascii="Arial" w:hAnsi="Arial" w:cs="Arial"/>
          <w:color w:val="000000" w:themeColor="text1"/>
          <w:sz w:val="24"/>
          <w:szCs w:val="24"/>
        </w:rPr>
        <w:t xml:space="preserve">, </w:t>
      </w:r>
      <w:r w:rsidR="000E4ADE">
        <w:rPr>
          <w:rFonts w:ascii="Arial" w:hAnsi="Arial" w:cs="Arial"/>
          <w:color w:val="000000" w:themeColor="text1"/>
          <w:sz w:val="24"/>
          <w:szCs w:val="24"/>
        </w:rPr>
        <w:t>2020, pp.6-7</w:t>
      </w:r>
      <w:r w:rsidR="0013241F" w:rsidRPr="002B2D8C">
        <w:rPr>
          <w:rFonts w:ascii="Arial" w:hAnsi="Arial" w:cs="Arial"/>
          <w:color w:val="000000" w:themeColor="text1"/>
          <w:sz w:val="24"/>
          <w:szCs w:val="24"/>
        </w:rPr>
        <w:t>).</w:t>
      </w:r>
    </w:p>
    <w:p w14:paraId="2599C60F" w14:textId="283138CA" w:rsidR="004E0C4B" w:rsidRPr="00AA3127" w:rsidRDefault="00067E5F" w:rsidP="00F86DE0">
      <w:pPr>
        <w:spacing w:line="480" w:lineRule="auto"/>
        <w:jc w:val="both"/>
        <w:rPr>
          <w:rFonts w:ascii="Arial" w:hAnsi="Arial" w:cs="Arial"/>
          <w:sz w:val="24"/>
          <w:szCs w:val="24"/>
        </w:rPr>
      </w:pPr>
      <w:r>
        <w:rPr>
          <w:rFonts w:ascii="Arial" w:hAnsi="Arial" w:cs="Arial"/>
          <w:sz w:val="24"/>
          <w:szCs w:val="24"/>
        </w:rPr>
        <w:t>It is imperative</w:t>
      </w:r>
      <w:r w:rsidR="00776ABA">
        <w:rPr>
          <w:rFonts w:ascii="Arial" w:hAnsi="Arial" w:cs="Arial"/>
          <w:sz w:val="24"/>
          <w:szCs w:val="24"/>
        </w:rPr>
        <w:t xml:space="preserve"> when transferring </w:t>
      </w:r>
      <w:r w:rsidR="00D3415E">
        <w:rPr>
          <w:rFonts w:ascii="Arial" w:hAnsi="Arial" w:cs="Arial"/>
          <w:sz w:val="24"/>
          <w:szCs w:val="24"/>
        </w:rPr>
        <w:t>the ownership of land</w:t>
      </w:r>
      <w:r>
        <w:rPr>
          <w:rFonts w:ascii="Arial" w:hAnsi="Arial" w:cs="Arial"/>
          <w:sz w:val="24"/>
          <w:szCs w:val="24"/>
        </w:rPr>
        <w:t xml:space="preserve"> to distinguish </w:t>
      </w:r>
      <w:r w:rsidR="00070163">
        <w:rPr>
          <w:rFonts w:ascii="Arial" w:hAnsi="Arial" w:cs="Arial"/>
          <w:sz w:val="24"/>
          <w:szCs w:val="24"/>
        </w:rPr>
        <w:t xml:space="preserve">between </w:t>
      </w:r>
      <w:r w:rsidR="00287C4B">
        <w:rPr>
          <w:rFonts w:ascii="Arial" w:hAnsi="Arial" w:cs="Arial"/>
          <w:sz w:val="24"/>
          <w:szCs w:val="24"/>
        </w:rPr>
        <w:t>fittings (</w:t>
      </w:r>
      <w:proofErr w:type="spellStart"/>
      <w:r w:rsidR="00A835E1">
        <w:rPr>
          <w:rFonts w:ascii="Arial" w:hAnsi="Arial" w:cs="Arial"/>
          <w:sz w:val="24"/>
          <w:szCs w:val="24"/>
        </w:rPr>
        <w:t>personalty</w:t>
      </w:r>
      <w:proofErr w:type="spellEnd"/>
      <w:r w:rsidR="00287C4B">
        <w:rPr>
          <w:rFonts w:ascii="Arial" w:hAnsi="Arial" w:cs="Arial"/>
          <w:sz w:val="24"/>
          <w:szCs w:val="24"/>
        </w:rPr>
        <w:t>)</w:t>
      </w:r>
      <w:r w:rsidR="00A835E1">
        <w:rPr>
          <w:rFonts w:ascii="Arial" w:hAnsi="Arial" w:cs="Arial"/>
          <w:sz w:val="24"/>
          <w:szCs w:val="24"/>
        </w:rPr>
        <w:t xml:space="preserve"> and </w:t>
      </w:r>
      <w:r w:rsidR="00287C4B">
        <w:rPr>
          <w:rFonts w:ascii="Arial" w:hAnsi="Arial" w:cs="Arial"/>
          <w:sz w:val="24"/>
          <w:szCs w:val="24"/>
        </w:rPr>
        <w:t>fixtures (</w:t>
      </w:r>
      <w:r w:rsidR="00A835E1">
        <w:rPr>
          <w:rFonts w:ascii="Arial" w:hAnsi="Arial" w:cs="Arial"/>
          <w:sz w:val="24"/>
          <w:szCs w:val="24"/>
        </w:rPr>
        <w:t>realty</w:t>
      </w:r>
      <w:r w:rsidR="00287C4B">
        <w:rPr>
          <w:rFonts w:ascii="Arial" w:hAnsi="Arial" w:cs="Arial"/>
          <w:sz w:val="24"/>
          <w:szCs w:val="24"/>
        </w:rPr>
        <w:t>)</w:t>
      </w:r>
      <w:r w:rsidR="0067529E">
        <w:rPr>
          <w:rFonts w:ascii="Arial" w:hAnsi="Arial" w:cs="Arial"/>
          <w:sz w:val="24"/>
          <w:szCs w:val="24"/>
        </w:rPr>
        <w:t xml:space="preserve"> therefore </w:t>
      </w:r>
      <w:r w:rsidR="00D844A2">
        <w:rPr>
          <w:rFonts w:ascii="Arial" w:hAnsi="Arial" w:cs="Arial"/>
          <w:sz w:val="24"/>
          <w:szCs w:val="24"/>
        </w:rPr>
        <w:t xml:space="preserve">when </w:t>
      </w:r>
      <w:r w:rsidR="00E01FBD">
        <w:rPr>
          <w:rFonts w:ascii="Arial" w:hAnsi="Arial" w:cs="Arial"/>
          <w:sz w:val="24"/>
          <w:szCs w:val="24"/>
        </w:rPr>
        <w:t>considering the problem</w:t>
      </w:r>
      <w:r w:rsidR="00E8760A">
        <w:rPr>
          <w:rFonts w:ascii="Arial" w:hAnsi="Arial" w:cs="Arial"/>
          <w:sz w:val="24"/>
          <w:szCs w:val="24"/>
        </w:rPr>
        <w:t>-</w:t>
      </w:r>
      <w:r w:rsidR="00E01FBD">
        <w:rPr>
          <w:rFonts w:ascii="Arial" w:hAnsi="Arial" w:cs="Arial"/>
          <w:sz w:val="24"/>
          <w:szCs w:val="24"/>
        </w:rPr>
        <w:t xml:space="preserve">based scenario </w:t>
      </w:r>
      <w:r w:rsidR="00B64383">
        <w:rPr>
          <w:rFonts w:ascii="Arial" w:hAnsi="Arial" w:cs="Arial"/>
          <w:sz w:val="24"/>
          <w:szCs w:val="24"/>
        </w:rPr>
        <w:t xml:space="preserve">Selina is seeking </w:t>
      </w:r>
      <w:r w:rsidR="0082799E">
        <w:rPr>
          <w:rFonts w:ascii="Arial" w:hAnsi="Arial" w:cs="Arial"/>
          <w:sz w:val="24"/>
          <w:szCs w:val="24"/>
        </w:rPr>
        <w:t xml:space="preserve">confirmation as to </w:t>
      </w:r>
      <w:r w:rsidR="00514892">
        <w:rPr>
          <w:rFonts w:ascii="Arial" w:hAnsi="Arial" w:cs="Arial"/>
          <w:sz w:val="24"/>
          <w:szCs w:val="24"/>
        </w:rPr>
        <w:t xml:space="preserve">what constitutes as a </w:t>
      </w:r>
      <w:r w:rsidR="00E8760A">
        <w:rPr>
          <w:rFonts w:ascii="Arial" w:hAnsi="Arial" w:cs="Arial"/>
          <w:sz w:val="24"/>
          <w:szCs w:val="24"/>
        </w:rPr>
        <w:t>‘</w:t>
      </w:r>
      <w:r w:rsidR="00514892">
        <w:rPr>
          <w:rFonts w:ascii="Arial" w:hAnsi="Arial" w:cs="Arial"/>
          <w:sz w:val="24"/>
          <w:szCs w:val="24"/>
        </w:rPr>
        <w:t>fixture</w:t>
      </w:r>
      <w:r w:rsidR="00E8760A">
        <w:rPr>
          <w:rFonts w:ascii="Arial" w:hAnsi="Arial" w:cs="Arial"/>
          <w:sz w:val="24"/>
          <w:szCs w:val="24"/>
        </w:rPr>
        <w:t>’</w:t>
      </w:r>
      <w:r w:rsidR="00514892">
        <w:rPr>
          <w:rFonts w:ascii="Arial" w:hAnsi="Arial" w:cs="Arial"/>
          <w:sz w:val="24"/>
          <w:szCs w:val="24"/>
        </w:rPr>
        <w:t xml:space="preserve"> or </w:t>
      </w:r>
      <w:r w:rsidR="00E8760A">
        <w:rPr>
          <w:rFonts w:ascii="Arial" w:hAnsi="Arial" w:cs="Arial"/>
          <w:sz w:val="24"/>
          <w:szCs w:val="24"/>
        </w:rPr>
        <w:t>‘</w:t>
      </w:r>
      <w:r w:rsidR="00514892">
        <w:rPr>
          <w:rFonts w:ascii="Arial" w:hAnsi="Arial" w:cs="Arial"/>
          <w:sz w:val="24"/>
          <w:szCs w:val="24"/>
        </w:rPr>
        <w:t>fitting</w:t>
      </w:r>
      <w:r w:rsidR="00E8760A">
        <w:rPr>
          <w:rFonts w:ascii="Arial" w:hAnsi="Arial" w:cs="Arial"/>
          <w:sz w:val="24"/>
          <w:szCs w:val="24"/>
        </w:rPr>
        <w:t xml:space="preserve">’ </w:t>
      </w:r>
      <w:r w:rsidR="00A71FD0">
        <w:rPr>
          <w:rFonts w:ascii="Arial" w:hAnsi="Arial" w:cs="Arial"/>
          <w:sz w:val="24"/>
          <w:szCs w:val="24"/>
        </w:rPr>
        <w:t>at ‘Rose Cottage’</w:t>
      </w:r>
      <w:r w:rsidR="00727C86">
        <w:rPr>
          <w:rFonts w:ascii="Arial" w:hAnsi="Arial" w:cs="Arial"/>
          <w:sz w:val="24"/>
          <w:szCs w:val="24"/>
        </w:rPr>
        <w:t xml:space="preserve"> (Woodruff, 2018)</w:t>
      </w:r>
      <w:r w:rsidR="0082799E">
        <w:rPr>
          <w:rFonts w:ascii="Arial" w:hAnsi="Arial" w:cs="Arial"/>
          <w:sz w:val="24"/>
          <w:szCs w:val="24"/>
        </w:rPr>
        <w:t>.</w:t>
      </w:r>
      <w:r w:rsidR="00B95FC1">
        <w:rPr>
          <w:rFonts w:ascii="Arial" w:hAnsi="Arial" w:cs="Arial"/>
          <w:sz w:val="24"/>
          <w:szCs w:val="24"/>
        </w:rPr>
        <w:t xml:space="preserve"> Given that the contract is silent </w:t>
      </w:r>
      <w:r w:rsidR="00D01ABA">
        <w:rPr>
          <w:rFonts w:ascii="Arial" w:hAnsi="Arial" w:cs="Arial"/>
          <w:sz w:val="24"/>
          <w:szCs w:val="24"/>
        </w:rPr>
        <w:t>what Amy and Bob are</w:t>
      </w:r>
      <w:r w:rsidR="0063061F">
        <w:rPr>
          <w:rFonts w:ascii="Arial" w:hAnsi="Arial" w:cs="Arial"/>
          <w:sz w:val="24"/>
          <w:szCs w:val="24"/>
        </w:rPr>
        <w:t xml:space="preserve"> </w:t>
      </w:r>
      <w:r w:rsidR="00D01ABA">
        <w:rPr>
          <w:rFonts w:ascii="Arial" w:hAnsi="Arial" w:cs="Arial"/>
          <w:sz w:val="24"/>
          <w:szCs w:val="24"/>
        </w:rPr>
        <w:t>permitted to remove</w:t>
      </w:r>
      <w:r w:rsidR="00867032">
        <w:rPr>
          <w:rFonts w:ascii="Arial" w:hAnsi="Arial" w:cs="Arial"/>
          <w:sz w:val="24"/>
          <w:szCs w:val="24"/>
        </w:rPr>
        <w:t xml:space="preserve"> can only be established</w:t>
      </w:r>
      <w:r w:rsidR="00E20D91">
        <w:rPr>
          <w:rFonts w:ascii="Arial" w:hAnsi="Arial" w:cs="Arial"/>
          <w:sz w:val="24"/>
          <w:szCs w:val="24"/>
        </w:rPr>
        <w:t xml:space="preserve"> by applying the tests </w:t>
      </w:r>
      <w:r w:rsidR="00FD14DC">
        <w:rPr>
          <w:rFonts w:ascii="Arial" w:hAnsi="Arial" w:cs="Arial"/>
          <w:sz w:val="24"/>
          <w:szCs w:val="24"/>
        </w:rPr>
        <w:t>and examining relevant case law</w:t>
      </w:r>
      <w:r w:rsidR="00DF54C8">
        <w:rPr>
          <w:rFonts w:ascii="Arial" w:hAnsi="Arial" w:cs="Arial"/>
          <w:sz w:val="24"/>
          <w:szCs w:val="24"/>
        </w:rPr>
        <w:t xml:space="preserve"> as the burden of proof </w:t>
      </w:r>
      <w:r w:rsidR="00D01F46">
        <w:rPr>
          <w:rFonts w:ascii="Arial" w:hAnsi="Arial" w:cs="Arial"/>
          <w:sz w:val="24"/>
          <w:szCs w:val="24"/>
        </w:rPr>
        <w:t>lies with the seller (Bray, 2016, pp.12).</w:t>
      </w:r>
    </w:p>
    <w:p w14:paraId="1A400CD0" w14:textId="7102107C" w:rsidR="00060977" w:rsidRPr="00750D56" w:rsidRDefault="00060977" w:rsidP="00790ACE">
      <w:pPr>
        <w:spacing w:line="480" w:lineRule="auto"/>
        <w:jc w:val="both"/>
        <w:rPr>
          <w:rFonts w:ascii="Arial" w:hAnsi="Arial" w:cs="Arial"/>
          <w:sz w:val="24"/>
          <w:szCs w:val="24"/>
        </w:rPr>
      </w:pPr>
    </w:p>
    <w:p w14:paraId="5D874245" w14:textId="6C22B048" w:rsidR="00AA3127" w:rsidRPr="0001777B" w:rsidRDefault="00551047" w:rsidP="00B92746">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In relation to the</w:t>
      </w:r>
      <w:r w:rsidR="00B5651E" w:rsidRPr="00E360CE">
        <w:rPr>
          <w:rFonts w:ascii="Arial" w:hAnsi="Arial" w:cs="Arial"/>
          <w:color w:val="000000" w:themeColor="text1"/>
          <w:sz w:val="24"/>
          <w:szCs w:val="24"/>
        </w:rPr>
        <w:t xml:space="preserve"> h</w:t>
      </w:r>
      <w:r w:rsidR="00BD352A" w:rsidRPr="00E360CE">
        <w:rPr>
          <w:rFonts w:ascii="Arial" w:hAnsi="Arial" w:cs="Arial"/>
          <w:color w:val="000000" w:themeColor="text1"/>
          <w:sz w:val="24"/>
          <w:szCs w:val="24"/>
        </w:rPr>
        <w:t>eavy</w:t>
      </w:r>
      <w:r w:rsidR="00FE65D0" w:rsidRPr="00E360CE">
        <w:rPr>
          <w:rFonts w:ascii="Arial" w:hAnsi="Arial" w:cs="Arial"/>
          <w:color w:val="000000" w:themeColor="text1"/>
          <w:sz w:val="24"/>
          <w:szCs w:val="24"/>
        </w:rPr>
        <w:t xml:space="preserve"> statue o</w:t>
      </w:r>
      <w:r w:rsidR="00F450FC" w:rsidRPr="00E360CE">
        <w:rPr>
          <w:rFonts w:ascii="Arial" w:hAnsi="Arial" w:cs="Arial"/>
          <w:color w:val="000000" w:themeColor="text1"/>
          <w:sz w:val="24"/>
          <w:szCs w:val="24"/>
        </w:rPr>
        <w:t>f Venus</w:t>
      </w:r>
      <w:r w:rsidR="00B43896" w:rsidRPr="00E360CE">
        <w:rPr>
          <w:rFonts w:ascii="Arial" w:hAnsi="Arial" w:cs="Arial"/>
          <w:color w:val="000000" w:themeColor="text1"/>
          <w:sz w:val="24"/>
          <w:szCs w:val="24"/>
        </w:rPr>
        <w:t xml:space="preserve">, </w:t>
      </w:r>
      <w:r w:rsidR="00474A16" w:rsidRPr="00E360CE">
        <w:rPr>
          <w:rFonts w:ascii="Arial" w:hAnsi="Arial" w:cs="Arial"/>
          <w:color w:val="000000" w:themeColor="text1"/>
          <w:sz w:val="24"/>
          <w:szCs w:val="24"/>
        </w:rPr>
        <w:t xml:space="preserve">it must be noted that the statue is </w:t>
      </w:r>
      <w:r w:rsidR="00C233DC" w:rsidRPr="00E360CE">
        <w:rPr>
          <w:rFonts w:ascii="Arial" w:hAnsi="Arial" w:cs="Arial"/>
          <w:color w:val="000000" w:themeColor="text1"/>
          <w:sz w:val="24"/>
          <w:szCs w:val="24"/>
        </w:rPr>
        <w:t>cemented by its base to the ground</w:t>
      </w:r>
      <w:r w:rsidR="007B71DA" w:rsidRPr="00E360CE">
        <w:rPr>
          <w:rFonts w:ascii="Arial" w:hAnsi="Arial" w:cs="Arial"/>
          <w:color w:val="000000" w:themeColor="text1"/>
          <w:sz w:val="24"/>
          <w:szCs w:val="24"/>
        </w:rPr>
        <w:t>.</w:t>
      </w:r>
      <w:r w:rsidR="00BF41D0" w:rsidRPr="00E360CE">
        <w:rPr>
          <w:rFonts w:ascii="Arial" w:hAnsi="Arial" w:cs="Arial"/>
          <w:color w:val="000000" w:themeColor="text1"/>
          <w:sz w:val="24"/>
          <w:szCs w:val="24"/>
        </w:rPr>
        <w:t xml:space="preserve"> A fixture can be considered in law as something that is permanently fixed to the property/land and therefore deemed to be part of it</w:t>
      </w:r>
      <w:r w:rsidR="005A4ED4" w:rsidRPr="00E360CE">
        <w:rPr>
          <w:rFonts w:ascii="Arial" w:hAnsi="Arial" w:cs="Arial"/>
          <w:color w:val="000000" w:themeColor="text1"/>
          <w:sz w:val="24"/>
          <w:szCs w:val="24"/>
        </w:rPr>
        <w:t xml:space="preserve"> (</w:t>
      </w:r>
      <w:r w:rsidR="008E2A71" w:rsidRPr="00E360CE">
        <w:rPr>
          <w:rFonts w:ascii="Arial" w:hAnsi="Arial" w:cs="Arial"/>
          <w:color w:val="000000" w:themeColor="text1"/>
          <w:sz w:val="24"/>
          <w:szCs w:val="24"/>
        </w:rPr>
        <w:t>Thomson Reuters</w:t>
      </w:r>
      <w:r w:rsidR="004E6A25" w:rsidRPr="00E360CE">
        <w:rPr>
          <w:rFonts w:ascii="Arial" w:hAnsi="Arial" w:cs="Arial"/>
          <w:color w:val="000000" w:themeColor="text1"/>
          <w:sz w:val="24"/>
          <w:szCs w:val="24"/>
        </w:rPr>
        <w:t>, 202</w:t>
      </w:r>
      <w:r w:rsidR="008E2A71" w:rsidRPr="00E360CE">
        <w:rPr>
          <w:rFonts w:ascii="Arial" w:hAnsi="Arial" w:cs="Arial"/>
          <w:color w:val="000000" w:themeColor="text1"/>
          <w:sz w:val="24"/>
          <w:szCs w:val="24"/>
        </w:rPr>
        <w:t>1</w:t>
      </w:r>
      <w:r w:rsidR="005A4ED4" w:rsidRPr="00E360CE">
        <w:rPr>
          <w:rFonts w:ascii="Arial" w:hAnsi="Arial" w:cs="Arial"/>
          <w:color w:val="000000" w:themeColor="text1"/>
          <w:sz w:val="24"/>
          <w:szCs w:val="24"/>
        </w:rPr>
        <w:t>)</w:t>
      </w:r>
      <w:r w:rsidR="00BF41D0" w:rsidRPr="00E360CE">
        <w:rPr>
          <w:rFonts w:ascii="Arial" w:hAnsi="Arial" w:cs="Arial"/>
          <w:color w:val="000000" w:themeColor="text1"/>
          <w:sz w:val="24"/>
          <w:szCs w:val="24"/>
        </w:rPr>
        <w:t>.</w:t>
      </w:r>
      <w:r w:rsidR="007B71DA" w:rsidRPr="00E360CE">
        <w:rPr>
          <w:rFonts w:ascii="Arial" w:hAnsi="Arial" w:cs="Arial"/>
          <w:color w:val="000000" w:themeColor="text1"/>
          <w:sz w:val="24"/>
          <w:szCs w:val="24"/>
        </w:rPr>
        <w:t xml:space="preserve"> </w:t>
      </w:r>
      <w:r w:rsidR="00590A76" w:rsidRPr="00E360CE">
        <w:rPr>
          <w:rFonts w:ascii="Arial" w:hAnsi="Arial" w:cs="Arial"/>
          <w:color w:val="000000" w:themeColor="text1"/>
          <w:sz w:val="24"/>
          <w:szCs w:val="24"/>
        </w:rPr>
        <w:t>When applying t</w:t>
      </w:r>
      <w:r w:rsidR="007B71DA" w:rsidRPr="00E360CE">
        <w:rPr>
          <w:rFonts w:ascii="Arial" w:hAnsi="Arial" w:cs="Arial"/>
          <w:color w:val="000000" w:themeColor="text1"/>
          <w:sz w:val="24"/>
          <w:szCs w:val="24"/>
        </w:rPr>
        <w:t xml:space="preserve">he </w:t>
      </w:r>
      <w:r w:rsidR="00590A76" w:rsidRPr="00E360CE">
        <w:rPr>
          <w:rFonts w:ascii="Arial" w:hAnsi="Arial" w:cs="Arial"/>
          <w:color w:val="000000" w:themeColor="text1"/>
          <w:sz w:val="24"/>
          <w:szCs w:val="24"/>
        </w:rPr>
        <w:t>test</w:t>
      </w:r>
      <w:r w:rsidR="00813D7C" w:rsidRPr="00E360CE">
        <w:rPr>
          <w:rFonts w:ascii="Arial" w:hAnsi="Arial" w:cs="Arial"/>
          <w:color w:val="000000" w:themeColor="text1"/>
          <w:sz w:val="24"/>
          <w:szCs w:val="24"/>
        </w:rPr>
        <w:t>,</w:t>
      </w:r>
      <w:r w:rsidR="00590A76" w:rsidRPr="00E360CE">
        <w:rPr>
          <w:rFonts w:ascii="Arial" w:hAnsi="Arial" w:cs="Arial"/>
          <w:color w:val="000000" w:themeColor="text1"/>
          <w:sz w:val="24"/>
          <w:szCs w:val="24"/>
        </w:rPr>
        <w:t xml:space="preserve"> the </w:t>
      </w:r>
      <w:r w:rsidR="007B71DA" w:rsidRPr="00E360CE">
        <w:rPr>
          <w:rFonts w:ascii="Arial" w:hAnsi="Arial" w:cs="Arial"/>
          <w:color w:val="000000" w:themeColor="text1"/>
          <w:sz w:val="24"/>
          <w:szCs w:val="24"/>
        </w:rPr>
        <w:t>greater the degree of annexation</w:t>
      </w:r>
      <w:r w:rsidR="00A4241D" w:rsidRPr="00E360CE">
        <w:rPr>
          <w:rFonts w:ascii="Arial" w:hAnsi="Arial" w:cs="Arial"/>
          <w:color w:val="000000" w:themeColor="text1"/>
          <w:sz w:val="24"/>
          <w:szCs w:val="24"/>
        </w:rPr>
        <w:t xml:space="preserve">, the more likely the object </w:t>
      </w:r>
      <w:r w:rsidR="00935DF3" w:rsidRPr="00E360CE">
        <w:rPr>
          <w:rFonts w:ascii="Arial" w:hAnsi="Arial" w:cs="Arial"/>
          <w:color w:val="000000" w:themeColor="text1"/>
          <w:sz w:val="24"/>
          <w:szCs w:val="24"/>
        </w:rPr>
        <w:t>is a fixture</w:t>
      </w:r>
      <w:r w:rsidR="00E83A2F" w:rsidRPr="00E360CE">
        <w:rPr>
          <w:rFonts w:ascii="Arial" w:hAnsi="Arial" w:cs="Arial"/>
          <w:color w:val="000000" w:themeColor="text1"/>
          <w:sz w:val="24"/>
          <w:szCs w:val="24"/>
        </w:rPr>
        <w:t xml:space="preserve"> (Sayles, 2020, pp.7)</w:t>
      </w:r>
      <w:r w:rsidR="008F7598" w:rsidRPr="00E360CE">
        <w:rPr>
          <w:rFonts w:ascii="Arial" w:hAnsi="Arial" w:cs="Arial"/>
          <w:color w:val="000000" w:themeColor="text1"/>
          <w:sz w:val="24"/>
          <w:szCs w:val="24"/>
        </w:rPr>
        <w:t xml:space="preserve">. This was </w:t>
      </w:r>
      <w:r w:rsidR="005A4ED4" w:rsidRPr="00E360CE">
        <w:rPr>
          <w:rFonts w:ascii="Arial" w:hAnsi="Arial" w:cs="Arial"/>
          <w:color w:val="000000" w:themeColor="text1"/>
          <w:sz w:val="24"/>
          <w:szCs w:val="24"/>
        </w:rPr>
        <w:t xml:space="preserve">demonstrated in </w:t>
      </w:r>
      <w:r w:rsidR="005A4ED4" w:rsidRPr="00E360CE">
        <w:rPr>
          <w:rFonts w:ascii="Arial" w:hAnsi="Arial" w:cs="Arial"/>
          <w:i/>
          <w:iCs/>
          <w:color w:val="000000" w:themeColor="text1"/>
          <w:sz w:val="24"/>
          <w:szCs w:val="24"/>
        </w:rPr>
        <w:t xml:space="preserve">Jordan v May [1947] </w:t>
      </w:r>
      <w:r w:rsidR="005A4ED4" w:rsidRPr="00E360CE">
        <w:rPr>
          <w:rFonts w:ascii="Arial" w:hAnsi="Arial" w:cs="Arial"/>
          <w:color w:val="000000" w:themeColor="text1"/>
          <w:sz w:val="24"/>
          <w:szCs w:val="24"/>
        </w:rPr>
        <w:t>where a generating plant set in concrete was held to be a fixture</w:t>
      </w:r>
      <w:r w:rsidR="0060500F">
        <w:rPr>
          <w:rFonts w:ascii="Arial" w:hAnsi="Arial" w:cs="Arial"/>
          <w:color w:val="000000" w:themeColor="text1"/>
          <w:sz w:val="24"/>
          <w:szCs w:val="24"/>
        </w:rPr>
        <w:t>.</w:t>
      </w:r>
      <w:r w:rsidR="005A4ED4" w:rsidRPr="00E360CE">
        <w:rPr>
          <w:rFonts w:ascii="Arial" w:hAnsi="Arial" w:cs="Arial"/>
          <w:color w:val="000000" w:themeColor="text1"/>
          <w:sz w:val="24"/>
          <w:szCs w:val="24"/>
        </w:rPr>
        <w:t xml:space="preserve"> </w:t>
      </w:r>
      <w:r w:rsidR="008E72E3" w:rsidRPr="00A549B0">
        <w:rPr>
          <w:rFonts w:ascii="Arial" w:hAnsi="Arial" w:cs="Arial"/>
          <w:color w:val="000000" w:themeColor="text1"/>
          <w:sz w:val="24"/>
          <w:szCs w:val="24"/>
        </w:rPr>
        <w:t>It is highly likely that an item</w:t>
      </w:r>
      <w:r w:rsidR="00F347FA" w:rsidRPr="00A549B0">
        <w:rPr>
          <w:rFonts w:ascii="Arial" w:hAnsi="Arial" w:cs="Arial"/>
          <w:color w:val="000000" w:themeColor="text1"/>
          <w:sz w:val="24"/>
          <w:szCs w:val="24"/>
        </w:rPr>
        <w:t xml:space="preserve"> secured in place by anything other than its own weight is</w:t>
      </w:r>
      <w:r w:rsidR="001828C2" w:rsidRPr="00A549B0">
        <w:rPr>
          <w:rFonts w:ascii="Arial" w:hAnsi="Arial" w:cs="Arial"/>
          <w:color w:val="000000" w:themeColor="text1"/>
          <w:sz w:val="24"/>
          <w:szCs w:val="24"/>
        </w:rPr>
        <w:t xml:space="preserve"> </w:t>
      </w:r>
      <w:r w:rsidR="005D5789" w:rsidRPr="00A549B0">
        <w:rPr>
          <w:rFonts w:ascii="Arial" w:hAnsi="Arial" w:cs="Arial"/>
          <w:color w:val="000000" w:themeColor="text1"/>
          <w:sz w:val="24"/>
          <w:szCs w:val="24"/>
        </w:rPr>
        <w:t xml:space="preserve">to be </w:t>
      </w:r>
      <w:r w:rsidR="001828C2" w:rsidRPr="00A549B0">
        <w:rPr>
          <w:rFonts w:ascii="Arial" w:hAnsi="Arial" w:cs="Arial"/>
          <w:color w:val="000000" w:themeColor="text1"/>
          <w:sz w:val="24"/>
          <w:szCs w:val="24"/>
        </w:rPr>
        <w:t>considered</w:t>
      </w:r>
      <w:r w:rsidR="00F347FA" w:rsidRPr="00A549B0">
        <w:rPr>
          <w:rFonts w:ascii="Arial" w:hAnsi="Arial" w:cs="Arial"/>
          <w:color w:val="000000" w:themeColor="text1"/>
          <w:sz w:val="24"/>
          <w:szCs w:val="24"/>
        </w:rPr>
        <w:t xml:space="preserve"> a fixture</w:t>
      </w:r>
      <w:r w:rsidR="00AC534D" w:rsidRPr="00A549B0">
        <w:rPr>
          <w:rFonts w:ascii="Arial" w:hAnsi="Arial" w:cs="Arial"/>
          <w:color w:val="000000" w:themeColor="text1"/>
          <w:sz w:val="24"/>
          <w:szCs w:val="24"/>
        </w:rPr>
        <w:t xml:space="preserve"> (</w:t>
      </w:r>
      <w:r w:rsidR="003D1F61" w:rsidRPr="00A549B0">
        <w:rPr>
          <w:rFonts w:ascii="Arial" w:hAnsi="Arial" w:cs="Arial"/>
          <w:color w:val="000000" w:themeColor="text1"/>
          <w:sz w:val="24"/>
          <w:szCs w:val="24"/>
        </w:rPr>
        <w:t>Jourdan,</w:t>
      </w:r>
      <w:r w:rsidR="00EE79F0" w:rsidRPr="00A549B0">
        <w:rPr>
          <w:rFonts w:ascii="Arial" w:hAnsi="Arial" w:cs="Arial"/>
          <w:color w:val="000000" w:themeColor="text1"/>
          <w:sz w:val="24"/>
          <w:szCs w:val="24"/>
        </w:rPr>
        <w:t xml:space="preserve"> </w:t>
      </w:r>
      <w:r w:rsidR="00714D2A" w:rsidRPr="00A549B0">
        <w:rPr>
          <w:rFonts w:ascii="Arial" w:hAnsi="Arial" w:cs="Arial"/>
          <w:color w:val="000000" w:themeColor="text1"/>
          <w:sz w:val="24"/>
          <w:szCs w:val="24"/>
        </w:rPr>
        <w:t>2015, pp.5</w:t>
      </w:r>
      <w:r w:rsidR="00AC534D" w:rsidRPr="00A549B0">
        <w:rPr>
          <w:rFonts w:ascii="Arial" w:hAnsi="Arial" w:cs="Arial"/>
          <w:color w:val="000000" w:themeColor="text1"/>
          <w:sz w:val="24"/>
          <w:szCs w:val="24"/>
        </w:rPr>
        <w:t>)</w:t>
      </w:r>
      <w:r w:rsidR="00F347FA" w:rsidRPr="00A549B0">
        <w:rPr>
          <w:rFonts w:ascii="Arial" w:hAnsi="Arial" w:cs="Arial"/>
          <w:color w:val="000000" w:themeColor="text1"/>
          <w:sz w:val="24"/>
          <w:szCs w:val="24"/>
        </w:rPr>
        <w:t>. A fitting on the other hand is so</w:t>
      </w:r>
      <w:r w:rsidR="00F347FA" w:rsidRPr="00E360CE">
        <w:rPr>
          <w:rFonts w:ascii="Arial" w:hAnsi="Arial" w:cs="Arial"/>
          <w:color w:val="000000" w:themeColor="text1"/>
          <w:sz w:val="24"/>
          <w:szCs w:val="24"/>
        </w:rPr>
        <w:t xml:space="preserve">mething </w:t>
      </w:r>
      <w:r w:rsidR="00FE5ADD">
        <w:rPr>
          <w:rFonts w:ascii="Arial" w:hAnsi="Arial" w:cs="Arial"/>
          <w:color w:val="000000" w:themeColor="text1"/>
          <w:sz w:val="24"/>
          <w:szCs w:val="24"/>
        </w:rPr>
        <w:t xml:space="preserve">that </w:t>
      </w:r>
      <w:r w:rsidR="00F347FA" w:rsidRPr="00E360CE">
        <w:rPr>
          <w:rFonts w:ascii="Arial" w:hAnsi="Arial" w:cs="Arial"/>
          <w:color w:val="000000" w:themeColor="text1"/>
          <w:sz w:val="24"/>
          <w:szCs w:val="24"/>
        </w:rPr>
        <w:t xml:space="preserve">can be easily removed, </w:t>
      </w:r>
      <w:r w:rsidR="00FB7034" w:rsidRPr="00E360CE">
        <w:rPr>
          <w:rFonts w:ascii="Arial" w:hAnsi="Arial" w:cs="Arial"/>
          <w:color w:val="000000" w:themeColor="text1"/>
          <w:sz w:val="24"/>
          <w:szCs w:val="24"/>
        </w:rPr>
        <w:t xml:space="preserve">and </w:t>
      </w:r>
      <w:r w:rsidR="00F347FA" w:rsidRPr="00E360CE">
        <w:rPr>
          <w:rFonts w:ascii="Arial" w:hAnsi="Arial" w:cs="Arial"/>
          <w:color w:val="000000" w:themeColor="text1"/>
          <w:sz w:val="24"/>
          <w:szCs w:val="24"/>
        </w:rPr>
        <w:t>often considered non-permanent (</w:t>
      </w:r>
      <w:r w:rsidR="00397B83" w:rsidRPr="00E360CE">
        <w:rPr>
          <w:rFonts w:ascii="Arial" w:hAnsi="Arial" w:cs="Arial"/>
          <w:color w:val="000000" w:themeColor="text1"/>
          <w:sz w:val="24"/>
          <w:szCs w:val="24"/>
        </w:rPr>
        <w:t>Luther</w:t>
      </w:r>
      <w:r w:rsidR="00F347FA" w:rsidRPr="00E360CE">
        <w:rPr>
          <w:rFonts w:ascii="Arial" w:hAnsi="Arial" w:cs="Arial"/>
          <w:color w:val="000000" w:themeColor="text1"/>
          <w:sz w:val="24"/>
          <w:szCs w:val="24"/>
        </w:rPr>
        <w:t>, 2</w:t>
      </w:r>
      <w:r w:rsidR="00397B83" w:rsidRPr="00E360CE">
        <w:rPr>
          <w:rFonts w:ascii="Arial" w:hAnsi="Arial" w:cs="Arial"/>
          <w:color w:val="000000" w:themeColor="text1"/>
          <w:sz w:val="24"/>
          <w:szCs w:val="24"/>
        </w:rPr>
        <w:t>004</w:t>
      </w:r>
      <w:r w:rsidR="00C87F7B" w:rsidRPr="00E360CE">
        <w:rPr>
          <w:rFonts w:ascii="Arial" w:hAnsi="Arial" w:cs="Arial"/>
          <w:color w:val="000000" w:themeColor="text1"/>
          <w:sz w:val="24"/>
          <w:szCs w:val="24"/>
        </w:rPr>
        <w:t>, pp.</w:t>
      </w:r>
      <w:r w:rsidR="00397B83" w:rsidRPr="00E360CE">
        <w:rPr>
          <w:rFonts w:ascii="Arial" w:hAnsi="Arial" w:cs="Arial"/>
          <w:color w:val="000000" w:themeColor="text1"/>
          <w:sz w:val="24"/>
          <w:szCs w:val="24"/>
        </w:rPr>
        <w:t>597</w:t>
      </w:r>
      <w:r w:rsidR="00F347FA" w:rsidRPr="00E360CE">
        <w:rPr>
          <w:rFonts w:ascii="Arial" w:hAnsi="Arial" w:cs="Arial"/>
          <w:color w:val="000000" w:themeColor="text1"/>
          <w:sz w:val="24"/>
          <w:szCs w:val="24"/>
        </w:rPr>
        <w:t>).</w:t>
      </w:r>
      <w:r w:rsidR="000B7386" w:rsidRPr="00E360CE">
        <w:rPr>
          <w:rFonts w:ascii="Arial" w:hAnsi="Arial" w:cs="Arial"/>
          <w:color w:val="000000" w:themeColor="text1"/>
          <w:sz w:val="24"/>
          <w:szCs w:val="24"/>
        </w:rPr>
        <w:t xml:space="preserve"> </w:t>
      </w:r>
      <w:r w:rsidR="00BC0690">
        <w:rPr>
          <w:rFonts w:ascii="Arial" w:hAnsi="Arial" w:cs="Arial"/>
          <w:color w:val="000000" w:themeColor="text1"/>
          <w:sz w:val="24"/>
          <w:szCs w:val="24"/>
        </w:rPr>
        <w:t>I</w:t>
      </w:r>
      <w:r w:rsidR="00253C29" w:rsidRPr="00E360CE">
        <w:rPr>
          <w:rFonts w:ascii="Arial" w:hAnsi="Arial" w:cs="Arial"/>
          <w:color w:val="000000" w:themeColor="text1"/>
          <w:sz w:val="24"/>
          <w:szCs w:val="24"/>
        </w:rPr>
        <w:t>n</w:t>
      </w:r>
      <w:r w:rsidR="00E8020C" w:rsidRPr="00E360CE">
        <w:rPr>
          <w:rFonts w:ascii="Arial" w:hAnsi="Arial" w:cs="Arial"/>
          <w:color w:val="000000" w:themeColor="text1"/>
          <w:sz w:val="24"/>
          <w:szCs w:val="24"/>
        </w:rPr>
        <w:t xml:space="preserve"> </w:t>
      </w:r>
      <w:r w:rsidR="00E8020C" w:rsidRPr="00E360CE">
        <w:rPr>
          <w:rFonts w:ascii="Arial" w:hAnsi="Arial" w:cs="Arial"/>
          <w:i/>
          <w:iCs/>
          <w:color w:val="000000" w:themeColor="text1"/>
          <w:sz w:val="24"/>
          <w:szCs w:val="24"/>
        </w:rPr>
        <w:t>Berkley v Poulett [1976]</w:t>
      </w:r>
      <w:r w:rsidR="00F62DC0" w:rsidRPr="00E360CE">
        <w:rPr>
          <w:rFonts w:ascii="Arial" w:hAnsi="Arial" w:cs="Arial"/>
          <w:color w:val="000000" w:themeColor="text1"/>
          <w:sz w:val="24"/>
          <w:szCs w:val="24"/>
        </w:rPr>
        <w:t xml:space="preserve"> t</w:t>
      </w:r>
      <w:r w:rsidR="00E8020C" w:rsidRPr="00E360CE">
        <w:rPr>
          <w:rFonts w:ascii="Arial" w:hAnsi="Arial" w:cs="Arial"/>
          <w:color w:val="000000" w:themeColor="text1"/>
          <w:sz w:val="24"/>
          <w:szCs w:val="24"/>
        </w:rPr>
        <w:t xml:space="preserve">he Court of Appeal held that a heavy marble statue resting on </w:t>
      </w:r>
      <w:r w:rsidR="00F7331E">
        <w:rPr>
          <w:rFonts w:ascii="Arial" w:hAnsi="Arial" w:cs="Arial"/>
          <w:color w:val="000000" w:themeColor="text1"/>
          <w:sz w:val="24"/>
          <w:szCs w:val="24"/>
        </w:rPr>
        <w:t xml:space="preserve">a </w:t>
      </w:r>
      <w:r w:rsidR="00E8020C" w:rsidRPr="00E360CE">
        <w:rPr>
          <w:rFonts w:ascii="Arial" w:hAnsi="Arial" w:cs="Arial"/>
          <w:color w:val="000000" w:themeColor="text1"/>
          <w:sz w:val="24"/>
          <w:szCs w:val="24"/>
        </w:rPr>
        <w:t xml:space="preserve">plinth in a garden was in fact a fitting. The plinth </w:t>
      </w:r>
      <w:r w:rsidR="00702035" w:rsidRPr="00E360CE">
        <w:rPr>
          <w:rFonts w:ascii="Arial" w:hAnsi="Arial" w:cs="Arial"/>
          <w:color w:val="000000" w:themeColor="text1"/>
          <w:sz w:val="24"/>
          <w:szCs w:val="24"/>
        </w:rPr>
        <w:t xml:space="preserve">was </w:t>
      </w:r>
      <w:r w:rsidR="00E8020C" w:rsidRPr="00E360CE">
        <w:rPr>
          <w:rFonts w:ascii="Arial" w:hAnsi="Arial" w:cs="Arial"/>
          <w:color w:val="000000" w:themeColor="text1"/>
          <w:sz w:val="24"/>
          <w:szCs w:val="24"/>
        </w:rPr>
        <w:t xml:space="preserve">attached to the ground </w:t>
      </w:r>
      <w:r w:rsidR="00C348E2" w:rsidRPr="00E360CE">
        <w:rPr>
          <w:rFonts w:ascii="Arial" w:hAnsi="Arial" w:cs="Arial"/>
          <w:color w:val="000000" w:themeColor="text1"/>
          <w:sz w:val="24"/>
          <w:szCs w:val="24"/>
        </w:rPr>
        <w:t>therefore</w:t>
      </w:r>
      <w:r w:rsidR="00E8020C" w:rsidRPr="00E360CE">
        <w:rPr>
          <w:rFonts w:ascii="Arial" w:hAnsi="Arial" w:cs="Arial"/>
          <w:color w:val="000000" w:themeColor="text1"/>
          <w:sz w:val="24"/>
          <w:szCs w:val="24"/>
        </w:rPr>
        <w:t xml:space="preserve"> classified as a fixture however</w:t>
      </w:r>
      <w:r w:rsidR="0022447D" w:rsidRPr="00E360CE">
        <w:rPr>
          <w:rFonts w:ascii="Arial" w:hAnsi="Arial" w:cs="Arial"/>
          <w:color w:val="000000" w:themeColor="text1"/>
          <w:sz w:val="24"/>
          <w:szCs w:val="24"/>
        </w:rPr>
        <w:t>,</w:t>
      </w:r>
      <w:r w:rsidR="00E8020C" w:rsidRPr="00E360CE">
        <w:rPr>
          <w:rFonts w:ascii="Arial" w:hAnsi="Arial" w:cs="Arial"/>
          <w:color w:val="000000" w:themeColor="text1"/>
          <w:sz w:val="24"/>
          <w:szCs w:val="24"/>
        </w:rPr>
        <w:t xml:space="preserve"> the statue did not as there was no evidence that </w:t>
      </w:r>
      <w:r w:rsidR="00361F60">
        <w:rPr>
          <w:rFonts w:ascii="Arial" w:hAnsi="Arial" w:cs="Arial"/>
          <w:color w:val="000000" w:themeColor="text1"/>
          <w:sz w:val="24"/>
          <w:szCs w:val="24"/>
        </w:rPr>
        <w:t>i</w:t>
      </w:r>
      <w:r w:rsidR="00E8020C" w:rsidRPr="00E360CE">
        <w:rPr>
          <w:rFonts w:ascii="Arial" w:hAnsi="Arial" w:cs="Arial"/>
          <w:color w:val="000000" w:themeColor="text1"/>
          <w:sz w:val="24"/>
          <w:szCs w:val="24"/>
        </w:rPr>
        <w:t xml:space="preserve">t </w:t>
      </w:r>
      <w:r w:rsidR="00361F60">
        <w:rPr>
          <w:rFonts w:ascii="Arial" w:hAnsi="Arial" w:cs="Arial"/>
          <w:color w:val="000000" w:themeColor="text1"/>
          <w:sz w:val="24"/>
          <w:szCs w:val="24"/>
        </w:rPr>
        <w:t>formed</w:t>
      </w:r>
      <w:r w:rsidR="00E8020C" w:rsidRPr="00E360CE">
        <w:rPr>
          <w:rFonts w:ascii="Arial" w:hAnsi="Arial" w:cs="Arial"/>
          <w:color w:val="000000" w:themeColor="text1"/>
          <w:sz w:val="24"/>
          <w:szCs w:val="24"/>
        </w:rPr>
        <w:t xml:space="preserve"> part of an ‘architectural scheme’ (O’Neil, 2015)</w:t>
      </w:r>
      <w:r w:rsidR="00326293" w:rsidRPr="00E360CE">
        <w:rPr>
          <w:rFonts w:ascii="Arial" w:hAnsi="Arial" w:cs="Arial"/>
          <w:color w:val="000000" w:themeColor="text1"/>
          <w:sz w:val="24"/>
          <w:szCs w:val="24"/>
        </w:rPr>
        <w:t>.</w:t>
      </w:r>
      <w:r w:rsidR="0057034E" w:rsidRPr="00E360CE">
        <w:rPr>
          <w:rFonts w:ascii="Arial" w:hAnsi="Arial" w:cs="Arial"/>
          <w:color w:val="000000" w:themeColor="text1"/>
          <w:sz w:val="24"/>
          <w:szCs w:val="24"/>
        </w:rPr>
        <w:t xml:space="preserve"> Th</w:t>
      </w:r>
      <w:r w:rsidR="00812D92" w:rsidRPr="00E360CE">
        <w:rPr>
          <w:rFonts w:ascii="Arial" w:hAnsi="Arial" w:cs="Arial"/>
          <w:color w:val="000000" w:themeColor="text1"/>
          <w:sz w:val="24"/>
          <w:szCs w:val="24"/>
        </w:rPr>
        <w:t>us</w:t>
      </w:r>
      <w:r w:rsidR="0057034E" w:rsidRPr="00E360CE">
        <w:rPr>
          <w:rFonts w:ascii="Arial" w:hAnsi="Arial" w:cs="Arial"/>
          <w:color w:val="000000" w:themeColor="text1"/>
          <w:sz w:val="24"/>
          <w:szCs w:val="24"/>
        </w:rPr>
        <w:t xml:space="preserve">, </w:t>
      </w:r>
      <w:r w:rsidR="001A0910" w:rsidRPr="00E360CE">
        <w:rPr>
          <w:rFonts w:ascii="Arial" w:hAnsi="Arial" w:cs="Arial"/>
          <w:color w:val="000000" w:themeColor="text1"/>
          <w:sz w:val="24"/>
          <w:szCs w:val="24"/>
        </w:rPr>
        <w:t xml:space="preserve">it </w:t>
      </w:r>
      <w:r w:rsidR="007B1C40" w:rsidRPr="00E360CE">
        <w:rPr>
          <w:rFonts w:ascii="Arial" w:hAnsi="Arial" w:cs="Arial"/>
          <w:color w:val="000000" w:themeColor="text1"/>
          <w:sz w:val="24"/>
          <w:szCs w:val="24"/>
        </w:rPr>
        <w:t xml:space="preserve">can be confirmed to Selina </w:t>
      </w:r>
      <w:r w:rsidR="001A0910" w:rsidRPr="00E360CE">
        <w:rPr>
          <w:rFonts w:ascii="Arial" w:hAnsi="Arial" w:cs="Arial"/>
          <w:color w:val="000000" w:themeColor="text1"/>
          <w:sz w:val="24"/>
          <w:szCs w:val="24"/>
        </w:rPr>
        <w:t xml:space="preserve">that </w:t>
      </w:r>
      <w:r w:rsidR="002863B4" w:rsidRPr="00E360CE">
        <w:rPr>
          <w:rFonts w:ascii="Arial" w:hAnsi="Arial" w:cs="Arial"/>
          <w:color w:val="000000" w:themeColor="text1"/>
          <w:sz w:val="24"/>
          <w:szCs w:val="24"/>
        </w:rPr>
        <w:t xml:space="preserve">the statue </w:t>
      </w:r>
      <w:r w:rsidR="002863B4" w:rsidRPr="00E360CE">
        <w:rPr>
          <w:rFonts w:ascii="Arial" w:hAnsi="Arial" w:cs="Arial"/>
          <w:color w:val="000000" w:themeColor="text1"/>
          <w:sz w:val="24"/>
          <w:szCs w:val="24"/>
        </w:rPr>
        <w:lastRenderedPageBreak/>
        <w:t xml:space="preserve">of Venus </w:t>
      </w:r>
      <w:r w:rsidR="000278A5" w:rsidRPr="00E360CE">
        <w:rPr>
          <w:rFonts w:ascii="Arial" w:hAnsi="Arial" w:cs="Arial"/>
          <w:color w:val="000000" w:themeColor="text1"/>
          <w:sz w:val="24"/>
          <w:szCs w:val="24"/>
        </w:rPr>
        <w:t xml:space="preserve">is a fixture </w:t>
      </w:r>
      <w:r w:rsidR="004601B0" w:rsidRPr="00E360CE">
        <w:rPr>
          <w:rFonts w:ascii="Arial" w:hAnsi="Arial" w:cs="Arial"/>
          <w:color w:val="000000" w:themeColor="text1"/>
          <w:sz w:val="24"/>
          <w:szCs w:val="24"/>
        </w:rPr>
        <w:t>and as a result</w:t>
      </w:r>
      <w:r w:rsidR="00F7331E">
        <w:rPr>
          <w:rFonts w:ascii="Arial" w:hAnsi="Arial" w:cs="Arial"/>
          <w:color w:val="000000" w:themeColor="text1"/>
          <w:sz w:val="24"/>
          <w:szCs w:val="24"/>
        </w:rPr>
        <w:t>,</w:t>
      </w:r>
      <w:r w:rsidR="004601B0" w:rsidRPr="00E360CE">
        <w:rPr>
          <w:rFonts w:ascii="Arial" w:hAnsi="Arial" w:cs="Arial"/>
          <w:color w:val="000000" w:themeColor="text1"/>
          <w:sz w:val="24"/>
          <w:szCs w:val="24"/>
        </w:rPr>
        <w:t xml:space="preserve"> </w:t>
      </w:r>
      <w:r w:rsidR="0057034E" w:rsidRPr="00E360CE">
        <w:rPr>
          <w:rFonts w:ascii="Arial" w:hAnsi="Arial" w:cs="Arial"/>
          <w:color w:val="000000" w:themeColor="text1"/>
          <w:sz w:val="24"/>
          <w:szCs w:val="24"/>
        </w:rPr>
        <w:t xml:space="preserve">Amy and Bob are not permitted to </w:t>
      </w:r>
      <w:r w:rsidR="00C665A8" w:rsidRPr="00E360CE">
        <w:rPr>
          <w:rFonts w:ascii="Arial" w:hAnsi="Arial" w:cs="Arial"/>
          <w:color w:val="000000" w:themeColor="text1"/>
          <w:sz w:val="24"/>
          <w:szCs w:val="24"/>
        </w:rPr>
        <w:t>re</w:t>
      </w:r>
      <w:r w:rsidR="0057034E" w:rsidRPr="00E360CE">
        <w:rPr>
          <w:rFonts w:ascii="Arial" w:hAnsi="Arial" w:cs="Arial"/>
          <w:color w:val="000000" w:themeColor="text1"/>
          <w:sz w:val="24"/>
          <w:szCs w:val="24"/>
        </w:rPr>
        <w:t>move</w:t>
      </w:r>
      <w:r w:rsidR="00C665A8" w:rsidRPr="00E360CE">
        <w:rPr>
          <w:rFonts w:ascii="Arial" w:hAnsi="Arial" w:cs="Arial"/>
          <w:color w:val="000000" w:themeColor="text1"/>
          <w:sz w:val="24"/>
          <w:szCs w:val="24"/>
        </w:rPr>
        <w:t xml:space="preserve"> it</w:t>
      </w:r>
      <w:r w:rsidR="00AE5202">
        <w:rPr>
          <w:rFonts w:ascii="Arial" w:hAnsi="Arial" w:cs="Arial"/>
          <w:color w:val="000000" w:themeColor="text1"/>
          <w:sz w:val="24"/>
          <w:szCs w:val="24"/>
        </w:rPr>
        <w:t>.</w:t>
      </w:r>
      <w:r w:rsidR="00980FA2">
        <w:rPr>
          <w:rFonts w:ascii="Arial" w:hAnsi="Arial" w:cs="Arial"/>
          <w:color w:val="000000" w:themeColor="text1"/>
          <w:sz w:val="24"/>
          <w:szCs w:val="24"/>
        </w:rPr>
        <w:t xml:space="preserve"> </w:t>
      </w:r>
      <w:r w:rsidR="00AE5202">
        <w:rPr>
          <w:rFonts w:ascii="Arial" w:hAnsi="Arial" w:cs="Arial"/>
          <w:color w:val="000000" w:themeColor="text1"/>
          <w:sz w:val="24"/>
          <w:szCs w:val="24"/>
        </w:rPr>
        <w:t>U</w:t>
      </w:r>
      <w:r w:rsidR="00980FA2">
        <w:rPr>
          <w:rFonts w:ascii="Arial" w:hAnsi="Arial" w:cs="Arial"/>
          <w:color w:val="000000" w:themeColor="text1"/>
          <w:sz w:val="24"/>
          <w:szCs w:val="24"/>
        </w:rPr>
        <w:t>nd</w:t>
      </w:r>
      <w:r w:rsidR="00980FA2" w:rsidRPr="00AE5202">
        <w:rPr>
          <w:rFonts w:ascii="Arial" w:hAnsi="Arial" w:cs="Arial"/>
          <w:color w:val="000000" w:themeColor="text1"/>
          <w:sz w:val="24"/>
          <w:szCs w:val="24"/>
        </w:rPr>
        <w:t xml:space="preserve">er </w:t>
      </w:r>
      <w:r w:rsidR="0001777B" w:rsidRPr="00AE5202">
        <w:rPr>
          <w:rFonts w:ascii="Arial" w:hAnsi="Arial" w:cs="Arial"/>
          <w:color w:val="000000" w:themeColor="text1"/>
          <w:sz w:val="24"/>
          <w:szCs w:val="24"/>
        </w:rPr>
        <w:t>s.62 a</w:t>
      </w:r>
      <w:r w:rsidR="00AA3127" w:rsidRPr="00AE5202">
        <w:rPr>
          <w:rFonts w:ascii="Arial" w:hAnsi="Arial" w:cs="Arial"/>
          <w:color w:val="000000" w:themeColor="text1"/>
          <w:sz w:val="24"/>
          <w:szCs w:val="24"/>
        </w:rPr>
        <w:t xml:space="preserve">ny fixture automatically passes to </w:t>
      </w:r>
      <w:r w:rsidR="0001777B" w:rsidRPr="00AE5202">
        <w:rPr>
          <w:rFonts w:ascii="Arial" w:hAnsi="Arial" w:cs="Arial"/>
          <w:color w:val="000000" w:themeColor="text1"/>
          <w:sz w:val="24"/>
          <w:szCs w:val="24"/>
        </w:rPr>
        <w:t>the</w:t>
      </w:r>
      <w:r w:rsidR="00AA3127" w:rsidRPr="00AE5202">
        <w:rPr>
          <w:rFonts w:ascii="Arial" w:hAnsi="Arial" w:cs="Arial"/>
          <w:color w:val="000000" w:themeColor="text1"/>
          <w:sz w:val="24"/>
          <w:szCs w:val="24"/>
        </w:rPr>
        <w:t xml:space="preserve"> purchaser (Gray and Gray, 2011, pp.9-10).</w:t>
      </w:r>
    </w:p>
    <w:p w14:paraId="681C5CF0" w14:textId="1A7B5D76" w:rsidR="002E5298" w:rsidRPr="00E360CE" w:rsidRDefault="002E5298" w:rsidP="00790ACE">
      <w:pPr>
        <w:spacing w:line="480" w:lineRule="auto"/>
        <w:jc w:val="both"/>
        <w:rPr>
          <w:rFonts w:ascii="Arial" w:hAnsi="Arial" w:cs="Arial"/>
          <w:color w:val="000000" w:themeColor="text1"/>
          <w:sz w:val="24"/>
          <w:szCs w:val="24"/>
        </w:rPr>
      </w:pPr>
    </w:p>
    <w:p w14:paraId="56220CA6" w14:textId="4DD3FB43" w:rsidR="0053538D" w:rsidRPr="00E360CE" w:rsidRDefault="008B58F5"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Given a</w:t>
      </w:r>
      <w:r w:rsidR="00F56F67" w:rsidRPr="00E360CE">
        <w:rPr>
          <w:rFonts w:ascii="Arial" w:hAnsi="Arial" w:cs="Arial"/>
          <w:color w:val="000000" w:themeColor="text1"/>
          <w:sz w:val="24"/>
          <w:szCs w:val="24"/>
        </w:rPr>
        <w:t xml:space="preserve"> fixture is something that must be ‘essentially part of a building’, anything attached to the land is deemed to be a part of the land</w:t>
      </w:r>
      <w:r w:rsidR="00E072C1" w:rsidRPr="00E360CE">
        <w:rPr>
          <w:rFonts w:ascii="Arial" w:hAnsi="Arial" w:cs="Arial"/>
          <w:color w:val="000000" w:themeColor="text1"/>
          <w:sz w:val="24"/>
          <w:szCs w:val="24"/>
        </w:rPr>
        <w:t xml:space="preserve"> in accordance with the maxim </w:t>
      </w:r>
      <w:r w:rsidR="00E072C1" w:rsidRPr="00E360CE">
        <w:rPr>
          <w:rFonts w:ascii="Arial" w:hAnsi="Arial" w:cs="Arial"/>
          <w:i/>
          <w:iCs/>
          <w:color w:val="000000" w:themeColor="text1"/>
          <w:sz w:val="24"/>
          <w:szCs w:val="24"/>
        </w:rPr>
        <w:t>‘quicquid plantatur solo, solo cedit’</w:t>
      </w:r>
      <w:r w:rsidR="00E072C1" w:rsidRPr="00E360CE">
        <w:rPr>
          <w:rFonts w:ascii="Arial" w:hAnsi="Arial" w:cs="Arial"/>
          <w:color w:val="000000" w:themeColor="text1"/>
          <w:sz w:val="24"/>
          <w:szCs w:val="24"/>
        </w:rPr>
        <w:t xml:space="preserve"> (</w:t>
      </w:r>
      <w:r w:rsidR="00670F36" w:rsidRPr="00E360CE">
        <w:rPr>
          <w:rFonts w:ascii="Arial" w:hAnsi="Arial" w:cs="Arial"/>
          <w:color w:val="000000" w:themeColor="text1"/>
          <w:sz w:val="24"/>
          <w:szCs w:val="24"/>
        </w:rPr>
        <w:t>Luther</w:t>
      </w:r>
      <w:r w:rsidR="00E072C1" w:rsidRPr="00E360CE">
        <w:rPr>
          <w:rFonts w:ascii="Arial" w:hAnsi="Arial" w:cs="Arial"/>
          <w:color w:val="000000" w:themeColor="text1"/>
          <w:sz w:val="24"/>
          <w:szCs w:val="24"/>
        </w:rPr>
        <w:t>, 20</w:t>
      </w:r>
      <w:r w:rsidR="00B37D2C" w:rsidRPr="00E360CE">
        <w:rPr>
          <w:rFonts w:ascii="Arial" w:hAnsi="Arial" w:cs="Arial"/>
          <w:color w:val="000000" w:themeColor="text1"/>
          <w:sz w:val="24"/>
          <w:szCs w:val="24"/>
        </w:rPr>
        <w:t>04</w:t>
      </w:r>
      <w:r w:rsidR="00E072C1" w:rsidRPr="00E360CE">
        <w:rPr>
          <w:rFonts w:ascii="Arial" w:hAnsi="Arial" w:cs="Arial"/>
          <w:color w:val="000000" w:themeColor="text1"/>
          <w:sz w:val="24"/>
          <w:szCs w:val="24"/>
        </w:rPr>
        <w:t>, pp.</w:t>
      </w:r>
      <w:r w:rsidR="00922017" w:rsidRPr="00E360CE">
        <w:rPr>
          <w:rFonts w:ascii="Arial" w:hAnsi="Arial" w:cs="Arial"/>
          <w:color w:val="000000" w:themeColor="text1"/>
          <w:sz w:val="24"/>
          <w:szCs w:val="24"/>
        </w:rPr>
        <w:t>5</w:t>
      </w:r>
      <w:r w:rsidR="00E072C1" w:rsidRPr="00E360CE">
        <w:rPr>
          <w:rFonts w:ascii="Arial" w:hAnsi="Arial" w:cs="Arial"/>
          <w:color w:val="000000" w:themeColor="text1"/>
          <w:sz w:val="24"/>
          <w:szCs w:val="24"/>
        </w:rPr>
        <w:t>9</w:t>
      </w:r>
      <w:r w:rsidR="00922017" w:rsidRPr="00E360CE">
        <w:rPr>
          <w:rFonts w:ascii="Arial" w:hAnsi="Arial" w:cs="Arial"/>
          <w:color w:val="000000" w:themeColor="text1"/>
          <w:sz w:val="24"/>
          <w:szCs w:val="24"/>
        </w:rPr>
        <w:t>8</w:t>
      </w:r>
      <w:r w:rsidR="00E072C1" w:rsidRPr="00E360CE">
        <w:rPr>
          <w:rFonts w:ascii="Arial" w:hAnsi="Arial" w:cs="Arial"/>
          <w:color w:val="000000" w:themeColor="text1"/>
          <w:sz w:val="24"/>
          <w:szCs w:val="24"/>
        </w:rPr>
        <w:t>).</w:t>
      </w:r>
      <w:r w:rsidR="005340C5" w:rsidRPr="00E360CE">
        <w:rPr>
          <w:rFonts w:ascii="Arial" w:hAnsi="Arial" w:cs="Arial"/>
          <w:color w:val="000000" w:themeColor="text1"/>
          <w:sz w:val="24"/>
          <w:szCs w:val="24"/>
        </w:rPr>
        <w:t xml:space="preserve"> </w:t>
      </w:r>
      <w:r w:rsidR="00F56F67" w:rsidRPr="00E360CE">
        <w:rPr>
          <w:rFonts w:ascii="Arial" w:hAnsi="Arial" w:cs="Arial"/>
          <w:color w:val="000000" w:themeColor="text1"/>
          <w:sz w:val="24"/>
          <w:szCs w:val="24"/>
        </w:rPr>
        <w:t>Whereas, ‘fitting</w:t>
      </w:r>
      <w:r w:rsidR="00BF6622" w:rsidRPr="00E360CE">
        <w:rPr>
          <w:rFonts w:ascii="Arial" w:hAnsi="Arial" w:cs="Arial"/>
          <w:color w:val="000000" w:themeColor="text1"/>
          <w:sz w:val="24"/>
          <w:szCs w:val="24"/>
        </w:rPr>
        <w:t>s</w:t>
      </w:r>
      <w:r w:rsidR="00F56F67" w:rsidRPr="00E360CE">
        <w:rPr>
          <w:rFonts w:ascii="Arial" w:hAnsi="Arial" w:cs="Arial"/>
          <w:color w:val="000000" w:themeColor="text1"/>
          <w:sz w:val="24"/>
          <w:szCs w:val="24"/>
        </w:rPr>
        <w:t xml:space="preserve">’ commonly referred to as ‘chattels’ retain their independence and can be removed. </w:t>
      </w:r>
      <w:r w:rsidR="003A1E09" w:rsidRPr="00E360CE">
        <w:rPr>
          <w:rFonts w:ascii="Arial" w:hAnsi="Arial" w:cs="Arial"/>
          <w:color w:val="000000" w:themeColor="text1"/>
          <w:sz w:val="24"/>
          <w:szCs w:val="24"/>
        </w:rPr>
        <w:t>In this instance</w:t>
      </w:r>
      <w:r w:rsidR="002E4CE8">
        <w:rPr>
          <w:rFonts w:ascii="Arial" w:hAnsi="Arial" w:cs="Arial"/>
          <w:color w:val="000000" w:themeColor="text1"/>
          <w:sz w:val="24"/>
          <w:szCs w:val="24"/>
        </w:rPr>
        <w:t>,</w:t>
      </w:r>
      <w:r w:rsidR="00C11F97" w:rsidRPr="00E360CE">
        <w:rPr>
          <w:rFonts w:ascii="Arial" w:hAnsi="Arial" w:cs="Arial"/>
          <w:color w:val="000000" w:themeColor="text1"/>
          <w:sz w:val="24"/>
          <w:szCs w:val="24"/>
        </w:rPr>
        <w:t xml:space="preserve"> the test could in effect encompass moveable personal items such as the series of terracotta pot</w:t>
      </w:r>
      <w:r w:rsidR="00706FFC">
        <w:rPr>
          <w:rFonts w:ascii="Arial" w:hAnsi="Arial" w:cs="Arial"/>
          <w:color w:val="000000" w:themeColor="text1"/>
          <w:sz w:val="24"/>
          <w:szCs w:val="24"/>
        </w:rPr>
        <w:t>s.</w:t>
      </w:r>
      <w:r w:rsidR="00017E36" w:rsidRPr="00E360CE">
        <w:rPr>
          <w:rFonts w:ascii="Arial" w:hAnsi="Arial" w:cs="Arial"/>
          <w:color w:val="000000" w:themeColor="text1"/>
          <w:sz w:val="24"/>
          <w:szCs w:val="24"/>
        </w:rPr>
        <w:t xml:space="preserve"> </w:t>
      </w:r>
      <w:r w:rsidR="006611ED" w:rsidRPr="00E360CE">
        <w:rPr>
          <w:rFonts w:ascii="Arial" w:hAnsi="Arial" w:cs="Arial"/>
          <w:color w:val="000000" w:themeColor="text1"/>
          <w:sz w:val="24"/>
          <w:szCs w:val="24"/>
        </w:rPr>
        <w:t>P</w:t>
      </w:r>
      <w:r w:rsidR="00F56F67" w:rsidRPr="00E360CE">
        <w:rPr>
          <w:rFonts w:ascii="Arial" w:hAnsi="Arial" w:cs="Arial"/>
          <w:color w:val="000000" w:themeColor="text1"/>
          <w:sz w:val="24"/>
          <w:szCs w:val="24"/>
        </w:rPr>
        <w:t xml:space="preserve">ersonalty does not pass with the </w:t>
      </w:r>
      <w:proofErr w:type="gramStart"/>
      <w:r w:rsidR="00F56F67" w:rsidRPr="00E360CE">
        <w:rPr>
          <w:rFonts w:ascii="Arial" w:hAnsi="Arial" w:cs="Arial"/>
          <w:color w:val="000000" w:themeColor="text1"/>
          <w:sz w:val="24"/>
          <w:szCs w:val="24"/>
        </w:rPr>
        <w:t>land</w:t>
      </w:r>
      <w:r w:rsidR="002E4CE8">
        <w:rPr>
          <w:rFonts w:ascii="Arial" w:hAnsi="Arial" w:cs="Arial"/>
          <w:color w:val="000000" w:themeColor="text1"/>
          <w:sz w:val="24"/>
          <w:szCs w:val="24"/>
        </w:rPr>
        <w:t>,</w:t>
      </w:r>
      <w:proofErr w:type="gramEnd"/>
      <w:r w:rsidR="00F56F67" w:rsidRPr="00E360CE">
        <w:rPr>
          <w:rFonts w:ascii="Arial" w:hAnsi="Arial" w:cs="Arial"/>
          <w:color w:val="000000" w:themeColor="text1"/>
          <w:sz w:val="24"/>
          <w:szCs w:val="24"/>
        </w:rPr>
        <w:t xml:space="preserve"> therefore a ‘fitting’ does not pass on to the purchaser when land or property is sold (</w:t>
      </w:r>
      <w:r w:rsidR="00887DB1" w:rsidRPr="00E360CE">
        <w:rPr>
          <w:rFonts w:ascii="Arial" w:hAnsi="Arial" w:cs="Arial"/>
          <w:color w:val="000000" w:themeColor="text1"/>
          <w:sz w:val="24"/>
          <w:szCs w:val="24"/>
        </w:rPr>
        <w:t>Gray and Gray, 2011, pp.11-13</w:t>
      </w:r>
      <w:r w:rsidR="00F56F67" w:rsidRPr="00E360CE">
        <w:rPr>
          <w:rFonts w:ascii="Arial" w:hAnsi="Arial" w:cs="Arial"/>
          <w:color w:val="000000" w:themeColor="text1"/>
          <w:sz w:val="24"/>
          <w:szCs w:val="24"/>
        </w:rPr>
        <w:t xml:space="preserve">). </w:t>
      </w:r>
    </w:p>
    <w:p w14:paraId="55F09EBF" w14:textId="734C2A39" w:rsidR="00364DCD" w:rsidRPr="00E360CE" w:rsidRDefault="00364DCD" w:rsidP="00790ACE">
      <w:pPr>
        <w:spacing w:line="480" w:lineRule="auto"/>
        <w:jc w:val="both"/>
        <w:rPr>
          <w:rFonts w:ascii="Arial" w:hAnsi="Arial" w:cs="Arial"/>
          <w:color w:val="000000" w:themeColor="text1"/>
          <w:sz w:val="24"/>
          <w:szCs w:val="24"/>
        </w:rPr>
      </w:pPr>
    </w:p>
    <w:p w14:paraId="544AB410" w14:textId="482AC818" w:rsidR="00BD75BC" w:rsidRDefault="0091785F"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Had</w:t>
      </w:r>
      <w:r w:rsidR="00815F19" w:rsidRPr="00E360CE">
        <w:rPr>
          <w:rFonts w:ascii="Arial" w:hAnsi="Arial" w:cs="Arial"/>
          <w:color w:val="000000" w:themeColor="text1"/>
          <w:sz w:val="24"/>
          <w:szCs w:val="24"/>
        </w:rPr>
        <w:t xml:space="preserve"> the series of pots </w:t>
      </w:r>
      <w:r w:rsidRPr="00E360CE">
        <w:rPr>
          <w:rFonts w:ascii="Arial" w:hAnsi="Arial" w:cs="Arial"/>
          <w:color w:val="000000" w:themeColor="text1"/>
          <w:sz w:val="24"/>
          <w:szCs w:val="24"/>
        </w:rPr>
        <w:t>been</w:t>
      </w:r>
      <w:r w:rsidR="00815F19" w:rsidRPr="00E360CE">
        <w:rPr>
          <w:rFonts w:ascii="Arial" w:hAnsi="Arial" w:cs="Arial"/>
          <w:color w:val="000000" w:themeColor="text1"/>
          <w:sz w:val="24"/>
          <w:szCs w:val="24"/>
        </w:rPr>
        <w:t xml:space="preserve"> placed in the garden to be enjoyed in their own right</w:t>
      </w:r>
      <w:r w:rsidR="00AD00CD" w:rsidRPr="00E360CE">
        <w:rPr>
          <w:rFonts w:ascii="Arial" w:hAnsi="Arial" w:cs="Arial"/>
          <w:color w:val="000000" w:themeColor="text1"/>
          <w:sz w:val="24"/>
          <w:szCs w:val="24"/>
        </w:rPr>
        <w:t>,</w:t>
      </w:r>
      <w:r w:rsidR="00815F19" w:rsidRPr="00E360CE">
        <w:rPr>
          <w:rFonts w:ascii="Arial" w:hAnsi="Arial" w:cs="Arial"/>
          <w:color w:val="000000" w:themeColor="text1"/>
          <w:sz w:val="24"/>
          <w:szCs w:val="24"/>
        </w:rPr>
        <w:t xml:space="preserve"> then </w:t>
      </w:r>
      <w:r w:rsidR="000D6403" w:rsidRPr="00E360CE">
        <w:rPr>
          <w:rFonts w:ascii="Arial" w:hAnsi="Arial" w:cs="Arial"/>
          <w:color w:val="000000" w:themeColor="text1"/>
          <w:sz w:val="24"/>
          <w:szCs w:val="24"/>
        </w:rPr>
        <w:t xml:space="preserve">by </w:t>
      </w:r>
      <w:r w:rsidR="00207439" w:rsidRPr="00E360CE">
        <w:rPr>
          <w:rFonts w:ascii="Arial" w:hAnsi="Arial" w:cs="Arial"/>
          <w:color w:val="000000" w:themeColor="text1"/>
          <w:sz w:val="24"/>
          <w:szCs w:val="24"/>
        </w:rPr>
        <w:t xml:space="preserve">applying the tests </w:t>
      </w:r>
      <w:r w:rsidR="00A956E1" w:rsidRPr="00E360CE">
        <w:rPr>
          <w:rFonts w:ascii="Arial" w:hAnsi="Arial" w:cs="Arial"/>
          <w:color w:val="000000" w:themeColor="text1"/>
          <w:sz w:val="24"/>
          <w:szCs w:val="24"/>
        </w:rPr>
        <w:t xml:space="preserve">provided in </w:t>
      </w:r>
      <w:r w:rsidR="00A956E1" w:rsidRPr="00E360CE">
        <w:rPr>
          <w:rFonts w:ascii="Arial" w:hAnsi="Arial" w:cs="Arial"/>
          <w:i/>
          <w:iCs/>
          <w:color w:val="000000" w:themeColor="text1"/>
          <w:sz w:val="24"/>
          <w:szCs w:val="24"/>
        </w:rPr>
        <w:t xml:space="preserve">Holland v Hodgson [1872] </w:t>
      </w:r>
      <w:r w:rsidR="009D1128" w:rsidRPr="00E360CE">
        <w:rPr>
          <w:rFonts w:ascii="Arial" w:hAnsi="Arial" w:cs="Arial"/>
          <w:color w:val="000000" w:themeColor="text1"/>
          <w:sz w:val="24"/>
          <w:szCs w:val="24"/>
        </w:rPr>
        <w:t xml:space="preserve">the pots would be classified as fittings. </w:t>
      </w:r>
      <w:r w:rsidR="005E0104" w:rsidRPr="00E360CE">
        <w:rPr>
          <w:rFonts w:ascii="Arial" w:hAnsi="Arial" w:cs="Arial"/>
          <w:color w:val="000000" w:themeColor="text1"/>
          <w:sz w:val="24"/>
          <w:szCs w:val="24"/>
        </w:rPr>
        <w:t>Be that as it may, it is the intention or purpose of the person bringing the chattel onto the land that may provide the answer as to whether a chattel is a fixture or fitting. In relation to the series of terracotta pots, if the pots were placed on the land so as to become part of the landscaping, then they could become fixtures irrespective</w:t>
      </w:r>
      <w:r w:rsidR="002E71C9" w:rsidRPr="00E360CE">
        <w:rPr>
          <w:rFonts w:ascii="Arial" w:hAnsi="Arial" w:cs="Arial"/>
          <w:color w:val="000000" w:themeColor="text1"/>
          <w:sz w:val="24"/>
          <w:szCs w:val="24"/>
        </w:rPr>
        <w:t xml:space="preserve"> of the</w:t>
      </w:r>
      <w:r w:rsidR="006E7939" w:rsidRPr="00E360CE">
        <w:rPr>
          <w:rFonts w:ascii="Arial" w:hAnsi="Arial" w:cs="Arial"/>
          <w:color w:val="000000" w:themeColor="text1"/>
          <w:sz w:val="24"/>
          <w:szCs w:val="24"/>
        </w:rPr>
        <w:t xml:space="preserve"> fact</w:t>
      </w:r>
      <w:r w:rsidR="005E0104" w:rsidRPr="00E360CE">
        <w:rPr>
          <w:rFonts w:ascii="Arial" w:hAnsi="Arial" w:cs="Arial"/>
          <w:color w:val="000000" w:themeColor="text1"/>
          <w:sz w:val="24"/>
          <w:szCs w:val="24"/>
        </w:rPr>
        <w:t xml:space="preserve"> that they are freestanding and capable of being moved (Richards, 2014, pp.11). </w:t>
      </w:r>
      <w:r w:rsidR="0047252B" w:rsidRPr="00E360CE">
        <w:rPr>
          <w:rFonts w:ascii="Arial" w:hAnsi="Arial" w:cs="Arial"/>
          <w:i/>
          <w:iCs/>
          <w:color w:val="000000" w:themeColor="text1"/>
          <w:sz w:val="24"/>
          <w:szCs w:val="24"/>
        </w:rPr>
        <w:t xml:space="preserve">Hamp v Bygrave [1983] </w:t>
      </w:r>
      <w:r w:rsidR="00AA60D7" w:rsidRPr="00E360CE">
        <w:rPr>
          <w:rFonts w:ascii="Arial" w:hAnsi="Arial" w:cs="Arial"/>
          <w:color w:val="000000" w:themeColor="text1"/>
          <w:sz w:val="24"/>
          <w:szCs w:val="24"/>
        </w:rPr>
        <w:t xml:space="preserve">illustrated </w:t>
      </w:r>
      <w:r w:rsidR="0095389A" w:rsidRPr="00E360CE">
        <w:rPr>
          <w:rFonts w:ascii="Arial" w:hAnsi="Arial" w:cs="Arial"/>
          <w:color w:val="000000" w:themeColor="text1"/>
          <w:sz w:val="24"/>
          <w:szCs w:val="24"/>
        </w:rPr>
        <w:t xml:space="preserve">this concept whereby </w:t>
      </w:r>
      <w:r w:rsidR="00AD4BAA" w:rsidRPr="00E360CE">
        <w:rPr>
          <w:rFonts w:ascii="Arial" w:hAnsi="Arial" w:cs="Arial"/>
          <w:color w:val="000000" w:themeColor="text1"/>
          <w:sz w:val="24"/>
          <w:szCs w:val="24"/>
        </w:rPr>
        <w:t xml:space="preserve">it was held that a selection of </w:t>
      </w:r>
      <w:r w:rsidR="00612EDA" w:rsidRPr="00E360CE">
        <w:rPr>
          <w:rFonts w:ascii="Arial" w:hAnsi="Arial" w:cs="Arial"/>
          <w:color w:val="000000" w:themeColor="text1"/>
          <w:sz w:val="24"/>
          <w:szCs w:val="24"/>
        </w:rPr>
        <w:t xml:space="preserve">carefully coordinated </w:t>
      </w:r>
      <w:r w:rsidR="00DE4D44" w:rsidRPr="00E360CE">
        <w:rPr>
          <w:rFonts w:ascii="Arial" w:hAnsi="Arial" w:cs="Arial"/>
          <w:color w:val="000000" w:themeColor="text1"/>
          <w:sz w:val="24"/>
          <w:szCs w:val="24"/>
        </w:rPr>
        <w:t xml:space="preserve">garden ornaments </w:t>
      </w:r>
      <w:r w:rsidR="007B6764" w:rsidRPr="00E360CE">
        <w:rPr>
          <w:rFonts w:ascii="Arial" w:hAnsi="Arial" w:cs="Arial"/>
          <w:color w:val="000000" w:themeColor="text1"/>
          <w:sz w:val="24"/>
          <w:szCs w:val="24"/>
        </w:rPr>
        <w:t xml:space="preserve">resting on their own weight </w:t>
      </w:r>
      <w:r w:rsidR="00D10FB7" w:rsidRPr="00E360CE">
        <w:rPr>
          <w:rFonts w:ascii="Arial" w:hAnsi="Arial" w:cs="Arial"/>
          <w:color w:val="000000" w:themeColor="text1"/>
          <w:sz w:val="24"/>
          <w:szCs w:val="24"/>
        </w:rPr>
        <w:t>were found to be</w:t>
      </w:r>
      <w:r w:rsidR="00DE4D44" w:rsidRPr="00E360CE">
        <w:rPr>
          <w:rFonts w:ascii="Arial" w:hAnsi="Arial" w:cs="Arial"/>
          <w:color w:val="000000" w:themeColor="text1"/>
          <w:sz w:val="24"/>
          <w:szCs w:val="24"/>
        </w:rPr>
        <w:t xml:space="preserve"> fixtures </w:t>
      </w:r>
      <w:r w:rsidR="0094592D" w:rsidRPr="00E360CE">
        <w:rPr>
          <w:rFonts w:ascii="Arial" w:hAnsi="Arial" w:cs="Arial"/>
          <w:color w:val="000000" w:themeColor="text1"/>
          <w:sz w:val="24"/>
          <w:szCs w:val="24"/>
        </w:rPr>
        <w:t>in accordance with the purpose of annexation test</w:t>
      </w:r>
      <w:r w:rsidR="00400091" w:rsidRPr="00E360CE">
        <w:rPr>
          <w:rFonts w:ascii="Arial" w:hAnsi="Arial" w:cs="Arial"/>
          <w:color w:val="000000" w:themeColor="text1"/>
          <w:sz w:val="24"/>
          <w:szCs w:val="24"/>
        </w:rPr>
        <w:t>,</w:t>
      </w:r>
      <w:r w:rsidR="0094592D" w:rsidRPr="00E360CE">
        <w:rPr>
          <w:rFonts w:ascii="Arial" w:hAnsi="Arial" w:cs="Arial"/>
          <w:color w:val="000000" w:themeColor="text1"/>
          <w:sz w:val="24"/>
          <w:szCs w:val="24"/>
        </w:rPr>
        <w:t xml:space="preserve"> </w:t>
      </w:r>
      <w:r w:rsidR="00757C5B" w:rsidRPr="00E360CE">
        <w:rPr>
          <w:rFonts w:ascii="Arial" w:hAnsi="Arial" w:cs="Arial"/>
          <w:color w:val="000000" w:themeColor="text1"/>
          <w:sz w:val="24"/>
          <w:szCs w:val="24"/>
        </w:rPr>
        <w:t xml:space="preserve">concluding that the items were intended to be ‘part </w:t>
      </w:r>
      <w:r w:rsidR="00757C5B" w:rsidRPr="00E360CE">
        <w:rPr>
          <w:rFonts w:ascii="Arial" w:hAnsi="Arial" w:cs="Arial"/>
          <w:color w:val="000000" w:themeColor="text1"/>
          <w:sz w:val="24"/>
          <w:szCs w:val="24"/>
        </w:rPr>
        <w:lastRenderedPageBreak/>
        <w:t>and parcel’ of the garden</w:t>
      </w:r>
      <w:r w:rsidR="00D17929" w:rsidRPr="00E360CE">
        <w:rPr>
          <w:rFonts w:ascii="Arial" w:hAnsi="Arial" w:cs="Arial"/>
          <w:color w:val="000000" w:themeColor="text1"/>
          <w:sz w:val="24"/>
          <w:szCs w:val="24"/>
        </w:rPr>
        <w:t xml:space="preserve"> and</w:t>
      </w:r>
      <w:r w:rsidR="00757C5B" w:rsidRPr="00E360CE">
        <w:rPr>
          <w:rFonts w:ascii="Arial" w:hAnsi="Arial" w:cs="Arial"/>
          <w:color w:val="000000" w:themeColor="text1"/>
          <w:sz w:val="24"/>
          <w:szCs w:val="24"/>
        </w:rPr>
        <w:t xml:space="preserve"> added to improve the property</w:t>
      </w:r>
      <w:r w:rsidR="0047252B" w:rsidRPr="00E360CE">
        <w:rPr>
          <w:rFonts w:ascii="Arial" w:hAnsi="Arial" w:cs="Arial"/>
          <w:color w:val="000000" w:themeColor="text1"/>
          <w:sz w:val="24"/>
          <w:szCs w:val="24"/>
        </w:rPr>
        <w:t xml:space="preserve"> (Gray and Gray, 2011, pp.12).</w:t>
      </w:r>
      <w:r w:rsidR="00D17929" w:rsidRPr="00E360CE">
        <w:rPr>
          <w:rFonts w:ascii="Arial" w:hAnsi="Arial" w:cs="Arial"/>
          <w:color w:val="000000" w:themeColor="text1"/>
          <w:sz w:val="24"/>
          <w:szCs w:val="24"/>
        </w:rPr>
        <w:t xml:space="preserve"> </w:t>
      </w:r>
    </w:p>
    <w:p w14:paraId="4159DDEE" w14:textId="0E009A43" w:rsidR="00A21E53" w:rsidRPr="00E360CE" w:rsidRDefault="00BC0CFB" w:rsidP="00AE358B">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In light of this, </w:t>
      </w:r>
      <w:r w:rsidR="006A22C6" w:rsidRPr="00E360CE">
        <w:rPr>
          <w:rFonts w:ascii="Arial" w:hAnsi="Arial" w:cs="Arial"/>
          <w:color w:val="000000" w:themeColor="text1"/>
          <w:sz w:val="24"/>
          <w:szCs w:val="24"/>
        </w:rPr>
        <w:t xml:space="preserve">by applying case law and the second test set out in </w:t>
      </w:r>
      <w:r w:rsidR="00316455" w:rsidRPr="00E360CE">
        <w:rPr>
          <w:rFonts w:ascii="Arial" w:hAnsi="Arial" w:cs="Arial"/>
          <w:i/>
          <w:iCs/>
          <w:color w:val="000000" w:themeColor="text1"/>
          <w:sz w:val="24"/>
          <w:szCs w:val="24"/>
        </w:rPr>
        <w:t xml:space="preserve">Holland [1872] </w:t>
      </w:r>
      <w:r w:rsidR="00316455" w:rsidRPr="00E360CE">
        <w:rPr>
          <w:rFonts w:ascii="Arial" w:hAnsi="Arial" w:cs="Arial"/>
          <w:color w:val="000000" w:themeColor="text1"/>
          <w:sz w:val="24"/>
          <w:szCs w:val="24"/>
        </w:rPr>
        <w:t xml:space="preserve">it is evident that the series of terracotta pots </w:t>
      </w:r>
      <w:r w:rsidR="009F473E" w:rsidRPr="00E360CE">
        <w:rPr>
          <w:rFonts w:ascii="Arial" w:hAnsi="Arial" w:cs="Arial"/>
          <w:color w:val="000000" w:themeColor="text1"/>
          <w:sz w:val="24"/>
          <w:szCs w:val="24"/>
        </w:rPr>
        <w:t>would be classified as fixtures</w:t>
      </w:r>
      <w:r w:rsidR="00EF4ACE" w:rsidRPr="00E360CE">
        <w:rPr>
          <w:rFonts w:ascii="Arial" w:hAnsi="Arial" w:cs="Arial"/>
          <w:color w:val="000000" w:themeColor="text1"/>
          <w:sz w:val="24"/>
          <w:szCs w:val="24"/>
        </w:rPr>
        <w:t>,</w:t>
      </w:r>
      <w:r w:rsidR="009F473E" w:rsidRPr="00E360CE">
        <w:rPr>
          <w:rFonts w:ascii="Arial" w:hAnsi="Arial" w:cs="Arial"/>
          <w:color w:val="000000" w:themeColor="text1"/>
          <w:sz w:val="24"/>
          <w:szCs w:val="24"/>
        </w:rPr>
        <w:t xml:space="preserve"> </w:t>
      </w:r>
      <w:r w:rsidR="005E6DF5" w:rsidRPr="00E360CE">
        <w:rPr>
          <w:rFonts w:ascii="Arial" w:hAnsi="Arial" w:cs="Arial"/>
          <w:color w:val="000000" w:themeColor="text1"/>
          <w:sz w:val="24"/>
          <w:szCs w:val="24"/>
        </w:rPr>
        <w:t xml:space="preserve">purposefully </w:t>
      </w:r>
      <w:r w:rsidR="009F473E" w:rsidRPr="00E360CE">
        <w:rPr>
          <w:rFonts w:ascii="Arial" w:hAnsi="Arial" w:cs="Arial"/>
          <w:color w:val="000000" w:themeColor="text1"/>
          <w:sz w:val="24"/>
          <w:szCs w:val="24"/>
        </w:rPr>
        <w:t xml:space="preserve">placed </w:t>
      </w:r>
      <w:r w:rsidR="005E6DF5" w:rsidRPr="00E360CE">
        <w:rPr>
          <w:rFonts w:ascii="Arial" w:hAnsi="Arial" w:cs="Arial"/>
          <w:color w:val="000000" w:themeColor="text1"/>
          <w:sz w:val="24"/>
          <w:szCs w:val="24"/>
        </w:rPr>
        <w:t>with the intention of improving the land</w:t>
      </w:r>
      <w:r w:rsidR="00A75205" w:rsidRPr="00E360CE">
        <w:rPr>
          <w:rFonts w:ascii="Arial" w:hAnsi="Arial" w:cs="Arial"/>
          <w:color w:val="000000" w:themeColor="text1"/>
          <w:sz w:val="24"/>
          <w:szCs w:val="24"/>
        </w:rPr>
        <w:t>.</w:t>
      </w:r>
      <w:r w:rsidR="00EF4ACE" w:rsidRPr="00E360CE">
        <w:rPr>
          <w:rFonts w:ascii="Arial" w:hAnsi="Arial" w:cs="Arial"/>
          <w:color w:val="000000" w:themeColor="text1"/>
          <w:sz w:val="24"/>
          <w:szCs w:val="24"/>
        </w:rPr>
        <w:t xml:space="preserve"> As a result, </w:t>
      </w:r>
      <w:r w:rsidR="004E1816" w:rsidRPr="00E360CE">
        <w:rPr>
          <w:rFonts w:ascii="Arial" w:hAnsi="Arial" w:cs="Arial"/>
          <w:color w:val="000000" w:themeColor="text1"/>
          <w:sz w:val="24"/>
          <w:szCs w:val="24"/>
        </w:rPr>
        <w:t xml:space="preserve">Amy and Bob are not </w:t>
      </w:r>
      <w:r w:rsidR="00945639" w:rsidRPr="00E360CE">
        <w:rPr>
          <w:rFonts w:ascii="Arial" w:hAnsi="Arial" w:cs="Arial"/>
          <w:color w:val="000000" w:themeColor="text1"/>
          <w:sz w:val="24"/>
          <w:szCs w:val="24"/>
        </w:rPr>
        <w:t>permitted to remove the terracotta pots.</w:t>
      </w:r>
      <w:r w:rsidR="00C8249A">
        <w:rPr>
          <w:rFonts w:ascii="Arial" w:hAnsi="Arial" w:cs="Arial"/>
          <w:color w:val="000000" w:themeColor="text1"/>
          <w:sz w:val="24"/>
          <w:szCs w:val="24"/>
        </w:rPr>
        <w:t xml:space="preserve"> </w:t>
      </w:r>
      <w:r w:rsidR="00B24F86" w:rsidRPr="00E360CE">
        <w:rPr>
          <w:rFonts w:ascii="Arial" w:hAnsi="Arial" w:cs="Arial"/>
          <w:color w:val="000000" w:themeColor="text1"/>
          <w:sz w:val="24"/>
          <w:szCs w:val="24"/>
        </w:rPr>
        <w:t xml:space="preserve">In addition, with reference to the ivy and in accordance with the judgement set out by Justice Blackburn in </w:t>
      </w:r>
      <w:r w:rsidR="00B24F86" w:rsidRPr="00E360CE">
        <w:rPr>
          <w:rFonts w:ascii="Arial" w:hAnsi="Arial" w:cs="Arial"/>
          <w:i/>
          <w:iCs/>
          <w:color w:val="000000" w:themeColor="text1"/>
          <w:sz w:val="24"/>
          <w:szCs w:val="24"/>
        </w:rPr>
        <w:t>Holland v Hodgson [1872]</w:t>
      </w:r>
      <w:r w:rsidR="00B24F86" w:rsidRPr="00E360CE">
        <w:rPr>
          <w:rFonts w:ascii="Arial" w:hAnsi="Arial" w:cs="Arial"/>
          <w:color w:val="000000" w:themeColor="text1"/>
          <w:sz w:val="24"/>
          <w:szCs w:val="24"/>
        </w:rPr>
        <w:t xml:space="preserve"> the fact that the ivy has grown attractively up from the ground is inconsequential as it is growing from a pot and therefore could be argued as not an intentional part of the land (</w:t>
      </w:r>
      <w:r w:rsidR="002143F4" w:rsidRPr="00E360CE">
        <w:rPr>
          <w:rFonts w:ascii="Arial" w:hAnsi="Arial" w:cs="Arial"/>
          <w:color w:val="000000" w:themeColor="text1"/>
          <w:sz w:val="24"/>
          <w:szCs w:val="24"/>
        </w:rPr>
        <w:t>Bray, 2016, pp.10</w:t>
      </w:r>
      <w:r w:rsidR="00B24F86" w:rsidRPr="00E360CE">
        <w:rPr>
          <w:rFonts w:ascii="Arial" w:hAnsi="Arial" w:cs="Arial"/>
          <w:color w:val="000000" w:themeColor="text1"/>
          <w:sz w:val="24"/>
          <w:szCs w:val="24"/>
        </w:rPr>
        <w:t>).</w:t>
      </w:r>
    </w:p>
    <w:p w14:paraId="1963053F" w14:textId="77777777" w:rsidR="00DA4A80" w:rsidRPr="00E360CE" w:rsidRDefault="00DA4A80" w:rsidP="00790ACE">
      <w:pPr>
        <w:spacing w:line="480" w:lineRule="auto"/>
        <w:jc w:val="both"/>
        <w:rPr>
          <w:rFonts w:ascii="Arial" w:hAnsi="Arial" w:cs="Arial"/>
          <w:color w:val="000000" w:themeColor="text1"/>
          <w:sz w:val="24"/>
          <w:szCs w:val="24"/>
        </w:rPr>
      </w:pPr>
    </w:p>
    <w:p w14:paraId="38EEBF3F" w14:textId="053B7F91" w:rsidR="003B579A" w:rsidRPr="00E360CE" w:rsidRDefault="006C41EE"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To offer confirmation to Selina as to </w:t>
      </w:r>
      <w:r w:rsidR="00DC7A94" w:rsidRPr="00E360CE">
        <w:rPr>
          <w:rFonts w:ascii="Arial" w:hAnsi="Arial" w:cs="Arial"/>
          <w:color w:val="000000" w:themeColor="text1"/>
          <w:sz w:val="24"/>
          <w:szCs w:val="24"/>
        </w:rPr>
        <w:t xml:space="preserve">the permitted removal of the rustic seat </w:t>
      </w:r>
      <w:r w:rsidR="00420D32" w:rsidRPr="00E360CE">
        <w:rPr>
          <w:rFonts w:ascii="Arial" w:hAnsi="Arial" w:cs="Arial"/>
          <w:color w:val="000000" w:themeColor="text1"/>
          <w:sz w:val="24"/>
          <w:szCs w:val="24"/>
        </w:rPr>
        <w:t xml:space="preserve">many avenues can be explored. </w:t>
      </w:r>
      <w:r w:rsidR="00A20D99" w:rsidRPr="00E360CE">
        <w:rPr>
          <w:rFonts w:ascii="Arial" w:hAnsi="Arial" w:cs="Arial"/>
          <w:color w:val="000000" w:themeColor="text1"/>
          <w:sz w:val="24"/>
          <w:szCs w:val="24"/>
        </w:rPr>
        <w:t xml:space="preserve">The </w:t>
      </w:r>
      <w:r w:rsidR="00370C9C" w:rsidRPr="00E360CE">
        <w:rPr>
          <w:rFonts w:ascii="Arial" w:hAnsi="Arial" w:cs="Arial"/>
          <w:color w:val="000000" w:themeColor="text1"/>
          <w:sz w:val="24"/>
          <w:szCs w:val="24"/>
        </w:rPr>
        <w:t xml:space="preserve">facts state that the rustic seat has sunk into the ground by its own weight. Therefore, </w:t>
      </w:r>
      <w:r w:rsidR="00EB7E70" w:rsidRPr="00E360CE">
        <w:rPr>
          <w:rFonts w:ascii="Arial" w:hAnsi="Arial" w:cs="Arial"/>
          <w:color w:val="000000" w:themeColor="text1"/>
          <w:sz w:val="24"/>
          <w:szCs w:val="24"/>
        </w:rPr>
        <w:t>under the degree of annexation</w:t>
      </w:r>
      <w:r w:rsidR="00AC5901" w:rsidRPr="00E360CE">
        <w:rPr>
          <w:rFonts w:ascii="Arial" w:hAnsi="Arial" w:cs="Arial"/>
          <w:color w:val="000000" w:themeColor="text1"/>
          <w:sz w:val="24"/>
          <w:szCs w:val="24"/>
        </w:rPr>
        <w:t xml:space="preserve"> test</w:t>
      </w:r>
      <w:r w:rsidR="00D95DE6">
        <w:rPr>
          <w:rFonts w:ascii="Arial" w:hAnsi="Arial" w:cs="Arial"/>
          <w:color w:val="000000" w:themeColor="text1"/>
          <w:sz w:val="24"/>
          <w:szCs w:val="24"/>
        </w:rPr>
        <w:t>,</w:t>
      </w:r>
      <w:r w:rsidR="00EB7E70" w:rsidRPr="00E360CE">
        <w:rPr>
          <w:rFonts w:ascii="Arial" w:hAnsi="Arial" w:cs="Arial"/>
          <w:color w:val="000000" w:themeColor="text1"/>
          <w:sz w:val="24"/>
          <w:szCs w:val="24"/>
        </w:rPr>
        <w:t xml:space="preserve"> </w:t>
      </w:r>
      <w:r w:rsidR="00D2080D" w:rsidRPr="00E360CE">
        <w:rPr>
          <w:rFonts w:ascii="Arial" w:hAnsi="Arial" w:cs="Arial"/>
          <w:color w:val="000000" w:themeColor="text1"/>
          <w:sz w:val="24"/>
          <w:szCs w:val="24"/>
        </w:rPr>
        <w:t xml:space="preserve">Amy and Bob would be permitted to remove </w:t>
      </w:r>
      <w:r w:rsidR="00462748" w:rsidRPr="00E360CE">
        <w:rPr>
          <w:rFonts w:ascii="Arial" w:hAnsi="Arial" w:cs="Arial"/>
          <w:color w:val="000000" w:themeColor="text1"/>
          <w:sz w:val="24"/>
          <w:szCs w:val="24"/>
        </w:rPr>
        <w:t>the seat</w:t>
      </w:r>
      <w:r w:rsidR="008B30C3" w:rsidRPr="00E360CE">
        <w:rPr>
          <w:rFonts w:ascii="Arial" w:hAnsi="Arial" w:cs="Arial"/>
          <w:color w:val="000000" w:themeColor="text1"/>
          <w:sz w:val="24"/>
          <w:szCs w:val="24"/>
        </w:rPr>
        <w:t xml:space="preserve"> as it </w:t>
      </w:r>
      <w:r w:rsidR="00E4206F" w:rsidRPr="00E360CE">
        <w:rPr>
          <w:rFonts w:ascii="Arial" w:hAnsi="Arial" w:cs="Arial"/>
          <w:color w:val="000000" w:themeColor="text1"/>
          <w:sz w:val="24"/>
          <w:szCs w:val="24"/>
        </w:rPr>
        <w:t>is not affixed to the land</w:t>
      </w:r>
      <w:r w:rsidR="00183FF2" w:rsidRPr="00E360CE">
        <w:rPr>
          <w:rFonts w:ascii="Arial" w:hAnsi="Arial" w:cs="Arial"/>
          <w:color w:val="000000" w:themeColor="text1"/>
          <w:sz w:val="24"/>
          <w:szCs w:val="24"/>
        </w:rPr>
        <w:t xml:space="preserve">. </w:t>
      </w:r>
      <w:r w:rsidR="009A4AA8" w:rsidRPr="00E360CE">
        <w:rPr>
          <w:rFonts w:ascii="Arial" w:hAnsi="Arial" w:cs="Arial"/>
          <w:color w:val="000000" w:themeColor="text1"/>
          <w:sz w:val="24"/>
          <w:szCs w:val="24"/>
        </w:rPr>
        <w:t xml:space="preserve">Traditionally, if an object rested on the ground by its own weight it was regarded as a </w:t>
      </w:r>
      <w:r w:rsidR="009A4AA8" w:rsidRPr="00E360CE">
        <w:rPr>
          <w:rFonts w:ascii="Arial" w:hAnsi="Arial" w:cs="Arial"/>
          <w:i/>
          <w:iCs/>
          <w:color w:val="000000" w:themeColor="text1"/>
          <w:sz w:val="24"/>
          <w:szCs w:val="24"/>
        </w:rPr>
        <w:t xml:space="preserve">prima facie </w:t>
      </w:r>
      <w:r w:rsidR="009A4AA8" w:rsidRPr="00E360CE">
        <w:rPr>
          <w:rFonts w:ascii="Arial" w:hAnsi="Arial" w:cs="Arial"/>
          <w:color w:val="000000" w:themeColor="text1"/>
          <w:sz w:val="24"/>
          <w:szCs w:val="24"/>
        </w:rPr>
        <w:t>chattel (</w:t>
      </w:r>
      <w:r w:rsidR="0066562C" w:rsidRPr="00E360CE">
        <w:rPr>
          <w:rFonts w:ascii="Arial" w:hAnsi="Arial" w:cs="Arial"/>
          <w:color w:val="000000" w:themeColor="text1"/>
          <w:sz w:val="24"/>
          <w:szCs w:val="24"/>
        </w:rPr>
        <w:t>Bray, 2016, pp.10-11</w:t>
      </w:r>
      <w:r w:rsidR="009A4AA8" w:rsidRPr="00E360CE">
        <w:rPr>
          <w:rFonts w:ascii="Arial" w:hAnsi="Arial" w:cs="Arial"/>
          <w:color w:val="000000" w:themeColor="text1"/>
          <w:sz w:val="24"/>
          <w:szCs w:val="24"/>
        </w:rPr>
        <w:t xml:space="preserve">). </w:t>
      </w:r>
      <w:r w:rsidR="00183FF2" w:rsidRPr="00E360CE">
        <w:rPr>
          <w:rFonts w:ascii="Arial" w:hAnsi="Arial" w:cs="Arial"/>
          <w:color w:val="000000" w:themeColor="text1"/>
          <w:sz w:val="24"/>
          <w:szCs w:val="24"/>
        </w:rPr>
        <w:t>This can be support</w:t>
      </w:r>
      <w:r w:rsidR="00F909D4" w:rsidRPr="00E360CE">
        <w:rPr>
          <w:rFonts w:ascii="Arial" w:hAnsi="Arial" w:cs="Arial"/>
          <w:color w:val="000000" w:themeColor="text1"/>
          <w:sz w:val="24"/>
          <w:szCs w:val="24"/>
        </w:rPr>
        <w:t>ed</w:t>
      </w:r>
      <w:r w:rsidR="00183FF2" w:rsidRPr="00E360CE">
        <w:rPr>
          <w:rFonts w:ascii="Arial" w:hAnsi="Arial" w:cs="Arial"/>
          <w:color w:val="000000" w:themeColor="text1"/>
          <w:sz w:val="24"/>
          <w:szCs w:val="24"/>
        </w:rPr>
        <w:t xml:space="preserve"> by the decision held in </w:t>
      </w:r>
      <w:r w:rsidR="003B579A" w:rsidRPr="00E360CE">
        <w:rPr>
          <w:rFonts w:ascii="Arial" w:hAnsi="Arial" w:cs="Arial"/>
          <w:i/>
          <w:iCs/>
          <w:color w:val="000000" w:themeColor="text1"/>
          <w:sz w:val="24"/>
          <w:szCs w:val="24"/>
        </w:rPr>
        <w:t xml:space="preserve">H.E. Dibble v Moore [1970] </w:t>
      </w:r>
      <w:r w:rsidR="000B616B" w:rsidRPr="00E360CE">
        <w:rPr>
          <w:rFonts w:ascii="Arial" w:hAnsi="Arial" w:cs="Arial"/>
          <w:color w:val="000000" w:themeColor="text1"/>
          <w:sz w:val="24"/>
          <w:szCs w:val="24"/>
        </w:rPr>
        <w:t>wh</w:t>
      </w:r>
      <w:r w:rsidR="003B579A" w:rsidRPr="00E360CE">
        <w:rPr>
          <w:rFonts w:ascii="Arial" w:hAnsi="Arial" w:cs="Arial"/>
          <w:color w:val="000000" w:themeColor="text1"/>
          <w:sz w:val="24"/>
          <w:szCs w:val="24"/>
        </w:rPr>
        <w:t xml:space="preserve">ere a greenhouse which had sunk by its own weight was </w:t>
      </w:r>
      <w:r w:rsidR="00F909D4" w:rsidRPr="00E360CE">
        <w:rPr>
          <w:rFonts w:ascii="Arial" w:hAnsi="Arial" w:cs="Arial"/>
          <w:color w:val="000000" w:themeColor="text1"/>
          <w:sz w:val="24"/>
          <w:szCs w:val="24"/>
        </w:rPr>
        <w:t xml:space="preserve">found to be a </w:t>
      </w:r>
      <w:r w:rsidR="003B579A" w:rsidRPr="00E360CE">
        <w:rPr>
          <w:rFonts w:ascii="Arial" w:hAnsi="Arial" w:cs="Arial"/>
          <w:color w:val="000000" w:themeColor="text1"/>
          <w:sz w:val="24"/>
          <w:szCs w:val="24"/>
        </w:rPr>
        <w:t>mere chattel as it was never intended to become ‘part and parcel’ of the land and did not satisfy the degree of annexation test (</w:t>
      </w:r>
      <w:r w:rsidR="00CA41A8" w:rsidRPr="00E360CE">
        <w:rPr>
          <w:rFonts w:ascii="Arial" w:hAnsi="Arial" w:cs="Arial"/>
          <w:color w:val="000000" w:themeColor="text1"/>
          <w:sz w:val="24"/>
          <w:szCs w:val="24"/>
        </w:rPr>
        <w:t>UK Parliament, 1997</w:t>
      </w:r>
      <w:r w:rsidR="003B579A" w:rsidRPr="00E360CE">
        <w:rPr>
          <w:rFonts w:ascii="Arial" w:hAnsi="Arial" w:cs="Arial"/>
          <w:color w:val="000000" w:themeColor="text1"/>
          <w:sz w:val="24"/>
          <w:szCs w:val="24"/>
        </w:rPr>
        <w:t xml:space="preserve">). </w:t>
      </w:r>
      <w:r w:rsidR="0066562C" w:rsidRPr="00E360CE">
        <w:rPr>
          <w:rFonts w:ascii="Arial" w:hAnsi="Arial" w:cs="Arial"/>
          <w:color w:val="000000" w:themeColor="text1"/>
          <w:sz w:val="24"/>
          <w:szCs w:val="24"/>
        </w:rPr>
        <w:t>However, this presumption can be rebutted as seen</w:t>
      </w:r>
      <w:r w:rsidR="00590C08">
        <w:rPr>
          <w:rFonts w:ascii="Arial" w:hAnsi="Arial" w:cs="Arial"/>
          <w:color w:val="000000" w:themeColor="text1"/>
          <w:sz w:val="24"/>
          <w:szCs w:val="24"/>
        </w:rPr>
        <w:t xml:space="preserve"> in</w:t>
      </w:r>
      <w:r w:rsidR="00556FE7" w:rsidRPr="00E360CE">
        <w:rPr>
          <w:rFonts w:ascii="Arial" w:hAnsi="Arial" w:cs="Arial"/>
          <w:i/>
          <w:iCs/>
          <w:color w:val="000000" w:themeColor="text1"/>
          <w:sz w:val="24"/>
          <w:szCs w:val="24"/>
        </w:rPr>
        <w:t xml:space="preserve"> Elitestone v Morris [1997] </w:t>
      </w:r>
      <w:r w:rsidR="00556FE7" w:rsidRPr="00E360CE">
        <w:rPr>
          <w:rFonts w:ascii="Arial" w:hAnsi="Arial" w:cs="Arial"/>
          <w:color w:val="000000" w:themeColor="text1"/>
          <w:sz w:val="24"/>
          <w:szCs w:val="24"/>
        </w:rPr>
        <w:t xml:space="preserve">where the application of both tests </w:t>
      </w:r>
      <w:r w:rsidR="00D11EBA" w:rsidRPr="00E360CE">
        <w:rPr>
          <w:rFonts w:ascii="Arial" w:hAnsi="Arial" w:cs="Arial"/>
          <w:color w:val="000000" w:themeColor="text1"/>
          <w:sz w:val="24"/>
          <w:szCs w:val="24"/>
        </w:rPr>
        <w:t xml:space="preserve">in conjunction with a more </w:t>
      </w:r>
      <w:r w:rsidR="00F02E0F" w:rsidRPr="00E360CE">
        <w:rPr>
          <w:rFonts w:ascii="Arial" w:hAnsi="Arial" w:cs="Arial"/>
          <w:color w:val="000000" w:themeColor="text1"/>
          <w:sz w:val="24"/>
          <w:szCs w:val="24"/>
        </w:rPr>
        <w:t xml:space="preserve">logical approach </w:t>
      </w:r>
      <w:r w:rsidR="00556FE7" w:rsidRPr="00E360CE">
        <w:rPr>
          <w:rFonts w:ascii="Arial" w:hAnsi="Arial" w:cs="Arial"/>
          <w:color w:val="000000" w:themeColor="text1"/>
          <w:sz w:val="24"/>
          <w:szCs w:val="24"/>
        </w:rPr>
        <w:t>resulted in</w:t>
      </w:r>
      <w:r w:rsidR="000E2469">
        <w:rPr>
          <w:rFonts w:ascii="Arial" w:hAnsi="Arial" w:cs="Arial"/>
          <w:color w:val="000000" w:themeColor="text1"/>
          <w:sz w:val="24"/>
          <w:szCs w:val="24"/>
        </w:rPr>
        <w:t xml:space="preserve"> an</w:t>
      </w:r>
      <w:r w:rsidR="00556FE7" w:rsidRPr="00E360CE">
        <w:rPr>
          <w:rFonts w:ascii="Arial" w:hAnsi="Arial" w:cs="Arial"/>
          <w:color w:val="000000" w:themeColor="text1"/>
          <w:sz w:val="24"/>
          <w:szCs w:val="24"/>
        </w:rPr>
        <w:t xml:space="preserve"> </w:t>
      </w:r>
      <w:r w:rsidR="0089362F" w:rsidRPr="00E360CE">
        <w:rPr>
          <w:rFonts w:ascii="Arial" w:hAnsi="Arial" w:cs="Arial"/>
          <w:color w:val="000000" w:themeColor="text1"/>
          <w:sz w:val="24"/>
          <w:szCs w:val="24"/>
        </w:rPr>
        <w:t xml:space="preserve">object becoming a fixture irrespective of the absence of annexation </w:t>
      </w:r>
      <w:r w:rsidR="00146CF4" w:rsidRPr="00E360CE">
        <w:rPr>
          <w:rFonts w:ascii="Arial" w:hAnsi="Arial" w:cs="Arial"/>
          <w:color w:val="000000" w:themeColor="text1"/>
          <w:sz w:val="24"/>
          <w:szCs w:val="24"/>
        </w:rPr>
        <w:t xml:space="preserve">by reason of its own weight (Sayles, 2020, </w:t>
      </w:r>
      <w:r w:rsidR="00146CF4" w:rsidRPr="00E360CE">
        <w:rPr>
          <w:rFonts w:ascii="Arial" w:hAnsi="Arial" w:cs="Arial"/>
          <w:color w:val="000000" w:themeColor="text1"/>
          <w:sz w:val="24"/>
          <w:szCs w:val="24"/>
        </w:rPr>
        <w:lastRenderedPageBreak/>
        <w:t>pp.7).</w:t>
      </w:r>
      <w:r w:rsidR="00C25FBD" w:rsidRPr="00E360CE">
        <w:rPr>
          <w:rFonts w:ascii="Arial" w:hAnsi="Arial" w:cs="Arial"/>
          <w:color w:val="000000" w:themeColor="text1"/>
          <w:sz w:val="24"/>
          <w:szCs w:val="24"/>
        </w:rPr>
        <w:t xml:space="preserve"> </w:t>
      </w:r>
      <w:r w:rsidR="005629C6" w:rsidRPr="00E360CE">
        <w:rPr>
          <w:rFonts w:ascii="Arial" w:hAnsi="Arial" w:cs="Arial"/>
          <w:color w:val="000000" w:themeColor="text1"/>
          <w:sz w:val="24"/>
          <w:szCs w:val="24"/>
        </w:rPr>
        <w:t xml:space="preserve">That said, </w:t>
      </w:r>
      <w:r w:rsidR="00417B0D" w:rsidRPr="00E360CE">
        <w:rPr>
          <w:rFonts w:ascii="Arial" w:hAnsi="Arial" w:cs="Arial"/>
          <w:color w:val="000000" w:themeColor="text1"/>
          <w:sz w:val="24"/>
          <w:szCs w:val="24"/>
        </w:rPr>
        <w:t xml:space="preserve">the purpose of annexation test </w:t>
      </w:r>
      <w:r w:rsidR="00633C85" w:rsidRPr="00E360CE">
        <w:rPr>
          <w:rFonts w:ascii="Arial" w:hAnsi="Arial" w:cs="Arial"/>
          <w:color w:val="000000" w:themeColor="text1"/>
          <w:sz w:val="24"/>
          <w:szCs w:val="24"/>
        </w:rPr>
        <w:t xml:space="preserve">has </w:t>
      </w:r>
      <w:r w:rsidR="00AD64EA" w:rsidRPr="00E360CE">
        <w:rPr>
          <w:rFonts w:ascii="Arial" w:hAnsi="Arial" w:cs="Arial"/>
          <w:color w:val="000000" w:themeColor="text1"/>
          <w:sz w:val="24"/>
          <w:szCs w:val="24"/>
        </w:rPr>
        <w:t xml:space="preserve">been </w:t>
      </w:r>
      <w:r w:rsidR="00382B4F" w:rsidRPr="00E360CE">
        <w:rPr>
          <w:rFonts w:ascii="Arial" w:hAnsi="Arial" w:cs="Arial"/>
          <w:color w:val="000000" w:themeColor="text1"/>
          <w:sz w:val="24"/>
          <w:szCs w:val="24"/>
        </w:rPr>
        <w:t xml:space="preserve">recognised as the </w:t>
      </w:r>
      <w:r w:rsidR="00633C85" w:rsidRPr="00E360CE">
        <w:rPr>
          <w:rFonts w:ascii="Arial" w:hAnsi="Arial" w:cs="Arial"/>
          <w:color w:val="000000" w:themeColor="text1"/>
          <w:sz w:val="24"/>
          <w:szCs w:val="24"/>
        </w:rPr>
        <w:t>more dominant</w:t>
      </w:r>
      <w:r w:rsidR="00AD64EA" w:rsidRPr="00E360CE">
        <w:rPr>
          <w:rFonts w:ascii="Arial" w:hAnsi="Arial" w:cs="Arial"/>
          <w:color w:val="000000" w:themeColor="text1"/>
          <w:sz w:val="24"/>
          <w:szCs w:val="24"/>
        </w:rPr>
        <w:t xml:space="preserve"> </w:t>
      </w:r>
      <w:r w:rsidR="00CD2A68" w:rsidRPr="00E360CE">
        <w:rPr>
          <w:rFonts w:ascii="Arial" w:hAnsi="Arial" w:cs="Arial"/>
          <w:color w:val="000000" w:themeColor="text1"/>
          <w:sz w:val="24"/>
          <w:szCs w:val="24"/>
        </w:rPr>
        <w:t xml:space="preserve">of the two. </w:t>
      </w:r>
      <w:r w:rsidR="004021AB" w:rsidRPr="00E360CE">
        <w:rPr>
          <w:rFonts w:ascii="Arial" w:hAnsi="Arial" w:cs="Arial"/>
          <w:color w:val="000000" w:themeColor="text1"/>
          <w:sz w:val="24"/>
          <w:szCs w:val="24"/>
        </w:rPr>
        <w:t>A</w:t>
      </w:r>
      <w:r w:rsidR="00CD2A68" w:rsidRPr="00E360CE">
        <w:rPr>
          <w:rFonts w:ascii="Arial" w:hAnsi="Arial" w:cs="Arial"/>
          <w:color w:val="000000" w:themeColor="text1"/>
          <w:sz w:val="24"/>
          <w:szCs w:val="24"/>
        </w:rPr>
        <w:t>s supported by the</w:t>
      </w:r>
      <w:r w:rsidR="004021AB" w:rsidRPr="00E360CE">
        <w:rPr>
          <w:rFonts w:ascii="Arial" w:hAnsi="Arial" w:cs="Arial"/>
          <w:color w:val="000000" w:themeColor="text1"/>
          <w:sz w:val="24"/>
          <w:szCs w:val="24"/>
        </w:rPr>
        <w:t xml:space="preserve"> judgement </w:t>
      </w:r>
      <w:r w:rsidR="0066562C" w:rsidRPr="00E360CE">
        <w:rPr>
          <w:rFonts w:ascii="Arial" w:hAnsi="Arial" w:cs="Arial"/>
          <w:color w:val="000000" w:themeColor="text1"/>
          <w:sz w:val="24"/>
          <w:szCs w:val="24"/>
        </w:rPr>
        <w:t xml:space="preserve">in </w:t>
      </w:r>
      <w:r w:rsidR="0066562C" w:rsidRPr="00E360CE">
        <w:rPr>
          <w:rFonts w:ascii="Arial" w:hAnsi="Arial" w:cs="Arial"/>
          <w:i/>
          <w:iCs/>
          <w:color w:val="000000" w:themeColor="text1"/>
          <w:sz w:val="24"/>
          <w:szCs w:val="24"/>
        </w:rPr>
        <w:t xml:space="preserve">Hamp v Bygrave [1982] </w:t>
      </w:r>
      <w:r w:rsidR="0066562C" w:rsidRPr="00E360CE">
        <w:rPr>
          <w:rFonts w:ascii="Arial" w:hAnsi="Arial" w:cs="Arial"/>
          <w:color w:val="000000" w:themeColor="text1"/>
          <w:sz w:val="24"/>
          <w:szCs w:val="24"/>
        </w:rPr>
        <w:t xml:space="preserve">where </w:t>
      </w:r>
      <w:r w:rsidR="00AF7618" w:rsidRPr="00E360CE">
        <w:rPr>
          <w:rFonts w:ascii="Arial" w:hAnsi="Arial" w:cs="Arial"/>
          <w:color w:val="000000" w:themeColor="text1"/>
          <w:sz w:val="24"/>
          <w:szCs w:val="24"/>
        </w:rPr>
        <w:t xml:space="preserve">the </w:t>
      </w:r>
      <w:r w:rsidR="0066562C" w:rsidRPr="00E360CE">
        <w:rPr>
          <w:rFonts w:ascii="Arial" w:hAnsi="Arial" w:cs="Arial"/>
          <w:color w:val="000000" w:themeColor="text1"/>
          <w:sz w:val="24"/>
          <w:szCs w:val="24"/>
        </w:rPr>
        <w:t>items were found to be fixtures despite the fact they rested solely on their own weight (Bray, 2016, pp.10-11).</w:t>
      </w:r>
      <w:r w:rsidR="00175CAB" w:rsidRPr="00E360CE">
        <w:rPr>
          <w:rFonts w:ascii="Arial" w:hAnsi="Arial" w:cs="Arial"/>
          <w:color w:val="000000" w:themeColor="text1"/>
          <w:sz w:val="24"/>
          <w:szCs w:val="24"/>
        </w:rPr>
        <w:t xml:space="preserve"> </w:t>
      </w:r>
    </w:p>
    <w:p w14:paraId="303A9F9E" w14:textId="77777777" w:rsidR="00B25BD0" w:rsidRPr="00E360CE" w:rsidRDefault="00B25BD0" w:rsidP="00790ACE">
      <w:pPr>
        <w:spacing w:line="480" w:lineRule="auto"/>
        <w:jc w:val="both"/>
        <w:rPr>
          <w:rFonts w:ascii="Arial" w:hAnsi="Arial" w:cs="Arial"/>
          <w:color w:val="000000" w:themeColor="text1"/>
          <w:sz w:val="24"/>
          <w:szCs w:val="24"/>
        </w:rPr>
      </w:pPr>
    </w:p>
    <w:p w14:paraId="3C428599" w14:textId="23A1C260" w:rsidR="00A21E53" w:rsidRPr="00E360CE" w:rsidRDefault="00B54E0A"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When considering the purpose of annexation as </w:t>
      </w:r>
      <w:r w:rsidR="00F86BEA" w:rsidRPr="00E360CE">
        <w:rPr>
          <w:rFonts w:ascii="Arial" w:hAnsi="Arial" w:cs="Arial"/>
          <w:color w:val="000000" w:themeColor="text1"/>
          <w:sz w:val="24"/>
          <w:szCs w:val="24"/>
        </w:rPr>
        <w:t xml:space="preserve">dominant it is important to note that the rustic seat </w:t>
      </w:r>
      <w:r w:rsidR="006759F6" w:rsidRPr="00E360CE">
        <w:rPr>
          <w:rFonts w:ascii="Arial" w:hAnsi="Arial" w:cs="Arial"/>
          <w:color w:val="000000" w:themeColor="text1"/>
          <w:sz w:val="24"/>
          <w:szCs w:val="24"/>
        </w:rPr>
        <w:t xml:space="preserve">dwells within a landscaped </w:t>
      </w:r>
      <w:r w:rsidR="00E92820" w:rsidRPr="00E360CE">
        <w:rPr>
          <w:rFonts w:ascii="Arial" w:hAnsi="Arial" w:cs="Arial"/>
          <w:color w:val="000000" w:themeColor="text1"/>
          <w:sz w:val="24"/>
          <w:szCs w:val="24"/>
        </w:rPr>
        <w:t xml:space="preserve">‘cottage garden’ style area. </w:t>
      </w:r>
      <w:r w:rsidR="007121A0" w:rsidRPr="00E360CE">
        <w:rPr>
          <w:rFonts w:ascii="Arial" w:hAnsi="Arial" w:cs="Arial"/>
          <w:color w:val="000000" w:themeColor="text1"/>
          <w:sz w:val="24"/>
          <w:szCs w:val="24"/>
        </w:rPr>
        <w:t xml:space="preserve">This proves fundamental </w:t>
      </w:r>
      <w:r w:rsidR="00C3297D" w:rsidRPr="00E360CE">
        <w:rPr>
          <w:rFonts w:ascii="Arial" w:hAnsi="Arial" w:cs="Arial"/>
          <w:color w:val="000000" w:themeColor="text1"/>
          <w:sz w:val="24"/>
          <w:szCs w:val="24"/>
        </w:rPr>
        <w:t xml:space="preserve">in determining whether Amy and Bob are in fact permitted to remove the seat. </w:t>
      </w:r>
    </w:p>
    <w:p w14:paraId="4DEEB053" w14:textId="5119BB6E" w:rsidR="00AE358B" w:rsidRPr="00E360CE" w:rsidRDefault="00995CB0" w:rsidP="00790ACE">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In </w:t>
      </w:r>
      <w:r w:rsidR="004D3533" w:rsidRPr="00E360CE">
        <w:rPr>
          <w:rFonts w:ascii="Arial" w:hAnsi="Arial" w:cs="Arial"/>
          <w:i/>
          <w:iCs/>
          <w:color w:val="000000" w:themeColor="text1"/>
          <w:sz w:val="24"/>
          <w:szCs w:val="24"/>
        </w:rPr>
        <w:t>D’Eyncourt v Gregory [1866]</w:t>
      </w:r>
      <w:r w:rsidR="00F41806" w:rsidRPr="00E360CE">
        <w:rPr>
          <w:rFonts w:ascii="Arial" w:hAnsi="Arial" w:cs="Arial"/>
          <w:i/>
          <w:iCs/>
          <w:color w:val="000000" w:themeColor="text1"/>
          <w:sz w:val="24"/>
          <w:szCs w:val="24"/>
        </w:rPr>
        <w:t xml:space="preserve"> </w:t>
      </w:r>
      <w:r w:rsidR="007624A8" w:rsidRPr="00E360CE">
        <w:rPr>
          <w:rFonts w:ascii="Arial" w:hAnsi="Arial" w:cs="Arial"/>
          <w:color w:val="000000" w:themeColor="text1"/>
          <w:sz w:val="24"/>
          <w:szCs w:val="24"/>
        </w:rPr>
        <w:t xml:space="preserve">despite </w:t>
      </w:r>
      <w:r w:rsidR="002C7A7F" w:rsidRPr="00E360CE">
        <w:rPr>
          <w:rFonts w:ascii="Arial" w:hAnsi="Arial" w:cs="Arial"/>
          <w:color w:val="000000" w:themeColor="text1"/>
          <w:sz w:val="24"/>
          <w:szCs w:val="24"/>
        </w:rPr>
        <w:t xml:space="preserve">the </w:t>
      </w:r>
      <w:r w:rsidR="007624A8" w:rsidRPr="00E360CE">
        <w:rPr>
          <w:rFonts w:ascii="Arial" w:hAnsi="Arial" w:cs="Arial"/>
          <w:color w:val="000000" w:themeColor="text1"/>
          <w:sz w:val="24"/>
          <w:szCs w:val="24"/>
        </w:rPr>
        <w:t xml:space="preserve">objects </w:t>
      </w:r>
      <w:r w:rsidR="002C7A7F" w:rsidRPr="00E360CE">
        <w:rPr>
          <w:rFonts w:ascii="Arial" w:hAnsi="Arial" w:cs="Arial"/>
          <w:color w:val="000000" w:themeColor="text1"/>
          <w:sz w:val="24"/>
          <w:szCs w:val="24"/>
        </w:rPr>
        <w:t xml:space="preserve">resting on their own weight </w:t>
      </w:r>
      <w:r w:rsidR="00AD36A2" w:rsidRPr="00E360CE">
        <w:rPr>
          <w:rFonts w:ascii="Arial" w:hAnsi="Arial" w:cs="Arial"/>
          <w:color w:val="000000" w:themeColor="text1"/>
          <w:sz w:val="24"/>
          <w:szCs w:val="24"/>
        </w:rPr>
        <w:t xml:space="preserve">what proved crucial </w:t>
      </w:r>
      <w:r w:rsidR="00AC6570" w:rsidRPr="00E360CE">
        <w:rPr>
          <w:rFonts w:ascii="Arial" w:hAnsi="Arial" w:cs="Arial"/>
          <w:color w:val="000000" w:themeColor="text1"/>
          <w:sz w:val="24"/>
          <w:szCs w:val="24"/>
        </w:rPr>
        <w:t xml:space="preserve">was the </w:t>
      </w:r>
      <w:r w:rsidR="007836B1" w:rsidRPr="00E360CE">
        <w:rPr>
          <w:rFonts w:ascii="Arial" w:hAnsi="Arial" w:cs="Arial"/>
          <w:color w:val="000000" w:themeColor="text1"/>
          <w:sz w:val="24"/>
          <w:szCs w:val="24"/>
        </w:rPr>
        <w:t xml:space="preserve">strategic positioning of the items as they formed </w:t>
      </w:r>
      <w:r w:rsidR="0026424E" w:rsidRPr="00E360CE">
        <w:rPr>
          <w:rFonts w:ascii="Arial" w:hAnsi="Arial" w:cs="Arial"/>
          <w:color w:val="000000" w:themeColor="text1"/>
          <w:sz w:val="24"/>
          <w:szCs w:val="24"/>
        </w:rPr>
        <w:t xml:space="preserve">an integral </w:t>
      </w:r>
      <w:r w:rsidR="007836B1" w:rsidRPr="00E360CE">
        <w:rPr>
          <w:rFonts w:ascii="Arial" w:hAnsi="Arial" w:cs="Arial"/>
          <w:color w:val="000000" w:themeColor="text1"/>
          <w:sz w:val="24"/>
          <w:szCs w:val="24"/>
        </w:rPr>
        <w:t xml:space="preserve">part of </w:t>
      </w:r>
      <w:r w:rsidR="000B7565" w:rsidRPr="00E360CE">
        <w:rPr>
          <w:rFonts w:ascii="Arial" w:hAnsi="Arial" w:cs="Arial"/>
          <w:color w:val="000000" w:themeColor="text1"/>
          <w:sz w:val="24"/>
          <w:szCs w:val="24"/>
        </w:rPr>
        <w:t>the architectural design of the property</w:t>
      </w:r>
      <w:r w:rsidR="008A30FB" w:rsidRPr="00E360CE">
        <w:rPr>
          <w:rFonts w:ascii="Arial" w:hAnsi="Arial" w:cs="Arial"/>
          <w:color w:val="000000" w:themeColor="text1"/>
          <w:sz w:val="24"/>
          <w:szCs w:val="24"/>
        </w:rPr>
        <w:t xml:space="preserve">, reiterated in </w:t>
      </w:r>
      <w:r w:rsidR="00BE21F8" w:rsidRPr="00E360CE">
        <w:rPr>
          <w:rFonts w:ascii="Arial" w:hAnsi="Arial" w:cs="Arial"/>
          <w:i/>
          <w:iCs/>
          <w:color w:val="000000" w:themeColor="text1"/>
          <w:sz w:val="24"/>
          <w:szCs w:val="24"/>
        </w:rPr>
        <w:t>Re Whaley [1908]</w:t>
      </w:r>
      <w:r w:rsidR="009737CB" w:rsidRPr="00E360CE">
        <w:rPr>
          <w:rFonts w:ascii="Arial" w:hAnsi="Arial" w:cs="Arial"/>
          <w:color w:val="000000" w:themeColor="text1"/>
          <w:sz w:val="24"/>
          <w:szCs w:val="24"/>
        </w:rPr>
        <w:t xml:space="preserve"> (Gray and Gray, 2011, pp.</w:t>
      </w:r>
      <w:r w:rsidR="005F7443" w:rsidRPr="00E360CE">
        <w:rPr>
          <w:rFonts w:ascii="Arial" w:hAnsi="Arial" w:cs="Arial"/>
          <w:color w:val="000000" w:themeColor="text1"/>
          <w:sz w:val="24"/>
          <w:szCs w:val="24"/>
        </w:rPr>
        <w:t>12</w:t>
      </w:r>
      <w:r w:rsidR="009737CB" w:rsidRPr="00E360CE">
        <w:rPr>
          <w:rFonts w:ascii="Arial" w:hAnsi="Arial" w:cs="Arial"/>
          <w:color w:val="000000" w:themeColor="text1"/>
          <w:sz w:val="24"/>
          <w:szCs w:val="24"/>
        </w:rPr>
        <w:t>)</w:t>
      </w:r>
      <w:r w:rsidR="000B7565" w:rsidRPr="00E360CE">
        <w:rPr>
          <w:rFonts w:ascii="Arial" w:hAnsi="Arial" w:cs="Arial"/>
          <w:color w:val="000000" w:themeColor="text1"/>
          <w:sz w:val="24"/>
          <w:szCs w:val="24"/>
        </w:rPr>
        <w:t xml:space="preserve">. </w:t>
      </w:r>
      <w:r w:rsidR="00A172D3" w:rsidRPr="00E360CE">
        <w:rPr>
          <w:rFonts w:ascii="Arial" w:hAnsi="Arial" w:cs="Arial"/>
          <w:color w:val="000000" w:themeColor="text1"/>
          <w:sz w:val="24"/>
          <w:szCs w:val="24"/>
        </w:rPr>
        <w:t xml:space="preserve">Unlike </w:t>
      </w:r>
      <w:r w:rsidR="00A172D3" w:rsidRPr="00E360CE">
        <w:rPr>
          <w:rFonts w:ascii="Arial" w:hAnsi="Arial" w:cs="Arial"/>
          <w:i/>
          <w:iCs/>
          <w:color w:val="000000" w:themeColor="text1"/>
          <w:sz w:val="24"/>
          <w:szCs w:val="24"/>
        </w:rPr>
        <w:t>Berk</w:t>
      </w:r>
      <w:r w:rsidR="00303203" w:rsidRPr="00E360CE">
        <w:rPr>
          <w:rFonts w:ascii="Arial" w:hAnsi="Arial" w:cs="Arial"/>
          <w:i/>
          <w:iCs/>
          <w:color w:val="000000" w:themeColor="text1"/>
          <w:sz w:val="24"/>
          <w:szCs w:val="24"/>
        </w:rPr>
        <w:t>l</w:t>
      </w:r>
      <w:r w:rsidR="00A172D3" w:rsidRPr="00E360CE">
        <w:rPr>
          <w:rFonts w:ascii="Arial" w:hAnsi="Arial" w:cs="Arial"/>
          <w:i/>
          <w:iCs/>
          <w:color w:val="000000" w:themeColor="text1"/>
          <w:sz w:val="24"/>
          <w:szCs w:val="24"/>
        </w:rPr>
        <w:t>ey v Poulet [</w:t>
      </w:r>
      <w:r w:rsidR="00186B64" w:rsidRPr="00E360CE">
        <w:rPr>
          <w:rFonts w:ascii="Arial" w:hAnsi="Arial" w:cs="Arial"/>
          <w:i/>
          <w:iCs/>
          <w:color w:val="000000" w:themeColor="text1"/>
          <w:sz w:val="24"/>
          <w:szCs w:val="24"/>
        </w:rPr>
        <w:t xml:space="preserve">1976] </w:t>
      </w:r>
      <w:r w:rsidR="00FA1B5B" w:rsidRPr="00E360CE">
        <w:rPr>
          <w:rFonts w:ascii="Arial" w:hAnsi="Arial" w:cs="Arial"/>
          <w:color w:val="000000" w:themeColor="text1"/>
          <w:sz w:val="24"/>
          <w:szCs w:val="24"/>
        </w:rPr>
        <w:t xml:space="preserve">where the statue </w:t>
      </w:r>
      <w:r w:rsidR="00055D3F" w:rsidRPr="00E360CE">
        <w:rPr>
          <w:rFonts w:ascii="Arial" w:hAnsi="Arial" w:cs="Arial"/>
          <w:color w:val="000000" w:themeColor="text1"/>
          <w:sz w:val="24"/>
          <w:szCs w:val="24"/>
        </w:rPr>
        <w:t xml:space="preserve">despite its weight was held to be a fitting as it did not form part of the </w:t>
      </w:r>
      <w:r w:rsidR="00BE65AA" w:rsidRPr="00E360CE">
        <w:rPr>
          <w:rFonts w:ascii="Arial" w:hAnsi="Arial" w:cs="Arial"/>
          <w:color w:val="000000" w:themeColor="text1"/>
          <w:sz w:val="24"/>
          <w:szCs w:val="24"/>
        </w:rPr>
        <w:t>‘</w:t>
      </w:r>
      <w:r w:rsidR="00055D3F" w:rsidRPr="00E360CE">
        <w:rPr>
          <w:rFonts w:ascii="Arial" w:hAnsi="Arial" w:cs="Arial"/>
          <w:color w:val="000000" w:themeColor="text1"/>
          <w:sz w:val="24"/>
          <w:szCs w:val="24"/>
        </w:rPr>
        <w:t>architectural scheme</w:t>
      </w:r>
      <w:r w:rsidR="00BE65AA" w:rsidRPr="00E360CE">
        <w:rPr>
          <w:rFonts w:ascii="Arial" w:hAnsi="Arial" w:cs="Arial"/>
          <w:color w:val="000000" w:themeColor="text1"/>
          <w:sz w:val="24"/>
          <w:szCs w:val="24"/>
        </w:rPr>
        <w:t>’</w:t>
      </w:r>
      <w:r w:rsidR="00055D3F" w:rsidRPr="00E360CE">
        <w:rPr>
          <w:rFonts w:ascii="Arial" w:hAnsi="Arial" w:cs="Arial"/>
          <w:color w:val="000000" w:themeColor="text1"/>
          <w:sz w:val="24"/>
          <w:szCs w:val="24"/>
        </w:rPr>
        <w:t xml:space="preserve"> of the garden</w:t>
      </w:r>
      <w:r w:rsidR="00AC50D1" w:rsidRPr="00E360CE">
        <w:rPr>
          <w:rFonts w:ascii="Arial" w:hAnsi="Arial" w:cs="Arial"/>
          <w:color w:val="000000" w:themeColor="text1"/>
          <w:sz w:val="24"/>
          <w:szCs w:val="24"/>
        </w:rPr>
        <w:t xml:space="preserve"> </w:t>
      </w:r>
      <w:r w:rsidR="003E144F">
        <w:rPr>
          <w:rFonts w:ascii="Arial" w:hAnsi="Arial" w:cs="Arial"/>
          <w:color w:val="000000" w:themeColor="text1"/>
          <w:sz w:val="24"/>
          <w:szCs w:val="24"/>
        </w:rPr>
        <w:t>(</w:t>
      </w:r>
      <w:r w:rsidR="005E702A">
        <w:rPr>
          <w:rFonts w:ascii="Arial" w:hAnsi="Arial" w:cs="Arial"/>
          <w:color w:val="000000" w:themeColor="text1"/>
          <w:sz w:val="24"/>
          <w:szCs w:val="24"/>
        </w:rPr>
        <w:t>Clarke</w:t>
      </w:r>
      <w:r w:rsidR="006619BE">
        <w:rPr>
          <w:rFonts w:ascii="Arial" w:hAnsi="Arial" w:cs="Arial"/>
          <w:color w:val="000000" w:themeColor="text1"/>
          <w:sz w:val="24"/>
          <w:szCs w:val="24"/>
        </w:rPr>
        <w:t xml:space="preserve"> and Greer, </w:t>
      </w:r>
      <w:r w:rsidR="003E144F">
        <w:rPr>
          <w:rFonts w:ascii="Arial" w:hAnsi="Arial" w:cs="Arial"/>
          <w:color w:val="000000" w:themeColor="text1"/>
          <w:sz w:val="24"/>
          <w:szCs w:val="24"/>
        </w:rPr>
        <w:t>2020</w:t>
      </w:r>
      <w:r w:rsidR="006619BE">
        <w:rPr>
          <w:rFonts w:ascii="Arial" w:hAnsi="Arial" w:cs="Arial"/>
          <w:color w:val="000000" w:themeColor="text1"/>
          <w:sz w:val="24"/>
          <w:szCs w:val="24"/>
        </w:rPr>
        <w:t>, pp.12</w:t>
      </w:r>
      <w:r w:rsidR="00AC50D1" w:rsidRPr="00E360CE">
        <w:rPr>
          <w:rFonts w:ascii="Arial" w:hAnsi="Arial" w:cs="Arial"/>
          <w:color w:val="000000" w:themeColor="text1"/>
          <w:sz w:val="24"/>
          <w:szCs w:val="24"/>
        </w:rPr>
        <w:t>).</w:t>
      </w:r>
      <w:r w:rsidR="00167145" w:rsidRPr="00E360CE">
        <w:rPr>
          <w:rFonts w:ascii="Arial" w:hAnsi="Arial" w:cs="Arial"/>
          <w:color w:val="000000" w:themeColor="text1"/>
          <w:sz w:val="24"/>
          <w:szCs w:val="24"/>
        </w:rPr>
        <w:t xml:space="preserve"> </w:t>
      </w:r>
      <w:r w:rsidR="00EA3BF7" w:rsidRPr="00E360CE">
        <w:rPr>
          <w:rFonts w:ascii="Arial" w:hAnsi="Arial" w:cs="Arial"/>
          <w:color w:val="000000" w:themeColor="text1"/>
          <w:sz w:val="24"/>
          <w:szCs w:val="24"/>
        </w:rPr>
        <w:t xml:space="preserve">When offering </w:t>
      </w:r>
      <w:r w:rsidR="00AC50D1" w:rsidRPr="00E360CE">
        <w:rPr>
          <w:rFonts w:ascii="Arial" w:hAnsi="Arial" w:cs="Arial"/>
          <w:color w:val="000000" w:themeColor="text1"/>
          <w:sz w:val="24"/>
          <w:szCs w:val="24"/>
        </w:rPr>
        <w:t xml:space="preserve">confirmation to Selina </w:t>
      </w:r>
      <w:r w:rsidR="0094227A" w:rsidRPr="00E360CE">
        <w:rPr>
          <w:rFonts w:ascii="Arial" w:hAnsi="Arial" w:cs="Arial"/>
          <w:color w:val="000000" w:themeColor="text1"/>
          <w:sz w:val="24"/>
          <w:szCs w:val="24"/>
        </w:rPr>
        <w:t>with reference to case law, it can be concluded that the rustic seat forms part of a landscaped area</w:t>
      </w:r>
      <w:r w:rsidR="00C1397B">
        <w:rPr>
          <w:rFonts w:ascii="Arial" w:hAnsi="Arial" w:cs="Arial"/>
          <w:color w:val="000000" w:themeColor="text1"/>
          <w:sz w:val="24"/>
          <w:szCs w:val="24"/>
        </w:rPr>
        <w:t>,</w:t>
      </w:r>
      <w:r w:rsidR="00E96DAF" w:rsidRPr="00E360CE">
        <w:rPr>
          <w:rFonts w:ascii="Arial" w:hAnsi="Arial" w:cs="Arial"/>
          <w:color w:val="000000" w:themeColor="text1"/>
          <w:sz w:val="24"/>
          <w:szCs w:val="24"/>
        </w:rPr>
        <w:t xml:space="preserve"> subsequently becoming a fixtur</w:t>
      </w:r>
      <w:r w:rsidR="00381481" w:rsidRPr="00E360CE">
        <w:rPr>
          <w:rFonts w:ascii="Arial" w:hAnsi="Arial" w:cs="Arial"/>
          <w:color w:val="000000" w:themeColor="text1"/>
          <w:sz w:val="24"/>
          <w:szCs w:val="24"/>
        </w:rPr>
        <w:t>e to be included within the sale of the land.</w:t>
      </w:r>
    </w:p>
    <w:p w14:paraId="08172553" w14:textId="77777777" w:rsidR="009857FA" w:rsidRPr="00E360CE" w:rsidRDefault="009857FA" w:rsidP="00271B24">
      <w:pPr>
        <w:spacing w:line="480" w:lineRule="auto"/>
        <w:rPr>
          <w:rFonts w:ascii="Arial" w:hAnsi="Arial" w:cs="Arial"/>
          <w:color w:val="000000" w:themeColor="text1"/>
          <w:sz w:val="24"/>
          <w:szCs w:val="24"/>
        </w:rPr>
      </w:pPr>
    </w:p>
    <w:p w14:paraId="33160E59" w14:textId="7BF80C2F" w:rsidR="0084202D" w:rsidRPr="00E360CE" w:rsidRDefault="00296BE8" w:rsidP="00C8562D">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This</w:t>
      </w:r>
      <w:r w:rsidR="000A6DD6" w:rsidRPr="00E360CE">
        <w:rPr>
          <w:rFonts w:ascii="Arial" w:hAnsi="Arial" w:cs="Arial"/>
          <w:color w:val="000000" w:themeColor="text1"/>
          <w:sz w:val="24"/>
          <w:szCs w:val="24"/>
        </w:rPr>
        <w:t xml:space="preserve"> </w:t>
      </w:r>
      <w:r w:rsidR="00514A74" w:rsidRPr="00E360CE">
        <w:rPr>
          <w:rFonts w:ascii="Arial" w:hAnsi="Arial" w:cs="Arial"/>
          <w:color w:val="000000" w:themeColor="text1"/>
          <w:sz w:val="24"/>
          <w:szCs w:val="24"/>
        </w:rPr>
        <w:t xml:space="preserve">conclusion </w:t>
      </w:r>
      <w:r w:rsidR="000A6DD6" w:rsidRPr="00E360CE">
        <w:rPr>
          <w:rFonts w:ascii="Arial" w:hAnsi="Arial" w:cs="Arial"/>
          <w:color w:val="000000" w:themeColor="text1"/>
          <w:sz w:val="24"/>
          <w:szCs w:val="24"/>
        </w:rPr>
        <w:t xml:space="preserve">can also </w:t>
      </w:r>
      <w:r w:rsidR="00514A74" w:rsidRPr="00E360CE">
        <w:rPr>
          <w:rFonts w:ascii="Arial" w:hAnsi="Arial" w:cs="Arial"/>
          <w:color w:val="000000" w:themeColor="text1"/>
          <w:sz w:val="24"/>
          <w:szCs w:val="24"/>
        </w:rPr>
        <w:t>be drawn w</w:t>
      </w:r>
      <w:r w:rsidR="003905C0" w:rsidRPr="00E360CE">
        <w:rPr>
          <w:rFonts w:ascii="Arial" w:hAnsi="Arial" w:cs="Arial"/>
          <w:color w:val="000000" w:themeColor="text1"/>
          <w:sz w:val="24"/>
          <w:szCs w:val="24"/>
        </w:rPr>
        <w:t>hen</w:t>
      </w:r>
      <w:r w:rsidR="00514A74" w:rsidRPr="00E360CE">
        <w:rPr>
          <w:rFonts w:ascii="Arial" w:hAnsi="Arial" w:cs="Arial"/>
          <w:color w:val="000000" w:themeColor="text1"/>
          <w:sz w:val="24"/>
          <w:szCs w:val="24"/>
        </w:rPr>
        <w:t xml:space="preserve"> regard</w:t>
      </w:r>
      <w:r w:rsidR="003905C0" w:rsidRPr="00E360CE">
        <w:rPr>
          <w:rFonts w:ascii="Arial" w:hAnsi="Arial" w:cs="Arial"/>
          <w:color w:val="000000" w:themeColor="text1"/>
          <w:sz w:val="24"/>
          <w:szCs w:val="24"/>
        </w:rPr>
        <w:t>ing</w:t>
      </w:r>
      <w:r w:rsidR="00514A74" w:rsidRPr="00E360CE">
        <w:rPr>
          <w:rFonts w:ascii="Arial" w:hAnsi="Arial" w:cs="Arial"/>
          <w:color w:val="000000" w:themeColor="text1"/>
          <w:sz w:val="24"/>
          <w:szCs w:val="24"/>
        </w:rPr>
        <w:t xml:space="preserve"> the </w:t>
      </w:r>
      <w:r w:rsidR="000A6DD6" w:rsidRPr="00E360CE">
        <w:rPr>
          <w:rFonts w:ascii="Arial" w:hAnsi="Arial" w:cs="Arial"/>
          <w:color w:val="000000" w:themeColor="text1"/>
          <w:sz w:val="24"/>
          <w:szCs w:val="24"/>
        </w:rPr>
        <w:t>matching summerhouse</w:t>
      </w:r>
      <w:r w:rsidR="003905C0" w:rsidRPr="00E360CE">
        <w:rPr>
          <w:rFonts w:ascii="Arial" w:hAnsi="Arial" w:cs="Arial"/>
          <w:color w:val="000000" w:themeColor="text1"/>
          <w:sz w:val="24"/>
          <w:szCs w:val="24"/>
        </w:rPr>
        <w:t xml:space="preserve"> as it </w:t>
      </w:r>
      <w:r w:rsidR="0076176D" w:rsidRPr="00E360CE">
        <w:rPr>
          <w:rFonts w:ascii="Arial" w:hAnsi="Arial" w:cs="Arial"/>
          <w:color w:val="000000" w:themeColor="text1"/>
          <w:sz w:val="24"/>
          <w:szCs w:val="24"/>
        </w:rPr>
        <w:t xml:space="preserve">is also an integral part of the landscaped </w:t>
      </w:r>
      <w:r w:rsidR="00530A37" w:rsidRPr="00E360CE">
        <w:rPr>
          <w:rFonts w:ascii="Arial" w:hAnsi="Arial" w:cs="Arial"/>
          <w:color w:val="000000" w:themeColor="text1"/>
          <w:sz w:val="24"/>
          <w:szCs w:val="24"/>
        </w:rPr>
        <w:t xml:space="preserve">garden. </w:t>
      </w:r>
      <w:r w:rsidR="006C360B" w:rsidRPr="00E360CE">
        <w:rPr>
          <w:rFonts w:ascii="Arial" w:hAnsi="Arial" w:cs="Arial"/>
          <w:color w:val="000000" w:themeColor="text1"/>
          <w:sz w:val="24"/>
          <w:szCs w:val="24"/>
        </w:rPr>
        <w:t xml:space="preserve">Where </w:t>
      </w:r>
      <w:r w:rsidR="00230D42" w:rsidRPr="00E360CE">
        <w:rPr>
          <w:rFonts w:ascii="Arial" w:hAnsi="Arial" w:cs="Arial"/>
          <w:color w:val="000000" w:themeColor="text1"/>
          <w:sz w:val="24"/>
          <w:szCs w:val="24"/>
        </w:rPr>
        <w:t xml:space="preserve">an item not </w:t>
      </w:r>
      <w:r w:rsidR="00FC4EC9" w:rsidRPr="00E360CE">
        <w:rPr>
          <w:rFonts w:ascii="Arial" w:hAnsi="Arial" w:cs="Arial"/>
          <w:color w:val="000000" w:themeColor="text1"/>
          <w:sz w:val="24"/>
          <w:szCs w:val="24"/>
        </w:rPr>
        <w:t>affixed to the ground c</w:t>
      </w:r>
      <w:r w:rsidR="009714A6" w:rsidRPr="00E360CE">
        <w:rPr>
          <w:rFonts w:ascii="Arial" w:hAnsi="Arial" w:cs="Arial"/>
          <w:color w:val="000000" w:themeColor="text1"/>
          <w:sz w:val="24"/>
          <w:szCs w:val="24"/>
        </w:rPr>
        <w:t>ould be regarded as being</w:t>
      </w:r>
      <w:r w:rsidR="008B53D8" w:rsidRPr="00E360CE">
        <w:rPr>
          <w:rFonts w:ascii="Arial" w:hAnsi="Arial" w:cs="Arial"/>
          <w:color w:val="000000" w:themeColor="text1"/>
          <w:sz w:val="24"/>
          <w:szCs w:val="24"/>
        </w:rPr>
        <w:t xml:space="preserve"> a permanent improvement of the land </w:t>
      </w:r>
      <w:r w:rsidR="00221501" w:rsidRPr="00E360CE">
        <w:rPr>
          <w:rFonts w:ascii="Arial" w:hAnsi="Arial" w:cs="Arial"/>
          <w:color w:val="000000" w:themeColor="text1"/>
          <w:sz w:val="24"/>
          <w:szCs w:val="24"/>
        </w:rPr>
        <w:t xml:space="preserve">it </w:t>
      </w:r>
      <w:r w:rsidR="00425A37" w:rsidRPr="00E360CE">
        <w:rPr>
          <w:rFonts w:ascii="Arial" w:hAnsi="Arial" w:cs="Arial"/>
          <w:color w:val="000000" w:themeColor="text1"/>
          <w:sz w:val="24"/>
          <w:szCs w:val="24"/>
        </w:rPr>
        <w:t xml:space="preserve">may </w:t>
      </w:r>
      <w:r w:rsidR="00221501" w:rsidRPr="00E360CE">
        <w:rPr>
          <w:rFonts w:ascii="Arial" w:hAnsi="Arial" w:cs="Arial"/>
          <w:color w:val="000000" w:themeColor="text1"/>
          <w:sz w:val="24"/>
          <w:szCs w:val="24"/>
        </w:rPr>
        <w:t>be defined as a fixture</w:t>
      </w:r>
      <w:r w:rsidR="00C5283C" w:rsidRPr="00E360CE">
        <w:rPr>
          <w:rFonts w:ascii="Arial" w:hAnsi="Arial" w:cs="Arial"/>
          <w:color w:val="000000" w:themeColor="text1"/>
          <w:sz w:val="24"/>
          <w:szCs w:val="24"/>
        </w:rPr>
        <w:t xml:space="preserve"> (Jourdan, 2015, pp.7).</w:t>
      </w:r>
      <w:r w:rsidR="00425A37" w:rsidRPr="00E360CE">
        <w:rPr>
          <w:rFonts w:ascii="Arial" w:hAnsi="Arial" w:cs="Arial"/>
          <w:color w:val="000000" w:themeColor="text1"/>
          <w:sz w:val="24"/>
          <w:szCs w:val="24"/>
        </w:rPr>
        <w:t xml:space="preserve"> </w:t>
      </w:r>
      <w:r w:rsidR="00530A37" w:rsidRPr="00E360CE">
        <w:rPr>
          <w:rFonts w:ascii="Arial" w:hAnsi="Arial" w:cs="Arial"/>
          <w:color w:val="000000" w:themeColor="text1"/>
          <w:sz w:val="24"/>
          <w:szCs w:val="24"/>
        </w:rPr>
        <w:t>It is however important to note that regardless of its position</w:t>
      </w:r>
      <w:r w:rsidR="00FD7A12" w:rsidRPr="00E360CE">
        <w:rPr>
          <w:rFonts w:ascii="Arial" w:hAnsi="Arial" w:cs="Arial"/>
          <w:color w:val="000000" w:themeColor="text1"/>
          <w:sz w:val="24"/>
          <w:szCs w:val="24"/>
        </w:rPr>
        <w:t>,</w:t>
      </w:r>
      <w:r w:rsidR="00530A37" w:rsidRPr="00E360CE">
        <w:rPr>
          <w:rFonts w:ascii="Arial" w:hAnsi="Arial" w:cs="Arial"/>
          <w:color w:val="000000" w:themeColor="text1"/>
          <w:sz w:val="24"/>
          <w:szCs w:val="24"/>
        </w:rPr>
        <w:t xml:space="preserve"> </w:t>
      </w:r>
      <w:r w:rsidR="009A5E33" w:rsidRPr="00E360CE">
        <w:rPr>
          <w:rFonts w:ascii="Arial" w:hAnsi="Arial" w:cs="Arial"/>
          <w:color w:val="000000" w:themeColor="text1"/>
          <w:sz w:val="24"/>
          <w:szCs w:val="24"/>
        </w:rPr>
        <w:lastRenderedPageBreak/>
        <w:t xml:space="preserve">the summerhouse </w:t>
      </w:r>
      <w:r w:rsidR="00FD7A12" w:rsidRPr="00E360CE">
        <w:rPr>
          <w:rFonts w:ascii="Arial" w:hAnsi="Arial" w:cs="Arial"/>
          <w:color w:val="000000" w:themeColor="text1"/>
          <w:sz w:val="24"/>
          <w:szCs w:val="24"/>
        </w:rPr>
        <w:t xml:space="preserve">is anchored by bolts </w:t>
      </w:r>
      <w:r w:rsidR="00DF12E1" w:rsidRPr="00E360CE">
        <w:rPr>
          <w:rFonts w:ascii="Arial" w:hAnsi="Arial" w:cs="Arial"/>
          <w:color w:val="000000" w:themeColor="text1"/>
          <w:sz w:val="24"/>
          <w:szCs w:val="24"/>
        </w:rPr>
        <w:t xml:space="preserve">onto a concrete base which on application of the degree of annexation test </w:t>
      </w:r>
      <w:r w:rsidR="008B19B9" w:rsidRPr="00E360CE">
        <w:rPr>
          <w:rFonts w:ascii="Arial" w:hAnsi="Arial" w:cs="Arial"/>
          <w:color w:val="000000" w:themeColor="text1"/>
          <w:sz w:val="24"/>
          <w:szCs w:val="24"/>
        </w:rPr>
        <w:t>and reminis</w:t>
      </w:r>
      <w:r w:rsidR="006064B9">
        <w:rPr>
          <w:rFonts w:ascii="Arial" w:hAnsi="Arial" w:cs="Arial"/>
          <w:color w:val="000000" w:themeColor="text1"/>
          <w:sz w:val="24"/>
          <w:szCs w:val="24"/>
        </w:rPr>
        <w:t>ce</w:t>
      </w:r>
      <w:r w:rsidR="008B19B9" w:rsidRPr="00E360CE">
        <w:rPr>
          <w:rFonts w:ascii="Arial" w:hAnsi="Arial" w:cs="Arial"/>
          <w:color w:val="000000" w:themeColor="text1"/>
          <w:sz w:val="24"/>
          <w:szCs w:val="24"/>
        </w:rPr>
        <w:t xml:space="preserve">nt </w:t>
      </w:r>
      <w:r w:rsidR="00930FB2" w:rsidRPr="00E360CE">
        <w:rPr>
          <w:rFonts w:ascii="Arial" w:hAnsi="Arial" w:cs="Arial"/>
          <w:color w:val="000000" w:themeColor="text1"/>
          <w:sz w:val="24"/>
          <w:szCs w:val="24"/>
        </w:rPr>
        <w:t xml:space="preserve">to </w:t>
      </w:r>
      <w:r w:rsidR="00930FB2" w:rsidRPr="00E360CE">
        <w:rPr>
          <w:rFonts w:ascii="Arial" w:hAnsi="Arial" w:cs="Arial"/>
          <w:i/>
          <w:iCs/>
          <w:color w:val="000000" w:themeColor="text1"/>
          <w:sz w:val="24"/>
          <w:szCs w:val="24"/>
        </w:rPr>
        <w:t xml:space="preserve">Holland v Hodgson [1872] </w:t>
      </w:r>
      <w:r w:rsidR="0072031E" w:rsidRPr="00E360CE">
        <w:rPr>
          <w:rFonts w:ascii="Arial" w:hAnsi="Arial" w:cs="Arial"/>
          <w:color w:val="000000" w:themeColor="text1"/>
          <w:sz w:val="24"/>
          <w:szCs w:val="24"/>
        </w:rPr>
        <w:t xml:space="preserve">would </w:t>
      </w:r>
      <w:r w:rsidR="00EC1006" w:rsidRPr="00E360CE">
        <w:rPr>
          <w:rFonts w:ascii="Arial" w:hAnsi="Arial" w:cs="Arial"/>
          <w:color w:val="000000" w:themeColor="text1"/>
          <w:sz w:val="24"/>
          <w:szCs w:val="24"/>
        </w:rPr>
        <w:t xml:space="preserve">also </w:t>
      </w:r>
      <w:r w:rsidR="0072031E" w:rsidRPr="00E360CE">
        <w:rPr>
          <w:rFonts w:ascii="Arial" w:hAnsi="Arial" w:cs="Arial"/>
          <w:color w:val="000000" w:themeColor="text1"/>
          <w:sz w:val="24"/>
          <w:szCs w:val="24"/>
        </w:rPr>
        <w:t>categorise</w:t>
      </w:r>
      <w:r w:rsidR="003D7D41" w:rsidRPr="00E360CE">
        <w:rPr>
          <w:rFonts w:ascii="Arial" w:hAnsi="Arial" w:cs="Arial"/>
          <w:color w:val="000000" w:themeColor="text1"/>
          <w:sz w:val="24"/>
          <w:szCs w:val="24"/>
        </w:rPr>
        <w:t xml:space="preserve"> the summerhouse</w:t>
      </w:r>
      <w:r w:rsidR="0072031E" w:rsidRPr="00E360CE">
        <w:rPr>
          <w:rFonts w:ascii="Arial" w:hAnsi="Arial" w:cs="Arial"/>
          <w:color w:val="000000" w:themeColor="text1"/>
          <w:sz w:val="24"/>
          <w:szCs w:val="24"/>
        </w:rPr>
        <w:t xml:space="preserve"> as a fixture</w:t>
      </w:r>
      <w:r w:rsidR="0030050C" w:rsidRPr="00E360CE">
        <w:rPr>
          <w:rFonts w:ascii="Arial" w:hAnsi="Arial" w:cs="Arial"/>
          <w:color w:val="000000" w:themeColor="text1"/>
          <w:sz w:val="24"/>
          <w:szCs w:val="24"/>
        </w:rPr>
        <w:t xml:space="preserve"> (</w:t>
      </w:r>
      <w:r w:rsidR="00F32286" w:rsidRPr="00E360CE">
        <w:rPr>
          <w:rFonts w:ascii="Arial" w:hAnsi="Arial" w:cs="Arial"/>
          <w:color w:val="000000" w:themeColor="text1"/>
          <w:sz w:val="24"/>
          <w:szCs w:val="24"/>
        </w:rPr>
        <w:t>Luther, 2004, pp.</w:t>
      </w:r>
      <w:r w:rsidR="00C54260" w:rsidRPr="00E360CE">
        <w:rPr>
          <w:rFonts w:ascii="Arial" w:hAnsi="Arial" w:cs="Arial"/>
          <w:color w:val="000000" w:themeColor="text1"/>
          <w:sz w:val="24"/>
          <w:szCs w:val="24"/>
        </w:rPr>
        <w:t>611-</w:t>
      </w:r>
      <w:r w:rsidR="00F32286" w:rsidRPr="00E360CE">
        <w:rPr>
          <w:rFonts w:ascii="Arial" w:hAnsi="Arial" w:cs="Arial"/>
          <w:color w:val="000000" w:themeColor="text1"/>
          <w:sz w:val="24"/>
          <w:szCs w:val="24"/>
        </w:rPr>
        <w:t>612</w:t>
      </w:r>
      <w:r w:rsidR="0030050C" w:rsidRPr="00E360CE">
        <w:rPr>
          <w:rFonts w:ascii="Arial" w:hAnsi="Arial" w:cs="Arial"/>
          <w:color w:val="000000" w:themeColor="text1"/>
          <w:sz w:val="24"/>
          <w:szCs w:val="24"/>
        </w:rPr>
        <w:t>).</w:t>
      </w:r>
      <w:r w:rsidR="00DD5CEA" w:rsidRPr="00E360CE">
        <w:rPr>
          <w:rFonts w:ascii="Arial" w:hAnsi="Arial" w:cs="Arial"/>
          <w:color w:val="000000" w:themeColor="text1"/>
          <w:sz w:val="24"/>
          <w:szCs w:val="24"/>
        </w:rPr>
        <w:t xml:space="preserve"> Additionally, when regarding the </w:t>
      </w:r>
      <w:r w:rsidR="00B818E0" w:rsidRPr="00E360CE">
        <w:rPr>
          <w:rFonts w:ascii="Arial" w:hAnsi="Arial" w:cs="Arial"/>
          <w:color w:val="000000" w:themeColor="text1"/>
          <w:sz w:val="24"/>
          <w:szCs w:val="24"/>
        </w:rPr>
        <w:t>distin</w:t>
      </w:r>
      <w:r w:rsidR="0084202D" w:rsidRPr="00E360CE">
        <w:rPr>
          <w:rFonts w:ascii="Arial" w:hAnsi="Arial" w:cs="Arial"/>
          <w:color w:val="000000" w:themeColor="text1"/>
          <w:sz w:val="24"/>
          <w:szCs w:val="24"/>
        </w:rPr>
        <w:t>c</w:t>
      </w:r>
      <w:r w:rsidR="00B818E0" w:rsidRPr="00E360CE">
        <w:rPr>
          <w:rFonts w:ascii="Arial" w:hAnsi="Arial" w:cs="Arial"/>
          <w:color w:val="000000" w:themeColor="text1"/>
          <w:sz w:val="24"/>
          <w:szCs w:val="24"/>
        </w:rPr>
        <w:t xml:space="preserve">tion between fixtures and fittings the court considers the </w:t>
      </w:r>
      <w:r w:rsidR="004B01F0" w:rsidRPr="00E360CE">
        <w:rPr>
          <w:rFonts w:ascii="Arial" w:hAnsi="Arial" w:cs="Arial"/>
          <w:color w:val="000000" w:themeColor="text1"/>
          <w:sz w:val="24"/>
          <w:szCs w:val="24"/>
        </w:rPr>
        <w:t>pe</w:t>
      </w:r>
      <w:r w:rsidR="004B01F0" w:rsidRPr="000007B2">
        <w:rPr>
          <w:rFonts w:ascii="Arial" w:hAnsi="Arial" w:cs="Arial"/>
          <w:color w:val="000000" w:themeColor="text1"/>
          <w:sz w:val="24"/>
          <w:szCs w:val="24"/>
        </w:rPr>
        <w:t>rmanence of the object an</w:t>
      </w:r>
      <w:r w:rsidR="0084202D" w:rsidRPr="000007B2">
        <w:rPr>
          <w:rFonts w:ascii="Arial" w:hAnsi="Arial" w:cs="Arial"/>
          <w:color w:val="000000" w:themeColor="text1"/>
          <w:sz w:val="24"/>
          <w:szCs w:val="24"/>
        </w:rPr>
        <w:t>d</w:t>
      </w:r>
      <w:r w:rsidR="004B01F0" w:rsidRPr="000007B2">
        <w:rPr>
          <w:rFonts w:ascii="Arial" w:hAnsi="Arial" w:cs="Arial"/>
          <w:color w:val="000000" w:themeColor="text1"/>
          <w:sz w:val="24"/>
          <w:szCs w:val="24"/>
        </w:rPr>
        <w:t xml:space="preserve"> the issue of removability</w:t>
      </w:r>
      <w:r w:rsidR="000007B2">
        <w:rPr>
          <w:rFonts w:ascii="Arial" w:hAnsi="Arial" w:cs="Arial"/>
          <w:color w:val="000000" w:themeColor="text1"/>
          <w:sz w:val="24"/>
          <w:szCs w:val="24"/>
        </w:rPr>
        <w:t>,</w:t>
      </w:r>
      <w:r w:rsidR="00285174" w:rsidRPr="000007B2">
        <w:rPr>
          <w:rFonts w:ascii="Arial" w:hAnsi="Arial" w:cs="Arial"/>
          <w:color w:val="000000" w:themeColor="text1"/>
          <w:sz w:val="24"/>
          <w:szCs w:val="24"/>
        </w:rPr>
        <w:t xml:space="preserve"> in effect</w:t>
      </w:r>
      <w:r w:rsidR="004E1CC3" w:rsidRPr="000007B2">
        <w:rPr>
          <w:rFonts w:ascii="Arial" w:hAnsi="Arial" w:cs="Arial"/>
          <w:color w:val="000000" w:themeColor="text1"/>
          <w:sz w:val="24"/>
          <w:szCs w:val="24"/>
        </w:rPr>
        <w:t xml:space="preserve"> </w:t>
      </w:r>
      <w:r w:rsidR="000422E7" w:rsidRPr="000007B2">
        <w:rPr>
          <w:rFonts w:ascii="Arial" w:hAnsi="Arial" w:cs="Arial"/>
          <w:color w:val="000000" w:themeColor="text1"/>
          <w:sz w:val="24"/>
          <w:szCs w:val="24"/>
        </w:rPr>
        <w:t xml:space="preserve">the damage caused to the </w:t>
      </w:r>
      <w:r w:rsidR="00EA1C49" w:rsidRPr="000007B2">
        <w:rPr>
          <w:rFonts w:ascii="Arial" w:hAnsi="Arial" w:cs="Arial"/>
          <w:color w:val="000000" w:themeColor="text1"/>
          <w:sz w:val="24"/>
          <w:szCs w:val="24"/>
        </w:rPr>
        <w:t xml:space="preserve">land or </w:t>
      </w:r>
      <w:r w:rsidR="000422E7" w:rsidRPr="000007B2">
        <w:rPr>
          <w:rFonts w:ascii="Arial" w:hAnsi="Arial" w:cs="Arial"/>
          <w:color w:val="000000" w:themeColor="text1"/>
          <w:sz w:val="24"/>
          <w:szCs w:val="24"/>
        </w:rPr>
        <w:t>object</w:t>
      </w:r>
      <w:r w:rsidR="00EA1C49" w:rsidRPr="000007B2">
        <w:rPr>
          <w:rFonts w:ascii="Arial" w:hAnsi="Arial" w:cs="Arial"/>
          <w:color w:val="000000" w:themeColor="text1"/>
          <w:sz w:val="24"/>
          <w:szCs w:val="24"/>
        </w:rPr>
        <w:t xml:space="preserve"> itself when moved; </w:t>
      </w:r>
      <w:r w:rsidR="00B47337" w:rsidRPr="000007B2">
        <w:rPr>
          <w:rFonts w:ascii="Arial" w:hAnsi="Arial" w:cs="Arial"/>
          <w:color w:val="000000" w:themeColor="text1"/>
          <w:sz w:val="24"/>
          <w:szCs w:val="24"/>
        </w:rPr>
        <w:t xml:space="preserve">highlighted in </w:t>
      </w:r>
      <w:r w:rsidR="00B47337" w:rsidRPr="000007B2">
        <w:rPr>
          <w:rFonts w:ascii="Arial" w:hAnsi="Arial" w:cs="Arial"/>
          <w:i/>
          <w:iCs/>
          <w:color w:val="000000" w:themeColor="text1"/>
          <w:sz w:val="24"/>
          <w:szCs w:val="24"/>
        </w:rPr>
        <w:t>TSB Bank v Botham [1997]</w:t>
      </w:r>
      <w:r w:rsidR="00762B95" w:rsidRPr="000007B2">
        <w:rPr>
          <w:rFonts w:ascii="Arial" w:hAnsi="Arial" w:cs="Arial"/>
          <w:color w:val="000000" w:themeColor="text1"/>
          <w:sz w:val="24"/>
          <w:szCs w:val="24"/>
        </w:rPr>
        <w:t>.</w:t>
      </w:r>
      <w:r w:rsidR="004B01F0" w:rsidRPr="000007B2">
        <w:rPr>
          <w:rFonts w:ascii="Arial" w:hAnsi="Arial" w:cs="Arial"/>
          <w:color w:val="000000" w:themeColor="text1"/>
          <w:sz w:val="24"/>
          <w:szCs w:val="24"/>
        </w:rPr>
        <w:t xml:space="preserve"> </w:t>
      </w:r>
      <w:r w:rsidR="00BC27A2" w:rsidRPr="00E360CE">
        <w:rPr>
          <w:rFonts w:ascii="Arial" w:hAnsi="Arial" w:cs="Arial"/>
          <w:color w:val="000000" w:themeColor="text1"/>
          <w:sz w:val="24"/>
          <w:szCs w:val="24"/>
        </w:rPr>
        <w:t>This was d</w:t>
      </w:r>
      <w:r w:rsidR="004B01F0" w:rsidRPr="00E360CE">
        <w:rPr>
          <w:rFonts w:ascii="Arial" w:hAnsi="Arial" w:cs="Arial"/>
          <w:color w:val="000000" w:themeColor="text1"/>
          <w:sz w:val="24"/>
          <w:szCs w:val="24"/>
        </w:rPr>
        <w:t xml:space="preserve">emonstrated in </w:t>
      </w:r>
      <w:r w:rsidR="0084202D" w:rsidRPr="00E360CE">
        <w:rPr>
          <w:rFonts w:ascii="Arial" w:hAnsi="Arial" w:cs="Arial"/>
          <w:i/>
          <w:iCs/>
          <w:color w:val="000000" w:themeColor="text1"/>
          <w:sz w:val="24"/>
          <w:szCs w:val="24"/>
        </w:rPr>
        <w:t xml:space="preserve">Elitestone v Morris [1997] </w:t>
      </w:r>
      <w:r w:rsidR="00D27CA1" w:rsidRPr="00E360CE">
        <w:rPr>
          <w:rFonts w:ascii="Arial" w:hAnsi="Arial" w:cs="Arial"/>
          <w:color w:val="000000" w:themeColor="text1"/>
          <w:sz w:val="24"/>
          <w:szCs w:val="24"/>
        </w:rPr>
        <w:t xml:space="preserve">where the physical process of removal </w:t>
      </w:r>
      <w:r w:rsidR="00786859" w:rsidRPr="00E360CE">
        <w:rPr>
          <w:rFonts w:ascii="Arial" w:hAnsi="Arial" w:cs="Arial"/>
          <w:color w:val="000000" w:themeColor="text1"/>
          <w:sz w:val="24"/>
          <w:szCs w:val="24"/>
        </w:rPr>
        <w:t xml:space="preserve">would result in the demolition of the object </w:t>
      </w:r>
      <w:r w:rsidR="0084202D" w:rsidRPr="00E360CE">
        <w:rPr>
          <w:rFonts w:ascii="Arial" w:hAnsi="Arial" w:cs="Arial"/>
          <w:color w:val="000000" w:themeColor="text1"/>
          <w:sz w:val="24"/>
          <w:szCs w:val="24"/>
        </w:rPr>
        <w:t>(Jourdan, 2015, pp.2</w:t>
      </w:r>
      <w:r w:rsidR="0073564A" w:rsidRPr="00E360CE">
        <w:rPr>
          <w:rFonts w:ascii="Arial" w:hAnsi="Arial" w:cs="Arial"/>
          <w:color w:val="000000" w:themeColor="text1"/>
          <w:sz w:val="24"/>
          <w:szCs w:val="24"/>
        </w:rPr>
        <w:t>-3</w:t>
      </w:r>
      <w:r w:rsidR="0084202D" w:rsidRPr="00E360CE">
        <w:rPr>
          <w:rFonts w:ascii="Arial" w:hAnsi="Arial" w:cs="Arial"/>
          <w:color w:val="000000" w:themeColor="text1"/>
          <w:sz w:val="24"/>
          <w:szCs w:val="24"/>
        </w:rPr>
        <w:t xml:space="preserve">). </w:t>
      </w:r>
    </w:p>
    <w:p w14:paraId="4C7F69E3" w14:textId="78F9E2D3" w:rsidR="00DD5CEA" w:rsidRPr="00E360CE" w:rsidRDefault="00DD5CEA" w:rsidP="008056AC">
      <w:pPr>
        <w:spacing w:line="480" w:lineRule="auto"/>
        <w:jc w:val="both"/>
        <w:rPr>
          <w:rFonts w:ascii="Arial" w:hAnsi="Arial" w:cs="Arial"/>
          <w:color w:val="000000" w:themeColor="text1"/>
          <w:sz w:val="24"/>
          <w:szCs w:val="24"/>
        </w:rPr>
      </w:pPr>
    </w:p>
    <w:p w14:paraId="49EB4098" w14:textId="4C8DD91B" w:rsidR="00492798" w:rsidRPr="00042A44" w:rsidRDefault="000B6677" w:rsidP="00042A44">
      <w:pPr>
        <w:spacing w:line="480" w:lineRule="auto"/>
        <w:jc w:val="both"/>
        <w:rPr>
          <w:rFonts w:ascii="Arial" w:hAnsi="Arial" w:cs="Arial"/>
          <w:color w:val="000000" w:themeColor="text1"/>
          <w:sz w:val="24"/>
          <w:szCs w:val="24"/>
        </w:rPr>
      </w:pPr>
      <w:r w:rsidRPr="00E360CE">
        <w:rPr>
          <w:rFonts w:ascii="Arial" w:hAnsi="Arial" w:cs="Arial"/>
          <w:color w:val="000000" w:themeColor="text1"/>
          <w:sz w:val="24"/>
          <w:szCs w:val="24"/>
        </w:rPr>
        <w:t xml:space="preserve">It is evident when </w:t>
      </w:r>
      <w:r w:rsidR="00F03D50" w:rsidRPr="00E360CE">
        <w:rPr>
          <w:rFonts w:ascii="Arial" w:hAnsi="Arial" w:cs="Arial"/>
          <w:color w:val="000000" w:themeColor="text1"/>
          <w:sz w:val="24"/>
          <w:szCs w:val="24"/>
        </w:rPr>
        <w:t xml:space="preserve">assessing what constitutes a </w:t>
      </w:r>
      <w:r w:rsidRPr="00E360CE">
        <w:rPr>
          <w:rFonts w:ascii="Arial" w:hAnsi="Arial" w:cs="Arial"/>
          <w:color w:val="000000" w:themeColor="text1"/>
          <w:sz w:val="24"/>
          <w:szCs w:val="24"/>
        </w:rPr>
        <w:t xml:space="preserve">fixture </w:t>
      </w:r>
      <w:r w:rsidR="00F03D50" w:rsidRPr="00E360CE">
        <w:rPr>
          <w:rFonts w:ascii="Arial" w:hAnsi="Arial" w:cs="Arial"/>
          <w:color w:val="000000" w:themeColor="text1"/>
          <w:sz w:val="24"/>
          <w:szCs w:val="24"/>
        </w:rPr>
        <w:t xml:space="preserve">or </w:t>
      </w:r>
      <w:r w:rsidRPr="00E360CE">
        <w:rPr>
          <w:rFonts w:ascii="Arial" w:hAnsi="Arial" w:cs="Arial"/>
          <w:color w:val="000000" w:themeColor="text1"/>
          <w:sz w:val="24"/>
          <w:szCs w:val="24"/>
        </w:rPr>
        <w:t>fitting</w:t>
      </w:r>
      <w:r w:rsidR="00A10633" w:rsidRPr="00E360CE">
        <w:rPr>
          <w:rFonts w:ascii="Arial" w:hAnsi="Arial" w:cs="Arial"/>
          <w:color w:val="000000" w:themeColor="text1"/>
          <w:sz w:val="24"/>
          <w:szCs w:val="24"/>
        </w:rPr>
        <w:t xml:space="preserve"> depends </w:t>
      </w:r>
      <w:r w:rsidR="00795287" w:rsidRPr="00E360CE">
        <w:rPr>
          <w:rFonts w:ascii="Arial" w:hAnsi="Arial" w:cs="Arial"/>
          <w:color w:val="000000" w:themeColor="text1"/>
          <w:sz w:val="24"/>
          <w:szCs w:val="24"/>
        </w:rPr>
        <w:t xml:space="preserve">largely on the purpose of </w:t>
      </w:r>
      <w:r w:rsidR="00F3764B" w:rsidRPr="00E360CE">
        <w:rPr>
          <w:rFonts w:ascii="Arial" w:hAnsi="Arial" w:cs="Arial"/>
          <w:color w:val="000000" w:themeColor="text1"/>
          <w:sz w:val="24"/>
          <w:szCs w:val="24"/>
        </w:rPr>
        <w:t xml:space="preserve">the </w:t>
      </w:r>
      <w:r w:rsidR="00795287" w:rsidRPr="00E360CE">
        <w:rPr>
          <w:rFonts w:ascii="Arial" w:hAnsi="Arial" w:cs="Arial"/>
          <w:color w:val="000000" w:themeColor="text1"/>
          <w:sz w:val="24"/>
          <w:szCs w:val="24"/>
        </w:rPr>
        <w:t>annexation</w:t>
      </w:r>
      <w:r w:rsidR="00180F3C" w:rsidRPr="00E360CE">
        <w:rPr>
          <w:rFonts w:ascii="Arial" w:hAnsi="Arial" w:cs="Arial"/>
          <w:color w:val="000000" w:themeColor="text1"/>
          <w:sz w:val="24"/>
          <w:szCs w:val="24"/>
        </w:rPr>
        <w:t>,</w:t>
      </w:r>
      <w:r w:rsidR="00795287" w:rsidRPr="00E360CE">
        <w:rPr>
          <w:rFonts w:ascii="Arial" w:hAnsi="Arial" w:cs="Arial"/>
          <w:color w:val="000000" w:themeColor="text1"/>
          <w:sz w:val="24"/>
          <w:szCs w:val="24"/>
        </w:rPr>
        <w:t xml:space="preserve"> although the degree of annexation </w:t>
      </w:r>
      <w:r w:rsidR="00657ECE" w:rsidRPr="00E360CE">
        <w:rPr>
          <w:rFonts w:ascii="Arial" w:hAnsi="Arial" w:cs="Arial"/>
          <w:color w:val="000000" w:themeColor="text1"/>
          <w:sz w:val="24"/>
          <w:szCs w:val="24"/>
        </w:rPr>
        <w:t xml:space="preserve">is </w:t>
      </w:r>
      <w:r w:rsidR="00CE7240" w:rsidRPr="00E360CE">
        <w:rPr>
          <w:rFonts w:ascii="Arial" w:hAnsi="Arial" w:cs="Arial"/>
          <w:color w:val="000000" w:themeColor="text1"/>
          <w:sz w:val="24"/>
          <w:szCs w:val="24"/>
        </w:rPr>
        <w:t>th</w:t>
      </w:r>
      <w:r w:rsidR="00CE7240" w:rsidRPr="00BF3A03">
        <w:rPr>
          <w:rFonts w:ascii="Arial" w:hAnsi="Arial" w:cs="Arial"/>
          <w:color w:val="000000" w:themeColor="text1"/>
          <w:sz w:val="24"/>
          <w:szCs w:val="24"/>
        </w:rPr>
        <w:t xml:space="preserve">e initial test </w:t>
      </w:r>
      <w:r w:rsidR="00FC7D8D">
        <w:rPr>
          <w:rFonts w:ascii="Arial" w:hAnsi="Arial" w:cs="Arial"/>
          <w:color w:val="000000" w:themeColor="text1"/>
          <w:sz w:val="24"/>
          <w:szCs w:val="24"/>
        </w:rPr>
        <w:t xml:space="preserve">that </w:t>
      </w:r>
      <w:r w:rsidR="00394ADE" w:rsidRPr="00BF3A03">
        <w:rPr>
          <w:rFonts w:ascii="Arial" w:hAnsi="Arial" w:cs="Arial"/>
          <w:color w:val="000000" w:themeColor="text1"/>
          <w:sz w:val="24"/>
          <w:szCs w:val="24"/>
        </w:rPr>
        <w:t>raises the likelihood that the object is a fixture</w:t>
      </w:r>
      <w:r w:rsidR="00F3764B" w:rsidRPr="00BF3A03">
        <w:rPr>
          <w:rFonts w:ascii="Arial" w:hAnsi="Arial" w:cs="Arial"/>
          <w:color w:val="000000" w:themeColor="text1"/>
          <w:sz w:val="24"/>
          <w:szCs w:val="24"/>
        </w:rPr>
        <w:t xml:space="preserve"> (</w:t>
      </w:r>
      <w:r w:rsidR="00152F48" w:rsidRPr="00BF3A03">
        <w:rPr>
          <w:rFonts w:ascii="Arial" w:hAnsi="Arial" w:cs="Arial"/>
          <w:color w:val="000000" w:themeColor="text1"/>
          <w:sz w:val="24"/>
          <w:szCs w:val="24"/>
        </w:rPr>
        <w:t>Bray, 2016, pp.</w:t>
      </w:r>
      <w:r w:rsidR="00BF3A03" w:rsidRPr="00BF3A03">
        <w:rPr>
          <w:rFonts w:ascii="Arial" w:hAnsi="Arial" w:cs="Arial"/>
          <w:color w:val="000000" w:themeColor="text1"/>
          <w:sz w:val="24"/>
          <w:szCs w:val="24"/>
        </w:rPr>
        <w:t>10</w:t>
      </w:r>
      <w:r w:rsidR="00F3764B" w:rsidRPr="00BF3A03">
        <w:rPr>
          <w:rFonts w:ascii="Arial" w:hAnsi="Arial" w:cs="Arial"/>
          <w:color w:val="000000" w:themeColor="text1"/>
          <w:sz w:val="24"/>
          <w:szCs w:val="24"/>
        </w:rPr>
        <w:t>)</w:t>
      </w:r>
      <w:r w:rsidR="00394ADE" w:rsidRPr="00BF3A03">
        <w:rPr>
          <w:rFonts w:ascii="Arial" w:hAnsi="Arial" w:cs="Arial"/>
          <w:color w:val="000000" w:themeColor="text1"/>
          <w:sz w:val="24"/>
          <w:szCs w:val="24"/>
        </w:rPr>
        <w:t xml:space="preserve">. </w:t>
      </w:r>
      <w:r w:rsidR="00180F3C" w:rsidRPr="00042A44">
        <w:rPr>
          <w:rFonts w:ascii="Arial" w:hAnsi="Arial" w:cs="Arial"/>
          <w:color w:val="000000" w:themeColor="text1"/>
          <w:sz w:val="24"/>
          <w:szCs w:val="24"/>
        </w:rPr>
        <w:t xml:space="preserve">As a result, </w:t>
      </w:r>
      <w:r w:rsidR="00924DBA" w:rsidRPr="00042A44">
        <w:rPr>
          <w:rFonts w:ascii="Arial" w:hAnsi="Arial" w:cs="Arial"/>
          <w:color w:val="000000" w:themeColor="text1"/>
          <w:sz w:val="24"/>
          <w:szCs w:val="24"/>
        </w:rPr>
        <w:t xml:space="preserve">regardless of its </w:t>
      </w:r>
      <w:r w:rsidR="00E918E1" w:rsidRPr="00042A44">
        <w:rPr>
          <w:rFonts w:ascii="Arial" w:hAnsi="Arial" w:cs="Arial"/>
          <w:color w:val="000000" w:themeColor="text1"/>
          <w:sz w:val="24"/>
          <w:szCs w:val="24"/>
        </w:rPr>
        <w:t>inten</w:t>
      </w:r>
      <w:r w:rsidR="00D15740" w:rsidRPr="00042A44">
        <w:rPr>
          <w:rFonts w:ascii="Arial" w:hAnsi="Arial" w:cs="Arial"/>
          <w:color w:val="000000" w:themeColor="text1"/>
          <w:sz w:val="24"/>
          <w:szCs w:val="24"/>
        </w:rPr>
        <w:t xml:space="preserve">ded </w:t>
      </w:r>
      <w:r w:rsidR="00924DBA" w:rsidRPr="00042A44">
        <w:rPr>
          <w:rFonts w:ascii="Arial" w:hAnsi="Arial" w:cs="Arial"/>
          <w:color w:val="000000" w:themeColor="text1"/>
          <w:sz w:val="24"/>
          <w:szCs w:val="24"/>
        </w:rPr>
        <w:t>purpose</w:t>
      </w:r>
      <w:r w:rsidR="00D15740" w:rsidRPr="00042A44">
        <w:rPr>
          <w:rFonts w:ascii="Arial" w:hAnsi="Arial" w:cs="Arial"/>
          <w:color w:val="000000" w:themeColor="text1"/>
          <w:sz w:val="24"/>
          <w:szCs w:val="24"/>
        </w:rPr>
        <w:t xml:space="preserve"> to improve the property</w:t>
      </w:r>
      <w:r w:rsidR="00924DBA" w:rsidRPr="00042A44">
        <w:rPr>
          <w:rFonts w:ascii="Arial" w:hAnsi="Arial" w:cs="Arial"/>
          <w:color w:val="000000" w:themeColor="text1"/>
          <w:sz w:val="24"/>
          <w:szCs w:val="24"/>
        </w:rPr>
        <w:t xml:space="preserve">, the summerhouse </w:t>
      </w:r>
      <w:r w:rsidR="00D15740" w:rsidRPr="00042A44">
        <w:rPr>
          <w:rFonts w:ascii="Arial" w:hAnsi="Arial" w:cs="Arial"/>
          <w:color w:val="000000" w:themeColor="text1"/>
          <w:sz w:val="24"/>
          <w:szCs w:val="24"/>
        </w:rPr>
        <w:t xml:space="preserve">remains </w:t>
      </w:r>
      <w:r w:rsidR="00160C2F" w:rsidRPr="00042A44">
        <w:rPr>
          <w:rFonts w:ascii="Arial" w:hAnsi="Arial" w:cs="Arial"/>
          <w:color w:val="000000" w:themeColor="text1"/>
          <w:sz w:val="24"/>
          <w:szCs w:val="24"/>
        </w:rPr>
        <w:t>a fixture due to its degree of annexation.</w:t>
      </w:r>
      <w:r w:rsidR="00502CB0" w:rsidRPr="00042A44">
        <w:rPr>
          <w:rFonts w:ascii="Arial" w:hAnsi="Arial" w:cs="Arial"/>
          <w:color w:val="000000" w:themeColor="text1"/>
          <w:sz w:val="24"/>
          <w:szCs w:val="24"/>
        </w:rPr>
        <w:t xml:space="preserve"> Therefore, </w:t>
      </w:r>
      <w:r w:rsidR="001C3688" w:rsidRPr="00042A44">
        <w:rPr>
          <w:rFonts w:ascii="Arial" w:hAnsi="Arial" w:cs="Arial"/>
          <w:color w:val="000000" w:themeColor="text1"/>
          <w:sz w:val="24"/>
          <w:szCs w:val="24"/>
        </w:rPr>
        <w:t xml:space="preserve">confirming that </w:t>
      </w:r>
      <w:r w:rsidR="00795E86" w:rsidRPr="00042A44">
        <w:rPr>
          <w:rFonts w:ascii="Arial" w:hAnsi="Arial" w:cs="Arial"/>
          <w:color w:val="000000" w:themeColor="text1"/>
          <w:sz w:val="24"/>
          <w:szCs w:val="24"/>
        </w:rPr>
        <w:t xml:space="preserve">Amy and Bob are not permitted to have it removed. </w:t>
      </w:r>
    </w:p>
    <w:p w14:paraId="2824BCE9" w14:textId="77777777" w:rsidR="00803D46" w:rsidRPr="00042A44" w:rsidRDefault="00803D46" w:rsidP="00042A44">
      <w:pPr>
        <w:spacing w:line="480" w:lineRule="auto"/>
        <w:jc w:val="both"/>
        <w:rPr>
          <w:rFonts w:ascii="Arial" w:hAnsi="Arial" w:cs="Arial"/>
          <w:color w:val="000000" w:themeColor="text1"/>
          <w:sz w:val="24"/>
          <w:szCs w:val="24"/>
        </w:rPr>
      </w:pPr>
    </w:p>
    <w:p w14:paraId="500A9FA5" w14:textId="2605AEE5" w:rsidR="003757B4" w:rsidRPr="00042A44" w:rsidRDefault="00B43832" w:rsidP="00042A44">
      <w:pPr>
        <w:spacing w:line="480" w:lineRule="auto"/>
        <w:jc w:val="both"/>
        <w:rPr>
          <w:rFonts w:ascii="Arial" w:hAnsi="Arial" w:cs="Arial"/>
          <w:color w:val="000000" w:themeColor="text1"/>
          <w:sz w:val="24"/>
          <w:szCs w:val="24"/>
        </w:rPr>
      </w:pPr>
      <w:r w:rsidRPr="00042A44">
        <w:rPr>
          <w:rFonts w:ascii="Arial" w:hAnsi="Arial" w:cs="Arial"/>
          <w:color w:val="000000" w:themeColor="text1"/>
          <w:sz w:val="24"/>
          <w:szCs w:val="24"/>
        </w:rPr>
        <w:t xml:space="preserve">Finally, in order to confirm </w:t>
      </w:r>
      <w:r w:rsidR="00F75082" w:rsidRPr="00042A44">
        <w:rPr>
          <w:rFonts w:ascii="Arial" w:hAnsi="Arial" w:cs="Arial"/>
          <w:color w:val="000000" w:themeColor="text1"/>
          <w:sz w:val="24"/>
          <w:szCs w:val="24"/>
        </w:rPr>
        <w:t>the status of the kitchen units</w:t>
      </w:r>
      <w:r w:rsidR="001226F0" w:rsidRPr="00042A44">
        <w:rPr>
          <w:rFonts w:ascii="Arial" w:hAnsi="Arial" w:cs="Arial"/>
          <w:color w:val="000000" w:themeColor="text1"/>
          <w:sz w:val="24"/>
          <w:szCs w:val="24"/>
        </w:rPr>
        <w:t xml:space="preserve"> the case of </w:t>
      </w:r>
      <w:r w:rsidR="00437C63" w:rsidRPr="00042A44">
        <w:rPr>
          <w:rFonts w:ascii="Arial" w:hAnsi="Arial" w:cs="Arial"/>
          <w:i/>
          <w:iCs/>
          <w:color w:val="000000" w:themeColor="text1"/>
          <w:sz w:val="24"/>
          <w:szCs w:val="24"/>
        </w:rPr>
        <w:t xml:space="preserve">TSB Bank v Botham [1997] </w:t>
      </w:r>
      <w:r w:rsidR="00437C63" w:rsidRPr="00042A44">
        <w:rPr>
          <w:rFonts w:ascii="Arial" w:hAnsi="Arial" w:cs="Arial"/>
          <w:color w:val="000000" w:themeColor="text1"/>
          <w:sz w:val="24"/>
          <w:szCs w:val="24"/>
        </w:rPr>
        <w:t>provides good insight</w:t>
      </w:r>
      <w:r w:rsidR="00476A07">
        <w:rPr>
          <w:rFonts w:ascii="Arial" w:hAnsi="Arial" w:cs="Arial"/>
          <w:color w:val="000000" w:themeColor="text1"/>
          <w:sz w:val="24"/>
          <w:szCs w:val="24"/>
        </w:rPr>
        <w:t>,</w:t>
      </w:r>
      <w:r w:rsidR="00437C63" w:rsidRPr="00042A44">
        <w:rPr>
          <w:rFonts w:ascii="Arial" w:hAnsi="Arial" w:cs="Arial"/>
          <w:color w:val="000000" w:themeColor="text1"/>
          <w:sz w:val="24"/>
          <w:szCs w:val="24"/>
        </w:rPr>
        <w:t xml:space="preserve"> </w:t>
      </w:r>
      <w:r w:rsidR="00476A07" w:rsidRPr="00042A44">
        <w:rPr>
          <w:rFonts w:ascii="Arial" w:hAnsi="Arial" w:cs="Arial"/>
          <w:color w:val="000000" w:themeColor="text1"/>
          <w:sz w:val="24"/>
          <w:szCs w:val="24"/>
        </w:rPr>
        <w:t>highlight</w:t>
      </w:r>
      <w:r w:rsidR="00476A07">
        <w:rPr>
          <w:rFonts w:ascii="Arial" w:hAnsi="Arial" w:cs="Arial"/>
          <w:color w:val="000000" w:themeColor="text1"/>
          <w:sz w:val="24"/>
          <w:szCs w:val="24"/>
        </w:rPr>
        <w:t>ing</w:t>
      </w:r>
      <w:r w:rsidR="00476A07" w:rsidRPr="00042A44">
        <w:rPr>
          <w:rFonts w:ascii="Arial" w:hAnsi="Arial" w:cs="Arial"/>
          <w:color w:val="000000" w:themeColor="text1"/>
          <w:sz w:val="24"/>
          <w:szCs w:val="24"/>
        </w:rPr>
        <w:t xml:space="preserve"> logical consistent considerations to be taken into account </w:t>
      </w:r>
      <w:r w:rsidR="00667F27" w:rsidRPr="00042A44">
        <w:rPr>
          <w:rFonts w:ascii="Arial" w:hAnsi="Arial" w:cs="Arial"/>
          <w:color w:val="000000" w:themeColor="text1"/>
          <w:sz w:val="24"/>
          <w:szCs w:val="24"/>
        </w:rPr>
        <w:t>(</w:t>
      </w:r>
      <w:r w:rsidR="002727BD" w:rsidRPr="00042A44">
        <w:rPr>
          <w:rFonts w:ascii="Arial" w:hAnsi="Arial" w:cs="Arial"/>
          <w:color w:val="000000" w:themeColor="text1"/>
          <w:sz w:val="24"/>
          <w:szCs w:val="24"/>
        </w:rPr>
        <w:t>Jourdan, 2015, pp.</w:t>
      </w:r>
      <w:r w:rsidR="00B06BCE" w:rsidRPr="00042A44">
        <w:rPr>
          <w:rFonts w:ascii="Arial" w:hAnsi="Arial" w:cs="Arial"/>
          <w:color w:val="000000" w:themeColor="text1"/>
          <w:sz w:val="24"/>
          <w:szCs w:val="24"/>
        </w:rPr>
        <w:t>10</w:t>
      </w:r>
      <w:r w:rsidR="00667F27" w:rsidRPr="00042A44">
        <w:rPr>
          <w:rFonts w:ascii="Arial" w:hAnsi="Arial" w:cs="Arial"/>
          <w:color w:val="000000" w:themeColor="text1"/>
          <w:sz w:val="24"/>
          <w:szCs w:val="24"/>
        </w:rPr>
        <w:t>)</w:t>
      </w:r>
      <w:r w:rsidR="00284D6A" w:rsidRPr="00042A44">
        <w:rPr>
          <w:rFonts w:ascii="Arial" w:hAnsi="Arial" w:cs="Arial"/>
          <w:color w:val="000000" w:themeColor="text1"/>
          <w:sz w:val="24"/>
          <w:szCs w:val="24"/>
        </w:rPr>
        <w:t xml:space="preserve">. </w:t>
      </w:r>
      <w:r w:rsidR="00476A07">
        <w:rPr>
          <w:rFonts w:ascii="Arial" w:hAnsi="Arial" w:cs="Arial"/>
          <w:color w:val="000000" w:themeColor="text1"/>
          <w:sz w:val="24"/>
          <w:szCs w:val="24"/>
        </w:rPr>
        <w:t>For instance,</w:t>
      </w:r>
      <w:r w:rsidR="00CC423D">
        <w:rPr>
          <w:rFonts w:ascii="Arial" w:hAnsi="Arial" w:cs="Arial"/>
          <w:color w:val="000000" w:themeColor="text1"/>
          <w:sz w:val="24"/>
          <w:szCs w:val="24"/>
        </w:rPr>
        <w:t xml:space="preserve"> </w:t>
      </w:r>
      <w:r w:rsidR="00284D6A" w:rsidRPr="00042A44">
        <w:rPr>
          <w:rFonts w:ascii="Arial" w:hAnsi="Arial" w:cs="Arial"/>
          <w:color w:val="000000" w:themeColor="text1"/>
          <w:sz w:val="24"/>
          <w:szCs w:val="24"/>
        </w:rPr>
        <w:t xml:space="preserve">examining whether the item is part of the overall design of the land, the movability of the item, the lifespan of the item, as well as the person who installed the item </w:t>
      </w:r>
      <w:r w:rsidR="00225FD7" w:rsidRPr="00042A44">
        <w:rPr>
          <w:rFonts w:ascii="Arial" w:hAnsi="Arial" w:cs="Arial"/>
          <w:color w:val="000000" w:themeColor="text1"/>
          <w:sz w:val="24"/>
          <w:szCs w:val="24"/>
        </w:rPr>
        <w:t>(Sayles, 2020, pp.7).</w:t>
      </w:r>
      <w:r w:rsidR="000F3785" w:rsidRPr="00042A44">
        <w:rPr>
          <w:rFonts w:ascii="Arial" w:hAnsi="Arial" w:cs="Arial"/>
          <w:color w:val="000000" w:themeColor="text1"/>
          <w:sz w:val="24"/>
          <w:szCs w:val="24"/>
        </w:rPr>
        <w:t xml:space="preserve"> </w:t>
      </w:r>
      <w:r w:rsidR="00614795" w:rsidRPr="00042A44">
        <w:rPr>
          <w:rFonts w:ascii="Arial" w:hAnsi="Arial" w:cs="Arial"/>
          <w:color w:val="000000" w:themeColor="text1"/>
          <w:sz w:val="24"/>
          <w:szCs w:val="24"/>
        </w:rPr>
        <w:t>In this case</w:t>
      </w:r>
      <w:r w:rsidR="00523D07">
        <w:rPr>
          <w:rFonts w:ascii="Arial" w:hAnsi="Arial" w:cs="Arial"/>
          <w:color w:val="000000" w:themeColor="text1"/>
          <w:sz w:val="24"/>
          <w:szCs w:val="24"/>
        </w:rPr>
        <w:t>,</w:t>
      </w:r>
      <w:r w:rsidR="00614795" w:rsidRPr="00042A44">
        <w:rPr>
          <w:rFonts w:ascii="Arial" w:hAnsi="Arial" w:cs="Arial"/>
          <w:color w:val="000000" w:themeColor="text1"/>
          <w:sz w:val="24"/>
          <w:szCs w:val="24"/>
        </w:rPr>
        <w:t xml:space="preserve"> </w:t>
      </w:r>
      <w:r w:rsidR="00932FC5" w:rsidRPr="00042A44">
        <w:rPr>
          <w:rFonts w:ascii="Arial" w:hAnsi="Arial" w:cs="Arial"/>
          <w:color w:val="000000" w:themeColor="text1"/>
          <w:sz w:val="24"/>
          <w:szCs w:val="24"/>
        </w:rPr>
        <w:t xml:space="preserve">the court deemed kitchen units to be </w:t>
      </w:r>
      <w:r w:rsidR="00C57619" w:rsidRPr="00042A44">
        <w:rPr>
          <w:rFonts w:ascii="Arial" w:hAnsi="Arial" w:cs="Arial"/>
          <w:color w:val="000000" w:themeColor="text1"/>
          <w:sz w:val="24"/>
          <w:szCs w:val="24"/>
        </w:rPr>
        <w:t xml:space="preserve">an accessory </w:t>
      </w:r>
      <w:r w:rsidR="00523D07">
        <w:rPr>
          <w:rFonts w:ascii="Arial" w:hAnsi="Arial" w:cs="Arial"/>
          <w:color w:val="000000" w:themeColor="text1"/>
          <w:sz w:val="24"/>
          <w:szCs w:val="24"/>
        </w:rPr>
        <w:t xml:space="preserve">that </w:t>
      </w:r>
      <w:r w:rsidR="00AD31EC" w:rsidRPr="00042A44">
        <w:rPr>
          <w:rFonts w:ascii="Arial" w:hAnsi="Arial" w:cs="Arial"/>
          <w:color w:val="000000" w:themeColor="text1"/>
          <w:sz w:val="24"/>
          <w:szCs w:val="24"/>
        </w:rPr>
        <w:t xml:space="preserve">enabled the room to function </w:t>
      </w:r>
      <w:r w:rsidR="005160C4" w:rsidRPr="00042A44">
        <w:rPr>
          <w:rFonts w:ascii="Arial" w:hAnsi="Arial" w:cs="Arial"/>
          <w:color w:val="000000" w:themeColor="text1"/>
          <w:sz w:val="24"/>
          <w:szCs w:val="24"/>
        </w:rPr>
        <w:t>for</w:t>
      </w:r>
      <w:r w:rsidR="00AD31EC" w:rsidRPr="00042A44">
        <w:rPr>
          <w:rFonts w:ascii="Arial" w:hAnsi="Arial" w:cs="Arial"/>
          <w:color w:val="000000" w:themeColor="text1"/>
          <w:sz w:val="24"/>
          <w:szCs w:val="24"/>
        </w:rPr>
        <w:t xml:space="preserve"> the purpose </w:t>
      </w:r>
      <w:r w:rsidR="005160C4" w:rsidRPr="00042A44">
        <w:rPr>
          <w:rFonts w:ascii="Arial" w:hAnsi="Arial" w:cs="Arial"/>
          <w:color w:val="000000" w:themeColor="text1"/>
          <w:sz w:val="24"/>
          <w:szCs w:val="24"/>
        </w:rPr>
        <w:lastRenderedPageBreak/>
        <w:t>inten</w:t>
      </w:r>
      <w:r w:rsidR="0069270E" w:rsidRPr="00042A44">
        <w:rPr>
          <w:rFonts w:ascii="Arial" w:hAnsi="Arial" w:cs="Arial"/>
          <w:color w:val="000000" w:themeColor="text1"/>
          <w:sz w:val="24"/>
          <w:szCs w:val="24"/>
        </w:rPr>
        <w:t>d</w:t>
      </w:r>
      <w:r w:rsidR="005160C4" w:rsidRPr="00042A44">
        <w:rPr>
          <w:rFonts w:ascii="Arial" w:hAnsi="Arial" w:cs="Arial"/>
          <w:color w:val="000000" w:themeColor="text1"/>
          <w:sz w:val="24"/>
          <w:szCs w:val="24"/>
        </w:rPr>
        <w:t xml:space="preserve">ed. </w:t>
      </w:r>
      <w:r w:rsidR="00041390" w:rsidRPr="00042A44">
        <w:rPr>
          <w:rFonts w:ascii="Arial" w:hAnsi="Arial" w:cs="Arial"/>
          <w:color w:val="000000" w:themeColor="text1"/>
          <w:sz w:val="24"/>
          <w:szCs w:val="24"/>
        </w:rPr>
        <w:t>However, Amy and Bob’s</w:t>
      </w:r>
      <w:r w:rsidR="00E00602" w:rsidRPr="00042A44">
        <w:rPr>
          <w:rFonts w:ascii="Arial" w:hAnsi="Arial" w:cs="Arial"/>
          <w:color w:val="000000" w:themeColor="text1"/>
          <w:sz w:val="24"/>
          <w:szCs w:val="24"/>
        </w:rPr>
        <w:t xml:space="preserve"> kitchen has recently been re-fitted with a new-look ‘non-fitted’ kitchen where the units are not bolted to the wall. </w:t>
      </w:r>
      <w:r w:rsidR="00284D6A" w:rsidRPr="00042A44">
        <w:rPr>
          <w:rFonts w:ascii="Arial" w:hAnsi="Arial" w:cs="Arial"/>
          <w:color w:val="000000" w:themeColor="text1"/>
          <w:sz w:val="24"/>
          <w:szCs w:val="24"/>
        </w:rPr>
        <w:t>Th</w:t>
      </w:r>
      <w:r w:rsidR="00E00602" w:rsidRPr="00042A44">
        <w:rPr>
          <w:rFonts w:ascii="Arial" w:hAnsi="Arial" w:cs="Arial"/>
          <w:color w:val="000000" w:themeColor="text1"/>
          <w:sz w:val="24"/>
          <w:szCs w:val="24"/>
        </w:rPr>
        <w:t>is is of great</w:t>
      </w:r>
      <w:r w:rsidR="00284D6A" w:rsidRPr="00042A44">
        <w:rPr>
          <w:rFonts w:ascii="Arial" w:hAnsi="Arial" w:cs="Arial"/>
          <w:color w:val="000000" w:themeColor="text1"/>
          <w:sz w:val="24"/>
          <w:szCs w:val="24"/>
        </w:rPr>
        <w:t xml:space="preserve"> significan</w:t>
      </w:r>
      <w:r w:rsidR="00E00602" w:rsidRPr="00042A44">
        <w:rPr>
          <w:rFonts w:ascii="Arial" w:hAnsi="Arial" w:cs="Arial"/>
          <w:color w:val="000000" w:themeColor="text1"/>
          <w:sz w:val="24"/>
          <w:szCs w:val="24"/>
        </w:rPr>
        <w:t xml:space="preserve">ce as </w:t>
      </w:r>
      <w:r w:rsidR="003757B4" w:rsidRPr="00042A44">
        <w:rPr>
          <w:rFonts w:ascii="Arial" w:hAnsi="Arial" w:cs="Arial"/>
          <w:color w:val="000000" w:themeColor="text1"/>
          <w:sz w:val="24"/>
          <w:szCs w:val="24"/>
        </w:rPr>
        <w:t>fitted furniture is placed to improve the property and has a high degree of attachment to the land</w:t>
      </w:r>
      <w:r w:rsidR="009B1845">
        <w:rPr>
          <w:rFonts w:ascii="Arial" w:hAnsi="Arial" w:cs="Arial"/>
          <w:color w:val="000000" w:themeColor="text1"/>
          <w:sz w:val="24"/>
          <w:szCs w:val="24"/>
        </w:rPr>
        <w:t>.</w:t>
      </w:r>
      <w:r w:rsidR="003757B4" w:rsidRPr="00042A44">
        <w:rPr>
          <w:rFonts w:ascii="Arial" w:hAnsi="Arial" w:cs="Arial"/>
          <w:color w:val="000000" w:themeColor="text1"/>
          <w:sz w:val="24"/>
          <w:szCs w:val="24"/>
        </w:rPr>
        <w:t xml:space="preserve"> </w:t>
      </w:r>
      <w:r w:rsidR="009B1845">
        <w:rPr>
          <w:rFonts w:ascii="Arial" w:hAnsi="Arial" w:cs="Arial"/>
          <w:color w:val="000000" w:themeColor="text1"/>
          <w:sz w:val="24"/>
          <w:szCs w:val="24"/>
        </w:rPr>
        <w:t>W</w:t>
      </w:r>
      <w:r w:rsidR="003757B4" w:rsidRPr="00042A44">
        <w:rPr>
          <w:rFonts w:ascii="Arial" w:hAnsi="Arial" w:cs="Arial"/>
          <w:color w:val="000000" w:themeColor="text1"/>
          <w:sz w:val="24"/>
          <w:szCs w:val="24"/>
        </w:rPr>
        <w:t xml:space="preserve">hereas free-standing furniture and integrated kitchen appliances that remained in position by their own weight </w:t>
      </w:r>
      <w:r w:rsidR="00756517" w:rsidRPr="00042A44">
        <w:rPr>
          <w:rFonts w:ascii="Arial" w:hAnsi="Arial" w:cs="Arial"/>
          <w:color w:val="000000" w:themeColor="text1"/>
          <w:sz w:val="24"/>
          <w:szCs w:val="24"/>
        </w:rPr>
        <w:t>can be removed without any significant physical disturbance or damage and thus</w:t>
      </w:r>
      <w:r w:rsidR="001F6395">
        <w:rPr>
          <w:rFonts w:ascii="Arial" w:hAnsi="Arial" w:cs="Arial"/>
          <w:color w:val="000000" w:themeColor="text1"/>
          <w:sz w:val="24"/>
          <w:szCs w:val="24"/>
        </w:rPr>
        <w:t>,</w:t>
      </w:r>
      <w:r w:rsidR="00756517" w:rsidRPr="00042A44">
        <w:rPr>
          <w:rFonts w:ascii="Arial" w:hAnsi="Arial" w:cs="Arial"/>
          <w:color w:val="000000" w:themeColor="text1"/>
          <w:sz w:val="24"/>
          <w:szCs w:val="24"/>
        </w:rPr>
        <w:t xml:space="preserve"> </w:t>
      </w:r>
      <w:r w:rsidR="00E77C06" w:rsidRPr="00042A44">
        <w:rPr>
          <w:rFonts w:ascii="Arial" w:hAnsi="Arial" w:cs="Arial"/>
          <w:color w:val="000000" w:themeColor="text1"/>
          <w:sz w:val="24"/>
          <w:szCs w:val="24"/>
        </w:rPr>
        <w:t xml:space="preserve">are typically categorised as ‘fittings’ </w:t>
      </w:r>
      <w:r w:rsidR="003757B4" w:rsidRPr="00042A44">
        <w:rPr>
          <w:rFonts w:ascii="Arial" w:hAnsi="Arial" w:cs="Arial"/>
          <w:color w:val="000000" w:themeColor="text1"/>
          <w:sz w:val="24"/>
          <w:szCs w:val="24"/>
        </w:rPr>
        <w:t>(Richards, 2014, pp.13).</w:t>
      </w:r>
    </w:p>
    <w:p w14:paraId="02B8635A" w14:textId="6E7BB600" w:rsidR="00882246" w:rsidRPr="00664423" w:rsidRDefault="008E7AF8" w:rsidP="00042A44">
      <w:pPr>
        <w:spacing w:line="480" w:lineRule="auto"/>
        <w:jc w:val="both"/>
        <w:rPr>
          <w:rFonts w:ascii="Arial" w:hAnsi="Arial" w:cs="Arial"/>
          <w:color w:val="7030A0"/>
          <w:sz w:val="24"/>
          <w:szCs w:val="24"/>
        </w:rPr>
      </w:pPr>
      <w:r w:rsidRPr="00042A44">
        <w:rPr>
          <w:rFonts w:ascii="Arial" w:hAnsi="Arial" w:cs="Arial"/>
          <w:color w:val="000000" w:themeColor="text1"/>
          <w:sz w:val="24"/>
          <w:szCs w:val="24"/>
        </w:rPr>
        <w:t>As a consequence, Amy and Bob are in fact permitted to remove the ‘non-fitted</w:t>
      </w:r>
      <w:r w:rsidR="001A3A81" w:rsidRPr="00042A44">
        <w:rPr>
          <w:rFonts w:ascii="Arial" w:hAnsi="Arial" w:cs="Arial"/>
          <w:color w:val="000000" w:themeColor="text1"/>
          <w:sz w:val="24"/>
          <w:szCs w:val="24"/>
        </w:rPr>
        <w:t xml:space="preserve">’ kitchen </w:t>
      </w:r>
      <w:r w:rsidR="00D43137" w:rsidRPr="00042A44">
        <w:rPr>
          <w:rFonts w:ascii="Arial" w:hAnsi="Arial" w:cs="Arial"/>
          <w:color w:val="000000" w:themeColor="text1"/>
          <w:sz w:val="24"/>
          <w:szCs w:val="24"/>
        </w:rPr>
        <w:t>when applying the degree of annexation test</w:t>
      </w:r>
      <w:r w:rsidR="0099060A" w:rsidRPr="00042A44">
        <w:rPr>
          <w:rFonts w:ascii="Arial" w:hAnsi="Arial" w:cs="Arial"/>
          <w:color w:val="000000" w:themeColor="text1"/>
          <w:sz w:val="24"/>
          <w:szCs w:val="24"/>
        </w:rPr>
        <w:t xml:space="preserve">. That said </w:t>
      </w:r>
      <w:r w:rsidR="00A21CD1" w:rsidRPr="00042A44">
        <w:rPr>
          <w:rFonts w:ascii="Arial" w:hAnsi="Arial" w:cs="Arial"/>
          <w:color w:val="000000" w:themeColor="text1"/>
          <w:sz w:val="24"/>
          <w:szCs w:val="24"/>
        </w:rPr>
        <w:t xml:space="preserve">when reviewing the </w:t>
      </w:r>
      <w:r w:rsidR="0047727F" w:rsidRPr="00042A44">
        <w:rPr>
          <w:rFonts w:ascii="Arial" w:hAnsi="Arial" w:cs="Arial"/>
          <w:color w:val="000000" w:themeColor="text1"/>
          <w:sz w:val="24"/>
          <w:szCs w:val="24"/>
        </w:rPr>
        <w:t>purpose of annexation</w:t>
      </w:r>
      <w:r w:rsidR="00A21CD1" w:rsidRPr="00042A44">
        <w:rPr>
          <w:rFonts w:ascii="Arial" w:hAnsi="Arial" w:cs="Arial"/>
          <w:color w:val="000000" w:themeColor="text1"/>
          <w:sz w:val="24"/>
          <w:szCs w:val="24"/>
        </w:rPr>
        <w:t xml:space="preserve"> set out in </w:t>
      </w:r>
      <w:r w:rsidR="0006080C" w:rsidRPr="00042A44">
        <w:rPr>
          <w:rFonts w:ascii="Arial" w:hAnsi="Arial" w:cs="Arial"/>
          <w:i/>
          <w:iCs/>
          <w:color w:val="000000" w:themeColor="text1"/>
          <w:sz w:val="24"/>
          <w:szCs w:val="24"/>
        </w:rPr>
        <w:t xml:space="preserve">Holland [1872] </w:t>
      </w:r>
      <w:r w:rsidR="00114406" w:rsidRPr="00042A44">
        <w:rPr>
          <w:rFonts w:ascii="Arial" w:hAnsi="Arial" w:cs="Arial"/>
          <w:color w:val="000000" w:themeColor="text1"/>
          <w:sz w:val="24"/>
          <w:szCs w:val="24"/>
        </w:rPr>
        <w:t xml:space="preserve">it is evident that there is an overlap between the two </w:t>
      </w:r>
      <w:r w:rsidR="00F42E96" w:rsidRPr="00042A44">
        <w:rPr>
          <w:rFonts w:ascii="Arial" w:hAnsi="Arial" w:cs="Arial"/>
          <w:color w:val="000000" w:themeColor="text1"/>
          <w:sz w:val="24"/>
          <w:szCs w:val="24"/>
        </w:rPr>
        <w:t xml:space="preserve">tests </w:t>
      </w:r>
      <w:r w:rsidR="00224CAE" w:rsidRPr="00042A44">
        <w:rPr>
          <w:rFonts w:ascii="Arial" w:hAnsi="Arial" w:cs="Arial"/>
          <w:color w:val="000000" w:themeColor="text1"/>
          <w:sz w:val="24"/>
          <w:szCs w:val="24"/>
        </w:rPr>
        <w:t xml:space="preserve">which suggests that </w:t>
      </w:r>
      <w:r w:rsidR="00C352B7" w:rsidRPr="00042A44">
        <w:rPr>
          <w:rFonts w:ascii="Arial" w:hAnsi="Arial" w:cs="Arial"/>
          <w:color w:val="000000" w:themeColor="text1"/>
          <w:sz w:val="24"/>
          <w:szCs w:val="24"/>
        </w:rPr>
        <w:t>the law operates on a case-by-case basi</w:t>
      </w:r>
      <w:r w:rsidR="00136489">
        <w:rPr>
          <w:rFonts w:ascii="Arial" w:hAnsi="Arial" w:cs="Arial"/>
          <w:color w:val="000000" w:themeColor="text1"/>
          <w:sz w:val="24"/>
          <w:szCs w:val="24"/>
        </w:rPr>
        <w:t>s (Gray and Gray,</w:t>
      </w:r>
      <w:r w:rsidR="008249C5">
        <w:rPr>
          <w:rFonts w:ascii="Arial" w:hAnsi="Arial" w:cs="Arial"/>
          <w:color w:val="000000" w:themeColor="text1"/>
          <w:sz w:val="24"/>
          <w:szCs w:val="24"/>
        </w:rPr>
        <w:t xml:space="preserve"> </w:t>
      </w:r>
      <w:r w:rsidR="00136489">
        <w:rPr>
          <w:rFonts w:ascii="Arial" w:hAnsi="Arial" w:cs="Arial"/>
          <w:color w:val="000000" w:themeColor="text1"/>
          <w:sz w:val="24"/>
          <w:szCs w:val="24"/>
        </w:rPr>
        <w:t>2011, pp.1</w:t>
      </w:r>
      <w:r w:rsidR="008045DA">
        <w:rPr>
          <w:rFonts w:ascii="Arial" w:hAnsi="Arial" w:cs="Arial"/>
          <w:color w:val="000000" w:themeColor="text1"/>
          <w:sz w:val="24"/>
          <w:szCs w:val="24"/>
        </w:rPr>
        <w:t>1</w:t>
      </w:r>
      <w:r w:rsidR="00136489">
        <w:rPr>
          <w:rFonts w:ascii="Arial" w:hAnsi="Arial" w:cs="Arial"/>
          <w:color w:val="000000" w:themeColor="text1"/>
          <w:sz w:val="24"/>
          <w:szCs w:val="24"/>
        </w:rPr>
        <w:t>).</w:t>
      </w:r>
    </w:p>
    <w:p w14:paraId="0C07C2A9" w14:textId="77777777" w:rsidR="00F018DF" w:rsidRDefault="00F018DF" w:rsidP="00271B24">
      <w:pPr>
        <w:spacing w:line="480" w:lineRule="auto"/>
        <w:rPr>
          <w:rFonts w:ascii="Arial" w:hAnsi="Arial" w:cs="Arial"/>
          <w:color w:val="000000" w:themeColor="text1"/>
          <w:sz w:val="24"/>
          <w:szCs w:val="24"/>
        </w:rPr>
      </w:pPr>
    </w:p>
    <w:p w14:paraId="3BD2219A" w14:textId="77777777" w:rsidR="000307DA" w:rsidRDefault="002E2169" w:rsidP="0026709B">
      <w:pPr>
        <w:spacing w:line="480" w:lineRule="auto"/>
        <w:jc w:val="both"/>
        <w:rPr>
          <w:rFonts w:ascii="Arial" w:hAnsi="Arial" w:cs="Arial"/>
          <w:color w:val="C00000"/>
          <w:sz w:val="24"/>
          <w:szCs w:val="24"/>
        </w:rPr>
      </w:pPr>
      <w:r w:rsidRPr="00F02F88">
        <w:rPr>
          <w:rFonts w:ascii="Arial" w:hAnsi="Arial" w:cs="Arial"/>
          <w:color w:val="000000" w:themeColor="text1"/>
          <w:sz w:val="24"/>
          <w:szCs w:val="24"/>
        </w:rPr>
        <w:t xml:space="preserve">It is evident when reviewing case law that contradictions are prevalent </w:t>
      </w:r>
      <w:r w:rsidR="00B65B2D" w:rsidRPr="00F02F88">
        <w:rPr>
          <w:rFonts w:ascii="Arial" w:hAnsi="Arial" w:cs="Arial"/>
          <w:color w:val="000000" w:themeColor="text1"/>
          <w:sz w:val="24"/>
          <w:szCs w:val="24"/>
        </w:rPr>
        <w:t xml:space="preserve">which would suggest that neither test is satisfactory. </w:t>
      </w:r>
      <w:r w:rsidR="00B97D48" w:rsidRPr="00F02F88">
        <w:rPr>
          <w:rFonts w:ascii="Arial" w:hAnsi="Arial" w:cs="Arial"/>
          <w:color w:val="000000" w:themeColor="text1"/>
          <w:sz w:val="24"/>
          <w:szCs w:val="24"/>
        </w:rPr>
        <w:t xml:space="preserve">Cases including </w:t>
      </w:r>
      <w:r w:rsidR="00AA7AFE" w:rsidRPr="00F02F88">
        <w:rPr>
          <w:rFonts w:ascii="Arial" w:hAnsi="Arial" w:cs="Arial"/>
          <w:color w:val="000000" w:themeColor="text1"/>
          <w:sz w:val="24"/>
          <w:szCs w:val="24"/>
        </w:rPr>
        <w:t xml:space="preserve">but </w:t>
      </w:r>
      <w:r w:rsidR="009E3750" w:rsidRPr="00F02F88">
        <w:rPr>
          <w:rFonts w:ascii="Arial" w:hAnsi="Arial" w:cs="Arial"/>
          <w:color w:val="000000" w:themeColor="text1"/>
          <w:sz w:val="24"/>
          <w:szCs w:val="24"/>
        </w:rPr>
        <w:t>notwithstanding</w:t>
      </w:r>
      <w:r w:rsidR="00AA7AFE" w:rsidRPr="00F02F88">
        <w:rPr>
          <w:rFonts w:ascii="Arial" w:hAnsi="Arial" w:cs="Arial"/>
          <w:color w:val="000000" w:themeColor="text1"/>
          <w:sz w:val="24"/>
          <w:szCs w:val="24"/>
        </w:rPr>
        <w:t xml:space="preserve"> </w:t>
      </w:r>
      <w:r w:rsidR="00AA7AFE" w:rsidRPr="00F02F88">
        <w:rPr>
          <w:rFonts w:ascii="Arial" w:hAnsi="Arial" w:cs="Arial"/>
          <w:i/>
          <w:iCs/>
          <w:color w:val="000000" w:themeColor="text1"/>
          <w:sz w:val="24"/>
          <w:szCs w:val="24"/>
        </w:rPr>
        <w:t>Caddick [</w:t>
      </w:r>
      <w:r w:rsidR="0063051E" w:rsidRPr="00F02F88">
        <w:rPr>
          <w:rFonts w:ascii="Arial" w:hAnsi="Arial" w:cs="Arial"/>
          <w:i/>
          <w:iCs/>
          <w:color w:val="000000" w:themeColor="text1"/>
          <w:sz w:val="24"/>
          <w:szCs w:val="24"/>
        </w:rPr>
        <w:t>2015</w:t>
      </w:r>
      <w:r w:rsidR="00AA7AFE" w:rsidRPr="00F02F88">
        <w:rPr>
          <w:rFonts w:ascii="Arial" w:hAnsi="Arial" w:cs="Arial"/>
          <w:i/>
          <w:iCs/>
          <w:color w:val="000000" w:themeColor="text1"/>
          <w:sz w:val="24"/>
          <w:szCs w:val="24"/>
        </w:rPr>
        <w:t>]</w:t>
      </w:r>
      <w:r w:rsidR="0063051E" w:rsidRPr="00F02F88">
        <w:rPr>
          <w:rFonts w:ascii="Arial" w:hAnsi="Arial" w:cs="Arial"/>
          <w:i/>
          <w:iCs/>
          <w:color w:val="000000" w:themeColor="text1"/>
          <w:sz w:val="24"/>
          <w:szCs w:val="24"/>
        </w:rPr>
        <w:t xml:space="preserve"> </w:t>
      </w:r>
      <w:r w:rsidR="0063051E" w:rsidRPr="00F02F88">
        <w:rPr>
          <w:rFonts w:ascii="Arial" w:hAnsi="Arial" w:cs="Arial"/>
          <w:color w:val="000000" w:themeColor="text1"/>
          <w:sz w:val="24"/>
          <w:szCs w:val="24"/>
        </w:rPr>
        <w:t xml:space="preserve">contradict the </w:t>
      </w:r>
      <w:r w:rsidR="00F772AE" w:rsidRPr="00F02F88">
        <w:rPr>
          <w:rFonts w:ascii="Arial" w:hAnsi="Arial" w:cs="Arial"/>
          <w:color w:val="000000" w:themeColor="text1"/>
          <w:sz w:val="24"/>
          <w:szCs w:val="24"/>
        </w:rPr>
        <w:t xml:space="preserve">judgement set out in </w:t>
      </w:r>
      <w:r w:rsidR="00F772AE" w:rsidRPr="00F02F88">
        <w:rPr>
          <w:rFonts w:ascii="Arial" w:hAnsi="Arial" w:cs="Arial"/>
          <w:i/>
          <w:iCs/>
          <w:color w:val="000000" w:themeColor="text1"/>
          <w:sz w:val="24"/>
          <w:szCs w:val="24"/>
        </w:rPr>
        <w:t>Elitestone [1997]</w:t>
      </w:r>
      <w:r w:rsidR="002056DD" w:rsidRPr="00F02F88">
        <w:rPr>
          <w:rFonts w:ascii="Arial" w:hAnsi="Arial" w:cs="Arial"/>
          <w:i/>
          <w:iCs/>
          <w:color w:val="000000" w:themeColor="text1"/>
          <w:sz w:val="24"/>
          <w:szCs w:val="24"/>
        </w:rPr>
        <w:t xml:space="preserve"> </w:t>
      </w:r>
      <w:r w:rsidR="002056DD" w:rsidRPr="00F02F88">
        <w:rPr>
          <w:rFonts w:ascii="Arial" w:hAnsi="Arial" w:cs="Arial"/>
          <w:color w:val="000000" w:themeColor="text1"/>
          <w:sz w:val="24"/>
          <w:szCs w:val="24"/>
        </w:rPr>
        <w:t>in relation to a holiday bungalow</w:t>
      </w:r>
      <w:r w:rsidR="00857725" w:rsidRPr="00F02F88">
        <w:rPr>
          <w:rFonts w:ascii="Arial" w:hAnsi="Arial" w:cs="Arial"/>
          <w:color w:val="000000" w:themeColor="text1"/>
          <w:sz w:val="24"/>
          <w:szCs w:val="24"/>
        </w:rPr>
        <w:t xml:space="preserve"> status as a fixture</w:t>
      </w:r>
      <w:r w:rsidR="001045E9" w:rsidRPr="00F02F88">
        <w:rPr>
          <w:rFonts w:ascii="Arial" w:hAnsi="Arial" w:cs="Arial"/>
          <w:i/>
          <w:iCs/>
          <w:color w:val="000000" w:themeColor="text1"/>
          <w:sz w:val="24"/>
          <w:szCs w:val="24"/>
        </w:rPr>
        <w:t xml:space="preserve">. </w:t>
      </w:r>
      <w:r w:rsidR="001045E9" w:rsidRPr="00F02F88">
        <w:rPr>
          <w:rFonts w:ascii="Arial" w:hAnsi="Arial" w:cs="Arial"/>
          <w:color w:val="000000" w:themeColor="text1"/>
          <w:sz w:val="24"/>
          <w:szCs w:val="24"/>
        </w:rPr>
        <w:t xml:space="preserve">Furthermore, </w:t>
      </w:r>
      <w:r w:rsidR="0027246C" w:rsidRPr="00F02F88">
        <w:rPr>
          <w:rFonts w:ascii="Arial" w:hAnsi="Arial" w:cs="Arial"/>
          <w:i/>
          <w:iCs/>
          <w:color w:val="000000" w:themeColor="text1"/>
          <w:sz w:val="24"/>
          <w:szCs w:val="24"/>
        </w:rPr>
        <w:t>TSB v Botham</w:t>
      </w:r>
      <w:r w:rsidR="009D5104" w:rsidRPr="00F02F88">
        <w:rPr>
          <w:rFonts w:ascii="Arial" w:hAnsi="Arial" w:cs="Arial"/>
          <w:i/>
          <w:iCs/>
          <w:color w:val="000000" w:themeColor="text1"/>
          <w:sz w:val="24"/>
          <w:szCs w:val="24"/>
        </w:rPr>
        <w:t xml:space="preserve"> [1996] </w:t>
      </w:r>
      <w:r w:rsidR="009C1450" w:rsidRPr="00F02F88">
        <w:rPr>
          <w:rFonts w:ascii="Arial" w:hAnsi="Arial" w:cs="Arial"/>
          <w:color w:val="000000" w:themeColor="text1"/>
          <w:sz w:val="24"/>
          <w:szCs w:val="24"/>
        </w:rPr>
        <w:t xml:space="preserve">and </w:t>
      </w:r>
      <w:r w:rsidR="009C1450" w:rsidRPr="00F02F88">
        <w:rPr>
          <w:rFonts w:ascii="Arial" w:hAnsi="Arial" w:cs="Arial"/>
          <w:i/>
          <w:iCs/>
          <w:color w:val="000000" w:themeColor="text1"/>
          <w:sz w:val="24"/>
          <w:szCs w:val="24"/>
        </w:rPr>
        <w:t xml:space="preserve">Hamp v Bygrave [1983] </w:t>
      </w:r>
      <w:r w:rsidR="009C1450" w:rsidRPr="00F02F88">
        <w:rPr>
          <w:rFonts w:ascii="Arial" w:hAnsi="Arial" w:cs="Arial"/>
          <w:color w:val="000000" w:themeColor="text1"/>
          <w:sz w:val="24"/>
          <w:szCs w:val="24"/>
        </w:rPr>
        <w:t xml:space="preserve">contradict </w:t>
      </w:r>
      <w:r w:rsidR="00CA3A38" w:rsidRPr="00F02F88">
        <w:rPr>
          <w:rFonts w:ascii="Arial" w:hAnsi="Arial" w:cs="Arial"/>
          <w:i/>
          <w:iCs/>
          <w:color w:val="000000" w:themeColor="text1"/>
          <w:sz w:val="24"/>
          <w:szCs w:val="24"/>
        </w:rPr>
        <w:t xml:space="preserve">Berkley [1977] </w:t>
      </w:r>
      <w:r w:rsidR="00365D13" w:rsidRPr="00F02F88">
        <w:rPr>
          <w:rFonts w:ascii="Arial" w:hAnsi="Arial" w:cs="Arial"/>
          <w:color w:val="000000" w:themeColor="text1"/>
          <w:sz w:val="24"/>
          <w:szCs w:val="24"/>
        </w:rPr>
        <w:t>(Bray, 2016, pp.</w:t>
      </w:r>
      <w:r w:rsidR="009E3750" w:rsidRPr="00F02F88">
        <w:rPr>
          <w:rFonts w:ascii="Arial" w:hAnsi="Arial" w:cs="Arial"/>
          <w:color w:val="000000" w:themeColor="text1"/>
          <w:sz w:val="24"/>
          <w:szCs w:val="24"/>
        </w:rPr>
        <w:t>12,</w:t>
      </w:r>
      <w:r w:rsidR="00365D13" w:rsidRPr="00F02F88">
        <w:rPr>
          <w:rFonts w:ascii="Arial" w:hAnsi="Arial" w:cs="Arial"/>
          <w:color w:val="000000" w:themeColor="text1"/>
          <w:sz w:val="24"/>
          <w:szCs w:val="24"/>
        </w:rPr>
        <w:t>15).</w:t>
      </w:r>
      <w:r w:rsidR="009E3750" w:rsidRPr="00F02F88">
        <w:rPr>
          <w:rFonts w:ascii="Arial" w:hAnsi="Arial" w:cs="Arial"/>
          <w:color w:val="000000" w:themeColor="text1"/>
          <w:sz w:val="24"/>
          <w:szCs w:val="24"/>
        </w:rPr>
        <w:t xml:space="preserve"> This exemplifies </w:t>
      </w:r>
      <w:r w:rsidR="00724875" w:rsidRPr="00F02F88">
        <w:rPr>
          <w:rFonts w:ascii="Arial" w:hAnsi="Arial" w:cs="Arial"/>
          <w:color w:val="000000" w:themeColor="text1"/>
          <w:sz w:val="24"/>
          <w:szCs w:val="24"/>
        </w:rPr>
        <w:t xml:space="preserve">the </w:t>
      </w:r>
      <w:r w:rsidR="0024443F" w:rsidRPr="00F02F88">
        <w:rPr>
          <w:rFonts w:ascii="Arial" w:hAnsi="Arial" w:cs="Arial"/>
          <w:color w:val="000000" w:themeColor="text1"/>
          <w:sz w:val="24"/>
          <w:szCs w:val="24"/>
        </w:rPr>
        <w:t xml:space="preserve">uncertainty </w:t>
      </w:r>
      <w:r w:rsidR="0051643E" w:rsidRPr="00F02F88">
        <w:rPr>
          <w:rFonts w:ascii="Arial" w:hAnsi="Arial" w:cs="Arial"/>
          <w:color w:val="000000" w:themeColor="text1"/>
          <w:sz w:val="24"/>
          <w:szCs w:val="24"/>
        </w:rPr>
        <w:t xml:space="preserve">purchasers face when </w:t>
      </w:r>
      <w:r w:rsidR="00087B1A" w:rsidRPr="00F02F88">
        <w:rPr>
          <w:rFonts w:ascii="Arial" w:hAnsi="Arial" w:cs="Arial"/>
          <w:color w:val="000000" w:themeColor="text1"/>
          <w:sz w:val="24"/>
          <w:szCs w:val="24"/>
        </w:rPr>
        <w:t>a contract is</w:t>
      </w:r>
      <w:r w:rsidR="0024443F" w:rsidRPr="00F02F88">
        <w:rPr>
          <w:rFonts w:ascii="Arial" w:hAnsi="Arial" w:cs="Arial"/>
          <w:color w:val="000000" w:themeColor="text1"/>
          <w:sz w:val="24"/>
          <w:szCs w:val="24"/>
        </w:rPr>
        <w:t xml:space="preserve"> silen</w:t>
      </w:r>
      <w:r w:rsidR="00116447">
        <w:rPr>
          <w:rFonts w:ascii="Arial" w:hAnsi="Arial" w:cs="Arial"/>
          <w:color w:val="000000" w:themeColor="text1"/>
          <w:sz w:val="24"/>
          <w:szCs w:val="24"/>
        </w:rPr>
        <w:t>t (O’Neil, 2015).</w:t>
      </w:r>
      <w:r w:rsidR="00A448EF" w:rsidRPr="00907364">
        <w:rPr>
          <w:rFonts w:ascii="Arial" w:hAnsi="Arial" w:cs="Arial"/>
          <w:color w:val="C00000"/>
          <w:sz w:val="24"/>
          <w:szCs w:val="24"/>
        </w:rPr>
        <w:t xml:space="preserve"> </w:t>
      </w:r>
    </w:p>
    <w:p w14:paraId="4529B844" w14:textId="4C59FE7E" w:rsidR="00235A13" w:rsidRPr="00F02F88" w:rsidRDefault="000D5209" w:rsidP="0026709B">
      <w:pPr>
        <w:spacing w:line="480" w:lineRule="auto"/>
        <w:jc w:val="both"/>
        <w:rPr>
          <w:rFonts w:ascii="Arial" w:hAnsi="Arial" w:cs="Arial"/>
          <w:color w:val="000000" w:themeColor="text1"/>
          <w:sz w:val="24"/>
          <w:szCs w:val="24"/>
        </w:rPr>
      </w:pPr>
      <w:r w:rsidRPr="00F02F88">
        <w:rPr>
          <w:rFonts w:ascii="Arial" w:hAnsi="Arial" w:cs="Arial"/>
          <w:color w:val="000000" w:themeColor="text1"/>
          <w:sz w:val="24"/>
          <w:szCs w:val="24"/>
        </w:rPr>
        <w:t xml:space="preserve">In Selina’s case </w:t>
      </w:r>
      <w:r w:rsidR="00244A90" w:rsidRPr="00F02F88">
        <w:rPr>
          <w:rFonts w:ascii="Arial" w:hAnsi="Arial" w:cs="Arial"/>
          <w:color w:val="000000" w:themeColor="text1"/>
          <w:sz w:val="24"/>
          <w:szCs w:val="24"/>
        </w:rPr>
        <w:t>a</w:t>
      </w:r>
      <w:r w:rsidRPr="00F02F88">
        <w:rPr>
          <w:rFonts w:ascii="Arial" w:hAnsi="Arial" w:cs="Arial"/>
          <w:color w:val="000000" w:themeColor="text1"/>
          <w:sz w:val="24"/>
          <w:szCs w:val="24"/>
        </w:rPr>
        <w:t xml:space="preserve">part from the statue and summerhouse which were fixed to the ground, all other items at ‘Rose Cottage’ could be described as resting upon their own weight. The landscaped garden could be argued as an extension of living space and the items </w:t>
      </w:r>
      <w:r w:rsidRPr="00F02F88">
        <w:rPr>
          <w:rFonts w:ascii="Arial" w:hAnsi="Arial" w:cs="Arial"/>
          <w:color w:val="000000" w:themeColor="text1"/>
          <w:sz w:val="24"/>
          <w:szCs w:val="24"/>
        </w:rPr>
        <w:lastRenderedPageBreak/>
        <w:t xml:space="preserve">contribute to the overall appeal of the land. However, in spite of the fact that these items were not permanently fixed some of the items formed part of a landscaped ‘cottage style’ garden therefore, given the contract is silent and applying the key tests found in </w:t>
      </w:r>
      <w:r w:rsidRPr="00F13827">
        <w:rPr>
          <w:rFonts w:ascii="Arial" w:hAnsi="Arial" w:cs="Arial"/>
          <w:i/>
          <w:iCs/>
          <w:color w:val="000000" w:themeColor="text1"/>
          <w:sz w:val="24"/>
          <w:szCs w:val="24"/>
        </w:rPr>
        <w:t>Holland [</w:t>
      </w:r>
      <w:r w:rsidR="00F13827">
        <w:rPr>
          <w:rFonts w:ascii="Arial" w:hAnsi="Arial" w:cs="Arial"/>
          <w:i/>
          <w:iCs/>
          <w:color w:val="000000" w:themeColor="text1"/>
          <w:sz w:val="24"/>
          <w:szCs w:val="24"/>
        </w:rPr>
        <w:t>1872</w:t>
      </w:r>
      <w:r w:rsidRPr="00F13827">
        <w:rPr>
          <w:rFonts w:ascii="Arial" w:hAnsi="Arial" w:cs="Arial"/>
          <w:i/>
          <w:iCs/>
          <w:color w:val="000000" w:themeColor="text1"/>
          <w:sz w:val="24"/>
          <w:szCs w:val="24"/>
        </w:rPr>
        <w:t>]</w:t>
      </w:r>
      <w:r w:rsidRPr="00F02F88">
        <w:rPr>
          <w:rFonts w:ascii="Arial" w:hAnsi="Arial" w:cs="Arial"/>
          <w:color w:val="000000" w:themeColor="text1"/>
          <w:sz w:val="24"/>
          <w:szCs w:val="24"/>
        </w:rPr>
        <w:t xml:space="preserve"> and examining case law the statue, terracotta pots, rustic seat and summerhouse could all be classified as ‘fixtures’ despite their movability and form part of the realty</w:t>
      </w:r>
      <w:r w:rsidR="00BD685E">
        <w:rPr>
          <w:rFonts w:ascii="Arial" w:hAnsi="Arial" w:cs="Arial"/>
          <w:color w:val="000000" w:themeColor="text1"/>
          <w:sz w:val="24"/>
          <w:szCs w:val="24"/>
        </w:rPr>
        <w:t>.</w:t>
      </w:r>
      <w:r w:rsidRPr="00F02F88">
        <w:rPr>
          <w:rFonts w:ascii="Arial" w:hAnsi="Arial" w:cs="Arial"/>
          <w:color w:val="000000" w:themeColor="text1"/>
          <w:sz w:val="24"/>
          <w:szCs w:val="24"/>
        </w:rPr>
        <w:t xml:space="preserve"> </w:t>
      </w:r>
      <w:r w:rsidR="00BD685E">
        <w:rPr>
          <w:rFonts w:ascii="Arial" w:hAnsi="Arial" w:cs="Arial"/>
          <w:color w:val="000000" w:themeColor="text1"/>
          <w:sz w:val="24"/>
          <w:szCs w:val="24"/>
        </w:rPr>
        <w:t>T</w:t>
      </w:r>
      <w:r w:rsidRPr="00F02F88">
        <w:rPr>
          <w:rFonts w:ascii="Arial" w:hAnsi="Arial" w:cs="Arial"/>
          <w:color w:val="000000" w:themeColor="text1"/>
          <w:sz w:val="24"/>
          <w:szCs w:val="24"/>
        </w:rPr>
        <w:t>he only item Amy and Bob would be permitted to remove would be the non-fitted kitchen.</w:t>
      </w:r>
    </w:p>
    <w:p w14:paraId="2A54AAE2" w14:textId="2D1EA299" w:rsidR="00330546" w:rsidRPr="00BD1998" w:rsidRDefault="00BD1998" w:rsidP="00BD1998">
      <w:pPr>
        <w:spacing w:line="480" w:lineRule="auto"/>
        <w:jc w:val="center"/>
        <w:rPr>
          <w:rFonts w:ascii="Arial" w:hAnsi="Arial" w:cs="Arial"/>
          <w:b/>
          <w:bCs/>
          <w:color w:val="FF0000"/>
          <w:sz w:val="24"/>
          <w:szCs w:val="24"/>
          <w:u w:val="single"/>
        </w:rPr>
      </w:pPr>
      <w:r>
        <w:rPr>
          <w:rFonts w:ascii="Arial" w:hAnsi="Arial" w:cs="Arial"/>
          <w:b/>
          <w:bCs/>
          <w:color w:val="FF0000"/>
          <w:sz w:val="24"/>
          <w:szCs w:val="24"/>
          <w:u w:val="single"/>
        </w:rPr>
        <w:t>TAKE OUT 43 WORDS FOLLOWING SIMILARITY CHECK!!!</w:t>
      </w:r>
    </w:p>
    <w:p w14:paraId="7132857D" w14:textId="77777777" w:rsidR="00DE37F9" w:rsidRDefault="00DE37F9" w:rsidP="008A3FA8">
      <w:pPr>
        <w:spacing w:line="480" w:lineRule="auto"/>
        <w:rPr>
          <w:rFonts w:ascii="Arial" w:hAnsi="Arial" w:cs="Arial"/>
          <w:sz w:val="24"/>
          <w:szCs w:val="24"/>
        </w:rPr>
      </w:pPr>
    </w:p>
    <w:p w14:paraId="72AF71CB" w14:textId="12EBFEF0" w:rsidR="00640933" w:rsidRDefault="00640933" w:rsidP="008A3FA8">
      <w:pPr>
        <w:spacing w:line="480" w:lineRule="auto"/>
        <w:rPr>
          <w:rFonts w:ascii="Arial" w:hAnsi="Arial" w:cs="Arial"/>
          <w:b/>
          <w:bCs/>
          <w:sz w:val="24"/>
          <w:szCs w:val="24"/>
          <w:u w:val="single"/>
        </w:rPr>
      </w:pPr>
      <w:r>
        <w:rPr>
          <w:rFonts w:ascii="Arial" w:hAnsi="Arial" w:cs="Arial"/>
          <w:b/>
          <w:bCs/>
          <w:sz w:val="24"/>
          <w:szCs w:val="24"/>
          <w:u w:val="single"/>
        </w:rPr>
        <w:t>Reference List:</w:t>
      </w:r>
    </w:p>
    <w:p w14:paraId="4A11A62C" w14:textId="03636915" w:rsidR="00DA54DA" w:rsidRDefault="00DA54DA" w:rsidP="008A3FA8">
      <w:pPr>
        <w:spacing w:line="480" w:lineRule="auto"/>
        <w:rPr>
          <w:rFonts w:ascii="Arial" w:hAnsi="Arial" w:cs="Arial"/>
          <w:sz w:val="24"/>
          <w:szCs w:val="24"/>
        </w:rPr>
      </w:pPr>
      <w:r>
        <w:rPr>
          <w:rFonts w:ascii="Arial" w:hAnsi="Arial" w:cs="Arial"/>
          <w:sz w:val="24"/>
          <w:szCs w:val="24"/>
        </w:rPr>
        <w:t xml:space="preserve">Bray, J. (2016) </w:t>
      </w:r>
      <w:r>
        <w:rPr>
          <w:rFonts w:ascii="Arial" w:hAnsi="Arial" w:cs="Arial"/>
          <w:i/>
          <w:iCs/>
          <w:sz w:val="24"/>
          <w:szCs w:val="24"/>
        </w:rPr>
        <w:t xml:space="preserve">Unlocking Land Law. </w:t>
      </w:r>
      <w:r>
        <w:rPr>
          <w:rFonts w:ascii="Arial" w:hAnsi="Arial" w:cs="Arial"/>
          <w:sz w:val="24"/>
          <w:szCs w:val="24"/>
        </w:rPr>
        <w:t>5</w:t>
      </w:r>
      <w:r w:rsidRPr="00DA54DA">
        <w:rPr>
          <w:rFonts w:ascii="Arial" w:hAnsi="Arial" w:cs="Arial"/>
          <w:sz w:val="24"/>
          <w:szCs w:val="24"/>
          <w:vertAlign w:val="superscript"/>
        </w:rPr>
        <w:t>th</w:t>
      </w:r>
      <w:r>
        <w:rPr>
          <w:rFonts w:ascii="Arial" w:hAnsi="Arial" w:cs="Arial"/>
          <w:sz w:val="24"/>
          <w:szCs w:val="24"/>
        </w:rPr>
        <w:t xml:space="preserve"> Ed. </w:t>
      </w:r>
      <w:r w:rsidR="00A45012">
        <w:rPr>
          <w:rFonts w:ascii="Arial" w:hAnsi="Arial" w:cs="Arial"/>
          <w:sz w:val="24"/>
          <w:szCs w:val="24"/>
        </w:rPr>
        <w:t xml:space="preserve">New York: </w:t>
      </w:r>
      <w:r w:rsidR="00442BA3">
        <w:rPr>
          <w:rFonts w:ascii="Arial" w:hAnsi="Arial" w:cs="Arial"/>
          <w:sz w:val="24"/>
          <w:szCs w:val="24"/>
        </w:rPr>
        <w:t>Routledge.</w:t>
      </w:r>
    </w:p>
    <w:p w14:paraId="17C2F68A" w14:textId="745D8E63" w:rsidR="003E144F" w:rsidRPr="00A965CE" w:rsidRDefault="003E144F" w:rsidP="008A3FA8">
      <w:pPr>
        <w:spacing w:line="480" w:lineRule="auto"/>
        <w:rPr>
          <w:rFonts w:ascii="Arial" w:hAnsi="Arial" w:cs="Arial"/>
          <w:sz w:val="24"/>
          <w:szCs w:val="24"/>
        </w:rPr>
      </w:pPr>
      <w:r>
        <w:rPr>
          <w:rFonts w:ascii="Arial" w:hAnsi="Arial" w:cs="Arial"/>
          <w:sz w:val="24"/>
          <w:szCs w:val="24"/>
        </w:rPr>
        <w:t>Clar</w:t>
      </w:r>
      <w:r w:rsidR="00A965CE">
        <w:rPr>
          <w:rFonts w:ascii="Arial" w:hAnsi="Arial" w:cs="Arial"/>
          <w:sz w:val="24"/>
          <w:szCs w:val="24"/>
        </w:rPr>
        <w:t xml:space="preserve">ke, S., and Greer, S. (2020) </w:t>
      </w:r>
      <w:r w:rsidR="00A965CE">
        <w:rPr>
          <w:rFonts w:ascii="Arial" w:hAnsi="Arial" w:cs="Arial"/>
          <w:i/>
          <w:iCs/>
          <w:sz w:val="24"/>
          <w:szCs w:val="24"/>
        </w:rPr>
        <w:t xml:space="preserve">Land Law Directions. </w:t>
      </w:r>
      <w:r w:rsidR="00A965CE">
        <w:rPr>
          <w:rFonts w:ascii="Arial" w:hAnsi="Arial" w:cs="Arial"/>
          <w:sz w:val="24"/>
          <w:szCs w:val="24"/>
        </w:rPr>
        <w:t>7</w:t>
      </w:r>
      <w:r w:rsidR="00A965CE" w:rsidRPr="00A965CE">
        <w:rPr>
          <w:rFonts w:ascii="Arial" w:hAnsi="Arial" w:cs="Arial"/>
          <w:sz w:val="24"/>
          <w:szCs w:val="24"/>
          <w:vertAlign w:val="superscript"/>
        </w:rPr>
        <w:t>th</w:t>
      </w:r>
      <w:r w:rsidR="00A965CE">
        <w:rPr>
          <w:rFonts w:ascii="Arial" w:hAnsi="Arial" w:cs="Arial"/>
          <w:sz w:val="24"/>
          <w:szCs w:val="24"/>
        </w:rPr>
        <w:t xml:space="preserve"> Ed. </w:t>
      </w:r>
      <w:r w:rsidR="00636FBF">
        <w:rPr>
          <w:rFonts w:ascii="Arial" w:hAnsi="Arial" w:cs="Arial"/>
          <w:sz w:val="24"/>
          <w:szCs w:val="24"/>
        </w:rPr>
        <w:t>United Kingdom: Oxford University Press.</w:t>
      </w:r>
    </w:p>
    <w:p w14:paraId="029FF803" w14:textId="05CDFA8D" w:rsidR="00640933" w:rsidRDefault="00961AA3" w:rsidP="008A3FA8">
      <w:pPr>
        <w:spacing w:line="480" w:lineRule="auto"/>
        <w:rPr>
          <w:rFonts w:ascii="Arial" w:hAnsi="Arial" w:cs="Arial"/>
          <w:sz w:val="24"/>
          <w:szCs w:val="24"/>
        </w:rPr>
      </w:pPr>
      <w:r>
        <w:rPr>
          <w:rFonts w:ascii="Arial" w:hAnsi="Arial" w:cs="Arial"/>
          <w:sz w:val="24"/>
          <w:szCs w:val="24"/>
        </w:rPr>
        <w:t xml:space="preserve">Duddington, </w:t>
      </w:r>
      <w:r w:rsidR="006E0EE7">
        <w:rPr>
          <w:rFonts w:ascii="Arial" w:hAnsi="Arial" w:cs="Arial"/>
          <w:sz w:val="24"/>
          <w:szCs w:val="24"/>
        </w:rPr>
        <w:t xml:space="preserve">J. (2015) </w:t>
      </w:r>
      <w:r w:rsidR="00A43FB1">
        <w:rPr>
          <w:rFonts w:ascii="Arial" w:hAnsi="Arial" w:cs="Arial"/>
          <w:i/>
          <w:iCs/>
          <w:sz w:val="24"/>
          <w:szCs w:val="24"/>
        </w:rPr>
        <w:t xml:space="preserve">Land Law. </w:t>
      </w:r>
      <w:r w:rsidR="00A43FB1">
        <w:rPr>
          <w:rFonts w:ascii="Arial" w:hAnsi="Arial" w:cs="Arial"/>
          <w:sz w:val="24"/>
          <w:szCs w:val="24"/>
        </w:rPr>
        <w:t>5</w:t>
      </w:r>
      <w:r w:rsidR="00A43FB1" w:rsidRPr="00A43FB1">
        <w:rPr>
          <w:rFonts w:ascii="Arial" w:hAnsi="Arial" w:cs="Arial"/>
          <w:sz w:val="24"/>
          <w:szCs w:val="24"/>
          <w:vertAlign w:val="superscript"/>
        </w:rPr>
        <w:t>th</w:t>
      </w:r>
      <w:r w:rsidR="00A43FB1">
        <w:rPr>
          <w:rFonts w:ascii="Arial" w:hAnsi="Arial" w:cs="Arial"/>
          <w:sz w:val="24"/>
          <w:szCs w:val="24"/>
        </w:rPr>
        <w:t xml:space="preserve"> Ed. </w:t>
      </w:r>
      <w:r w:rsidR="00B8616C">
        <w:rPr>
          <w:rFonts w:ascii="Arial" w:hAnsi="Arial" w:cs="Arial"/>
          <w:sz w:val="24"/>
          <w:szCs w:val="24"/>
        </w:rPr>
        <w:t>United Kingdom: Pearson Education Limited.</w:t>
      </w:r>
    </w:p>
    <w:p w14:paraId="41154369" w14:textId="53C4405B" w:rsidR="00CE6DA9" w:rsidRDefault="00CE6DA9" w:rsidP="008A3FA8">
      <w:pPr>
        <w:spacing w:line="480" w:lineRule="auto"/>
        <w:rPr>
          <w:rFonts w:ascii="Arial" w:hAnsi="Arial" w:cs="Arial"/>
          <w:sz w:val="24"/>
          <w:szCs w:val="24"/>
        </w:rPr>
      </w:pPr>
      <w:r>
        <w:rPr>
          <w:rFonts w:ascii="Arial" w:hAnsi="Arial" w:cs="Arial"/>
          <w:sz w:val="24"/>
          <w:szCs w:val="24"/>
        </w:rPr>
        <w:t xml:space="preserve">Gray, K., and Gray, </w:t>
      </w:r>
      <w:r w:rsidR="002C519C">
        <w:rPr>
          <w:rFonts w:ascii="Arial" w:hAnsi="Arial" w:cs="Arial"/>
          <w:sz w:val="24"/>
          <w:szCs w:val="24"/>
        </w:rPr>
        <w:t xml:space="preserve">S. F. (2011) </w:t>
      </w:r>
      <w:r w:rsidR="0054342D">
        <w:rPr>
          <w:rFonts w:ascii="Arial" w:hAnsi="Arial" w:cs="Arial"/>
          <w:i/>
          <w:iCs/>
          <w:sz w:val="24"/>
          <w:szCs w:val="24"/>
        </w:rPr>
        <w:t>Land Law.</w:t>
      </w:r>
      <w:r w:rsidR="002C519C">
        <w:rPr>
          <w:rFonts w:ascii="Arial" w:hAnsi="Arial" w:cs="Arial"/>
          <w:sz w:val="24"/>
          <w:szCs w:val="24"/>
        </w:rPr>
        <w:t xml:space="preserve"> 7</w:t>
      </w:r>
      <w:r w:rsidR="002C519C" w:rsidRPr="002C519C">
        <w:rPr>
          <w:rFonts w:ascii="Arial" w:hAnsi="Arial" w:cs="Arial"/>
          <w:sz w:val="24"/>
          <w:szCs w:val="24"/>
          <w:vertAlign w:val="superscript"/>
        </w:rPr>
        <w:t>th</w:t>
      </w:r>
      <w:r w:rsidR="002C519C">
        <w:rPr>
          <w:rFonts w:ascii="Arial" w:hAnsi="Arial" w:cs="Arial"/>
          <w:sz w:val="24"/>
          <w:szCs w:val="24"/>
        </w:rPr>
        <w:t xml:space="preserve"> Ed. New York: Oxford University Press.</w:t>
      </w:r>
    </w:p>
    <w:p w14:paraId="2AE5BEB3" w14:textId="6E6F5AC7" w:rsidR="00DA45D2" w:rsidRDefault="00DA45D2" w:rsidP="008A3FA8">
      <w:pPr>
        <w:spacing w:line="480" w:lineRule="auto"/>
        <w:rPr>
          <w:rFonts w:ascii="Arial" w:hAnsi="Arial" w:cs="Arial"/>
          <w:sz w:val="24"/>
          <w:szCs w:val="24"/>
        </w:rPr>
      </w:pPr>
      <w:r>
        <w:rPr>
          <w:rFonts w:ascii="Arial" w:hAnsi="Arial" w:cs="Arial"/>
          <w:sz w:val="24"/>
          <w:szCs w:val="24"/>
        </w:rPr>
        <w:t>Jourdan, S.</w:t>
      </w:r>
      <w:r w:rsidR="006F1275">
        <w:rPr>
          <w:rFonts w:ascii="Arial" w:hAnsi="Arial" w:cs="Arial"/>
          <w:sz w:val="24"/>
          <w:szCs w:val="24"/>
        </w:rPr>
        <w:t xml:space="preserve"> (2015) </w:t>
      </w:r>
      <w:r w:rsidR="006F1275">
        <w:rPr>
          <w:rFonts w:ascii="Arial" w:hAnsi="Arial" w:cs="Arial"/>
          <w:i/>
          <w:iCs/>
          <w:sz w:val="24"/>
          <w:szCs w:val="24"/>
        </w:rPr>
        <w:t>Battles about chattels – fixtures and chattels in dila</w:t>
      </w:r>
      <w:r w:rsidR="004157E7">
        <w:rPr>
          <w:rFonts w:ascii="Arial" w:hAnsi="Arial" w:cs="Arial"/>
          <w:i/>
          <w:iCs/>
          <w:sz w:val="24"/>
          <w:szCs w:val="24"/>
        </w:rPr>
        <w:t xml:space="preserve">pidations disputes. </w:t>
      </w:r>
      <w:r w:rsidR="004157E7">
        <w:rPr>
          <w:rFonts w:ascii="Arial" w:hAnsi="Arial" w:cs="Arial"/>
          <w:sz w:val="24"/>
          <w:szCs w:val="24"/>
        </w:rPr>
        <w:t xml:space="preserve">Available at: </w:t>
      </w:r>
      <w:hyperlink r:id="rId7" w:history="1">
        <w:r w:rsidR="00680189" w:rsidRPr="005516D2">
          <w:rPr>
            <w:rStyle w:val="Hyperlink"/>
            <w:rFonts w:ascii="Arial" w:hAnsi="Arial" w:cs="Arial"/>
            <w:sz w:val="24"/>
            <w:szCs w:val="24"/>
          </w:rPr>
          <w:t>https://www.falcon-chambers.com/images/uploads/articles/Battles-about-chattels.pdf</w:t>
        </w:r>
      </w:hyperlink>
      <w:r w:rsidR="00680189">
        <w:rPr>
          <w:rFonts w:ascii="Arial" w:hAnsi="Arial" w:cs="Arial"/>
          <w:sz w:val="24"/>
          <w:szCs w:val="24"/>
        </w:rPr>
        <w:t xml:space="preserve"> (Accessed on: </w:t>
      </w:r>
      <w:r w:rsidR="00CF5432">
        <w:rPr>
          <w:rFonts w:ascii="Arial" w:hAnsi="Arial" w:cs="Arial"/>
          <w:sz w:val="24"/>
          <w:szCs w:val="24"/>
        </w:rPr>
        <w:t>25</w:t>
      </w:r>
      <w:r w:rsidR="00CF5432" w:rsidRPr="00CF5432">
        <w:rPr>
          <w:rFonts w:ascii="Arial" w:hAnsi="Arial" w:cs="Arial"/>
          <w:sz w:val="24"/>
          <w:szCs w:val="24"/>
          <w:vertAlign w:val="superscript"/>
        </w:rPr>
        <w:t>th</w:t>
      </w:r>
      <w:r w:rsidR="00CF5432">
        <w:rPr>
          <w:rFonts w:ascii="Arial" w:hAnsi="Arial" w:cs="Arial"/>
          <w:sz w:val="24"/>
          <w:szCs w:val="24"/>
        </w:rPr>
        <w:t xml:space="preserve"> November, 2021).</w:t>
      </w:r>
    </w:p>
    <w:p w14:paraId="40FA7164" w14:textId="19A3E48B" w:rsidR="00A93F7A" w:rsidRDefault="00A93F7A" w:rsidP="008A3FA8">
      <w:pPr>
        <w:spacing w:line="480" w:lineRule="auto"/>
        <w:rPr>
          <w:rFonts w:ascii="Arial" w:hAnsi="Arial" w:cs="Arial"/>
          <w:sz w:val="24"/>
          <w:szCs w:val="24"/>
        </w:rPr>
      </w:pPr>
      <w:r>
        <w:rPr>
          <w:rFonts w:ascii="Arial" w:hAnsi="Arial" w:cs="Arial"/>
          <w:sz w:val="24"/>
          <w:szCs w:val="24"/>
        </w:rPr>
        <w:t xml:space="preserve">Law of Property Act </w:t>
      </w:r>
      <w:r w:rsidR="009E5FF8">
        <w:rPr>
          <w:rFonts w:ascii="Arial" w:hAnsi="Arial" w:cs="Arial"/>
          <w:sz w:val="24"/>
          <w:szCs w:val="24"/>
        </w:rPr>
        <w:t>19</w:t>
      </w:r>
      <w:r w:rsidR="00E63AD8">
        <w:rPr>
          <w:rFonts w:ascii="Arial" w:hAnsi="Arial" w:cs="Arial"/>
          <w:sz w:val="24"/>
          <w:szCs w:val="24"/>
        </w:rPr>
        <w:t>25, Her Majesty’s Stationery Office (The Stationery Office); London.</w:t>
      </w:r>
    </w:p>
    <w:p w14:paraId="3F835F7E" w14:textId="4E72E10F" w:rsidR="00A168AA" w:rsidRPr="007E3CDC" w:rsidRDefault="00A168AA" w:rsidP="008A3FA8">
      <w:pPr>
        <w:spacing w:line="480" w:lineRule="auto"/>
        <w:rPr>
          <w:rFonts w:ascii="Arial" w:hAnsi="Arial" w:cs="Arial"/>
          <w:sz w:val="24"/>
          <w:szCs w:val="24"/>
        </w:rPr>
      </w:pPr>
      <w:r>
        <w:rPr>
          <w:rFonts w:ascii="Arial" w:hAnsi="Arial" w:cs="Arial"/>
          <w:sz w:val="24"/>
          <w:szCs w:val="24"/>
        </w:rPr>
        <w:lastRenderedPageBreak/>
        <w:t>Loveday, M. (2009)</w:t>
      </w:r>
      <w:r w:rsidR="007E3CDC">
        <w:rPr>
          <w:rFonts w:ascii="Arial" w:hAnsi="Arial" w:cs="Arial"/>
          <w:sz w:val="24"/>
          <w:szCs w:val="24"/>
        </w:rPr>
        <w:t xml:space="preserve"> ‘</w:t>
      </w:r>
      <w:r w:rsidR="00E14123">
        <w:rPr>
          <w:rFonts w:ascii="Arial" w:hAnsi="Arial" w:cs="Arial"/>
          <w:sz w:val="24"/>
          <w:szCs w:val="24"/>
        </w:rPr>
        <w:t>Brief encounter: land ownership</w:t>
      </w:r>
      <w:r w:rsidR="007E3CDC">
        <w:rPr>
          <w:rFonts w:ascii="Arial" w:hAnsi="Arial" w:cs="Arial"/>
          <w:sz w:val="24"/>
          <w:szCs w:val="24"/>
        </w:rPr>
        <w:t xml:space="preserve">’, </w:t>
      </w:r>
      <w:r w:rsidR="007E3CDC">
        <w:rPr>
          <w:rFonts w:ascii="Arial" w:hAnsi="Arial" w:cs="Arial"/>
          <w:i/>
          <w:iCs/>
          <w:sz w:val="24"/>
          <w:szCs w:val="24"/>
        </w:rPr>
        <w:t xml:space="preserve">The Times, </w:t>
      </w:r>
      <w:r w:rsidR="00E14123">
        <w:rPr>
          <w:rFonts w:ascii="Arial" w:hAnsi="Arial" w:cs="Arial"/>
          <w:sz w:val="24"/>
          <w:szCs w:val="24"/>
        </w:rPr>
        <w:t>26 June</w:t>
      </w:r>
      <w:r w:rsidR="007E3CDC">
        <w:rPr>
          <w:rFonts w:ascii="Arial" w:hAnsi="Arial" w:cs="Arial"/>
          <w:sz w:val="24"/>
          <w:szCs w:val="24"/>
        </w:rPr>
        <w:t>.</w:t>
      </w:r>
      <w:r w:rsidR="001F5F78">
        <w:rPr>
          <w:rFonts w:ascii="Arial" w:hAnsi="Arial" w:cs="Arial"/>
          <w:sz w:val="24"/>
          <w:szCs w:val="24"/>
        </w:rPr>
        <w:t xml:space="preserve"> Available at: </w:t>
      </w:r>
      <w:hyperlink r:id="rId8" w:history="1">
        <w:r w:rsidR="009212DC" w:rsidRPr="00991931">
          <w:rPr>
            <w:rStyle w:val="Hyperlink"/>
            <w:rFonts w:ascii="Arial" w:hAnsi="Arial" w:cs="Arial"/>
            <w:sz w:val="24"/>
            <w:szCs w:val="24"/>
          </w:rPr>
          <w:t>https://www.thetimes.co.uk/article/brief-encounter-land-ownership-rdmf3vs88cn</w:t>
        </w:r>
      </w:hyperlink>
      <w:r w:rsidR="009212DC">
        <w:rPr>
          <w:rFonts w:ascii="Arial" w:hAnsi="Arial" w:cs="Arial"/>
          <w:sz w:val="24"/>
          <w:szCs w:val="24"/>
        </w:rPr>
        <w:t xml:space="preserve"> (Accessed on: 24</w:t>
      </w:r>
      <w:r w:rsidR="009212DC" w:rsidRPr="009212DC">
        <w:rPr>
          <w:rFonts w:ascii="Arial" w:hAnsi="Arial" w:cs="Arial"/>
          <w:sz w:val="24"/>
          <w:szCs w:val="24"/>
          <w:vertAlign w:val="superscript"/>
        </w:rPr>
        <w:t>th</w:t>
      </w:r>
      <w:r w:rsidR="009212DC">
        <w:rPr>
          <w:rFonts w:ascii="Arial" w:hAnsi="Arial" w:cs="Arial"/>
          <w:sz w:val="24"/>
          <w:szCs w:val="24"/>
        </w:rPr>
        <w:t xml:space="preserve"> November, 2021).</w:t>
      </w:r>
    </w:p>
    <w:p w14:paraId="7920FB8C" w14:textId="42165339" w:rsidR="00B50C1F" w:rsidRPr="00805A5F" w:rsidRDefault="00B50C1F" w:rsidP="008A3FA8">
      <w:pPr>
        <w:spacing w:line="480" w:lineRule="auto"/>
        <w:rPr>
          <w:rFonts w:ascii="Arial" w:hAnsi="Arial" w:cs="Arial"/>
          <w:sz w:val="24"/>
          <w:szCs w:val="24"/>
        </w:rPr>
      </w:pPr>
      <w:r>
        <w:rPr>
          <w:rFonts w:ascii="Arial" w:hAnsi="Arial" w:cs="Arial"/>
          <w:sz w:val="24"/>
          <w:szCs w:val="24"/>
        </w:rPr>
        <w:t xml:space="preserve">Luther, </w:t>
      </w:r>
      <w:r w:rsidR="00C94E15">
        <w:rPr>
          <w:rFonts w:ascii="Arial" w:hAnsi="Arial" w:cs="Arial"/>
          <w:sz w:val="24"/>
          <w:szCs w:val="24"/>
        </w:rPr>
        <w:t>P. (2004) ‘Fixtures and Chattels: A Question of More or Less...</w:t>
      </w:r>
      <w:r w:rsidR="00805A5F">
        <w:rPr>
          <w:rFonts w:ascii="Arial" w:hAnsi="Arial" w:cs="Arial"/>
          <w:sz w:val="24"/>
          <w:szCs w:val="24"/>
        </w:rPr>
        <w:t xml:space="preserve">’, </w:t>
      </w:r>
      <w:r w:rsidR="00805A5F">
        <w:rPr>
          <w:rFonts w:ascii="Arial" w:hAnsi="Arial" w:cs="Arial"/>
          <w:i/>
          <w:iCs/>
          <w:sz w:val="24"/>
          <w:szCs w:val="24"/>
        </w:rPr>
        <w:t xml:space="preserve">Oxford Journal of Legal Studies, </w:t>
      </w:r>
      <w:r w:rsidR="00805A5F">
        <w:rPr>
          <w:rFonts w:ascii="Arial" w:hAnsi="Arial" w:cs="Arial"/>
          <w:sz w:val="24"/>
          <w:szCs w:val="24"/>
        </w:rPr>
        <w:t>24(4)</w:t>
      </w:r>
      <w:r w:rsidR="002413DF">
        <w:rPr>
          <w:rFonts w:ascii="Arial" w:hAnsi="Arial" w:cs="Arial"/>
          <w:sz w:val="24"/>
          <w:szCs w:val="24"/>
        </w:rPr>
        <w:t xml:space="preserve">, pp. 597-618. </w:t>
      </w:r>
      <w:r w:rsidR="006471DF">
        <w:rPr>
          <w:rFonts w:ascii="Arial" w:hAnsi="Arial" w:cs="Arial"/>
          <w:sz w:val="24"/>
          <w:szCs w:val="24"/>
        </w:rPr>
        <w:t xml:space="preserve">Available at: </w:t>
      </w:r>
      <w:hyperlink r:id="rId9" w:history="1">
        <w:r w:rsidR="003A20DF" w:rsidRPr="005516D2">
          <w:rPr>
            <w:rStyle w:val="Hyperlink"/>
            <w:rFonts w:ascii="Arial" w:hAnsi="Arial" w:cs="Arial"/>
            <w:sz w:val="24"/>
            <w:szCs w:val="24"/>
          </w:rPr>
          <w:t>https://www.jstor.org/stable/3600529</w:t>
        </w:r>
      </w:hyperlink>
      <w:r w:rsidR="003A20DF">
        <w:rPr>
          <w:rFonts w:ascii="Arial" w:hAnsi="Arial" w:cs="Arial"/>
          <w:sz w:val="24"/>
          <w:szCs w:val="24"/>
        </w:rPr>
        <w:t xml:space="preserve"> (Accessed on: 25</w:t>
      </w:r>
      <w:r w:rsidR="003A20DF" w:rsidRPr="003A20DF">
        <w:rPr>
          <w:rFonts w:ascii="Arial" w:hAnsi="Arial" w:cs="Arial"/>
          <w:sz w:val="24"/>
          <w:szCs w:val="24"/>
          <w:vertAlign w:val="superscript"/>
        </w:rPr>
        <w:t>th</w:t>
      </w:r>
      <w:r w:rsidR="003A20DF">
        <w:rPr>
          <w:rFonts w:ascii="Arial" w:hAnsi="Arial" w:cs="Arial"/>
          <w:sz w:val="24"/>
          <w:szCs w:val="24"/>
        </w:rPr>
        <w:t xml:space="preserve"> November, 2021).</w:t>
      </w:r>
    </w:p>
    <w:p w14:paraId="2981DF39" w14:textId="6C2D3B92" w:rsidR="00CF5432" w:rsidRPr="00A822F9" w:rsidRDefault="00CF5432" w:rsidP="008A3FA8">
      <w:pPr>
        <w:spacing w:line="480" w:lineRule="auto"/>
        <w:rPr>
          <w:rFonts w:ascii="Arial" w:hAnsi="Arial" w:cs="Arial"/>
          <w:sz w:val="24"/>
          <w:szCs w:val="24"/>
        </w:rPr>
      </w:pPr>
      <w:r>
        <w:rPr>
          <w:rFonts w:ascii="Arial" w:hAnsi="Arial" w:cs="Arial"/>
          <w:sz w:val="24"/>
          <w:szCs w:val="24"/>
        </w:rPr>
        <w:t>O’Neil, G. (</w:t>
      </w:r>
      <w:r w:rsidR="00070ADE">
        <w:rPr>
          <w:rFonts w:ascii="Arial" w:hAnsi="Arial" w:cs="Arial"/>
          <w:sz w:val="24"/>
          <w:szCs w:val="24"/>
        </w:rPr>
        <w:t>2015)</w:t>
      </w:r>
      <w:r w:rsidR="00A822F9">
        <w:rPr>
          <w:rFonts w:ascii="Arial" w:hAnsi="Arial" w:cs="Arial"/>
          <w:sz w:val="24"/>
          <w:szCs w:val="24"/>
        </w:rPr>
        <w:t xml:space="preserve"> ‘Law of Land &amp; Property’, </w:t>
      </w:r>
      <w:r w:rsidR="00A822F9">
        <w:rPr>
          <w:rFonts w:ascii="Arial" w:hAnsi="Arial" w:cs="Arial"/>
          <w:i/>
          <w:iCs/>
          <w:sz w:val="24"/>
          <w:szCs w:val="24"/>
        </w:rPr>
        <w:t xml:space="preserve">Surveying Property </w:t>
      </w:r>
      <w:r w:rsidR="008F4027">
        <w:rPr>
          <w:rFonts w:ascii="Arial" w:hAnsi="Arial" w:cs="Arial"/>
          <w:sz w:val="24"/>
          <w:szCs w:val="24"/>
        </w:rPr>
        <w:t>[blog]. 10</w:t>
      </w:r>
      <w:r w:rsidR="008F4027" w:rsidRPr="008F4027">
        <w:rPr>
          <w:rFonts w:ascii="Arial" w:hAnsi="Arial" w:cs="Arial"/>
          <w:sz w:val="24"/>
          <w:szCs w:val="24"/>
          <w:vertAlign w:val="superscript"/>
        </w:rPr>
        <w:t>th</w:t>
      </w:r>
      <w:r w:rsidR="008F4027">
        <w:rPr>
          <w:rFonts w:ascii="Arial" w:hAnsi="Arial" w:cs="Arial"/>
          <w:sz w:val="24"/>
          <w:szCs w:val="24"/>
        </w:rPr>
        <w:t xml:space="preserve"> June</w:t>
      </w:r>
      <w:r w:rsidR="007B4BE5">
        <w:rPr>
          <w:rFonts w:ascii="Arial" w:hAnsi="Arial" w:cs="Arial"/>
          <w:sz w:val="24"/>
          <w:szCs w:val="24"/>
        </w:rPr>
        <w:t xml:space="preserve">. Available at: </w:t>
      </w:r>
      <w:hyperlink r:id="rId10" w:anchor=".YZ-RmOjP1EY" w:history="1">
        <w:r w:rsidR="00D4711D" w:rsidRPr="005516D2">
          <w:rPr>
            <w:rStyle w:val="Hyperlink"/>
            <w:rFonts w:ascii="Arial" w:hAnsi="Arial" w:cs="Arial"/>
            <w:sz w:val="24"/>
            <w:szCs w:val="24"/>
          </w:rPr>
          <w:t>https://www.surveyingproperty.blogspot.com/2015/06/law-of-land-property-part-2-fixture-or.html#.YZ-RmOjP1EY</w:t>
        </w:r>
      </w:hyperlink>
      <w:r w:rsidR="00D4711D">
        <w:rPr>
          <w:rFonts w:ascii="Arial" w:hAnsi="Arial" w:cs="Arial"/>
          <w:sz w:val="24"/>
          <w:szCs w:val="24"/>
        </w:rPr>
        <w:t xml:space="preserve"> (Accessed on: </w:t>
      </w:r>
      <w:r w:rsidR="00B50C1F">
        <w:rPr>
          <w:rFonts w:ascii="Arial" w:hAnsi="Arial" w:cs="Arial"/>
          <w:sz w:val="24"/>
          <w:szCs w:val="24"/>
        </w:rPr>
        <w:t>25</w:t>
      </w:r>
      <w:r w:rsidR="00B50C1F" w:rsidRPr="00B50C1F">
        <w:rPr>
          <w:rFonts w:ascii="Arial" w:hAnsi="Arial" w:cs="Arial"/>
          <w:sz w:val="24"/>
          <w:szCs w:val="24"/>
          <w:vertAlign w:val="superscript"/>
        </w:rPr>
        <w:t>th</w:t>
      </w:r>
      <w:r w:rsidR="00B50C1F">
        <w:rPr>
          <w:rFonts w:ascii="Arial" w:hAnsi="Arial" w:cs="Arial"/>
          <w:sz w:val="24"/>
          <w:szCs w:val="24"/>
        </w:rPr>
        <w:t xml:space="preserve"> November, 2021). </w:t>
      </w:r>
    </w:p>
    <w:p w14:paraId="7B156448" w14:textId="418137BA" w:rsidR="0054342D" w:rsidRDefault="0054342D" w:rsidP="008A3FA8">
      <w:pPr>
        <w:spacing w:line="480" w:lineRule="auto"/>
        <w:rPr>
          <w:rFonts w:ascii="Arial" w:hAnsi="Arial" w:cs="Arial"/>
          <w:sz w:val="24"/>
          <w:szCs w:val="24"/>
        </w:rPr>
      </w:pPr>
      <w:r>
        <w:rPr>
          <w:rFonts w:ascii="Arial" w:hAnsi="Arial" w:cs="Arial"/>
          <w:sz w:val="24"/>
          <w:szCs w:val="24"/>
        </w:rPr>
        <w:t>Richards, P. (</w:t>
      </w:r>
      <w:r w:rsidR="00497C2B">
        <w:rPr>
          <w:rFonts w:ascii="Arial" w:hAnsi="Arial" w:cs="Arial"/>
          <w:sz w:val="24"/>
          <w:szCs w:val="24"/>
        </w:rPr>
        <w:t>2014</w:t>
      </w:r>
      <w:r>
        <w:rPr>
          <w:rFonts w:ascii="Arial" w:hAnsi="Arial" w:cs="Arial"/>
          <w:sz w:val="24"/>
          <w:szCs w:val="24"/>
        </w:rPr>
        <w:t>)</w:t>
      </w:r>
      <w:r w:rsidR="00497C2B">
        <w:rPr>
          <w:rFonts w:ascii="Arial" w:hAnsi="Arial" w:cs="Arial"/>
          <w:sz w:val="24"/>
          <w:szCs w:val="24"/>
        </w:rPr>
        <w:t xml:space="preserve"> </w:t>
      </w:r>
      <w:r w:rsidR="00497C2B">
        <w:rPr>
          <w:rFonts w:ascii="Arial" w:hAnsi="Arial" w:cs="Arial"/>
          <w:i/>
          <w:iCs/>
          <w:sz w:val="24"/>
          <w:szCs w:val="24"/>
        </w:rPr>
        <w:t xml:space="preserve">Land Law. </w:t>
      </w:r>
      <w:r w:rsidR="00572431">
        <w:rPr>
          <w:rFonts w:ascii="Arial" w:hAnsi="Arial" w:cs="Arial"/>
          <w:sz w:val="24"/>
          <w:szCs w:val="24"/>
        </w:rPr>
        <w:t>United Kingdom: Pearson Education Limited.</w:t>
      </w:r>
    </w:p>
    <w:p w14:paraId="1543AD12" w14:textId="211F41BD" w:rsidR="006B62BA" w:rsidRDefault="00C64A3D" w:rsidP="008A3FA8">
      <w:pPr>
        <w:spacing w:line="480" w:lineRule="auto"/>
        <w:rPr>
          <w:rFonts w:ascii="Arial" w:hAnsi="Arial" w:cs="Arial"/>
          <w:sz w:val="24"/>
          <w:szCs w:val="24"/>
        </w:rPr>
      </w:pPr>
      <w:r>
        <w:rPr>
          <w:rFonts w:ascii="Arial" w:hAnsi="Arial" w:cs="Arial"/>
          <w:sz w:val="24"/>
          <w:szCs w:val="24"/>
        </w:rPr>
        <w:t xml:space="preserve">Sayles, V. (2020) </w:t>
      </w:r>
      <w:r>
        <w:rPr>
          <w:rFonts w:ascii="Arial" w:hAnsi="Arial" w:cs="Arial"/>
          <w:i/>
          <w:iCs/>
          <w:sz w:val="24"/>
          <w:szCs w:val="24"/>
        </w:rPr>
        <w:t xml:space="preserve">Land Law. </w:t>
      </w:r>
      <w:r>
        <w:rPr>
          <w:rFonts w:ascii="Arial" w:hAnsi="Arial" w:cs="Arial"/>
          <w:sz w:val="24"/>
          <w:szCs w:val="24"/>
        </w:rPr>
        <w:t>7</w:t>
      </w:r>
      <w:r w:rsidRPr="00C64A3D">
        <w:rPr>
          <w:rFonts w:ascii="Arial" w:hAnsi="Arial" w:cs="Arial"/>
          <w:sz w:val="24"/>
          <w:szCs w:val="24"/>
          <w:vertAlign w:val="superscript"/>
        </w:rPr>
        <w:t>th</w:t>
      </w:r>
      <w:r>
        <w:rPr>
          <w:rFonts w:ascii="Arial" w:hAnsi="Arial" w:cs="Arial"/>
          <w:sz w:val="24"/>
          <w:szCs w:val="24"/>
        </w:rPr>
        <w:t xml:space="preserve"> Ed. </w:t>
      </w:r>
      <w:r w:rsidR="00A40772">
        <w:rPr>
          <w:rFonts w:ascii="Arial" w:hAnsi="Arial" w:cs="Arial"/>
          <w:sz w:val="24"/>
          <w:szCs w:val="24"/>
        </w:rPr>
        <w:t>Glasgow: Oxford University Press.</w:t>
      </w:r>
    </w:p>
    <w:p w14:paraId="4729C621" w14:textId="6EABCB46" w:rsidR="001960F0" w:rsidRDefault="001960F0" w:rsidP="008A3FA8">
      <w:pPr>
        <w:spacing w:line="480" w:lineRule="auto"/>
        <w:rPr>
          <w:rFonts w:ascii="Arial" w:hAnsi="Arial" w:cs="Arial"/>
          <w:sz w:val="24"/>
          <w:szCs w:val="24"/>
        </w:rPr>
      </w:pPr>
      <w:r>
        <w:rPr>
          <w:rFonts w:ascii="Arial" w:hAnsi="Arial" w:cs="Arial"/>
          <w:sz w:val="24"/>
          <w:szCs w:val="24"/>
        </w:rPr>
        <w:t>Thomson Reuters</w:t>
      </w:r>
      <w:r w:rsidR="00913055">
        <w:rPr>
          <w:rFonts w:ascii="Arial" w:hAnsi="Arial" w:cs="Arial"/>
          <w:sz w:val="24"/>
          <w:szCs w:val="24"/>
        </w:rPr>
        <w:t xml:space="preserve"> (2021) </w:t>
      </w:r>
      <w:r w:rsidR="00913055">
        <w:rPr>
          <w:rFonts w:ascii="Arial" w:hAnsi="Arial" w:cs="Arial"/>
          <w:i/>
          <w:iCs/>
          <w:sz w:val="24"/>
          <w:szCs w:val="24"/>
        </w:rPr>
        <w:t xml:space="preserve">Fixture. </w:t>
      </w:r>
      <w:r w:rsidR="00913055">
        <w:rPr>
          <w:rFonts w:ascii="Arial" w:hAnsi="Arial" w:cs="Arial"/>
          <w:sz w:val="24"/>
          <w:szCs w:val="24"/>
        </w:rPr>
        <w:t xml:space="preserve">Available at: </w:t>
      </w:r>
      <w:hyperlink r:id="rId11" w:history="1">
        <w:r w:rsidR="007443E8" w:rsidRPr="005516D2">
          <w:rPr>
            <w:rStyle w:val="Hyperlink"/>
            <w:rFonts w:ascii="Arial" w:hAnsi="Arial" w:cs="Arial"/>
            <w:sz w:val="24"/>
            <w:szCs w:val="24"/>
          </w:rPr>
          <w:t>https://uk.practicallaw.thomsonreuters.com/8-202-2732?transitionType=Default&amp;contextData=(sc.Default)&amp;firstPage=true</w:t>
        </w:r>
      </w:hyperlink>
      <w:r w:rsidR="007443E8">
        <w:rPr>
          <w:rFonts w:ascii="Arial" w:hAnsi="Arial" w:cs="Arial"/>
          <w:sz w:val="24"/>
          <w:szCs w:val="24"/>
        </w:rPr>
        <w:t xml:space="preserve"> (Accessed on: 24</w:t>
      </w:r>
      <w:r w:rsidR="007443E8" w:rsidRPr="007443E8">
        <w:rPr>
          <w:rFonts w:ascii="Arial" w:hAnsi="Arial" w:cs="Arial"/>
          <w:sz w:val="24"/>
          <w:szCs w:val="24"/>
          <w:vertAlign w:val="superscript"/>
        </w:rPr>
        <w:t>th</w:t>
      </w:r>
      <w:r w:rsidR="007443E8">
        <w:rPr>
          <w:rFonts w:ascii="Arial" w:hAnsi="Arial" w:cs="Arial"/>
          <w:sz w:val="24"/>
          <w:szCs w:val="24"/>
        </w:rPr>
        <w:t xml:space="preserve"> November, 2021).</w:t>
      </w:r>
    </w:p>
    <w:p w14:paraId="4FA22375" w14:textId="6038844E" w:rsidR="00F26F9F" w:rsidRPr="00F26F9F" w:rsidRDefault="00F26F9F" w:rsidP="008A3FA8">
      <w:pPr>
        <w:spacing w:line="480" w:lineRule="auto"/>
        <w:rPr>
          <w:rFonts w:ascii="Arial" w:hAnsi="Arial" w:cs="Arial"/>
          <w:sz w:val="24"/>
          <w:szCs w:val="24"/>
        </w:rPr>
      </w:pPr>
      <w:r>
        <w:rPr>
          <w:rFonts w:ascii="Arial" w:hAnsi="Arial" w:cs="Arial"/>
          <w:sz w:val="24"/>
          <w:szCs w:val="24"/>
        </w:rPr>
        <w:t xml:space="preserve">UK Parliament (1997) </w:t>
      </w:r>
      <w:r>
        <w:rPr>
          <w:rFonts w:ascii="Arial" w:hAnsi="Arial" w:cs="Arial"/>
          <w:i/>
          <w:iCs/>
          <w:sz w:val="24"/>
          <w:szCs w:val="24"/>
        </w:rPr>
        <w:t xml:space="preserve">Judgments – Elitestone Ltd. V. Morris and Another. </w:t>
      </w:r>
      <w:r>
        <w:rPr>
          <w:rFonts w:ascii="Arial" w:hAnsi="Arial" w:cs="Arial"/>
          <w:sz w:val="24"/>
          <w:szCs w:val="24"/>
        </w:rPr>
        <w:t xml:space="preserve">Available at: </w:t>
      </w:r>
      <w:hyperlink r:id="rId12" w:history="1">
        <w:r w:rsidR="008C20DE" w:rsidRPr="00991931">
          <w:rPr>
            <w:rStyle w:val="Hyperlink"/>
            <w:rFonts w:ascii="Arial" w:hAnsi="Arial" w:cs="Arial"/>
            <w:sz w:val="24"/>
            <w:szCs w:val="24"/>
          </w:rPr>
          <w:t>https://publications.parliament.uk/pa/ld199697/ldjudgmt/jd970501/elites01.htm</w:t>
        </w:r>
      </w:hyperlink>
      <w:r w:rsidR="008C20DE">
        <w:rPr>
          <w:rFonts w:ascii="Arial" w:hAnsi="Arial" w:cs="Arial"/>
          <w:sz w:val="24"/>
          <w:szCs w:val="24"/>
        </w:rPr>
        <w:t xml:space="preserve"> (Accessed on: 27</w:t>
      </w:r>
      <w:r w:rsidR="008C20DE" w:rsidRPr="008C20DE">
        <w:rPr>
          <w:rFonts w:ascii="Arial" w:hAnsi="Arial" w:cs="Arial"/>
          <w:sz w:val="24"/>
          <w:szCs w:val="24"/>
          <w:vertAlign w:val="superscript"/>
        </w:rPr>
        <w:t>th</w:t>
      </w:r>
      <w:r w:rsidR="008C20DE">
        <w:rPr>
          <w:rFonts w:ascii="Arial" w:hAnsi="Arial" w:cs="Arial"/>
          <w:sz w:val="24"/>
          <w:szCs w:val="24"/>
        </w:rPr>
        <w:t xml:space="preserve"> November, 2021).</w:t>
      </w:r>
    </w:p>
    <w:p w14:paraId="35C837FD" w14:textId="42A304FD" w:rsidR="00C16178" w:rsidRPr="00714C5D" w:rsidRDefault="00C16178" w:rsidP="008A3FA8">
      <w:pPr>
        <w:spacing w:line="480" w:lineRule="auto"/>
        <w:rPr>
          <w:rFonts w:ascii="Arial" w:hAnsi="Arial" w:cs="Arial"/>
          <w:sz w:val="24"/>
          <w:szCs w:val="24"/>
        </w:rPr>
      </w:pPr>
      <w:r>
        <w:rPr>
          <w:rFonts w:ascii="Arial" w:hAnsi="Arial" w:cs="Arial"/>
          <w:sz w:val="24"/>
          <w:szCs w:val="24"/>
        </w:rPr>
        <w:t xml:space="preserve">Woodruff, J. (2018) </w:t>
      </w:r>
      <w:r w:rsidR="002E67D2">
        <w:rPr>
          <w:rFonts w:ascii="Arial" w:hAnsi="Arial" w:cs="Arial"/>
          <w:i/>
          <w:iCs/>
          <w:sz w:val="24"/>
          <w:szCs w:val="24"/>
        </w:rPr>
        <w:t>Is an item a “Fixture” or “Fitting</w:t>
      </w:r>
      <w:r w:rsidR="00714C5D">
        <w:rPr>
          <w:rFonts w:ascii="Arial" w:hAnsi="Arial" w:cs="Arial"/>
          <w:i/>
          <w:iCs/>
          <w:sz w:val="24"/>
          <w:szCs w:val="24"/>
        </w:rPr>
        <w:t>?</w:t>
      </w:r>
      <w:r w:rsidR="002E67D2">
        <w:rPr>
          <w:rFonts w:ascii="Arial" w:hAnsi="Arial" w:cs="Arial"/>
          <w:i/>
          <w:iCs/>
          <w:sz w:val="24"/>
          <w:szCs w:val="24"/>
        </w:rPr>
        <w:t>”</w:t>
      </w:r>
      <w:r w:rsidR="00714C5D">
        <w:rPr>
          <w:rFonts w:ascii="Arial" w:hAnsi="Arial" w:cs="Arial"/>
          <w:i/>
          <w:iCs/>
          <w:sz w:val="24"/>
          <w:szCs w:val="24"/>
        </w:rPr>
        <w:t xml:space="preserve">. </w:t>
      </w:r>
      <w:r w:rsidR="00714C5D">
        <w:rPr>
          <w:rFonts w:ascii="Arial" w:hAnsi="Arial" w:cs="Arial"/>
          <w:sz w:val="24"/>
          <w:szCs w:val="24"/>
        </w:rPr>
        <w:t xml:space="preserve">Available at: </w:t>
      </w:r>
      <w:hyperlink r:id="rId13" w:history="1">
        <w:r w:rsidR="00D96059" w:rsidRPr="005516D2">
          <w:rPr>
            <w:rStyle w:val="Hyperlink"/>
            <w:rFonts w:ascii="Arial" w:hAnsi="Arial" w:cs="Arial"/>
            <w:sz w:val="24"/>
            <w:szCs w:val="24"/>
          </w:rPr>
          <w:t>https://www.wilsonbrowne.co.uk/news/is-an-item-a-fixture-or-a-fitting-why-is-this-important-when-selling-or-purchasing-a-property/</w:t>
        </w:r>
      </w:hyperlink>
      <w:r w:rsidR="00D96059">
        <w:rPr>
          <w:rFonts w:ascii="Arial" w:hAnsi="Arial" w:cs="Arial"/>
          <w:sz w:val="24"/>
          <w:szCs w:val="24"/>
        </w:rPr>
        <w:t xml:space="preserve"> (Accessed on: 25</w:t>
      </w:r>
      <w:r w:rsidR="00D96059" w:rsidRPr="00D96059">
        <w:rPr>
          <w:rFonts w:ascii="Arial" w:hAnsi="Arial" w:cs="Arial"/>
          <w:sz w:val="24"/>
          <w:szCs w:val="24"/>
          <w:vertAlign w:val="superscript"/>
        </w:rPr>
        <w:t>th</w:t>
      </w:r>
      <w:r w:rsidR="00D96059">
        <w:rPr>
          <w:rFonts w:ascii="Arial" w:hAnsi="Arial" w:cs="Arial"/>
          <w:sz w:val="24"/>
          <w:szCs w:val="24"/>
        </w:rPr>
        <w:t xml:space="preserve"> November, 2021).</w:t>
      </w:r>
    </w:p>
    <w:p w14:paraId="73C3663B" w14:textId="2A35DA40" w:rsidR="00A50601" w:rsidRDefault="00A50601" w:rsidP="008A3FA8">
      <w:pPr>
        <w:spacing w:line="480" w:lineRule="auto"/>
        <w:rPr>
          <w:rFonts w:ascii="Arial" w:hAnsi="Arial" w:cs="Arial"/>
          <w:sz w:val="24"/>
          <w:szCs w:val="24"/>
        </w:rPr>
      </w:pPr>
    </w:p>
    <w:p w14:paraId="6F02839E" w14:textId="3C3CABB3" w:rsidR="00A50601" w:rsidRDefault="00A50601" w:rsidP="008A3FA8">
      <w:pPr>
        <w:spacing w:line="480" w:lineRule="auto"/>
        <w:rPr>
          <w:rFonts w:ascii="Arial" w:hAnsi="Arial" w:cs="Arial"/>
          <w:b/>
          <w:bCs/>
          <w:sz w:val="24"/>
          <w:szCs w:val="24"/>
          <w:u w:val="single"/>
        </w:rPr>
      </w:pPr>
      <w:r>
        <w:rPr>
          <w:rFonts w:ascii="Arial" w:hAnsi="Arial" w:cs="Arial"/>
          <w:b/>
          <w:bCs/>
          <w:sz w:val="24"/>
          <w:szCs w:val="24"/>
          <w:u w:val="single"/>
        </w:rPr>
        <w:t>List of Cases:</w:t>
      </w:r>
    </w:p>
    <w:p w14:paraId="69FC4984" w14:textId="678DC9CE" w:rsidR="008616CA" w:rsidRDefault="008616CA" w:rsidP="008A3FA8">
      <w:pPr>
        <w:spacing w:line="480" w:lineRule="auto"/>
        <w:rPr>
          <w:rFonts w:ascii="Arial" w:hAnsi="Arial" w:cs="Arial"/>
          <w:sz w:val="24"/>
          <w:szCs w:val="24"/>
        </w:rPr>
      </w:pPr>
      <w:r>
        <w:rPr>
          <w:rFonts w:ascii="Arial" w:hAnsi="Arial" w:cs="Arial"/>
          <w:sz w:val="24"/>
          <w:szCs w:val="24"/>
        </w:rPr>
        <w:t>Berk</w:t>
      </w:r>
      <w:r w:rsidR="002A5D3A">
        <w:rPr>
          <w:rFonts w:ascii="Arial" w:hAnsi="Arial" w:cs="Arial"/>
          <w:sz w:val="24"/>
          <w:szCs w:val="24"/>
        </w:rPr>
        <w:t>ley v Poulett [1977]</w:t>
      </w:r>
      <w:r w:rsidR="005B42AD">
        <w:rPr>
          <w:rFonts w:ascii="Arial" w:hAnsi="Arial" w:cs="Arial"/>
          <w:sz w:val="24"/>
          <w:szCs w:val="24"/>
        </w:rPr>
        <w:t xml:space="preserve"> 241 EG 911.</w:t>
      </w:r>
    </w:p>
    <w:p w14:paraId="4583D7E6" w14:textId="2130C83D" w:rsidR="00E26CAD" w:rsidRDefault="00E26CAD" w:rsidP="008A3FA8">
      <w:pPr>
        <w:spacing w:line="480" w:lineRule="auto"/>
        <w:rPr>
          <w:rFonts w:ascii="Arial" w:hAnsi="Arial" w:cs="Arial"/>
          <w:sz w:val="24"/>
          <w:szCs w:val="24"/>
        </w:rPr>
      </w:pPr>
      <w:r>
        <w:rPr>
          <w:rFonts w:ascii="Arial" w:hAnsi="Arial" w:cs="Arial"/>
          <w:sz w:val="24"/>
          <w:szCs w:val="24"/>
        </w:rPr>
        <w:t>Caddick v Whitsand Bay Holiday Park Ltd</w:t>
      </w:r>
      <w:r w:rsidR="00CE6E8E">
        <w:rPr>
          <w:rFonts w:ascii="Arial" w:hAnsi="Arial" w:cs="Arial"/>
          <w:sz w:val="24"/>
          <w:szCs w:val="24"/>
        </w:rPr>
        <w:t xml:space="preserve"> [2015] UKUT 63 (LC)</w:t>
      </w:r>
      <w:r w:rsidR="00BF4D72">
        <w:rPr>
          <w:rFonts w:ascii="Arial" w:hAnsi="Arial" w:cs="Arial"/>
          <w:sz w:val="24"/>
          <w:szCs w:val="24"/>
        </w:rPr>
        <w:t>.</w:t>
      </w:r>
    </w:p>
    <w:p w14:paraId="53D1BD90" w14:textId="08E5911A" w:rsidR="00A24633" w:rsidRDefault="009D18BE" w:rsidP="008A3FA8">
      <w:pPr>
        <w:spacing w:line="480" w:lineRule="auto"/>
        <w:rPr>
          <w:rFonts w:ascii="Arial" w:hAnsi="Arial" w:cs="Arial"/>
          <w:sz w:val="24"/>
          <w:szCs w:val="24"/>
        </w:rPr>
      </w:pPr>
      <w:r>
        <w:rPr>
          <w:rFonts w:ascii="Arial" w:hAnsi="Arial" w:cs="Arial"/>
          <w:sz w:val="24"/>
          <w:szCs w:val="24"/>
        </w:rPr>
        <w:t>D’Eyncourt v Gregory [</w:t>
      </w:r>
      <w:r w:rsidR="00060FAF">
        <w:rPr>
          <w:rFonts w:ascii="Arial" w:hAnsi="Arial" w:cs="Arial"/>
          <w:sz w:val="24"/>
          <w:szCs w:val="24"/>
        </w:rPr>
        <w:t>1866] LR 3 Eq 382.</w:t>
      </w:r>
    </w:p>
    <w:p w14:paraId="400A8EBA" w14:textId="17D8E985" w:rsidR="00A24633" w:rsidRDefault="00A24633" w:rsidP="008A3FA8">
      <w:pPr>
        <w:spacing w:line="480" w:lineRule="auto"/>
        <w:rPr>
          <w:rFonts w:ascii="Arial" w:hAnsi="Arial" w:cs="Arial"/>
          <w:sz w:val="24"/>
          <w:szCs w:val="24"/>
        </w:rPr>
      </w:pPr>
      <w:r>
        <w:rPr>
          <w:rFonts w:ascii="Arial" w:hAnsi="Arial" w:cs="Arial"/>
          <w:sz w:val="24"/>
          <w:szCs w:val="24"/>
        </w:rPr>
        <w:t>Elitestone Ltd v Morris [1997] 1 WLR</w:t>
      </w:r>
      <w:r w:rsidR="009D18BE">
        <w:rPr>
          <w:rFonts w:ascii="Arial" w:hAnsi="Arial" w:cs="Arial"/>
          <w:sz w:val="24"/>
          <w:szCs w:val="24"/>
        </w:rPr>
        <w:t xml:space="preserve"> 687.</w:t>
      </w:r>
    </w:p>
    <w:p w14:paraId="77834451" w14:textId="49307A3C" w:rsidR="008F6753" w:rsidRDefault="008F6753" w:rsidP="008A3FA8">
      <w:pPr>
        <w:spacing w:line="480" w:lineRule="auto"/>
        <w:rPr>
          <w:rFonts w:ascii="Arial" w:hAnsi="Arial" w:cs="Arial"/>
          <w:sz w:val="24"/>
          <w:szCs w:val="24"/>
        </w:rPr>
      </w:pPr>
      <w:r>
        <w:rPr>
          <w:rFonts w:ascii="Arial" w:hAnsi="Arial" w:cs="Arial"/>
          <w:sz w:val="24"/>
          <w:szCs w:val="24"/>
        </w:rPr>
        <w:t>Hamp v Bygrave [19</w:t>
      </w:r>
      <w:r w:rsidR="005B4E65">
        <w:rPr>
          <w:rFonts w:ascii="Arial" w:hAnsi="Arial" w:cs="Arial"/>
          <w:sz w:val="24"/>
          <w:szCs w:val="24"/>
        </w:rPr>
        <w:t>83] 266 EG 720.</w:t>
      </w:r>
    </w:p>
    <w:p w14:paraId="7E93D288" w14:textId="3972935C" w:rsidR="00A50601" w:rsidRDefault="00442BA3" w:rsidP="008A3FA8">
      <w:pPr>
        <w:spacing w:line="480" w:lineRule="auto"/>
        <w:rPr>
          <w:rFonts w:ascii="Arial" w:hAnsi="Arial" w:cs="Arial"/>
          <w:sz w:val="24"/>
          <w:szCs w:val="24"/>
        </w:rPr>
      </w:pPr>
      <w:r>
        <w:rPr>
          <w:rFonts w:ascii="Arial" w:hAnsi="Arial" w:cs="Arial"/>
          <w:sz w:val="24"/>
          <w:szCs w:val="24"/>
        </w:rPr>
        <w:t>Holland v Ho</w:t>
      </w:r>
      <w:r w:rsidR="00E561F5">
        <w:rPr>
          <w:rFonts w:ascii="Arial" w:hAnsi="Arial" w:cs="Arial"/>
          <w:sz w:val="24"/>
          <w:szCs w:val="24"/>
        </w:rPr>
        <w:t>dgson [1872] LR 7 CP 328</w:t>
      </w:r>
      <w:r w:rsidR="004739E3">
        <w:rPr>
          <w:rFonts w:ascii="Arial" w:hAnsi="Arial" w:cs="Arial"/>
          <w:sz w:val="24"/>
          <w:szCs w:val="24"/>
        </w:rPr>
        <w:t>.</w:t>
      </w:r>
    </w:p>
    <w:p w14:paraId="7B8C1067" w14:textId="27A4A6AD" w:rsidR="006C51B1" w:rsidRDefault="006C51B1" w:rsidP="008A3FA8">
      <w:pPr>
        <w:spacing w:line="480" w:lineRule="auto"/>
        <w:rPr>
          <w:rFonts w:ascii="Arial" w:hAnsi="Arial" w:cs="Arial"/>
          <w:sz w:val="24"/>
          <w:szCs w:val="24"/>
        </w:rPr>
      </w:pPr>
      <w:r>
        <w:rPr>
          <w:rFonts w:ascii="Arial" w:hAnsi="Arial" w:cs="Arial"/>
          <w:sz w:val="24"/>
          <w:szCs w:val="24"/>
        </w:rPr>
        <w:t>H. E. Dibble v Moore [1970] 2 QB 181.</w:t>
      </w:r>
    </w:p>
    <w:p w14:paraId="729B1429" w14:textId="42F838A9" w:rsidR="008405E7" w:rsidRDefault="008405E7" w:rsidP="008A3FA8">
      <w:pPr>
        <w:spacing w:line="480" w:lineRule="auto"/>
        <w:rPr>
          <w:rFonts w:ascii="Arial" w:hAnsi="Arial" w:cs="Arial"/>
          <w:sz w:val="24"/>
          <w:szCs w:val="24"/>
        </w:rPr>
      </w:pPr>
      <w:r>
        <w:rPr>
          <w:rFonts w:ascii="Arial" w:hAnsi="Arial" w:cs="Arial"/>
          <w:sz w:val="24"/>
          <w:szCs w:val="24"/>
        </w:rPr>
        <w:t>Jord</w:t>
      </w:r>
      <w:r w:rsidR="0049300D">
        <w:rPr>
          <w:rFonts w:ascii="Arial" w:hAnsi="Arial" w:cs="Arial"/>
          <w:sz w:val="24"/>
          <w:szCs w:val="24"/>
        </w:rPr>
        <w:t>an v May [1947] 1 All ER 231.</w:t>
      </w:r>
    </w:p>
    <w:p w14:paraId="4AB21C3C" w14:textId="1226E8F0" w:rsidR="00DE22E3" w:rsidRDefault="00DE22E3" w:rsidP="008A3FA8">
      <w:pPr>
        <w:spacing w:line="480" w:lineRule="auto"/>
        <w:rPr>
          <w:rFonts w:ascii="Arial" w:hAnsi="Arial" w:cs="Arial"/>
          <w:sz w:val="24"/>
          <w:szCs w:val="24"/>
        </w:rPr>
      </w:pPr>
      <w:r>
        <w:rPr>
          <w:rFonts w:ascii="Arial" w:hAnsi="Arial" w:cs="Arial"/>
          <w:sz w:val="24"/>
          <w:szCs w:val="24"/>
        </w:rPr>
        <w:t>Leigh v Taylor [1902]</w:t>
      </w:r>
      <w:r w:rsidR="005B4E65">
        <w:rPr>
          <w:rFonts w:ascii="Arial" w:hAnsi="Arial" w:cs="Arial"/>
          <w:sz w:val="24"/>
          <w:szCs w:val="24"/>
        </w:rPr>
        <w:t xml:space="preserve"> AC 157.</w:t>
      </w:r>
    </w:p>
    <w:p w14:paraId="1C6543B6" w14:textId="2960447A" w:rsidR="00DE22E3" w:rsidRDefault="00DE22E3" w:rsidP="008A3FA8">
      <w:pPr>
        <w:spacing w:line="480" w:lineRule="auto"/>
        <w:rPr>
          <w:rFonts w:ascii="Arial" w:hAnsi="Arial" w:cs="Arial"/>
          <w:sz w:val="24"/>
          <w:szCs w:val="24"/>
        </w:rPr>
      </w:pPr>
      <w:r>
        <w:rPr>
          <w:rFonts w:ascii="Arial" w:hAnsi="Arial" w:cs="Arial"/>
          <w:sz w:val="24"/>
          <w:szCs w:val="24"/>
        </w:rPr>
        <w:t>Re W</w:t>
      </w:r>
      <w:r w:rsidR="00871B25">
        <w:rPr>
          <w:rFonts w:ascii="Arial" w:hAnsi="Arial" w:cs="Arial"/>
          <w:sz w:val="24"/>
          <w:szCs w:val="24"/>
        </w:rPr>
        <w:t>haley [1908]</w:t>
      </w:r>
      <w:r w:rsidR="009505F0">
        <w:rPr>
          <w:rFonts w:ascii="Arial" w:hAnsi="Arial" w:cs="Arial"/>
          <w:sz w:val="24"/>
          <w:szCs w:val="24"/>
        </w:rPr>
        <w:t xml:space="preserve"> 1 Ch 615.</w:t>
      </w:r>
    </w:p>
    <w:p w14:paraId="0C3FBB57" w14:textId="78023CDB" w:rsidR="004739E3" w:rsidRDefault="00060FAF" w:rsidP="008A3FA8">
      <w:pPr>
        <w:spacing w:line="480" w:lineRule="auto"/>
        <w:rPr>
          <w:rFonts w:ascii="Arial" w:hAnsi="Arial" w:cs="Arial"/>
          <w:sz w:val="24"/>
          <w:szCs w:val="24"/>
        </w:rPr>
      </w:pPr>
      <w:r>
        <w:rPr>
          <w:rFonts w:ascii="Arial" w:hAnsi="Arial" w:cs="Arial"/>
          <w:sz w:val="24"/>
          <w:szCs w:val="24"/>
        </w:rPr>
        <w:t>TSB v Botham</w:t>
      </w:r>
      <w:r w:rsidR="008616CA">
        <w:rPr>
          <w:rFonts w:ascii="Arial" w:hAnsi="Arial" w:cs="Arial"/>
          <w:sz w:val="24"/>
          <w:szCs w:val="24"/>
        </w:rPr>
        <w:t xml:space="preserve"> [1996] EGCS 149.</w:t>
      </w:r>
    </w:p>
    <w:p w14:paraId="4113F60B" w14:textId="397CFC31" w:rsidR="00A50601" w:rsidRDefault="00A50601" w:rsidP="008A3FA8">
      <w:pPr>
        <w:spacing w:line="480" w:lineRule="auto"/>
        <w:rPr>
          <w:rFonts w:ascii="Arial" w:hAnsi="Arial" w:cs="Arial"/>
          <w:sz w:val="24"/>
          <w:szCs w:val="24"/>
        </w:rPr>
      </w:pPr>
    </w:p>
    <w:p w14:paraId="0AE3B9D2" w14:textId="2B610D81" w:rsidR="00BB4592" w:rsidRDefault="00BB4592" w:rsidP="008A3FA8">
      <w:pPr>
        <w:spacing w:line="480" w:lineRule="auto"/>
        <w:rPr>
          <w:rFonts w:ascii="Arial" w:hAnsi="Arial" w:cs="Arial"/>
          <w:sz w:val="24"/>
          <w:szCs w:val="24"/>
        </w:rPr>
      </w:pPr>
    </w:p>
    <w:p w14:paraId="454FDAAA" w14:textId="23848C91" w:rsidR="00B57B06" w:rsidRDefault="00B57B06" w:rsidP="008A3FA8">
      <w:pPr>
        <w:spacing w:line="480" w:lineRule="auto"/>
        <w:rPr>
          <w:rFonts w:ascii="Arial" w:hAnsi="Arial" w:cs="Arial"/>
          <w:sz w:val="24"/>
          <w:szCs w:val="24"/>
        </w:rPr>
      </w:pPr>
    </w:p>
    <w:p w14:paraId="2F11643A" w14:textId="493EDED6" w:rsidR="00B57B06" w:rsidRDefault="00B57B06" w:rsidP="008A3FA8">
      <w:pPr>
        <w:spacing w:line="480" w:lineRule="auto"/>
        <w:rPr>
          <w:rFonts w:ascii="Arial" w:hAnsi="Arial" w:cs="Arial"/>
          <w:sz w:val="24"/>
          <w:szCs w:val="24"/>
        </w:rPr>
      </w:pPr>
    </w:p>
    <w:p w14:paraId="0BF78273" w14:textId="77777777" w:rsidR="00B57B06" w:rsidRDefault="00B57B06" w:rsidP="008A3FA8">
      <w:pPr>
        <w:spacing w:line="480" w:lineRule="auto"/>
        <w:rPr>
          <w:rFonts w:ascii="Arial" w:hAnsi="Arial" w:cs="Arial"/>
          <w:sz w:val="24"/>
          <w:szCs w:val="24"/>
        </w:rPr>
      </w:pPr>
    </w:p>
    <w:p w14:paraId="5D8B56B9" w14:textId="76B6CD6D" w:rsidR="00A50601" w:rsidRPr="00B57B06" w:rsidRDefault="00A50601" w:rsidP="008A3FA8">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Task 2 </w:t>
      </w:r>
    </w:p>
    <w:p w14:paraId="69F30704" w14:textId="77777777" w:rsidR="00B57B06" w:rsidRDefault="00B57B06" w:rsidP="008A3FA8">
      <w:pPr>
        <w:spacing w:line="480" w:lineRule="auto"/>
        <w:rPr>
          <w:rFonts w:ascii="Arial" w:hAnsi="Arial" w:cs="Arial"/>
          <w:sz w:val="24"/>
          <w:szCs w:val="24"/>
        </w:rPr>
      </w:pPr>
    </w:p>
    <w:p w14:paraId="364E75BF" w14:textId="41ED18D1" w:rsidR="000C21E1" w:rsidRDefault="00B73A97" w:rsidP="006F7B44">
      <w:pPr>
        <w:spacing w:line="480" w:lineRule="auto"/>
        <w:jc w:val="both"/>
        <w:rPr>
          <w:rFonts w:ascii="Arial" w:hAnsi="Arial" w:cs="Arial"/>
          <w:sz w:val="24"/>
          <w:szCs w:val="24"/>
        </w:rPr>
      </w:pPr>
      <w:r>
        <w:rPr>
          <w:rFonts w:ascii="Arial" w:hAnsi="Arial" w:cs="Arial"/>
          <w:sz w:val="24"/>
          <w:szCs w:val="24"/>
        </w:rPr>
        <w:t>A mortgage</w:t>
      </w:r>
      <w:r w:rsidR="004E5DCE">
        <w:rPr>
          <w:rFonts w:ascii="Arial" w:hAnsi="Arial" w:cs="Arial"/>
          <w:sz w:val="24"/>
          <w:szCs w:val="24"/>
        </w:rPr>
        <w:t xml:space="preserve"> is a contractual arrangement between a lender known as the mortgagee and a borrower known as the mortgagor</w:t>
      </w:r>
      <w:r w:rsidR="00DD4140">
        <w:rPr>
          <w:rFonts w:ascii="Arial" w:hAnsi="Arial" w:cs="Arial"/>
          <w:sz w:val="24"/>
          <w:szCs w:val="24"/>
        </w:rPr>
        <w:t xml:space="preserve"> </w:t>
      </w:r>
      <w:r w:rsidR="00DA7D8D">
        <w:rPr>
          <w:rFonts w:ascii="Arial" w:hAnsi="Arial" w:cs="Arial"/>
          <w:sz w:val="24"/>
          <w:szCs w:val="24"/>
        </w:rPr>
        <w:t>and is the primary way in which a person is able to fund homeownership</w:t>
      </w:r>
      <w:r w:rsidR="00861790">
        <w:rPr>
          <w:rFonts w:ascii="Arial" w:hAnsi="Arial" w:cs="Arial"/>
          <w:sz w:val="24"/>
          <w:szCs w:val="24"/>
        </w:rPr>
        <w:t xml:space="preserve"> (Sayles, 2020, pp.225)</w:t>
      </w:r>
      <w:r w:rsidR="009A46C7">
        <w:rPr>
          <w:rFonts w:ascii="Arial" w:hAnsi="Arial" w:cs="Arial"/>
          <w:sz w:val="24"/>
          <w:szCs w:val="24"/>
        </w:rPr>
        <w:t>.</w:t>
      </w:r>
      <w:r w:rsidR="00F601FC">
        <w:rPr>
          <w:rFonts w:ascii="Arial" w:hAnsi="Arial" w:cs="Arial"/>
          <w:sz w:val="24"/>
          <w:szCs w:val="24"/>
        </w:rPr>
        <w:t xml:space="preserve"> </w:t>
      </w:r>
      <w:r w:rsidR="009A46C7">
        <w:rPr>
          <w:rFonts w:ascii="Arial" w:hAnsi="Arial" w:cs="Arial"/>
          <w:sz w:val="24"/>
          <w:szCs w:val="24"/>
        </w:rPr>
        <w:t>This</w:t>
      </w:r>
      <w:r w:rsidR="009B6A9B">
        <w:rPr>
          <w:rFonts w:ascii="Arial" w:hAnsi="Arial" w:cs="Arial"/>
          <w:sz w:val="24"/>
          <w:szCs w:val="24"/>
        </w:rPr>
        <w:t xml:space="preserve"> arrangement</w:t>
      </w:r>
      <w:r w:rsidR="000A176E">
        <w:rPr>
          <w:rFonts w:ascii="Arial" w:hAnsi="Arial" w:cs="Arial"/>
          <w:sz w:val="24"/>
          <w:szCs w:val="24"/>
        </w:rPr>
        <w:t xml:space="preserve"> gives the mortgagee </w:t>
      </w:r>
      <w:r w:rsidR="0030603A">
        <w:rPr>
          <w:rFonts w:ascii="Arial" w:hAnsi="Arial" w:cs="Arial"/>
          <w:sz w:val="24"/>
          <w:szCs w:val="24"/>
        </w:rPr>
        <w:t xml:space="preserve">both contractual as well as proprietary </w:t>
      </w:r>
      <w:r w:rsidR="00BE10EF">
        <w:rPr>
          <w:rFonts w:ascii="Arial" w:hAnsi="Arial" w:cs="Arial"/>
          <w:sz w:val="24"/>
          <w:szCs w:val="24"/>
        </w:rPr>
        <w:t xml:space="preserve">rights </w:t>
      </w:r>
      <w:r w:rsidR="004C3E12">
        <w:rPr>
          <w:rFonts w:ascii="Arial" w:hAnsi="Arial" w:cs="Arial"/>
          <w:sz w:val="24"/>
          <w:szCs w:val="24"/>
        </w:rPr>
        <w:t>that prior to 1925 w</w:t>
      </w:r>
      <w:r w:rsidR="00C670B6">
        <w:rPr>
          <w:rFonts w:ascii="Arial" w:hAnsi="Arial" w:cs="Arial"/>
          <w:sz w:val="24"/>
          <w:szCs w:val="24"/>
        </w:rPr>
        <w:t>ere</w:t>
      </w:r>
      <w:r w:rsidR="004C3E12">
        <w:rPr>
          <w:rFonts w:ascii="Arial" w:hAnsi="Arial" w:cs="Arial"/>
          <w:sz w:val="24"/>
          <w:szCs w:val="24"/>
        </w:rPr>
        <w:t xml:space="preserve"> not recognised by common law </w:t>
      </w:r>
      <w:r w:rsidR="001A7D18">
        <w:rPr>
          <w:rFonts w:ascii="Arial" w:hAnsi="Arial" w:cs="Arial"/>
          <w:sz w:val="24"/>
          <w:szCs w:val="24"/>
        </w:rPr>
        <w:t xml:space="preserve">which typically took the form of a transfer of the fee simple to the lender </w:t>
      </w:r>
      <w:r w:rsidR="00BE10EF">
        <w:rPr>
          <w:rFonts w:ascii="Arial" w:hAnsi="Arial" w:cs="Arial"/>
          <w:sz w:val="24"/>
          <w:szCs w:val="24"/>
        </w:rPr>
        <w:t xml:space="preserve">(Bray, 2016, pp.393). </w:t>
      </w:r>
      <w:r w:rsidR="00B26566">
        <w:rPr>
          <w:rFonts w:ascii="Arial" w:hAnsi="Arial" w:cs="Arial"/>
          <w:sz w:val="24"/>
          <w:szCs w:val="24"/>
        </w:rPr>
        <w:t>However, since the introduction of</w:t>
      </w:r>
      <w:r w:rsidR="00EF10BA">
        <w:rPr>
          <w:rFonts w:ascii="Arial" w:hAnsi="Arial" w:cs="Arial"/>
          <w:sz w:val="24"/>
          <w:szCs w:val="24"/>
        </w:rPr>
        <w:t xml:space="preserve"> t</w:t>
      </w:r>
      <w:r w:rsidR="00867B27">
        <w:rPr>
          <w:rFonts w:ascii="Arial" w:hAnsi="Arial" w:cs="Arial"/>
          <w:sz w:val="24"/>
          <w:szCs w:val="24"/>
        </w:rPr>
        <w:t xml:space="preserve">he Law of Property Act </w:t>
      </w:r>
      <w:r w:rsidR="006D5E76">
        <w:rPr>
          <w:rFonts w:ascii="Arial" w:hAnsi="Arial" w:cs="Arial"/>
          <w:sz w:val="24"/>
          <w:szCs w:val="24"/>
        </w:rPr>
        <w:t xml:space="preserve">(LPA) </w:t>
      </w:r>
      <w:r w:rsidR="009103D4">
        <w:rPr>
          <w:rFonts w:ascii="Arial" w:hAnsi="Arial" w:cs="Arial"/>
          <w:sz w:val="24"/>
          <w:szCs w:val="24"/>
        </w:rPr>
        <w:t>1925</w:t>
      </w:r>
      <w:r w:rsidR="006F66A6">
        <w:rPr>
          <w:rFonts w:ascii="Arial" w:hAnsi="Arial" w:cs="Arial"/>
          <w:sz w:val="24"/>
          <w:szCs w:val="24"/>
        </w:rPr>
        <w:t>,</w:t>
      </w:r>
      <w:r w:rsidR="00A71C52">
        <w:rPr>
          <w:rFonts w:ascii="Arial" w:hAnsi="Arial" w:cs="Arial"/>
          <w:sz w:val="24"/>
          <w:szCs w:val="24"/>
        </w:rPr>
        <w:t xml:space="preserve"> conveyance and reconveyance were </w:t>
      </w:r>
      <w:r w:rsidR="00A571B9">
        <w:rPr>
          <w:rFonts w:ascii="Arial" w:hAnsi="Arial" w:cs="Arial"/>
          <w:sz w:val="24"/>
          <w:szCs w:val="24"/>
        </w:rPr>
        <w:t>made impossible</w:t>
      </w:r>
      <w:r w:rsidR="003E36A9">
        <w:rPr>
          <w:rFonts w:ascii="Arial" w:hAnsi="Arial" w:cs="Arial"/>
          <w:sz w:val="24"/>
          <w:szCs w:val="24"/>
        </w:rPr>
        <w:t xml:space="preserve"> </w:t>
      </w:r>
      <w:r w:rsidR="004121A5">
        <w:rPr>
          <w:rFonts w:ascii="Arial" w:hAnsi="Arial" w:cs="Arial"/>
          <w:sz w:val="24"/>
          <w:szCs w:val="24"/>
        </w:rPr>
        <w:t>(Bray, 2016, pp.364).</w:t>
      </w:r>
    </w:p>
    <w:p w14:paraId="33CAB11B" w14:textId="464F730B" w:rsidR="004121A5" w:rsidRDefault="00725437" w:rsidP="006F7B44">
      <w:pPr>
        <w:spacing w:line="480" w:lineRule="auto"/>
        <w:jc w:val="both"/>
        <w:rPr>
          <w:rFonts w:ascii="Arial" w:hAnsi="Arial" w:cs="Arial"/>
          <w:sz w:val="24"/>
          <w:szCs w:val="24"/>
        </w:rPr>
      </w:pPr>
      <w:r>
        <w:rPr>
          <w:rFonts w:ascii="Arial" w:hAnsi="Arial" w:cs="Arial"/>
          <w:sz w:val="24"/>
          <w:szCs w:val="24"/>
        </w:rPr>
        <w:t>M</w:t>
      </w:r>
      <w:r w:rsidR="004104BA">
        <w:rPr>
          <w:rFonts w:ascii="Arial" w:hAnsi="Arial" w:cs="Arial"/>
          <w:sz w:val="24"/>
          <w:szCs w:val="24"/>
        </w:rPr>
        <w:t>ortgage</w:t>
      </w:r>
      <w:r>
        <w:rPr>
          <w:rFonts w:ascii="Arial" w:hAnsi="Arial" w:cs="Arial"/>
          <w:sz w:val="24"/>
          <w:szCs w:val="24"/>
        </w:rPr>
        <w:t xml:space="preserve">s are </w:t>
      </w:r>
      <w:r w:rsidR="00696249">
        <w:rPr>
          <w:rFonts w:ascii="Arial" w:hAnsi="Arial" w:cs="Arial"/>
          <w:sz w:val="24"/>
          <w:szCs w:val="24"/>
        </w:rPr>
        <w:t xml:space="preserve">capable of </w:t>
      </w:r>
      <w:r w:rsidR="009D451A">
        <w:rPr>
          <w:rFonts w:ascii="Arial" w:hAnsi="Arial" w:cs="Arial"/>
          <w:sz w:val="24"/>
          <w:szCs w:val="24"/>
        </w:rPr>
        <w:t>be</w:t>
      </w:r>
      <w:r w:rsidR="00696249">
        <w:rPr>
          <w:rFonts w:ascii="Arial" w:hAnsi="Arial" w:cs="Arial"/>
          <w:sz w:val="24"/>
          <w:szCs w:val="24"/>
        </w:rPr>
        <w:t>ing</w:t>
      </w:r>
      <w:r w:rsidR="009D451A">
        <w:rPr>
          <w:rFonts w:ascii="Arial" w:hAnsi="Arial" w:cs="Arial"/>
          <w:sz w:val="24"/>
          <w:szCs w:val="24"/>
        </w:rPr>
        <w:t xml:space="preserve"> </w:t>
      </w:r>
      <w:r w:rsidR="00D3189C">
        <w:rPr>
          <w:rFonts w:ascii="Arial" w:hAnsi="Arial" w:cs="Arial"/>
          <w:sz w:val="24"/>
          <w:szCs w:val="24"/>
        </w:rPr>
        <w:t xml:space="preserve">equitable or </w:t>
      </w:r>
      <w:r w:rsidR="009D451A">
        <w:rPr>
          <w:rFonts w:ascii="Arial" w:hAnsi="Arial" w:cs="Arial"/>
          <w:sz w:val="24"/>
          <w:szCs w:val="24"/>
        </w:rPr>
        <w:t>under s.1(2)(c) LPA 1925</w:t>
      </w:r>
      <w:r w:rsidR="001E242D">
        <w:rPr>
          <w:rFonts w:ascii="Arial" w:hAnsi="Arial" w:cs="Arial"/>
          <w:sz w:val="24"/>
          <w:szCs w:val="24"/>
        </w:rPr>
        <w:t>,</w:t>
      </w:r>
      <w:r w:rsidR="009D451A">
        <w:rPr>
          <w:rFonts w:ascii="Arial" w:hAnsi="Arial" w:cs="Arial"/>
          <w:sz w:val="24"/>
          <w:szCs w:val="24"/>
        </w:rPr>
        <w:t xml:space="preserve"> </w:t>
      </w:r>
      <w:r w:rsidR="001304FE">
        <w:rPr>
          <w:rFonts w:ascii="Arial" w:hAnsi="Arial" w:cs="Arial"/>
          <w:sz w:val="24"/>
          <w:szCs w:val="24"/>
        </w:rPr>
        <w:t>legal</w:t>
      </w:r>
      <w:r w:rsidR="009D451A">
        <w:rPr>
          <w:rFonts w:ascii="Arial" w:hAnsi="Arial" w:cs="Arial"/>
          <w:sz w:val="24"/>
          <w:szCs w:val="24"/>
        </w:rPr>
        <w:t xml:space="preserve"> (Sayles, 2020, pp.224).</w:t>
      </w:r>
      <w:r w:rsidR="00167ED4">
        <w:rPr>
          <w:rFonts w:ascii="Arial" w:hAnsi="Arial" w:cs="Arial"/>
          <w:sz w:val="24"/>
          <w:szCs w:val="24"/>
        </w:rPr>
        <w:t xml:space="preserve"> </w:t>
      </w:r>
      <w:r w:rsidR="004121A5">
        <w:rPr>
          <w:rFonts w:ascii="Arial" w:hAnsi="Arial" w:cs="Arial"/>
          <w:sz w:val="24"/>
          <w:szCs w:val="24"/>
        </w:rPr>
        <w:t xml:space="preserve">To be legal, the modern form of </w:t>
      </w:r>
      <w:r w:rsidR="0028371E">
        <w:rPr>
          <w:rFonts w:ascii="Arial" w:hAnsi="Arial" w:cs="Arial"/>
          <w:sz w:val="24"/>
          <w:szCs w:val="24"/>
        </w:rPr>
        <w:t xml:space="preserve">a </w:t>
      </w:r>
      <w:r w:rsidR="004121A5">
        <w:rPr>
          <w:rFonts w:ascii="Arial" w:hAnsi="Arial" w:cs="Arial"/>
          <w:sz w:val="24"/>
          <w:szCs w:val="24"/>
        </w:rPr>
        <w:t>mortgage</w:t>
      </w:r>
      <w:r w:rsidR="004C4C56">
        <w:rPr>
          <w:rFonts w:ascii="Arial" w:hAnsi="Arial" w:cs="Arial"/>
          <w:sz w:val="24"/>
          <w:szCs w:val="24"/>
        </w:rPr>
        <w:t xml:space="preserve"> must be created by deed</w:t>
      </w:r>
      <w:r w:rsidR="00C56D84">
        <w:rPr>
          <w:rFonts w:ascii="Arial" w:hAnsi="Arial" w:cs="Arial"/>
          <w:sz w:val="24"/>
          <w:szCs w:val="24"/>
        </w:rPr>
        <w:t>; s.</w:t>
      </w:r>
      <w:r w:rsidR="00D7301F">
        <w:rPr>
          <w:rFonts w:ascii="Arial" w:hAnsi="Arial" w:cs="Arial"/>
          <w:sz w:val="24"/>
          <w:szCs w:val="24"/>
        </w:rPr>
        <w:t>52(1)</w:t>
      </w:r>
      <w:r w:rsidR="00C56D84">
        <w:rPr>
          <w:rFonts w:ascii="Arial" w:hAnsi="Arial" w:cs="Arial"/>
          <w:sz w:val="24"/>
          <w:szCs w:val="24"/>
        </w:rPr>
        <w:t xml:space="preserve"> LPA 1925</w:t>
      </w:r>
      <w:r w:rsidR="00475859">
        <w:rPr>
          <w:rFonts w:ascii="Arial" w:hAnsi="Arial" w:cs="Arial"/>
          <w:sz w:val="24"/>
          <w:szCs w:val="24"/>
        </w:rPr>
        <w:t>,</w:t>
      </w:r>
      <w:r w:rsidR="004125C9">
        <w:rPr>
          <w:rFonts w:ascii="Arial" w:hAnsi="Arial" w:cs="Arial"/>
          <w:sz w:val="24"/>
          <w:szCs w:val="24"/>
        </w:rPr>
        <w:t xml:space="preserve"> in effect</w:t>
      </w:r>
      <w:r w:rsidR="00307FC3">
        <w:rPr>
          <w:rFonts w:ascii="Arial" w:hAnsi="Arial" w:cs="Arial"/>
          <w:sz w:val="24"/>
          <w:szCs w:val="24"/>
        </w:rPr>
        <w:t>;</w:t>
      </w:r>
      <w:r w:rsidR="00475859">
        <w:rPr>
          <w:rFonts w:ascii="Arial" w:hAnsi="Arial" w:cs="Arial"/>
          <w:sz w:val="24"/>
          <w:szCs w:val="24"/>
        </w:rPr>
        <w:t xml:space="preserve"> signed, witnesse</w:t>
      </w:r>
      <w:r w:rsidR="0028371E">
        <w:rPr>
          <w:rFonts w:ascii="Arial" w:hAnsi="Arial" w:cs="Arial"/>
          <w:sz w:val="24"/>
          <w:szCs w:val="24"/>
        </w:rPr>
        <w:t>d</w:t>
      </w:r>
      <w:r w:rsidR="00475859">
        <w:rPr>
          <w:rFonts w:ascii="Arial" w:hAnsi="Arial" w:cs="Arial"/>
          <w:sz w:val="24"/>
          <w:szCs w:val="24"/>
        </w:rPr>
        <w:t>, dated and headed a deed</w:t>
      </w:r>
      <w:r w:rsidR="00114F29">
        <w:rPr>
          <w:rFonts w:ascii="Arial" w:hAnsi="Arial" w:cs="Arial"/>
          <w:sz w:val="24"/>
          <w:szCs w:val="24"/>
        </w:rPr>
        <w:t xml:space="preserve"> (Bray, 2016, pp.365)</w:t>
      </w:r>
      <w:r w:rsidR="00751AFF">
        <w:rPr>
          <w:rFonts w:ascii="Arial" w:hAnsi="Arial" w:cs="Arial"/>
          <w:sz w:val="24"/>
          <w:szCs w:val="24"/>
        </w:rPr>
        <w:t>.</w:t>
      </w:r>
      <w:r w:rsidR="000E31BF">
        <w:rPr>
          <w:rFonts w:ascii="Arial" w:hAnsi="Arial" w:cs="Arial"/>
          <w:sz w:val="24"/>
          <w:szCs w:val="24"/>
        </w:rPr>
        <w:t xml:space="preserve"> </w:t>
      </w:r>
      <w:r w:rsidR="00751AFF">
        <w:rPr>
          <w:rFonts w:ascii="Arial" w:hAnsi="Arial" w:cs="Arial"/>
          <w:sz w:val="24"/>
          <w:szCs w:val="24"/>
        </w:rPr>
        <w:t>This</w:t>
      </w:r>
      <w:r w:rsidR="00307FC3">
        <w:rPr>
          <w:rFonts w:ascii="Arial" w:hAnsi="Arial" w:cs="Arial"/>
          <w:sz w:val="24"/>
          <w:szCs w:val="24"/>
        </w:rPr>
        <w:t xml:space="preserve"> process </w:t>
      </w:r>
      <w:r w:rsidR="00CE435F">
        <w:rPr>
          <w:rFonts w:ascii="Arial" w:hAnsi="Arial" w:cs="Arial"/>
          <w:sz w:val="24"/>
          <w:szCs w:val="24"/>
        </w:rPr>
        <w:t xml:space="preserve">is </w:t>
      </w:r>
      <w:r w:rsidR="009C67B8">
        <w:rPr>
          <w:rFonts w:ascii="Arial" w:hAnsi="Arial" w:cs="Arial"/>
          <w:sz w:val="24"/>
          <w:szCs w:val="24"/>
        </w:rPr>
        <w:t xml:space="preserve">acknowledged as the most common method </w:t>
      </w:r>
      <w:r w:rsidR="00512790">
        <w:rPr>
          <w:rFonts w:ascii="Arial" w:hAnsi="Arial" w:cs="Arial"/>
          <w:sz w:val="24"/>
          <w:szCs w:val="24"/>
        </w:rPr>
        <w:t>of creating a mortgage today</w:t>
      </w:r>
      <w:r w:rsidR="00751AFF">
        <w:rPr>
          <w:rFonts w:ascii="Arial" w:hAnsi="Arial" w:cs="Arial"/>
          <w:sz w:val="24"/>
          <w:szCs w:val="24"/>
        </w:rPr>
        <w:t>, and w</w:t>
      </w:r>
      <w:r w:rsidR="00AF3D60">
        <w:rPr>
          <w:rFonts w:ascii="Arial" w:hAnsi="Arial" w:cs="Arial"/>
          <w:sz w:val="24"/>
          <w:szCs w:val="24"/>
        </w:rPr>
        <w:t xml:space="preserve">ith regards to registered land, </w:t>
      </w:r>
      <w:r w:rsidR="001576AA">
        <w:rPr>
          <w:rFonts w:ascii="Arial" w:hAnsi="Arial" w:cs="Arial"/>
          <w:sz w:val="24"/>
          <w:szCs w:val="24"/>
        </w:rPr>
        <w:t>s.23(1)</w:t>
      </w:r>
      <w:r w:rsidR="00354593">
        <w:rPr>
          <w:rFonts w:ascii="Arial" w:hAnsi="Arial" w:cs="Arial"/>
          <w:sz w:val="24"/>
          <w:szCs w:val="24"/>
        </w:rPr>
        <w:t>(a)</w:t>
      </w:r>
      <w:r w:rsidR="00DB1034">
        <w:rPr>
          <w:rFonts w:ascii="Arial" w:hAnsi="Arial" w:cs="Arial"/>
          <w:sz w:val="24"/>
          <w:szCs w:val="24"/>
        </w:rPr>
        <w:t xml:space="preserve"> Land Registration Act</w:t>
      </w:r>
      <w:r w:rsidR="001576AA">
        <w:rPr>
          <w:rFonts w:ascii="Arial" w:hAnsi="Arial" w:cs="Arial"/>
          <w:sz w:val="24"/>
          <w:szCs w:val="24"/>
        </w:rPr>
        <w:t xml:space="preserve"> (LRA)</w:t>
      </w:r>
      <w:r w:rsidR="00DB1034">
        <w:rPr>
          <w:rFonts w:ascii="Arial" w:hAnsi="Arial" w:cs="Arial"/>
          <w:sz w:val="24"/>
          <w:szCs w:val="24"/>
        </w:rPr>
        <w:t xml:space="preserve"> 2002</w:t>
      </w:r>
      <w:r w:rsidR="001576AA">
        <w:rPr>
          <w:rFonts w:ascii="Arial" w:hAnsi="Arial" w:cs="Arial"/>
          <w:sz w:val="24"/>
          <w:szCs w:val="24"/>
        </w:rPr>
        <w:t xml:space="preserve"> </w:t>
      </w:r>
      <w:r w:rsidR="00D451DB">
        <w:rPr>
          <w:rFonts w:ascii="Arial" w:hAnsi="Arial" w:cs="Arial"/>
          <w:sz w:val="24"/>
          <w:szCs w:val="24"/>
        </w:rPr>
        <w:t xml:space="preserve">is the only way in which a mortgage can be </w:t>
      </w:r>
      <w:r w:rsidR="004E1A9A">
        <w:rPr>
          <w:rFonts w:ascii="Arial" w:hAnsi="Arial" w:cs="Arial"/>
          <w:sz w:val="24"/>
          <w:szCs w:val="24"/>
        </w:rPr>
        <w:t>e</w:t>
      </w:r>
      <w:r w:rsidR="00D451DB">
        <w:rPr>
          <w:rFonts w:ascii="Arial" w:hAnsi="Arial" w:cs="Arial"/>
          <w:sz w:val="24"/>
          <w:szCs w:val="24"/>
        </w:rPr>
        <w:t>ffect</w:t>
      </w:r>
      <w:r w:rsidR="00FF053A">
        <w:rPr>
          <w:rFonts w:ascii="Arial" w:hAnsi="Arial" w:cs="Arial"/>
          <w:sz w:val="24"/>
          <w:szCs w:val="24"/>
        </w:rPr>
        <w:t>ive</w:t>
      </w:r>
      <w:r w:rsidR="00D451DB">
        <w:rPr>
          <w:rFonts w:ascii="Arial" w:hAnsi="Arial" w:cs="Arial"/>
          <w:sz w:val="24"/>
          <w:szCs w:val="24"/>
        </w:rPr>
        <w:t xml:space="preserve"> </w:t>
      </w:r>
      <w:r w:rsidR="00C1676D">
        <w:rPr>
          <w:rFonts w:ascii="Arial" w:hAnsi="Arial" w:cs="Arial"/>
          <w:sz w:val="24"/>
          <w:szCs w:val="24"/>
        </w:rPr>
        <w:t xml:space="preserve">and </w:t>
      </w:r>
      <w:r w:rsidR="00FB6990">
        <w:rPr>
          <w:rFonts w:ascii="Arial" w:hAnsi="Arial" w:cs="Arial"/>
          <w:sz w:val="24"/>
          <w:szCs w:val="24"/>
        </w:rPr>
        <w:t xml:space="preserve">therefore </w:t>
      </w:r>
      <w:r w:rsidR="004015B1">
        <w:rPr>
          <w:rFonts w:ascii="Arial" w:hAnsi="Arial" w:cs="Arial"/>
          <w:sz w:val="24"/>
          <w:szCs w:val="24"/>
        </w:rPr>
        <w:t xml:space="preserve">must be registered as a legal charge </w:t>
      </w:r>
      <w:r w:rsidR="00AD51A1">
        <w:rPr>
          <w:rFonts w:ascii="Arial" w:hAnsi="Arial" w:cs="Arial"/>
          <w:sz w:val="24"/>
          <w:szCs w:val="24"/>
        </w:rPr>
        <w:t>(Richards, 2014, pp.</w:t>
      </w:r>
      <w:r w:rsidR="006201A7">
        <w:rPr>
          <w:rFonts w:ascii="Arial" w:hAnsi="Arial" w:cs="Arial"/>
          <w:sz w:val="24"/>
          <w:szCs w:val="24"/>
        </w:rPr>
        <w:t>475</w:t>
      </w:r>
      <w:r w:rsidR="00AD51A1">
        <w:rPr>
          <w:rFonts w:ascii="Arial" w:hAnsi="Arial" w:cs="Arial"/>
          <w:sz w:val="24"/>
          <w:szCs w:val="24"/>
        </w:rPr>
        <w:t>).</w:t>
      </w:r>
      <w:r w:rsidR="00C56D84">
        <w:rPr>
          <w:rFonts w:ascii="Arial" w:hAnsi="Arial" w:cs="Arial"/>
          <w:sz w:val="24"/>
          <w:szCs w:val="24"/>
        </w:rPr>
        <w:t xml:space="preserve"> </w:t>
      </w:r>
    </w:p>
    <w:p w14:paraId="3D68628A" w14:textId="0D6E625F" w:rsidR="00E4031D" w:rsidRDefault="00E4031D" w:rsidP="006F7B44">
      <w:pPr>
        <w:spacing w:line="480" w:lineRule="auto"/>
        <w:jc w:val="both"/>
        <w:rPr>
          <w:rFonts w:ascii="Arial" w:hAnsi="Arial" w:cs="Arial"/>
          <w:sz w:val="24"/>
          <w:szCs w:val="24"/>
        </w:rPr>
      </w:pPr>
    </w:p>
    <w:p w14:paraId="3CF895F2" w14:textId="713E424D" w:rsidR="00FE7229" w:rsidRDefault="00753FC5" w:rsidP="006F7B44">
      <w:pPr>
        <w:spacing w:line="480" w:lineRule="auto"/>
        <w:jc w:val="both"/>
        <w:rPr>
          <w:rFonts w:ascii="Arial" w:hAnsi="Arial" w:cs="Arial"/>
          <w:sz w:val="24"/>
          <w:szCs w:val="24"/>
        </w:rPr>
      </w:pPr>
      <w:r>
        <w:rPr>
          <w:rFonts w:ascii="Arial" w:hAnsi="Arial" w:cs="Arial"/>
          <w:sz w:val="24"/>
          <w:szCs w:val="24"/>
        </w:rPr>
        <w:t xml:space="preserve">The </w:t>
      </w:r>
      <w:r w:rsidR="000D46A9">
        <w:rPr>
          <w:rFonts w:ascii="Arial" w:hAnsi="Arial" w:cs="Arial"/>
          <w:sz w:val="24"/>
          <w:szCs w:val="24"/>
        </w:rPr>
        <w:t xml:space="preserve">nature of a mortgage </w:t>
      </w:r>
      <w:r w:rsidR="00B200DF">
        <w:rPr>
          <w:rFonts w:ascii="Arial" w:hAnsi="Arial" w:cs="Arial"/>
          <w:sz w:val="24"/>
          <w:szCs w:val="24"/>
        </w:rPr>
        <w:t xml:space="preserve">is in essence a contract whereby the mortgagor </w:t>
      </w:r>
      <w:r w:rsidR="00E55B85">
        <w:rPr>
          <w:rFonts w:ascii="Arial" w:hAnsi="Arial" w:cs="Arial"/>
          <w:sz w:val="24"/>
          <w:szCs w:val="24"/>
        </w:rPr>
        <w:t xml:space="preserve">agrees to repay a borrowed sum with interest </w:t>
      </w:r>
      <w:r w:rsidR="00702312">
        <w:rPr>
          <w:rFonts w:ascii="Arial" w:hAnsi="Arial" w:cs="Arial"/>
          <w:sz w:val="24"/>
          <w:szCs w:val="24"/>
        </w:rPr>
        <w:t>in return for a monetary loan</w:t>
      </w:r>
      <w:r w:rsidR="00C04CFC">
        <w:rPr>
          <w:rFonts w:ascii="Arial" w:hAnsi="Arial" w:cs="Arial"/>
          <w:sz w:val="24"/>
          <w:szCs w:val="24"/>
        </w:rPr>
        <w:t>. S</w:t>
      </w:r>
      <w:r w:rsidR="00FD570F">
        <w:rPr>
          <w:rFonts w:ascii="Arial" w:hAnsi="Arial" w:cs="Arial"/>
          <w:sz w:val="24"/>
          <w:szCs w:val="24"/>
        </w:rPr>
        <w:t>hould the contract be breached by the mortgagor</w:t>
      </w:r>
      <w:r w:rsidR="007F3D8C">
        <w:rPr>
          <w:rFonts w:ascii="Arial" w:hAnsi="Arial" w:cs="Arial"/>
          <w:sz w:val="24"/>
          <w:szCs w:val="24"/>
        </w:rPr>
        <w:t xml:space="preserve"> by way of failure to repay or keep up instalments</w:t>
      </w:r>
      <w:r w:rsidR="00DB6CA5">
        <w:rPr>
          <w:rFonts w:ascii="Arial" w:hAnsi="Arial" w:cs="Arial"/>
          <w:sz w:val="24"/>
          <w:szCs w:val="24"/>
        </w:rPr>
        <w:t>,</w:t>
      </w:r>
      <w:r w:rsidR="007F3D8C">
        <w:rPr>
          <w:rFonts w:ascii="Arial" w:hAnsi="Arial" w:cs="Arial"/>
          <w:sz w:val="24"/>
          <w:szCs w:val="24"/>
        </w:rPr>
        <w:t xml:space="preserve"> </w:t>
      </w:r>
      <w:r w:rsidR="00FD570F">
        <w:rPr>
          <w:rFonts w:ascii="Arial" w:hAnsi="Arial" w:cs="Arial"/>
          <w:sz w:val="24"/>
          <w:szCs w:val="24"/>
        </w:rPr>
        <w:t xml:space="preserve">the mortgagee has </w:t>
      </w:r>
      <w:r w:rsidR="00A50117">
        <w:rPr>
          <w:rFonts w:ascii="Arial" w:hAnsi="Arial" w:cs="Arial"/>
          <w:sz w:val="24"/>
          <w:szCs w:val="24"/>
        </w:rPr>
        <w:t xml:space="preserve">various rights and remedies available to </w:t>
      </w:r>
      <w:r w:rsidR="0016027D">
        <w:rPr>
          <w:rFonts w:ascii="Arial" w:hAnsi="Arial" w:cs="Arial"/>
          <w:sz w:val="24"/>
          <w:szCs w:val="24"/>
        </w:rPr>
        <w:t xml:space="preserve">them to enforce the security </w:t>
      </w:r>
      <w:r w:rsidR="00DB6CA5">
        <w:rPr>
          <w:rFonts w:ascii="Arial" w:hAnsi="Arial" w:cs="Arial"/>
          <w:sz w:val="24"/>
          <w:szCs w:val="24"/>
        </w:rPr>
        <w:t>of the loan</w:t>
      </w:r>
      <w:r w:rsidR="00C03581">
        <w:rPr>
          <w:rFonts w:ascii="Arial" w:hAnsi="Arial" w:cs="Arial"/>
          <w:sz w:val="24"/>
          <w:szCs w:val="24"/>
        </w:rPr>
        <w:t xml:space="preserve"> (</w:t>
      </w:r>
      <w:r w:rsidR="00D57377">
        <w:rPr>
          <w:rFonts w:ascii="Arial" w:hAnsi="Arial" w:cs="Arial"/>
          <w:sz w:val="24"/>
          <w:szCs w:val="24"/>
        </w:rPr>
        <w:t xml:space="preserve">Sawtell, </w:t>
      </w:r>
      <w:r w:rsidR="00FE674C">
        <w:rPr>
          <w:rFonts w:ascii="Arial" w:hAnsi="Arial" w:cs="Arial"/>
          <w:sz w:val="24"/>
          <w:szCs w:val="24"/>
        </w:rPr>
        <w:t>2020</w:t>
      </w:r>
      <w:r w:rsidR="00C03581">
        <w:rPr>
          <w:rFonts w:ascii="Arial" w:hAnsi="Arial" w:cs="Arial"/>
          <w:sz w:val="24"/>
          <w:szCs w:val="24"/>
        </w:rPr>
        <w:t>)</w:t>
      </w:r>
      <w:r w:rsidR="00DB6CA5">
        <w:rPr>
          <w:rFonts w:ascii="Arial" w:hAnsi="Arial" w:cs="Arial"/>
          <w:sz w:val="24"/>
          <w:szCs w:val="24"/>
        </w:rPr>
        <w:t>.</w:t>
      </w:r>
      <w:r w:rsidR="006B5579">
        <w:rPr>
          <w:rFonts w:ascii="Arial" w:hAnsi="Arial" w:cs="Arial"/>
          <w:sz w:val="24"/>
          <w:szCs w:val="24"/>
        </w:rPr>
        <w:t xml:space="preserve"> </w:t>
      </w:r>
      <w:r w:rsidR="000D6776">
        <w:rPr>
          <w:rFonts w:ascii="Arial" w:hAnsi="Arial" w:cs="Arial"/>
          <w:sz w:val="24"/>
          <w:szCs w:val="24"/>
        </w:rPr>
        <w:t>Th</w:t>
      </w:r>
      <w:r w:rsidR="009C4E71">
        <w:rPr>
          <w:rFonts w:ascii="Arial" w:hAnsi="Arial" w:cs="Arial"/>
          <w:sz w:val="24"/>
          <w:szCs w:val="24"/>
        </w:rPr>
        <w:t xml:space="preserve">erefore, when </w:t>
      </w:r>
      <w:r w:rsidR="007E0563">
        <w:rPr>
          <w:rFonts w:ascii="Arial" w:hAnsi="Arial" w:cs="Arial"/>
          <w:sz w:val="24"/>
          <w:szCs w:val="24"/>
        </w:rPr>
        <w:t>advising</w:t>
      </w:r>
      <w:r w:rsidR="009C4E71">
        <w:rPr>
          <w:rFonts w:ascii="Arial" w:hAnsi="Arial" w:cs="Arial"/>
          <w:sz w:val="24"/>
          <w:szCs w:val="24"/>
        </w:rPr>
        <w:t xml:space="preserve"> </w:t>
      </w:r>
      <w:r w:rsidR="00A36991">
        <w:rPr>
          <w:rFonts w:ascii="Arial" w:hAnsi="Arial" w:cs="Arial"/>
          <w:sz w:val="24"/>
          <w:szCs w:val="24"/>
        </w:rPr>
        <w:t>Peter</w:t>
      </w:r>
      <w:r w:rsidR="007E0563">
        <w:rPr>
          <w:rFonts w:ascii="Arial" w:hAnsi="Arial" w:cs="Arial"/>
          <w:sz w:val="24"/>
          <w:szCs w:val="24"/>
        </w:rPr>
        <w:t xml:space="preserve"> on the remedies available to </w:t>
      </w:r>
      <w:r w:rsidR="007E0563">
        <w:rPr>
          <w:rFonts w:ascii="Arial" w:hAnsi="Arial" w:cs="Arial"/>
          <w:sz w:val="24"/>
          <w:szCs w:val="24"/>
        </w:rPr>
        <w:lastRenderedPageBreak/>
        <w:t xml:space="preserve">Trinity Bank </w:t>
      </w:r>
      <w:r w:rsidR="005D7B5F">
        <w:rPr>
          <w:rFonts w:ascii="Arial" w:hAnsi="Arial" w:cs="Arial"/>
          <w:sz w:val="24"/>
          <w:szCs w:val="24"/>
        </w:rPr>
        <w:t>although mortgagors require protection</w:t>
      </w:r>
      <w:r w:rsidR="0079269F">
        <w:rPr>
          <w:rFonts w:ascii="Arial" w:hAnsi="Arial" w:cs="Arial"/>
          <w:sz w:val="24"/>
          <w:szCs w:val="24"/>
        </w:rPr>
        <w:t>,</w:t>
      </w:r>
      <w:r w:rsidR="005D7B5F">
        <w:rPr>
          <w:rFonts w:ascii="Arial" w:hAnsi="Arial" w:cs="Arial"/>
          <w:sz w:val="24"/>
          <w:szCs w:val="24"/>
        </w:rPr>
        <w:t xml:space="preserve"> </w:t>
      </w:r>
      <w:r w:rsidR="0064661D">
        <w:rPr>
          <w:rFonts w:ascii="Arial" w:hAnsi="Arial" w:cs="Arial"/>
          <w:sz w:val="24"/>
          <w:szCs w:val="24"/>
        </w:rPr>
        <w:t>the mortgagee wh</w:t>
      </w:r>
      <w:r w:rsidR="00E64272">
        <w:rPr>
          <w:rFonts w:ascii="Arial" w:hAnsi="Arial" w:cs="Arial"/>
          <w:sz w:val="24"/>
          <w:szCs w:val="24"/>
        </w:rPr>
        <w:t>ose capital is at risk also requires protection</w:t>
      </w:r>
      <w:r w:rsidR="00A51966">
        <w:rPr>
          <w:rFonts w:ascii="Arial" w:hAnsi="Arial" w:cs="Arial"/>
          <w:sz w:val="24"/>
          <w:szCs w:val="24"/>
        </w:rPr>
        <w:t xml:space="preserve"> and must protect their own interests</w:t>
      </w:r>
      <w:r w:rsidR="00E64272">
        <w:rPr>
          <w:rFonts w:ascii="Arial" w:hAnsi="Arial" w:cs="Arial"/>
          <w:sz w:val="24"/>
          <w:szCs w:val="24"/>
        </w:rPr>
        <w:t xml:space="preserve">. Due to this, a balance to protect both parties </w:t>
      </w:r>
      <w:proofErr w:type="gramStart"/>
      <w:r w:rsidR="00E64272">
        <w:rPr>
          <w:rFonts w:ascii="Arial" w:hAnsi="Arial" w:cs="Arial"/>
          <w:sz w:val="24"/>
          <w:szCs w:val="24"/>
        </w:rPr>
        <w:t>needs</w:t>
      </w:r>
      <w:proofErr w:type="gramEnd"/>
      <w:r w:rsidR="00E64272">
        <w:rPr>
          <w:rFonts w:ascii="Arial" w:hAnsi="Arial" w:cs="Arial"/>
          <w:sz w:val="24"/>
          <w:szCs w:val="24"/>
        </w:rPr>
        <w:t xml:space="preserve"> to be struck</w:t>
      </w:r>
      <w:r w:rsidR="001C0CB7">
        <w:rPr>
          <w:rFonts w:ascii="Arial" w:hAnsi="Arial" w:cs="Arial"/>
          <w:sz w:val="24"/>
          <w:szCs w:val="24"/>
        </w:rPr>
        <w:t xml:space="preserve"> (</w:t>
      </w:r>
      <w:r w:rsidR="00471237">
        <w:rPr>
          <w:rFonts w:ascii="Arial" w:hAnsi="Arial" w:cs="Arial"/>
          <w:sz w:val="24"/>
          <w:szCs w:val="24"/>
        </w:rPr>
        <w:t>Richards, 2014, pp.488</w:t>
      </w:r>
      <w:r w:rsidR="001C0CB7">
        <w:rPr>
          <w:rFonts w:ascii="Arial" w:hAnsi="Arial" w:cs="Arial"/>
          <w:sz w:val="24"/>
          <w:szCs w:val="24"/>
        </w:rPr>
        <w:t>)</w:t>
      </w:r>
      <w:r w:rsidR="00E64272">
        <w:rPr>
          <w:rFonts w:ascii="Arial" w:hAnsi="Arial" w:cs="Arial"/>
          <w:sz w:val="24"/>
          <w:szCs w:val="24"/>
        </w:rPr>
        <w:t xml:space="preserve">. However, </w:t>
      </w:r>
      <w:r w:rsidR="00400F62">
        <w:rPr>
          <w:rFonts w:ascii="Arial" w:hAnsi="Arial" w:cs="Arial"/>
          <w:sz w:val="24"/>
          <w:szCs w:val="24"/>
        </w:rPr>
        <w:t>the rights and remedies of the mortgagee depend heavily on circumstance</w:t>
      </w:r>
      <w:r w:rsidR="00E53AEE">
        <w:rPr>
          <w:rFonts w:ascii="Arial" w:hAnsi="Arial" w:cs="Arial"/>
          <w:sz w:val="24"/>
          <w:szCs w:val="24"/>
        </w:rPr>
        <w:t>, in this case the fact that Peter is six months in arrears with his mortgage payments</w:t>
      </w:r>
      <w:r w:rsidR="00E44700">
        <w:rPr>
          <w:rFonts w:ascii="Arial" w:hAnsi="Arial" w:cs="Arial"/>
          <w:sz w:val="24"/>
          <w:szCs w:val="24"/>
        </w:rPr>
        <w:t xml:space="preserve"> gives Trinity Bank the option to pursue </w:t>
      </w:r>
      <w:r w:rsidR="00A34499">
        <w:rPr>
          <w:rFonts w:ascii="Arial" w:hAnsi="Arial" w:cs="Arial"/>
          <w:sz w:val="24"/>
          <w:szCs w:val="24"/>
        </w:rPr>
        <w:t>many avenues</w:t>
      </w:r>
      <w:r w:rsidR="00125F41">
        <w:rPr>
          <w:rFonts w:ascii="Arial" w:hAnsi="Arial" w:cs="Arial"/>
          <w:sz w:val="24"/>
          <w:szCs w:val="24"/>
        </w:rPr>
        <w:t>.</w:t>
      </w:r>
      <w:r w:rsidR="00073A86">
        <w:rPr>
          <w:rFonts w:ascii="Arial" w:hAnsi="Arial" w:cs="Arial"/>
          <w:sz w:val="24"/>
          <w:szCs w:val="24"/>
        </w:rPr>
        <w:t xml:space="preserve"> </w:t>
      </w:r>
      <w:r w:rsidR="00125F41">
        <w:rPr>
          <w:rFonts w:ascii="Arial" w:hAnsi="Arial" w:cs="Arial"/>
          <w:sz w:val="24"/>
          <w:szCs w:val="24"/>
        </w:rPr>
        <w:t>O</w:t>
      </w:r>
      <w:r w:rsidR="00073A86">
        <w:rPr>
          <w:rFonts w:ascii="Arial" w:hAnsi="Arial" w:cs="Arial"/>
          <w:sz w:val="24"/>
          <w:szCs w:val="24"/>
        </w:rPr>
        <w:t xml:space="preserve">ne of which </w:t>
      </w:r>
      <w:r w:rsidR="008D7420">
        <w:rPr>
          <w:rFonts w:ascii="Arial" w:hAnsi="Arial" w:cs="Arial"/>
          <w:sz w:val="24"/>
          <w:szCs w:val="24"/>
        </w:rPr>
        <w:t xml:space="preserve">is </w:t>
      </w:r>
      <w:r w:rsidR="009374BA">
        <w:rPr>
          <w:rFonts w:ascii="Arial" w:hAnsi="Arial" w:cs="Arial"/>
          <w:sz w:val="24"/>
          <w:szCs w:val="24"/>
        </w:rPr>
        <w:t>the right to sue on the</w:t>
      </w:r>
      <w:r w:rsidR="00986A1F">
        <w:rPr>
          <w:rFonts w:ascii="Arial" w:hAnsi="Arial" w:cs="Arial"/>
          <w:sz w:val="24"/>
          <w:szCs w:val="24"/>
        </w:rPr>
        <w:t xml:space="preserve"> personal </w:t>
      </w:r>
      <w:r w:rsidR="009374BA">
        <w:rPr>
          <w:rFonts w:ascii="Arial" w:hAnsi="Arial" w:cs="Arial"/>
          <w:sz w:val="24"/>
          <w:szCs w:val="24"/>
        </w:rPr>
        <w:t>covenant</w:t>
      </w:r>
      <w:r w:rsidR="00F123AF">
        <w:rPr>
          <w:rFonts w:ascii="Arial" w:hAnsi="Arial" w:cs="Arial"/>
          <w:sz w:val="24"/>
          <w:szCs w:val="24"/>
        </w:rPr>
        <w:t xml:space="preserve"> </w:t>
      </w:r>
      <w:r w:rsidR="00D353F0">
        <w:rPr>
          <w:rFonts w:ascii="Arial" w:hAnsi="Arial" w:cs="Arial"/>
          <w:sz w:val="24"/>
          <w:szCs w:val="24"/>
        </w:rPr>
        <w:t>for the recovery of the balance (</w:t>
      </w:r>
      <w:r w:rsidR="00945F31">
        <w:rPr>
          <w:rFonts w:ascii="Arial" w:hAnsi="Arial" w:cs="Arial"/>
          <w:sz w:val="24"/>
          <w:szCs w:val="24"/>
        </w:rPr>
        <w:t>Sawtell, 2020</w:t>
      </w:r>
      <w:r w:rsidR="00D353F0">
        <w:rPr>
          <w:rFonts w:ascii="Arial" w:hAnsi="Arial" w:cs="Arial"/>
          <w:sz w:val="24"/>
          <w:szCs w:val="24"/>
        </w:rPr>
        <w:t xml:space="preserve">). </w:t>
      </w:r>
    </w:p>
    <w:p w14:paraId="7DA6B94F" w14:textId="229908D5" w:rsidR="00087CA0" w:rsidRPr="000221B6" w:rsidRDefault="00073A86" w:rsidP="006F7B44">
      <w:pPr>
        <w:spacing w:line="480" w:lineRule="auto"/>
        <w:jc w:val="both"/>
        <w:rPr>
          <w:rFonts w:ascii="Arial" w:hAnsi="Arial" w:cs="Arial"/>
          <w:color w:val="FF0000"/>
          <w:sz w:val="24"/>
          <w:szCs w:val="24"/>
        </w:rPr>
      </w:pPr>
      <w:r>
        <w:rPr>
          <w:rFonts w:ascii="Arial" w:hAnsi="Arial" w:cs="Arial"/>
          <w:sz w:val="24"/>
          <w:szCs w:val="24"/>
        </w:rPr>
        <w:t>This route how</w:t>
      </w:r>
      <w:r w:rsidR="0072394C">
        <w:rPr>
          <w:rFonts w:ascii="Arial" w:hAnsi="Arial" w:cs="Arial"/>
          <w:sz w:val="24"/>
          <w:szCs w:val="24"/>
        </w:rPr>
        <w:t xml:space="preserve">ever is seldom relied upon as a main course of action due to </w:t>
      </w:r>
      <w:r w:rsidR="00B014EF">
        <w:rPr>
          <w:rFonts w:ascii="Arial" w:hAnsi="Arial" w:cs="Arial"/>
          <w:sz w:val="24"/>
          <w:szCs w:val="24"/>
        </w:rPr>
        <w:t xml:space="preserve">the </w:t>
      </w:r>
      <w:r w:rsidR="00BD72CB">
        <w:rPr>
          <w:rFonts w:ascii="Arial" w:hAnsi="Arial" w:cs="Arial"/>
          <w:sz w:val="24"/>
          <w:szCs w:val="24"/>
        </w:rPr>
        <w:t>likelihood</w:t>
      </w:r>
      <w:r w:rsidR="00B014EF">
        <w:rPr>
          <w:rFonts w:ascii="Arial" w:hAnsi="Arial" w:cs="Arial"/>
          <w:sz w:val="24"/>
          <w:szCs w:val="24"/>
        </w:rPr>
        <w:t xml:space="preserve"> </w:t>
      </w:r>
      <w:r w:rsidR="00BD72CB">
        <w:rPr>
          <w:rFonts w:ascii="Arial" w:hAnsi="Arial" w:cs="Arial"/>
          <w:sz w:val="24"/>
          <w:szCs w:val="24"/>
        </w:rPr>
        <w:t xml:space="preserve">of </w:t>
      </w:r>
      <w:r w:rsidR="00A05C17">
        <w:rPr>
          <w:rFonts w:ascii="Arial" w:hAnsi="Arial" w:cs="Arial"/>
          <w:sz w:val="24"/>
          <w:szCs w:val="24"/>
        </w:rPr>
        <w:t>the mortga</w:t>
      </w:r>
      <w:r w:rsidR="00892B2B">
        <w:rPr>
          <w:rFonts w:ascii="Arial" w:hAnsi="Arial" w:cs="Arial"/>
          <w:sz w:val="24"/>
          <w:szCs w:val="24"/>
        </w:rPr>
        <w:t xml:space="preserve">gor </w:t>
      </w:r>
      <w:r w:rsidR="00BD72CB">
        <w:rPr>
          <w:rFonts w:ascii="Arial" w:hAnsi="Arial" w:cs="Arial"/>
          <w:sz w:val="24"/>
          <w:szCs w:val="24"/>
        </w:rPr>
        <w:t xml:space="preserve">being unable to </w:t>
      </w:r>
      <w:r w:rsidR="000A30F6">
        <w:rPr>
          <w:rFonts w:ascii="Arial" w:hAnsi="Arial" w:cs="Arial"/>
          <w:sz w:val="24"/>
          <w:szCs w:val="24"/>
        </w:rPr>
        <w:t>pay</w:t>
      </w:r>
      <w:r w:rsidR="00AA6484">
        <w:rPr>
          <w:rFonts w:ascii="Arial" w:hAnsi="Arial" w:cs="Arial"/>
          <w:sz w:val="24"/>
          <w:szCs w:val="24"/>
        </w:rPr>
        <w:t xml:space="preserve">. </w:t>
      </w:r>
      <w:r w:rsidR="00505E0E">
        <w:rPr>
          <w:rFonts w:ascii="Arial" w:hAnsi="Arial" w:cs="Arial"/>
          <w:sz w:val="24"/>
          <w:szCs w:val="24"/>
        </w:rPr>
        <w:t xml:space="preserve">That said, the mortgagee </w:t>
      </w:r>
      <w:r w:rsidR="00050E73">
        <w:rPr>
          <w:rFonts w:ascii="Arial" w:hAnsi="Arial" w:cs="Arial"/>
          <w:sz w:val="24"/>
          <w:szCs w:val="24"/>
        </w:rPr>
        <w:t>may continue to pursue the</w:t>
      </w:r>
      <w:r w:rsidR="00A649A3">
        <w:rPr>
          <w:rFonts w:ascii="Arial" w:hAnsi="Arial" w:cs="Arial"/>
          <w:sz w:val="24"/>
          <w:szCs w:val="24"/>
        </w:rPr>
        <w:t xml:space="preserve"> outstanding debt even where</w:t>
      </w:r>
      <w:r w:rsidR="00050E73">
        <w:rPr>
          <w:rFonts w:ascii="Arial" w:hAnsi="Arial" w:cs="Arial"/>
          <w:sz w:val="24"/>
          <w:szCs w:val="24"/>
        </w:rPr>
        <w:t xml:space="preserve"> </w:t>
      </w:r>
      <w:r w:rsidR="00F45E92">
        <w:rPr>
          <w:rFonts w:ascii="Arial" w:hAnsi="Arial" w:cs="Arial"/>
          <w:sz w:val="24"/>
          <w:szCs w:val="24"/>
        </w:rPr>
        <w:t xml:space="preserve">it has the effect of making the </w:t>
      </w:r>
      <w:r w:rsidR="00050E73">
        <w:rPr>
          <w:rFonts w:ascii="Arial" w:hAnsi="Arial" w:cs="Arial"/>
          <w:sz w:val="24"/>
          <w:szCs w:val="24"/>
        </w:rPr>
        <w:t>m</w:t>
      </w:r>
      <w:r w:rsidR="00050E73" w:rsidRPr="00FB055B">
        <w:rPr>
          <w:rFonts w:ascii="Arial" w:hAnsi="Arial" w:cs="Arial"/>
          <w:color w:val="000000" w:themeColor="text1"/>
          <w:sz w:val="24"/>
          <w:szCs w:val="24"/>
        </w:rPr>
        <w:t xml:space="preserve">ortgagor </w:t>
      </w:r>
      <w:r w:rsidR="00F45E92" w:rsidRPr="00FB055B">
        <w:rPr>
          <w:rFonts w:ascii="Arial" w:hAnsi="Arial" w:cs="Arial"/>
          <w:color w:val="000000" w:themeColor="text1"/>
          <w:sz w:val="24"/>
          <w:szCs w:val="24"/>
        </w:rPr>
        <w:t>b</w:t>
      </w:r>
      <w:r w:rsidR="00EB66FA" w:rsidRPr="00FB055B">
        <w:rPr>
          <w:rFonts w:ascii="Arial" w:hAnsi="Arial" w:cs="Arial"/>
          <w:color w:val="000000" w:themeColor="text1"/>
          <w:sz w:val="24"/>
          <w:szCs w:val="24"/>
        </w:rPr>
        <w:t>a</w:t>
      </w:r>
      <w:r w:rsidR="00F45E92" w:rsidRPr="00FB055B">
        <w:rPr>
          <w:rFonts w:ascii="Arial" w:hAnsi="Arial" w:cs="Arial"/>
          <w:color w:val="000000" w:themeColor="text1"/>
          <w:sz w:val="24"/>
          <w:szCs w:val="24"/>
        </w:rPr>
        <w:t xml:space="preserve">nkrupt as seen in </w:t>
      </w:r>
      <w:r w:rsidR="00F45E92" w:rsidRPr="00FB055B">
        <w:rPr>
          <w:rFonts w:ascii="Arial" w:hAnsi="Arial" w:cs="Arial"/>
          <w:i/>
          <w:iCs/>
          <w:color w:val="000000" w:themeColor="text1"/>
          <w:sz w:val="24"/>
          <w:szCs w:val="24"/>
        </w:rPr>
        <w:t xml:space="preserve">Alliance &amp; Leister v Slayford [2001] </w:t>
      </w:r>
      <w:r w:rsidR="00EB66FA" w:rsidRPr="00FB055B">
        <w:rPr>
          <w:rFonts w:ascii="Arial" w:hAnsi="Arial" w:cs="Arial"/>
          <w:color w:val="000000" w:themeColor="text1"/>
          <w:sz w:val="24"/>
          <w:szCs w:val="24"/>
        </w:rPr>
        <w:t>(Richards, 2014, pp.303).</w:t>
      </w:r>
      <w:r w:rsidR="00FB055B">
        <w:rPr>
          <w:rFonts w:ascii="Arial" w:hAnsi="Arial" w:cs="Arial"/>
          <w:color w:val="00B050"/>
          <w:sz w:val="24"/>
          <w:szCs w:val="24"/>
        </w:rPr>
        <w:t xml:space="preserve"> </w:t>
      </w:r>
      <w:r w:rsidR="00892B2B">
        <w:rPr>
          <w:rFonts w:ascii="Arial" w:hAnsi="Arial" w:cs="Arial"/>
          <w:sz w:val="24"/>
          <w:szCs w:val="24"/>
        </w:rPr>
        <w:t>This could be the case regarding Peter given that he has defaulted</w:t>
      </w:r>
      <w:r w:rsidR="0043162A">
        <w:rPr>
          <w:rFonts w:ascii="Arial" w:hAnsi="Arial" w:cs="Arial"/>
          <w:sz w:val="24"/>
          <w:szCs w:val="24"/>
        </w:rPr>
        <w:t>.</w:t>
      </w:r>
      <w:r w:rsidR="00892B2B">
        <w:rPr>
          <w:rFonts w:ascii="Arial" w:hAnsi="Arial" w:cs="Arial"/>
          <w:sz w:val="24"/>
          <w:szCs w:val="24"/>
        </w:rPr>
        <w:t xml:space="preserve"> </w:t>
      </w:r>
      <w:r w:rsidR="00024503">
        <w:rPr>
          <w:rFonts w:ascii="Arial" w:hAnsi="Arial" w:cs="Arial"/>
          <w:sz w:val="24"/>
          <w:szCs w:val="24"/>
        </w:rPr>
        <w:t>Although</w:t>
      </w:r>
      <w:r w:rsidR="005604EA">
        <w:rPr>
          <w:rFonts w:ascii="Arial" w:hAnsi="Arial" w:cs="Arial"/>
          <w:sz w:val="24"/>
          <w:szCs w:val="24"/>
        </w:rPr>
        <w:t xml:space="preserve">, this remedy </w:t>
      </w:r>
      <w:r w:rsidR="00874DB5">
        <w:rPr>
          <w:rFonts w:ascii="Arial" w:hAnsi="Arial" w:cs="Arial"/>
          <w:sz w:val="24"/>
          <w:szCs w:val="24"/>
        </w:rPr>
        <w:t>is prefer</w:t>
      </w:r>
      <w:r w:rsidR="00DB0526">
        <w:rPr>
          <w:rFonts w:ascii="Arial" w:hAnsi="Arial" w:cs="Arial"/>
          <w:sz w:val="24"/>
          <w:szCs w:val="24"/>
        </w:rPr>
        <w:t>a</w:t>
      </w:r>
      <w:r w:rsidR="00874DB5">
        <w:rPr>
          <w:rFonts w:ascii="Arial" w:hAnsi="Arial" w:cs="Arial"/>
          <w:sz w:val="24"/>
          <w:szCs w:val="24"/>
        </w:rPr>
        <w:t xml:space="preserve">ble in cases of negative equity </w:t>
      </w:r>
      <w:r w:rsidR="00002A8E">
        <w:rPr>
          <w:rFonts w:ascii="Arial" w:hAnsi="Arial" w:cs="Arial"/>
          <w:sz w:val="24"/>
          <w:szCs w:val="24"/>
        </w:rPr>
        <w:t>to cover the shortfall</w:t>
      </w:r>
      <w:r w:rsidR="00DB0526">
        <w:rPr>
          <w:rFonts w:ascii="Arial" w:hAnsi="Arial" w:cs="Arial"/>
          <w:sz w:val="24"/>
          <w:szCs w:val="24"/>
        </w:rPr>
        <w:t xml:space="preserve"> </w:t>
      </w:r>
      <w:r w:rsidR="00333B1F">
        <w:rPr>
          <w:rFonts w:ascii="Arial" w:hAnsi="Arial" w:cs="Arial"/>
          <w:sz w:val="24"/>
          <w:szCs w:val="24"/>
        </w:rPr>
        <w:t xml:space="preserve">which </w:t>
      </w:r>
      <w:r w:rsidR="004A0E28">
        <w:rPr>
          <w:rFonts w:ascii="Arial" w:hAnsi="Arial" w:cs="Arial"/>
          <w:sz w:val="24"/>
          <w:szCs w:val="24"/>
        </w:rPr>
        <w:t xml:space="preserve">would be an </w:t>
      </w:r>
      <w:r w:rsidR="00C82A69">
        <w:rPr>
          <w:rFonts w:ascii="Arial" w:hAnsi="Arial" w:cs="Arial"/>
          <w:sz w:val="24"/>
          <w:szCs w:val="24"/>
        </w:rPr>
        <w:t xml:space="preserve">improbable </w:t>
      </w:r>
      <w:r w:rsidR="004A0E28">
        <w:rPr>
          <w:rFonts w:ascii="Arial" w:hAnsi="Arial" w:cs="Arial"/>
          <w:sz w:val="24"/>
          <w:szCs w:val="24"/>
        </w:rPr>
        <w:t>outcome in</w:t>
      </w:r>
      <w:r w:rsidR="00333B1F">
        <w:rPr>
          <w:rFonts w:ascii="Arial" w:hAnsi="Arial" w:cs="Arial"/>
          <w:sz w:val="24"/>
          <w:szCs w:val="24"/>
        </w:rPr>
        <w:t xml:space="preserve"> this scenario </w:t>
      </w:r>
      <w:r w:rsidR="004A0E28">
        <w:rPr>
          <w:rFonts w:ascii="Arial" w:hAnsi="Arial" w:cs="Arial"/>
          <w:sz w:val="24"/>
          <w:szCs w:val="24"/>
        </w:rPr>
        <w:t>given that Peter has recently been approached by a dev</w:t>
      </w:r>
      <w:r w:rsidR="00530409">
        <w:rPr>
          <w:rFonts w:ascii="Arial" w:hAnsi="Arial" w:cs="Arial"/>
          <w:sz w:val="24"/>
          <w:szCs w:val="24"/>
        </w:rPr>
        <w:t xml:space="preserve">eloper informing him of Blackacre Farm’s </w:t>
      </w:r>
      <w:r w:rsidR="009120ED">
        <w:rPr>
          <w:rFonts w:ascii="Arial" w:hAnsi="Arial" w:cs="Arial"/>
          <w:sz w:val="24"/>
          <w:szCs w:val="24"/>
        </w:rPr>
        <w:t>development potential</w:t>
      </w:r>
      <w:r w:rsidR="004A0E28">
        <w:rPr>
          <w:rFonts w:ascii="Arial" w:hAnsi="Arial" w:cs="Arial"/>
          <w:sz w:val="24"/>
          <w:szCs w:val="24"/>
        </w:rPr>
        <w:t xml:space="preserve"> </w:t>
      </w:r>
      <w:r w:rsidR="00DB0526">
        <w:rPr>
          <w:rFonts w:ascii="Arial" w:hAnsi="Arial" w:cs="Arial"/>
          <w:sz w:val="24"/>
          <w:szCs w:val="24"/>
        </w:rPr>
        <w:t>(Bray, 2016, pp.</w:t>
      </w:r>
      <w:r w:rsidR="00333B1F">
        <w:rPr>
          <w:rFonts w:ascii="Arial" w:hAnsi="Arial" w:cs="Arial"/>
          <w:sz w:val="24"/>
          <w:szCs w:val="24"/>
        </w:rPr>
        <w:t>384</w:t>
      </w:r>
      <w:r w:rsidR="00DB0526">
        <w:rPr>
          <w:rFonts w:ascii="Arial" w:hAnsi="Arial" w:cs="Arial"/>
          <w:sz w:val="24"/>
          <w:szCs w:val="24"/>
        </w:rPr>
        <w:t>)</w:t>
      </w:r>
      <w:r w:rsidR="00002A8E">
        <w:rPr>
          <w:rFonts w:ascii="Arial" w:hAnsi="Arial" w:cs="Arial"/>
          <w:sz w:val="24"/>
          <w:szCs w:val="24"/>
        </w:rPr>
        <w:t>.</w:t>
      </w:r>
    </w:p>
    <w:p w14:paraId="15C40471" w14:textId="1BEB1FD2" w:rsidR="00B60B23" w:rsidRDefault="00B60B23" w:rsidP="006F7B44">
      <w:pPr>
        <w:spacing w:line="480" w:lineRule="auto"/>
        <w:jc w:val="both"/>
        <w:rPr>
          <w:rFonts w:ascii="Arial" w:hAnsi="Arial" w:cs="Arial"/>
          <w:sz w:val="24"/>
          <w:szCs w:val="24"/>
        </w:rPr>
      </w:pPr>
    </w:p>
    <w:p w14:paraId="07FFCCD7" w14:textId="66AADCEC" w:rsidR="00645A8B" w:rsidRPr="00BA0E41" w:rsidRDefault="00D76551" w:rsidP="00BA0E41">
      <w:pPr>
        <w:spacing w:line="480" w:lineRule="auto"/>
        <w:jc w:val="both"/>
        <w:rPr>
          <w:rFonts w:ascii="Arial" w:hAnsi="Arial" w:cs="Arial"/>
          <w:color w:val="000000" w:themeColor="text1"/>
          <w:sz w:val="24"/>
          <w:szCs w:val="24"/>
        </w:rPr>
      </w:pPr>
      <w:r>
        <w:rPr>
          <w:rFonts w:ascii="Arial" w:hAnsi="Arial" w:cs="Arial"/>
          <w:sz w:val="24"/>
          <w:szCs w:val="24"/>
        </w:rPr>
        <w:t>In order to protect their security, a</w:t>
      </w:r>
      <w:r w:rsidR="0082609F">
        <w:rPr>
          <w:rFonts w:ascii="Arial" w:hAnsi="Arial" w:cs="Arial"/>
          <w:sz w:val="24"/>
          <w:szCs w:val="24"/>
        </w:rPr>
        <w:t xml:space="preserve"> mortgagee</w:t>
      </w:r>
      <w:r w:rsidR="007048C7">
        <w:rPr>
          <w:rFonts w:ascii="Arial" w:hAnsi="Arial" w:cs="Arial"/>
          <w:sz w:val="24"/>
          <w:szCs w:val="24"/>
        </w:rPr>
        <w:t xml:space="preserve"> has the paramount right </w:t>
      </w:r>
      <w:r w:rsidR="00E13A2A">
        <w:rPr>
          <w:rFonts w:ascii="Arial" w:hAnsi="Arial" w:cs="Arial"/>
          <w:sz w:val="24"/>
          <w:szCs w:val="24"/>
        </w:rPr>
        <w:t xml:space="preserve">to take possession of the land </w:t>
      </w:r>
      <w:r w:rsidR="004F52BC">
        <w:rPr>
          <w:rFonts w:ascii="Arial" w:hAnsi="Arial" w:cs="Arial"/>
          <w:sz w:val="24"/>
          <w:szCs w:val="24"/>
        </w:rPr>
        <w:t xml:space="preserve">as inherent </w:t>
      </w:r>
      <w:r w:rsidR="007501FA">
        <w:rPr>
          <w:rFonts w:ascii="Arial" w:hAnsi="Arial" w:cs="Arial"/>
          <w:sz w:val="24"/>
          <w:szCs w:val="24"/>
        </w:rPr>
        <w:t xml:space="preserve">from the date the mortgage is </w:t>
      </w:r>
      <w:r w:rsidR="009C4817">
        <w:rPr>
          <w:rFonts w:ascii="Arial" w:hAnsi="Arial" w:cs="Arial"/>
          <w:sz w:val="24"/>
          <w:szCs w:val="24"/>
        </w:rPr>
        <w:t>created</w:t>
      </w:r>
      <w:r w:rsidR="0049653F">
        <w:rPr>
          <w:rFonts w:ascii="Arial" w:hAnsi="Arial" w:cs="Arial"/>
          <w:sz w:val="24"/>
          <w:szCs w:val="24"/>
        </w:rPr>
        <w:t>, irrespec</w:t>
      </w:r>
      <w:r w:rsidR="00567725">
        <w:rPr>
          <w:rFonts w:ascii="Arial" w:hAnsi="Arial" w:cs="Arial"/>
          <w:sz w:val="24"/>
          <w:szCs w:val="24"/>
        </w:rPr>
        <w:t>t</w:t>
      </w:r>
      <w:r w:rsidR="0049653F">
        <w:rPr>
          <w:rFonts w:ascii="Arial" w:hAnsi="Arial" w:cs="Arial"/>
          <w:sz w:val="24"/>
          <w:szCs w:val="24"/>
        </w:rPr>
        <w:t>ive of d</w:t>
      </w:r>
      <w:r w:rsidR="00117DC6">
        <w:rPr>
          <w:rFonts w:ascii="Arial" w:hAnsi="Arial" w:cs="Arial"/>
          <w:sz w:val="24"/>
          <w:szCs w:val="24"/>
        </w:rPr>
        <w:t>efault</w:t>
      </w:r>
      <w:r w:rsidR="00A91A4D">
        <w:rPr>
          <w:rFonts w:ascii="Arial" w:hAnsi="Arial" w:cs="Arial"/>
          <w:sz w:val="24"/>
          <w:szCs w:val="24"/>
        </w:rPr>
        <w:t>;</w:t>
      </w:r>
      <w:r w:rsidR="00C564E5">
        <w:rPr>
          <w:rFonts w:ascii="Arial" w:hAnsi="Arial" w:cs="Arial"/>
          <w:sz w:val="24"/>
          <w:szCs w:val="24"/>
        </w:rPr>
        <w:t xml:space="preserve"> </w:t>
      </w:r>
      <w:r w:rsidR="001C0A64">
        <w:rPr>
          <w:rFonts w:ascii="Arial" w:hAnsi="Arial" w:cs="Arial"/>
          <w:sz w:val="24"/>
          <w:szCs w:val="24"/>
        </w:rPr>
        <w:t>‘before the ink is dry’</w:t>
      </w:r>
      <w:r w:rsidR="009C4664">
        <w:rPr>
          <w:rFonts w:ascii="Arial" w:hAnsi="Arial" w:cs="Arial"/>
          <w:sz w:val="24"/>
          <w:szCs w:val="24"/>
        </w:rPr>
        <w:t xml:space="preserve">, </w:t>
      </w:r>
      <w:r w:rsidR="00C564E5">
        <w:rPr>
          <w:rFonts w:ascii="Arial" w:hAnsi="Arial" w:cs="Arial"/>
          <w:sz w:val="24"/>
          <w:szCs w:val="24"/>
        </w:rPr>
        <w:t>as per Just</w:t>
      </w:r>
      <w:r w:rsidR="00C564E5" w:rsidRPr="009722F1">
        <w:rPr>
          <w:rFonts w:ascii="Arial" w:hAnsi="Arial" w:cs="Arial"/>
          <w:color w:val="000000" w:themeColor="text1"/>
          <w:sz w:val="24"/>
          <w:szCs w:val="24"/>
        </w:rPr>
        <w:t>ice H</w:t>
      </w:r>
      <w:r w:rsidR="00F3329C" w:rsidRPr="009722F1">
        <w:rPr>
          <w:rFonts w:ascii="Arial" w:hAnsi="Arial" w:cs="Arial"/>
          <w:color w:val="000000" w:themeColor="text1"/>
          <w:sz w:val="24"/>
          <w:szCs w:val="24"/>
        </w:rPr>
        <w:t>arman in</w:t>
      </w:r>
      <w:r w:rsidR="00D5208B" w:rsidRPr="009722F1">
        <w:rPr>
          <w:rFonts w:ascii="Arial" w:hAnsi="Arial" w:cs="Arial"/>
          <w:color w:val="000000" w:themeColor="text1"/>
          <w:sz w:val="24"/>
          <w:szCs w:val="24"/>
        </w:rPr>
        <w:t xml:space="preserve"> </w:t>
      </w:r>
      <w:r w:rsidR="00D5208B" w:rsidRPr="009722F1">
        <w:rPr>
          <w:rFonts w:ascii="Arial" w:hAnsi="Arial" w:cs="Arial"/>
          <w:i/>
          <w:iCs/>
          <w:color w:val="000000" w:themeColor="text1"/>
          <w:sz w:val="24"/>
          <w:szCs w:val="24"/>
        </w:rPr>
        <w:t>Four Maids v Dudley Marshall [1957]</w:t>
      </w:r>
      <w:r w:rsidR="009C4664" w:rsidRPr="009722F1">
        <w:rPr>
          <w:rFonts w:ascii="Arial" w:hAnsi="Arial" w:cs="Arial"/>
          <w:i/>
          <w:iCs/>
          <w:color w:val="000000" w:themeColor="text1"/>
          <w:sz w:val="24"/>
          <w:szCs w:val="24"/>
        </w:rPr>
        <w:t xml:space="preserve"> </w:t>
      </w:r>
      <w:r w:rsidR="009C4664" w:rsidRPr="009722F1">
        <w:rPr>
          <w:rFonts w:ascii="Arial" w:hAnsi="Arial" w:cs="Arial"/>
          <w:color w:val="000000" w:themeColor="text1"/>
          <w:sz w:val="24"/>
          <w:szCs w:val="24"/>
        </w:rPr>
        <w:t>(</w:t>
      </w:r>
      <w:r w:rsidR="009722F1" w:rsidRPr="009722F1">
        <w:rPr>
          <w:rFonts w:ascii="Arial" w:hAnsi="Arial" w:cs="Arial"/>
          <w:color w:val="000000" w:themeColor="text1"/>
          <w:sz w:val="24"/>
          <w:szCs w:val="24"/>
        </w:rPr>
        <w:t xml:space="preserve">Clarke and Greer, 2020, </w:t>
      </w:r>
      <w:r w:rsidR="00CE3533" w:rsidRPr="009722F1">
        <w:rPr>
          <w:rFonts w:ascii="Arial" w:hAnsi="Arial" w:cs="Arial"/>
          <w:color w:val="000000" w:themeColor="text1"/>
          <w:sz w:val="24"/>
          <w:szCs w:val="24"/>
        </w:rPr>
        <w:t>pp.280</w:t>
      </w:r>
      <w:r w:rsidR="009C4664" w:rsidRPr="009722F1">
        <w:rPr>
          <w:rFonts w:ascii="Arial" w:hAnsi="Arial" w:cs="Arial"/>
          <w:color w:val="000000" w:themeColor="text1"/>
          <w:sz w:val="24"/>
          <w:szCs w:val="24"/>
        </w:rPr>
        <w:t xml:space="preserve">). </w:t>
      </w:r>
      <w:r w:rsidR="005D16D1">
        <w:rPr>
          <w:rFonts w:ascii="Arial" w:hAnsi="Arial" w:cs="Arial"/>
          <w:color w:val="000000" w:themeColor="text1"/>
          <w:sz w:val="24"/>
          <w:szCs w:val="24"/>
        </w:rPr>
        <w:t xml:space="preserve">That said, </w:t>
      </w:r>
      <w:r w:rsidR="00D964A8">
        <w:rPr>
          <w:rFonts w:ascii="Arial" w:hAnsi="Arial" w:cs="Arial"/>
          <w:color w:val="000000" w:themeColor="text1"/>
          <w:sz w:val="24"/>
          <w:szCs w:val="24"/>
        </w:rPr>
        <w:t xml:space="preserve">some mortgages </w:t>
      </w:r>
      <w:r w:rsidR="00A435C4">
        <w:rPr>
          <w:rFonts w:ascii="Arial" w:hAnsi="Arial" w:cs="Arial"/>
          <w:color w:val="000000" w:themeColor="text1"/>
          <w:sz w:val="24"/>
          <w:szCs w:val="24"/>
        </w:rPr>
        <w:t xml:space="preserve">expressly or impliedly postpone </w:t>
      </w:r>
      <w:r w:rsidR="00691A95">
        <w:rPr>
          <w:rFonts w:ascii="Arial" w:hAnsi="Arial" w:cs="Arial"/>
          <w:color w:val="000000" w:themeColor="text1"/>
          <w:sz w:val="24"/>
          <w:szCs w:val="24"/>
        </w:rPr>
        <w:t xml:space="preserve">the right of possession </w:t>
      </w:r>
      <w:r w:rsidR="00691A95" w:rsidRPr="005C7133">
        <w:rPr>
          <w:rFonts w:ascii="Arial" w:hAnsi="Arial" w:cs="Arial"/>
          <w:color w:val="000000" w:themeColor="text1"/>
          <w:sz w:val="24"/>
          <w:szCs w:val="24"/>
        </w:rPr>
        <w:t>unless the mortgagor defaults on repayments or other obligation</w:t>
      </w:r>
      <w:r w:rsidR="00B17ACA">
        <w:rPr>
          <w:rFonts w:ascii="Arial" w:hAnsi="Arial" w:cs="Arial"/>
          <w:color w:val="000000" w:themeColor="text1"/>
          <w:sz w:val="24"/>
          <w:szCs w:val="24"/>
        </w:rPr>
        <w:t>s</w:t>
      </w:r>
      <w:r w:rsidR="00D45F35" w:rsidRPr="005C7133">
        <w:rPr>
          <w:rFonts w:ascii="Arial" w:hAnsi="Arial" w:cs="Arial"/>
          <w:color w:val="000000" w:themeColor="text1"/>
          <w:sz w:val="24"/>
          <w:szCs w:val="24"/>
        </w:rPr>
        <w:t>,</w:t>
      </w:r>
      <w:r w:rsidR="0041155C" w:rsidRPr="005C7133">
        <w:rPr>
          <w:rFonts w:ascii="Arial" w:hAnsi="Arial" w:cs="Arial"/>
          <w:color w:val="000000" w:themeColor="text1"/>
          <w:sz w:val="24"/>
          <w:szCs w:val="24"/>
        </w:rPr>
        <w:t xml:space="preserve"> evidenced in </w:t>
      </w:r>
      <w:r w:rsidR="00D1010E" w:rsidRPr="005C7133">
        <w:rPr>
          <w:rFonts w:ascii="Arial" w:hAnsi="Arial" w:cs="Arial"/>
          <w:i/>
          <w:iCs/>
          <w:color w:val="000000" w:themeColor="text1"/>
          <w:sz w:val="24"/>
          <w:szCs w:val="24"/>
        </w:rPr>
        <w:t>Birmingham Citizen’s Perm</w:t>
      </w:r>
      <w:r w:rsidR="00B41F91" w:rsidRPr="005C7133">
        <w:rPr>
          <w:rFonts w:ascii="Arial" w:hAnsi="Arial" w:cs="Arial"/>
          <w:i/>
          <w:iCs/>
          <w:color w:val="000000" w:themeColor="text1"/>
          <w:sz w:val="24"/>
          <w:szCs w:val="24"/>
        </w:rPr>
        <w:t>anent Building Society v Caught [1962]</w:t>
      </w:r>
      <w:r w:rsidR="00691A95" w:rsidRPr="005C7133">
        <w:rPr>
          <w:rFonts w:ascii="Arial" w:hAnsi="Arial" w:cs="Arial"/>
          <w:color w:val="000000" w:themeColor="text1"/>
          <w:sz w:val="24"/>
          <w:szCs w:val="24"/>
        </w:rPr>
        <w:t xml:space="preserve"> (Bray, 2016, </w:t>
      </w:r>
      <w:r w:rsidR="00BA0E41" w:rsidRPr="005C7133">
        <w:rPr>
          <w:rFonts w:ascii="Arial" w:hAnsi="Arial" w:cs="Arial"/>
          <w:color w:val="000000" w:themeColor="text1"/>
          <w:sz w:val="24"/>
          <w:szCs w:val="24"/>
        </w:rPr>
        <w:t>pp.384</w:t>
      </w:r>
      <w:r w:rsidR="002F3DB5" w:rsidRPr="005C7133">
        <w:rPr>
          <w:rFonts w:ascii="Arial" w:hAnsi="Arial" w:cs="Arial"/>
          <w:color w:val="000000" w:themeColor="text1"/>
          <w:sz w:val="24"/>
          <w:szCs w:val="24"/>
        </w:rPr>
        <w:t>-385</w:t>
      </w:r>
      <w:r w:rsidR="00691A95" w:rsidRPr="005C7133">
        <w:rPr>
          <w:rFonts w:ascii="Arial" w:hAnsi="Arial" w:cs="Arial"/>
          <w:color w:val="000000" w:themeColor="text1"/>
          <w:sz w:val="24"/>
          <w:szCs w:val="24"/>
        </w:rPr>
        <w:t>).</w:t>
      </w:r>
      <w:r w:rsidR="005D16D1" w:rsidRPr="005C7133">
        <w:rPr>
          <w:rFonts w:ascii="Arial" w:hAnsi="Arial" w:cs="Arial"/>
          <w:color w:val="000000" w:themeColor="text1"/>
          <w:sz w:val="24"/>
          <w:szCs w:val="24"/>
        </w:rPr>
        <w:t xml:space="preserve"> </w:t>
      </w:r>
    </w:p>
    <w:p w14:paraId="47AB1E25" w14:textId="1F574963" w:rsidR="006D4498" w:rsidRPr="00D559CC" w:rsidRDefault="00386F92" w:rsidP="00C02FD0">
      <w:pPr>
        <w:spacing w:line="480" w:lineRule="auto"/>
        <w:jc w:val="both"/>
        <w:rPr>
          <w:rFonts w:ascii="Arial" w:hAnsi="Arial" w:cs="Arial"/>
          <w:color w:val="000000" w:themeColor="text1"/>
          <w:sz w:val="24"/>
          <w:szCs w:val="24"/>
        </w:rPr>
      </w:pPr>
      <w:r>
        <w:rPr>
          <w:rFonts w:ascii="Arial" w:hAnsi="Arial" w:cs="Arial"/>
          <w:sz w:val="24"/>
          <w:szCs w:val="24"/>
        </w:rPr>
        <w:lastRenderedPageBreak/>
        <w:t>As</w:t>
      </w:r>
      <w:r w:rsidR="00650834">
        <w:rPr>
          <w:rFonts w:ascii="Arial" w:hAnsi="Arial" w:cs="Arial"/>
          <w:sz w:val="24"/>
          <w:szCs w:val="24"/>
        </w:rPr>
        <w:t xml:space="preserve"> Peter </w:t>
      </w:r>
      <w:r>
        <w:rPr>
          <w:rFonts w:ascii="Arial" w:hAnsi="Arial" w:cs="Arial"/>
          <w:sz w:val="24"/>
          <w:szCs w:val="24"/>
        </w:rPr>
        <w:t xml:space="preserve">has defaulted on his mortgage payments </w:t>
      </w:r>
      <w:r w:rsidR="001F31A8">
        <w:rPr>
          <w:rFonts w:ascii="Arial" w:hAnsi="Arial" w:cs="Arial"/>
          <w:sz w:val="24"/>
          <w:szCs w:val="24"/>
        </w:rPr>
        <w:t xml:space="preserve">Trinity Bank </w:t>
      </w:r>
      <w:r w:rsidR="00A30463">
        <w:rPr>
          <w:rFonts w:ascii="Arial" w:hAnsi="Arial" w:cs="Arial"/>
          <w:sz w:val="24"/>
          <w:szCs w:val="24"/>
        </w:rPr>
        <w:t xml:space="preserve">can exercise their right to </w:t>
      </w:r>
      <w:r w:rsidR="00A30463" w:rsidRPr="00561881">
        <w:rPr>
          <w:rFonts w:ascii="Arial" w:hAnsi="Arial" w:cs="Arial"/>
          <w:color w:val="000000" w:themeColor="text1"/>
          <w:sz w:val="24"/>
          <w:szCs w:val="24"/>
        </w:rPr>
        <w:t>take possession of the property</w:t>
      </w:r>
      <w:r w:rsidR="008A1DEF" w:rsidRPr="00561881">
        <w:rPr>
          <w:rFonts w:ascii="Arial" w:hAnsi="Arial" w:cs="Arial"/>
          <w:color w:val="000000" w:themeColor="text1"/>
          <w:sz w:val="24"/>
          <w:szCs w:val="24"/>
        </w:rPr>
        <w:t xml:space="preserve"> without a court order seen in</w:t>
      </w:r>
      <w:r w:rsidR="00F94AE0" w:rsidRPr="00561881">
        <w:rPr>
          <w:rFonts w:ascii="Arial" w:hAnsi="Arial" w:cs="Arial"/>
          <w:color w:val="000000" w:themeColor="text1"/>
          <w:sz w:val="24"/>
          <w:szCs w:val="24"/>
        </w:rPr>
        <w:t xml:space="preserve"> </w:t>
      </w:r>
      <w:r w:rsidR="00CD1A68" w:rsidRPr="00561881">
        <w:rPr>
          <w:rFonts w:ascii="Arial" w:hAnsi="Arial" w:cs="Arial"/>
          <w:i/>
          <w:iCs/>
          <w:color w:val="000000" w:themeColor="text1"/>
          <w:sz w:val="24"/>
          <w:szCs w:val="24"/>
        </w:rPr>
        <w:t>Ropaigealach v Barclays Bank [2000]</w:t>
      </w:r>
      <w:r w:rsidR="00D12A90">
        <w:rPr>
          <w:rFonts w:ascii="Arial" w:hAnsi="Arial" w:cs="Arial"/>
          <w:i/>
          <w:iCs/>
          <w:color w:val="000000" w:themeColor="text1"/>
          <w:sz w:val="24"/>
          <w:szCs w:val="24"/>
        </w:rPr>
        <w:t xml:space="preserve"> </w:t>
      </w:r>
      <w:r w:rsidR="007E20C9">
        <w:rPr>
          <w:rFonts w:ascii="Arial" w:hAnsi="Arial" w:cs="Arial"/>
          <w:color w:val="000000" w:themeColor="text1"/>
          <w:sz w:val="24"/>
          <w:szCs w:val="24"/>
        </w:rPr>
        <w:t>(</w:t>
      </w:r>
      <w:r w:rsidR="002A1CD2">
        <w:rPr>
          <w:rFonts w:ascii="Arial" w:hAnsi="Arial" w:cs="Arial"/>
          <w:color w:val="000000" w:themeColor="text1"/>
          <w:sz w:val="24"/>
          <w:szCs w:val="24"/>
        </w:rPr>
        <w:t>Richards, 2014, pp.492</w:t>
      </w:r>
      <w:r w:rsidR="007E20C9">
        <w:rPr>
          <w:rFonts w:ascii="Arial" w:hAnsi="Arial" w:cs="Arial"/>
          <w:color w:val="000000" w:themeColor="text1"/>
          <w:sz w:val="24"/>
          <w:szCs w:val="24"/>
        </w:rPr>
        <w:t>)</w:t>
      </w:r>
      <w:r w:rsidR="00D44D9D" w:rsidRPr="00561881">
        <w:rPr>
          <w:rFonts w:ascii="Arial" w:hAnsi="Arial" w:cs="Arial"/>
          <w:color w:val="000000" w:themeColor="text1"/>
          <w:sz w:val="24"/>
          <w:szCs w:val="24"/>
        </w:rPr>
        <w:t xml:space="preserve">. However, </w:t>
      </w:r>
      <w:r w:rsidR="00AE4009" w:rsidRPr="00561881">
        <w:rPr>
          <w:rFonts w:ascii="Arial" w:hAnsi="Arial" w:cs="Arial"/>
          <w:color w:val="000000" w:themeColor="text1"/>
          <w:sz w:val="24"/>
          <w:szCs w:val="24"/>
        </w:rPr>
        <w:t>t</w:t>
      </w:r>
      <w:r w:rsidR="005C370B" w:rsidRPr="00561881">
        <w:rPr>
          <w:rFonts w:ascii="Arial" w:hAnsi="Arial" w:cs="Arial"/>
          <w:color w:val="000000" w:themeColor="text1"/>
          <w:sz w:val="24"/>
          <w:szCs w:val="24"/>
        </w:rPr>
        <w:t xml:space="preserve">he preferred course of action by the </w:t>
      </w:r>
      <w:r w:rsidR="00483EC5" w:rsidRPr="00561881">
        <w:rPr>
          <w:rFonts w:ascii="Arial" w:hAnsi="Arial" w:cs="Arial"/>
          <w:color w:val="000000" w:themeColor="text1"/>
          <w:sz w:val="24"/>
          <w:szCs w:val="24"/>
        </w:rPr>
        <w:t>mortgagee</w:t>
      </w:r>
      <w:r w:rsidR="005C370B" w:rsidRPr="00561881">
        <w:rPr>
          <w:rFonts w:ascii="Arial" w:hAnsi="Arial" w:cs="Arial"/>
          <w:color w:val="000000" w:themeColor="text1"/>
          <w:sz w:val="24"/>
          <w:szCs w:val="24"/>
        </w:rPr>
        <w:t xml:space="preserve"> would be to apply to the courts for an order of possession</w:t>
      </w:r>
      <w:r w:rsidR="00483EC5" w:rsidRPr="00561881">
        <w:rPr>
          <w:rFonts w:ascii="Arial" w:hAnsi="Arial" w:cs="Arial"/>
          <w:color w:val="000000" w:themeColor="text1"/>
          <w:sz w:val="24"/>
          <w:szCs w:val="24"/>
        </w:rPr>
        <w:t xml:space="preserve">, thus </w:t>
      </w:r>
      <w:r w:rsidR="00BB1296" w:rsidRPr="00561881">
        <w:rPr>
          <w:rFonts w:ascii="Arial" w:hAnsi="Arial" w:cs="Arial"/>
          <w:color w:val="000000" w:themeColor="text1"/>
          <w:sz w:val="24"/>
          <w:szCs w:val="24"/>
        </w:rPr>
        <w:t xml:space="preserve">avoiding prosecution from </w:t>
      </w:r>
      <w:r w:rsidR="001D2FDF" w:rsidRPr="00561881">
        <w:rPr>
          <w:rFonts w:ascii="Arial" w:hAnsi="Arial" w:cs="Arial"/>
          <w:color w:val="000000" w:themeColor="text1"/>
          <w:sz w:val="24"/>
          <w:szCs w:val="24"/>
        </w:rPr>
        <w:t xml:space="preserve">s.6 of </w:t>
      </w:r>
      <w:r w:rsidR="00BB1296" w:rsidRPr="00561881">
        <w:rPr>
          <w:rFonts w:ascii="Arial" w:hAnsi="Arial" w:cs="Arial"/>
          <w:color w:val="000000" w:themeColor="text1"/>
          <w:sz w:val="24"/>
          <w:szCs w:val="24"/>
        </w:rPr>
        <w:t xml:space="preserve">the </w:t>
      </w:r>
      <w:r w:rsidR="00BB1296" w:rsidRPr="00D559CC">
        <w:rPr>
          <w:rFonts w:ascii="Arial" w:hAnsi="Arial" w:cs="Arial"/>
          <w:color w:val="000000" w:themeColor="text1"/>
          <w:sz w:val="24"/>
          <w:szCs w:val="24"/>
        </w:rPr>
        <w:t>Criminal Law Act 1977</w:t>
      </w:r>
      <w:r w:rsidR="001D2FDF" w:rsidRPr="00D559CC">
        <w:rPr>
          <w:rFonts w:ascii="Arial" w:hAnsi="Arial" w:cs="Arial"/>
          <w:color w:val="000000" w:themeColor="text1"/>
          <w:sz w:val="24"/>
          <w:szCs w:val="24"/>
        </w:rPr>
        <w:t xml:space="preserve"> (</w:t>
      </w:r>
      <w:r w:rsidR="007E20C9">
        <w:rPr>
          <w:rFonts w:ascii="Arial" w:hAnsi="Arial" w:cs="Arial"/>
          <w:color w:val="000000" w:themeColor="text1"/>
          <w:sz w:val="24"/>
          <w:szCs w:val="24"/>
        </w:rPr>
        <w:t>Tanfield, 2015</w:t>
      </w:r>
      <w:r w:rsidR="001D2FDF" w:rsidRPr="00D559CC">
        <w:rPr>
          <w:rFonts w:ascii="Arial" w:hAnsi="Arial" w:cs="Arial"/>
          <w:color w:val="000000" w:themeColor="text1"/>
          <w:sz w:val="24"/>
          <w:szCs w:val="24"/>
        </w:rPr>
        <w:t>)</w:t>
      </w:r>
      <w:r w:rsidR="00BB1296" w:rsidRPr="00D559CC">
        <w:rPr>
          <w:rFonts w:ascii="Arial" w:hAnsi="Arial" w:cs="Arial"/>
          <w:color w:val="000000" w:themeColor="text1"/>
          <w:sz w:val="24"/>
          <w:szCs w:val="24"/>
        </w:rPr>
        <w:t>.</w:t>
      </w:r>
      <w:r w:rsidR="001D2FDF" w:rsidRPr="00D559CC">
        <w:rPr>
          <w:rFonts w:ascii="Arial" w:hAnsi="Arial" w:cs="Arial"/>
          <w:color w:val="000000" w:themeColor="text1"/>
          <w:sz w:val="24"/>
          <w:szCs w:val="24"/>
        </w:rPr>
        <w:t xml:space="preserve"> </w:t>
      </w:r>
      <w:r w:rsidR="00BB1296" w:rsidRPr="00D559CC">
        <w:rPr>
          <w:rFonts w:ascii="Arial" w:hAnsi="Arial" w:cs="Arial"/>
          <w:color w:val="000000" w:themeColor="text1"/>
          <w:sz w:val="24"/>
          <w:szCs w:val="24"/>
        </w:rPr>
        <w:t xml:space="preserve"> </w:t>
      </w:r>
    </w:p>
    <w:p w14:paraId="70EDBE1B" w14:textId="5800D187" w:rsidR="008C38D4" w:rsidRDefault="00BC2A45" w:rsidP="00924184">
      <w:pPr>
        <w:spacing w:line="480" w:lineRule="auto"/>
        <w:jc w:val="both"/>
        <w:rPr>
          <w:rFonts w:ascii="Arial" w:hAnsi="Arial" w:cs="Arial"/>
          <w:color w:val="000000" w:themeColor="text1"/>
          <w:sz w:val="24"/>
          <w:szCs w:val="24"/>
        </w:rPr>
      </w:pPr>
      <w:r w:rsidRPr="00D559CC">
        <w:rPr>
          <w:rFonts w:ascii="Arial" w:hAnsi="Arial" w:cs="Arial"/>
          <w:color w:val="000000" w:themeColor="text1"/>
          <w:sz w:val="24"/>
          <w:szCs w:val="24"/>
        </w:rPr>
        <w:t>Under s.39 A</w:t>
      </w:r>
      <w:r w:rsidR="00E626DD" w:rsidRPr="00D559CC">
        <w:rPr>
          <w:rFonts w:ascii="Arial" w:hAnsi="Arial" w:cs="Arial"/>
          <w:color w:val="000000" w:themeColor="text1"/>
          <w:sz w:val="24"/>
          <w:szCs w:val="24"/>
        </w:rPr>
        <w:t xml:space="preserve">dministration of </w:t>
      </w:r>
      <w:r w:rsidRPr="00D559CC">
        <w:rPr>
          <w:rFonts w:ascii="Arial" w:hAnsi="Arial" w:cs="Arial"/>
          <w:color w:val="000000" w:themeColor="text1"/>
          <w:sz w:val="24"/>
          <w:szCs w:val="24"/>
        </w:rPr>
        <w:t>J</w:t>
      </w:r>
      <w:r w:rsidR="00E626DD" w:rsidRPr="00D559CC">
        <w:rPr>
          <w:rFonts w:ascii="Arial" w:hAnsi="Arial" w:cs="Arial"/>
          <w:color w:val="000000" w:themeColor="text1"/>
          <w:sz w:val="24"/>
          <w:szCs w:val="24"/>
        </w:rPr>
        <w:t xml:space="preserve">ustice </w:t>
      </w:r>
      <w:r w:rsidRPr="00D559CC">
        <w:rPr>
          <w:rFonts w:ascii="Arial" w:hAnsi="Arial" w:cs="Arial"/>
          <w:color w:val="000000" w:themeColor="text1"/>
          <w:sz w:val="24"/>
          <w:szCs w:val="24"/>
        </w:rPr>
        <w:t>A</w:t>
      </w:r>
      <w:r w:rsidR="00E626DD" w:rsidRPr="00D559CC">
        <w:rPr>
          <w:rFonts w:ascii="Arial" w:hAnsi="Arial" w:cs="Arial"/>
          <w:color w:val="000000" w:themeColor="text1"/>
          <w:sz w:val="24"/>
          <w:szCs w:val="24"/>
        </w:rPr>
        <w:t>ct</w:t>
      </w:r>
      <w:r w:rsidRPr="00D559CC">
        <w:rPr>
          <w:rFonts w:ascii="Arial" w:hAnsi="Arial" w:cs="Arial"/>
          <w:color w:val="000000" w:themeColor="text1"/>
          <w:sz w:val="24"/>
          <w:szCs w:val="24"/>
        </w:rPr>
        <w:t xml:space="preserve"> </w:t>
      </w:r>
      <w:r w:rsidR="00E626DD" w:rsidRPr="00D559CC">
        <w:rPr>
          <w:rFonts w:ascii="Arial" w:hAnsi="Arial" w:cs="Arial"/>
          <w:color w:val="000000" w:themeColor="text1"/>
          <w:sz w:val="24"/>
          <w:szCs w:val="24"/>
        </w:rPr>
        <w:t xml:space="preserve">(AJA) </w:t>
      </w:r>
      <w:r w:rsidRPr="00D559CC">
        <w:rPr>
          <w:rFonts w:ascii="Arial" w:hAnsi="Arial" w:cs="Arial"/>
          <w:color w:val="000000" w:themeColor="text1"/>
          <w:sz w:val="24"/>
          <w:szCs w:val="24"/>
        </w:rPr>
        <w:t>1970 Blackacre Farm owned by Peter would be classified as a ‘dwelling-house’</w:t>
      </w:r>
      <w:r w:rsidR="001D563E" w:rsidRPr="00D559CC">
        <w:rPr>
          <w:rFonts w:ascii="Arial" w:hAnsi="Arial" w:cs="Arial"/>
          <w:color w:val="000000" w:themeColor="text1"/>
          <w:sz w:val="24"/>
          <w:szCs w:val="24"/>
        </w:rPr>
        <w:t xml:space="preserve"> (Richards, 2014, pp.493)</w:t>
      </w:r>
      <w:r w:rsidRPr="00D559CC">
        <w:rPr>
          <w:rFonts w:ascii="Arial" w:hAnsi="Arial" w:cs="Arial"/>
          <w:color w:val="000000" w:themeColor="text1"/>
          <w:sz w:val="24"/>
          <w:szCs w:val="24"/>
        </w:rPr>
        <w:t xml:space="preserve">. Therefore, under s.36 </w:t>
      </w:r>
      <w:r w:rsidR="00E626DD" w:rsidRPr="00D559CC">
        <w:rPr>
          <w:rFonts w:ascii="Arial" w:hAnsi="Arial" w:cs="Arial"/>
          <w:color w:val="000000" w:themeColor="text1"/>
          <w:sz w:val="24"/>
          <w:szCs w:val="24"/>
        </w:rPr>
        <w:t>A</w:t>
      </w:r>
      <w:r w:rsidRPr="00D559CC">
        <w:rPr>
          <w:rFonts w:ascii="Arial" w:hAnsi="Arial" w:cs="Arial"/>
          <w:color w:val="000000" w:themeColor="text1"/>
          <w:sz w:val="24"/>
          <w:szCs w:val="24"/>
        </w:rPr>
        <w:t>JA 1970</w:t>
      </w:r>
      <w:r w:rsidR="00F00A42" w:rsidRPr="00D559CC">
        <w:rPr>
          <w:rFonts w:ascii="Arial" w:hAnsi="Arial" w:cs="Arial"/>
          <w:color w:val="000000" w:themeColor="text1"/>
          <w:sz w:val="24"/>
          <w:szCs w:val="24"/>
        </w:rPr>
        <w:t>, amended by s.8</w:t>
      </w:r>
      <w:r w:rsidR="00197DDF" w:rsidRPr="00D559CC">
        <w:rPr>
          <w:rFonts w:ascii="Arial" w:hAnsi="Arial" w:cs="Arial"/>
          <w:color w:val="000000" w:themeColor="text1"/>
          <w:sz w:val="24"/>
          <w:szCs w:val="24"/>
        </w:rPr>
        <w:t xml:space="preserve"> AJA 1973,</w:t>
      </w:r>
      <w:r w:rsidRPr="00D559CC">
        <w:rPr>
          <w:rFonts w:ascii="Arial" w:hAnsi="Arial" w:cs="Arial"/>
          <w:color w:val="000000" w:themeColor="text1"/>
          <w:sz w:val="24"/>
          <w:szCs w:val="24"/>
        </w:rPr>
        <w:t xml:space="preserve"> </w:t>
      </w:r>
      <w:r w:rsidR="00976ADC" w:rsidRPr="00D559CC">
        <w:rPr>
          <w:rFonts w:ascii="Arial" w:hAnsi="Arial" w:cs="Arial"/>
          <w:color w:val="000000" w:themeColor="text1"/>
          <w:sz w:val="24"/>
          <w:szCs w:val="24"/>
        </w:rPr>
        <w:t xml:space="preserve">Peter </w:t>
      </w:r>
      <w:r w:rsidR="00F41EC2" w:rsidRPr="00D559CC">
        <w:rPr>
          <w:rFonts w:ascii="Arial" w:hAnsi="Arial" w:cs="Arial"/>
          <w:color w:val="000000" w:themeColor="text1"/>
          <w:sz w:val="24"/>
          <w:szCs w:val="24"/>
        </w:rPr>
        <w:t xml:space="preserve">can apply for possession to be </w:t>
      </w:r>
      <w:r w:rsidR="00825015" w:rsidRPr="00D559CC">
        <w:rPr>
          <w:rFonts w:ascii="Arial" w:hAnsi="Arial" w:cs="Arial"/>
          <w:color w:val="000000" w:themeColor="text1"/>
          <w:sz w:val="24"/>
          <w:szCs w:val="24"/>
        </w:rPr>
        <w:t>sus</w:t>
      </w:r>
      <w:r w:rsidR="00825015">
        <w:rPr>
          <w:rFonts w:ascii="Arial" w:hAnsi="Arial" w:cs="Arial"/>
          <w:color w:val="000000" w:themeColor="text1"/>
          <w:sz w:val="24"/>
          <w:szCs w:val="24"/>
        </w:rPr>
        <w:t xml:space="preserve">pended, </w:t>
      </w:r>
      <w:r w:rsidR="00F41EC2">
        <w:rPr>
          <w:rFonts w:ascii="Arial" w:hAnsi="Arial" w:cs="Arial"/>
          <w:color w:val="000000" w:themeColor="text1"/>
          <w:sz w:val="24"/>
          <w:szCs w:val="24"/>
        </w:rPr>
        <w:t>adjo</w:t>
      </w:r>
      <w:r w:rsidR="00825015">
        <w:rPr>
          <w:rFonts w:ascii="Arial" w:hAnsi="Arial" w:cs="Arial"/>
          <w:color w:val="000000" w:themeColor="text1"/>
          <w:sz w:val="24"/>
          <w:szCs w:val="24"/>
        </w:rPr>
        <w:t xml:space="preserve">urned or postponed by the court if </w:t>
      </w:r>
      <w:r w:rsidR="006E724C">
        <w:rPr>
          <w:rFonts w:ascii="Arial" w:hAnsi="Arial" w:cs="Arial"/>
          <w:color w:val="000000" w:themeColor="text1"/>
          <w:sz w:val="24"/>
          <w:szCs w:val="24"/>
        </w:rPr>
        <w:t xml:space="preserve">he is able to demonstrate that </w:t>
      </w:r>
      <w:r w:rsidR="00522ED8">
        <w:rPr>
          <w:rFonts w:ascii="Arial" w:hAnsi="Arial" w:cs="Arial"/>
          <w:color w:val="000000" w:themeColor="text1"/>
          <w:sz w:val="24"/>
          <w:szCs w:val="24"/>
        </w:rPr>
        <w:t xml:space="preserve">he is able to pay </w:t>
      </w:r>
      <w:r w:rsidR="000C73A3">
        <w:rPr>
          <w:rFonts w:ascii="Arial" w:hAnsi="Arial" w:cs="Arial"/>
          <w:color w:val="000000" w:themeColor="text1"/>
          <w:sz w:val="24"/>
          <w:szCs w:val="24"/>
        </w:rPr>
        <w:t xml:space="preserve">sums due under the mortgage </w:t>
      </w:r>
      <w:r w:rsidR="003110BB">
        <w:rPr>
          <w:rFonts w:ascii="Arial" w:hAnsi="Arial" w:cs="Arial"/>
          <w:color w:val="000000" w:themeColor="text1"/>
          <w:sz w:val="24"/>
          <w:szCs w:val="24"/>
        </w:rPr>
        <w:t xml:space="preserve">or remedy any other </w:t>
      </w:r>
      <w:r w:rsidR="008C4F0B">
        <w:rPr>
          <w:rFonts w:ascii="Arial" w:hAnsi="Arial" w:cs="Arial"/>
          <w:color w:val="000000" w:themeColor="text1"/>
          <w:sz w:val="24"/>
          <w:szCs w:val="24"/>
        </w:rPr>
        <w:t xml:space="preserve">breach </w:t>
      </w:r>
      <w:r w:rsidR="000C73A3">
        <w:rPr>
          <w:rFonts w:ascii="Arial" w:hAnsi="Arial" w:cs="Arial"/>
          <w:color w:val="000000" w:themeColor="text1"/>
          <w:sz w:val="24"/>
          <w:szCs w:val="24"/>
        </w:rPr>
        <w:t xml:space="preserve">within a ‘reasonable </w:t>
      </w:r>
      <w:r w:rsidR="000902B8">
        <w:rPr>
          <w:rFonts w:ascii="Arial" w:hAnsi="Arial" w:cs="Arial"/>
          <w:color w:val="000000" w:themeColor="text1"/>
          <w:sz w:val="24"/>
          <w:szCs w:val="24"/>
        </w:rPr>
        <w:t xml:space="preserve">period’ </w:t>
      </w:r>
      <w:r w:rsidRPr="00561881">
        <w:rPr>
          <w:rFonts w:ascii="Arial" w:hAnsi="Arial" w:cs="Arial"/>
          <w:color w:val="000000" w:themeColor="text1"/>
          <w:sz w:val="24"/>
          <w:szCs w:val="24"/>
        </w:rPr>
        <w:t>(Duddington, 2015, pp.176).</w:t>
      </w:r>
      <w:r w:rsidR="00924184">
        <w:rPr>
          <w:rFonts w:ascii="Arial" w:hAnsi="Arial" w:cs="Arial"/>
          <w:color w:val="000000" w:themeColor="text1"/>
          <w:sz w:val="24"/>
          <w:szCs w:val="24"/>
        </w:rPr>
        <w:t xml:space="preserve"> </w:t>
      </w:r>
      <w:r w:rsidR="000850B8" w:rsidRPr="00924184">
        <w:rPr>
          <w:rFonts w:ascii="Arial" w:hAnsi="Arial" w:cs="Arial"/>
          <w:color w:val="000000" w:themeColor="text1"/>
          <w:sz w:val="24"/>
          <w:szCs w:val="24"/>
        </w:rPr>
        <w:t xml:space="preserve">What is accepted as a </w:t>
      </w:r>
      <w:r w:rsidR="00581E99" w:rsidRPr="00924184">
        <w:rPr>
          <w:rFonts w:ascii="Arial" w:hAnsi="Arial" w:cs="Arial"/>
          <w:color w:val="000000" w:themeColor="text1"/>
          <w:sz w:val="24"/>
          <w:szCs w:val="24"/>
        </w:rPr>
        <w:t>‘reasonable period’</w:t>
      </w:r>
      <w:r w:rsidR="000850B8" w:rsidRPr="00924184">
        <w:rPr>
          <w:rFonts w:ascii="Arial" w:hAnsi="Arial" w:cs="Arial"/>
          <w:color w:val="000000" w:themeColor="text1"/>
          <w:sz w:val="24"/>
          <w:szCs w:val="24"/>
        </w:rPr>
        <w:t xml:space="preserve"> is dependant </w:t>
      </w:r>
      <w:r w:rsidR="002E481E" w:rsidRPr="00924184">
        <w:rPr>
          <w:rFonts w:ascii="Arial" w:hAnsi="Arial" w:cs="Arial"/>
          <w:color w:val="000000" w:themeColor="text1"/>
          <w:sz w:val="24"/>
          <w:szCs w:val="24"/>
        </w:rPr>
        <w:t>on the facts of each case</w:t>
      </w:r>
      <w:r w:rsidR="0072083E">
        <w:rPr>
          <w:rFonts w:ascii="Arial" w:hAnsi="Arial" w:cs="Arial"/>
          <w:color w:val="000000" w:themeColor="text1"/>
          <w:sz w:val="24"/>
          <w:szCs w:val="24"/>
        </w:rPr>
        <w:t>,</w:t>
      </w:r>
      <w:r w:rsidR="002E481E" w:rsidRPr="00924184">
        <w:rPr>
          <w:rFonts w:ascii="Arial" w:hAnsi="Arial" w:cs="Arial"/>
          <w:color w:val="000000" w:themeColor="text1"/>
          <w:sz w:val="24"/>
          <w:szCs w:val="24"/>
        </w:rPr>
        <w:t xml:space="preserve"> </w:t>
      </w:r>
      <w:r w:rsidR="009C42A8" w:rsidRPr="00924184">
        <w:rPr>
          <w:rFonts w:ascii="Arial" w:hAnsi="Arial" w:cs="Arial"/>
          <w:color w:val="000000" w:themeColor="text1"/>
          <w:sz w:val="24"/>
          <w:szCs w:val="24"/>
        </w:rPr>
        <w:t xml:space="preserve">but has generally been acknowledged to be two years. </w:t>
      </w:r>
      <w:r w:rsidR="004B0B48" w:rsidRPr="00924184">
        <w:rPr>
          <w:rFonts w:ascii="Arial" w:hAnsi="Arial" w:cs="Arial"/>
          <w:color w:val="000000" w:themeColor="text1"/>
          <w:sz w:val="24"/>
          <w:szCs w:val="24"/>
        </w:rPr>
        <w:t>H</w:t>
      </w:r>
      <w:r w:rsidR="002E481E" w:rsidRPr="00924184">
        <w:rPr>
          <w:rFonts w:ascii="Arial" w:hAnsi="Arial" w:cs="Arial"/>
          <w:color w:val="000000" w:themeColor="text1"/>
          <w:sz w:val="24"/>
          <w:szCs w:val="24"/>
        </w:rPr>
        <w:t>owever,</w:t>
      </w:r>
      <w:r w:rsidR="00CF21C4" w:rsidRPr="00924184">
        <w:rPr>
          <w:rFonts w:ascii="Arial" w:hAnsi="Arial" w:cs="Arial"/>
          <w:color w:val="000000" w:themeColor="text1"/>
          <w:sz w:val="24"/>
          <w:szCs w:val="24"/>
        </w:rPr>
        <w:t xml:space="preserve"> in</w:t>
      </w:r>
      <w:r w:rsidR="002E481E" w:rsidRPr="00924184">
        <w:rPr>
          <w:rFonts w:ascii="Arial" w:hAnsi="Arial" w:cs="Arial"/>
          <w:color w:val="000000" w:themeColor="text1"/>
          <w:sz w:val="24"/>
          <w:szCs w:val="24"/>
        </w:rPr>
        <w:t xml:space="preserve"> </w:t>
      </w:r>
      <w:r w:rsidR="008107A4" w:rsidRPr="00924184">
        <w:rPr>
          <w:rFonts w:ascii="Arial" w:hAnsi="Arial" w:cs="Arial"/>
          <w:i/>
          <w:iCs/>
          <w:color w:val="000000" w:themeColor="text1"/>
          <w:sz w:val="24"/>
          <w:szCs w:val="24"/>
        </w:rPr>
        <w:t>Cheltenham and Glouster Building Society v Norgan [1996]</w:t>
      </w:r>
      <w:r w:rsidR="002E481E" w:rsidRPr="00924184">
        <w:rPr>
          <w:rFonts w:ascii="Arial" w:hAnsi="Arial" w:cs="Arial"/>
          <w:i/>
          <w:iCs/>
          <w:color w:val="000000" w:themeColor="text1"/>
          <w:sz w:val="24"/>
          <w:szCs w:val="24"/>
        </w:rPr>
        <w:t xml:space="preserve"> </w:t>
      </w:r>
      <w:r w:rsidR="004B0B48" w:rsidRPr="00924184">
        <w:rPr>
          <w:rFonts w:ascii="Arial" w:hAnsi="Arial" w:cs="Arial"/>
          <w:color w:val="000000" w:themeColor="text1"/>
          <w:sz w:val="24"/>
          <w:szCs w:val="24"/>
        </w:rPr>
        <w:t>Lord Justice Waite</w:t>
      </w:r>
      <w:r w:rsidR="004B0B48" w:rsidRPr="00924184">
        <w:rPr>
          <w:rFonts w:ascii="Arial" w:hAnsi="Arial" w:cs="Arial"/>
          <w:color w:val="000000" w:themeColor="text1"/>
          <w:sz w:val="24"/>
          <w:szCs w:val="24"/>
        </w:rPr>
        <w:t xml:space="preserve"> </w:t>
      </w:r>
      <w:r w:rsidR="00CF21C4" w:rsidRPr="00924184">
        <w:rPr>
          <w:rFonts w:ascii="Arial" w:hAnsi="Arial" w:cs="Arial"/>
          <w:color w:val="000000" w:themeColor="text1"/>
          <w:sz w:val="24"/>
          <w:szCs w:val="24"/>
        </w:rPr>
        <w:t xml:space="preserve">considered </w:t>
      </w:r>
      <w:r w:rsidR="008D5F60" w:rsidRPr="00924184">
        <w:rPr>
          <w:rFonts w:ascii="Arial" w:hAnsi="Arial" w:cs="Arial"/>
          <w:color w:val="000000" w:themeColor="text1"/>
          <w:sz w:val="24"/>
          <w:szCs w:val="24"/>
        </w:rPr>
        <w:t xml:space="preserve">that the starting point for determining a ‘reasonable period’ </w:t>
      </w:r>
      <w:r w:rsidR="009D1908" w:rsidRPr="00924184">
        <w:rPr>
          <w:rFonts w:ascii="Arial" w:hAnsi="Arial" w:cs="Arial"/>
          <w:color w:val="000000" w:themeColor="text1"/>
          <w:sz w:val="24"/>
          <w:szCs w:val="24"/>
        </w:rPr>
        <w:t>should be the remaining term of the mortgage (</w:t>
      </w:r>
      <w:r w:rsidR="007572B8">
        <w:rPr>
          <w:rFonts w:ascii="Arial" w:hAnsi="Arial" w:cs="Arial"/>
          <w:color w:val="000000" w:themeColor="text1"/>
          <w:sz w:val="24"/>
          <w:szCs w:val="24"/>
        </w:rPr>
        <w:t>Hill and Bedworth, 2006</w:t>
      </w:r>
      <w:r w:rsidR="009D1908" w:rsidRPr="00924184">
        <w:rPr>
          <w:rFonts w:ascii="Arial" w:hAnsi="Arial" w:cs="Arial"/>
          <w:color w:val="000000" w:themeColor="text1"/>
          <w:sz w:val="24"/>
          <w:szCs w:val="24"/>
        </w:rPr>
        <w:t xml:space="preserve">). </w:t>
      </w:r>
    </w:p>
    <w:p w14:paraId="09226A09" w14:textId="6CC1AF63" w:rsidR="003A202E" w:rsidRDefault="0070669F" w:rsidP="00924184">
      <w:pPr>
        <w:spacing w:line="480" w:lineRule="auto"/>
        <w:jc w:val="both"/>
        <w:rPr>
          <w:rFonts w:ascii="Arial" w:hAnsi="Arial" w:cs="Arial"/>
          <w:color w:val="000000" w:themeColor="text1"/>
          <w:sz w:val="24"/>
          <w:szCs w:val="24"/>
        </w:rPr>
      </w:pPr>
      <w:r w:rsidRPr="00924184">
        <w:rPr>
          <w:rFonts w:ascii="Arial" w:hAnsi="Arial" w:cs="Arial"/>
          <w:color w:val="000000" w:themeColor="text1"/>
          <w:sz w:val="24"/>
          <w:szCs w:val="24"/>
        </w:rPr>
        <w:t>To that end</w:t>
      </w:r>
      <w:r w:rsidR="009D1908" w:rsidRPr="00924184">
        <w:rPr>
          <w:rFonts w:ascii="Arial" w:hAnsi="Arial" w:cs="Arial"/>
          <w:color w:val="000000" w:themeColor="text1"/>
          <w:sz w:val="24"/>
          <w:szCs w:val="24"/>
        </w:rPr>
        <w:t xml:space="preserve">, </w:t>
      </w:r>
      <w:r w:rsidR="00B756DA" w:rsidRPr="00924184">
        <w:rPr>
          <w:rFonts w:ascii="Arial" w:hAnsi="Arial" w:cs="Arial"/>
          <w:color w:val="000000" w:themeColor="text1"/>
          <w:sz w:val="24"/>
          <w:szCs w:val="24"/>
        </w:rPr>
        <w:t xml:space="preserve">provided that Peter is able to convince the court </w:t>
      </w:r>
      <w:r w:rsidR="007301B3" w:rsidRPr="00924184">
        <w:rPr>
          <w:rFonts w:ascii="Arial" w:hAnsi="Arial" w:cs="Arial"/>
          <w:color w:val="000000" w:themeColor="text1"/>
          <w:sz w:val="24"/>
          <w:szCs w:val="24"/>
        </w:rPr>
        <w:t xml:space="preserve">by providing </w:t>
      </w:r>
      <w:r w:rsidR="009C43AD" w:rsidRPr="00924184">
        <w:rPr>
          <w:rFonts w:ascii="Arial" w:hAnsi="Arial" w:cs="Arial"/>
          <w:color w:val="000000" w:themeColor="text1"/>
          <w:sz w:val="24"/>
          <w:szCs w:val="24"/>
        </w:rPr>
        <w:t xml:space="preserve">a detailed financial plan </w:t>
      </w:r>
      <w:r w:rsidR="00B756DA" w:rsidRPr="00924184">
        <w:rPr>
          <w:rFonts w:ascii="Arial" w:hAnsi="Arial" w:cs="Arial"/>
          <w:color w:val="000000" w:themeColor="text1"/>
          <w:sz w:val="24"/>
          <w:szCs w:val="24"/>
        </w:rPr>
        <w:t xml:space="preserve">that he can make a reasonable attempt to pay the outstanding </w:t>
      </w:r>
      <w:r w:rsidR="005E40C2" w:rsidRPr="00924184">
        <w:rPr>
          <w:rFonts w:ascii="Arial" w:hAnsi="Arial" w:cs="Arial"/>
          <w:color w:val="000000" w:themeColor="text1"/>
          <w:sz w:val="24"/>
          <w:szCs w:val="24"/>
        </w:rPr>
        <w:t>arrears accumulating within a ‘reasonable period’</w:t>
      </w:r>
      <w:r w:rsidR="00284670">
        <w:rPr>
          <w:rFonts w:ascii="Arial" w:hAnsi="Arial" w:cs="Arial"/>
          <w:color w:val="000000" w:themeColor="text1"/>
          <w:sz w:val="24"/>
          <w:szCs w:val="24"/>
        </w:rPr>
        <w:t>,</w:t>
      </w:r>
      <w:r w:rsidR="005E40C2" w:rsidRPr="00924184">
        <w:rPr>
          <w:rFonts w:ascii="Arial" w:hAnsi="Arial" w:cs="Arial"/>
          <w:color w:val="000000" w:themeColor="text1"/>
          <w:sz w:val="24"/>
          <w:szCs w:val="24"/>
        </w:rPr>
        <w:t xml:space="preserve"> </w:t>
      </w:r>
      <w:r w:rsidR="00011417" w:rsidRPr="00924184">
        <w:rPr>
          <w:rFonts w:ascii="Arial" w:hAnsi="Arial" w:cs="Arial"/>
          <w:color w:val="000000" w:themeColor="text1"/>
          <w:sz w:val="24"/>
          <w:szCs w:val="24"/>
        </w:rPr>
        <w:t xml:space="preserve">Peter’s </w:t>
      </w:r>
      <w:r w:rsidR="00311C7E" w:rsidRPr="00924184">
        <w:rPr>
          <w:rFonts w:ascii="Arial" w:hAnsi="Arial" w:cs="Arial"/>
          <w:color w:val="000000" w:themeColor="text1"/>
          <w:sz w:val="24"/>
          <w:szCs w:val="24"/>
        </w:rPr>
        <w:t>application</w:t>
      </w:r>
      <w:r w:rsidR="00011417" w:rsidRPr="00924184">
        <w:rPr>
          <w:rFonts w:ascii="Arial" w:hAnsi="Arial" w:cs="Arial"/>
          <w:color w:val="000000" w:themeColor="text1"/>
          <w:sz w:val="24"/>
          <w:szCs w:val="24"/>
        </w:rPr>
        <w:t xml:space="preserve"> </w:t>
      </w:r>
      <w:r w:rsidR="005A1D48" w:rsidRPr="00924184">
        <w:rPr>
          <w:rFonts w:ascii="Arial" w:hAnsi="Arial" w:cs="Arial"/>
          <w:color w:val="000000" w:themeColor="text1"/>
          <w:sz w:val="24"/>
          <w:szCs w:val="24"/>
        </w:rPr>
        <w:t>may satisfy</w:t>
      </w:r>
      <w:r w:rsidR="005A1D48" w:rsidRPr="00875BF3">
        <w:rPr>
          <w:rFonts w:ascii="Arial" w:hAnsi="Arial" w:cs="Arial"/>
          <w:color w:val="000000" w:themeColor="text1"/>
          <w:sz w:val="24"/>
          <w:szCs w:val="24"/>
        </w:rPr>
        <w:t xml:space="preserve"> </w:t>
      </w:r>
      <w:r w:rsidR="00011417" w:rsidRPr="00875BF3">
        <w:rPr>
          <w:rFonts w:ascii="Arial" w:hAnsi="Arial" w:cs="Arial"/>
          <w:color w:val="000000" w:themeColor="text1"/>
          <w:sz w:val="24"/>
          <w:szCs w:val="24"/>
        </w:rPr>
        <w:t>the statutory control</w:t>
      </w:r>
      <w:r w:rsidR="00A7465F" w:rsidRPr="00875BF3">
        <w:rPr>
          <w:rFonts w:ascii="Arial" w:hAnsi="Arial" w:cs="Arial"/>
          <w:color w:val="000000" w:themeColor="text1"/>
          <w:sz w:val="24"/>
          <w:szCs w:val="24"/>
        </w:rPr>
        <w:t>s</w:t>
      </w:r>
      <w:r w:rsidR="009C43AD" w:rsidRPr="00875BF3">
        <w:rPr>
          <w:rFonts w:ascii="Arial" w:hAnsi="Arial" w:cs="Arial"/>
          <w:color w:val="000000" w:themeColor="text1"/>
          <w:sz w:val="24"/>
          <w:szCs w:val="24"/>
        </w:rPr>
        <w:t xml:space="preserve">; </w:t>
      </w:r>
      <w:r w:rsidR="002C1AFC" w:rsidRPr="00875BF3">
        <w:rPr>
          <w:rFonts w:ascii="Arial" w:hAnsi="Arial" w:cs="Arial"/>
          <w:i/>
          <w:iCs/>
          <w:color w:val="000000" w:themeColor="text1"/>
          <w:sz w:val="24"/>
          <w:szCs w:val="24"/>
        </w:rPr>
        <w:t xml:space="preserve">National &amp; Provincial Building Society v </w:t>
      </w:r>
      <w:r w:rsidR="00AD13F3" w:rsidRPr="00875BF3">
        <w:rPr>
          <w:rFonts w:ascii="Arial" w:hAnsi="Arial" w:cs="Arial"/>
          <w:i/>
          <w:iCs/>
          <w:color w:val="000000" w:themeColor="text1"/>
          <w:sz w:val="24"/>
          <w:szCs w:val="24"/>
        </w:rPr>
        <w:t>Lloyd [1996]</w:t>
      </w:r>
      <w:r w:rsidR="00924184" w:rsidRPr="00875BF3">
        <w:rPr>
          <w:rFonts w:ascii="Arial" w:hAnsi="Arial" w:cs="Arial"/>
          <w:color w:val="000000" w:themeColor="text1"/>
          <w:sz w:val="24"/>
          <w:szCs w:val="24"/>
        </w:rPr>
        <w:t xml:space="preserve"> </w:t>
      </w:r>
      <w:r w:rsidR="003353D5" w:rsidRPr="00875BF3">
        <w:rPr>
          <w:rFonts w:ascii="Arial" w:hAnsi="Arial" w:cs="Arial"/>
          <w:color w:val="000000" w:themeColor="text1"/>
          <w:sz w:val="24"/>
          <w:szCs w:val="24"/>
        </w:rPr>
        <w:t xml:space="preserve">(Sayles, </w:t>
      </w:r>
      <w:r w:rsidR="003353D5" w:rsidRPr="00924184">
        <w:rPr>
          <w:rFonts w:ascii="Arial" w:hAnsi="Arial" w:cs="Arial"/>
          <w:color w:val="000000" w:themeColor="text1"/>
          <w:sz w:val="24"/>
          <w:szCs w:val="24"/>
        </w:rPr>
        <w:t>2020, pp.233).</w:t>
      </w:r>
      <w:r w:rsidR="00632A03">
        <w:rPr>
          <w:rFonts w:ascii="Arial" w:hAnsi="Arial" w:cs="Arial"/>
          <w:color w:val="000000" w:themeColor="text1"/>
          <w:sz w:val="24"/>
          <w:szCs w:val="24"/>
        </w:rPr>
        <w:t xml:space="preserve"> </w:t>
      </w:r>
      <w:r w:rsidR="00B84685">
        <w:rPr>
          <w:rFonts w:ascii="Arial" w:hAnsi="Arial" w:cs="Arial"/>
          <w:color w:val="000000" w:themeColor="text1"/>
          <w:sz w:val="24"/>
          <w:szCs w:val="24"/>
        </w:rPr>
        <w:t>A</w:t>
      </w:r>
      <w:r w:rsidR="0073410A">
        <w:rPr>
          <w:rFonts w:ascii="Arial" w:hAnsi="Arial" w:cs="Arial"/>
          <w:color w:val="000000" w:themeColor="text1"/>
          <w:sz w:val="24"/>
          <w:szCs w:val="24"/>
        </w:rPr>
        <w:t>n order of</w:t>
      </w:r>
      <w:r w:rsidR="0073410A" w:rsidRPr="00163DA5">
        <w:rPr>
          <w:rFonts w:ascii="Arial" w:hAnsi="Arial" w:cs="Arial"/>
          <w:color w:val="000000" w:themeColor="text1"/>
          <w:sz w:val="24"/>
          <w:szCs w:val="24"/>
        </w:rPr>
        <w:t xml:space="preserve"> possession will be made </w:t>
      </w:r>
      <w:r w:rsidR="009B2AA0" w:rsidRPr="00163DA5">
        <w:rPr>
          <w:rFonts w:ascii="Arial" w:hAnsi="Arial" w:cs="Arial"/>
          <w:color w:val="000000" w:themeColor="text1"/>
          <w:sz w:val="24"/>
          <w:szCs w:val="24"/>
        </w:rPr>
        <w:t xml:space="preserve">where no evidence </w:t>
      </w:r>
      <w:r w:rsidR="00205925" w:rsidRPr="00163DA5">
        <w:rPr>
          <w:rFonts w:ascii="Arial" w:hAnsi="Arial" w:cs="Arial"/>
          <w:color w:val="000000" w:themeColor="text1"/>
          <w:sz w:val="24"/>
          <w:szCs w:val="24"/>
        </w:rPr>
        <w:t>is present</w:t>
      </w:r>
      <w:r w:rsidR="00445D5D" w:rsidRPr="00163DA5">
        <w:rPr>
          <w:rFonts w:ascii="Arial" w:hAnsi="Arial" w:cs="Arial"/>
          <w:color w:val="000000" w:themeColor="text1"/>
          <w:sz w:val="24"/>
          <w:szCs w:val="24"/>
        </w:rPr>
        <w:t xml:space="preserve">; </w:t>
      </w:r>
      <w:r w:rsidR="00B85AD4" w:rsidRPr="00163DA5">
        <w:rPr>
          <w:rFonts w:ascii="Arial" w:hAnsi="Arial" w:cs="Arial"/>
          <w:i/>
          <w:iCs/>
          <w:color w:val="000000" w:themeColor="text1"/>
          <w:sz w:val="24"/>
          <w:szCs w:val="24"/>
        </w:rPr>
        <w:t>First National Bank v S</w:t>
      </w:r>
      <w:r w:rsidR="00B85AD4" w:rsidRPr="00D62F06">
        <w:rPr>
          <w:rFonts w:ascii="Arial" w:hAnsi="Arial" w:cs="Arial"/>
          <w:i/>
          <w:iCs/>
          <w:color w:val="000000" w:themeColor="text1"/>
          <w:sz w:val="24"/>
          <w:szCs w:val="24"/>
        </w:rPr>
        <w:t xml:space="preserve">yed [1991], </w:t>
      </w:r>
      <w:r w:rsidR="00445D5D" w:rsidRPr="00D62F06">
        <w:rPr>
          <w:rFonts w:ascii="Arial" w:hAnsi="Arial" w:cs="Arial"/>
          <w:i/>
          <w:iCs/>
          <w:color w:val="000000" w:themeColor="text1"/>
          <w:sz w:val="24"/>
          <w:szCs w:val="24"/>
        </w:rPr>
        <w:t>Cheltenham and Gl</w:t>
      </w:r>
      <w:r w:rsidR="009B4661" w:rsidRPr="00D62F06">
        <w:rPr>
          <w:rFonts w:ascii="Arial" w:hAnsi="Arial" w:cs="Arial"/>
          <w:i/>
          <w:iCs/>
          <w:color w:val="000000" w:themeColor="text1"/>
          <w:sz w:val="24"/>
          <w:szCs w:val="24"/>
        </w:rPr>
        <w:t xml:space="preserve">ouster Building Society v Grant [1994] </w:t>
      </w:r>
      <w:r w:rsidR="009B4661" w:rsidRPr="00D62F06">
        <w:rPr>
          <w:rFonts w:ascii="Arial" w:hAnsi="Arial" w:cs="Arial"/>
          <w:color w:val="000000" w:themeColor="text1"/>
          <w:sz w:val="24"/>
          <w:szCs w:val="24"/>
        </w:rPr>
        <w:t>(</w:t>
      </w:r>
      <w:r w:rsidR="00E574C1">
        <w:rPr>
          <w:rFonts w:ascii="Arial" w:hAnsi="Arial" w:cs="Arial"/>
          <w:color w:val="000000" w:themeColor="text1"/>
          <w:sz w:val="24"/>
          <w:szCs w:val="24"/>
        </w:rPr>
        <w:t>Cox and Lees</w:t>
      </w:r>
      <w:r w:rsidR="00EC7CA2">
        <w:rPr>
          <w:rFonts w:ascii="Arial" w:hAnsi="Arial" w:cs="Arial"/>
          <w:color w:val="000000" w:themeColor="text1"/>
          <w:sz w:val="24"/>
          <w:szCs w:val="24"/>
        </w:rPr>
        <w:t>, 20</w:t>
      </w:r>
      <w:r w:rsidR="008D2E17">
        <w:rPr>
          <w:rFonts w:ascii="Arial" w:hAnsi="Arial" w:cs="Arial"/>
          <w:color w:val="000000" w:themeColor="text1"/>
          <w:sz w:val="24"/>
          <w:szCs w:val="24"/>
        </w:rPr>
        <w:t>14</w:t>
      </w:r>
      <w:r w:rsidR="009B4661" w:rsidRPr="00875BF3">
        <w:rPr>
          <w:rFonts w:ascii="Arial" w:hAnsi="Arial" w:cs="Arial"/>
          <w:color w:val="000000" w:themeColor="text1"/>
          <w:sz w:val="24"/>
          <w:szCs w:val="24"/>
        </w:rPr>
        <w:t>).</w:t>
      </w:r>
      <w:r w:rsidR="00077E34">
        <w:rPr>
          <w:rFonts w:ascii="Arial" w:hAnsi="Arial" w:cs="Arial"/>
          <w:color w:val="000000" w:themeColor="text1"/>
          <w:sz w:val="24"/>
          <w:szCs w:val="24"/>
        </w:rPr>
        <w:t xml:space="preserve"> </w:t>
      </w:r>
      <w:r w:rsidR="009D63B3" w:rsidRPr="00875BF3">
        <w:rPr>
          <w:rFonts w:ascii="Arial" w:hAnsi="Arial" w:cs="Arial"/>
          <w:color w:val="000000" w:themeColor="text1"/>
          <w:sz w:val="24"/>
          <w:szCs w:val="24"/>
        </w:rPr>
        <w:t xml:space="preserve">Trinity Bank </w:t>
      </w:r>
      <w:r w:rsidR="00B13153" w:rsidRPr="00875BF3">
        <w:rPr>
          <w:rFonts w:ascii="Arial" w:hAnsi="Arial" w:cs="Arial"/>
          <w:color w:val="000000" w:themeColor="text1"/>
          <w:sz w:val="24"/>
          <w:szCs w:val="24"/>
        </w:rPr>
        <w:t xml:space="preserve">must follow the pre-action protocol prior to taking possession and </w:t>
      </w:r>
      <w:r w:rsidR="009D63B3" w:rsidRPr="00875BF3">
        <w:rPr>
          <w:rFonts w:ascii="Arial" w:hAnsi="Arial" w:cs="Arial"/>
          <w:color w:val="000000" w:themeColor="text1"/>
          <w:sz w:val="24"/>
          <w:szCs w:val="24"/>
        </w:rPr>
        <w:t xml:space="preserve">are </w:t>
      </w:r>
      <w:r w:rsidR="009D63B3" w:rsidRPr="00875BF3">
        <w:rPr>
          <w:rFonts w:ascii="Arial" w:hAnsi="Arial" w:cs="Arial"/>
          <w:color w:val="000000" w:themeColor="text1"/>
          <w:sz w:val="24"/>
          <w:szCs w:val="24"/>
        </w:rPr>
        <w:lastRenderedPageBreak/>
        <w:t xml:space="preserve">less likely to postpone possession if they are to be prejudiced by falling property prices; </w:t>
      </w:r>
      <w:r w:rsidR="009D63B3" w:rsidRPr="00875BF3">
        <w:rPr>
          <w:rFonts w:ascii="Arial" w:hAnsi="Arial" w:cs="Arial"/>
          <w:i/>
          <w:iCs/>
          <w:color w:val="000000" w:themeColor="text1"/>
          <w:sz w:val="24"/>
          <w:szCs w:val="24"/>
        </w:rPr>
        <w:t>Bristol &amp; West Building Society v Ellis [</w:t>
      </w:r>
      <w:r w:rsidR="00A15898" w:rsidRPr="00875BF3">
        <w:rPr>
          <w:rFonts w:ascii="Arial" w:hAnsi="Arial" w:cs="Arial"/>
          <w:i/>
          <w:iCs/>
          <w:color w:val="000000" w:themeColor="text1"/>
          <w:sz w:val="24"/>
          <w:szCs w:val="24"/>
        </w:rPr>
        <w:t>1996</w:t>
      </w:r>
      <w:r w:rsidR="009D63B3" w:rsidRPr="00875BF3">
        <w:rPr>
          <w:rFonts w:ascii="Arial" w:hAnsi="Arial" w:cs="Arial"/>
          <w:i/>
          <w:iCs/>
          <w:color w:val="000000" w:themeColor="text1"/>
          <w:sz w:val="24"/>
          <w:szCs w:val="24"/>
        </w:rPr>
        <w:t xml:space="preserve">] </w:t>
      </w:r>
      <w:r w:rsidR="009D63B3" w:rsidRPr="00875BF3">
        <w:rPr>
          <w:rFonts w:ascii="Arial" w:hAnsi="Arial" w:cs="Arial"/>
          <w:color w:val="000000" w:themeColor="text1"/>
          <w:sz w:val="24"/>
          <w:szCs w:val="24"/>
        </w:rPr>
        <w:t>(</w:t>
      </w:r>
      <w:r w:rsidR="00A15898" w:rsidRPr="00875BF3">
        <w:rPr>
          <w:rFonts w:ascii="Arial" w:hAnsi="Arial" w:cs="Arial"/>
          <w:color w:val="000000" w:themeColor="text1"/>
          <w:sz w:val="24"/>
          <w:szCs w:val="24"/>
        </w:rPr>
        <w:t xml:space="preserve">Hill and </w:t>
      </w:r>
      <w:r w:rsidR="00A15898">
        <w:rPr>
          <w:rFonts w:ascii="Arial" w:hAnsi="Arial" w:cs="Arial"/>
          <w:color w:val="000000" w:themeColor="text1"/>
          <w:sz w:val="24"/>
          <w:szCs w:val="24"/>
        </w:rPr>
        <w:t>Bedworth, 2006</w:t>
      </w:r>
      <w:r w:rsidR="009D63B3">
        <w:rPr>
          <w:rFonts w:ascii="Arial" w:hAnsi="Arial" w:cs="Arial"/>
          <w:color w:val="000000" w:themeColor="text1"/>
          <w:sz w:val="24"/>
          <w:szCs w:val="24"/>
        </w:rPr>
        <w:t>).</w:t>
      </w:r>
    </w:p>
    <w:p w14:paraId="72EE71C8" w14:textId="20D07588" w:rsidR="00704134" w:rsidRPr="00926ABA" w:rsidRDefault="00704134" w:rsidP="00924184">
      <w:pPr>
        <w:spacing w:line="480" w:lineRule="auto"/>
        <w:jc w:val="both"/>
        <w:rPr>
          <w:rFonts w:ascii="Arial" w:hAnsi="Arial" w:cs="Arial"/>
          <w:color w:val="00B050"/>
          <w:sz w:val="24"/>
          <w:szCs w:val="24"/>
        </w:rPr>
      </w:pPr>
      <w:r w:rsidRPr="00926ABA">
        <w:rPr>
          <w:rFonts w:ascii="Arial" w:hAnsi="Arial" w:cs="Arial"/>
          <w:color w:val="00B050"/>
          <w:sz w:val="24"/>
          <w:szCs w:val="24"/>
        </w:rPr>
        <w:t xml:space="preserve">GO TO </w:t>
      </w:r>
      <w:r w:rsidR="0069120D" w:rsidRPr="00926ABA">
        <w:rPr>
          <w:rFonts w:ascii="Arial" w:hAnsi="Arial" w:cs="Arial"/>
          <w:color w:val="00B050"/>
          <w:sz w:val="24"/>
          <w:szCs w:val="24"/>
        </w:rPr>
        <w:t>NICE ARTICE – PERIODIC PAYMENTS</w:t>
      </w:r>
    </w:p>
    <w:p w14:paraId="456ABA9D" w14:textId="675C01A6" w:rsidR="0006693F" w:rsidRDefault="0006693F" w:rsidP="00924184">
      <w:pPr>
        <w:spacing w:line="480" w:lineRule="auto"/>
        <w:jc w:val="both"/>
        <w:rPr>
          <w:rFonts w:ascii="Arial" w:hAnsi="Arial" w:cs="Arial"/>
          <w:color w:val="000000" w:themeColor="text1"/>
          <w:sz w:val="24"/>
          <w:szCs w:val="24"/>
        </w:rPr>
      </w:pPr>
    </w:p>
    <w:p w14:paraId="7C3D7CBA" w14:textId="495F27B9" w:rsidR="001B0B8A" w:rsidRDefault="000243AF" w:rsidP="00AF4949">
      <w:pPr>
        <w:spacing w:line="480" w:lineRule="auto"/>
        <w:jc w:val="both"/>
        <w:rPr>
          <w:rFonts w:ascii="Arial" w:hAnsi="Arial" w:cs="Arial"/>
          <w:color w:val="EF00A5"/>
          <w:sz w:val="24"/>
          <w:szCs w:val="24"/>
        </w:rPr>
      </w:pPr>
      <w:r>
        <w:rPr>
          <w:rFonts w:ascii="Arial" w:hAnsi="Arial" w:cs="Arial"/>
          <w:color w:val="000000" w:themeColor="text1"/>
          <w:sz w:val="24"/>
          <w:szCs w:val="24"/>
        </w:rPr>
        <w:t xml:space="preserve">Where </w:t>
      </w:r>
      <w:r w:rsidR="009968D2">
        <w:rPr>
          <w:rFonts w:ascii="Arial" w:hAnsi="Arial" w:cs="Arial"/>
          <w:color w:val="000000" w:themeColor="text1"/>
          <w:sz w:val="24"/>
          <w:szCs w:val="24"/>
        </w:rPr>
        <w:t xml:space="preserve">a mortgage has been created by deed and </w:t>
      </w:r>
      <w:r w:rsidR="00402515">
        <w:rPr>
          <w:rFonts w:ascii="Arial" w:hAnsi="Arial" w:cs="Arial"/>
          <w:color w:val="000000" w:themeColor="text1"/>
          <w:sz w:val="24"/>
          <w:szCs w:val="24"/>
        </w:rPr>
        <w:t>a</w:t>
      </w:r>
      <w:r w:rsidR="00C1480F">
        <w:rPr>
          <w:rFonts w:ascii="Arial" w:hAnsi="Arial" w:cs="Arial"/>
          <w:color w:val="000000" w:themeColor="text1"/>
          <w:sz w:val="24"/>
          <w:szCs w:val="24"/>
        </w:rPr>
        <w:t>n</w:t>
      </w:r>
      <w:r w:rsidR="007B5445">
        <w:rPr>
          <w:rFonts w:ascii="Arial" w:hAnsi="Arial" w:cs="Arial"/>
          <w:color w:val="000000" w:themeColor="text1"/>
          <w:sz w:val="24"/>
          <w:szCs w:val="24"/>
        </w:rPr>
        <w:t xml:space="preserve"> </w:t>
      </w:r>
      <w:r w:rsidR="00402515">
        <w:rPr>
          <w:rFonts w:ascii="Arial" w:hAnsi="Arial" w:cs="Arial"/>
          <w:color w:val="000000" w:themeColor="text1"/>
          <w:sz w:val="24"/>
          <w:szCs w:val="24"/>
        </w:rPr>
        <w:t>instalment</w:t>
      </w:r>
      <w:r w:rsidR="00DA7096">
        <w:rPr>
          <w:rFonts w:ascii="Arial" w:hAnsi="Arial" w:cs="Arial"/>
          <w:color w:val="000000" w:themeColor="text1"/>
          <w:sz w:val="24"/>
          <w:szCs w:val="24"/>
        </w:rPr>
        <w:t>/payment</w:t>
      </w:r>
      <w:r w:rsidR="007B5445">
        <w:rPr>
          <w:rFonts w:ascii="Arial" w:hAnsi="Arial" w:cs="Arial"/>
          <w:color w:val="000000" w:themeColor="text1"/>
          <w:sz w:val="24"/>
          <w:szCs w:val="24"/>
        </w:rPr>
        <w:t xml:space="preserve"> is due</w:t>
      </w:r>
      <w:r w:rsidR="00F110AB">
        <w:rPr>
          <w:rFonts w:ascii="Arial" w:hAnsi="Arial" w:cs="Arial"/>
          <w:color w:val="000000" w:themeColor="text1"/>
          <w:sz w:val="24"/>
          <w:szCs w:val="24"/>
        </w:rPr>
        <w:t>,</w:t>
      </w:r>
      <w:r w:rsidR="007B5445">
        <w:rPr>
          <w:rFonts w:ascii="Arial" w:hAnsi="Arial" w:cs="Arial"/>
          <w:color w:val="000000" w:themeColor="text1"/>
          <w:sz w:val="24"/>
          <w:szCs w:val="24"/>
        </w:rPr>
        <w:t xml:space="preserve"> </w:t>
      </w:r>
      <w:r w:rsidR="006D6D3A">
        <w:rPr>
          <w:rFonts w:ascii="Arial" w:hAnsi="Arial" w:cs="Arial"/>
          <w:color w:val="000000" w:themeColor="text1"/>
          <w:sz w:val="24"/>
          <w:szCs w:val="24"/>
        </w:rPr>
        <w:t>u</w:t>
      </w:r>
      <w:r w:rsidR="006F74B6">
        <w:rPr>
          <w:rFonts w:ascii="Arial" w:hAnsi="Arial" w:cs="Arial"/>
          <w:color w:val="000000" w:themeColor="text1"/>
          <w:sz w:val="24"/>
          <w:szCs w:val="24"/>
        </w:rPr>
        <w:t>nder s.101 LPA 1925</w:t>
      </w:r>
      <w:r w:rsidR="005262D2">
        <w:rPr>
          <w:rFonts w:ascii="Arial" w:hAnsi="Arial" w:cs="Arial"/>
          <w:color w:val="000000" w:themeColor="text1"/>
          <w:sz w:val="24"/>
          <w:szCs w:val="24"/>
        </w:rPr>
        <w:t xml:space="preserve"> </w:t>
      </w:r>
      <w:r w:rsidR="00565BB1">
        <w:rPr>
          <w:rFonts w:ascii="Arial" w:hAnsi="Arial" w:cs="Arial"/>
          <w:color w:val="000000" w:themeColor="text1"/>
          <w:sz w:val="24"/>
          <w:szCs w:val="24"/>
        </w:rPr>
        <w:t>mortgagees</w:t>
      </w:r>
      <w:r w:rsidR="00716F4A">
        <w:rPr>
          <w:rFonts w:ascii="Arial" w:hAnsi="Arial" w:cs="Arial"/>
          <w:color w:val="000000" w:themeColor="text1"/>
          <w:sz w:val="24"/>
          <w:szCs w:val="24"/>
        </w:rPr>
        <w:t xml:space="preserve"> ha</w:t>
      </w:r>
      <w:r w:rsidR="00565BB1">
        <w:rPr>
          <w:rFonts w:ascii="Arial" w:hAnsi="Arial" w:cs="Arial"/>
          <w:color w:val="000000" w:themeColor="text1"/>
          <w:sz w:val="24"/>
          <w:szCs w:val="24"/>
        </w:rPr>
        <w:t>ve</w:t>
      </w:r>
      <w:r w:rsidR="005262D2">
        <w:rPr>
          <w:rFonts w:ascii="Arial" w:hAnsi="Arial" w:cs="Arial"/>
          <w:color w:val="000000" w:themeColor="text1"/>
          <w:sz w:val="24"/>
          <w:szCs w:val="24"/>
        </w:rPr>
        <w:t xml:space="preserve"> a statutory</w:t>
      </w:r>
      <w:r w:rsidR="00716F4A">
        <w:rPr>
          <w:rFonts w:ascii="Arial" w:hAnsi="Arial" w:cs="Arial"/>
          <w:color w:val="000000" w:themeColor="text1"/>
          <w:sz w:val="24"/>
          <w:szCs w:val="24"/>
        </w:rPr>
        <w:t xml:space="preserve"> power of sale</w:t>
      </w:r>
      <w:r w:rsidR="000D6CC4">
        <w:rPr>
          <w:rFonts w:ascii="Arial" w:hAnsi="Arial" w:cs="Arial"/>
          <w:color w:val="000000" w:themeColor="text1"/>
          <w:sz w:val="24"/>
          <w:szCs w:val="24"/>
        </w:rPr>
        <w:t xml:space="preserve"> </w:t>
      </w:r>
      <w:r w:rsidR="009A0EEC">
        <w:rPr>
          <w:rFonts w:ascii="Arial" w:hAnsi="Arial" w:cs="Arial"/>
          <w:color w:val="000000" w:themeColor="text1"/>
          <w:sz w:val="24"/>
          <w:szCs w:val="24"/>
        </w:rPr>
        <w:t>pro</w:t>
      </w:r>
      <w:r w:rsidR="00DF0611">
        <w:rPr>
          <w:rFonts w:ascii="Arial" w:hAnsi="Arial" w:cs="Arial"/>
          <w:color w:val="000000" w:themeColor="text1"/>
          <w:sz w:val="24"/>
          <w:szCs w:val="24"/>
        </w:rPr>
        <w:t>vided that the l</w:t>
      </w:r>
      <w:r w:rsidR="00BB3590">
        <w:rPr>
          <w:rFonts w:ascii="Arial" w:hAnsi="Arial" w:cs="Arial"/>
          <w:color w:val="000000" w:themeColor="text1"/>
          <w:sz w:val="24"/>
          <w:szCs w:val="24"/>
        </w:rPr>
        <w:t xml:space="preserve">egal </w:t>
      </w:r>
      <w:r w:rsidR="00544B8B">
        <w:rPr>
          <w:rFonts w:ascii="Arial" w:hAnsi="Arial" w:cs="Arial"/>
          <w:color w:val="000000" w:themeColor="text1"/>
          <w:sz w:val="24"/>
          <w:szCs w:val="24"/>
        </w:rPr>
        <w:t>date for redemption has passed</w:t>
      </w:r>
      <w:r w:rsidR="007D111E">
        <w:rPr>
          <w:rFonts w:ascii="Arial" w:hAnsi="Arial" w:cs="Arial"/>
          <w:color w:val="000000" w:themeColor="text1"/>
          <w:sz w:val="24"/>
          <w:szCs w:val="24"/>
        </w:rPr>
        <w:t xml:space="preserve"> and </w:t>
      </w:r>
      <w:r w:rsidR="006F67CE">
        <w:rPr>
          <w:rFonts w:ascii="Arial" w:hAnsi="Arial" w:cs="Arial"/>
          <w:color w:val="000000" w:themeColor="text1"/>
          <w:sz w:val="24"/>
          <w:szCs w:val="24"/>
        </w:rPr>
        <w:t xml:space="preserve">one of </w:t>
      </w:r>
      <w:r w:rsidR="00FE3F3A">
        <w:rPr>
          <w:rFonts w:ascii="Arial" w:hAnsi="Arial" w:cs="Arial"/>
          <w:color w:val="000000" w:themeColor="text1"/>
          <w:sz w:val="24"/>
          <w:szCs w:val="24"/>
        </w:rPr>
        <w:t>the conditions set out within s.103 LPA 1925 ha</w:t>
      </w:r>
      <w:r w:rsidR="00565BB1">
        <w:rPr>
          <w:rFonts w:ascii="Arial" w:hAnsi="Arial" w:cs="Arial"/>
          <w:color w:val="000000" w:themeColor="text1"/>
          <w:sz w:val="24"/>
          <w:szCs w:val="24"/>
        </w:rPr>
        <w:t>ve been met</w:t>
      </w:r>
      <w:r w:rsidR="006F67CE">
        <w:rPr>
          <w:rFonts w:ascii="Arial" w:hAnsi="Arial" w:cs="Arial"/>
          <w:color w:val="000000" w:themeColor="text1"/>
          <w:sz w:val="24"/>
          <w:szCs w:val="24"/>
        </w:rPr>
        <w:t xml:space="preserve">. </w:t>
      </w:r>
      <w:proofErr w:type="gramStart"/>
      <w:r w:rsidR="001C4924">
        <w:rPr>
          <w:rFonts w:ascii="Arial" w:hAnsi="Arial" w:cs="Arial"/>
          <w:color w:val="000000" w:themeColor="text1"/>
          <w:sz w:val="24"/>
          <w:szCs w:val="24"/>
        </w:rPr>
        <w:t>If</w:t>
      </w:r>
      <w:proofErr w:type="gramEnd"/>
      <w:r w:rsidR="001C4924">
        <w:rPr>
          <w:rFonts w:ascii="Arial" w:hAnsi="Arial" w:cs="Arial"/>
          <w:color w:val="000000" w:themeColor="text1"/>
          <w:sz w:val="24"/>
          <w:szCs w:val="24"/>
        </w:rPr>
        <w:t xml:space="preserve"> however, </w:t>
      </w:r>
      <w:r w:rsidR="0077065A">
        <w:rPr>
          <w:rFonts w:ascii="Arial" w:hAnsi="Arial" w:cs="Arial"/>
          <w:color w:val="000000" w:themeColor="text1"/>
          <w:sz w:val="24"/>
          <w:szCs w:val="24"/>
        </w:rPr>
        <w:t xml:space="preserve">the mortgagee sells prior to </w:t>
      </w:r>
      <w:r w:rsidR="00994A0B">
        <w:rPr>
          <w:rFonts w:ascii="Arial" w:hAnsi="Arial" w:cs="Arial"/>
          <w:color w:val="000000" w:themeColor="text1"/>
          <w:sz w:val="24"/>
          <w:szCs w:val="24"/>
        </w:rPr>
        <w:t xml:space="preserve">power of sale </w:t>
      </w:r>
      <w:r w:rsidR="00403563">
        <w:rPr>
          <w:rFonts w:ascii="Arial" w:hAnsi="Arial" w:cs="Arial"/>
          <w:color w:val="000000" w:themeColor="text1"/>
          <w:sz w:val="24"/>
          <w:szCs w:val="24"/>
        </w:rPr>
        <w:t>the mortgagor is entitled to sue under s.10</w:t>
      </w:r>
      <w:r w:rsidR="00A67175">
        <w:rPr>
          <w:rFonts w:ascii="Arial" w:hAnsi="Arial" w:cs="Arial"/>
          <w:color w:val="000000" w:themeColor="text1"/>
          <w:sz w:val="24"/>
          <w:szCs w:val="24"/>
        </w:rPr>
        <w:t>4</w:t>
      </w:r>
      <w:r w:rsidR="0013713F">
        <w:rPr>
          <w:rFonts w:ascii="Arial" w:hAnsi="Arial" w:cs="Arial"/>
          <w:color w:val="000000" w:themeColor="text1"/>
          <w:sz w:val="24"/>
          <w:szCs w:val="24"/>
        </w:rPr>
        <w:t xml:space="preserve"> (Sayles, 2020, pp.235).</w:t>
      </w:r>
      <w:r w:rsidR="0013713F">
        <w:rPr>
          <w:rFonts w:ascii="Arial" w:hAnsi="Arial" w:cs="Arial"/>
          <w:color w:val="EF00A5"/>
          <w:sz w:val="24"/>
          <w:szCs w:val="24"/>
        </w:rPr>
        <w:t xml:space="preserve"> </w:t>
      </w:r>
      <w:r w:rsidR="00EF4894">
        <w:rPr>
          <w:rFonts w:ascii="Arial" w:hAnsi="Arial" w:cs="Arial"/>
          <w:color w:val="000000" w:themeColor="text1"/>
          <w:sz w:val="24"/>
          <w:szCs w:val="24"/>
        </w:rPr>
        <w:t xml:space="preserve">One such condition is </w:t>
      </w:r>
      <w:r w:rsidR="005B2FDC">
        <w:rPr>
          <w:rFonts w:ascii="Arial" w:hAnsi="Arial" w:cs="Arial"/>
          <w:color w:val="000000" w:themeColor="text1"/>
          <w:sz w:val="24"/>
          <w:szCs w:val="24"/>
        </w:rPr>
        <w:t xml:space="preserve">that </w:t>
      </w:r>
      <w:r w:rsidR="00292889">
        <w:rPr>
          <w:rFonts w:ascii="Arial" w:hAnsi="Arial" w:cs="Arial"/>
          <w:color w:val="000000" w:themeColor="text1"/>
          <w:sz w:val="24"/>
          <w:szCs w:val="24"/>
        </w:rPr>
        <w:t>n</w:t>
      </w:r>
      <w:r w:rsidR="00EF4894">
        <w:rPr>
          <w:rFonts w:ascii="Arial" w:hAnsi="Arial" w:cs="Arial"/>
          <w:color w:val="000000" w:themeColor="text1"/>
          <w:sz w:val="24"/>
          <w:szCs w:val="24"/>
        </w:rPr>
        <w:t>otice requiring payment has been served and the mortgagor has default</w:t>
      </w:r>
      <w:r w:rsidR="0046258D">
        <w:rPr>
          <w:rFonts w:ascii="Arial" w:hAnsi="Arial" w:cs="Arial"/>
          <w:color w:val="000000" w:themeColor="text1"/>
          <w:sz w:val="24"/>
          <w:szCs w:val="24"/>
        </w:rPr>
        <w:t>ed</w:t>
      </w:r>
      <w:r w:rsidR="00EF4894">
        <w:rPr>
          <w:rFonts w:ascii="Arial" w:hAnsi="Arial" w:cs="Arial"/>
          <w:color w:val="000000" w:themeColor="text1"/>
          <w:sz w:val="24"/>
          <w:szCs w:val="24"/>
        </w:rPr>
        <w:t xml:space="preserve"> for three months following this</w:t>
      </w:r>
      <w:r w:rsidR="00292889">
        <w:rPr>
          <w:rFonts w:ascii="Arial" w:hAnsi="Arial" w:cs="Arial"/>
          <w:color w:val="000000" w:themeColor="text1"/>
          <w:sz w:val="24"/>
          <w:szCs w:val="24"/>
        </w:rPr>
        <w:t xml:space="preserve"> (Duddington, 2015, pp.</w:t>
      </w:r>
      <w:r w:rsidR="00F05E44">
        <w:rPr>
          <w:rFonts w:ascii="Arial" w:hAnsi="Arial" w:cs="Arial"/>
          <w:color w:val="000000" w:themeColor="text1"/>
          <w:sz w:val="24"/>
          <w:szCs w:val="24"/>
        </w:rPr>
        <w:t>176-177</w:t>
      </w:r>
      <w:r w:rsidR="00292889">
        <w:rPr>
          <w:rFonts w:ascii="Arial" w:hAnsi="Arial" w:cs="Arial"/>
          <w:color w:val="000000" w:themeColor="text1"/>
          <w:sz w:val="24"/>
          <w:szCs w:val="24"/>
        </w:rPr>
        <w:t>)</w:t>
      </w:r>
      <w:r w:rsidR="00EF4894">
        <w:rPr>
          <w:rFonts w:ascii="Arial" w:hAnsi="Arial" w:cs="Arial"/>
          <w:color w:val="000000" w:themeColor="text1"/>
          <w:sz w:val="24"/>
          <w:szCs w:val="24"/>
        </w:rPr>
        <w:t>.</w:t>
      </w:r>
      <w:r w:rsidR="00F05E44">
        <w:rPr>
          <w:rFonts w:ascii="Arial" w:hAnsi="Arial" w:cs="Arial"/>
          <w:color w:val="000000" w:themeColor="text1"/>
          <w:sz w:val="24"/>
          <w:szCs w:val="24"/>
        </w:rPr>
        <w:t xml:space="preserve"> </w:t>
      </w:r>
      <w:r w:rsidR="0075717F">
        <w:rPr>
          <w:rFonts w:ascii="Arial" w:hAnsi="Arial" w:cs="Arial"/>
          <w:color w:val="000000" w:themeColor="text1"/>
          <w:sz w:val="24"/>
          <w:szCs w:val="24"/>
        </w:rPr>
        <w:t xml:space="preserve">In Peter’s case as Trinity Bank has threatened to take legal action </w:t>
      </w:r>
      <w:r w:rsidR="009C6A39">
        <w:rPr>
          <w:rFonts w:ascii="Arial" w:hAnsi="Arial" w:cs="Arial"/>
          <w:color w:val="000000" w:themeColor="text1"/>
          <w:sz w:val="24"/>
          <w:szCs w:val="24"/>
        </w:rPr>
        <w:t>it can be assumed that notice has been served. There</w:t>
      </w:r>
      <w:r w:rsidR="009C6A39" w:rsidRPr="0013713F">
        <w:rPr>
          <w:rFonts w:ascii="Arial" w:hAnsi="Arial" w:cs="Arial"/>
          <w:color w:val="000000" w:themeColor="text1"/>
          <w:sz w:val="24"/>
          <w:szCs w:val="24"/>
        </w:rPr>
        <w:t xml:space="preserve">fore, </w:t>
      </w:r>
      <w:r w:rsidR="00E17BCB" w:rsidRPr="0013713F">
        <w:rPr>
          <w:rFonts w:ascii="Arial" w:hAnsi="Arial" w:cs="Arial"/>
          <w:color w:val="000000" w:themeColor="text1"/>
          <w:sz w:val="24"/>
          <w:szCs w:val="24"/>
        </w:rPr>
        <w:t xml:space="preserve">Peter can be advised </w:t>
      </w:r>
      <w:r w:rsidR="00B616FB">
        <w:rPr>
          <w:rFonts w:ascii="Arial" w:hAnsi="Arial" w:cs="Arial"/>
          <w:color w:val="000000" w:themeColor="text1"/>
          <w:sz w:val="24"/>
          <w:szCs w:val="24"/>
        </w:rPr>
        <w:t xml:space="preserve">that </w:t>
      </w:r>
      <w:r w:rsidR="00ED0CD9" w:rsidRPr="0013713F">
        <w:rPr>
          <w:rFonts w:ascii="Arial" w:hAnsi="Arial" w:cs="Arial"/>
          <w:color w:val="000000" w:themeColor="text1"/>
          <w:sz w:val="24"/>
          <w:szCs w:val="24"/>
        </w:rPr>
        <w:t xml:space="preserve">Trinity Bank </w:t>
      </w:r>
      <w:r w:rsidR="00B50CA3" w:rsidRPr="0013713F">
        <w:rPr>
          <w:rFonts w:ascii="Arial" w:hAnsi="Arial" w:cs="Arial"/>
          <w:color w:val="000000" w:themeColor="text1"/>
          <w:sz w:val="24"/>
          <w:szCs w:val="24"/>
        </w:rPr>
        <w:t xml:space="preserve">may proceed </w:t>
      </w:r>
      <w:r w:rsidR="00D75EAB" w:rsidRPr="0013713F">
        <w:rPr>
          <w:rFonts w:ascii="Arial" w:hAnsi="Arial" w:cs="Arial"/>
          <w:color w:val="000000" w:themeColor="text1"/>
          <w:sz w:val="24"/>
          <w:szCs w:val="24"/>
        </w:rPr>
        <w:t>directly to the sale of the whole or part of Blackacre Farm</w:t>
      </w:r>
      <w:r w:rsidR="003F6EE2" w:rsidRPr="0013713F">
        <w:rPr>
          <w:rFonts w:ascii="Arial" w:hAnsi="Arial" w:cs="Arial"/>
          <w:color w:val="000000" w:themeColor="text1"/>
          <w:sz w:val="24"/>
          <w:szCs w:val="24"/>
        </w:rPr>
        <w:t xml:space="preserve"> (Richards, 2014, pp.489)</w:t>
      </w:r>
      <w:r w:rsidR="00D75EAB" w:rsidRPr="0013713F">
        <w:rPr>
          <w:rFonts w:ascii="Arial" w:hAnsi="Arial" w:cs="Arial"/>
          <w:color w:val="000000" w:themeColor="text1"/>
          <w:sz w:val="24"/>
          <w:szCs w:val="24"/>
        </w:rPr>
        <w:t xml:space="preserve">. </w:t>
      </w:r>
      <w:r w:rsidR="004D6395">
        <w:rPr>
          <w:rFonts w:ascii="Arial" w:hAnsi="Arial" w:cs="Arial"/>
          <w:color w:val="000000" w:themeColor="text1"/>
          <w:sz w:val="24"/>
          <w:szCs w:val="24"/>
        </w:rPr>
        <w:t>W</w:t>
      </w:r>
      <w:r w:rsidR="00A2087C">
        <w:rPr>
          <w:rFonts w:ascii="Arial" w:hAnsi="Arial" w:cs="Arial"/>
          <w:color w:val="000000" w:themeColor="text1"/>
          <w:sz w:val="24"/>
          <w:szCs w:val="24"/>
        </w:rPr>
        <w:t>hen</w:t>
      </w:r>
      <w:r w:rsidR="007A5525">
        <w:rPr>
          <w:rFonts w:ascii="Arial" w:hAnsi="Arial" w:cs="Arial"/>
          <w:color w:val="000000" w:themeColor="text1"/>
          <w:sz w:val="24"/>
          <w:szCs w:val="24"/>
        </w:rPr>
        <w:t xml:space="preserve"> exercising the power of sale</w:t>
      </w:r>
      <w:r w:rsidR="00A2087C">
        <w:rPr>
          <w:rFonts w:ascii="Arial" w:hAnsi="Arial" w:cs="Arial"/>
          <w:color w:val="000000" w:themeColor="text1"/>
          <w:sz w:val="24"/>
          <w:szCs w:val="24"/>
        </w:rPr>
        <w:t xml:space="preserve"> </w:t>
      </w:r>
      <w:r w:rsidR="002E5672">
        <w:rPr>
          <w:rFonts w:ascii="Arial" w:hAnsi="Arial" w:cs="Arial"/>
          <w:color w:val="000000" w:themeColor="text1"/>
          <w:sz w:val="24"/>
          <w:szCs w:val="24"/>
        </w:rPr>
        <w:t xml:space="preserve">Trinity Bank </w:t>
      </w:r>
      <w:r w:rsidR="004D6395">
        <w:rPr>
          <w:rFonts w:ascii="Arial" w:hAnsi="Arial" w:cs="Arial"/>
          <w:color w:val="000000" w:themeColor="text1"/>
          <w:sz w:val="24"/>
          <w:szCs w:val="24"/>
        </w:rPr>
        <w:t>are free to choose when to sell the proper</w:t>
      </w:r>
      <w:r w:rsidR="00683A80">
        <w:rPr>
          <w:rFonts w:ascii="Arial" w:hAnsi="Arial" w:cs="Arial"/>
          <w:color w:val="000000" w:themeColor="text1"/>
          <w:sz w:val="24"/>
          <w:szCs w:val="24"/>
        </w:rPr>
        <w:t>ty</w:t>
      </w:r>
      <w:r w:rsidR="00A8342F">
        <w:rPr>
          <w:rFonts w:ascii="Arial" w:hAnsi="Arial" w:cs="Arial"/>
          <w:color w:val="000000" w:themeColor="text1"/>
          <w:sz w:val="24"/>
          <w:szCs w:val="24"/>
        </w:rPr>
        <w:t xml:space="preserve"> and are not obligated to wait until the property market improves</w:t>
      </w:r>
      <w:r w:rsidR="00B110CA">
        <w:rPr>
          <w:rFonts w:ascii="Arial" w:hAnsi="Arial" w:cs="Arial"/>
          <w:color w:val="000000" w:themeColor="text1"/>
          <w:sz w:val="24"/>
          <w:szCs w:val="24"/>
        </w:rPr>
        <w:t>,</w:t>
      </w:r>
      <w:r w:rsidR="004D6395">
        <w:rPr>
          <w:rFonts w:ascii="Arial" w:hAnsi="Arial" w:cs="Arial"/>
          <w:color w:val="000000" w:themeColor="text1"/>
          <w:sz w:val="24"/>
          <w:szCs w:val="24"/>
        </w:rPr>
        <w:t xml:space="preserve"> however</w:t>
      </w:r>
      <w:r w:rsidR="005A4CB7">
        <w:rPr>
          <w:rFonts w:ascii="Arial" w:hAnsi="Arial" w:cs="Arial"/>
          <w:color w:val="000000" w:themeColor="text1"/>
          <w:sz w:val="24"/>
          <w:szCs w:val="24"/>
        </w:rPr>
        <w:t>,</w:t>
      </w:r>
      <w:r w:rsidR="004D6395">
        <w:rPr>
          <w:rFonts w:ascii="Arial" w:hAnsi="Arial" w:cs="Arial"/>
          <w:color w:val="000000" w:themeColor="text1"/>
          <w:sz w:val="24"/>
          <w:szCs w:val="24"/>
        </w:rPr>
        <w:t xml:space="preserve"> </w:t>
      </w:r>
      <w:r w:rsidR="00775BEC">
        <w:rPr>
          <w:rFonts w:ascii="Arial" w:hAnsi="Arial" w:cs="Arial"/>
          <w:color w:val="000000" w:themeColor="text1"/>
          <w:sz w:val="24"/>
          <w:szCs w:val="24"/>
        </w:rPr>
        <w:t xml:space="preserve">owe Peter a duty </w:t>
      </w:r>
      <w:r w:rsidR="007A539D">
        <w:rPr>
          <w:rFonts w:ascii="Arial" w:hAnsi="Arial" w:cs="Arial"/>
          <w:color w:val="000000" w:themeColor="text1"/>
          <w:sz w:val="24"/>
          <w:szCs w:val="24"/>
        </w:rPr>
        <w:t>of due diligence</w:t>
      </w:r>
      <w:r w:rsidR="000D08B6">
        <w:rPr>
          <w:rFonts w:ascii="Arial" w:hAnsi="Arial" w:cs="Arial"/>
          <w:color w:val="000000" w:themeColor="text1"/>
          <w:sz w:val="24"/>
          <w:szCs w:val="24"/>
        </w:rPr>
        <w:t xml:space="preserve"> to obtain a fair and true market value for the property</w:t>
      </w:r>
      <w:r w:rsidR="00D60707">
        <w:rPr>
          <w:rFonts w:ascii="Arial" w:hAnsi="Arial" w:cs="Arial"/>
          <w:color w:val="000000" w:themeColor="text1"/>
          <w:sz w:val="24"/>
          <w:szCs w:val="24"/>
        </w:rPr>
        <w:t xml:space="preserve">; </w:t>
      </w:r>
      <w:r w:rsidR="004E3357">
        <w:rPr>
          <w:rFonts w:ascii="Arial" w:hAnsi="Arial" w:cs="Arial"/>
          <w:i/>
          <w:iCs/>
          <w:color w:val="EF00A5"/>
          <w:sz w:val="24"/>
          <w:szCs w:val="24"/>
        </w:rPr>
        <w:t>Cuckmere Brick v Mutual Finance [1971]</w:t>
      </w:r>
      <w:r w:rsidR="001A7195">
        <w:rPr>
          <w:rFonts w:ascii="Arial" w:hAnsi="Arial" w:cs="Arial"/>
          <w:i/>
          <w:iCs/>
          <w:color w:val="EF00A5"/>
          <w:sz w:val="24"/>
          <w:szCs w:val="24"/>
        </w:rPr>
        <w:t xml:space="preserve">, </w:t>
      </w:r>
      <w:r w:rsidR="001A7195" w:rsidRPr="00447E42">
        <w:rPr>
          <w:rFonts w:ascii="Arial" w:hAnsi="Arial" w:cs="Arial"/>
          <w:color w:val="000000" w:themeColor="text1"/>
          <w:sz w:val="24"/>
          <w:szCs w:val="24"/>
        </w:rPr>
        <w:t>in ‘good faith’;</w:t>
      </w:r>
      <w:r w:rsidR="001A7195">
        <w:rPr>
          <w:rFonts w:ascii="Arial" w:hAnsi="Arial" w:cs="Arial"/>
          <w:color w:val="EF00A5"/>
          <w:sz w:val="24"/>
          <w:szCs w:val="24"/>
        </w:rPr>
        <w:t xml:space="preserve"> </w:t>
      </w:r>
      <w:proofErr w:type="spellStart"/>
      <w:r w:rsidR="004D0F30">
        <w:rPr>
          <w:rFonts w:ascii="Arial" w:hAnsi="Arial" w:cs="Arial"/>
          <w:i/>
          <w:iCs/>
          <w:color w:val="EF00A5"/>
          <w:sz w:val="24"/>
          <w:szCs w:val="24"/>
        </w:rPr>
        <w:t>Tse</w:t>
      </w:r>
      <w:proofErr w:type="spellEnd"/>
      <w:r w:rsidR="004D0F30">
        <w:rPr>
          <w:rFonts w:ascii="Arial" w:hAnsi="Arial" w:cs="Arial"/>
          <w:i/>
          <w:iCs/>
          <w:color w:val="EF00A5"/>
          <w:sz w:val="24"/>
          <w:szCs w:val="24"/>
        </w:rPr>
        <w:t xml:space="preserve"> </w:t>
      </w:r>
      <w:proofErr w:type="spellStart"/>
      <w:r w:rsidR="004D0F30">
        <w:rPr>
          <w:rFonts w:ascii="Arial" w:hAnsi="Arial" w:cs="Arial"/>
          <w:i/>
          <w:iCs/>
          <w:color w:val="EF00A5"/>
          <w:sz w:val="24"/>
          <w:szCs w:val="24"/>
        </w:rPr>
        <w:t>Kwong</w:t>
      </w:r>
      <w:proofErr w:type="spellEnd"/>
      <w:r w:rsidR="004D0F30">
        <w:rPr>
          <w:rFonts w:ascii="Arial" w:hAnsi="Arial" w:cs="Arial"/>
          <w:i/>
          <w:iCs/>
          <w:color w:val="EF00A5"/>
          <w:sz w:val="24"/>
          <w:szCs w:val="24"/>
        </w:rPr>
        <w:t xml:space="preserve"> Lam v Wong [1983]</w:t>
      </w:r>
      <w:r w:rsidR="004E3357">
        <w:rPr>
          <w:rFonts w:ascii="Arial" w:hAnsi="Arial" w:cs="Arial"/>
          <w:i/>
          <w:iCs/>
          <w:color w:val="EF00A5"/>
          <w:sz w:val="24"/>
          <w:szCs w:val="24"/>
        </w:rPr>
        <w:t xml:space="preserve"> </w:t>
      </w:r>
      <w:r w:rsidR="000D08B6">
        <w:rPr>
          <w:rFonts w:ascii="Arial" w:hAnsi="Arial" w:cs="Arial"/>
          <w:color w:val="000000" w:themeColor="text1"/>
          <w:sz w:val="24"/>
          <w:szCs w:val="24"/>
        </w:rPr>
        <w:t xml:space="preserve">and not </w:t>
      </w:r>
      <w:r w:rsidR="00020A3C">
        <w:rPr>
          <w:rFonts w:ascii="Arial" w:hAnsi="Arial" w:cs="Arial"/>
          <w:color w:val="000000" w:themeColor="text1"/>
          <w:sz w:val="24"/>
          <w:szCs w:val="24"/>
        </w:rPr>
        <w:t>simply sell to recover monies</w:t>
      </w:r>
      <w:r w:rsidR="001B0B8A">
        <w:rPr>
          <w:rFonts w:ascii="Arial" w:hAnsi="Arial" w:cs="Arial"/>
          <w:color w:val="000000" w:themeColor="text1"/>
          <w:sz w:val="24"/>
          <w:szCs w:val="24"/>
        </w:rPr>
        <w:t xml:space="preserve">; </w:t>
      </w:r>
      <w:r w:rsidR="001B0B8A">
        <w:rPr>
          <w:rFonts w:ascii="Arial" w:hAnsi="Arial" w:cs="Arial"/>
          <w:i/>
          <w:iCs/>
          <w:color w:val="EF00A5"/>
          <w:sz w:val="24"/>
          <w:szCs w:val="24"/>
        </w:rPr>
        <w:t>Palk v Mortgage Services [1993]</w:t>
      </w:r>
      <w:r w:rsidR="001B0B8A">
        <w:rPr>
          <w:rFonts w:ascii="Arial" w:hAnsi="Arial" w:cs="Arial"/>
          <w:i/>
          <w:iCs/>
          <w:color w:val="EF00A5"/>
          <w:sz w:val="24"/>
          <w:szCs w:val="24"/>
        </w:rPr>
        <w:t xml:space="preserve"> </w:t>
      </w:r>
      <w:r w:rsidR="001B0B8A">
        <w:rPr>
          <w:rFonts w:ascii="Arial" w:hAnsi="Arial" w:cs="Arial"/>
          <w:color w:val="EF00A5"/>
          <w:sz w:val="24"/>
          <w:szCs w:val="24"/>
        </w:rPr>
        <w:t>((((</w:t>
      </w:r>
      <w:r w:rsidR="004D0F30">
        <w:rPr>
          <w:rFonts w:ascii="Arial" w:hAnsi="Arial" w:cs="Arial"/>
          <w:color w:val="EF00A5"/>
          <w:sz w:val="24"/>
          <w:szCs w:val="24"/>
        </w:rPr>
        <w:t>()</w:t>
      </w:r>
      <w:r w:rsidR="001B0B8A">
        <w:rPr>
          <w:rFonts w:ascii="Arial" w:hAnsi="Arial" w:cs="Arial"/>
          <w:color w:val="EF00A5"/>
          <w:sz w:val="24"/>
          <w:szCs w:val="24"/>
        </w:rPr>
        <w:t>))))</w:t>
      </w:r>
      <w:r w:rsidR="004E3357">
        <w:rPr>
          <w:rFonts w:ascii="Arial" w:hAnsi="Arial" w:cs="Arial"/>
          <w:color w:val="EF00A5"/>
          <w:sz w:val="24"/>
          <w:szCs w:val="24"/>
        </w:rPr>
        <w:t xml:space="preserve">. </w:t>
      </w:r>
    </w:p>
    <w:p w14:paraId="7A0E8AC3" w14:textId="0B6D0721" w:rsidR="00E1452F" w:rsidRPr="00E1452F" w:rsidRDefault="00010A09" w:rsidP="00B97F82">
      <w:pPr>
        <w:spacing w:line="480" w:lineRule="auto"/>
        <w:jc w:val="both"/>
        <w:rPr>
          <w:rFonts w:ascii="Arial" w:hAnsi="Arial" w:cs="Arial"/>
          <w:color w:val="EF00A5"/>
          <w:sz w:val="24"/>
          <w:szCs w:val="24"/>
        </w:rPr>
      </w:pPr>
      <w:r w:rsidRPr="00091422">
        <w:rPr>
          <w:rFonts w:ascii="Arial" w:hAnsi="Arial" w:cs="Arial"/>
          <w:color w:val="000000" w:themeColor="text1"/>
          <w:sz w:val="24"/>
          <w:szCs w:val="24"/>
        </w:rPr>
        <w:t xml:space="preserve">Trinity Bank </w:t>
      </w:r>
      <w:r w:rsidR="00033C67">
        <w:rPr>
          <w:rFonts w:ascii="Arial" w:hAnsi="Arial" w:cs="Arial"/>
          <w:color w:val="000000" w:themeColor="text1"/>
          <w:sz w:val="24"/>
          <w:szCs w:val="24"/>
        </w:rPr>
        <w:t xml:space="preserve">is </w:t>
      </w:r>
      <w:r w:rsidR="00191F25" w:rsidRPr="00091422">
        <w:rPr>
          <w:rFonts w:ascii="Arial" w:hAnsi="Arial" w:cs="Arial"/>
          <w:color w:val="000000" w:themeColor="text1"/>
          <w:sz w:val="24"/>
          <w:szCs w:val="24"/>
        </w:rPr>
        <w:t xml:space="preserve">not required to incur expense </w:t>
      </w:r>
      <w:r w:rsidR="00535318" w:rsidRPr="00091422">
        <w:rPr>
          <w:rFonts w:ascii="Arial" w:hAnsi="Arial" w:cs="Arial"/>
          <w:color w:val="000000" w:themeColor="text1"/>
          <w:sz w:val="24"/>
          <w:szCs w:val="24"/>
        </w:rPr>
        <w:t>by making improvements or by</w:t>
      </w:r>
      <w:r w:rsidR="00DB79A3" w:rsidRPr="00091422">
        <w:rPr>
          <w:rFonts w:ascii="Arial" w:hAnsi="Arial" w:cs="Arial"/>
          <w:color w:val="000000" w:themeColor="text1"/>
          <w:sz w:val="24"/>
          <w:szCs w:val="24"/>
        </w:rPr>
        <w:t xml:space="preserve"> initiat</w:t>
      </w:r>
      <w:r w:rsidR="00535318" w:rsidRPr="00091422">
        <w:rPr>
          <w:rFonts w:ascii="Arial" w:hAnsi="Arial" w:cs="Arial"/>
          <w:color w:val="000000" w:themeColor="text1"/>
          <w:sz w:val="24"/>
          <w:szCs w:val="24"/>
        </w:rPr>
        <w:t>ing</w:t>
      </w:r>
      <w:r w:rsidR="00DB79A3" w:rsidRPr="00091422">
        <w:rPr>
          <w:rFonts w:ascii="Arial" w:hAnsi="Arial" w:cs="Arial"/>
          <w:color w:val="000000" w:themeColor="text1"/>
          <w:sz w:val="24"/>
          <w:szCs w:val="24"/>
        </w:rPr>
        <w:t xml:space="preserve"> applications for planning permission </w:t>
      </w:r>
      <w:r w:rsidR="00540D67" w:rsidRPr="00091422">
        <w:rPr>
          <w:rFonts w:ascii="Arial" w:hAnsi="Arial" w:cs="Arial"/>
          <w:color w:val="000000" w:themeColor="text1"/>
          <w:sz w:val="24"/>
          <w:szCs w:val="24"/>
        </w:rPr>
        <w:t>to secure a better price</w:t>
      </w:r>
      <w:r w:rsidR="004167F5" w:rsidRPr="00091422">
        <w:rPr>
          <w:rFonts w:ascii="Arial" w:hAnsi="Arial" w:cs="Arial"/>
          <w:color w:val="000000" w:themeColor="text1"/>
          <w:sz w:val="24"/>
          <w:szCs w:val="24"/>
        </w:rPr>
        <w:t xml:space="preserve">; </w:t>
      </w:r>
      <w:r w:rsidR="00C20743" w:rsidRPr="00091422">
        <w:rPr>
          <w:rFonts w:ascii="Arial" w:hAnsi="Arial" w:cs="Arial"/>
          <w:i/>
          <w:iCs/>
          <w:color w:val="EF00A5"/>
          <w:sz w:val="24"/>
          <w:szCs w:val="24"/>
        </w:rPr>
        <w:t xml:space="preserve">Silven Properties v Royal Bank of Scotland [2004], </w:t>
      </w:r>
      <w:r w:rsidR="001E6DDE" w:rsidRPr="00091422">
        <w:rPr>
          <w:rFonts w:ascii="Arial" w:hAnsi="Arial" w:cs="Arial"/>
          <w:i/>
          <w:iCs/>
          <w:color w:val="EF00A5"/>
          <w:sz w:val="24"/>
          <w:szCs w:val="24"/>
        </w:rPr>
        <w:t>Michael v Miller [2004]</w:t>
      </w:r>
      <w:r w:rsidR="001E6DDE" w:rsidRPr="00091422">
        <w:rPr>
          <w:rFonts w:ascii="Arial" w:hAnsi="Arial" w:cs="Arial"/>
          <w:i/>
          <w:iCs/>
          <w:color w:val="EF00A5"/>
          <w:sz w:val="24"/>
          <w:szCs w:val="24"/>
        </w:rPr>
        <w:t xml:space="preserve"> </w:t>
      </w:r>
      <w:r w:rsidR="001E6DDE" w:rsidRPr="00091422">
        <w:rPr>
          <w:rFonts w:ascii="Arial" w:hAnsi="Arial" w:cs="Arial"/>
          <w:color w:val="EF00A5"/>
          <w:sz w:val="24"/>
          <w:szCs w:val="24"/>
        </w:rPr>
        <w:t>(((())))).</w:t>
      </w:r>
      <w:r w:rsidR="00AE66EB">
        <w:rPr>
          <w:rFonts w:ascii="Arial" w:hAnsi="Arial" w:cs="Arial"/>
          <w:color w:val="EF00A5"/>
          <w:sz w:val="24"/>
          <w:szCs w:val="24"/>
        </w:rPr>
        <w:t xml:space="preserve"> </w:t>
      </w:r>
      <w:r w:rsidR="001E6DDE" w:rsidRPr="00091422">
        <w:rPr>
          <w:rFonts w:ascii="Arial" w:hAnsi="Arial" w:cs="Arial"/>
          <w:color w:val="000000" w:themeColor="text1"/>
          <w:sz w:val="24"/>
          <w:szCs w:val="24"/>
        </w:rPr>
        <w:t>Peter is</w:t>
      </w:r>
      <w:r w:rsidR="00033C67">
        <w:rPr>
          <w:rFonts w:ascii="Arial" w:hAnsi="Arial" w:cs="Arial"/>
          <w:color w:val="000000" w:themeColor="text1"/>
          <w:sz w:val="24"/>
          <w:szCs w:val="24"/>
        </w:rPr>
        <w:t>,</w:t>
      </w:r>
      <w:r w:rsidR="001E6DDE" w:rsidRPr="00091422">
        <w:rPr>
          <w:rFonts w:ascii="Arial" w:hAnsi="Arial" w:cs="Arial"/>
          <w:color w:val="000000" w:themeColor="text1"/>
          <w:sz w:val="24"/>
          <w:szCs w:val="24"/>
        </w:rPr>
        <w:t xml:space="preserve"> however, </w:t>
      </w:r>
      <w:r w:rsidR="00603370" w:rsidRPr="00091422">
        <w:rPr>
          <w:rFonts w:ascii="Arial" w:hAnsi="Arial" w:cs="Arial"/>
          <w:color w:val="000000" w:themeColor="text1"/>
          <w:sz w:val="24"/>
          <w:szCs w:val="24"/>
        </w:rPr>
        <w:t xml:space="preserve">able to apply </w:t>
      </w:r>
      <w:r w:rsidR="00781B41" w:rsidRPr="00091422">
        <w:rPr>
          <w:rFonts w:ascii="Arial" w:hAnsi="Arial" w:cs="Arial"/>
          <w:color w:val="000000" w:themeColor="text1"/>
          <w:sz w:val="24"/>
          <w:szCs w:val="24"/>
        </w:rPr>
        <w:lastRenderedPageBreak/>
        <w:t>for a</w:t>
      </w:r>
      <w:r w:rsidR="00603370" w:rsidRPr="00091422">
        <w:rPr>
          <w:rFonts w:ascii="Arial" w:hAnsi="Arial" w:cs="Arial"/>
          <w:color w:val="000000" w:themeColor="text1"/>
          <w:sz w:val="24"/>
          <w:szCs w:val="24"/>
        </w:rPr>
        <w:t xml:space="preserve"> court </w:t>
      </w:r>
      <w:r w:rsidR="002B7D5F" w:rsidRPr="00091422">
        <w:rPr>
          <w:rFonts w:ascii="Arial" w:hAnsi="Arial" w:cs="Arial"/>
          <w:color w:val="000000" w:themeColor="text1"/>
          <w:sz w:val="24"/>
          <w:szCs w:val="24"/>
        </w:rPr>
        <w:t xml:space="preserve">order </w:t>
      </w:r>
      <w:r w:rsidR="00603370" w:rsidRPr="00091422">
        <w:rPr>
          <w:rFonts w:ascii="Arial" w:hAnsi="Arial" w:cs="Arial"/>
          <w:color w:val="000000" w:themeColor="text1"/>
          <w:sz w:val="24"/>
          <w:szCs w:val="24"/>
        </w:rPr>
        <w:t xml:space="preserve">under s.91(2) LPA 1925 </w:t>
      </w:r>
      <w:r w:rsidR="00830C6D" w:rsidRPr="00091422">
        <w:rPr>
          <w:rFonts w:ascii="Arial" w:hAnsi="Arial" w:cs="Arial"/>
          <w:color w:val="000000" w:themeColor="text1"/>
          <w:sz w:val="24"/>
          <w:szCs w:val="24"/>
        </w:rPr>
        <w:t xml:space="preserve">to order the sale </w:t>
      </w:r>
      <w:r w:rsidR="00042FB8" w:rsidRPr="00091422">
        <w:rPr>
          <w:rFonts w:ascii="Arial" w:hAnsi="Arial" w:cs="Arial"/>
          <w:color w:val="000000" w:themeColor="text1"/>
          <w:sz w:val="24"/>
          <w:szCs w:val="24"/>
        </w:rPr>
        <w:t xml:space="preserve">of the property </w:t>
      </w:r>
      <w:r w:rsidR="00830C6D" w:rsidRPr="00091422">
        <w:rPr>
          <w:rFonts w:ascii="Arial" w:hAnsi="Arial" w:cs="Arial"/>
          <w:color w:val="000000" w:themeColor="text1"/>
          <w:sz w:val="24"/>
          <w:szCs w:val="24"/>
        </w:rPr>
        <w:t>at the instance of any ‘person interested’</w:t>
      </w:r>
      <w:r w:rsidR="00B84858" w:rsidRPr="00091422">
        <w:rPr>
          <w:rFonts w:ascii="Arial" w:hAnsi="Arial" w:cs="Arial"/>
          <w:color w:val="000000" w:themeColor="text1"/>
          <w:sz w:val="24"/>
          <w:szCs w:val="24"/>
        </w:rPr>
        <w:t xml:space="preserve">; </w:t>
      </w:r>
      <w:r w:rsidR="0042281A" w:rsidRPr="00091422">
        <w:rPr>
          <w:rFonts w:ascii="Arial" w:hAnsi="Arial" w:cs="Arial"/>
          <w:i/>
          <w:iCs/>
          <w:color w:val="000000" w:themeColor="text1"/>
          <w:sz w:val="24"/>
          <w:szCs w:val="24"/>
        </w:rPr>
        <w:t>Palk [1993]</w:t>
      </w:r>
      <w:r w:rsidR="003E7394" w:rsidRPr="00091422">
        <w:rPr>
          <w:rFonts w:ascii="Arial" w:hAnsi="Arial" w:cs="Arial"/>
          <w:color w:val="000000" w:themeColor="text1"/>
          <w:sz w:val="24"/>
          <w:szCs w:val="24"/>
        </w:rPr>
        <w:t xml:space="preserve">. </w:t>
      </w:r>
      <w:r w:rsidR="00B97B0C" w:rsidRPr="00091422">
        <w:rPr>
          <w:rFonts w:ascii="Arial" w:hAnsi="Arial" w:cs="Arial"/>
          <w:color w:val="000000" w:themeColor="text1"/>
          <w:sz w:val="24"/>
          <w:szCs w:val="24"/>
        </w:rPr>
        <w:t xml:space="preserve">This is of relevance considering </w:t>
      </w:r>
      <w:r w:rsidR="00D10036" w:rsidRPr="00091422">
        <w:rPr>
          <w:rFonts w:ascii="Arial" w:hAnsi="Arial" w:cs="Arial"/>
          <w:color w:val="000000" w:themeColor="text1"/>
          <w:sz w:val="24"/>
          <w:szCs w:val="24"/>
        </w:rPr>
        <w:t xml:space="preserve">the developer’s </w:t>
      </w:r>
      <w:r w:rsidR="00207BC8" w:rsidRPr="00091422">
        <w:rPr>
          <w:rFonts w:ascii="Arial" w:hAnsi="Arial" w:cs="Arial"/>
          <w:color w:val="000000" w:themeColor="text1"/>
          <w:sz w:val="24"/>
          <w:szCs w:val="24"/>
        </w:rPr>
        <w:t xml:space="preserve">apparent interest </w:t>
      </w:r>
      <w:r w:rsidR="000656FC" w:rsidRPr="00091422">
        <w:rPr>
          <w:rFonts w:ascii="Arial" w:hAnsi="Arial" w:cs="Arial"/>
          <w:color w:val="000000" w:themeColor="text1"/>
          <w:sz w:val="24"/>
          <w:szCs w:val="24"/>
        </w:rPr>
        <w:t>in the development potential of Blackacre Farm</w:t>
      </w:r>
      <w:r w:rsidR="006B741B" w:rsidRPr="00091422">
        <w:rPr>
          <w:rFonts w:ascii="Arial" w:hAnsi="Arial" w:cs="Arial"/>
          <w:color w:val="000000" w:themeColor="text1"/>
          <w:sz w:val="24"/>
          <w:szCs w:val="24"/>
        </w:rPr>
        <w:t>.</w:t>
      </w:r>
      <w:r w:rsidR="000656FC" w:rsidRPr="00091422">
        <w:rPr>
          <w:rFonts w:ascii="Arial" w:hAnsi="Arial" w:cs="Arial"/>
          <w:color w:val="000000" w:themeColor="text1"/>
          <w:sz w:val="24"/>
          <w:szCs w:val="24"/>
        </w:rPr>
        <w:t xml:space="preserve"> </w:t>
      </w:r>
      <w:r w:rsidR="00535B1A" w:rsidRPr="00091422">
        <w:rPr>
          <w:rFonts w:ascii="Arial" w:hAnsi="Arial" w:cs="Arial"/>
          <w:color w:val="000000" w:themeColor="text1"/>
          <w:sz w:val="24"/>
          <w:szCs w:val="24"/>
        </w:rPr>
        <w:t>Yet</w:t>
      </w:r>
      <w:r w:rsidR="00B67A69" w:rsidRPr="00091422">
        <w:rPr>
          <w:rFonts w:ascii="Arial" w:hAnsi="Arial" w:cs="Arial"/>
          <w:color w:val="000000" w:themeColor="text1"/>
          <w:sz w:val="24"/>
          <w:szCs w:val="24"/>
        </w:rPr>
        <w:t>,</w:t>
      </w:r>
      <w:r w:rsidR="00603370" w:rsidRPr="00091422">
        <w:rPr>
          <w:rFonts w:ascii="Arial" w:hAnsi="Arial" w:cs="Arial"/>
          <w:color w:val="000000" w:themeColor="text1"/>
          <w:sz w:val="24"/>
          <w:szCs w:val="24"/>
        </w:rPr>
        <w:t xml:space="preserve"> </w:t>
      </w:r>
      <w:r w:rsidR="00502C7C" w:rsidRPr="00091422">
        <w:rPr>
          <w:rFonts w:ascii="Arial" w:hAnsi="Arial" w:cs="Arial"/>
          <w:color w:val="000000" w:themeColor="text1"/>
          <w:sz w:val="24"/>
          <w:szCs w:val="24"/>
        </w:rPr>
        <w:t xml:space="preserve">in </w:t>
      </w:r>
      <w:r w:rsidR="00603370" w:rsidRPr="00091422">
        <w:rPr>
          <w:rFonts w:ascii="Arial" w:hAnsi="Arial" w:cs="Arial"/>
          <w:i/>
          <w:iCs/>
          <w:color w:val="EF00A5"/>
          <w:sz w:val="24"/>
          <w:szCs w:val="24"/>
        </w:rPr>
        <w:t>Cheltenham &amp; Glouster v Krauz [1997]</w:t>
      </w:r>
      <w:r w:rsidR="00502C7C" w:rsidRPr="00091422">
        <w:rPr>
          <w:rFonts w:ascii="Arial" w:hAnsi="Arial" w:cs="Arial"/>
          <w:i/>
          <w:iCs/>
          <w:color w:val="EF00A5"/>
          <w:sz w:val="24"/>
          <w:szCs w:val="24"/>
        </w:rPr>
        <w:t xml:space="preserve"> </w:t>
      </w:r>
      <w:r w:rsidR="007A244F" w:rsidRPr="00091422">
        <w:rPr>
          <w:rFonts w:ascii="Arial" w:hAnsi="Arial" w:cs="Arial"/>
          <w:color w:val="000000" w:themeColor="text1"/>
          <w:sz w:val="24"/>
          <w:szCs w:val="24"/>
        </w:rPr>
        <w:t xml:space="preserve">the </w:t>
      </w:r>
      <w:r w:rsidR="0071516B">
        <w:rPr>
          <w:rFonts w:ascii="Arial" w:hAnsi="Arial" w:cs="Arial"/>
          <w:color w:val="000000" w:themeColor="text1"/>
          <w:sz w:val="24"/>
          <w:szCs w:val="24"/>
        </w:rPr>
        <w:t>court dis</w:t>
      </w:r>
      <w:r w:rsidR="002C4C41" w:rsidRPr="00091422">
        <w:rPr>
          <w:rFonts w:ascii="Arial" w:hAnsi="Arial" w:cs="Arial"/>
          <w:color w:val="000000" w:themeColor="text1"/>
          <w:sz w:val="24"/>
          <w:szCs w:val="24"/>
        </w:rPr>
        <w:t>allow</w:t>
      </w:r>
      <w:r w:rsidR="0071516B">
        <w:rPr>
          <w:rFonts w:ascii="Arial" w:hAnsi="Arial" w:cs="Arial"/>
          <w:color w:val="000000" w:themeColor="text1"/>
          <w:sz w:val="24"/>
          <w:szCs w:val="24"/>
        </w:rPr>
        <w:t>ed</w:t>
      </w:r>
      <w:r w:rsidR="002C4C41" w:rsidRPr="00091422">
        <w:rPr>
          <w:rFonts w:ascii="Arial" w:hAnsi="Arial" w:cs="Arial"/>
          <w:color w:val="000000" w:themeColor="text1"/>
          <w:sz w:val="24"/>
          <w:szCs w:val="24"/>
        </w:rPr>
        <w:t xml:space="preserve"> the </w:t>
      </w:r>
      <w:r w:rsidR="007A244F" w:rsidRPr="00091422">
        <w:rPr>
          <w:rFonts w:ascii="Arial" w:hAnsi="Arial" w:cs="Arial"/>
          <w:color w:val="000000" w:themeColor="text1"/>
          <w:sz w:val="24"/>
          <w:szCs w:val="24"/>
        </w:rPr>
        <w:t xml:space="preserve">mortgagor </w:t>
      </w:r>
      <w:r w:rsidR="002C4C41" w:rsidRPr="00091422">
        <w:rPr>
          <w:rFonts w:ascii="Arial" w:hAnsi="Arial" w:cs="Arial"/>
          <w:color w:val="000000" w:themeColor="text1"/>
          <w:sz w:val="24"/>
          <w:szCs w:val="24"/>
        </w:rPr>
        <w:t xml:space="preserve">to </w:t>
      </w:r>
      <w:r w:rsidR="007A244F" w:rsidRPr="00091422">
        <w:rPr>
          <w:rFonts w:ascii="Arial" w:hAnsi="Arial" w:cs="Arial"/>
          <w:color w:val="000000" w:themeColor="text1"/>
          <w:sz w:val="24"/>
          <w:szCs w:val="24"/>
        </w:rPr>
        <w:t>sell</w:t>
      </w:r>
      <w:r w:rsidR="002C4C41" w:rsidRPr="00091422">
        <w:rPr>
          <w:rFonts w:ascii="Arial" w:hAnsi="Arial" w:cs="Arial"/>
          <w:color w:val="000000" w:themeColor="text1"/>
          <w:sz w:val="24"/>
          <w:szCs w:val="24"/>
        </w:rPr>
        <w:t xml:space="preserve"> the property</w:t>
      </w:r>
      <w:r w:rsidR="007A244F" w:rsidRPr="00091422">
        <w:rPr>
          <w:rFonts w:ascii="Arial" w:hAnsi="Arial" w:cs="Arial"/>
          <w:color w:val="000000" w:themeColor="text1"/>
          <w:sz w:val="24"/>
          <w:szCs w:val="24"/>
        </w:rPr>
        <w:t xml:space="preserve"> </w:t>
      </w:r>
      <w:r w:rsidR="00B668D0" w:rsidRPr="00091422">
        <w:rPr>
          <w:rFonts w:ascii="Arial" w:hAnsi="Arial" w:cs="Arial"/>
          <w:color w:val="000000" w:themeColor="text1"/>
          <w:sz w:val="24"/>
          <w:szCs w:val="24"/>
        </w:rPr>
        <w:t>himself despite th</w:t>
      </w:r>
      <w:r w:rsidR="00694BA0" w:rsidRPr="00091422">
        <w:rPr>
          <w:rFonts w:ascii="Arial" w:hAnsi="Arial" w:cs="Arial"/>
          <w:color w:val="000000" w:themeColor="text1"/>
          <w:sz w:val="24"/>
          <w:szCs w:val="24"/>
        </w:rPr>
        <w:t>e</w:t>
      </w:r>
      <w:r w:rsidR="00B668D0" w:rsidRPr="00091422">
        <w:rPr>
          <w:rFonts w:ascii="Arial" w:hAnsi="Arial" w:cs="Arial"/>
          <w:color w:val="000000" w:themeColor="text1"/>
          <w:sz w:val="24"/>
          <w:szCs w:val="24"/>
        </w:rPr>
        <w:t xml:space="preserve"> price being better than the one achievable by the mortgagee (Sayles, 2020, pp.223</w:t>
      </w:r>
      <w:r w:rsidR="00321B04" w:rsidRPr="00091422">
        <w:rPr>
          <w:rFonts w:ascii="Arial" w:hAnsi="Arial" w:cs="Arial"/>
          <w:color w:val="000000" w:themeColor="text1"/>
          <w:sz w:val="24"/>
          <w:szCs w:val="24"/>
        </w:rPr>
        <w:t>, 236</w:t>
      </w:r>
      <w:r w:rsidR="00B668D0" w:rsidRPr="00091422">
        <w:rPr>
          <w:rFonts w:ascii="Arial" w:hAnsi="Arial" w:cs="Arial"/>
          <w:color w:val="000000" w:themeColor="text1"/>
          <w:sz w:val="24"/>
          <w:szCs w:val="24"/>
        </w:rPr>
        <w:t>).</w:t>
      </w:r>
      <w:r w:rsidR="00256981">
        <w:rPr>
          <w:rFonts w:ascii="Arial" w:hAnsi="Arial" w:cs="Arial"/>
          <w:color w:val="EF00A5"/>
          <w:sz w:val="24"/>
          <w:szCs w:val="24"/>
        </w:rPr>
        <w:t xml:space="preserve"> </w:t>
      </w:r>
      <w:r w:rsidR="000D2A9A">
        <w:rPr>
          <w:rFonts w:ascii="Arial" w:hAnsi="Arial" w:cs="Arial"/>
          <w:color w:val="000000" w:themeColor="text1"/>
          <w:sz w:val="24"/>
          <w:szCs w:val="24"/>
        </w:rPr>
        <w:t>T</w:t>
      </w:r>
      <w:r w:rsidR="00E468EE">
        <w:rPr>
          <w:rFonts w:ascii="Arial" w:hAnsi="Arial" w:cs="Arial"/>
          <w:color w:val="000000" w:themeColor="text1"/>
          <w:sz w:val="24"/>
          <w:szCs w:val="24"/>
        </w:rPr>
        <w:t xml:space="preserve">he facts </w:t>
      </w:r>
      <w:r w:rsidR="00DA22DC">
        <w:rPr>
          <w:rFonts w:ascii="Arial" w:hAnsi="Arial" w:cs="Arial"/>
          <w:color w:val="000000" w:themeColor="text1"/>
          <w:sz w:val="24"/>
          <w:szCs w:val="24"/>
        </w:rPr>
        <w:t xml:space="preserve">suggest that Peter is the owner of a ‘farm’ though, omit whether this </w:t>
      </w:r>
      <w:r w:rsidR="00053BE9">
        <w:rPr>
          <w:rFonts w:ascii="Arial" w:hAnsi="Arial" w:cs="Arial"/>
          <w:color w:val="000000" w:themeColor="text1"/>
          <w:sz w:val="24"/>
          <w:szCs w:val="24"/>
        </w:rPr>
        <w:t xml:space="preserve">is </w:t>
      </w:r>
      <w:r w:rsidR="00DA22DC">
        <w:rPr>
          <w:rFonts w:ascii="Arial" w:hAnsi="Arial" w:cs="Arial"/>
          <w:color w:val="000000" w:themeColor="text1"/>
          <w:sz w:val="24"/>
          <w:szCs w:val="24"/>
        </w:rPr>
        <w:t>a working farm</w:t>
      </w:r>
      <w:r w:rsidR="0037511E">
        <w:rPr>
          <w:rFonts w:ascii="Arial" w:hAnsi="Arial" w:cs="Arial"/>
          <w:color w:val="000000" w:themeColor="text1"/>
          <w:sz w:val="24"/>
          <w:szCs w:val="24"/>
        </w:rPr>
        <w:t xml:space="preserve">. In the event that the farm is a business it is important to add that </w:t>
      </w:r>
      <w:r w:rsidR="00CE5083">
        <w:rPr>
          <w:rFonts w:ascii="Arial" w:hAnsi="Arial" w:cs="Arial"/>
          <w:color w:val="000000" w:themeColor="text1"/>
          <w:sz w:val="24"/>
          <w:szCs w:val="24"/>
        </w:rPr>
        <w:t xml:space="preserve">Trinity Bank </w:t>
      </w:r>
      <w:r w:rsidR="008654D6">
        <w:rPr>
          <w:rFonts w:ascii="Arial" w:hAnsi="Arial" w:cs="Arial"/>
          <w:color w:val="000000" w:themeColor="text1"/>
          <w:sz w:val="24"/>
          <w:szCs w:val="24"/>
        </w:rPr>
        <w:t>would</w:t>
      </w:r>
      <w:r w:rsidR="00CE5083">
        <w:rPr>
          <w:rFonts w:ascii="Arial" w:hAnsi="Arial" w:cs="Arial"/>
          <w:color w:val="000000" w:themeColor="text1"/>
          <w:sz w:val="24"/>
          <w:szCs w:val="24"/>
        </w:rPr>
        <w:t xml:space="preserve"> not have to preserve </w:t>
      </w:r>
      <w:r w:rsidR="00B02F4E">
        <w:rPr>
          <w:rFonts w:ascii="Arial" w:hAnsi="Arial" w:cs="Arial"/>
          <w:color w:val="000000" w:themeColor="text1"/>
          <w:sz w:val="24"/>
          <w:szCs w:val="24"/>
        </w:rPr>
        <w:t>Peter’s</w:t>
      </w:r>
      <w:r w:rsidR="00CE5083">
        <w:rPr>
          <w:rFonts w:ascii="Arial" w:hAnsi="Arial" w:cs="Arial"/>
          <w:color w:val="000000" w:themeColor="text1"/>
          <w:sz w:val="24"/>
          <w:szCs w:val="24"/>
        </w:rPr>
        <w:t xml:space="preserve"> business</w:t>
      </w:r>
      <w:r w:rsidR="00D0714A">
        <w:rPr>
          <w:rFonts w:ascii="Arial" w:hAnsi="Arial" w:cs="Arial"/>
          <w:color w:val="000000" w:themeColor="text1"/>
          <w:sz w:val="24"/>
          <w:szCs w:val="24"/>
        </w:rPr>
        <w:t>;</w:t>
      </w:r>
      <w:r w:rsidR="00CE5083">
        <w:rPr>
          <w:rFonts w:ascii="Arial" w:hAnsi="Arial" w:cs="Arial"/>
          <w:color w:val="000000" w:themeColor="text1"/>
          <w:sz w:val="24"/>
          <w:szCs w:val="24"/>
        </w:rPr>
        <w:t xml:space="preserve"> </w:t>
      </w:r>
      <w:r w:rsidR="00E1452F">
        <w:rPr>
          <w:rFonts w:ascii="Arial" w:hAnsi="Arial" w:cs="Arial"/>
          <w:i/>
          <w:iCs/>
          <w:color w:val="EF00A5"/>
          <w:sz w:val="24"/>
          <w:szCs w:val="24"/>
        </w:rPr>
        <w:t>AIB Finance v Debtors [1998]</w:t>
      </w:r>
      <w:r w:rsidR="00E1452F">
        <w:rPr>
          <w:rFonts w:ascii="Arial" w:hAnsi="Arial" w:cs="Arial"/>
          <w:i/>
          <w:iCs/>
          <w:color w:val="EF00A5"/>
          <w:sz w:val="24"/>
          <w:szCs w:val="24"/>
        </w:rPr>
        <w:t xml:space="preserve"> </w:t>
      </w:r>
      <w:r w:rsidR="00E1452F">
        <w:rPr>
          <w:rFonts w:ascii="Arial" w:hAnsi="Arial" w:cs="Arial"/>
          <w:color w:val="EF00A5"/>
          <w:sz w:val="24"/>
          <w:szCs w:val="24"/>
        </w:rPr>
        <w:t>(</w:t>
      </w:r>
      <w:r w:rsidR="00FC737D">
        <w:rPr>
          <w:rFonts w:ascii="Arial" w:hAnsi="Arial" w:cs="Arial"/>
          <w:color w:val="EF00A5"/>
          <w:sz w:val="24"/>
          <w:szCs w:val="24"/>
        </w:rPr>
        <w:t>Gray and Gray</w:t>
      </w:r>
      <w:r w:rsidR="00E1452F">
        <w:rPr>
          <w:rFonts w:ascii="Arial" w:hAnsi="Arial" w:cs="Arial"/>
          <w:color w:val="EF00A5"/>
          <w:sz w:val="24"/>
          <w:szCs w:val="24"/>
        </w:rPr>
        <w:t>, 201</w:t>
      </w:r>
      <w:r w:rsidR="00FC737D">
        <w:rPr>
          <w:rFonts w:ascii="Arial" w:hAnsi="Arial" w:cs="Arial"/>
          <w:color w:val="EF00A5"/>
          <w:sz w:val="24"/>
          <w:szCs w:val="24"/>
        </w:rPr>
        <w:t>1</w:t>
      </w:r>
      <w:r w:rsidR="00E1452F">
        <w:rPr>
          <w:rFonts w:ascii="Arial" w:hAnsi="Arial" w:cs="Arial"/>
          <w:color w:val="EF00A5"/>
          <w:sz w:val="24"/>
          <w:szCs w:val="24"/>
        </w:rPr>
        <w:t>, pp.3</w:t>
      </w:r>
      <w:r w:rsidR="00FC737D">
        <w:rPr>
          <w:rFonts w:ascii="Arial" w:hAnsi="Arial" w:cs="Arial"/>
          <w:color w:val="EF00A5"/>
          <w:sz w:val="24"/>
          <w:szCs w:val="24"/>
        </w:rPr>
        <w:t>13</w:t>
      </w:r>
      <w:r w:rsidR="00E1452F">
        <w:rPr>
          <w:rFonts w:ascii="Arial" w:hAnsi="Arial" w:cs="Arial"/>
          <w:color w:val="EF00A5"/>
          <w:sz w:val="24"/>
          <w:szCs w:val="24"/>
        </w:rPr>
        <w:t>).</w:t>
      </w:r>
    </w:p>
    <w:p w14:paraId="58E01616" w14:textId="6112E42A" w:rsidR="00A0346C" w:rsidRDefault="00A0346C" w:rsidP="00924184">
      <w:pPr>
        <w:spacing w:line="480" w:lineRule="auto"/>
        <w:jc w:val="both"/>
        <w:rPr>
          <w:rFonts w:ascii="Arial" w:hAnsi="Arial" w:cs="Arial"/>
          <w:i/>
          <w:iCs/>
          <w:color w:val="EF00A5"/>
          <w:sz w:val="24"/>
          <w:szCs w:val="24"/>
        </w:rPr>
      </w:pPr>
    </w:p>
    <w:p w14:paraId="2974A523" w14:textId="7287983B" w:rsidR="00E219E5" w:rsidRDefault="00FD7D85" w:rsidP="00924184">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A</w:t>
      </w:r>
      <w:r w:rsidR="0078118D">
        <w:rPr>
          <w:rFonts w:ascii="Arial" w:hAnsi="Arial" w:cs="Arial"/>
          <w:color w:val="000000" w:themeColor="text1"/>
          <w:sz w:val="24"/>
          <w:szCs w:val="24"/>
        </w:rPr>
        <w:t xml:space="preserve"> further remedy available to </w:t>
      </w:r>
      <w:r w:rsidR="004D0699">
        <w:rPr>
          <w:rFonts w:ascii="Arial" w:hAnsi="Arial" w:cs="Arial"/>
          <w:color w:val="000000" w:themeColor="text1"/>
          <w:sz w:val="24"/>
          <w:szCs w:val="24"/>
        </w:rPr>
        <w:t>Trinity Bank is to a</w:t>
      </w:r>
      <w:r>
        <w:rPr>
          <w:rFonts w:ascii="Arial" w:hAnsi="Arial" w:cs="Arial"/>
          <w:color w:val="000000" w:themeColor="text1"/>
          <w:sz w:val="24"/>
          <w:szCs w:val="24"/>
        </w:rPr>
        <w:t>ppoint a receiver</w:t>
      </w:r>
      <w:r w:rsidR="001E35BB">
        <w:rPr>
          <w:rFonts w:ascii="Arial" w:hAnsi="Arial" w:cs="Arial"/>
          <w:color w:val="000000" w:themeColor="text1"/>
          <w:sz w:val="24"/>
          <w:szCs w:val="24"/>
        </w:rPr>
        <w:t>, commonly used for business/rented property</w:t>
      </w:r>
      <w:r>
        <w:rPr>
          <w:rFonts w:ascii="Arial" w:hAnsi="Arial" w:cs="Arial"/>
          <w:color w:val="000000" w:themeColor="text1"/>
          <w:sz w:val="24"/>
          <w:szCs w:val="24"/>
        </w:rPr>
        <w:t xml:space="preserve"> to oversee </w:t>
      </w:r>
      <w:r w:rsidR="00D10C61">
        <w:rPr>
          <w:rFonts w:ascii="Arial" w:hAnsi="Arial" w:cs="Arial"/>
          <w:color w:val="000000" w:themeColor="text1"/>
          <w:sz w:val="24"/>
          <w:szCs w:val="24"/>
        </w:rPr>
        <w:t>and</w:t>
      </w:r>
      <w:r w:rsidR="004D0699">
        <w:rPr>
          <w:rFonts w:ascii="Arial" w:hAnsi="Arial" w:cs="Arial"/>
          <w:color w:val="000000" w:themeColor="text1"/>
          <w:sz w:val="24"/>
          <w:szCs w:val="24"/>
        </w:rPr>
        <w:t xml:space="preserve"> </w:t>
      </w:r>
      <w:r>
        <w:rPr>
          <w:rFonts w:ascii="Arial" w:hAnsi="Arial" w:cs="Arial"/>
          <w:color w:val="000000" w:themeColor="text1"/>
          <w:sz w:val="24"/>
          <w:szCs w:val="24"/>
        </w:rPr>
        <w:t xml:space="preserve">prevent </w:t>
      </w:r>
      <w:r w:rsidR="00160271">
        <w:rPr>
          <w:rFonts w:ascii="Arial" w:hAnsi="Arial" w:cs="Arial"/>
          <w:color w:val="000000" w:themeColor="text1"/>
          <w:sz w:val="24"/>
          <w:szCs w:val="24"/>
        </w:rPr>
        <w:t>liab</w:t>
      </w:r>
      <w:r w:rsidR="000B0096">
        <w:rPr>
          <w:rFonts w:ascii="Arial" w:hAnsi="Arial" w:cs="Arial"/>
          <w:color w:val="000000" w:themeColor="text1"/>
          <w:sz w:val="24"/>
          <w:szCs w:val="24"/>
        </w:rPr>
        <w:t>i</w:t>
      </w:r>
      <w:r w:rsidR="00160271">
        <w:rPr>
          <w:rFonts w:ascii="Arial" w:hAnsi="Arial" w:cs="Arial"/>
          <w:color w:val="000000" w:themeColor="text1"/>
          <w:sz w:val="24"/>
          <w:szCs w:val="24"/>
        </w:rPr>
        <w:t>l</w:t>
      </w:r>
      <w:r w:rsidR="000B0096">
        <w:rPr>
          <w:rFonts w:ascii="Arial" w:hAnsi="Arial" w:cs="Arial"/>
          <w:color w:val="000000" w:themeColor="text1"/>
          <w:sz w:val="24"/>
          <w:szCs w:val="24"/>
        </w:rPr>
        <w:t>ity</w:t>
      </w:r>
      <w:r w:rsidR="00160271">
        <w:rPr>
          <w:rFonts w:ascii="Arial" w:hAnsi="Arial" w:cs="Arial"/>
          <w:color w:val="000000" w:themeColor="text1"/>
          <w:sz w:val="24"/>
          <w:szCs w:val="24"/>
        </w:rPr>
        <w:t xml:space="preserve"> for a negligent sale</w:t>
      </w:r>
      <w:r w:rsidR="009F320D">
        <w:rPr>
          <w:rFonts w:ascii="Arial" w:hAnsi="Arial" w:cs="Arial"/>
          <w:color w:val="000000" w:themeColor="text1"/>
          <w:sz w:val="24"/>
          <w:szCs w:val="24"/>
        </w:rPr>
        <w:t>; s.109</w:t>
      </w:r>
      <w:r w:rsidR="00A970F5">
        <w:rPr>
          <w:rFonts w:ascii="Arial" w:hAnsi="Arial" w:cs="Arial"/>
          <w:color w:val="000000" w:themeColor="text1"/>
          <w:sz w:val="24"/>
          <w:szCs w:val="24"/>
        </w:rPr>
        <w:t xml:space="preserve"> LPA 1925</w:t>
      </w:r>
      <w:r w:rsidR="00E219E5">
        <w:rPr>
          <w:rFonts w:ascii="Arial" w:hAnsi="Arial" w:cs="Arial"/>
          <w:color w:val="000000" w:themeColor="text1"/>
          <w:sz w:val="24"/>
          <w:szCs w:val="24"/>
        </w:rPr>
        <w:t xml:space="preserve">; </w:t>
      </w:r>
      <w:r w:rsidR="0031506B">
        <w:rPr>
          <w:rFonts w:ascii="Arial" w:hAnsi="Arial" w:cs="Arial"/>
          <w:i/>
          <w:iCs/>
          <w:color w:val="EF00A5"/>
          <w:sz w:val="24"/>
          <w:szCs w:val="24"/>
        </w:rPr>
        <w:t>Medforth v B</w:t>
      </w:r>
      <w:r w:rsidR="00E219E5">
        <w:rPr>
          <w:rFonts w:ascii="Arial" w:hAnsi="Arial" w:cs="Arial"/>
          <w:i/>
          <w:iCs/>
          <w:color w:val="EF00A5"/>
          <w:sz w:val="24"/>
          <w:szCs w:val="24"/>
        </w:rPr>
        <w:t>lake</w:t>
      </w:r>
      <w:r w:rsidR="0031506B">
        <w:rPr>
          <w:rFonts w:ascii="Arial" w:hAnsi="Arial" w:cs="Arial"/>
          <w:i/>
          <w:iCs/>
          <w:color w:val="EF00A5"/>
          <w:sz w:val="24"/>
          <w:szCs w:val="24"/>
        </w:rPr>
        <w:t xml:space="preserve"> [2000]</w:t>
      </w:r>
      <w:r w:rsidR="008F6CD0">
        <w:rPr>
          <w:rFonts w:ascii="Arial" w:hAnsi="Arial" w:cs="Arial"/>
          <w:i/>
          <w:iCs/>
          <w:color w:val="EF00A5"/>
          <w:sz w:val="24"/>
          <w:szCs w:val="24"/>
        </w:rPr>
        <w:t xml:space="preserve"> </w:t>
      </w:r>
      <w:r w:rsidR="008F6CD0">
        <w:rPr>
          <w:rFonts w:ascii="Arial" w:hAnsi="Arial" w:cs="Arial"/>
          <w:color w:val="EF00A5"/>
          <w:sz w:val="24"/>
          <w:szCs w:val="24"/>
        </w:rPr>
        <w:t>(Sawtell, 2020)</w:t>
      </w:r>
      <w:r w:rsidR="009B5D68">
        <w:rPr>
          <w:rFonts w:ascii="Arial" w:hAnsi="Arial" w:cs="Arial"/>
          <w:color w:val="000000" w:themeColor="text1"/>
          <w:sz w:val="24"/>
          <w:szCs w:val="24"/>
        </w:rPr>
        <w:t>.</w:t>
      </w:r>
      <w:r w:rsidR="00183DE8">
        <w:rPr>
          <w:rFonts w:ascii="Arial" w:hAnsi="Arial" w:cs="Arial"/>
          <w:color w:val="000000" w:themeColor="text1"/>
          <w:sz w:val="24"/>
          <w:szCs w:val="24"/>
        </w:rPr>
        <w:t xml:space="preserve"> </w:t>
      </w:r>
    </w:p>
    <w:p w14:paraId="56E80DC3" w14:textId="1F64D546" w:rsidR="00FE4E5C" w:rsidRDefault="00FE4E5C" w:rsidP="00924184">
      <w:pPr>
        <w:spacing w:line="480" w:lineRule="auto"/>
        <w:jc w:val="both"/>
        <w:rPr>
          <w:rFonts w:ascii="Arial" w:hAnsi="Arial" w:cs="Arial"/>
          <w:color w:val="000000" w:themeColor="text1"/>
          <w:sz w:val="24"/>
          <w:szCs w:val="24"/>
        </w:rPr>
      </w:pPr>
    </w:p>
    <w:p w14:paraId="630D9C64" w14:textId="12A9CF0B" w:rsidR="00E219E5" w:rsidRPr="00FD7D85" w:rsidRDefault="00FE4E5C" w:rsidP="00924184">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Rarely used is the dr</w:t>
      </w:r>
      <w:r w:rsidR="00652AA8">
        <w:rPr>
          <w:rFonts w:ascii="Arial" w:hAnsi="Arial" w:cs="Arial"/>
          <w:color w:val="000000" w:themeColor="text1"/>
          <w:sz w:val="24"/>
          <w:szCs w:val="24"/>
        </w:rPr>
        <w:t>aconian measure of foreclosure</w:t>
      </w:r>
      <w:r w:rsidR="0032743D">
        <w:rPr>
          <w:rFonts w:ascii="Arial" w:hAnsi="Arial" w:cs="Arial"/>
          <w:color w:val="000000" w:themeColor="text1"/>
          <w:sz w:val="24"/>
          <w:szCs w:val="24"/>
        </w:rPr>
        <w:t>,</w:t>
      </w:r>
      <w:r w:rsidR="00FF2F4C">
        <w:rPr>
          <w:rFonts w:ascii="Arial" w:hAnsi="Arial" w:cs="Arial"/>
          <w:color w:val="000000" w:themeColor="text1"/>
          <w:sz w:val="24"/>
          <w:szCs w:val="24"/>
        </w:rPr>
        <w:t xml:space="preserve"> only granted if the court has clear evidence that the mortgagor will </w:t>
      </w:r>
      <w:r w:rsidR="00AE1DFE">
        <w:rPr>
          <w:rFonts w:ascii="Arial" w:hAnsi="Arial" w:cs="Arial"/>
          <w:color w:val="000000" w:themeColor="text1"/>
          <w:sz w:val="24"/>
          <w:szCs w:val="24"/>
        </w:rPr>
        <w:t xml:space="preserve">never manage to repay what is owed. </w:t>
      </w:r>
      <w:r w:rsidR="009C7EB4">
        <w:rPr>
          <w:rFonts w:ascii="Arial" w:hAnsi="Arial" w:cs="Arial"/>
          <w:color w:val="000000" w:themeColor="text1"/>
          <w:sz w:val="24"/>
          <w:szCs w:val="24"/>
        </w:rPr>
        <w:t>The effect of f</w:t>
      </w:r>
      <w:r w:rsidR="00BF1309">
        <w:rPr>
          <w:rFonts w:ascii="Arial" w:hAnsi="Arial" w:cs="Arial"/>
          <w:color w:val="000000" w:themeColor="text1"/>
          <w:sz w:val="24"/>
          <w:szCs w:val="24"/>
        </w:rPr>
        <w:t xml:space="preserve">oreclosure </w:t>
      </w:r>
      <w:r w:rsidR="002C375F">
        <w:rPr>
          <w:rFonts w:ascii="Arial" w:hAnsi="Arial" w:cs="Arial"/>
          <w:color w:val="000000" w:themeColor="text1"/>
          <w:sz w:val="24"/>
          <w:szCs w:val="24"/>
        </w:rPr>
        <w:t>ext</w:t>
      </w:r>
      <w:r w:rsidR="009C7EB4">
        <w:rPr>
          <w:rFonts w:ascii="Arial" w:hAnsi="Arial" w:cs="Arial"/>
          <w:color w:val="000000" w:themeColor="text1"/>
          <w:sz w:val="24"/>
          <w:szCs w:val="24"/>
        </w:rPr>
        <w:t>inguishes the mortgage</w:t>
      </w:r>
      <w:r w:rsidR="00570821">
        <w:rPr>
          <w:rFonts w:ascii="Arial" w:hAnsi="Arial" w:cs="Arial"/>
          <w:color w:val="000000" w:themeColor="text1"/>
          <w:sz w:val="24"/>
          <w:szCs w:val="24"/>
        </w:rPr>
        <w:t xml:space="preserve">, terminating the </w:t>
      </w:r>
      <w:r w:rsidR="00B041C3">
        <w:rPr>
          <w:rFonts w:ascii="Arial" w:hAnsi="Arial" w:cs="Arial"/>
          <w:color w:val="000000" w:themeColor="text1"/>
          <w:sz w:val="24"/>
          <w:szCs w:val="24"/>
        </w:rPr>
        <w:t>mortgagors’</w:t>
      </w:r>
      <w:r w:rsidR="00570821">
        <w:rPr>
          <w:rFonts w:ascii="Arial" w:hAnsi="Arial" w:cs="Arial"/>
          <w:color w:val="000000" w:themeColor="text1"/>
          <w:sz w:val="24"/>
          <w:szCs w:val="24"/>
        </w:rPr>
        <w:t xml:space="preserve"> interests in the property </w:t>
      </w:r>
      <w:r w:rsidR="0005450F">
        <w:rPr>
          <w:rFonts w:ascii="Arial" w:hAnsi="Arial" w:cs="Arial"/>
          <w:color w:val="000000" w:themeColor="text1"/>
          <w:sz w:val="24"/>
          <w:szCs w:val="24"/>
        </w:rPr>
        <w:t xml:space="preserve">declaring </w:t>
      </w:r>
      <w:r w:rsidR="002B3929">
        <w:rPr>
          <w:rFonts w:ascii="Arial" w:hAnsi="Arial" w:cs="Arial"/>
          <w:color w:val="000000" w:themeColor="text1"/>
          <w:sz w:val="24"/>
          <w:szCs w:val="24"/>
        </w:rPr>
        <w:t xml:space="preserve">the mortgagee as owner. </w:t>
      </w:r>
      <w:r w:rsidR="00D96555">
        <w:rPr>
          <w:rFonts w:ascii="Arial" w:hAnsi="Arial" w:cs="Arial"/>
          <w:color w:val="000000" w:themeColor="text1"/>
          <w:sz w:val="24"/>
          <w:szCs w:val="24"/>
        </w:rPr>
        <w:t xml:space="preserve">Within s.91 LPA 1925 the court may use its discretion and order the sale of a property </w:t>
      </w:r>
      <w:r w:rsidR="00A00A14">
        <w:rPr>
          <w:rFonts w:ascii="Arial" w:hAnsi="Arial" w:cs="Arial"/>
          <w:color w:val="000000" w:themeColor="text1"/>
          <w:sz w:val="24"/>
          <w:szCs w:val="24"/>
        </w:rPr>
        <w:t>as an alternative remedy</w:t>
      </w:r>
      <w:r w:rsidR="0010376A">
        <w:rPr>
          <w:rFonts w:ascii="Arial" w:hAnsi="Arial" w:cs="Arial"/>
          <w:color w:val="000000" w:themeColor="text1"/>
          <w:sz w:val="24"/>
          <w:szCs w:val="24"/>
        </w:rPr>
        <w:t xml:space="preserve"> </w:t>
      </w:r>
      <w:r w:rsidR="00A00A14">
        <w:rPr>
          <w:rFonts w:ascii="Arial" w:hAnsi="Arial" w:cs="Arial"/>
          <w:color w:val="000000" w:themeColor="text1"/>
          <w:sz w:val="24"/>
          <w:szCs w:val="24"/>
        </w:rPr>
        <w:t>(Law Commission, 1986)</w:t>
      </w:r>
      <w:r w:rsidR="0010376A">
        <w:rPr>
          <w:rFonts w:ascii="Arial" w:hAnsi="Arial" w:cs="Arial"/>
          <w:color w:val="000000" w:themeColor="text1"/>
          <w:sz w:val="24"/>
          <w:szCs w:val="24"/>
        </w:rPr>
        <w:t>.</w:t>
      </w:r>
    </w:p>
    <w:p w14:paraId="09D26652" w14:textId="139735F9" w:rsidR="00544B8B" w:rsidRDefault="00544B8B" w:rsidP="00924184">
      <w:pPr>
        <w:spacing w:line="480" w:lineRule="auto"/>
        <w:jc w:val="both"/>
        <w:rPr>
          <w:rFonts w:ascii="Arial" w:hAnsi="Arial" w:cs="Arial"/>
          <w:color w:val="000000" w:themeColor="text1"/>
          <w:sz w:val="24"/>
          <w:szCs w:val="24"/>
        </w:rPr>
      </w:pPr>
    </w:p>
    <w:p w14:paraId="2AFE4C47" w14:textId="78C109D2" w:rsidR="007313B6" w:rsidRDefault="007313B6" w:rsidP="00924184">
      <w:pPr>
        <w:spacing w:line="480" w:lineRule="auto"/>
        <w:jc w:val="both"/>
        <w:rPr>
          <w:rFonts w:ascii="Arial" w:hAnsi="Arial" w:cs="Arial"/>
          <w:color w:val="000000" w:themeColor="text1"/>
          <w:sz w:val="24"/>
          <w:szCs w:val="24"/>
        </w:rPr>
      </w:pPr>
    </w:p>
    <w:p w14:paraId="20A2A8D0" w14:textId="77777777" w:rsidR="007313B6" w:rsidRDefault="007313B6" w:rsidP="00924184">
      <w:pPr>
        <w:spacing w:line="480" w:lineRule="auto"/>
        <w:jc w:val="both"/>
        <w:rPr>
          <w:rFonts w:ascii="Arial" w:hAnsi="Arial" w:cs="Arial"/>
          <w:color w:val="000000" w:themeColor="text1"/>
          <w:sz w:val="24"/>
          <w:szCs w:val="24"/>
        </w:rPr>
      </w:pPr>
    </w:p>
    <w:p w14:paraId="2D03F925" w14:textId="5552E216" w:rsidR="004258D0" w:rsidRPr="005A4896" w:rsidRDefault="0034437D" w:rsidP="00924184">
      <w:pPr>
        <w:spacing w:line="480" w:lineRule="auto"/>
        <w:jc w:val="both"/>
        <w:rPr>
          <w:rFonts w:ascii="Arial" w:hAnsi="Arial" w:cs="Arial"/>
          <w:color w:val="FF0000"/>
          <w:sz w:val="24"/>
          <w:szCs w:val="24"/>
        </w:rPr>
      </w:pPr>
      <w:r w:rsidRPr="00E5432D">
        <w:rPr>
          <w:rFonts w:ascii="Arial" w:hAnsi="Arial" w:cs="Arial"/>
          <w:color w:val="FF0000"/>
          <w:sz w:val="24"/>
          <w:szCs w:val="24"/>
        </w:rPr>
        <w:t xml:space="preserve">it is unnecessary </w:t>
      </w:r>
      <w:r w:rsidR="00CF16A9" w:rsidRPr="00E5432D">
        <w:rPr>
          <w:rFonts w:ascii="Arial" w:hAnsi="Arial" w:cs="Arial"/>
          <w:color w:val="FF0000"/>
          <w:sz w:val="24"/>
          <w:szCs w:val="24"/>
        </w:rPr>
        <w:t>for a mortgagee to have a remedy of possession at all, except for the limited purpose of obtaining vacant possession for sale (The Law Commission, 1986).</w:t>
      </w:r>
    </w:p>
    <w:p w14:paraId="2F58C6CD" w14:textId="77777777" w:rsidR="003A202E" w:rsidRDefault="003A202E" w:rsidP="008A3FA8">
      <w:pPr>
        <w:spacing w:line="480" w:lineRule="auto"/>
        <w:rPr>
          <w:rFonts w:ascii="Arial" w:hAnsi="Arial" w:cs="Arial"/>
          <w:sz w:val="24"/>
          <w:szCs w:val="24"/>
        </w:rPr>
      </w:pPr>
    </w:p>
    <w:p w14:paraId="025895D4" w14:textId="2AC3824A" w:rsidR="000B23AA" w:rsidRPr="005A4896" w:rsidRDefault="006B78DC" w:rsidP="008A3FA8">
      <w:pPr>
        <w:spacing w:line="480" w:lineRule="auto"/>
        <w:rPr>
          <w:rFonts w:ascii="Arial" w:hAnsi="Arial" w:cs="Arial"/>
          <w:color w:val="00B050"/>
          <w:sz w:val="24"/>
          <w:szCs w:val="24"/>
        </w:rPr>
      </w:pPr>
      <w:r w:rsidRPr="005A4896">
        <w:rPr>
          <w:rFonts w:ascii="Arial" w:hAnsi="Arial" w:cs="Arial"/>
          <w:color w:val="00B050"/>
          <w:sz w:val="24"/>
          <w:szCs w:val="24"/>
        </w:rPr>
        <w:t>These remedies may be pursued either concurrently or successively</w:t>
      </w:r>
      <w:r w:rsidR="00F15233" w:rsidRPr="005A4896">
        <w:rPr>
          <w:rFonts w:ascii="Arial" w:hAnsi="Arial" w:cs="Arial"/>
          <w:color w:val="00B050"/>
          <w:sz w:val="24"/>
          <w:szCs w:val="24"/>
        </w:rPr>
        <w:t xml:space="preserve"> (Gray and Gray, 2011, pp.302).</w:t>
      </w:r>
    </w:p>
    <w:p w14:paraId="6EA82DAB" w14:textId="77777777" w:rsidR="000B23AA" w:rsidRPr="00926ABA" w:rsidRDefault="000B23AA" w:rsidP="008A3FA8">
      <w:pPr>
        <w:spacing w:line="480" w:lineRule="auto"/>
        <w:rPr>
          <w:rFonts w:ascii="Arial" w:hAnsi="Arial" w:cs="Arial"/>
          <w:color w:val="00B050"/>
          <w:sz w:val="24"/>
          <w:szCs w:val="24"/>
        </w:rPr>
      </w:pPr>
    </w:p>
    <w:p w14:paraId="7E1817C3" w14:textId="0CB3C599" w:rsidR="000B23AA" w:rsidRPr="00926ABA" w:rsidRDefault="000B23AA" w:rsidP="000B23AA">
      <w:pPr>
        <w:spacing w:line="480" w:lineRule="auto"/>
        <w:jc w:val="both"/>
        <w:rPr>
          <w:rFonts w:ascii="Arial" w:hAnsi="Arial" w:cs="Arial"/>
          <w:color w:val="00B050"/>
          <w:sz w:val="24"/>
          <w:szCs w:val="24"/>
        </w:rPr>
      </w:pPr>
      <w:r w:rsidRPr="00926ABA">
        <w:rPr>
          <w:rFonts w:ascii="Arial" w:hAnsi="Arial" w:cs="Arial"/>
          <w:color w:val="00B050"/>
          <w:sz w:val="24"/>
          <w:szCs w:val="24"/>
        </w:rPr>
        <w:t xml:space="preserve">Due to this Peter is seeking advice on what remedies are available to Trinity Bank as well as the duties it owes to him. </w:t>
      </w:r>
    </w:p>
    <w:p w14:paraId="2F338D97" w14:textId="103D8F55" w:rsidR="000B23AA" w:rsidRPr="00926ABA" w:rsidRDefault="000B23AA" w:rsidP="008A3FA8">
      <w:pPr>
        <w:spacing w:line="480" w:lineRule="auto"/>
        <w:rPr>
          <w:rFonts w:ascii="Arial" w:hAnsi="Arial" w:cs="Arial"/>
          <w:color w:val="00B050"/>
          <w:sz w:val="24"/>
          <w:szCs w:val="24"/>
        </w:rPr>
      </w:pPr>
    </w:p>
    <w:p w14:paraId="24B078F0" w14:textId="478F8FE3" w:rsidR="002B7FDD" w:rsidRDefault="00F26A56" w:rsidP="008A3FA8">
      <w:pPr>
        <w:spacing w:line="480" w:lineRule="auto"/>
        <w:rPr>
          <w:rFonts w:ascii="Arial" w:hAnsi="Arial" w:cs="Arial"/>
          <w:sz w:val="24"/>
          <w:szCs w:val="24"/>
        </w:rPr>
      </w:pPr>
      <w:r w:rsidRPr="00926ABA">
        <w:rPr>
          <w:rFonts w:ascii="Arial" w:hAnsi="Arial" w:cs="Arial"/>
          <w:color w:val="00B050"/>
          <w:sz w:val="24"/>
          <w:szCs w:val="24"/>
        </w:rPr>
        <w:t xml:space="preserve">There is a possible claim for Peter when facing repossession from Trinity Bank to enforce his </w:t>
      </w:r>
      <w:r w:rsidR="008240D8" w:rsidRPr="00926ABA">
        <w:rPr>
          <w:rFonts w:ascii="Arial" w:hAnsi="Arial" w:cs="Arial"/>
          <w:color w:val="00B050"/>
          <w:sz w:val="24"/>
          <w:szCs w:val="24"/>
        </w:rPr>
        <w:t xml:space="preserve">rights under the </w:t>
      </w:r>
      <w:r w:rsidRPr="00926ABA">
        <w:rPr>
          <w:rFonts w:ascii="Arial" w:hAnsi="Arial" w:cs="Arial"/>
          <w:color w:val="00B050"/>
          <w:sz w:val="24"/>
          <w:szCs w:val="24"/>
        </w:rPr>
        <w:t>Human Rights</w:t>
      </w:r>
      <w:r w:rsidR="008240D8" w:rsidRPr="00926ABA">
        <w:rPr>
          <w:rFonts w:ascii="Arial" w:hAnsi="Arial" w:cs="Arial"/>
          <w:color w:val="00B050"/>
          <w:sz w:val="24"/>
          <w:szCs w:val="24"/>
        </w:rPr>
        <w:t xml:space="preserve"> Act 1998</w:t>
      </w:r>
      <w:r w:rsidRPr="00926ABA">
        <w:rPr>
          <w:rFonts w:ascii="Arial" w:hAnsi="Arial" w:cs="Arial"/>
          <w:color w:val="00B050"/>
          <w:sz w:val="24"/>
          <w:szCs w:val="24"/>
        </w:rPr>
        <w:t>. In effect, his right to peaceful enjoyment of property under Article 1 as well as Article 8</w:t>
      </w:r>
      <w:r w:rsidR="003B54E9" w:rsidRPr="00926ABA">
        <w:rPr>
          <w:rFonts w:ascii="Arial" w:hAnsi="Arial" w:cs="Arial"/>
          <w:color w:val="00B050"/>
          <w:sz w:val="24"/>
          <w:szCs w:val="24"/>
        </w:rPr>
        <w:t>s right to respect for family life</w:t>
      </w:r>
      <w:r w:rsidR="008240D8" w:rsidRPr="00926ABA">
        <w:rPr>
          <w:rFonts w:ascii="Arial" w:hAnsi="Arial" w:cs="Arial"/>
          <w:color w:val="00B050"/>
          <w:sz w:val="24"/>
          <w:szCs w:val="24"/>
        </w:rPr>
        <w:t>. However, very few have been heard</w:t>
      </w:r>
      <w:r w:rsidR="005A4CE4" w:rsidRPr="00926ABA">
        <w:rPr>
          <w:rFonts w:ascii="Arial" w:hAnsi="Arial" w:cs="Arial"/>
          <w:color w:val="00B050"/>
          <w:sz w:val="24"/>
          <w:szCs w:val="24"/>
        </w:rPr>
        <w:t xml:space="preserve"> and those that have, have been defended by </w:t>
      </w:r>
      <w:r w:rsidR="004E2B1A" w:rsidRPr="00926ABA">
        <w:rPr>
          <w:rFonts w:ascii="Arial" w:hAnsi="Arial" w:cs="Arial"/>
          <w:color w:val="00B050"/>
          <w:sz w:val="24"/>
          <w:szCs w:val="24"/>
        </w:rPr>
        <w:t xml:space="preserve">applying the act </w:t>
      </w:r>
      <w:r w:rsidR="0086422D" w:rsidRPr="00926ABA">
        <w:rPr>
          <w:rFonts w:ascii="Arial" w:hAnsi="Arial" w:cs="Arial"/>
          <w:color w:val="00B050"/>
          <w:sz w:val="24"/>
          <w:szCs w:val="24"/>
        </w:rPr>
        <w:t xml:space="preserve">that </w:t>
      </w:r>
      <w:r w:rsidR="0086422D" w:rsidRPr="003F580F">
        <w:rPr>
          <w:rFonts w:ascii="Arial" w:hAnsi="Arial" w:cs="Arial"/>
          <w:color w:val="EF00A5"/>
          <w:sz w:val="24"/>
          <w:szCs w:val="24"/>
        </w:rPr>
        <w:t xml:space="preserve">a claim can be defended by a legitimate right; </w:t>
      </w:r>
      <w:r w:rsidR="0086422D" w:rsidRPr="003F580F">
        <w:rPr>
          <w:rFonts w:ascii="Arial" w:hAnsi="Arial" w:cs="Arial"/>
          <w:i/>
          <w:iCs/>
          <w:color w:val="EF00A5"/>
          <w:sz w:val="24"/>
          <w:szCs w:val="24"/>
        </w:rPr>
        <w:t xml:space="preserve">Wood </w:t>
      </w:r>
      <w:r w:rsidR="002D1E70" w:rsidRPr="003F580F">
        <w:rPr>
          <w:rFonts w:ascii="Arial" w:hAnsi="Arial" w:cs="Arial"/>
          <w:i/>
          <w:iCs/>
          <w:color w:val="EF00A5"/>
          <w:sz w:val="24"/>
          <w:szCs w:val="24"/>
        </w:rPr>
        <w:t>v UK [1997]</w:t>
      </w:r>
      <w:r w:rsidR="008240D8" w:rsidRPr="003F580F">
        <w:rPr>
          <w:rFonts w:ascii="Arial" w:hAnsi="Arial" w:cs="Arial"/>
          <w:color w:val="EF00A5"/>
          <w:sz w:val="24"/>
          <w:szCs w:val="24"/>
        </w:rPr>
        <w:t xml:space="preserve"> </w:t>
      </w:r>
      <w:r w:rsidR="00861690" w:rsidRPr="003F580F">
        <w:rPr>
          <w:rFonts w:ascii="Arial" w:hAnsi="Arial" w:cs="Arial"/>
          <w:color w:val="EF00A5"/>
          <w:sz w:val="24"/>
          <w:szCs w:val="24"/>
        </w:rPr>
        <w:t>(Bray, 2016, pp.388).</w:t>
      </w:r>
    </w:p>
    <w:p w14:paraId="54C8DED5" w14:textId="77777777" w:rsidR="002B7FDD" w:rsidRDefault="002B7FDD" w:rsidP="008A3FA8">
      <w:pPr>
        <w:spacing w:line="480" w:lineRule="auto"/>
        <w:rPr>
          <w:rFonts w:ascii="Arial" w:hAnsi="Arial" w:cs="Arial"/>
          <w:sz w:val="24"/>
          <w:szCs w:val="24"/>
        </w:rPr>
      </w:pPr>
    </w:p>
    <w:p w14:paraId="44004014" w14:textId="25FFF704" w:rsidR="00050886" w:rsidRDefault="000E3DFC" w:rsidP="008A3FA8">
      <w:pPr>
        <w:spacing w:line="480" w:lineRule="auto"/>
        <w:rPr>
          <w:rFonts w:ascii="Arial" w:hAnsi="Arial" w:cs="Arial"/>
          <w:sz w:val="24"/>
          <w:szCs w:val="24"/>
        </w:rPr>
      </w:pPr>
      <w:proofErr w:type="spellStart"/>
      <w:r>
        <w:rPr>
          <w:rFonts w:ascii="Arial" w:hAnsi="Arial" w:cs="Arial"/>
          <w:sz w:val="24"/>
          <w:szCs w:val="24"/>
        </w:rPr>
        <w:t>Conc</w:t>
      </w:r>
      <w:proofErr w:type="spellEnd"/>
    </w:p>
    <w:p w14:paraId="4CE4B971" w14:textId="77777777" w:rsidR="003F580F" w:rsidRDefault="003F580F" w:rsidP="008A3FA8">
      <w:pPr>
        <w:spacing w:line="480" w:lineRule="auto"/>
        <w:rPr>
          <w:rFonts w:ascii="Arial" w:hAnsi="Arial" w:cs="Arial"/>
          <w:sz w:val="24"/>
          <w:szCs w:val="24"/>
        </w:rPr>
      </w:pPr>
    </w:p>
    <w:p w14:paraId="12E95141" w14:textId="77777777" w:rsidR="00381CAE" w:rsidRDefault="00381CAE" w:rsidP="008A3FA8">
      <w:pPr>
        <w:spacing w:line="480" w:lineRule="auto"/>
        <w:rPr>
          <w:rFonts w:ascii="Arial" w:hAnsi="Arial" w:cs="Arial"/>
          <w:sz w:val="24"/>
          <w:szCs w:val="24"/>
        </w:rPr>
      </w:pPr>
    </w:p>
    <w:p w14:paraId="1A9833B8" w14:textId="5C04E42C" w:rsidR="00050886" w:rsidRDefault="00050886" w:rsidP="008A3FA8">
      <w:pPr>
        <w:spacing w:line="480" w:lineRule="auto"/>
        <w:rPr>
          <w:rFonts w:ascii="Arial" w:hAnsi="Arial" w:cs="Arial"/>
          <w:sz w:val="24"/>
          <w:szCs w:val="24"/>
        </w:rPr>
      </w:pPr>
    </w:p>
    <w:p w14:paraId="42B24D04" w14:textId="0C1B9D8E" w:rsidR="00050886" w:rsidRDefault="00050886" w:rsidP="008A3FA8">
      <w:pPr>
        <w:spacing w:line="480" w:lineRule="auto"/>
        <w:rPr>
          <w:rFonts w:ascii="Arial" w:hAnsi="Arial" w:cs="Arial"/>
          <w:b/>
          <w:bCs/>
          <w:sz w:val="24"/>
          <w:szCs w:val="24"/>
          <w:u w:val="single"/>
        </w:rPr>
      </w:pPr>
      <w:r>
        <w:rPr>
          <w:rFonts w:ascii="Arial" w:hAnsi="Arial" w:cs="Arial"/>
          <w:b/>
          <w:bCs/>
          <w:sz w:val="24"/>
          <w:szCs w:val="24"/>
          <w:u w:val="single"/>
        </w:rPr>
        <w:t>Reference List:</w:t>
      </w:r>
    </w:p>
    <w:p w14:paraId="55E949C5" w14:textId="77777777" w:rsidR="001C5302" w:rsidRDefault="001C5302" w:rsidP="00B92746">
      <w:pPr>
        <w:spacing w:line="480" w:lineRule="auto"/>
        <w:rPr>
          <w:rFonts w:ascii="Arial" w:hAnsi="Arial" w:cs="Arial"/>
          <w:sz w:val="24"/>
          <w:szCs w:val="24"/>
        </w:rPr>
      </w:pPr>
      <w:r>
        <w:rPr>
          <w:rFonts w:ascii="Arial" w:hAnsi="Arial" w:cs="Arial"/>
          <w:sz w:val="24"/>
          <w:szCs w:val="24"/>
        </w:rPr>
        <w:t xml:space="preserve">Bray, J. (2016) </w:t>
      </w:r>
      <w:r>
        <w:rPr>
          <w:rFonts w:ascii="Arial" w:hAnsi="Arial" w:cs="Arial"/>
          <w:i/>
          <w:iCs/>
          <w:sz w:val="24"/>
          <w:szCs w:val="24"/>
        </w:rPr>
        <w:t xml:space="preserve">Unlocking Land Law. </w:t>
      </w:r>
      <w:r>
        <w:rPr>
          <w:rFonts w:ascii="Arial" w:hAnsi="Arial" w:cs="Arial"/>
          <w:sz w:val="24"/>
          <w:szCs w:val="24"/>
        </w:rPr>
        <w:t>5</w:t>
      </w:r>
      <w:r w:rsidRPr="00DA54DA">
        <w:rPr>
          <w:rFonts w:ascii="Arial" w:hAnsi="Arial" w:cs="Arial"/>
          <w:sz w:val="24"/>
          <w:szCs w:val="24"/>
          <w:vertAlign w:val="superscript"/>
        </w:rPr>
        <w:t>th</w:t>
      </w:r>
      <w:r>
        <w:rPr>
          <w:rFonts w:ascii="Arial" w:hAnsi="Arial" w:cs="Arial"/>
          <w:sz w:val="24"/>
          <w:szCs w:val="24"/>
        </w:rPr>
        <w:t xml:space="preserve"> Ed. New York: Routledge.</w:t>
      </w:r>
    </w:p>
    <w:p w14:paraId="71BFF317" w14:textId="25A17AD9" w:rsidR="001C5302" w:rsidRDefault="001C5302" w:rsidP="00B92746">
      <w:pPr>
        <w:spacing w:line="480" w:lineRule="auto"/>
        <w:rPr>
          <w:rFonts w:ascii="Arial" w:hAnsi="Arial" w:cs="Arial"/>
          <w:sz w:val="24"/>
          <w:szCs w:val="24"/>
        </w:rPr>
      </w:pPr>
      <w:r>
        <w:rPr>
          <w:rFonts w:ascii="Arial" w:hAnsi="Arial" w:cs="Arial"/>
          <w:sz w:val="24"/>
          <w:szCs w:val="24"/>
        </w:rPr>
        <w:t xml:space="preserve">Clarke, S., and Greer, S. (2020) </w:t>
      </w:r>
      <w:r>
        <w:rPr>
          <w:rFonts w:ascii="Arial" w:hAnsi="Arial" w:cs="Arial"/>
          <w:i/>
          <w:iCs/>
          <w:sz w:val="24"/>
          <w:szCs w:val="24"/>
        </w:rPr>
        <w:t xml:space="preserve">Land Law Directions. </w:t>
      </w:r>
      <w:r>
        <w:rPr>
          <w:rFonts w:ascii="Arial" w:hAnsi="Arial" w:cs="Arial"/>
          <w:sz w:val="24"/>
          <w:szCs w:val="24"/>
        </w:rPr>
        <w:t>7</w:t>
      </w:r>
      <w:r w:rsidRPr="00A965CE">
        <w:rPr>
          <w:rFonts w:ascii="Arial" w:hAnsi="Arial" w:cs="Arial"/>
          <w:sz w:val="24"/>
          <w:szCs w:val="24"/>
          <w:vertAlign w:val="superscript"/>
        </w:rPr>
        <w:t>th</w:t>
      </w:r>
      <w:r>
        <w:rPr>
          <w:rFonts w:ascii="Arial" w:hAnsi="Arial" w:cs="Arial"/>
          <w:sz w:val="24"/>
          <w:szCs w:val="24"/>
        </w:rPr>
        <w:t xml:space="preserve"> Ed. United Kingdom: Oxford University Press.</w:t>
      </w:r>
    </w:p>
    <w:p w14:paraId="3EF2A1B9" w14:textId="7F7F0718" w:rsidR="00E574C1" w:rsidRPr="00014743" w:rsidRDefault="00E574C1" w:rsidP="00B92746">
      <w:pPr>
        <w:spacing w:line="480" w:lineRule="auto"/>
        <w:rPr>
          <w:rFonts w:ascii="Arial" w:hAnsi="Arial" w:cs="Arial"/>
          <w:sz w:val="24"/>
          <w:szCs w:val="24"/>
        </w:rPr>
      </w:pPr>
      <w:r>
        <w:rPr>
          <w:rFonts w:ascii="Arial" w:hAnsi="Arial" w:cs="Arial"/>
          <w:sz w:val="24"/>
          <w:szCs w:val="24"/>
        </w:rPr>
        <w:t xml:space="preserve">Cox, T., and Lees, K. (2014) </w:t>
      </w:r>
      <w:r w:rsidR="005D4701">
        <w:rPr>
          <w:rFonts w:ascii="Arial" w:hAnsi="Arial" w:cs="Arial"/>
          <w:i/>
          <w:iCs/>
          <w:sz w:val="24"/>
          <w:szCs w:val="24"/>
        </w:rPr>
        <w:t>Mortgagees’ Remedies in a Shaky Market</w:t>
      </w:r>
      <w:r w:rsidR="00014743">
        <w:rPr>
          <w:rFonts w:ascii="Arial" w:hAnsi="Arial" w:cs="Arial"/>
          <w:i/>
          <w:iCs/>
          <w:sz w:val="24"/>
          <w:szCs w:val="24"/>
        </w:rPr>
        <w:t xml:space="preserve">. </w:t>
      </w:r>
      <w:r w:rsidR="00014743">
        <w:rPr>
          <w:rFonts w:ascii="Arial" w:hAnsi="Arial" w:cs="Arial"/>
          <w:sz w:val="24"/>
          <w:szCs w:val="24"/>
        </w:rPr>
        <w:t xml:space="preserve">Available at: </w:t>
      </w:r>
      <w:hyperlink r:id="rId14" w:history="1">
        <w:r w:rsidR="006558D7" w:rsidRPr="00991931">
          <w:rPr>
            <w:rStyle w:val="Hyperlink"/>
            <w:rFonts w:ascii="Arial" w:hAnsi="Arial" w:cs="Arial"/>
            <w:sz w:val="24"/>
            <w:szCs w:val="24"/>
          </w:rPr>
          <w:t>https://falcon-chambers.com/images/uploads/articles/Motgagees_Remedies_in_a_Shaky_Market.pdf</w:t>
        </w:r>
      </w:hyperlink>
      <w:r w:rsidR="006558D7">
        <w:rPr>
          <w:rFonts w:ascii="Arial" w:hAnsi="Arial" w:cs="Arial"/>
          <w:sz w:val="24"/>
          <w:szCs w:val="24"/>
        </w:rPr>
        <w:t xml:space="preserve"> (Accessed on: 4</w:t>
      </w:r>
      <w:r w:rsidR="006558D7" w:rsidRPr="006558D7">
        <w:rPr>
          <w:rFonts w:ascii="Arial" w:hAnsi="Arial" w:cs="Arial"/>
          <w:sz w:val="24"/>
          <w:szCs w:val="24"/>
          <w:vertAlign w:val="superscript"/>
        </w:rPr>
        <w:t>th</w:t>
      </w:r>
      <w:r w:rsidR="006558D7">
        <w:rPr>
          <w:rFonts w:ascii="Arial" w:hAnsi="Arial" w:cs="Arial"/>
          <w:sz w:val="24"/>
          <w:szCs w:val="24"/>
        </w:rPr>
        <w:t xml:space="preserve"> December, 2021).</w:t>
      </w:r>
    </w:p>
    <w:p w14:paraId="6BDDA21A" w14:textId="77777777" w:rsidR="001C5302" w:rsidRDefault="001C5302" w:rsidP="00B92746">
      <w:pPr>
        <w:spacing w:line="480" w:lineRule="auto"/>
        <w:rPr>
          <w:rFonts w:ascii="Arial" w:hAnsi="Arial" w:cs="Arial"/>
          <w:sz w:val="24"/>
          <w:szCs w:val="24"/>
        </w:rPr>
      </w:pPr>
      <w:r>
        <w:rPr>
          <w:rFonts w:ascii="Arial" w:hAnsi="Arial" w:cs="Arial"/>
          <w:sz w:val="24"/>
          <w:szCs w:val="24"/>
        </w:rPr>
        <w:t xml:space="preserve">Duddington, J. (2015) </w:t>
      </w:r>
      <w:r>
        <w:rPr>
          <w:rFonts w:ascii="Arial" w:hAnsi="Arial" w:cs="Arial"/>
          <w:i/>
          <w:iCs/>
          <w:sz w:val="24"/>
          <w:szCs w:val="24"/>
        </w:rPr>
        <w:t xml:space="preserve">Land Law. </w:t>
      </w:r>
      <w:r>
        <w:rPr>
          <w:rFonts w:ascii="Arial" w:hAnsi="Arial" w:cs="Arial"/>
          <w:sz w:val="24"/>
          <w:szCs w:val="24"/>
        </w:rPr>
        <w:t>5</w:t>
      </w:r>
      <w:r w:rsidRPr="00A43FB1">
        <w:rPr>
          <w:rFonts w:ascii="Arial" w:hAnsi="Arial" w:cs="Arial"/>
          <w:sz w:val="24"/>
          <w:szCs w:val="24"/>
          <w:vertAlign w:val="superscript"/>
        </w:rPr>
        <w:t>th</w:t>
      </w:r>
      <w:r>
        <w:rPr>
          <w:rFonts w:ascii="Arial" w:hAnsi="Arial" w:cs="Arial"/>
          <w:sz w:val="24"/>
          <w:szCs w:val="24"/>
        </w:rPr>
        <w:t xml:space="preserve"> Ed. United Kingdom: Pearson Education Limited.</w:t>
      </w:r>
    </w:p>
    <w:p w14:paraId="10BDA17F" w14:textId="7FBEAE4F" w:rsidR="001C5302" w:rsidRDefault="001C5302" w:rsidP="00B92746">
      <w:pPr>
        <w:spacing w:line="480" w:lineRule="auto"/>
        <w:rPr>
          <w:rFonts w:ascii="Arial" w:hAnsi="Arial" w:cs="Arial"/>
          <w:sz w:val="24"/>
          <w:szCs w:val="24"/>
        </w:rPr>
      </w:pPr>
      <w:r>
        <w:rPr>
          <w:rFonts w:ascii="Arial" w:hAnsi="Arial" w:cs="Arial"/>
          <w:sz w:val="24"/>
          <w:szCs w:val="24"/>
        </w:rPr>
        <w:t xml:space="preserve">Gray, K., and Gray, S. F. (2011) </w:t>
      </w:r>
      <w:r>
        <w:rPr>
          <w:rFonts w:ascii="Arial" w:hAnsi="Arial" w:cs="Arial"/>
          <w:i/>
          <w:iCs/>
          <w:sz w:val="24"/>
          <w:szCs w:val="24"/>
        </w:rPr>
        <w:t>Land Law.</w:t>
      </w:r>
      <w:r>
        <w:rPr>
          <w:rFonts w:ascii="Arial" w:hAnsi="Arial" w:cs="Arial"/>
          <w:sz w:val="24"/>
          <w:szCs w:val="24"/>
        </w:rPr>
        <w:t xml:space="preserve"> 7</w:t>
      </w:r>
      <w:r w:rsidRPr="002C519C">
        <w:rPr>
          <w:rFonts w:ascii="Arial" w:hAnsi="Arial" w:cs="Arial"/>
          <w:sz w:val="24"/>
          <w:szCs w:val="24"/>
          <w:vertAlign w:val="superscript"/>
        </w:rPr>
        <w:t>th</w:t>
      </w:r>
      <w:r>
        <w:rPr>
          <w:rFonts w:ascii="Arial" w:hAnsi="Arial" w:cs="Arial"/>
          <w:sz w:val="24"/>
          <w:szCs w:val="24"/>
        </w:rPr>
        <w:t xml:space="preserve"> Ed. New York: Oxford University Press.</w:t>
      </w:r>
    </w:p>
    <w:p w14:paraId="5131FA05" w14:textId="5381E2C0" w:rsidR="005C7133" w:rsidRDefault="005C7133" w:rsidP="00B92746">
      <w:pPr>
        <w:spacing w:line="480" w:lineRule="auto"/>
        <w:rPr>
          <w:rFonts w:ascii="Arial" w:hAnsi="Arial" w:cs="Arial"/>
          <w:sz w:val="24"/>
          <w:szCs w:val="24"/>
        </w:rPr>
      </w:pPr>
      <w:r>
        <w:rPr>
          <w:rFonts w:ascii="Arial" w:hAnsi="Arial" w:cs="Arial"/>
          <w:sz w:val="24"/>
          <w:szCs w:val="24"/>
        </w:rPr>
        <w:t xml:space="preserve">Hill, S., and Bedworth, G. (2006) </w:t>
      </w:r>
      <w:r w:rsidR="00E92A14">
        <w:rPr>
          <w:rFonts w:ascii="Arial" w:hAnsi="Arial" w:cs="Arial"/>
          <w:i/>
          <w:iCs/>
          <w:sz w:val="24"/>
          <w:szCs w:val="24"/>
        </w:rPr>
        <w:t xml:space="preserve">Mortgage Possession Claims – How long to go? </w:t>
      </w:r>
      <w:r w:rsidR="00E92A14">
        <w:rPr>
          <w:rFonts w:ascii="Arial" w:hAnsi="Arial" w:cs="Arial"/>
          <w:sz w:val="24"/>
          <w:szCs w:val="24"/>
        </w:rPr>
        <w:t xml:space="preserve">Available at: </w:t>
      </w:r>
      <w:hyperlink r:id="rId15" w:history="1">
        <w:r w:rsidR="00E703F1" w:rsidRPr="00991931">
          <w:rPr>
            <w:rStyle w:val="Hyperlink"/>
            <w:rFonts w:ascii="Arial" w:hAnsi="Arial" w:cs="Arial"/>
            <w:sz w:val="24"/>
            <w:szCs w:val="24"/>
          </w:rPr>
          <w:t>https://www.33bedfordrow.co.uk/insights/articles/mortgage-possession-claims---how-long-to-go</w:t>
        </w:r>
      </w:hyperlink>
      <w:r w:rsidR="00E703F1">
        <w:rPr>
          <w:rFonts w:ascii="Arial" w:hAnsi="Arial" w:cs="Arial"/>
          <w:sz w:val="24"/>
          <w:szCs w:val="24"/>
        </w:rPr>
        <w:t xml:space="preserve"> (Accessed on: 4</w:t>
      </w:r>
      <w:r w:rsidR="00E703F1" w:rsidRPr="00E703F1">
        <w:rPr>
          <w:rFonts w:ascii="Arial" w:hAnsi="Arial" w:cs="Arial"/>
          <w:sz w:val="24"/>
          <w:szCs w:val="24"/>
          <w:vertAlign w:val="superscript"/>
        </w:rPr>
        <w:t>th</w:t>
      </w:r>
      <w:r w:rsidR="00E703F1">
        <w:rPr>
          <w:rFonts w:ascii="Arial" w:hAnsi="Arial" w:cs="Arial"/>
          <w:sz w:val="24"/>
          <w:szCs w:val="24"/>
        </w:rPr>
        <w:t xml:space="preserve"> December, 2021).</w:t>
      </w:r>
    </w:p>
    <w:p w14:paraId="38E4D3F7" w14:textId="69E958F2" w:rsidR="003069F2" w:rsidRPr="00E92A14" w:rsidRDefault="003069F2" w:rsidP="00B92746">
      <w:pPr>
        <w:spacing w:line="480" w:lineRule="auto"/>
        <w:rPr>
          <w:rFonts w:ascii="Arial" w:hAnsi="Arial" w:cs="Arial"/>
          <w:sz w:val="24"/>
          <w:szCs w:val="24"/>
        </w:rPr>
      </w:pPr>
      <w:r>
        <w:rPr>
          <w:rFonts w:ascii="Arial" w:hAnsi="Arial" w:cs="Arial"/>
          <w:sz w:val="24"/>
          <w:szCs w:val="24"/>
        </w:rPr>
        <w:t xml:space="preserve">Law Commission (1986) </w:t>
      </w:r>
      <w:r>
        <w:rPr>
          <w:rFonts w:ascii="Arial" w:hAnsi="Arial" w:cs="Arial"/>
          <w:i/>
          <w:iCs/>
          <w:sz w:val="24"/>
          <w:szCs w:val="24"/>
        </w:rPr>
        <w:t xml:space="preserve">Land Mortgages. </w:t>
      </w:r>
      <w:r>
        <w:rPr>
          <w:rFonts w:ascii="Arial" w:hAnsi="Arial" w:cs="Arial"/>
          <w:sz w:val="24"/>
          <w:szCs w:val="24"/>
        </w:rPr>
        <w:t xml:space="preserve">Available at: </w:t>
      </w:r>
      <w:hyperlink r:id="rId16" w:history="1">
        <w:r w:rsidRPr="00991931">
          <w:rPr>
            <w:rStyle w:val="Hyperlink"/>
            <w:rFonts w:ascii="Arial" w:hAnsi="Arial" w:cs="Arial"/>
            <w:sz w:val="24"/>
            <w:szCs w:val="24"/>
          </w:rPr>
          <w:t>https://s3-eu-west-2.amazonaws.com/lawcom-prod-storage-11jsxou24uy7q/uploads/2016/08/No.099-Land-of-Mortgages.pdf</w:t>
        </w:r>
      </w:hyperlink>
      <w:r>
        <w:rPr>
          <w:rFonts w:ascii="Arial" w:hAnsi="Arial" w:cs="Arial"/>
          <w:sz w:val="24"/>
          <w:szCs w:val="24"/>
        </w:rPr>
        <w:t xml:space="preserve"> (Working Paper No. 99) (Accessed on: 4</w:t>
      </w:r>
      <w:r w:rsidRPr="00495CD0">
        <w:rPr>
          <w:rFonts w:ascii="Arial" w:hAnsi="Arial" w:cs="Arial"/>
          <w:sz w:val="24"/>
          <w:szCs w:val="24"/>
          <w:vertAlign w:val="superscript"/>
        </w:rPr>
        <w:t>th</w:t>
      </w:r>
      <w:r>
        <w:rPr>
          <w:rFonts w:ascii="Arial" w:hAnsi="Arial" w:cs="Arial"/>
          <w:sz w:val="24"/>
          <w:szCs w:val="24"/>
        </w:rPr>
        <w:t xml:space="preserve"> December, 2021).</w:t>
      </w:r>
    </w:p>
    <w:p w14:paraId="246DDF03" w14:textId="4AB1595A" w:rsidR="008D25E2" w:rsidRDefault="008D25E2" w:rsidP="00B92746">
      <w:pPr>
        <w:spacing w:line="480" w:lineRule="auto"/>
        <w:rPr>
          <w:rFonts w:ascii="Arial" w:hAnsi="Arial" w:cs="Arial"/>
          <w:sz w:val="24"/>
          <w:szCs w:val="24"/>
        </w:rPr>
      </w:pPr>
      <w:r>
        <w:rPr>
          <w:rFonts w:ascii="Arial" w:hAnsi="Arial" w:cs="Arial"/>
          <w:sz w:val="24"/>
          <w:szCs w:val="24"/>
        </w:rPr>
        <w:t xml:space="preserve">Richards, P. (2014) </w:t>
      </w:r>
      <w:r>
        <w:rPr>
          <w:rFonts w:ascii="Arial" w:hAnsi="Arial" w:cs="Arial"/>
          <w:i/>
          <w:iCs/>
          <w:sz w:val="24"/>
          <w:szCs w:val="24"/>
        </w:rPr>
        <w:t xml:space="preserve">Land Law. </w:t>
      </w:r>
      <w:r>
        <w:rPr>
          <w:rFonts w:ascii="Arial" w:hAnsi="Arial" w:cs="Arial"/>
          <w:sz w:val="24"/>
          <w:szCs w:val="24"/>
        </w:rPr>
        <w:t>United Kingdom: Pearson Education Limited.</w:t>
      </w:r>
    </w:p>
    <w:p w14:paraId="1A7805A3" w14:textId="1F4991E9" w:rsidR="00050886" w:rsidRDefault="008D25E2" w:rsidP="008A3FA8">
      <w:pPr>
        <w:spacing w:line="480" w:lineRule="auto"/>
        <w:rPr>
          <w:rFonts w:ascii="Arial" w:hAnsi="Arial" w:cs="Arial"/>
          <w:sz w:val="24"/>
          <w:szCs w:val="24"/>
        </w:rPr>
      </w:pPr>
      <w:r>
        <w:rPr>
          <w:rFonts w:ascii="Arial" w:hAnsi="Arial" w:cs="Arial"/>
          <w:sz w:val="24"/>
          <w:szCs w:val="24"/>
        </w:rPr>
        <w:t xml:space="preserve">Sayles, V. (2020) </w:t>
      </w:r>
      <w:r>
        <w:rPr>
          <w:rFonts w:ascii="Arial" w:hAnsi="Arial" w:cs="Arial"/>
          <w:i/>
          <w:iCs/>
          <w:sz w:val="24"/>
          <w:szCs w:val="24"/>
        </w:rPr>
        <w:t xml:space="preserve">Land Law. </w:t>
      </w:r>
      <w:r>
        <w:rPr>
          <w:rFonts w:ascii="Arial" w:hAnsi="Arial" w:cs="Arial"/>
          <w:sz w:val="24"/>
          <w:szCs w:val="24"/>
        </w:rPr>
        <w:t>7</w:t>
      </w:r>
      <w:r w:rsidRPr="00C64A3D">
        <w:rPr>
          <w:rFonts w:ascii="Arial" w:hAnsi="Arial" w:cs="Arial"/>
          <w:sz w:val="24"/>
          <w:szCs w:val="24"/>
          <w:vertAlign w:val="superscript"/>
        </w:rPr>
        <w:t>th</w:t>
      </w:r>
      <w:r>
        <w:rPr>
          <w:rFonts w:ascii="Arial" w:hAnsi="Arial" w:cs="Arial"/>
          <w:sz w:val="24"/>
          <w:szCs w:val="24"/>
        </w:rPr>
        <w:t xml:space="preserve"> Ed. Glasgow: Oxford University Press.</w:t>
      </w:r>
    </w:p>
    <w:p w14:paraId="646F61E6" w14:textId="2D0FE064" w:rsidR="00417D9C" w:rsidRDefault="00417D9C" w:rsidP="008A3FA8">
      <w:pPr>
        <w:spacing w:line="480" w:lineRule="auto"/>
        <w:rPr>
          <w:rFonts w:ascii="Arial" w:hAnsi="Arial" w:cs="Arial"/>
          <w:sz w:val="24"/>
          <w:szCs w:val="24"/>
        </w:rPr>
      </w:pPr>
      <w:r>
        <w:rPr>
          <w:rFonts w:ascii="Arial" w:hAnsi="Arial" w:cs="Arial"/>
          <w:sz w:val="24"/>
          <w:szCs w:val="24"/>
        </w:rPr>
        <w:lastRenderedPageBreak/>
        <w:t xml:space="preserve">Sawtell, D. (2020) </w:t>
      </w:r>
      <w:r>
        <w:rPr>
          <w:rFonts w:ascii="Arial" w:hAnsi="Arial" w:cs="Arial"/>
          <w:i/>
          <w:iCs/>
          <w:sz w:val="24"/>
          <w:szCs w:val="24"/>
        </w:rPr>
        <w:t xml:space="preserve">The remedies of the mortgagee and appointing receivers. </w:t>
      </w:r>
      <w:r>
        <w:rPr>
          <w:rFonts w:ascii="Arial" w:hAnsi="Arial" w:cs="Arial"/>
          <w:sz w:val="24"/>
          <w:szCs w:val="24"/>
        </w:rPr>
        <w:t xml:space="preserve">Available at: </w:t>
      </w:r>
      <w:hyperlink r:id="rId17" w:history="1">
        <w:r w:rsidR="00E24704" w:rsidRPr="00991931">
          <w:rPr>
            <w:rStyle w:val="Hyperlink"/>
            <w:rFonts w:ascii="Arial" w:hAnsi="Arial" w:cs="Arial"/>
            <w:sz w:val="24"/>
            <w:szCs w:val="24"/>
          </w:rPr>
          <w:t>https://1f2ca7mxjow42e65q49871m1-wpengine.netdna-ssl.com/wp-content/uploads/2020/12/Sawtell-The-remedies-of-the-mortgagee-appointing-receivers-JIBFL-Dec-2020.pdf</w:t>
        </w:r>
      </w:hyperlink>
      <w:r w:rsidR="00E24704">
        <w:rPr>
          <w:rFonts w:ascii="Arial" w:hAnsi="Arial" w:cs="Arial"/>
          <w:sz w:val="24"/>
          <w:szCs w:val="24"/>
        </w:rPr>
        <w:t xml:space="preserve"> (Accessed on: </w:t>
      </w:r>
      <w:r w:rsidR="00843BE4">
        <w:rPr>
          <w:rFonts w:ascii="Arial" w:hAnsi="Arial" w:cs="Arial"/>
          <w:sz w:val="24"/>
          <w:szCs w:val="24"/>
        </w:rPr>
        <w:t>3</w:t>
      </w:r>
      <w:r w:rsidR="00843BE4" w:rsidRPr="00843BE4">
        <w:rPr>
          <w:rFonts w:ascii="Arial" w:hAnsi="Arial" w:cs="Arial"/>
          <w:sz w:val="24"/>
          <w:szCs w:val="24"/>
          <w:vertAlign w:val="superscript"/>
        </w:rPr>
        <w:t>rd</w:t>
      </w:r>
      <w:r w:rsidR="00843BE4">
        <w:rPr>
          <w:rFonts w:ascii="Arial" w:hAnsi="Arial" w:cs="Arial"/>
          <w:sz w:val="24"/>
          <w:szCs w:val="24"/>
        </w:rPr>
        <w:t xml:space="preserve"> December, 2021).</w:t>
      </w:r>
    </w:p>
    <w:p w14:paraId="55202B3A" w14:textId="06094353" w:rsidR="007E20C9" w:rsidRDefault="007E20C9" w:rsidP="008A3FA8">
      <w:pPr>
        <w:spacing w:line="480" w:lineRule="auto"/>
        <w:rPr>
          <w:rFonts w:ascii="Arial" w:hAnsi="Arial" w:cs="Arial"/>
          <w:sz w:val="24"/>
          <w:szCs w:val="24"/>
        </w:rPr>
      </w:pPr>
      <w:r>
        <w:rPr>
          <w:rFonts w:ascii="Arial" w:hAnsi="Arial" w:cs="Arial"/>
          <w:sz w:val="24"/>
          <w:szCs w:val="24"/>
        </w:rPr>
        <w:t>Tanfield</w:t>
      </w:r>
      <w:r w:rsidR="004F7437">
        <w:rPr>
          <w:rFonts w:ascii="Arial" w:hAnsi="Arial" w:cs="Arial"/>
          <w:sz w:val="24"/>
          <w:szCs w:val="24"/>
        </w:rPr>
        <w:t xml:space="preserve"> (2015) </w:t>
      </w:r>
      <w:r w:rsidR="004F7437">
        <w:rPr>
          <w:rFonts w:ascii="Arial" w:hAnsi="Arial" w:cs="Arial"/>
          <w:i/>
          <w:iCs/>
          <w:sz w:val="24"/>
          <w:szCs w:val="24"/>
        </w:rPr>
        <w:t xml:space="preserve">Administration of justice in mortgage possession claims: uncommon situations. </w:t>
      </w:r>
      <w:r w:rsidR="004F7437">
        <w:rPr>
          <w:rFonts w:ascii="Arial" w:hAnsi="Arial" w:cs="Arial"/>
          <w:sz w:val="24"/>
          <w:szCs w:val="24"/>
        </w:rPr>
        <w:t xml:space="preserve">Available at: </w:t>
      </w:r>
      <w:hyperlink r:id="rId18" w:history="1">
        <w:r w:rsidR="00950EE8" w:rsidRPr="00991931">
          <w:rPr>
            <w:rStyle w:val="Hyperlink"/>
            <w:rFonts w:ascii="Arial" w:hAnsi="Arial" w:cs="Arial"/>
            <w:sz w:val="24"/>
            <w:szCs w:val="24"/>
          </w:rPr>
          <w:t>https://www.tanfieldchambers.co.uk/2015/11/03/administration-of-justice-in-mortgage-possession-claims-uncommon-situations/</w:t>
        </w:r>
      </w:hyperlink>
      <w:r w:rsidR="00950EE8">
        <w:rPr>
          <w:rFonts w:ascii="Arial" w:hAnsi="Arial" w:cs="Arial"/>
          <w:sz w:val="24"/>
          <w:szCs w:val="24"/>
        </w:rPr>
        <w:t xml:space="preserve"> (Accessed on: 7</w:t>
      </w:r>
      <w:r w:rsidR="00950EE8" w:rsidRPr="00950EE8">
        <w:rPr>
          <w:rFonts w:ascii="Arial" w:hAnsi="Arial" w:cs="Arial"/>
          <w:sz w:val="24"/>
          <w:szCs w:val="24"/>
          <w:vertAlign w:val="superscript"/>
        </w:rPr>
        <w:t>th</w:t>
      </w:r>
      <w:r w:rsidR="00950EE8">
        <w:rPr>
          <w:rFonts w:ascii="Arial" w:hAnsi="Arial" w:cs="Arial"/>
          <w:sz w:val="24"/>
          <w:szCs w:val="24"/>
        </w:rPr>
        <w:t xml:space="preserve"> December, 2021).</w:t>
      </w:r>
    </w:p>
    <w:p w14:paraId="1CC63D25" w14:textId="7CAEA877" w:rsidR="00050886" w:rsidRDefault="00050886" w:rsidP="008A3FA8">
      <w:pPr>
        <w:spacing w:line="480" w:lineRule="auto"/>
        <w:rPr>
          <w:rFonts w:ascii="Arial" w:hAnsi="Arial" w:cs="Arial"/>
          <w:sz w:val="24"/>
          <w:szCs w:val="24"/>
        </w:rPr>
      </w:pPr>
    </w:p>
    <w:p w14:paraId="1B23BA83" w14:textId="669D2792" w:rsidR="00050886" w:rsidRDefault="00523021" w:rsidP="008A3FA8">
      <w:pPr>
        <w:spacing w:line="480" w:lineRule="auto"/>
        <w:rPr>
          <w:rFonts w:ascii="Arial" w:hAnsi="Arial" w:cs="Arial"/>
          <w:b/>
          <w:bCs/>
          <w:sz w:val="24"/>
          <w:szCs w:val="24"/>
          <w:u w:val="single"/>
        </w:rPr>
      </w:pPr>
      <w:r>
        <w:rPr>
          <w:rFonts w:ascii="Arial" w:hAnsi="Arial" w:cs="Arial"/>
          <w:b/>
          <w:bCs/>
          <w:sz w:val="24"/>
          <w:szCs w:val="24"/>
          <w:u w:val="single"/>
        </w:rPr>
        <w:t>List of Cases:</w:t>
      </w:r>
    </w:p>
    <w:p w14:paraId="171542D6" w14:textId="460D071C" w:rsidR="0038557C" w:rsidRDefault="0038557C" w:rsidP="00B92746">
      <w:pPr>
        <w:spacing w:line="480" w:lineRule="auto"/>
        <w:rPr>
          <w:rFonts w:ascii="Arial" w:hAnsi="Arial" w:cs="Arial"/>
          <w:sz w:val="24"/>
          <w:szCs w:val="24"/>
        </w:rPr>
      </w:pPr>
      <w:r>
        <w:rPr>
          <w:rFonts w:ascii="Arial" w:hAnsi="Arial" w:cs="Arial"/>
          <w:sz w:val="24"/>
          <w:szCs w:val="24"/>
        </w:rPr>
        <w:t>Administrative of Justice Act</w:t>
      </w:r>
      <w:r w:rsidR="006F4A61">
        <w:rPr>
          <w:rFonts w:ascii="Arial" w:hAnsi="Arial" w:cs="Arial"/>
          <w:sz w:val="24"/>
          <w:szCs w:val="24"/>
        </w:rPr>
        <w:t xml:space="preserve"> 1970, Her Majesty’s Stationery Office (The Stationery Office); London.</w:t>
      </w:r>
    </w:p>
    <w:p w14:paraId="7CD6A432" w14:textId="7748B1DE" w:rsidR="00401287" w:rsidRDefault="00401287" w:rsidP="00B92746">
      <w:pPr>
        <w:spacing w:line="480" w:lineRule="auto"/>
        <w:rPr>
          <w:rFonts w:ascii="Arial" w:hAnsi="Arial" w:cs="Arial"/>
          <w:sz w:val="24"/>
          <w:szCs w:val="24"/>
        </w:rPr>
      </w:pPr>
      <w:r>
        <w:rPr>
          <w:rFonts w:ascii="Arial" w:hAnsi="Arial" w:cs="Arial"/>
          <w:sz w:val="24"/>
          <w:szCs w:val="24"/>
        </w:rPr>
        <w:t>Administrative of Justice Act 197</w:t>
      </w:r>
      <w:r>
        <w:rPr>
          <w:rFonts w:ascii="Arial" w:hAnsi="Arial" w:cs="Arial"/>
          <w:sz w:val="24"/>
          <w:szCs w:val="24"/>
        </w:rPr>
        <w:t>3</w:t>
      </w:r>
      <w:r>
        <w:rPr>
          <w:rFonts w:ascii="Arial" w:hAnsi="Arial" w:cs="Arial"/>
          <w:sz w:val="24"/>
          <w:szCs w:val="24"/>
        </w:rPr>
        <w:t>, Her Majesty’s Stationery Office (The Stationery Office); London.</w:t>
      </w:r>
    </w:p>
    <w:p w14:paraId="5B66A1FE" w14:textId="7A0E35C1" w:rsidR="00FE7229" w:rsidRDefault="00FE7229" w:rsidP="00B92746">
      <w:pPr>
        <w:spacing w:line="480" w:lineRule="auto"/>
        <w:rPr>
          <w:rFonts w:ascii="Arial" w:hAnsi="Arial" w:cs="Arial"/>
          <w:sz w:val="24"/>
          <w:szCs w:val="24"/>
        </w:rPr>
      </w:pPr>
      <w:r>
        <w:rPr>
          <w:rFonts w:ascii="Arial" w:hAnsi="Arial" w:cs="Arial"/>
          <w:sz w:val="24"/>
          <w:szCs w:val="24"/>
        </w:rPr>
        <w:t>Alliance &amp; Leicester Plc v Slayford [2001] 1 All ER (Comm) 1.</w:t>
      </w:r>
    </w:p>
    <w:p w14:paraId="200979AC" w14:textId="77777777" w:rsidR="00327E94" w:rsidRDefault="008E1302" w:rsidP="00902EC9">
      <w:pPr>
        <w:spacing w:line="480" w:lineRule="auto"/>
        <w:rPr>
          <w:rFonts w:ascii="Arial" w:hAnsi="Arial" w:cs="Arial"/>
          <w:sz w:val="24"/>
          <w:szCs w:val="24"/>
        </w:rPr>
      </w:pPr>
      <w:r>
        <w:rPr>
          <w:rFonts w:ascii="Arial" w:hAnsi="Arial" w:cs="Arial"/>
          <w:sz w:val="24"/>
          <w:szCs w:val="24"/>
        </w:rPr>
        <w:t>Birmingham</w:t>
      </w:r>
      <w:r w:rsidR="00843BE4">
        <w:rPr>
          <w:rFonts w:ascii="Arial" w:hAnsi="Arial" w:cs="Arial"/>
          <w:sz w:val="24"/>
          <w:szCs w:val="24"/>
        </w:rPr>
        <w:t xml:space="preserve"> </w:t>
      </w:r>
      <w:r w:rsidR="0035154C">
        <w:rPr>
          <w:rFonts w:ascii="Arial" w:hAnsi="Arial" w:cs="Arial"/>
          <w:sz w:val="24"/>
          <w:szCs w:val="24"/>
        </w:rPr>
        <w:t>Citizen’s Permanent Building Society v Caunt [1962]</w:t>
      </w:r>
      <w:r w:rsidR="00AA5E71">
        <w:rPr>
          <w:rFonts w:ascii="Arial" w:hAnsi="Arial" w:cs="Arial"/>
          <w:sz w:val="24"/>
          <w:szCs w:val="24"/>
        </w:rPr>
        <w:t xml:space="preserve"> Ch 883.</w:t>
      </w:r>
      <w:r w:rsidR="00327E94" w:rsidRPr="00327E94">
        <w:rPr>
          <w:rFonts w:ascii="Arial" w:hAnsi="Arial" w:cs="Arial"/>
          <w:sz w:val="24"/>
          <w:szCs w:val="24"/>
        </w:rPr>
        <w:t xml:space="preserve"> </w:t>
      </w:r>
    </w:p>
    <w:p w14:paraId="1F17FEAB" w14:textId="7469F5D9" w:rsidR="00327E94" w:rsidRPr="00FE5861" w:rsidRDefault="00327E94" w:rsidP="00902EC9">
      <w:pPr>
        <w:spacing w:line="480" w:lineRule="auto"/>
        <w:rPr>
          <w:rFonts w:ascii="Arial" w:hAnsi="Arial" w:cs="Arial"/>
          <w:sz w:val="24"/>
          <w:szCs w:val="24"/>
        </w:rPr>
      </w:pPr>
      <w:r>
        <w:rPr>
          <w:rFonts w:ascii="Arial" w:hAnsi="Arial" w:cs="Arial"/>
          <w:sz w:val="24"/>
          <w:szCs w:val="24"/>
        </w:rPr>
        <w:t>Cheltenham and Glouster Building Society v Norgan [1996] 1 WLR 343.</w:t>
      </w:r>
    </w:p>
    <w:p w14:paraId="0E3132CA" w14:textId="767173D8" w:rsidR="008E1302" w:rsidRDefault="00327E94" w:rsidP="00B92746">
      <w:pPr>
        <w:spacing w:line="480" w:lineRule="auto"/>
        <w:rPr>
          <w:rFonts w:ascii="Arial" w:hAnsi="Arial" w:cs="Arial"/>
          <w:sz w:val="24"/>
          <w:szCs w:val="24"/>
        </w:rPr>
      </w:pPr>
      <w:r>
        <w:rPr>
          <w:rFonts w:ascii="Arial" w:hAnsi="Arial" w:cs="Arial"/>
          <w:sz w:val="24"/>
          <w:szCs w:val="24"/>
        </w:rPr>
        <w:t xml:space="preserve">Cheltenham and Glouster Building Society v </w:t>
      </w:r>
      <w:r w:rsidR="005C1FA5">
        <w:rPr>
          <w:rFonts w:ascii="Arial" w:hAnsi="Arial" w:cs="Arial"/>
          <w:sz w:val="24"/>
          <w:szCs w:val="24"/>
        </w:rPr>
        <w:t>Grant</w:t>
      </w:r>
      <w:r w:rsidR="00514C02">
        <w:rPr>
          <w:rFonts w:ascii="Arial" w:hAnsi="Arial" w:cs="Arial"/>
          <w:sz w:val="24"/>
          <w:szCs w:val="24"/>
        </w:rPr>
        <w:t xml:space="preserve"> </w:t>
      </w:r>
      <w:r w:rsidR="005C1FA5">
        <w:rPr>
          <w:rFonts w:ascii="Arial" w:hAnsi="Arial" w:cs="Arial"/>
          <w:sz w:val="24"/>
          <w:szCs w:val="24"/>
        </w:rPr>
        <w:t>[1996] 26 HLR 703.</w:t>
      </w:r>
    </w:p>
    <w:p w14:paraId="79761961" w14:textId="0A9F5A3C" w:rsidR="00514C02" w:rsidRDefault="00514C02" w:rsidP="00B92746">
      <w:pPr>
        <w:spacing w:line="480" w:lineRule="auto"/>
        <w:rPr>
          <w:rFonts w:ascii="Arial" w:hAnsi="Arial" w:cs="Arial"/>
          <w:sz w:val="24"/>
          <w:szCs w:val="24"/>
        </w:rPr>
      </w:pPr>
      <w:r>
        <w:rPr>
          <w:rFonts w:ascii="Arial" w:hAnsi="Arial" w:cs="Arial"/>
          <w:sz w:val="24"/>
          <w:szCs w:val="24"/>
        </w:rPr>
        <w:t xml:space="preserve">Criminal </w:t>
      </w:r>
      <w:r w:rsidR="005C0537">
        <w:rPr>
          <w:rFonts w:ascii="Arial" w:hAnsi="Arial" w:cs="Arial"/>
          <w:sz w:val="24"/>
          <w:szCs w:val="24"/>
        </w:rPr>
        <w:t>Law Act 1977</w:t>
      </w:r>
      <w:r w:rsidR="00401287">
        <w:rPr>
          <w:rFonts w:ascii="Arial" w:hAnsi="Arial" w:cs="Arial"/>
          <w:sz w:val="24"/>
          <w:szCs w:val="24"/>
        </w:rPr>
        <w:t xml:space="preserve">, </w:t>
      </w:r>
      <w:r w:rsidR="00401287">
        <w:rPr>
          <w:rFonts w:ascii="Arial" w:hAnsi="Arial" w:cs="Arial"/>
          <w:sz w:val="24"/>
          <w:szCs w:val="24"/>
        </w:rPr>
        <w:t>Her Majesty’s Stationery Office (The Stationery Office); London.</w:t>
      </w:r>
    </w:p>
    <w:p w14:paraId="1B5E05D2" w14:textId="37C6377D" w:rsidR="00302E7F" w:rsidRDefault="00302E7F" w:rsidP="00B92746">
      <w:pPr>
        <w:spacing w:line="480" w:lineRule="auto"/>
        <w:rPr>
          <w:rFonts w:ascii="Arial" w:hAnsi="Arial" w:cs="Arial"/>
          <w:sz w:val="24"/>
          <w:szCs w:val="24"/>
        </w:rPr>
      </w:pPr>
      <w:r>
        <w:rPr>
          <w:rFonts w:ascii="Arial" w:hAnsi="Arial" w:cs="Arial"/>
          <w:sz w:val="24"/>
          <w:szCs w:val="24"/>
        </w:rPr>
        <w:t>Four Maids Ltd v Dudley Marshall (Properties) Ltd [1957] Ch 317.</w:t>
      </w:r>
    </w:p>
    <w:p w14:paraId="4A4B8DA0" w14:textId="50AFD291" w:rsidR="000C4E43" w:rsidRDefault="000C4E43" w:rsidP="00B92746">
      <w:pPr>
        <w:spacing w:line="480" w:lineRule="auto"/>
        <w:rPr>
          <w:rFonts w:ascii="Arial" w:hAnsi="Arial" w:cs="Arial"/>
          <w:sz w:val="24"/>
          <w:szCs w:val="24"/>
        </w:rPr>
      </w:pPr>
      <w:r>
        <w:rPr>
          <w:rFonts w:ascii="Arial" w:hAnsi="Arial" w:cs="Arial"/>
          <w:sz w:val="24"/>
          <w:szCs w:val="24"/>
        </w:rPr>
        <w:lastRenderedPageBreak/>
        <w:t>Land Registration Act 2002</w:t>
      </w:r>
      <w:r w:rsidR="00096784">
        <w:rPr>
          <w:rFonts w:ascii="Arial" w:hAnsi="Arial" w:cs="Arial"/>
          <w:sz w:val="24"/>
          <w:szCs w:val="24"/>
        </w:rPr>
        <w:t>, Her Majesty’s Stationery Office (The Stationery Office); London.</w:t>
      </w:r>
    </w:p>
    <w:p w14:paraId="56BB5F0E" w14:textId="5F2C4A4A" w:rsidR="00AA5894" w:rsidRDefault="00AA5894" w:rsidP="00B92746">
      <w:pPr>
        <w:spacing w:line="480" w:lineRule="auto"/>
        <w:rPr>
          <w:rFonts w:ascii="Arial" w:hAnsi="Arial" w:cs="Arial"/>
          <w:sz w:val="24"/>
          <w:szCs w:val="24"/>
        </w:rPr>
      </w:pPr>
      <w:r>
        <w:rPr>
          <w:rFonts w:ascii="Arial" w:hAnsi="Arial" w:cs="Arial"/>
          <w:sz w:val="24"/>
          <w:szCs w:val="24"/>
        </w:rPr>
        <w:t>Law of Property Act 1925, Her Majesty’s Stationery Office (The Stationery Office); London.</w:t>
      </w:r>
    </w:p>
    <w:p w14:paraId="412AF09E" w14:textId="7113A9F5" w:rsidR="00F53B76" w:rsidRDefault="00F53B76" w:rsidP="00B92746">
      <w:pPr>
        <w:spacing w:line="480" w:lineRule="auto"/>
        <w:rPr>
          <w:rFonts w:ascii="Arial" w:hAnsi="Arial" w:cs="Arial"/>
          <w:sz w:val="24"/>
          <w:szCs w:val="24"/>
        </w:rPr>
      </w:pPr>
      <w:r>
        <w:rPr>
          <w:rFonts w:ascii="Arial" w:hAnsi="Arial" w:cs="Arial"/>
          <w:sz w:val="24"/>
          <w:szCs w:val="24"/>
        </w:rPr>
        <w:t>National</w:t>
      </w:r>
      <w:r w:rsidR="00225FD8">
        <w:rPr>
          <w:rFonts w:ascii="Arial" w:hAnsi="Arial" w:cs="Arial"/>
          <w:sz w:val="24"/>
          <w:szCs w:val="24"/>
        </w:rPr>
        <w:t xml:space="preserve"> and Provincial Building Society v Lloyd [1996] 1 All ER 630.</w:t>
      </w:r>
    </w:p>
    <w:p w14:paraId="011201B7" w14:textId="76D6235F" w:rsidR="00302E7F" w:rsidRDefault="00302E7F" w:rsidP="00B92746">
      <w:pPr>
        <w:spacing w:line="480" w:lineRule="auto"/>
        <w:rPr>
          <w:rFonts w:ascii="Arial" w:hAnsi="Arial" w:cs="Arial"/>
          <w:sz w:val="24"/>
          <w:szCs w:val="24"/>
        </w:rPr>
      </w:pPr>
      <w:r>
        <w:rPr>
          <w:rFonts w:ascii="Arial" w:hAnsi="Arial" w:cs="Arial"/>
          <w:sz w:val="24"/>
          <w:szCs w:val="24"/>
        </w:rPr>
        <w:t>Ropaigealach v Barclays Bank Plc [2000]</w:t>
      </w:r>
      <w:r w:rsidR="00927F92">
        <w:rPr>
          <w:rFonts w:ascii="Arial" w:hAnsi="Arial" w:cs="Arial"/>
          <w:sz w:val="24"/>
          <w:szCs w:val="24"/>
        </w:rPr>
        <w:t xml:space="preserve"> 1 QB 263.</w:t>
      </w:r>
    </w:p>
    <w:p w14:paraId="1017E93A" w14:textId="5C013287" w:rsidR="00764752" w:rsidRDefault="00764752" w:rsidP="00B92746">
      <w:pPr>
        <w:spacing w:line="480" w:lineRule="auto"/>
        <w:rPr>
          <w:rFonts w:ascii="Arial" w:hAnsi="Arial" w:cs="Arial"/>
          <w:sz w:val="24"/>
          <w:szCs w:val="24"/>
        </w:rPr>
      </w:pPr>
      <w:r>
        <w:rPr>
          <w:rFonts w:ascii="Arial" w:hAnsi="Arial" w:cs="Arial"/>
          <w:sz w:val="24"/>
          <w:szCs w:val="24"/>
        </w:rPr>
        <w:t>Royal Trust Co of Canada v Markham [1975] 3 All ER 433.</w:t>
      </w:r>
    </w:p>
    <w:p w14:paraId="5D596644" w14:textId="77777777" w:rsidR="00523021" w:rsidRPr="00523021" w:rsidRDefault="00523021" w:rsidP="008A3FA8">
      <w:pPr>
        <w:spacing w:line="480" w:lineRule="auto"/>
        <w:rPr>
          <w:rFonts w:ascii="Arial" w:hAnsi="Arial" w:cs="Arial"/>
          <w:sz w:val="24"/>
          <w:szCs w:val="24"/>
        </w:rPr>
      </w:pPr>
    </w:p>
    <w:sectPr w:rsidR="00523021" w:rsidRPr="005230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670C5" w14:textId="77777777" w:rsidR="001B4F5B" w:rsidRDefault="001B4F5B" w:rsidP="001B4F5B">
      <w:pPr>
        <w:spacing w:after="0" w:line="240" w:lineRule="auto"/>
      </w:pPr>
      <w:r>
        <w:separator/>
      </w:r>
    </w:p>
  </w:endnote>
  <w:endnote w:type="continuationSeparator" w:id="0">
    <w:p w14:paraId="0AFFDF9B" w14:textId="77777777" w:rsidR="001B4F5B" w:rsidRDefault="001B4F5B" w:rsidP="001B4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A87E4" w14:textId="77777777" w:rsidR="001B4F5B" w:rsidRDefault="001B4F5B" w:rsidP="001B4F5B">
      <w:pPr>
        <w:spacing w:after="0" w:line="240" w:lineRule="auto"/>
      </w:pPr>
      <w:r>
        <w:separator/>
      </w:r>
    </w:p>
  </w:footnote>
  <w:footnote w:type="continuationSeparator" w:id="0">
    <w:p w14:paraId="0874CF54" w14:textId="77777777" w:rsidR="001B4F5B" w:rsidRDefault="001B4F5B" w:rsidP="001B4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72145"/>
    <w:multiLevelType w:val="hybridMultilevel"/>
    <w:tmpl w:val="3E2C99C6"/>
    <w:lvl w:ilvl="0" w:tplc="FFFFFFFF">
      <w:start w:val="8"/>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DB06F4"/>
    <w:multiLevelType w:val="hybridMultilevel"/>
    <w:tmpl w:val="E7FA00C0"/>
    <w:lvl w:ilvl="0" w:tplc="FFFFFFFF">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8BD"/>
    <w:rsid w:val="000005B0"/>
    <w:rsid w:val="000007B2"/>
    <w:rsid w:val="00000F2A"/>
    <w:rsid w:val="00001ADE"/>
    <w:rsid w:val="00002A8E"/>
    <w:rsid w:val="00003B07"/>
    <w:rsid w:val="00004266"/>
    <w:rsid w:val="000045B0"/>
    <w:rsid w:val="00010A09"/>
    <w:rsid w:val="000110A7"/>
    <w:rsid w:val="00011417"/>
    <w:rsid w:val="0001168C"/>
    <w:rsid w:val="000118BA"/>
    <w:rsid w:val="0001259B"/>
    <w:rsid w:val="00014237"/>
    <w:rsid w:val="00014743"/>
    <w:rsid w:val="0001777B"/>
    <w:rsid w:val="00017E36"/>
    <w:rsid w:val="000204AC"/>
    <w:rsid w:val="00020A3C"/>
    <w:rsid w:val="000218B9"/>
    <w:rsid w:val="000221B6"/>
    <w:rsid w:val="000243AF"/>
    <w:rsid w:val="00024503"/>
    <w:rsid w:val="000278A5"/>
    <w:rsid w:val="0003023F"/>
    <w:rsid w:val="000307DA"/>
    <w:rsid w:val="00030C1E"/>
    <w:rsid w:val="00031561"/>
    <w:rsid w:val="000316C4"/>
    <w:rsid w:val="00032806"/>
    <w:rsid w:val="00033B56"/>
    <w:rsid w:val="00033C67"/>
    <w:rsid w:val="00034227"/>
    <w:rsid w:val="000352B9"/>
    <w:rsid w:val="00040486"/>
    <w:rsid w:val="00041390"/>
    <w:rsid w:val="000422E7"/>
    <w:rsid w:val="00042A44"/>
    <w:rsid w:val="00042FB8"/>
    <w:rsid w:val="0004519B"/>
    <w:rsid w:val="00045BC8"/>
    <w:rsid w:val="00047A9F"/>
    <w:rsid w:val="00050886"/>
    <w:rsid w:val="00050E73"/>
    <w:rsid w:val="0005277C"/>
    <w:rsid w:val="0005314D"/>
    <w:rsid w:val="00053B99"/>
    <w:rsid w:val="00053BE9"/>
    <w:rsid w:val="0005450F"/>
    <w:rsid w:val="00054574"/>
    <w:rsid w:val="00054647"/>
    <w:rsid w:val="00055169"/>
    <w:rsid w:val="00055D3F"/>
    <w:rsid w:val="0006080C"/>
    <w:rsid w:val="00060977"/>
    <w:rsid w:val="00060FAF"/>
    <w:rsid w:val="000624AA"/>
    <w:rsid w:val="000656FC"/>
    <w:rsid w:val="00065783"/>
    <w:rsid w:val="0006693F"/>
    <w:rsid w:val="00067E5F"/>
    <w:rsid w:val="00070163"/>
    <w:rsid w:val="00070ADE"/>
    <w:rsid w:val="00072D53"/>
    <w:rsid w:val="000739F7"/>
    <w:rsid w:val="00073A86"/>
    <w:rsid w:val="00076D69"/>
    <w:rsid w:val="00077E34"/>
    <w:rsid w:val="00082C9F"/>
    <w:rsid w:val="000850B8"/>
    <w:rsid w:val="00087B1A"/>
    <w:rsid w:val="00087CA0"/>
    <w:rsid w:val="000902B8"/>
    <w:rsid w:val="00091422"/>
    <w:rsid w:val="00094758"/>
    <w:rsid w:val="00096784"/>
    <w:rsid w:val="000A174E"/>
    <w:rsid w:val="000A176E"/>
    <w:rsid w:val="000A2888"/>
    <w:rsid w:val="000A30F6"/>
    <w:rsid w:val="000A5E22"/>
    <w:rsid w:val="000A628F"/>
    <w:rsid w:val="000A6DD6"/>
    <w:rsid w:val="000A74D3"/>
    <w:rsid w:val="000B0096"/>
    <w:rsid w:val="000B0A3A"/>
    <w:rsid w:val="000B0ABC"/>
    <w:rsid w:val="000B1049"/>
    <w:rsid w:val="000B23AA"/>
    <w:rsid w:val="000B30AE"/>
    <w:rsid w:val="000B616B"/>
    <w:rsid w:val="000B6677"/>
    <w:rsid w:val="000B6D30"/>
    <w:rsid w:val="000B6D40"/>
    <w:rsid w:val="000B7386"/>
    <w:rsid w:val="000B7565"/>
    <w:rsid w:val="000C16E0"/>
    <w:rsid w:val="000C21E1"/>
    <w:rsid w:val="000C25D4"/>
    <w:rsid w:val="000C4E43"/>
    <w:rsid w:val="000C73A3"/>
    <w:rsid w:val="000D08B6"/>
    <w:rsid w:val="000D2918"/>
    <w:rsid w:val="000D2A9A"/>
    <w:rsid w:val="000D2C86"/>
    <w:rsid w:val="000D37E0"/>
    <w:rsid w:val="000D3E5B"/>
    <w:rsid w:val="000D46A9"/>
    <w:rsid w:val="000D5209"/>
    <w:rsid w:val="000D52BA"/>
    <w:rsid w:val="000D6403"/>
    <w:rsid w:val="000D6776"/>
    <w:rsid w:val="000D6CC4"/>
    <w:rsid w:val="000D7FB0"/>
    <w:rsid w:val="000E1C64"/>
    <w:rsid w:val="000E2469"/>
    <w:rsid w:val="000E2D0D"/>
    <w:rsid w:val="000E308F"/>
    <w:rsid w:val="000E31BF"/>
    <w:rsid w:val="000E3DFC"/>
    <w:rsid w:val="000E4ADE"/>
    <w:rsid w:val="000E5261"/>
    <w:rsid w:val="000E5795"/>
    <w:rsid w:val="000E67DD"/>
    <w:rsid w:val="000E726F"/>
    <w:rsid w:val="000E7A77"/>
    <w:rsid w:val="000F05E4"/>
    <w:rsid w:val="000F20C9"/>
    <w:rsid w:val="000F31D9"/>
    <w:rsid w:val="000F3785"/>
    <w:rsid w:val="000F5E02"/>
    <w:rsid w:val="00101431"/>
    <w:rsid w:val="0010376A"/>
    <w:rsid w:val="001037E6"/>
    <w:rsid w:val="001045E9"/>
    <w:rsid w:val="001046E2"/>
    <w:rsid w:val="00105C5C"/>
    <w:rsid w:val="00105E81"/>
    <w:rsid w:val="00107EE6"/>
    <w:rsid w:val="00107F15"/>
    <w:rsid w:val="001106F6"/>
    <w:rsid w:val="00113048"/>
    <w:rsid w:val="00114406"/>
    <w:rsid w:val="0011459D"/>
    <w:rsid w:val="00114F29"/>
    <w:rsid w:val="0011545E"/>
    <w:rsid w:val="00115B4C"/>
    <w:rsid w:val="00116447"/>
    <w:rsid w:val="001174A1"/>
    <w:rsid w:val="00117DC6"/>
    <w:rsid w:val="0012060F"/>
    <w:rsid w:val="001226F0"/>
    <w:rsid w:val="00124CFB"/>
    <w:rsid w:val="00125F41"/>
    <w:rsid w:val="00126BAF"/>
    <w:rsid w:val="001304FE"/>
    <w:rsid w:val="001313B3"/>
    <w:rsid w:val="0013241F"/>
    <w:rsid w:val="00132C8A"/>
    <w:rsid w:val="0013329F"/>
    <w:rsid w:val="00135BAF"/>
    <w:rsid w:val="00136462"/>
    <w:rsid w:val="00136489"/>
    <w:rsid w:val="0013704C"/>
    <w:rsid w:val="0013713F"/>
    <w:rsid w:val="001379B5"/>
    <w:rsid w:val="00140B94"/>
    <w:rsid w:val="00141564"/>
    <w:rsid w:val="00146CF4"/>
    <w:rsid w:val="00152F48"/>
    <w:rsid w:val="00153842"/>
    <w:rsid w:val="001540D1"/>
    <w:rsid w:val="00155568"/>
    <w:rsid w:val="00156B2D"/>
    <w:rsid w:val="001576AA"/>
    <w:rsid w:val="00157BE7"/>
    <w:rsid w:val="00160271"/>
    <w:rsid w:val="0016027D"/>
    <w:rsid w:val="00160C2F"/>
    <w:rsid w:val="00161050"/>
    <w:rsid w:val="00163DA5"/>
    <w:rsid w:val="00164C98"/>
    <w:rsid w:val="00164DA3"/>
    <w:rsid w:val="0016592B"/>
    <w:rsid w:val="00167145"/>
    <w:rsid w:val="00167ED4"/>
    <w:rsid w:val="001715FD"/>
    <w:rsid w:val="001717FA"/>
    <w:rsid w:val="00171AB0"/>
    <w:rsid w:val="001759AD"/>
    <w:rsid w:val="00175CAB"/>
    <w:rsid w:val="00176C95"/>
    <w:rsid w:val="00176F68"/>
    <w:rsid w:val="00177092"/>
    <w:rsid w:val="00180F3C"/>
    <w:rsid w:val="00181B88"/>
    <w:rsid w:val="00182172"/>
    <w:rsid w:val="001826A4"/>
    <w:rsid w:val="001828C2"/>
    <w:rsid w:val="00183DE8"/>
    <w:rsid w:val="00183FF2"/>
    <w:rsid w:val="00184C74"/>
    <w:rsid w:val="00186B64"/>
    <w:rsid w:val="00191D52"/>
    <w:rsid w:val="00191F25"/>
    <w:rsid w:val="001960F0"/>
    <w:rsid w:val="00197164"/>
    <w:rsid w:val="001977AC"/>
    <w:rsid w:val="00197DDF"/>
    <w:rsid w:val="001A0910"/>
    <w:rsid w:val="001A24F1"/>
    <w:rsid w:val="001A3A81"/>
    <w:rsid w:val="001A7195"/>
    <w:rsid w:val="001A71E9"/>
    <w:rsid w:val="001A74E2"/>
    <w:rsid w:val="001A7D18"/>
    <w:rsid w:val="001B0B8A"/>
    <w:rsid w:val="001B453E"/>
    <w:rsid w:val="001B4F5B"/>
    <w:rsid w:val="001B5D55"/>
    <w:rsid w:val="001C00C8"/>
    <w:rsid w:val="001C0A64"/>
    <w:rsid w:val="001C0CB7"/>
    <w:rsid w:val="001C1E0C"/>
    <w:rsid w:val="001C291A"/>
    <w:rsid w:val="001C3688"/>
    <w:rsid w:val="001C4924"/>
    <w:rsid w:val="001C4B12"/>
    <w:rsid w:val="001C5302"/>
    <w:rsid w:val="001D011D"/>
    <w:rsid w:val="001D2EF1"/>
    <w:rsid w:val="001D2FDF"/>
    <w:rsid w:val="001D4DA7"/>
    <w:rsid w:val="001D563E"/>
    <w:rsid w:val="001E242D"/>
    <w:rsid w:val="001E2E72"/>
    <w:rsid w:val="001E35BB"/>
    <w:rsid w:val="001E4966"/>
    <w:rsid w:val="001E6DDE"/>
    <w:rsid w:val="001E7D63"/>
    <w:rsid w:val="001F1162"/>
    <w:rsid w:val="001F12ED"/>
    <w:rsid w:val="001F2D2F"/>
    <w:rsid w:val="001F31A8"/>
    <w:rsid w:val="001F57F8"/>
    <w:rsid w:val="001F5F78"/>
    <w:rsid w:val="001F6338"/>
    <w:rsid w:val="001F6395"/>
    <w:rsid w:val="001F77A9"/>
    <w:rsid w:val="001F77D3"/>
    <w:rsid w:val="002007AE"/>
    <w:rsid w:val="002021E6"/>
    <w:rsid w:val="00203065"/>
    <w:rsid w:val="00205564"/>
    <w:rsid w:val="002056DD"/>
    <w:rsid w:val="00205925"/>
    <w:rsid w:val="002073B7"/>
    <w:rsid w:val="00207439"/>
    <w:rsid w:val="002079F7"/>
    <w:rsid w:val="00207BC8"/>
    <w:rsid w:val="00207FB6"/>
    <w:rsid w:val="00214262"/>
    <w:rsid w:val="002143F4"/>
    <w:rsid w:val="0021548C"/>
    <w:rsid w:val="00221501"/>
    <w:rsid w:val="0022167B"/>
    <w:rsid w:val="00221746"/>
    <w:rsid w:val="00221CA9"/>
    <w:rsid w:val="00222362"/>
    <w:rsid w:val="0022447D"/>
    <w:rsid w:val="00224CAE"/>
    <w:rsid w:val="00225A2C"/>
    <w:rsid w:val="00225DAC"/>
    <w:rsid w:val="00225FD7"/>
    <w:rsid w:val="00225FD8"/>
    <w:rsid w:val="00226FF9"/>
    <w:rsid w:val="00230C84"/>
    <w:rsid w:val="00230D42"/>
    <w:rsid w:val="0023430C"/>
    <w:rsid w:val="00234654"/>
    <w:rsid w:val="00234B8D"/>
    <w:rsid w:val="00235A13"/>
    <w:rsid w:val="002400E7"/>
    <w:rsid w:val="002413DF"/>
    <w:rsid w:val="00241980"/>
    <w:rsid w:val="002419E7"/>
    <w:rsid w:val="00242EBC"/>
    <w:rsid w:val="00242F61"/>
    <w:rsid w:val="0024443F"/>
    <w:rsid w:val="00244A90"/>
    <w:rsid w:val="00246CA4"/>
    <w:rsid w:val="0024717C"/>
    <w:rsid w:val="00252840"/>
    <w:rsid w:val="00253C29"/>
    <w:rsid w:val="00256981"/>
    <w:rsid w:val="0026424E"/>
    <w:rsid w:val="00266670"/>
    <w:rsid w:val="0026709B"/>
    <w:rsid w:val="00267585"/>
    <w:rsid w:val="002678BD"/>
    <w:rsid w:val="002679A1"/>
    <w:rsid w:val="0027246C"/>
    <w:rsid w:val="00272483"/>
    <w:rsid w:val="002727BD"/>
    <w:rsid w:val="00273532"/>
    <w:rsid w:val="0027354F"/>
    <w:rsid w:val="00275BAC"/>
    <w:rsid w:val="0027626D"/>
    <w:rsid w:val="002811DA"/>
    <w:rsid w:val="0028283E"/>
    <w:rsid w:val="0028347C"/>
    <w:rsid w:val="0028371E"/>
    <w:rsid w:val="00283A1F"/>
    <w:rsid w:val="00284670"/>
    <w:rsid w:val="00284D6A"/>
    <w:rsid w:val="00285174"/>
    <w:rsid w:val="002863B4"/>
    <w:rsid w:val="00287C4B"/>
    <w:rsid w:val="0029052F"/>
    <w:rsid w:val="00292889"/>
    <w:rsid w:val="00292E81"/>
    <w:rsid w:val="0029551D"/>
    <w:rsid w:val="00296BE8"/>
    <w:rsid w:val="002A0624"/>
    <w:rsid w:val="002A1CD2"/>
    <w:rsid w:val="002A22F9"/>
    <w:rsid w:val="002A527E"/>
    <w:rsid w:val="002A5D3A"/>
    <w:rsid w:val="002A5EAF"/>
    <w:rsid w:val="002A642E"/>
    <w:rsid w:val="002A76FB"/>
    <w:rsid w:val="002A7F29"/>
    <w:rsid w:val="002B22C0"/>
    <w:rsid w:val="002B2473"/>
    <w:rsid w:val="002B2D8C"/>
    <w:rsid w:val="002B3929"/>
    <w:rsid w:val="002B40BE"/>
    <w:rsid w:val="002B5D31"/>
    <w:rsid w:val="002B7D5F"/>
    <w:rsid w:val="002B7FDD"/>
    <w:rsid w:val="002C1AFC"/>
    <w:rsid w:val="002C21BA"/>
    <w:rsid w:val="002C375F"/>
    <w:rsid w:val="002C4C41"/>
    <w:rsid w:val="002C519C"/>
    <w:rsid w:val="002C7A7F"/>
    <w:rsid w:val="002C7D0D"/>
    <w:rsid w:val="002D1E70"/>
    <w:rsid w:val="002D53AF"/>
    <w:rsid w:val="002D568F"/>
    <w:rsid w:val="002D58F0"/>
    <w:rsid w:val="002D5C1E"/>
    <w:rsid w:val="002D60D1"/>
    <w:rsid w:val="002D6920"/>
    <w:rsid w:val="002D7756"/>
    <w:rsid w:val="002E0890"/>
    <w:rsid w:val="002E19B6"/>
    <w:rsid w:val="002E2169"/>
    <w:rsid w:val="002E3640"/>
    <w:rsid w:val="002E399C"/>
    <w:rsid w:val="002E481E"/>
    <w:rsid w:val="002E4CE8"/>
    <w:rsid w:val="002E5298"/>
    <w:rsid w:val="002E5672"/>
    <w:rsid w:val="002E67D2"/>
    <w:rsid w:val="002E71C9"/>
    <w:rsid w:val="002F1071"/>
    <w:rsid w:val="002F3DB5"/>
    <w:rsid w:val="002F4528"/>
    <w:rsid w:val="002F584A"/>
    <w:rsid w:val="002F6F93"/>
    <w:rsid w:val="0030050C"/>
    <w:rsid w:val="00302E7F"/>
    <w:rsid w:val="00303203"/>
    <w:rsid w:val="0030603A"/>
    <w:rsid w:val="003060E4"/>
    <w:rsid w:val="003069F2"/>
    <w:rsid w:val="00307D97"/>
    <w:rsid w:val="00307FC3"/>
    <w:rsid w:val="003110BB"/>
    <w:rsid w:val="0031144C"/>
    <w:rsid w:val="00311C7E"/>
    <w:rsid w:val="0031506B"/>
    <w:rsid w:val="00316455"/>
    <w:rsid w:val="003168F2"/>
    <w:rsid w:val="00321B04"/>
    <w:rsid w:val="00326293"/>
    <w:rsid w:val="00326403"/>
    <w:rsid w:val="0032743D"/>
    <w:rsid w:val="00327E94"/>
    <w:rsid w:val="0033027B"/>
    <w:rsid w:val="00330546"/>
    <w:rsid w:val="00331A72"/>
    <w:rsid w:val="0033290D"/>
    <w:rsid w:val="003333BC"/>
    <w:rsid w:val="00333B1F"/>
    <w:rsid w:val="003353D5"/>
    <w:rsid w:val="0034107D"/>
    <w:rsid w:val="00341278"/>
    <w:rsid w:val="0034437D"/>
    <w:rsid w:val="003465E7"/>
    <w:rsid w:val="00347C3A"/>
    <w:rsid w:val="00350BE5"/>
    <w:rsid w:val="0035154C"/>
    <w:rsid w:val="0035161B"/>
    <w:rsid w:val="00354164"/>
    <w:rsid w:val="00354593"/>
    <w:rsid w:val="00355233"/>
    <w:rsid w:val="0035649B"/>
    <w:rsid w:val="0036189C"/>
    <w:rsid w:val="00361F60"/>
    <w:rsid w:val="00363F20"/>
    <w:rsid w:val="00364DCD"/>
    <w:rsid w:val="00365D13"/>
    <w:rsid w:val="00365F20"/>
    <w:rsid w:val="0036698E"/>
    <w:rsid w:val="00367295"/>
    <w:rsid w:val="0037031E"/>
    <w:rsid w:val="00370AE4"/>
    <w:rsid w:val="00370C9C"/>
    <w:rsid w:val="003714CC"/>
    <w:rsid w:val="003736B8"/>
    <w:rsid w:val="0037511E"/>
    <w:rsid w:val="003757B4"/>
    <w:rsid w:val="003761F9"/>
    <w:rsid w:val="00381481"/>
    <w:rsid w:val="00381CAE"/>
    <w:rsid w:val="00382A7E"/>
    <w:rsid w:val="00382B4F"/>
    <w:rsid w:val="00384EF2"/>
    <w:rsid w:val="0038557C"/>
    <w:rsid w:val="00386F92"/>
    <w:rsid w:val="00386FCA"/>
    <w:rsid w:val="003905C0"/>
    <w:rsid w:val="00391E11"/>
    <w:rsid w:val="00393681"/>
    <w:rsid w:val="00394ADE"/>
    <w:rsid w:val="00394C6E"/>
    <w:rsid w:val="00396184"/>
    <w:rsid w:val="00397B83"/>
    <w:rsid w:val="00397D9E"/>
    <w:rsid w:val="003A0F8D"/>
    <w:rsid w:val="003A1E09"/>
    <w:rsid w:val="003A202E"/>
    <w:rsid w:val="003A20DF"/>
    <w:rsid w:val="003A2E0A"/>
    <w:rsid w:val="003A5A9C"/>
    <w:rsid w:val="003B1F8C"/>
    <w:rsid w:val="003B4067"/>
    <w:rsid w:val="003B516A"/>
    <w:rsid w:val="003B54E9"/>
    <w:rsid w:val="003B579A"/>
    <w:rsid w:val="003C10E0"/>
    <w:rsid w:val="003C1C62"/>
    <w:rsid w:val="003C2F0B"/>
    <w:rsid w:val="003D145C"/>
    <w:rsid w:val="003D1F61"/>
    <w:rsid w:val="003D7346"/>
    <w:rsid w:val="003D7D41"/>
    <w:rsid w:val="003E00EE"/>
    <w:rsid w:val="003E0BF5"/>
    <w:rsid w:val="003E109A"/>
    <w:rsid w:val="003E144F"/>
    <w:rsid w:val="003E36A9"/>
    <w:rsid w:val="003E5C08"/>
    <w:rsid w:val="003E7394"/>
    <w:rsid w:val="003F2CE6"/>
    <w:rsid w:val="003F3750"/>
    <w:rsid w:val="003F4C27"/>
    <w:rsid w:val="003F580F"/>
    <w:rsid w:val="003F66B2"/>
    <w:rsid w:val="003F6EE2"/>
    <w:rsid w:val="003F7431"/>
    <w:rsid w:val="00400091"/>
    <w:rsid w:val="00400F62"/>
    <w:rsid w:val="00401287"/>
    <w:rsid w:val="004015B1"/>
    <w:rsid w:val="004021AB"/>
    <w:rsid w:val="00402515"/>
    <w:rsid w:val="00402C78"/>
    <w:rsid w:val="00403563"/>
    <w:rsid w:val="00406CE2"/>
    <w:rsid w:val="00407986"/>
    <w:rsid w:val="004104BA"/>
    <w:rsid w:val="0041155C"/>
    <w:rsid w:val="00411813"/>
    <w:rsid w:val="004121A5"/>
    <w:rsid w:val="004125C9"/>
    <w:rsid w:val="004157D7"/>
    <w:rsid w:val="004157E7"/>
    <w:rsid w:val="00415BE5"/>
    <w:rsid w:val="004167F5"/>
    <w:rsid w:val="00416F91"/>
    <w:rsid w:val="00417A3B"/>
    <w:rsid w:val="00417B0D"/>
    <w:rsid w:val="00417D9C"/>
    <w:rsid w:val="00420D32"/>
    <w:rsid w:val="0042281A"/>
    <w:rsid w:val="00424607"/>
    <w:rsid w:val="00424F0F"/>
    <w:rsid w:val="004258D0"/>
    <w:rsid w:val="00425A37"/>
    <w:rsid w:val="00430D4E"/>
    <w:rsid w:val="0043162A"/>
    <w:rsid w:val="00432F09"/>
    <w:rsid w:val="00434D0F"/>
    <w:rsid w:val="00435A73"/>
    <w:rsid w:val="004360D9"/>
    <w:rsid w:val="00436D99"/>
    <w:rsid w:val="00437626"/>
    <w:rsid w:val="00437C63"/>
    <w:rsid w:val="00440A60"/>
    <w:rsid w:val="004414D5"/>
    <w:rsid w:val="00441536"/>
    <w:rsid w:val="00442BA3"/>
    <w:rsid w:val="004435DF"/>
    <w:rsid w:val="0044406A"/>
    <w:rsid w:val="004443DA"/>
    <w:rsid w:val="004444C7"/>
    <w:rsid w:val="00445D5D"/>
    <w:rsid w:val="00446ECD"/>
    <w:rsid w:val="00447043"/>
    <w:rsid w:val="00447E42"/>
    <w:rsid w:val="00447EF3"/>
    <w:rsid w:val="0045516A"/>
    <w:rsid w:val="004601B0"/>
    <w:rsid w:val="0046258D"/>
    <w:rsid w:val="00462748"/>
    <w:rsid w:val="0046422D"/>
    <w:rsid w:val="00466390"/>
    <w:rsid w:val="00471237"/>
    <w:rsid w:val="0047252B"/>
    <w:rsid w:val="004739E3"/>
    <w:rsid w:val="00474866"/>
    <w:rsid w:val="00474A16"/>
    <w:rsid w:val="00475859"/>
    <w:rsid w:val="00476A07"/>
    <w:rsid w:val="0047727F"/>
    <w:rsid w:val="00482567"/>
    <w:rsid w:val="00483EC5"/>
    <w:rsid w:val="00484EAA"/>
    <w:rsid w:val="00484F2E"/>
    <w:rsid w:val="0048653D"/>
    <w:rsid w:val="0049074D"/>
    <w:rsid w:val="00490FA3"/>
    <w:rsid w:val="004913B3"/>
    <w:rsid w:val="00492798"/>
    <w:rsid w:val="0049300D"/>
    <w:rsid w:val="0049499B"/>
    <w:rsid w:val="00495CD0"/>
    <w:rsid w:val="0049653F"/>
    <w:rsid w:val="00497C2B"/>
    <w:rsid w:val="004A0E28"/>
    <w:rsid w:val="004A144E"/>
    <w:rsid w:val="004A57BE"/>
    <w:rsid w:val="004A7812"/>
    <w:rsid w:val="004B006D"/>
    <w:rsid w:val="004B01F0"/>
    <w:rsid w:val="004B0B48"/>
    <w:rsid w:val="004B0DCA"/>
    <w:rsid w:val="004B24DA"/>
    <w:rsid w:val="004B34B2"/>
    <w:rsid w:val="004B4E60"/>
    <w:rsid w:val="004B6452"/>
    <w:rsid w:val="004B7235"/>
    <w:rsid w:val="004C186B"/>
    <w:rsid w:val="004C1FD8"/>
    <w:rsid w:val="004C3E12"/>
    <w:rsid w:val="004C4C56"/>
    <w:rsid w:val="004C6202"/>
    <w:rsid w:val="004C7025"/>
    <w:rsid w:val="004D0699"/>
    <w:rsid w:val="004D0F30"/>
    <w:rsid w:val="004D2DEE"/>
    <w:rsid w:val="004D3533"/>
    <w:rsid w:val="004D3FCA"/>
    <w:rsid w:val="004D425F"/>
    <w:rsid w:val="004D509D"/>
    <w:rsid w:val="004D6395"/>
    <w:rsid w:val="004D714F"/>
    <w:rsid w:val="004D7A9D"/>
    <w:rsid w:val="004E0C4B"/>
    <w:rsid w:val="004E1816"/>
    <w:rsid w:val="004E1A9A"/>
    <w:rsid w:val="004E1CC3"/>
    <w:rsid w:val="004E2B1A"/>
    <w:rsid w:val="004E3357"/>
    <w:rsid w:val="004E3D7E"/>
    <w:rsid w:val="004E4DC6"/>
    <w:rsid w:val="004E5DCE"/>
    <w:rsid w:val="004E6A25"/>
    <w:rsid w:val="004F52BC"/>
    <w:rsid w:val="004F634C"/>
    <w:rsid w:val="004F7437"/>
    <w:rsid w:val="00502C7C"/>
    <w:rsid w:val="00502CB0"/>
    <w:rsid w:val="005059A6"/>
    <w:rsid w:val="00505E0E"/>
    <w:rsid w:val="00506D9C"/>
    <w:rsid w:val="005114B1"/>
    <w:rsid w:val="00511618"/>
    <w:rsid w:val="00511ED4"/>
    <w:rsid w:val="00512790"/>
    <w:rsid w:val="00512FE4"/>
    <w:rsid w:val="005138D4"/>
    <w:rsid w:val="00514892"/>
    <w:rsid w:val="00514A74"/>
    <w:rsid w:val="00514C02"/>
    <w:rsid w:val="00514FCF"/>
    <w:rsid w:val="00515CDB"/>
    <w:rsid w:val="005160C4"/>
    <w:rsid w:val="0051643E"/>
    <w:rsid w:val="00516A68"/>
    <w:rsid w:val="005171BE"/>
    <w:rsid w:val="00521033"/>
    <w:rsid w:val="00522ED8"/>
    <w:rsid w:val="00523021"/>
    <w:rsid w:val="00523D07"/>
    <w:rsid w:val="00524B15"/>
    <w:rsid w:val="005262D2"/>
    <w:rsid w:val="0052698F"/>
    <w:rsid w:val="00527BC3"/>
    <w:rsid w:val="00530409"/>
    <w:rsid w:val="00530A37"/>
    <w:rsid w:val="0053248E"/>
    <w:rsid w:val="005340C5"/>
    <w:rsid w:val="00534661"/>
    <w:rsid w:val="00534E72"/>
    <w:rsid w:val="00535112"/>
    <w:rsid w:val="0053513B"/>
    <w:rsid w:val="00535318"/>
    <w:rsid w:val="0053538D"/>
    <w:rsid w:val="00535B1A"/>
    <w:rsid w:val="00537941"/>
    <w:rsid w:val="00537A6F"/>
    <w:rsid w:val="00537D58"/>
    <w:rsid w:val="00540D67"/>
    <w:rsid w:val="0054117A"/>
    <w:rsid w:val="0054342D"/>
    <w:rsid w:val="005442E7"/>
    <w:rsid w:val="00544B8B"/>
    <w:rsid w:val="005471E7"/>
    <w:rsid w:val="0055094F"/>
    <w:rsid w:val="00551043"/>
    <w:rsid w:val="00551047"/>
    <w:rsid w:val="00551FD3"/>
    <w:rsid w:val="00555E2A"/>
    <w:rsid w:val="00556FE7"/>
    <w:rsid w:val="00557CF0"/>
    <w:rsid w:val="005604EA"/>
    <w:rsid w:val="00561881"/>
    <w:rsid w:val="005629C6"/>
    <w:rsid w:val="00562AE2"/>
    <w:rsid w:val="00562E5F"/>
    <w:rsid w:val="00563B3A"/>
    <w:rsid w:val="00564E09"/>
    <w:rsid w:val="00564F4F"/>
    <w:rsid w:val="005650D4"/>
    <w:rsid w:val="005655FD"/>
    <w:rsid w:val="00565BB1"/>
    <w:rsid w:val="00567725"/>
    <w:rsid w:val="0057034E"/>
    <w:rsid w:val="00570821"/>
    <w:rsid w:val="005708F7"/>
    <w:rsid w:val="00572431"/>
    <w:rsid w:val="00572FA8"/>
    <w:rsid w:val="005748DA"/>
    <w:rsid w:val="005753B6"/>
    <w:rsid w:val="005757B9"/>
    <w:rsid w:val="00581E99"/>
    <w:rsid w:val="00585AAA"/>
    <w:rsid w:val="00590A76"/>
    <w:rsid w:val="00590BCB"/>
    <w:rsid w:val="00590C08"/>
    <w:rsid w:val="005911C6"/>
    <w:rsid w:val="005A178F"/>
    <w:rsid w:val="005A1D48"/>
    <w:rsid w:val="005A4896"/>
    <w:rsid w:val="005A4CB7"/>
    <w:rsid w:val="005A4CE4"/>
    <w:rsid w:val="005A4DF8"/>
    <w:rsid w:val="005A4ED4"/>
    <w:rsid w:val="005A58E0"/>
    <w:rsid w:val="005A7862"/>
    <w:rsid w:val="005B2FDC"/>
    <w:rsid w:val="005B42AD"/>
    <w:rsid w:val="005B4E65"/>
    <w:rsid w:val="005B5B99"/>
    <w:rsid w:val="005B5D71"/>
    <w:rsid w:val="005C029D"/>
    <w:rsid w:val="005C0537"/>
    <w:rsid w:val="005C128D"/>
    <w:rsid w:val="005C12B5"/>
    <w:rsid w:val="005C1FA5"/>
    <w:rsid w:val="005C370B"/>
    <w:rsid w:val="005C5B3E"/>
    <w:rsid w:val="005C6B91"/>
    <w:rsid w:val="005C7133"/>
    <w:rsid w:val="005C7187"/>
    <w:rsid w:val="005C7E7B"/>
    <w:rsid w:val="005D00CF"/>
    <w:rsid w:val="005D0E95"/>
    <w:rsid w:val="005D139F"/>
    <w:rsid w:val="005D16D1"/>
    <w:rsid w:val="005D1782"/>
    <w:rsid w:val="005D34CC"/>
    <w:rsid w:val="005D38C0"/>
    <w:rsid w:val="005D3E3C"/>
    <w:rsid w:val="005D4701"/>
    <w:rsid w:val="005D5789"/>
    <w:rsid w:val="005D7B5F"/>
    <w:rsid w:val="005E0104"/>
    <w:rsid w:val="005E0574"/>
    <w:rsid w:val="005E40C2"/>
    <w:rsid w:val="005E4D63"/>
    <w:rsid w:val="005E6DF5"/>
    <w:rsid w:val="005E702A"/>
    <w:rsid w:val="005E72C5"/>
    <w:rsid w:val="005E7A68"/>
    <w:rsid w:val="005E7DEA"/>
    <w:rsid w:val="005F60CF"/>
    <w:rsid w:val="005F6381"/>
    <w:rsid w:val="005F7443"/>
    <w:rsid w:val="005F79E5"/>
    <w:rsid w:val="00601090"/>
    <w:rsid w:val="00601545"/>
    <w:rsid w:val="00601BAF"/>
    <w:rsid w:val="00602EE1"/>
    <w:rsid w:val="00603370"/>
    <w:rsid w:val="0060500F"/>
    <w:rsid w:val="00605FC8"/>
    <w:rsid w:val="006064B9"/>
    <w:rsid w:val="00606993"/>
    <w:rsid w:val="00612C30"/>
    <w:rsid w:val="00612EDA"/>
    <w:rsid w:val="00614795"/>
    <w:rsid w:val="00616C3A"/>
    <w:rsid w:val="00617369"/>
    <w:rsid w:val="00617548"/>
    <w:rsid w:val="00617861"/>
    <w:rsid w:val="006201A7"/>
    <w:rsid w:val="00624120"/>
    <w:rsid w:val="00626899"/>
    <w:rsid w:val="0063051E"/>
    <w:rsid w:val="0063061F"/>
    <w:rsid w:val="006314A7"/>
    <w:rsid w:val="00632A03"/>
    <w:rsid w:val="00633C85"/>
    <w:rsid w:val="00634EA8"/>
    <w:rsid w:val="00636293"/>
    <w:rsid w:val="00636A52"/>
    <w:rsid w:val="00636FBF"/>
    <w:rsid w:val="00637576"/>
    <w:rsid w:val="00640933"/>
    <w:rsid w:val="00645927"/>
    <w:rsid w:val="00645A8B"/>
    <w:rsid w:val="0064661D"/>
    <w:rsid w:val="006471DF"/>
    <w:rsid w:val="00650302"/>
    <w:rsid w:val="00650834"/>
    <w:rsid w:val="00651809"/>
    <w:rsid w:val="0065261C"/>
    <w:rsid w:val="00652AA8"/>
    <w:rsid w:val="006558D7"/>
    <w:rsid w:val="0065599F"/>
    <w:rsid w:val="00655C54"/>
    <w:rsid w:val="00656E42"/>
    <w:rsid w:val="006572BE"/>
    <w:rsid w:val="00657E49"/>
    <w:rsid w:val="00657ECE"/>
    <w:rsid w:val="006600C7"/>
    <w:rsid w:val="00660CD7"/>
    <w:rsid w:val="006611ED"/>
    <w:rsid w:val="006619BE"/>
    <w:rsid w:val="006621BC"/>
    <w:rsid w:val="00663A3F"/>
    <w:rsid w:val="00663D1F"/>
    <w:rsid w:val="00664423"/>
    <w:rsid w:val="0066562C"/>
    <w:rsid w:val="00667F27"/>
    <w:rsid w:val="00670F36"/>
    <w:rsid w:val="00672440"/>
    <w:rsid w:val="0067527C"/>
    <w:rsid w:val="0067529E"/>
    <w:rsid w:val="006759F6"/>
    <w:rsid w:val="00676E01"/>
    <w:rsid w:val="0068017D"/>
    <w:rsid w:val="00680189"/>
    <w:rsid w:val="0068073B"/>
    <w:rsid w:val="00680C2F"/>
    <w:rsid w:val="00683A80"/>
    <w:rsid w:val="00683B5F"/>
    <w:rsid w:val="00684F84"/>
    <w:rsid w:val="0069120D"/>
    <w:rsid w:val="00691A95"/>
    <w:rsid w:val="0069270E"/>
    <w:rsid w:val="006937E5"/>
    <w:rsid w:val="00694013"/>
    <w:rsid w:val="00694040"/>
    <w:rsid w:val="00694BA0"/>
    <w:rsid w:val="00696249"/>
    <w:rsid w:val="006972FA"/>
    <w:rsid w:val="006A1196"/>
    <w:rsid w:val="006A22C6"/>
    <w:rsid w:val="006A344D"/>
    <w:rsid w:val="006A6D2F"/>
    <w:rsid w:val="006A6D6E"/>
    <w:rsid w:val="006B0A0E"/>
    <w:rsid w:val="006B10FD"/>
    <w:rsid w:val="006B1821"/>
    <w:rsid w:val="006B403E"/>
    <w:rsid w:val="006B5579"/>
    <w:rsid w:val="006B5609"/>
    <w:rsid w:val="006B62BA"/>
    <w:rsid w:val="006B64EF"/>
    <w:rsid w:val="006B741B"/>
    <w:rsid w:val="006B78DC"/>
    <w:rsid w:val="006C2C63"/>
    <w:rsid w:val="006C360B"/>
    <w:rsid w:val="006C3F67"/>
    <w:rsid w:val="006C3FBF"/>
    <w:rsid w:val="006C41EE"/>
    <w:rsid w:val="006C51B1"/>
    <w:rsid w:val="006C56F2"/>
    <w:rsid w:val="006C64E5"/>
    <w:rsid w:val="006D28BC"/>
    <w:rsid w:val="006D4498"/>
    <w:rsid w:val="006D5E76"/>
    <w:rsid w:val="006D6D3A"/>
    <w:rsid w:val="006E0EE7"/>
    <w:rsid w:val="006E4C4F"/>
    <w:rsid w:val="006E6969"/>
    <w:rsid w:val="006E724C"/>
    <w:rsid w:val="006E74C8"/>
    <w:rsid w:val="006E7939"/>
    <w:rsid w:val="006F0802"/>
    <w:rsid w:val="006F1275"/>
    <w:rsid w:val="006F19B6"/>
    <w:rsid w:val="006F4A61"/>
    <w:rsid w:val="006F626B"/>
    <w:rsid w:val="006F66A6"/>
    <w:rsid w:val="006F67CE"/>
    <w:rsid w:val="006F71E8"/>
    <w:rsid w:val="006F74B6"/>
    <w:rsid w:val="006F74F0"/>
    <w:rsid w:val="006F7B44"/>
    <w:rsid w:val="00702035"/>
    <w:rsid w:val="00702312"/>
    <w:rsid w:val="0070298C"/>
    <w:rsid w:val="00702F52"/>
    <w:rsid w:val="00704134"/>
    <w:rsid w:val="007048C7"/>
    <w:rsid w:val="0070669F"/>
    <w:rsid w:val="00706FFC"/>
    <w:rsid w:val="00710728"/>
    <w:rsid w:val="007110BC"/>
    <w:rsid w:val="00711887"/>
    <w:rsid w:val="007121A0"/>
    <w:rsid w:val="00714C5D"/>
    <w:rsid w:val="00714D2A"/>
    <w:rsid w:val="0071516B"/>
    <w:rsid w:val="0071596A"/>
    <w:rsid w:val="00715AEC"/>
    <w:rsid w:val="00716F4A"/>
    <w:rsid w:val="007178D1"/>
    <w:rsid w:val="0072031E"/>
    <w:rsid w:val="0072083E"/>
    <w:rsid w:val="0072115B"/>
    <w:rsid w:val="0072166F"/>
    <w:rsid w:val="007228FE"/>
    <w:rsid w:val="0072394C"/>
    <w:rsid w:val="00724875"/>
    <w:rsid w:val="00724B54"/>
    <w:rsid w:val="00725437"/>
    <w:rsid w:val="00725957"/>
    <w:rsid w:val="00725F1B"/>
    <w:rsid w:val="007278D4"/>
    <w:rsid w:val="00727C86"/>
    <w:rsid w:val="007301B3"/>
    <w:rsid w:val="0073042A"/>
    <w:rsid w:val="007313B6"/>
    <w:rsid w:val="007313C1"/>
    <w:rsid w:val="00732542"/>
    <w:rsid w:val="0073410A"/>
    <w:rsid w:val="00734F21"/>
    <w:rsid w:val="0073564A"/>
    <w:rsid w:val="00741322"/>
    <w:rsid w:val="007443E8"/>
    <w:rsid w:val="00744E7B"/>
    <w:rsid w:val="00746C64"/>
    <w:rsid w:val="00747FA5"/>
    <w:rsid w:val="007501FA"/>
    <w:rsid w:val="00750500"/>
    <w:rsid w:val="00750D56"/>
    <w:rsid w:val="00751AFF"/>
    <w:rsid w:val="00752D3C"/>
    <w:rsid w:val="00753FC5"/>
    <w:rsid w:val="007543C6"/>
    <w:rsid w:val="00754FD6"/>
    <w:rsid w:val="00756517"/>
    <w:rsid w:val="0075717F"/>
    <w:rsid w:val="007572B8"/>
    <w:rsid w:val="00757C5B"/>
    <w:rsid w:val="00760052"/>
    <w:rsid w:val="0076176D"/>
    <w:rsid w:val="00761AF8"/>
    <w:rsid w:val="00762234"/>
    <w:rsid w:val="007624A8"/>
    <w:rsid w:val="00762958"/>
    <w:rsid w:val="00762B11"/>
    <w:rsid w:val="00762B95"/>
    <w:rsid w:val="00764752"/>
    <w:rsid w:val="0077009B"/>
    <w:rsid w:val="0077065A"/>
    <w:rsid w:val="007706B2"/>
    <w:rsid w:val="0077391E"/>
    <w:rsid w:val="00775BEC"/>
    <w:rsid w:val="007763E7"/>
    <w:rsid w:val="00776ABA"/>
    <w:rsid w:val="007777F3"/>
    <w:rsid w:val="0078118D"/>
    <w:rsid w:val="00781327"/>
    <w:rsid w:val="007814AA"/>
    <w:rsid w:val="00781B41"/>
    <w:rsid w:val="00782AFA"/>
    <w:rsid w:val="0078321B"/>
    <w:rsid w:val="007833C9"/>
    <w:rsid w:val="007836B1"/>
    <w:rsid w:val="00786859"/>
    <w:rsid w:val="0078766B"/>
    <w:rsid w:val="00790ACE"/>
    <w:rsid w:val="00790DE8"/>
    <w:rsid w:val="00792633"/>
    <w:rsid w:val="0079269F"/>
    <w:rsid w:val="0079273F"/>
    <w:rsid w:val="0079354C"/>
    <w:rsid w:val="00795287"/>
    <w:rsid w:val="00795E86"/>
    <w:rsid w:val="00796A28"/>
    <w:rsid w:val="007A0168"/>
    <w:rsid w:val="007A1F99"/>
    <w:rsid w:val="007A244F"/>
    <w:rsid w:val="007A371C"/>
    <w:rsid w:val="007A4892"/>
    <w:rsid w:val="007A513C"/>
    <w:rsid w:val="007A539D"/>
    <w:rsid w:val="007A5525"/>
    <w:rsid w:val="007B1083"/>
    <w:rsid w:val="007B1475"/>
    <w:rsid w:val="007B18D4"/>
    <w:rsid w:val="007B1C40"/>
    <w:rsid w:val="007B2811"/>
    <w:rsid w:val="007B4BE5"/>
    <w:rsid w:val="007B5445"/>
    <w:rsid w:val="007B5BA1"/>
    <w:rsid w:val="007B64C9"/>
    <w:rsid w:val="007B6764"/>
    <w:rsid w:val="007B71DA"/>
    <w:rsid w:val="007B72CF"/>
    <w:rsid w:val="007C4C99"/>
    <w:rsid w:val="007C59E1"/>
    <w:rsid w:val="007D111E"/>
    <w:rsid w:val="007D2747"/>
    <w:rsid w:val="007D2DA2"/>
    <w:rsid w:val="007D3633"/>
    <w:rsid w:val="007D65F2"/>
    <w:rsid w:val="007D777B"/>
    <w:rsid w:val="007E0563"/>
    <w:rsid w:val="007E20C9"/>
    <w:rsid w:val="007E3CDC"/>
    <w:rsid w:val="007E63BD"/>
    <w:rsid w:val="007F1C4A"/>
    <w:rsid w:val="007F2235"/>
    <w:rsid w:val="007F3C95"/>
    <w:rsid w:val="007F3D8C"/>
    <w:rsid w:val="007F48AF"/>
    <w:rsid w:val="007F4E78"/>
    <w:rsid w:val="007F6E0F"/>
    <w:rsid w:val="008005DE"/>
    <w:rsid w:val="00803D46"/>
    <w:rsid w:val="008045DA"/>
    <w:rsid w:val="008056AC"/>
    <w:rsid w:val="00805A5F"/>
    <w:rsid w:val="008107A4"/>
    <w:rsid w:val="00810E0D"/>
    <w:rsid w:val="00812D92"/>
    <w:rsid w:val="00813A86"/>
    <w:rsid w:val="00813D7C"/>
    <w:rsid w:val="008146BC"/>
    <w:rsid w:val="008152CA"/>
    <w:rsid w:val="00815F19"/>
    <w:rsid w:val="00820589"/>
    <w:rsid w:val="0082186D"/>
    <w:rsid w:val="00822749"/>
    <w:rsid w:val="008240D8"/>
    <w:rsid w:val="008249C5"/>
    <w:rsid w:val="00824A8D"/>
    <w:rsid w:val="00825015"/>
    <w:rsid w:val="0082609F"/>
    <w:rsid w:val="00827022"/>
    <w:rsid w:val="0082799E"/>
    <w:rsid w:val="00827C68"/>
    <w:rsid w:val="00830C6D"/>
    <w:rsid w:val="00831667"/>
    <w:rsid w:val="008357AB"/>
    <w:rsid w:val="00837393"/>
    <w:rsid w:val="008405E7"/>
    <w:rsid w:val="0084066D"/>
    <w:rsid w:val="0084202D"/>
    <w:rsid w:val="008438EF"/>
    <w:rsid w:val="00843BE4"/>
    <w:rsid w:val="0084703E"/>
    <w:rsid w:val="00850698"/>
    <w:rsid w:val="00850C34"/>
    <w:rsid w:val="008520DE"/>
    <w:rsid w:val="00852689"/>
    <w:rsid w:val="00857716"/>
    <w:rsid w:val="00857725"/>
    <w:rsid w:val="008611BB"/>
    <w:rsid w:val="00861690"/>
    <w:rsid w:val="008616CA"/>
    <w:rsid w:val="00861790"/>
    <w:rsid w:val="00862479"/>
    <w:rsid w:val="0086422D"/>
    <w:rsid w:val="008654D6"/>
    <w:rsid w:val="00865D3F"/>
    <w:rsid w:val="00867032"/>
    <w:rsid w:val="00867B27"/>
    <w:rsid w:val="00867E0D"/>
    <w:rsid w:val="00871B25"/>
    <w:rsid w:val="00874DB5"/>
    <w:rsid w:val="00875BF3"/>
    <w:rsid w:val="00876DB5"/>
    <w:rsid w:val="00881D92"/>
    <w:rsid w:val="00882246"/>
    <w:rsid w:val="00882771"/>
    <w:rsid w:val="008839B2"/>
    <w:rsid w:val="00884CF9"/>
    <w:rsid w:val="00885274"/>
    <w:rsid w:val="00887DB1"/>
    <w:rsid w:val="008918DD"/>
    <w:rsid w:val="00892B2B"/>
    <w:rsid w:val="0089362F"/>
    <w:rsid w:val="008A1DEF"/>
    <w:rsid w:val="008A2607"/>
    <w:rsid w:val="008A30FB"/>
    <w:rsid w:val="008A3FA8"/>
    <w:rsid w:val="008A4507"/>
    <w:rsid w:val="008B19B9"/>
    <w:rsid w:val="008B1D89"/>
    <w:rsid w:val="008B30C3"/>
    <w:rsid w:val="008B46AA"/>
    <w:rsid w:val="008B53D8"/>
    <w:rsid w:val="008B58F5"/>
    <w:rsid w:val="008B7E00"/>
    <w:rsid w:val="008C20DE"/>
    <w:rsid w:val="008C23B8"/>
    <w:rsid w:val="008C29B1"/>
    <w:rsid w:val="008C2B67"/>
    <w:rsid w:val="008C38D4"/>
    <w:rsid w:val="008C3A92"/>
    <w:rsid w:val="008C4F0B"/>
    <w:rsid w:val="008C5788"/>
    <w:rsid w:val="008D25E2"/>
    <w:rsid w:val="008D2CC2"/>
    <w:rsid w:val="008D2E17"/>
    <w:rsid w:val="008D3017"/>
    <w:rsid w:val="008D3248"/>
    <w:rsid w:val="008D45C8"/>
    <w:rsid w:val="008D5F60"/>
    <w:rsid w:val="008D630A"/>
    <w:rsid w:val="008D7420"/>
    <w:rsid w:val="008E0C80"/>
    <w:rsid w:val="008E1302"/>
    <w:rsid w:val="008E1A9E"/>
    <w:rsid w:val="008E2A71"/>
    <w:rsid w:val="008E634A"/>
    <w:rsid w:val="008E63E5"/>
    <w:rsid w:val="008E72E3"/>
    <w:rsid w:val="008E7AF8"/>
    <w:rsid w:val="008F4027"/>
    <w:rsid w:val="008F416E"/>
    <w:rsid w:val="008F484E"/>
    <w:rsid w:val="008F6753"/>
    <w:rsid w:val="008F6CD0"/>
    <w:rsid w:val="008F7598"/>
    <w:rsid w:val="0090135A"/>
    <w:rsid w:val="0090435F"/>
    <w:rsid w:val="00904D77"/>
    <w:rsid w:val="0090572A"/>
    <w:rsid w:val="00907364"/>
    <w:rsid w:val="009103D4"/>
    <w:rsid w:val="0091132B"/>
    <w:rsid w:val="009120ED"/>
    <w:rsid w:val="00912A6A"/>
    <w:rsid w:val="00913055"/>
    <w:rsid w:val="00913C02"/>
    <w:rsid w:val="00914DEA"/>
    <w:rsid w:val="00915DEA"/>
    <w:rsid w:val="00915FE6"/>
    <w:rsid w:val="0091785F"/>
    <w:rsid w:val="009179D6"/>
    <w:rsid w:val="009212DC"/>
    <w:rsid w:val="009216CB"/>
    <w:rsid w:val="0092180B"/>
    <w:rsid w:val="00922017"/>
    <w:rsid w:val="00923E29"/>
    <w:rsid w:val="00924184"/>
    <w:rsid w:val="00924200"/>
    <w:rsid w:val="009243FD"/>
    <w:rsid w:val="00924DBA"/>
    <w:rsid w:val="0092639F"/>
    <w:rsid w:val="00926ABA"/>
    <w:rsid w:val="00926C89"/>
    <w:rsid w:val="009277B3"/>
    <w:rsid w:val="00927F92"/>
    <w:rsid w:val="00930671"/>
    <w:rsid w:val="00930789"/>
    <w:rsid w:val="009307EF"/>
    <w:rsid w:val="00930FB2"/>
    <w:rsid w:val="0093164F"/>
    <w:rsid w:val="00931A6E"/>
    <w:rsid w:val="00932ADF"/>
    <w:rsid w:val="00932CD9"/>
    <w:rsid w:val="00932FC5"/>
    <w:rsid w:val="00933ECA"/>
    <w:rsid w:val="00933F8C"/>
    <w:rsid w:val="0093582B"/>
    <w:rsid w:val="00935DF3"/>
    <w:rsid w:val="00936977"/>
    <w:rsid w:val="009374BA"/>
    <w:rsid w:val="00937C18"/>
    <w:rsid w:val="00937F2F"/>
    <w:rsid w:val="00940452"/>
    <w:rsid w:val="0094227A"/>
    <w:rsid w:val="0094308E"/>
    <w:rsid w:val="009446AC"/>
    <w:rsid w:val="00944CF8"/>
    <w:rsid w:val="00945639"/>
    <w:rsid w:val="0094592D"/>
    <w:rsid w:val="00945F31"/>
    <w:rsid w:val="00946BA0"/>
    <w:rsid w:val="009477DC"/>
    <w:rsid w:val="009505F0"/>
    <w:rsid w:val="00950679"/>
    <w:rsid w:val="00950EE8"/>
    <w:rsid w:val="00953305"/>
    <w:rsid w:val="0095389A"/>
    <w:rsid w:val="00954085"/>
    <w:rsid w:val="00954C09"/>
    <w:rsid w:val="0095789D"/>
    <w:rsid w:val="00961AA3"/>
    <w:rsid w:val="009622D0"/>
    <w:rsid w:val="00963152"/>
    <w:rsid w:val="00966622"/>
    <w:rsid w:val="00966B09"/>
    <w:rsid w:val="009714A6"/>
    <w:rsid w:val="00971A14"/>
    <w:rsid w:val="00972226"/>
    <w:rsid w:val="009722F1"/>
    <w:rsid w:val="00972E3B"/>
    <w:rsid w:val="009737CB"/>
    <w:rsid w:val="009742B2"/>
    <w:rsid w:val="00975931"/>
    <w:rsid w:val="00976ADC"/>
    <w:rsid w:val="00980156"/>
    <w:rsid w:val="00980FA2"/>
    <w:rsid w:val="00981CFD"/>
    <w:rsid w:val="00981DD4"/>
    <w:rsid w:val="00983664"/>
    <w:rsid w:val="009857FA"/>
    <w:rsid w:val="00986A1F"/>
    <w:rsid w:val="00986F29"/>
    <w:rsid w:val="0099060A"/>
    <w:rsid w:val="00990FB7"/>
    <w:rsid w:val="00994A0B"/>
    <w:rsid w:val="00994A0C"/>
    <w:rsid w:val="00995CB0"/>
    <w:rsid w:val="009968AF"/>
    <w:rsid w:val="009968D2"/>
    <w:rsid w:val="009A0EEC"/>
    <w:rsid w:val="009A262F"/>
    <w:rsid w:val="009A2C2A"/>
    <w:rsid w:val="009A367D"/>
    <w:rsid w:val="009A4658"/>
    <w:rsid w:val="009A46C7"/>
    <w:rsid w:val="009A4AA8"/>
    <w:rsid w:val="009A5357"/>
    <w:rsid w:val="009A5E33"/>
    <w:rsid w:val="009A7214"/>
    <w:rsid w:val="009A7EC7"/>
    <w:rsid w:val="009B1845"/>
    <w:rsid w:val="009B1940"/>
    <w:rsid w:val="009B2AA0"/>
    <w:rsid w:val="009B332C"/>
    <w:rsid w:val="009B3C4E"/>
    <w:rsid w:val="009B42F1"/>
    <w:rsid w:val="009B4661"/>
    <w:rsid w:val="009B5D62"/>
    <w:rsid w:val="009B5D68"/>
    <w:rsid w:val="009B6A9B"/>
    <w:rsid w:val="009C1450"/>
    <w:rsid w:val="009C2458"/>
    <w:rsid w:val="009C42A8"/>
    <w:rsid w:val="009C43AD"/>
    <w:rsid w:val="009C4664"/>
    <w:rsid w:val="009C4817"/>
    <w:rsid w:val="009C4DAF"/>
    <w:rsid w:val="009C4E71"/>
    <w:rsid w:val="009C57C4"/>
    <w:rsid w:val="009C5C58"/>
    <w:rsid w:val="009C67B8"/>
    <w:rsid w:val="009C6A39"/>
    <w:rsid w:val="009C6E0C"/>
    <w:rsid w:val="009C7EB4"/>
    <w:rsid w:val="009D1128"/>
    <w:rsid w:val="009D18BE"/>
    <w:rsid w:val="009D1908"/>
    <w:rsid w:val="009D451A"/>
    <w:rsid w:val="009D5104"/>
    <w:rsid w:val="009D5197"/>
    <w:rsid w:val="009D63B3"/>
    <w:rsid w:val="009E0F15"/>
    <w:rsid w:val="009E1486"/>
    <w:rsid w:val="009E3750"/>
    <w:rsid w:val="009E4084"/>
    <w:rsid w:val="009E5FF8"/>
    <w:rsid w:val="009E7593"/>
    <w:rsid w:val="009F2274"/>
    <w:rsid w:val="009F320D"/>
    <w:rsid w:val="009F34E9"/>
    <w:rsid w:val="009F473E"/>
    <w:rsid w:val="009F5014"/>
    <w:rsid w:val="00A007D9"/>
    <w:rsid w:val="00A00A14"/>
    <w:rsid w:val="00A00F99"/>
    <w:rsid w:val="00A0346C"/>
    <w:rsid w:val="00A05A22"/>
    <w:rsid w:val="00A05C17"/>
    <w:rsid w:val="00A06FEB"/>
    <w:rsid w:val="00A105FC"/>
    <w:rsid w:val="00A10633"/>
    <w:rsid w:val="00A12A46"/>
    <w:rsid w:val="00A140D5"/>
    <w:rsid w:val="00A151CB"/>
    <w:rsid w:val="00A15898"/>
    <w:rsid w:val="00A168AA"/>
    <w:rsid w:val="00A172D3"/>
    <w:rsid w:val="00A20476"/>
    <w:rsid w:val="00A2087C"/>
    <w:rsid w:val="00A20D99"/>
    <w:rsid w:val="00A21451"/>
    <w:rsid w:val="00A218E8"/>
    <w:rsid w:val="00A21CD1"/>
    <w:rsid w:val="00A21E53"/>
    <w:rsid w:val="00A24633"/>
    <w:rsid w:val="00A2636C"/>
    <w:rsid w:val="00A301F4"/>
    <w:rsid w:val="00A30463"/>
    <w:rsid w:val="00A30B1F"/>
    <w:rsid w:val="00A31B18"/>
    <w:rsid w:val="00A334BD"/>
    <w:rsid w:val="00A33966"/>
    <w:rsid w:val="00A34499"/>
    <w:rsid w:val="00A349A1"/>
    <w:rsid w:val="00A36074"/>
    <w:rsid w:val="00A36991"/>
    <w:rsid w:val="00A37B0D"/>
    <w:rsid w:val="00A40772"/>
    <w:rsid w:val="00A421B9"/>
    <w:rsid w:val="00A4241D"/>
    <w:rsid w:val="00A42CE8"/>
    <w:rsid w:val="00A435C4"/>
    <w:rsid w:val="00A43C0B"/>
    <w:rsid w:val="00A43FB1"/>
    <w:rsid w:val="00A44860"/>
    <w:rsid w:val="00A448EF"/>
    <w:rsid w:val="00A45012"/>
    <w:rsid w:val="00A466B5"/>
    <w:rsid w:val="00A46D1E"/>
    <w:rsid w:val="00A47D28"/>
    <w:rsid w:val="00A500D7"/>
    <w:rsid w:val="00A50117"/>
    <w:rsid w:val="00A50601"/>
    <w:rsid w:val="00A50AE4"/>
    <w:rsid w:val="00A51966"/>
    <w:rsid w:val="00A549B0"/>
    <w:rsid w:val="00A54A62"/>
    <w:rsid w:val="00A5598F"/>
    <w:rsid w:val="00A571B9"/>
    <w:rsid w:val="00A62F4D"/>
    <w:rsid w:val="00A63513"/>
    <w:rsid w:val="00A649A3"/>
    <w:rsid w:val="00A6527F"/>
    <w:rsid w:val="00A67175"/>
    <w:rsid w:val="00A7057F"/>
    <w:rsid w:val="00A719AF"/>
    <w:rsid w:val="00A71BEE"/>
    <w:rsid w:val="00A71C52"/>
    <w:rsid w:val="00A71FD0"/>
    <w:rsid w:val="00A73B21"/>
    <w:rsid w:val="00A73B50"/>
    <w:rsid w:val="00A7465F"/>
    <w:rsid w:val="00A7466F"/>
    <w:rsid w:val="00A75205"/>
    <w:rsid w:val="00A75305"/>
    <w:rsid w:val="00A80F56"/>
    <w:rsid w:val="00A822F9"/>
    <w:rsid w:val="00A8342F"/>
    <w:rsid w:val="00A835E1"/>
    <w:rsid w:val="00A83678"/>
    <w:rsid w:val="00A848FD"/>
    <w:rsid w:val="00A84ECA"/>
    <w:rsid w:val="00A903B7"/>
    <w:rsid w:val="00A91A4D"/>
    <w:rsid w:val="00A92B9C"/>
    <w:rsid w:val="00A93F7A"/>
    <w:rsid w:val="00A95586"/>
    <w:rsid w:val="00A956E1"/>
    <w:rsid w:val="00A965CE"/>
    <w:rsid w:val="00A970F5"/>
    <w:rsid w:val="00A97895"/>
    <w:rsid w:val="00AA1DE6"/>
    <w:rsid w:val="00AA2C43"/>
    <w:rsid w:val="00AA3127"/>
    <w:rsid w:val="00AA40EE"/>
    <w:rsid w:val="00AA5894"/>
    <w:rsid w:val="00AA5E71"/>
    <w:rsid w:val="00AA60D7"/>
    <w:rsid w:val="00AA6484"/>
    <w:rsid w:val="00AA7AFE"/>
    <w:rsid w:val="00AB17EE"/>
    <w:rsid w:val="00AB2B88"/>
    <w:rsid w:val="00AB753D"/>
    <w:rsid w:val="00AB763D"/>
    <w:rsid w:val="00AB7CE1"/>
    <w:rsid w:val="00AC1500"/>
    <w:rsid w:val="00AC1C18"/>
    <w:rsid w:val="00AC4334"/>
    <w:rsid w:val="00AC50D1"/>
    <w:rsid w:val="00AC534D"/>
    <w:rsid w:val="00AC5901"/>
    <w:rsid w:val="00AC5A39"/>
    <w:rsid w:val="00AC6570"/>
    <w:rsid w:val="00AC7C81"/>
    <w:rsid w:val="00AD008D"/>
    <w:rsid w:val="00AD00CD"/>
    <w:rsid w:val="00AD13F3"/>
    <w:rsid w:val="00AD31EC"/>
    <w:rsid w:val="00AD36A2"/>
    <w:rsid w:val="00AD4BAA"/>
    <w:rsid w:val="00AD4EDD"/>
    <w:rsid w:val="00AD51A1"/>
    <w:rsid w:val="00AD64EA"/>
    <w:rsid w:val="00AE17E0"/>
    <w:rsid w:val="00AE1DFE"/>
    <w:rsid w:val="00AE358B"/>
    <w:rsid w:val="00AE4009"/>
    <w:rsid w:val="00AE49EA"/>
    <w:rsid w:val="00AE5202"/>
    <w:rsid w:val="00AE66EB"/>
    <w:rsid w:val="00AF3D60"/>
    <w:rsid w:val="00AF7618"/>
    <w:rsid w:val="00AF7CC3"/>
    <w:rsid w:val="00B0062F"/>
    <w:rsid w:val="00B014EF"/>
    <w:rsid w:val="00B02693"/>
    <w:rsid w:val="00B02F4E"/>
    <w:rsid w:val="00B041C3"/>
    <w:rsid w:val="00B06921"/>
    <w:rsid w:val="00B06A15"/>
    <w:rsid w:val="00B06BCE"/>
    <w:rsid w:val="00B06ECB"/>
    <w:rsid w:val="00B110CA"/>
    <w:rsid w:val="00B129D0"/>
    <w:rsid w:val="00B13153"/>
    <w:rsid w:val="00B13945"/>
    <w:rsid w:val="00B16BB9"/>
    <w:rsid w:val="00B17ACA"/>
    <w:rsid w:val="00B17D97"/>
    <w:rsid w:val="00B200DF"/>
    <w:rsid w:val="00B236C9"/>
    <w:rsid w:val="00B24F86"/>
    <w:rsid w:val="00B25BD0"/>
    <w:rsid w:val="00B26566"/>
    <w:rsid w:val="00B26F52"/>
    <w:rsid w:val="00B278F4"/>
    <w:rsid w:val="00B34C58"/>
    <w:rsid w:val="00B363AD"/>
    <w:rsid w:val="00B3668C"/>
    <w:rsid w:val="00B37CC2"/>
    <w:rsid w:val="00B37D2C"/>
    <w:rsid w:val="00B40759"/>
    <w:rsid w:val="00B40DF0"/>
    <w:rsid w:val="00B41661"/>
    <w:rsid w:val="00B41F91"/>
    <w:rsid w:val="00B42114"/>
    <w:rsid w:val="00B43832"/>
    <w:rsid w:val="00B43896"/>
    <w:rsid w:val="00B47337"/>
    <w:rsid w:val="00B50459"/>
    <w:rsid w:val="00B506BD"/>
    <w:rsid w:val="00B50C1F"/>
    <w:rsid w:val="00B50CA3"/>
    <w:rsid w:val="00B54E0A"/>
    <w:rsid w:val="00B5539D"/>
    <w:rsid w:val="00B5651E"/>
    <w:rsid w:val="00B5755D"/>
    <w:rsid w:val="00B57B06"/>
    <w:rsid w:val="00B600AA"/>
    <w:rsid w:val="00B60B23"/>
    <w:rsid w:val="00B616FB"/>
    <w:rsid w:val="00B634EA"/>
    <w:rsid w:val="00B63A84"/>
    <w:rsid w:val="00B64383"/>
    <w:rsid w:val="00B65B2D"/>
    <w:rsid w:val="00B668D0"/>
    <w:rsid w:val="00B6723F"/>
    <w:rsid w:val="00B674C5"/>
    <w:rsid w:val="00B67A69"/>
    <w:rsid w:val="00B73A97"/>
    <w:rsid w:val="00B756DA"/>
    <w:rsid w:val="00B77466"/>
    <w:rsid w:val="00B818E0"/>
    <w:rsid w:val="00B81A4A"/>
    <w:rsid w:val="00B82415"/>
    <w:rsid w:val="00B83357"/>
    <w:rsid w:val="00B84685"/>
    <w:rsid w:val="00B84858"/>
    <w:rsid w:val="00B85AD4"/>
    <w:rsid w:val="00B8616C"/>
    <w:rsid w:val="00B90B49"/>
    <w:rsid w:val="00B92059"/>
    <w:rsid w:val="00B92EE4"/>
    <w:rsid w:val="00B94A8F"/>
    <w:rsid w:val="00B95CDA"/>
    <w:rsid w:val="00B95FC1"/>
    <w:rsid w:val="00B97B0C"/>
    <w:rsid w:val="00B97D48"/>
    <w:rsid w:val="00BA0E41"/>
    <w:rsid w:val="00BA130A"/>
    <w:rsid w:val="00BA3D04"/>
    <w:rsid w:val="00BA51F9"/>
    <w:rsid w:val="00BA59B0"/>
    <w:rsid w:val="00BA73C6"/>
    <w:rsid w:val="00BA7AAF"/>
    <w:rsid w:val="00BB0CEF"/>
    <w:rsid w:val="00BB0F7D"/>
    <w:rsid w:val="00BB1296"/>
    <w:rsid w:val="00BB3590"/>
    <w:rsid w:val="00BB42AF"/>
    <w:rsid w:val="00BB4592"/>
    <w:rsid w:val="00BB6531"/>
    <w:rsid w:val="00BB6A20"/>
    <w:rsid w:val="00BC0690"/>
    <w:rsid w:val="00BC0CFB"/>
    <w:rsid w:val="00BC27A2"/>
    <w:rsid w:val="00BC2A45"/>
    <w:rsid w:val="00BC4C85"/>
    <w:rsid w:val="00BD1998"/>
    <w:rsid w:val="00BD3044"/>
    <w:rsid w:val="00BD352A"/>
    <w:rsid w:val="00BD44E8"/>
    <w:rsid w:val="00BD5E99"/>
    <w:rsid w:val="00BD685E"/>
    <w:rsid w:val="00BD6A57"/>
    <w:rsid w:val="00BD72CB"/>
    <w:rsid w:val="00BD7339"/>
    <w:rsid w:val="00BD75BC"/>
    <w:rsid w:val="00BE10EF"/>
    <w:rsid w:val="00BE1DF2"/>
    <w:rsid w:val="00BE21F8"/>
    <w:rsid w:val="00BE2DF5"/>
    <w:rsid w:val="00BE3159"/>
    <w:rsid w:val="00BE4988"/>
    <w:rsid w:val="00BE6216"/>
    <w:rsid w:val="00BE65AA"/>
    <w:rsid w:val="00BE67F8"/>
    <w:rsid w:val="00BE72EC"/>
    <w:rsid w:val="00BF0874"/>
    <w:rsid w:val="00BF1309"/>
    <w:rsid w:val="00BF32E1"/>
    <w:rsid w:val="00BF3462"/>
    <w:rsid w:val="00BF34D1"/>
    <w:rsid w:val="00BF3A03"/>
    <w:rsid w:val="00BF41D0"/>
    <w:rsid w:val="00BF4C96"/>
    <w:rsid w:val="00BF4D72"/>
    <w:rsid w:val="00BF53E7"/>
    <w:rsid w:val="00BF6622"/>
    <w:rsid w:val="00BF71D1"/>
    <w:rsid w:val="00C01B86"/>
    <w:rsid w:val="00C01CDE"/>
    <w:rsid w:val="00C023A6"/>
    <w:rsid w:val="00C02FD0"/>
    <w:rsid w:val="00C034EC"/>
    <w:rsid w:val="00C03581"/>
    <w:rsid w:val="00C044DF"/>
    <w:rsid w:val="00C04CFC"/>
    <w:rsid w:val="00C063D0"/>
    <w:rsid w:val="00C063E2"/>
    <w:rsid w:val="00C07257"/>
    <w:rsid w:val="00C078AB"/>
    <w:rsid w:val="00C10BAA"/>
    <w:rsid w:val="00C10E7B"/>
    <w:rsid w:val="00C11F97"/>
    <w:rsid w:val="00C1397B"/>
    <w:rsid w:val="00C1480F"/>
    <w:rsid w:val="00C148F6"/>
    <w:rsid w:val="00C15094"/>
    <w:rsid w:val="00C16178"/>
    <w:rsid w:val="00C1676D"/>
    <w:rsid w:val="00C201EC"/>
    <w:rsid w:val="00C20743"/>
    <w:rsid w:val="00C21689"/>
    <w:rsid w:val="00C233DC"/>
    <w:rsid w:val="00C25FBD"/>
    <w:rsid w:val="00C276E8"/>
    <w:rsid w:val="00C30F02"/>
    <w:rsid w:val="00C3297D"/>
    <w:rsid w:val="00C32BA9"/>
    <w:rsid w:val="00C32C9D"/>
    <w:rsid w:val="00C33498"/>
    <w:rsid w:val="00C348E2"/>
    <w:rsid w:val="00C352B7"/>
    <w:rsid w:val="00C37A95"/>
    <w:rsid w:val="00C400AD"/>
    <w:rsid w:val="00C4274B"/>
    <w:rsid w:val="00C44392"/>
    <w:rsid w:val="00C45DD4"/>
    <w:rsid w:val="00C46449"/>
    <w:rsid w:val="00C47227"/>
    <w:rsid w:val="00C47374"/>
    <w:rsid w:val="00C50465"/>
    <w:rsid w:val="00C51AC3"/>
    <w:rsid w:val="00C5283C"/>
    <w:rsid w:val="00C54260"/>
    <w:rsid w:val="00C564E5"/>
    <w:rsid w:val="00C56D84"/>
    <w:rsid w:val="00C57619"/>
    <w:rsid w:val="00C613AD"/>
    <w:rsid w:val="00C6313D"/>
    <w:rsid w:val="00C63AA1"/>
    <w:rsid w:val="00C64825"/>
    <w:rsid w:val="00C64A3D"/>
    <w:rsid w:val="00C64B50"/>
    <w:rsid w:val="00C6507F"/>
    <w:rsid w:val="00C6591B"/>
    <w:rsid w:val="00C665A8"/>
    <w:rsid w:val="00C670B6"/>
    <w:rsid w:val="00C71129"/>
    <w:rsid w:val="00C71205"/>
    <w:rsid w:val="00C72F11"/>
    <w:rsid w:val="00C75432"/>
    <w:rsid w:val="00C76345"/>
    <w:rsid w:val="00C771BD"/>
    <w:rsid w:val="00C7740F"/>
    <w:rsid w:val="00C77958"/>
    <w:rsid w:val="00C77DC0"/>
    <w:rsid w:val="00C8249A"/>
    <w:rsid w:val="00C82A69"/>
    <w:rsid w:val="00C82C12"/>
    <w:rsid w:val="00C83F40"/>
    <w:rsid w:val="00C8562D"/>
    <w:rsid w:val="00C87F7B"/>
    <w:rsid w:val="00C90DAD"/>
    <w:rsid w:val="00C949CE"/>
    <w:rsid w:val="00C94E15"/>
    <w:rsid w:val="00C97095"/>
    <w:rsid w:val="00C9771E"/>
    <w:rsid w:val="00CA0763"/>
    <w:rsid w:val="00CA2DCE"/>
    <w:rsid w:val="00CA3A38"/>
    <w:rsid w:val="00CA41A8"/>
    <w:rsid w:val="00CA6E65"/>
    <w:rsid w:val="00CA7A8E"/>
    <w:rsid w:val="00CA7DD9"/>
    <w:rsid w:val="00CB0BEC"/>
    <w:rsid w:val="00CB148D"/>
    <w:rsid w:val="00CB5501"/>
    <w:rsid w:val="00CB6D50"/>
    <w:rsid w:val="00CC3B23"/>
    <w:rsid w:val="00CC423D"/>
    <w:rsid w:val="00CC4ED9"/>
    <w:rsid w:val="00CC56FA"/>
    <w:rsid w:val="00CC7554"/>
    <w:rsid w:val="00CD0072"/>
    <w:rsid w:val="00CD05B7"/>
    <w:rsid w:val="00CD17B8"/>
    <w:rsid w:val="00CD1A68"/>
    <w:rsid w:val="00CD2A68"/>
    <w:rsid w:val="00CD3921"/>
    <w:rsid w:val="00CD7EA3"/>
    <w:rsid w:val="00CE3533"/>
    <w:rsid w:val="00CE435F"/>
    <w:rsid w:val="00CE44DB"/>
    <w:rsid w:val="00CE5083"/>
    <w:rsid w:val="00CE69AF"/>
    <w:rsid w:val="00CE6DA9"/>
    <w:rsid w:val="00CE6E8E"/>
    <w:rsid w:val="00CE7240"/>
    <w:rsid w:val="00CE77A8"/>
    <w:rsid w:val="00CF06C7"/>
    <w:rsid w:val="00CF16A9"/>
    <w:rsid w:val="00CF1834"/>
    <w:rsid w:val="00CF21C4"/>
    <w:rsid w:val="00CF2AB7"/>
    <w:rsid w:val="00CF2F06"/>
    <w:rsid w:val="00CF4295"/>
    <w:rsid w:val="00CF4B9D"/>
    <w:rsid w:val="00CF4C9D"/>
    <w:rsid w:val="00CF5432"/>
    <w:rsid w:val="00D00364"/>
    <w:rsid w:val="00D00498"/>
    <w:rsid w:val="00D004ED"/>
    <w:rsid w:val="00D01ABA"/>
    <w:rsid w:val="00D01F46"/>
    <w:rsid w:val="00D02870"/>
    <w:rsid w:val="00D03D18"/>
    <w:rsid w:val="00D047A2"/>
    <w:rsid w:val="00D06687"/>
    <w:rsid w:val="00D0674C"/>
    <w:rsid w:val="00D069BA"/>
    <w:rsid w:val="00D0714A"/>
    <w:rsid w:val="00D07A28"/>
    <w:rsid w:val="00D10036"/>
    <w:rsid w:val="00D1010E"/>
    <w:rsid w:val="00D102DC"/>
    <w:rsid w:val="00D10C61"/>
    <w:rsid w:val="00D10FB7"/>
    <w:rsid w:val="00D11EBA"/>
    <w:rsid w:val="00D12A90"/>
    <w:rsid w:val="00D12C0E"/>
    <w:rsid w:val="00D14BB9"/>
    <w:rsid w:val="00D15740"/>
    <w:rsid w:val="00D170C0"/>
    <w:rsid w:val="00D17929"/>
    <w:rsid w:val="00D2080D"/>
    <w:rsid w:val="00D20B66"/>
    <w:rsid w:val="00D219B6"/>
    <w:rsid w:val="00D226F3"/>
    <w:rsid w:val="00D22863"/>
    <w:rsid w:val="00D25289"/>
    <w:rsid w:val="00D27CA1"/>
    <w:rsid w:val="00D3189C"/>
    <w:rsid w:val="00D338CA"/>
    <w:rsid w:val="00D3415E"/>
    <w:rsid w:val="00D353F0"/>
    <w:rsid w:val="00D357EF"/>
    <w:rsid w:val="00D35947"/>
    <w:rsid w:val="00D43137"/>
    <w:rsid w:val="00D43337"/>
    <w:rsid w:val="00D4411E"/>
    <w:rsid w:val="00D44D9D"/>
    <w:rsid w:val="00D451DB"/>
    <w:rsid w:val="00D45F35"/>
    <w:rsid w:val="00D4711D"/>
    <w:rsid w:val="00D5013B"/>
    <w:rsid w:val="00D5208B"/>
    <w:rsid w:val="00D522C5"/>
    <w:rsid w:val="00D5307A"/>
    <w:rsid w:val="00D53B19"/>
    <w:rsid w:val="00D54276"/>
    <w:rsid w:val="00D54737"/>
    <w:rsid w:val="00D559CC"/>
    <w:rsid w:val="00D57377"/>
    <w:rsid w:val="00D57719"/>
    <w:rsid w:val="00D601C8"/>
    <w:rsid w:val="00D60707"/>
    <w:rsid w:val="00D6239F"/>
    <w:rsid w:val="00D62F06"/>
    <w:rsid w:val="00D6379B"/>
    <w:rsid w:val="00D67DCB"/>
    <w:rsid w:val="00D7301F"/>
    <w:rsid w:val="00D7519A"/>
    <w:rsid w:val="00D75259"/>
    <w:rsid w:val="00D756DD"/>
    <w:rsid w:val="00D75C20"/>
    <w:rsid w:val="00D75EAB"/>
    <w:rsid w:val="00D76551"/>
    <w:rsid w:val="00D83061"/>
    <w:rsid w:val="00D831BA"/>
    <w:rsid w:val="00D844A2"/>
    <w:rsid w:val="00D8714A"/>
    <w:rsid w:val="00D87ED3"/>
    <w:rsid w:val="00D9108F"/>
    <w:rsid w:val="00D91977"/>
    <w:rsid w:val="00D92ECC"/>
    <w:rsid w:val="00D941C4"/>
    <w:rsid w:val="00D95DE6"/>
    <w:rsid w:val="00D96059"/>
    <w:rsid w:val="00D964A8"/>
    <w:rsid w:val="00D96555"/>
    <w:rsid w:val="00D966ED"/>
    <w:rsid w:val="00DA1C08"/>
    <w:rsid w:val="00DA22DC"/>
    <w:rsid w:val="00DA2479"/>
    <w:rsid w:val="00DA3472"/>
    <w:rsid w:val="00DA45D2"/>
    <w:rsid w:val="00DA4A80"/>
    <w:rsid w:val="00DA54DA"/>
    <w:rsid w:val="00DA5FDF"/>
    <w:rsid w:val="00DA7096"/>
    <w:rsid w:val="00DA7D8D"/>
    <w:rsid w:val="00DB0526"/>
    <w:rsid w:val="00DB05A0"/>
    <w:rsid w:val="00DB1034"/>
    <w:rsid w:val="00DB321F"/>
    <w:rsid w:val="00DB36C2"/>
    <w:rsid w:val="00DB4CF9"/>
    <w:rsid w:val="00DB6CA5"/>
    <w:rsid w:val="00DB6F74"/>
    <w:rsid w:val="00DB79A3"/>
    <w:rsid w:val="00DB7D30"/>
    <w:rsid w:val="00DC2485"/>
    <w:rsid w:val="00DC4D61"/>
    <w:rsid w:val="00DC5074"/>
    <w:rsid w:val="00DC5129"/>
    <w:rsid w:val="00DC7A94"/>
    <w:rsid w:val="00DD02C8"/>
    <w:rsid w:val="00DD1C48"/>
    <w:rsid w:val="00DD4140"/>
    <w:rsid w:val="00DD5CEA"/>
    <w:rsid w:val="00DD5D56"/>
    <w:rsid w:val="00DD60C0"/>
    <w:rsid w:val="00DE0134"/>
    <w:rsid w:val="00DE10FD"/>
    <w:rsid w:val="00DE15C2"/>
    <w:rsid w:val="00DE22E3"/>
    <w:rsid w:val="00DE37F9"/>
    <w:rsid w:val="00DE3CFC"/>
    <w:rsid w:val="00DE4D44"/>
    <w:rsid w:val="00DE551C"/>
    <w:rsid w:val="00DE5AA6"/>
    <w:rsid w:val="00DE7060"/>
    <w:rsid w:val="00DF01EA"/>
    <w:rsid w:val="00DF02D0"/>
    <w:rsid w:val="00DF040E"/>
    <w:rsid w:val="00DF0611"/>
    <w:rsid w:val="00DF12E1"/>
    <w:rsid w:val="00DF2CC5"/>
    <w:rsid w:val="00DF2EA6"/>
    <w:rsid w:val="00DF54C8"/>
    <w:rsid w:val="00DF6E90"/>
    <w:rsid w:val="00E00602"/>
    <w:rsid w:val="00E00F3A"/>
    <w:rsid w:val="00E01012"/>
    <w:rsid w:val="00E01FBD"/>
    <w:rsid w:val="00E06235"/>
    <w:rsid w:val="00E07234"/>
    <w:rsid w:val="00E072C1"/>
    <w:rsid w:val="00E10FA5"/>
    <w:rsid w:val="00E132C7"/>
    <w:rsid w:val="00E13A2A"/>
    <w:rsid w:val="00E13DE4"/>
    <w:rsid w:val="00E13F31"/>
    <w:rsid w:val="00E14123"/>
    <w:rsid w:val="00E1452F"/>
    <w:rsid w:val="00E155F8"/>
    <w:rsid w:val="00E17BCB"/>
    <w:rsid w:val="00E20D91"/>
    <w:rsid w:val="00E219E5"/>
    <w:rsid w:val="00E21B11"/>
    <w:rsid w:val="00E21E9B"/>
    <w:rsid w:val="00E244B0"/>
    <w:rsid w:val="00E24704"/>
    <w:rsid w:val="00E24F58"/>
    <w:rsid w:val="00E26CAD"/>
    <w:rsid w:val="00E276C6"/>
    <w:rsid w:val="00E32538"/>
    <w:rsid w:val="00E32B87"/>
    <w:rsid w:val="00E360CE"/>
    <w:rsid w:val="00E363B8"/>
    <w:rsid w:val="00E3748A"/>
    <w:rsid w:val="00E37CE6"/>
    <w:rsid w:val="00E4031D"/>
    <w:rsid w:val="00E418EC"/>
    <w:rsid w:val="00E4206F"/>
    <w:rsid w:val="00E436EF"/>
    <w:rsid w:val="00E44700"/>
    <w:rsid w:val="00E4565A"/>
    <w:rsid w:val="00E468EE"/>
    <w:rsid w:val="00E47700"/>
    <w:rsid w:val="00E51AAC"/>
    <w:rsid w:val="00E52861"/>
    <w:rsid w:val="00E52871"/>
    <w:rsid w:val="00E53AEE"/>
    <w:rsid w:val="00E5432D"/>
    <w:rsid w:val="00E55B85"/>
    <w:rsid w:val="00E561F5"/>
    <w:rsid w:val="00E574C1"/>
    <w:rsid w:val="00E6085D"/>
    <w:rsid w:val="00E626DD"/>
    <w:rsid w:val="00E62A96"/>
    <w:rsid w:val="00E63AD8"/>
    <w:rsid w:val="00E64272"/>
    <w:rsid w:val="00E646C9"/>
    <w:rsid w:val="00E64E4E"/>
    <w:rsid w:val="00E703F1"/>
    <w:rsid w:val="00E703F4"/>
    <w:rsid w:val="00E70AA5"/>
    <w:rsid w:val="00E7183F"/>
    <w:rsid w:val="00E75040"/>
    <w:rsid w:val="00E76A99"/>
    <w:rsid w:val="00E77C06"/>
    <w:rsid w:val="00E77D4E"/>
    <w:rsid w:val="00E8020C"/>
    <w:rsid w:val="00E80DE0"/>
    <w:rsid w:val="00E822FC"/>
    <w:rsid w:val="00E83A2F"/>
    <w:rsid w:val="00E861C6"/>
    <w:rsid w:val="00E86851"/>
    <w:rsid w:val="00E8760A"/>
    <w:rsid w:val="00E918E1"/>
    <w:rsid w:val="00E9221A"/>
    <w:rsid w:val="00E92820"/>
    <w:rsid w:val="00E92A14"/>
    <w:rsid w:val="00E93576"/>
    <w:rsid w:val="00E9398E"/>
    <w:rsid w:val="00E96DAF"/>
    <w:rsid w:val="00EA0F19"/>
    <w:rsid w:val="00EA1C49"/>
    <w:rsid w:val="00EA29EF"/>
    <w:rsid w:val="00EA3169"/>
    <w:rsid w:val="00EA3BF7"/>
    <w:rsid w:val="00EB1F59"/>
    <w:rsid w:val="00EB4361"/>
    <w:rsid w:val="00EB6380"/>
    <w:rsid w:val="00EB66FA"/>
    <w:rsid w:val="00EB7457"/>
    <w:rsid w:val="00EB7E70"/>
    <w:rsid w:val="00EC00E7"/>
    <w:rsid w:val="00EC066E"/>
    <w:rsid w:val="00EC1006"/>
    <w:rsid w:val="00EC4AB2"/>
    <w:rsid w:val="00EC7CA2"/>
    <w:rsid w:val="00ED09E6"/>
    <w:rsid w:val="00ED0CD9"/>
    <w:rsid w:val="00ED22B9"/>
    <w:rsid w:val="00ED323E"/>
    <w:rsid w:val="00ED4EF6"/>
    <w:rsid w:val="00ED6348"/>
    <w:rsid w:val="00ED7502"/>
    <w:rsid w:val="00EE210A"/>
    <w:rsid w:val="00EE2836"/>
    <w:rsid w:val="00EE4682"/>
    <w:rsid w:val="00EE79F0"/>
    <w:rsid w:val="00EF10BA"/>
    <w:rsid w:val="00EF3F00"/>
    <w:rsid w:val="00EF4894"/>
    <w:rsid w:val="00EF4ACE"/>
    <w:rsid w:val="00EF5BE2"/>
    <w:rsid w:val="00F00A42"/>
    <w:rsid w:val="00F018DF"/>
    <w:rsid w:val="00F01EFB"/>
    <w:rsid w:val="00F02A4A"/>
    <w:rsid w:val="00F02C92"/>
    <w:rsid w:val="00F02E0F"/>
    <w:rsid w:val="00F02F88"/>
    <w:rsid w:val="00F037F0"/>
    <w:rsid w:val="00F03D50"/>
    <w:rsid w:val="00F047DC"/>
    <w:rsid w:val="00F05E44"/>
    <w:rsid w:val="00F06A3F"/>
    <w:rsid w:val="00F07DBE"/>
    <w:rsid w:val="00F10C75"/>
    <w:rsid w:val="00F10F8C"/>
    <w:rsid w:val="00F110AB"/>
    <w:rsid w:val="00F1144C"/>
    <w:rsid w:val="00F123AF"/>
    <w:rsid w:val="00F13827"/>
    <w:rsid w:val="00F13EE6"/>
    <w:rsid w:val="00F15233"/>
    <w:rsid w:val="00F17319"/>
    <w:rsid w:val="00F22EF4"/>
    <w:rsid w:val="00F23815"/>
    <w:rsid w:val="00F2628B"/>
    <w:rsid w:val="00F26A56"/>
    <w:rsid w:val="00F26F9F"/>
    <w:rsid w:val="00F3034C"/>
    <w:rsid w:val="00F31AA6"/>
    <w:rsid w:val="00F32286"/>
    <w:rsid w:val="00F3329C"/>
    <w:rsid w:val="00F33693"/>
    <w:rsid w:val="00F347FA"/>
    <w:rsid w:val="00F3728F"/>
    <w:rsid w:val="00F3764B"/>
    <w:rsid w:val="00F41806"/>
    <w:rsid w:val="00F41EC2"/>
    <w:rsid w:val="00F42E96"/>
    <w:rsid w:val="00F450FC"/>
    <w:rsid w:val="00F45135"/>
    <w:rsid w:val="00F45E28"/>
    <w:rsid w:val="00F45E67"/>
    <w:rsid w:val="00F45E92"/>
    <w:rsid w:val="00F45F57"/>
    <w:rsid w:val="00F50B34"/>
    <w:rsid w:val="00F51810"/>
    <w:rsid w:val="00F52D8E"/>
    <w:rsid w:val="00F52E06"/>
    <w:rsid w:val="00F53B76"/>
    <w:rsid w:val="00F544AA"/>
    <w:rsid w:val="00F56F67"/>
    <w:rsid w:val="00F57C8E"/>
    <w:rsid w:val="00F601FC"/>
    <w:rsid w:val="00F62DC0"/>
    <w:rsid w:val="00F633CB"/>
    <w:rsid w:val="00F66BAC"/>
    <w:rsid w:val="00F7140D"/>
    <w:rsid w:val="00F7331E"/>
    <w:rsid w:val="00F74F84"/>
    <w:rsid w:val="00F75082"/>
    <w:rsid w:val="00F767BA"/>
    <w:rsid w:val="00F7681A"/>
    <w:rsid w:val="00F76C52"/>
    <w:rsid w:val="00F772AE"/>
    <w:rsid w:val="00F802D9"/>
    <w:rsid w:val="00F82DA7"/>
    <w:rsid w:val="00F837C3"/>
    <w:rsid w:val="00F8668D"/>
    <w:rsid w:val="00F86BEA"/>
    <w:rsid w:val="00F909D4"/>
    <w:rsid w:val="00F91E88"/>
    <w:rsid w:val="00F93EED"/>
    <w:rsid w:val="00F94AE0"/>
    <w:rsid w:val="00F94CA1"/>
    <w:rsid w:val="00F95DA3"/>
    <w:rsid w:val="00FA12EA"/>
    <w:rsid w:val="00FA1B5B"/>
    <w:rsid w:val="00FA21D7"/>
    <w:rsid w:val="00FA2BCD"/>
    <w:rsid w:val="00FA2D4B"/>
    <w:rsid w:val="00FA38FB"/>
    <w:rsid w:val="00FB055B"/>
    <w:rsid w:val="00FB12F4"/>
    <w:rsid w:val="00FB1520"/>
    <w:rsid w:val="00FB467A"/>
    <w:rsid w:val="00FB6990"/>
    <w:rsid w:val="00FB7034"/>
    <w:rsid w:val="00FC1CAD"/>
    <w:rsid w:val="00FC2DAA"/>
    <w:rsid w:val="00FC39F1"/>
    <w:rsid w:val="00FC424F"/>
    <w:rsid w:val="00FC4EC9"/>
    <w:rsid w:val="00FC5C5C"/>
    <w:rsid w:val="00FC5DB4"/>
    <w:rsid w:val="00FC737D"/>
    <w:rsid w:val="00FC79ED"/>
    <w:rsid w:val="00FC7D8D"/>
    <w:rsid w:val="00FD14DC"/>
    <w:rsid w:val="00FD2CEA"/>
    <w:rsid w:val="00FD570F"/>
    <w:rsid w:val="00FD785B"/>
    <w:rsid w:val="00FD79C0"/>
    <w:rsid w:val="00FD7A12"/>
    <w:rsid w:val="00FD7D85"/>
    <w:rsid w:val="00FE39AD"/>
    <w:rsid w:val="00FE3F3A"/>
    <w:rsid w:val="00FE4E5C"/>
    <w:rsid w:val="00FE5861"/>
    <w:rsid w:val="00FE5ADD"/>
    <w:rsid w:val="00FE65D0"/>
    <w:rsid w:val="00FE674C"/>
    <w:rsid w:val="00FE7229"/>
    <w:rsid w:val="00FF03B6"/>
    <w:rsid w:val="00FF053A"/>
    <w:rsid w:val="00FF11CE"/>
    <w:rsid w:val="00FF2ACF"/>
    <w:rsid w:val="00FF2CE6"/>
    <w:rsid w:val="00FF2F4C"/>
    <w:rsid w:val="00FF5A39"/>
    <w:rsid w:val="00FF7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5336B"/>
  <w15:chartTrackingRefBased/>
  <w15:docId w15:val="{85ECF0E2-DC87-FB4F-A88C-31665D12C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43E8"/>
    <w:rPr>
      <w:color w:val="0563C1" w:themeColor="hyperlink"/>
      <w:u w:val="single"/>
    </w:rPr>
  </w:style>
  <w:style w:type="character" w:styleId="UnresolvedMention">
    <w:name w:val="Unresolved Mention"/>
    <w:basedOn w:val="DefaultParagraphFont"/>
    <w:uiPriority w:val="99"/>
    <w:semiHidden/>
    <w:unhideWhenUsed/>
    <w:rsid w:val="007443E8"/>
    <w:rPr>
      <w:color w:val="605E5C"/>
      <w:shd w:val="clear" w:color="auto" w:fill="E1DFDD"/>
    </w:rPr>
  </w:style>
  <w:style w:type="paragraph" w:styleId="ListParagraph">
    <w:name w:val="List Paragraph"/>
    <w:basedOn w:val="Normal"/>
    <w:uiPriority w:val="34"/>
    <w:qFormat/>
    <w:rsid w:val="009B332C"/>
    <w:pPr>
      <w:ind w:left="720"/>
      <w:contextualSpacing/>
    </w:pPr>
  </w:style>
  <w:style w:type="paragraph" w:styleId="Header">
    <w:name w:val="header"/>
    <w:basedOn w:val="Normal"/>
    <w:link w:val="HeaderChar"/>
    <w:uiPriority w:val="99"/>
    <w:unhideWhenUsed/>
    <w:rsid w:val="001B4F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4F5B"/>
  </w:style>
  <w:style w:type="paragraph" w:styleId="Footer">
    <w:name w:val="footer"/>
    <w:basedOn w:val="Normal"/>
    <w:link w:val="FooterChar"/>
    <w:uiPriority w:val="99"/>
    <w:unhideWhenUsed/>
    <w:rsid w:val="001B4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4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brief-encounter-land-ownership-rdmf3vs88cn" TargetMode="External" /><Relationship Id="rId13" Type="http://schemas.openxmlformats.org/officeDocument/2006/relationships/hyperlink" Target="https://www.wilsonbrowne.co.uk/news/is-an-item-a-fixture-or-a-fitting-why-is-this-important-when-selling-or-purchasing-a-property/" TargetMode="External" /><Relationship Id="rId18" Type="http://schemas.openxmlformats.org/officeDocument/2006/relationships/hyperlink" Target="https://www.tanfieldchambers.co.uk/2015/11/03/administration-of-justice-in-mortgage-possession-claims-uncommon-situations/" TargetMode="External" /><Relationship Id="rId3" Type="http://schemas.openxmlformats.org/officeDocument/2006/relationships/settings" Target="settings.xml" /><Relationship Id="rId7" Type="http://schemas.openxmlformats.org/officeDocument/2006/relationships/hyperlink" Target="https://www.falcon-chambers.com/images/uploads/articles/Battles-about-chattels.pdf" TargetMode="External" /><Relationship Id="rId12" Type="http://schemas.openxmlformats.org/officeDocument/2006/relationships/hyperlink" Target="https://publications.parliament.uk/pa/ld199697/ldjudgmt/jd970501/elites01.htm" TargetMode="External" /><Relationship Id="rId17" Type="http://schemas.openxmlformats.org/officeDocument/2006/relationships/hyperlink" Target="https://1f2ca7mxjow42e65q49871m1-wpengine.netdna-ssl.com/wp-content/uploads/2020/12/Sawtell-The-remedies-of-the-mortgagee-appointing-receivers-JIBFL-Dec-2020.pdf" TargetMode="External" /><Relationship Id="rId2" Type="http://schemas.openxmlformats.org/officeDocument/2006/relationships/styles" Target="styles.xml" /><Relationship Id="rId16" Type="http://schemas.openxmlformats.org/officeDocument/2006/relationships/hyperlink" Target="https://s3-eu-west-2.amazonaws.com/lawcom-prod-storage-11jsxou24uy7q/uploads/2016/08/No.099-Land-of-Mortgages.pdf"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uk.practicallaw.thomsonreuters.com/8-202-2732?transitionType=Default&amp;contextData=(sc.Default)&amp;firstPage=true" TargetMode="External" /><Relationship Id="rId5" Type="http://schemas.openxmlformats.org/officeDocument/2006/relationships/footnotes" Target="footnotes.xml" /><Relationship Id="rId15" Type="http://schemas.openxmlformats.org/officeDocument/2006/relationships/hyperlink" Target="https://www.33bedfordrow.co.uk/insights/articles/mortgage-possession-claims---how-long-to-go" TargetMode="External" /><Relationship Id="rId10" Type="http://schemas.openxmlformats.org/officeDocument/2006/relationships/hyperlink" Target="https://www.surveyingproperty.blogspot.com/2015/06/law-of-land-property-part-2-fixture-or.html"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jstor.org/stable/3600529" TargetMode="External" /><Relationship Id="rId14" Type="http://schemas.openxmlformats.org/officeDocument/2006/relationships/hyperlink" Target="https://falcon-chambers.com/images/uploads/articles/Motgagees_Remedies_in_a_Shaky_Marke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4161</Words>
  <Characters>23724</Characters>
  <Application>Microsoft Office Word</Application>
  <DocSecurity>0</DocSecurity>
  <Lines>197</Lines>
  <Paragraphs>55</Paragraphs>
  <ScaleCrop>false</ScaleCrop>
  <Company/>
  <LinksUpToDate>false</LinksUpToDate>
  <CharactersWithSpaces>27830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 (1900085)</cp:lastModifiedBy>
  <cp:revision>2</cp:revision>
  <dcterms:created xsi:type="dcterms:W3CDTF">2022-01-02T16:10:00Z</dcterms:created>
  <dcterms:modified xsi:type="dcterms:W3CDTF">2022-01-02T16:10:00Z</dcterms:modified>
</cp:coreProperties>
</file>