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spacing w:before="200" w:lineRule="auto"/>
        <w:jc w:val="center"/>
        <w:rPr>
          <w:sz w:val="26"/>
          <w:szCs w:val="26"/>
        </w:rPr>
      </w:pPr>
      <w:bookmarkStart w:colFirst="0" w:colLast="0" w:name="_2nvinj78ti9q" w:id="0"/>
      <w:bookmarkEnd w:id="0"/>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1746250</wp:posOffset>
            </wp:positionH>
            <wp:positionV relativeFrom="paragraph">
              <wp:posOffset>-50799</wp:posOffset>
            </wp:positionV>
            <wp:extent cx="2478617" cy="1151467"/>
            <wp:effectExtent b="0" l="0" r="0" t="0"/>
            <wp:wrapNone/>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478617" cy="1151467"/>
                    </a:xfrm>
                    <a:prstGeom prst="rect"/>
                    <a:ln/>
                  </pic:spPr>
                </pic:pic>
              </a:graphicData>
            </a:graphic>
          </wp:anchor>
        </w:drawing>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32"/>
          <w:szCs w:val="32"/>
          <w:u w:val="none"/>
          <w:shd w:fill="auto" w:val="clear"/>
          <w:vertAlign w:val="baseline"/>
          <w:rtl w:val="0"/>
        </w:rPr>
        <w:t xml:space="preserve">Programme name: Master of Business Administration</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32"/>
          <w:szCs w:val="32"/>
          <w:u w:val="none"/>
          <w:shd w:fill="auto" w:val="clear"/>
          <w:vertAlign w:val="baseline"/>
          <w:rtl w:val="0"/>
        </w:rPr>
        <w:t xml:space="preserve">Module name: Business Development Proposal</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32"/>
          <w:szCs w:val="32"/>
          <w:u w:val="none"/>
          <w:shd w:fill="auto" w:val="clear"/>
          <w:vertAlign w:val="baseline"/>
          <w:rtl w:val="0"/>
        </w:rPr>
        <w:t xml:space="preserve">Module code: LCMB7037</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32"/>
          <w:szCs w:val="32"/>
          <w:u w:val="none"/>
          <w:shd w:fill="auto" w:val="clear"/>
          <w:vertAlign w:val="baseline"/>
          <w:rtl w:val="0"/>
        </w:rPr>
        <w:t xml:space="preserve">Assignment title: Business development proposal on EcoLoop Office</w:t>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32"/>
          <w:szCs w:val="32"/>
          <w:u w:val="none"/>
          <w:shd w:fill="auto" w:val="clear"/>
          <w:vertAlign w:val="baseline"/>
          <w:rtl w:val="0"/>
        </w:rPr>
        <w:t xml:space="preserve">Supervisor’s name: Balendran Kandasamy</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32"/>
          <w:szCs w:val="32"/>
          <w:u w:val="none"/>
          <w:shd w:fill="auto" w:val="clear"/>
          <w:vertAlign w:val="baseline"/>
          <w:rtl w:val="0"/>
        </w:rPr>
        <w:t xml:space="preserve">Student ID &amp; Name: Deep J. Viththani - 2508635</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bookmarkStart w:colFirst="0" w:colLast="0" w:name="_hb8xbwcw1qkl" w:id="1"/>
      <w:bookmarkEnd w:id="1"/>
      <w:r w:rsidDel="00000000" w:rsidR="00000000" w:rsidRPr="00000000">
        <w:rPr>
          <w:rFonts w:ascii="Arial" w:cs="Arial" w:eastAsia="Arial" w:hAnsi="Arial"/>
          <w:b w:val="1"/>
          <w:bCs w:val="1"/>
          <w:i w:val="0"/>
          <w:iCs w:val="0"/>
          <w:smallCaps w:val="0"/>
          <w:strike w:val="0"/>
          <w:color w:val="000000"/>
          <w:sz w:val="32"/>
          <w:szCs w:val="32"/>
          <w:u w:val="none"/>
          <w:shd w:fill="auto" w:val="clear"/>
          <w:vertAlign w:val="baseline"/>
          <w:rtl w:val="0"/>
        </w:rPr>
        <w:t xml:space="preserve">Word Count: 16043</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0"/>
          <w:iCs w:val="0"/>
          <w:smallCaps w:val="0"/>
          <w:strike w:val="0"/>
          <w:color w:val="000000"/>
          <w:sz w:val="32"/>
          <w:szCs w:val="3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32"/>
          <w:szCs w:val="32"/>
          <w:u w:val="none"/>
          <w:shd w:fill="auto" w:val="clear"/>
          <w:vertAlign w:val="baseline"/>
          <w:rtl w:val="0"/>
        </w:rPr>
        <w:t xml:space="preserve">Submission date: 19</w:t>
      </w:r>
      <w:r w:rsidDel="00000000" w:rsidR="00000000" w:rsidRPr="00000000">
        <w:rPr>
          <w:rFonts w:ascii="Arial" w:cs="Arial" w:eastAsia="Arial" w:hAnsi="Arial"/>
          <w:b w:val="1"/>
          <w:bCs w:val="1"/>
          <w:i w:val="0"/>
          <w:iCs w:val="0"/>
          <w:smallCaps w:val="0"/>
          <w:strike w:val="0"/>
          <w:color w:val="000000"/>
          <w:sz w:val="32"/>
          <w:szCs w:val="32"/>
          <w:u w:val="none"/>
          <w:shd w:fill="auto" w:val="clear"/>
          <w:vertAlign w:val="superscript"/>
          <w:rtl w:val="0"/>
        </w:rPr>
        <w:t xml:space="preserve">th</w:t>
      </w:r>
      <w:r w:rsidDel="00000000" w:rsidR="00000000" w:rsidRPr="00000000">
        <w:rPr>
          <w:rFonts w:ascii="Arial" w:cs="Arial" w:eastAsia="Arial" w:hAnsi="Arial"/>
          <w:b w:val="1"/>
          <w:bCs w:val="1"/>
          <w:i w:val="0"/>
          <w:iCs w:val="0"/>
          <w:smallCaps w:val="0"/>
          <w:strike w:val="0"/>
          <w:color w:val="000000"/>
          <w:sz w:val="32"/>
          <w:szCs w:val="32"/>
          <w:u w:val="none"/>
          <w:shd w:fill="auto" w:val="clear"/>
          <w:vertAlign w:val="baseline"/>
          <w:rtl w:val="0"/>
        </w:rPr>
        <w:t xml:space="preserve"> Sep 2026</w:t>
      </w:r>
      <w:r w:rsidDel="00000000" w:rsidR="00000000" w:rsidRPr="00000000">
        <w:br w:type="page"/>
      </w:r>
      <w:r w:rsidDel="00000000" w:rsidR="00000000" w:rsidRPr="00000000">
        <w:rPr>
          <w:rtl w:val="0"/>
        </w:rPr>
      </w:r>
    </w:p>
    <w:p w:rsidR="00000000" w:rsidDel="00000000" w:rsidP="00000000" w:rsidRDefault="00000000" w:rsidRPr="00000000" w14:paraId="0000000D">
      <w:pPr>
        <w:pStyle w:val="Heading1"/>
        <w:keepNext w:val="0"/>
        <w:keepLines w:val="0"/>
        <w:spacing w:before="200" w:lineRule="auto"/>
        <w:jc w:val="center"/>
        <w:rPr/>
      </w:pPr>
      <w:bookmarkStart w:colFirst="0" w:colLast="0" w:name="_tys93w8dgnn" w:id="2"/>
      <w:bookmarkEnd w:id="2"/>
      <w:r w:rsidDel="00000000" w:rsidR="00000000" w:rsidRPr="00000000">
        <w:rPr>
          <w:rtl w:val="0"/>
        </w:rPr>
        <w:t xml:space="preserve">Executive Summary </w:t>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EcoLoop Office is a proposed UK B2B circular-furniture initiative that meets evolving working environments and establishes a new model of furniture usage from ownership to subscription, maintenance &amp; refurbishment, swap-out, take-back, resale and ESG reporting. The study adopts secondary research and thematic and comparative analysis with academic, government and industry evidence. This is a way to carry out a structured feasibility assessment, but it lacks primary research, so there is no confirmation of customer willingness to pay.</w:t>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analysis combines Circular Economy Theory and Sustainable Business Model Innovation (SBMI) to evaluate the potential of bringing furniture from ownership to access to generate environmental and economic value. Jobs-to-be-Done (JTBD) identifies customer requirements associated with furnishing, relocation, expansion, downsizing and ownership problems. The Value Proposition Canvas (VPC) evaluates if flexibility, convenience, refurbishment and ESG reporting will solve customer pains and deliver customer gains. The proposition is then targeted at SMEs, medium-sized organisations and flexible-workspace operators, as part of the process of Segmentation, Targeting and Positioning (STP).</w:t>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PESTLE highlights the favourable political, social and environmental factors, including the pressures for circular procurement, hybrid working and resource-efficiency; however, the uncertainty of the economy and compliance pressures limit pricing and operational flexibility. Porter’s Five Forces provides a more critical assessment, highlighting buyer power, substitutes, competitive rivalry and supplier dependencies. Thus, market need does not necessarily equate to commercial demand.</w:t>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VRIO suggests the resources are valuable, but not rare or hard to imitate, except for the case of EcoLoop. Therefore, to achieve sustainable competitive advantage, digitisation and sustainability reporting will be able to support differentiation but cannot do that alone. SWOT brings all of these elements together – circularity, digital transparency and recurring revenue are strengths, and limited resources, weak brand recognition and partner dependence are weaknesses. It's about focus differentiation and competing on convenience, on reliable service, on measurable results and credible reporting, not on price or on generic sustainability claims.</w:t>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Business Model Canvas (BMC) transforms this strategy into an integrated approach in the areas of customer segments, value proposition, channels, relationships, activities, resources, partnerships, revenues and costs. Financial analysis shows potential monthly packages of between £199 and £799+; a start-up cost of £75,000 and an operating profit of £35,000 in Year 1; with projected revenue of £350,000 in Year 1. However, the break-even of this operation occurs after about 60 customers, and the sensitivity analysis shows that customer acquisition, customer retention, and revenue and logistics costs are important factors for profitability.</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Overall, feasibility is a Conditional Go. Prior to significant capital investment, EcoLoop should carry out a carefully managed pilot of the system, first with small and medium enterprises and organisations. This relies on reliable logistics, refurbishment capacity, technology and authorised waste handling, and transparent, evidence-based environmental reporting is crucial for ethical viability. The implementation should be done through preparation, pilot, commercial launch and growth, monitored by acquisition, retention, margin KPIs, collection reliability and sustainability KPIs. The integrated frameworks then lend themselves to a measured approach to commercial progress, rather than to a blanket approach to market entry.</w:t>
      </w: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1"/>
        <w:spacing w:before="200" w:lineRule="auto"/>
        <w:jc w:val="center"/>
        <w:rPr/>
      </w:pPr>
      <w:bookmarkStart w:colFirst="0" w:colLast="0" w:name="_bterf4gxmoq2" w:id="3"/>
      <w:bookmarkEnd w:id="3"/>
      <w:r w:rsidDel="00000000" w:rsidR="00000000" w:rsidRPr="00000000">
        <w:rPr>
          <w:rtl w:val="0"/>
        </w:rPr>
        <w:t xml:space="preserve">AI Declaration</w:t>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 declare that the content in this assignment has not been substantially developed by me using artificial intelligence (AI) tools or Applications, including generative AI Applications. The business development proposal made as a part of this research, analysis and interpretation, argument, and recommendations and written work is my own work. The information included herein is the sole responsibility of this author, who has reviewed and evaluated the material in the academic, government and industry sources. All ideas, evidence or information from other sources have been referenced and acknowledged in line with the academic requirements of the programme and institution.</w:t>
      </w:r>
      <w:r w:rsidDel="00000000" w:rsidR="00000000" w:rsidRPr="00000000">
        <w:br w:type="page"/>
      </w:r>
      <w:r w:rsidDel="00000000" w:rsidR="00000000" w:rsidRPr="00000000">
        <w:rPr>
          <w:rtl w:val="0"/>
        </w:rPr>
      </w:r>
    </w:p>
    <w:p w:rsidR="00000000" w:rsidDel="00000000" w:rsidP="00000000" w:rsidRDefault="00000000" w:rsidRPr="00000000" w14:paraId="00000016">
      <w:pPr>
        <w:pStyle w:val="Heading1"/>
        <w:spacing w:before="200" w:lineRule="auto"/>
        <w:jc w:val="center"/>
        <w:rPr/>
      </w:pPr>
      <w:bookmarkStart w:colFirst="0" w:colLast="0" w:name="_5aahpo5xqkxp" w:id="4"/>
      <w:bookmarkEnd w:id="4"/>
      <w:r w:rsidDel="00000000" w:rsidR="00000000" w:rsidRPr="00000000">
        <w:rPr>
          <w:rtl w:val="0"/>
        </w:rPr>
        <w:t xml:space="preserve">Acknowledgement</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 would sincerely like to thank my Lecturer Balendran Kandasamy for their valuable guidance, constructive feedback and overall support during the development of this Business Development Proposal. They encouraged me to enhance my business development, market analysis, strategic planning and feasibility assessment skills. I would like to express my gratitude also to my university for supplying the academic support and learning opportunities I needed to undertake this work. I would like to thank my family and friends for their encouragement, patience and support throughout my studies. Lastly, thanks to all who contributed to this proposal based on their expertise and published works.</w:t>
      </w: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keepNext w:val="0"/>
        <w:keepLines w:val="0"/>
        <w:spacing w:before="200" w:lineRule="auto"/>
        <w:jc w:val="center"/>
        <w:rPr/>
      </w:pPr>
      <w:bookmarkStart w:colFirst="0" w:colLast="0" w:name="_3x8yaqb8b6lh" w:id="5"/>
      <w:bookmarkEnd w:id="5"/>
      <w:r w:rsidDel="00000000" w:rsidR="00000000" w:rsidRPr="00000000">
        <w:rPr>
          <w:rtl w:val="0"/>
        </w:rPr>
        <w:t xml:space="preserve">Table of Contents</w:t>
      </w:r>
    </w:p>
    <w:p w:rsidR="00000000" w:rsidDel="00000000" w:rsidP="00000000" w:rsidRDefault="00000000" w:rsidRPr="00000000" w14:paraId="0000001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libri" w:cs="Calibri" w:eastAsia="Calibri" w:hAnsi="Calibri"/>
          <w:b w:val="1"/>
          <w:bCs w:val="1"/>
          <w:i w:val="0"/>
          <w:iCs w:val="0"/>
          <w:smallCaps w:val="0"/>
          <w:strike w:val="0"/>
          <w:color w:val="366091"/>
          <w:sz w:val="28"/>
          <w:szCs w:val="28"/>
          <w:u w:val="none"/>
          <w:shd w:fill="auto" w:val="clear"/>
          <w:vertAlign w:val="baseline"/>
        </w:rPr>
      </w:pPr>
      <w:bookmarkStart w:colFirst="0" w:colLast="0" w:name="_hk9gcsg1jhj9" w:id="6"/>
      <w:bookmarkEnd w:id="6"/>
      <w:r w:rsidDel="00000000" w:rsidR="00000000" w:rsidRPr="00000000">
        <w:rPr>
          <w:rFonts w:ascii="Calibri" w:cs="Calibri" w:eastAsia="Calibri" w:hAnsi="Calibri"/>
          <w:b w:val="1"/>
          <w:bCs w:val="1"/>
          <w:i w:val="0"/>
          <w:iCs w:val="0"/>
          <w:smallCaps w:val="0"/>
          <w:strike w:val="0"/>
          <w:color w:val="366091"/>
          <w:sz w:val="28"/>
          <w:szCs w:val="28"/>
          <w:u w:val="none"/>
          <w:shd w:fill="auto" w:val="clear"/>
          <w:vertAlign w:val="baseline"/>
          <w:rtl w:val="0"/>
        </w:rPr>
        <w:t xml:space="preserve">Contents</w:t>
      </w:r>
    </w:p>
    <w:sdt>
      <w:sdtPr>
        <w:id w:val="393587229"/>
        <w:docPartObj>
          <w:docPartGallery w:val="Table of Contents"/>
          <w:docPartUnique w:val="1"/>
        </w:docPartObj>
      </w:sdtPr>
      <w:sdtContent>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tys93w8dgn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Executive Summary</w:t>
              <w:tab/>
              <w:t xml:space="preserve">1</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bterf4gxmoq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AI Declaration</w:t>
              <w:tab/>
              <w:t xml:space="preserve">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5aahpo5xqkx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Acknowledgement</w:t>
              <w:tab/>
              <w:t xml:space="preserve">4</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3x8yaqb8b6l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Table of Contents</w:t>
              <w:tab/>
              <w:t xml:space="preserve">5</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Arial" w:cs="Arial" w:eastAsia="Arial" w:hAnsi="Arial"/>
              <w:b w:val="0"/>
              <w:bCs w:val="0"/>
              <w:i w:val="0"/>
              <w:iCs w:val="0"/>
              <w:smallCaps w:val="0"/>
              <w:strike w:val="0"/>
              <w:color w:val="0000ff"/>
              <w:sz w:val="24"/>
              <w:szCs w:val="24"/>
              <w:u w:val="single"/>
              <w:shd w:fill="auto" w:val="clear"/>
              <w:vertAlign w:val="baseline"/>
            </w:rPr>
          </w:pPr>
          <w:hyperlink w:anchor="_m1wromc3p5g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Chapter 1: Introduction</w:t>
              <w:tab/>
              <w:t xml:space="preserve">13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 Background and Context…………………………………………………………………13</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ojalya4mats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 Problem / Opportunity Statement</w:t>
              <w:tab/>
              <w:t xml:space="preserve">14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lc8tey8ech1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1.3 Initial Observation of Demand</w:t>
              <w:tab/>
              <w:t xml:space="preserve">15</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swvz8x8bdtw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 Aim, Objectives and Research Questions</w:t>
              <w:tab/>
              <w:t xml:space="preserve">15</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2ilg3ww2tkq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1.4.1 Research Aim</w:t>
              <w:tab/>
              <w:t xml:space="preserve">15</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68g9xbhesty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1.4.2 Research Objectives</w:t>
              <w:tab/>
              <w:t xml:space="preserve">15</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xi8kio9a9sr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1.4.3 Research Questions</w:t>
              <w:tab/>
              <w:t xml:space="preserve">16</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tudm78uvthl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1.5 Scope of Analysis</w:t>
              <w:tab/>
              <w:t xml:space="preserve">16</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1grwe05ck03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1.6 Structure of the Report</w:t>
              <w:tab/>
              <w:t xml:space="preserve">16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um34lvmsqou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Chapter 2: Company Description</w:t>
              <w:tab/>
              <w:t xml:space="preserve">17</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vekldncj9va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Business Identity and Legal Structure</w:t>
              <w:tab/>
              <w:t xml:space="preserve">17</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5zc9mqxhml0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Product/Service and Problem Solved</w:t>
              <w:tab/>
              <w:t xml:space="preserve">18</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yprn6qgy6i0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Founding Idea and History</w:t>
              <w:tab/>
              <w:t xml:space="preserve">18</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n5dz5a5ne51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2.4 SMART Business Objectives and Goals</w:t>
              <w:tab/>
              <w:t xml:space="preserve">19</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2zrlxj266nd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2.5 Core Values and Trend Alignment</w:t>
              <w:tab/>
              <w:t xml:space="preserve">20</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iqjbf3d1dyh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Chapter 3: Literature Review</w:t>
              <w:tab/>
              <w:t xml:space="preserve">21</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s6gd2f4u0dx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UK Office Fit-Out and Furniture Market</w:t>
              <w:tab/>
              <w:t xml:space="preserve">21</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slcb28r16ka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Circular Economy Theory</w:t>
              <w:tab/>
              <w:t xml:space="preserve">21</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nu895ywj1o6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Sustainable Business Model Innovation</w:t>
              <w:tab/>
              <w:t xml:space="preserve">23</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58uvktgslrk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3.4 Strategic Frameworks for Business Development</w:t>
              <w:tab/>
              <w:t xml:space="preserve">24</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f5wlrh2y503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3.5 Synthesis and Research Gap</w:t>
              <w:tab/>
              <w:t xml:space="preserve">25</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f3gfmnsksa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Chapter 4: Methodology</w:t>
              <w:tab/>
              <w:t xml:space="preserve">26</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swfr7a5kmc4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 Methodological Approach to Opportunity Identification</w:t>
              <w:tab/>
              <w:t xml:space="preserve">26</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iufljnodttn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 Market Insight Collection</w:t>
              <w:tab/>
              <w:t xml:space="preserve">26</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fjpkxys7isw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 Market Data Gathering</w:t>
              <w:tab/>
              <w:t xml:space="preserve">27</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lnybu26md2q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4.4 Search Strategy and Search Terms</w:t>
              <w:tab/>
              <w:t xml:space="preserve">27</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914moauzhmu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4.5 Data Analysis</w:t>
              <w:tab/>
              <w:t xml:space="preserve">28</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k5ior473pfk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4.6 Models and Frameworks</w:t>
              <w:tab/>
              <w:t xml:space="preserve">28</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ae6v6ha7t56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4.7 Limitations and Ethical Considerations</w:t>
              <w:tab/>
              <w:t xml:space="preserve">29</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ud5hdhivm4g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Chapter 5: Market Opportunity Analysis</w:t>
              <w:tab/>
              <w:t xml:space="preserve">30</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2i2x9mw5dkc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5.1 Scope and Market Definition</w:t>
              <w:tab/>
              <w:t xml:space="preserve">30</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krkgpig3w6g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5.2 Market Size and Growth</w:t>
              <w:tab/>
              <w:t xml:space="preserve">30</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89ngd7x2vxm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5.3 Segmentation and Target Customer</w:t>
              <w:tab/>
              <w:t xml:space="preserve">31</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73p2c9xae1g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5.3.1 Segmentation</w:t>
              <w:tab/>
              <w:t xml:space="preserve">32</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6jf2968ti2s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5.3.2 Targeting</w:t>
              <w:tab/>
              <w:t xml:space="preserve">33</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5ctrkxxjxmv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5.4 Pain Points, Unmet Needs and Demand</w:t>
              <w:tab/>
              <w:t xml:space="preserve">34</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usokl2of126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5.5 Economic and Geographic Conditions</w:t>
              <w:tab/>
              <w:t xml:space="preserve">35</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ae0ue3l9k7m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5.6 Research Findings and Opportunity Synthesis</w:t>
              <w:tab/>
              <w:t xml:space="preserve">36</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ds3g4vxims4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Chapter 6: Competitive Environment Analysis</w:t>
              <w:tab/>
              <w:t xml:space="preserve">39</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prg8kdk3oh9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6.1 Scope, Frameworks and Competitive Set</w:t>
              <w:tab/>
              <w:t xml:space="preserve">39</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vhxorlpgsu0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6.2 Key Success Factors</w:t>
              <w:tab/>
              <w:t xml:space="preserve">39</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fst8rpp5qwg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6.3 Main Competitors and Positioning</w:t>
              <w:tab/>
              <w:t xml:space="preserve">40</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waboxk174t3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6.3.1 Competitor Analysis</w:t>
              <w:tab/>
              <w:t xml:space="preserve">40</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5fvmn843pj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6.3.2 Positioning Map</w:t>
              <w:tab/>
              <w:t xml:space="preserve">41</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jdcgncmluu1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6.4 Porter’s Five Forces</w:t>
              <w:tab/>
              <w:t xml:space="preserve">42</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6kw2a52zjy9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6.5 PESTLE and External Change</w:t>
              <w:tab/>
              <w:t xml:space="preserve">44</w:t>
            </w:r>
          </w:hyperlink>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rnff1bbyatw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6.6 Industry Attractiveness, Market Gaps and Synthesis</w:t>
              <w:tab/>
              <w:t xml:space="preserve">45</w:t>
            </w:r>
          </w:hyperlink>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vq44zhj3y0f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6.7 Chapter Summary</w:t>
              <w:tab/>
              <w:t xml:space="preserve">45</w:t>
            </w:r>
          </w:hyperlink>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scdt09dkjxn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Chapter 7. Business Strategy</w:t>
              <w:tab/>
              <w:t xml:space="preserve">47</w:t>
            </w:r>
          </w:hyperlink>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kfxvdobocqu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7.1 Strategic Introduction</w:t>
              <w:tab/>
              <w:t xml:space="preserve">47</w:t>
            </w:r>
          </w:hyperlink>
          <w:r w:rsidDel="00000000" w:rsidR="00000000" w:rsidRPr="00000000">
            <w:rPr>
              <w:rtl w:val="0"/>
            </w:rPr>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iqps5xruwe5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7.2 External Strategic Analysis</w:t>
              <w:tab/>
              <w:t xml:space="preserve">47</w:t>
            </w:r>
          </w:hyperlink>
          <w:r w:rsidDel="00000000" w:rsidR="00000000" w:rsidRPr="00000000">
            <w:rPr>
              <w:rtl w:val="0"/>
            </w:rPr>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vn0ma2bb1u6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7.3 Internal Analysis: VRIO</w:t>
              <w:tab/>
              <w:t xml:space="preserve">49</w:t>
            </w:r>
          </w:hyperlink>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8r8m0ja5bxb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7.4 SWOT and Strategic Implications</w:t>
              <w:tab/>
              <w:t xml:space="preserve">50</w:t>
            </w:r>
          </w:hyperlink>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qq47lqvd4ko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7.5 Strategic Choice</w:t>
              <w:tab/>
              <w:t xml:space="preserve">52</w:t>
            </w:r>
          </w:hyperlink>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ys9hzrloqcu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7.6 USP and Value Proposition</w:t>
              <w:tab/>
              <w:t xml:space="preserve">53</w:t>
            </w:r>
          </w:hyperlink>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pddq4oaij6g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7.7 Competitive Advantage</w:t>
              <w:tab/>
              <w:t xml:space="preserve">54</w:t>
            </w:r>
          </w:hyperlink>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a0xxezmnx4c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7.8 Key Success Factors</w:t>
              <w:tab/>
              <w:t xml:space="preserve">54</w:t>
            </w:r>
          </w:hyperlink>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e645748znlu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Chapter 8. Business Model Canvas</w:t>
              <w:tab/>
              <w:t xml:space="preserve">55</w:t>
            </w:r>
          </w:hyperlink>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5hodoa3sd4z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8.1 BMC Introduction</w:t>
              <w:tab/>
              <w:t xml:space="preserve">55</w:t>
            </w:r>
          </w:hyperlink>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qmblthhmdq3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8.2 Customer Segments</w:t>
              <w:tab/>
              <w:t xml:space="preserve">55</w:t>
            </w:r>
          </w:hyperlink>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2lwjq5sjert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8.3 Value Proposition</w:t>
              <w:tab/>
              <w:t xml:space="preserve">55</w:t>
            </w:r>
          </w:hyperlink>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3ob5l0f1w7x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8.4 Channels</w:t>
              <w:tab/>
              <w:t xml:space="preserve">56</w:t>
            </w:r>
          </w:hyperlink>
          <w:r w:rsidDel="00000000" w:rsidR="00000000" w:rsidRPr="00000000">
            <w:rPr>
              <w:rtl w:val="0"/>
            </w:rPr>
          </w:r>
        </w:p>
        <w:p w:rsidR="00000000" w:rsidDel="00000000" w:rsidP="00000000" w:rsidRDefault="00000000" w:rsidRPr="00000000" w14:paraId="0000005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k04q35onkbw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8.5 Customer Relationships</w:t>
              <w:tab/>
              <w:t xml:space="preserve">56</w:t>
            </w:r>
          </w:hyperlink>
          <w:r w:rsidDel="00000000" w:rsidR="00000000" w:rsidRPr="00000000">
            <w:rPr>
              <w:rtl w:val="0"/>
            </w:rPr>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xyp9129w0ge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8.6 Revenue Streams</w:t>
              <w:tab/>
              <w:t xml:space="preserve">56</w:t>
            </w:r>
          </w:hyperlink>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aam0j4ma0a2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8.7 Key Resources</w:t>
              <w:tab/>
              <w:t xml:space="preserve">57</w:t>
            </w:r>
          </w:hyperlink>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sw7o59bfg9m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8.8 Key Activities</w:t>
              <w:tab/>
              <w:t xml:space="preserve">57</w:t>
            </w:r>
          </w:hyperlink>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e6wttrlgg1k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8.9 Key Partnerships</w:t>
              <w:tab/>
              <w:t xml:space="preserve">57</w:t>
            </w:r>
          </w:hyperlink>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pbwi2dv539a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8.10 Cost Structure</w:t>
              <w:tab/>
              <w:t xml:space="preserve">58</w:t>
            </w:r>
          </w:hyperlink>
          <w:r w:rsidDel="00000000" w:rsidR="00000000" w:rsidRPr="00000000">
            <w:rPr>
              <w:rtl w:val="0"/>
            </w:rPr>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p8x4rorg7hy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Chapter 9. Financial, Marketing &amp; Human Capital Management Plan</w:t>
              <w:tab/>
              <w:t xml:space="preserve">59</w:t>
            </w:r>
          </w:hyperlink>
          <w:r w:rsidDel="00000000" w:rsidR="00000000" w:rsidRPr="00000000">
            <w:rPr>
              <w:rtl w:val="0"/>
            </w:rPr>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tvhe3348pye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9.1 Financial Plan</w:t>
              <w:tab/>
              <w:t xml:space="preserve">59</w:t>
            </w:r>
          </w:hyperlink>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ellfxm6v85s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9.1.1 Financial Strategy</w:t>
              <w:tab/>
              <w:t xml:space="preserve">59</w:t>
            </w:r>
          </w:hyperlink>
          <w:r w:rsidDel="00000000" w:rsidR="00000000" w:rsidRPr="00000000">
            <w:rPr>
              <w:rtl w:val="0"/>
            </w:rPr>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5oyq2a8wzwo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9.1.2 Start-Up Costs</w:t>
              <w:tab/>
              <w:t xml:space="preserve">59</w:t>
            </w:r>
          </w:hyperlink>
          <w:r w:rsidDel="00000000" w:rsidR="00000000" w:rsidRPr="00000000">
            <w:rPr>
              <w:rtl w:val="0"/>
            </w:rPr>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3wtonpw6yd4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9.1.3 Revenue Model</w:t>
              <w:tab/>
              <w:t xml:space="preserve">60</w:t>
            </w:r>
          </w:hyperlink>
          <w:r w:rsidDel="00000000" w:rsidR="00000000" w:rsidRPr="00000000">
            <w:rPr>
              <w:rtl w:val="0"/>
            </w:rPr>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4hgxzq1b7gc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9.1.4 Pricing Strategy</w:t>
              <w:tab/>
              <w:t xml:space="preserve">61</w:t>
            </w:r>
          </w:hyperlink>
          <w:r w:rsidDel="00000000" w:rsidR="00000000" w:rsidRPr="00000000">
            <w:rPr>
              <w:rtl w:val="0"/>
            </w:rPr>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gcdh04rxwrr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9.1.5 Three-to-Five-Year Financial Forecast</w:t>
              <w:tab/>
              <w:t xml:space="preserve">61</w:t>
            </w:r>
          </w:hyperlink>
          <w:r w:rsidDel="00000000" w:rsidR="00000000" w:rsidRPr="00000000">
            <w:rPr>
              <w:rtl w:val="0"/>
            </w:rPr>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d8wslp743kw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9.1.6 Break-Even Analysis</w:t>
              <w:tab/>
              <w:t xml:space="preserve">62</w:t>
            </w:r>
          </w:hyperlink>
          <w:r w:rsidDel="00000000" w:rsidR="00000000" w:rsidRPr="00000000">
            <w:rPr>
              <w:rtl w:val="0"/>
            </w:rPr>
          </w:r>
        </w:p>
        <w:p w:rsidR="00000000" w:rsidDel="00000000" w:rsidP="00000000" w:rsidRDefault="00000000" w:rsidRPr="00000000" w14:paraId="0000006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27bwct8itim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9.1.7 Sensitivity Analysis</w:t>
              <w:tab/>
              <w:t xml:space="preserve">62</w:t>
            </w:r>
          </w:hyperlink>
          <w:r w:rsidDel="00000000" w:rsidR="00000000" w:rsidRPr="00000000">
            <w:rPr>
              <w:rtl w:val="0"/>
            </w:rPr>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pg8rxx8cm28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9.2 Marketing Plan</w:t>
              <w:tab/>
              <w:t xml:space="preserve">63</w:t>
            </w:r>
          </w:hyperlink>
          <w:r w:rsidDel="00000000" w:rsidR="00000000" w:rsidRPr="00000000">
            <w:rPr>
              <w:rtl w:val="0"/>
            </w:rPr>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1qxa9fgoah1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9.2.1 SMART Marketing Objectives</w:t>
              <w:tab/>
              <w:t xml:space="preserve">63</w:t>
            </w:r>
          </w:hyperlink>
          <w:r w:rsidDel="00000000" w:rsidR="00000000" w:rsidRPr="00000000">
            <w:rPr>
              <w:rtl w:val="0"/>
            </w:rPr>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xpc4fse3vha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9.2.2 Segmentation, Targeting and Positioning</w:t>
              <w:tab/>
              <w:t xml:space="preserve">64</w:t>
            </w:r>
          </w:hyperlink>
          <w:r w:rsidDel="00000000" w:rsidR="00000000" w:rsidRPr="00000000">
            <w:rPr>
              <w:rtl w:val="0"/>
            </w:rPr>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k1wsqroro0g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9.2.3 Marketing Mix</w:t>
              <w:tab/>
              <w:t xml:space="preserve">66</w:t>
            </w:r>
          </w:hyperlink>
          <w:r w:rsidDel="00000000" w:rsidR="00000000" w:rsidRPr="00000000">
            <w:rPr>
              <w:rtl w:val="0"/>
            </w:rPr>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ns4g8ita0v4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9.2.4 Customer Acquisition Funnel</w:t>
              <w:tab/>
              <w:t xml:space="preserve">67</w:t>
            </w:r>
          </w:hyperlink>
          <w:r w:rsidDel="00000000" w:rsidR="00000000" w:rsidRPr="00000000">
            <w:rPr>
              <w:rtl w:val="0"/>
            </w:rPr>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bmejoifntuz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9.2.5 Marketing Budget and KPIs</w:t>
              <w:tab/>
              <w:t xml:space="preserve">68</w:t>
            </w:r>
          </w:hyperlink>
          <w:r w:rsidDel="00000000" w:rsidR="00000000" w:rsidRPr="00000000">
            <w:rPr>
              <w:rtl w:val="0"/>
            </w:rPr>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tttktlh6z23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9.3 Human Capital Management Plan</w:t>
              <w:tab/>
              <w:t xml:space="preserve">69</w:t>
            </w:r>
          </w:hyperlink>
          <w:r w:rsidDel="00000000" w:rsidR="00000000" w:rsidRPr="00000000">
            <w:rPr>
              <w:rtl w:val="0"/>
            </w:rPr>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m4kb0ujvho2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9.3.1 Organisational Structure</w:t>
              <w:tab/>
              <w:t xml:space="preserve">69</w:t>
            </w:r>
          </w:hyperlink>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tmn4ceoim43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9.3.2 Staffing Requirements</w:t>
              <w:tab/>
              <w:t xml:space="preserve">70</w:t>
            </w:r>
          </w:hyperlink>
          <w:r w:rsidDel="00000000" w:rsidR="00000000" w:rsidRPr="00000000">
            <w:rPr>
              <w:rtl w:val="0"/>
            </w:rPr>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ce0de5qem9n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9.3.3 Recruitment and Selection</w:t>
              <w:tab/>
              <w:t xml:space="preserve">70</w:t>
            </w:r>
          </w:hyperlink>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i3y0lbvrywn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9.3.4 Training and Development</w:t>
              <w:tab/>
              <w:t xml:space="preserve">70</w:t>
            </w:r>
          </w:hyperlink>
          <w:r w:rsidDel="00000000" w:rsidR="00000000" w:rsidRPr="00000000">
            <w:rPr>
              <w:rtl w:val="0"/>
            </w:rPr>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6ooggwk1uz5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9.3.5 Compensation and Labour Costs</w:t>
              <w:tab/>
              <w:t xml:space="preserve">70</w:t>
            </w:r>
          </w:hyperlink>
          <w:r w:rsidDel="00000000" w:rsidR="00000000" w:rsidRPr="00000000">
            <w:rPr>
              <w:rtl w:val="0"/>
            </w:rPr>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7szq7v7z5zb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9.3.6 HR Policies and Compliance</w:t>
              <w:tab/>
              <w:t xml:space="preserve">71</w:t>
            </w:r>
          </w:hyperlink>
          <w:r w:rsidDel="00000000" w:rsidR="00000000" w:rsidRPr="00000000">
            <w:rPr>
              <w:rtl w:val="0"/>
            </w:rPr>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lgb4cu2n51m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Chapter 10. Operations Plan</w:t>
              <w:tab/>
              <w:t xml:space="preserve">72</w:t>
            </w:r>
          </w:hyperlink>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qrn0ab8hvnu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10.1 Operations Strategy</w:t>
              <w:tab/>
              <w:t xml:space="preserve">72</w:t>
            </w:r>
          </w:hyperlink>
          <w:r w:rsidDel="00000000" w:rsidR="00000000" w:rsidRPr="00000000">
            <w:rPr>
              <w:rtl w:val="0"/>
            </w:rPr>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3ek54579gm4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10.2 End-to-End Operational Workflow</w:t>
              <w:tab/>
              <w:t xml:space="preserve">72</w:t>
            </w:r>
          </w:hyperlink>
          <w:r w:rsidDel="00000000" w:rsidR="00000000" w:rsidRPr="00000000">
            <w:rPr>
              <w:rtl w:val="0"/>
            </w:rPr>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w8prtpj01vq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10.3 Location Strategy</w:t>
              <w:tab/>
              <w:t xml:space="preserve">73</w:t>
            </w:r>
          </w:hyperlink>
          <w:r w:rsidDel="00000000" w:rsidR="00000000" w:rsidRPr="00000000">
            <w:rPr>
              <w:rtl w:val="0"/>
            </w:rPr>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365gxgt8s5p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10.4 Supply Chain and Procurement</w:t>
              <w:tab/>
              <w:t xml:space="preserve">74</w:t>
            </w:r>
          </w:hyperlink>
          <w:r w:rsidDel="00000000" w:rsidR="00000000" w:rsidRPr="00000000">
            <w:rPr>
              <w:rtl w:val="0"/>
            </w:rPr>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qt5kz3q5y2d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10.5 Inventory Management</w:t>
              <w:tab/>
              <w:t xml:space="preserve">74</w:t>
            </w:r>
          </w:hyperlink>
          <w:r w:rsidDel="00000000" w:rsidR="00000000" w:rsidRPr="00000000">
            <w:rPr>
              <w:rtl w:val="0"/>
            </w:rPr>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vxavasmb6in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10.6 Technology Systems</w:t>
              <w:tab/>
              <w:t xml:space="preserve">74</w:t>
            </w:r>
          </w:hyperlink>
          <w:r w:rsidDel="00000000" w:rsidR="00000000" w:rsidRPr="00000000">
            <w:rPr>
              <w:rtl w:val="0"/>
            </w:rPr>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pf38v0cteto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11.7 Quality Control</w:t>
              <w:tab/>
              <w:t xml:space="preserve">75</w:t>
            </w:r>
          </w:hyperlink>
          <w:r w:rsidDel="00000000" w:rsidR="00000000" w:rsidRPr="00000000">
            <w:rPr>
              <w:rtl w:val="0"/>
            </w:rPr>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fko36souuqg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10.8 Logistics and Distribution</w:t>
              <w:tab/>
              <w:t xml:space="preserve">75</w:t>
            </w:r>
          </w:hyperlink>
          <w:r w:rsidDel="00000000" w:rsidR="00000000" w:rsidRPr="00000000">
            <w:rPr>
              <w:rtl w:val="0"/>
            </w:rPr>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7qnu2gqrhts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10.9 Legal and Regulatory Considerations</w:t>
              <w:tab/>
              <w:t xml:space="preserve">76</w:t>
            </w:r>
          </w:hyperlink>
          <w:r w:rsidDel="00000000" w:rsidR="00000000" w:rsidRPr="00000000">
            <w:rPr>
              <w:rtl w:val="0"/>
            </w:rPr>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q9u1kj1uvs5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Chapter 11. Feasibility Analysis</w:t>
              <w:tab/>
              <w:t xml:space="preserve">77</w:t>
            </w:r>
          </w:hyperlink>
          <w:r w:rsidDel="00000000" w:rsidR="00000000" w:rsidRPr="00000000">
            <w:rPr>
              <w:rtl w:val="0"/>
            </w:rPr>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2e0pyrqu8lh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11.1 Market Feasibility based on Decision Criteria</w:t>
              <w:tab/>
              <w:t xml:space="preserve">77</w:t>
            </w:r>
          </w:hyperlink>
          <w:r w:rsidDel="00000000" w:rsidR="00000000" w:rsidRPr="00000000">
            <w:rPr>
              <w:rtl w:val="0"/>
            </w:rPr>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verhcf3mbih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11.2 Ethical and market feasibility</w:t>
              <w:tab/>
              <w:t xml:space="preserve">77</w:t>
            </w:r>
          </w:hyperlink>
          <w:r w:rsidDel="00000000" w:rsidR="00000000" w:rsidRPr="00000000">
            <w:rPr>
              <w:rtl w:val="0"/>
            </w:rPr>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n9l0jr63a3m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11.2.1 Market Feasibility</w:t>
              <w:tab/>
              <w:t xml:space="preserve">77</w:t>
            </w:r>
          </w:hyperlink>
          <w:r w:rsidDel="00000000" w:rsidR="00000000" w:rsidRPr="00000000">
            <w:rPr>
              <w:rtl w:val="0"/>
            </w:rPr>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n9zh0pmqt30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11.2.2 Ethical Feasibility</w:t>
              <w:tab/>
              <w:t xml:space="preserve">77</w:t>
            </w:r>
          </w:hyperlink>
          <w:r w:rsidDel="00000000" w:rsidR="00000000" w:rsidRPr="00000000">
            <w:rPr>
              <w:rtl w:val="0"/>
            </w:rPr>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rnm7n4bxpu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11.3 Operational and Technical Feasibility</w:t>
              <w:tab/>
              <w:t xml:space="preserve">78</w:t>
            </w:r>
          </w:hyperlink>
          <w:r w:rsidDel="00000000" w:rsidR="00000000" w:rsidRPr="00000000">
            <w:rPr>
              <w:rtl w:val="0"/>
            </w:rPr>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2fzekf6r5xg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11.4 Financial Feasibility</w:t>
              <w:tab/>
              <w:t xml:space="preserve">78</w:t>
            </w:r>
          </w:hyperlink>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5ouo7adjz1h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11.5 Strategic Fit, risks and mitigation</w:t>
              <w:tab/>
              <w:t xml:space="preserve">80</w:t>
            </w:r>
          </w:hyperlink>
          <w:r w:rsidDel="00000000" w:rsidR="00000000" w:rsidRPr="00000000">
            <w:rPr>
              <w:rtl w:val="0"/>
            </w:rPr>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y475525zp8x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11.6 Integrated Viability judgement</w:t>
              <w:tab/>
              <w:t xml:space="preserve">81</w:t>
            </w:r>
          </w:hyperlink>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pfr4xj2fgnv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Chapter 12. Implementation Plan</w:t>
              <w:tab/>
              <w:t xml:space="preserve">82</w:t>
            </w:r>
          </w:hyperlink>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yj5qstx1cmx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12.1 Implementation Approach and Launch Phases</w:t>
              <w:tab/>
              <w:t xml:space="preserve">82</w:t>
            </w:r>
          </w:hyperlink>
          <w:r w:rsidDel="00000000" w:rsidR="00000000" w:rsidRPr="00000000">
            <w:rPr>
              <w:rtl w:val="0"/>
            </w:rPr>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8y937yx1369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12.1.1 Phase 1: Preparation — Months 1–2</w:t>
              <w:tab/>
              <w:t xml:space="preserve">82</w:t>
            </w:r>
          </w:hyperlink>
          <w:r w:rsidDel="00000000" w:rsidR="00000000" w:rsidRPr="00000000">
            <w:rPr>
              <w:rtl w:val="0"/>
            </w:rPr>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lfq28gyfq9k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12.1.2 Phase 2: Pilot — Months 3–4</w:t>
              <w:tab/>
              <w:t xml:space="preserve">82</w:t>
            </w:r>
          </w:hyperlink>
          <w:r w:rsidDel="00000000" w:rsidR="00000000" w:rsidRPr="00000000">
            <w:rPr>
              <w:rtl w:val="0"/>
            </w:rPr>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ix72pgqo01y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12.1.3 Phase 3: Commercial Launch — Months 5–6</w:t>
              <w:tab/>
              <w:t xml:space="preserve">82</w:t>
            </w:r>
          </w:hyperlink>
          <w:r w:rsidDel="00000000" w:rsidR="00000000" w:rsidRPr="00000000">
            <w:rPr>
              <w:rtl w:val="0"/>
            </w:rPr>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4hcb98qa2i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12.1.4 Phase 4: Growth — Months 7–12</w:t>
              <w:tab/>
              <w:t xml:space="preserve">82</w:t>
            </w:r>
          </w:hyperlink>
          <w:r w:rsidDel="00000000" w:rsidR="00000000" w:rsidRPr="00000000">
            <w:rPr>
              <w:rtl w:val="0"/>
            </w:rPr>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lyr3dvsgjcd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12.2 Milestones and Timeline</w:t>
              <w:tab/>
              <w:t xml:space="preserve">83</w:t>
            </w:r>
          </w:hyperlink>
          <w:r w:rsidDel="00000000" w:rsidR="00000000" w:rsidRPr="00000000">
            <w:rPr>
              <w:rtl w:val="0"/>
            </w:rPr>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mompbq3x3vd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12.3 Resource Allocation and Priorities</w:t>
              <w:tab/>
              <w:t xml:space="preserve">83</w:t>
            </w:r>
          </w:hyperlink>
          <w:r w:rsidDel="00000000" w:rsidR="00000000" w:rsidRPr="00000000">
            <w:rPr>
              <w:rtl w:val="0"/>
            </w:rPr>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xeeykt6xjju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12.4 KPIs and Control</w:t>
              <w:tab/>
              <w:t xml:space="preserve">84</w:t>
            </w:r>
          </w:hyperlink>
          <w:r w:rsidDel="00000000" w:rsidR="00000000" w:rsidRPr="00000000">
            <w:rPr>
              <w:rtl w:val="0"/>
            </w:rPr>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d2xqt0y9k5y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12.5 Change Management and Implementation Risks</w:t>
              <w:tab/>
              <w:t xml:space="preserve">85</w:t>
            </w:r>
          </w:hyperlink>
          <w:r w:rsidDel="00000000" w:rsidR="00000000" w:rsidRPr="00000000">
            <w:rPr>
              <w:rtl w:val="0"/>
            </w:rPr>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tz9hrljha5x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12.6 Implementation Readiness Summary</w:t>
              <w:tab/>
              <w:t xml:space="preserve">85</w:t>
            </w:r>
          </w:hyperlink>
          <w:r w:rsidDel="00000000" w:rsidR="00000000" w:rsidRPr="00000000">
            <w:rPr>
              <w:rtl w:val="0"/>
            </w:rPr>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7he72zvm7n6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Chapter 13: Conclusion &amp; Recommendations</w:t>
              <w:tab/>
              <w:t xml:space="preserve">86</w:t>
            </w:r>
          </w:hyperlink>
          <w:r w:rsidDel="00000000" w:rsidR="00000000" w:rsidRPr="00000000">
            <w:rPr>
              <w:rtl w:val="0"/>
            </w:rPr>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8127el3y7r6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13.1 Evaluation of Frameworks</w:t>
              <w:tab/>
              <w:t xml:space="preserve">86</w:t>
            </w:r>
          </w:hyperlink>
          <w:r w:rsidDel="00000000" w:rsidR="00000000" w:rsidRPr="00000000">
            <w:rPr>
              <w:rtl w:val="0"/>
            </w:rPr>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oedsy4ghwji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13.2 Market Opportunity</w:t>
              <w:tab/>
              <w:t xml:space="preserve">86</w:t>
            </w:r>
          </w:hyperlink>
          <w:r w:rsidDel="00000000" w:rsidR="00000000" w:rsidRPr="00000000">
            <w:rPr>
              <w:rtl w:val="0"/>
            </w:rPr>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g3cmp55r9zz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13.3 Strategic Viability</w:t>
              <w:tab/>
              <w:t xml:space="preserve">86</w:t>
            </w:r>
          </w:hyperlink>
          <w:r w:rsidDel="00000000" w:rsidR="00000000" w:rsidRPr="00000000">
            <w:rPr>
              <w:rtl w:val="0"/>
            </w:rPr>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ooh762np4aa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13.4 Financial and Operational Viability</w:t>
              <w:tab/>
              <w:t xml:space="preserve">87</w:t>
            </w:r>
          </w:hyperlink>
          <w:r w:rsidDel="00000000" w:rsidR="00000000" w:rsidRPr="00000000">
            <w:rPr>
              <w:rtl w:val="0"/>
            </w:rPr>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yc68kh35am6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13.5 Recommendations</w:t>
              <w:tab/>
              <w:t xml:space="preserve">87</w:t>
            </w:r>
          </w:hyperlink>
          <w:r w:rsidDel="00000000" w:rsidR="00000000" w:rsidRPr="00000000">
            <w:rPr>
              <w:rtl w:val="0"/>
            </w:rPr>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vart0r4vrno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13.6 Future Development</w:t>
              <w:tab/>
              <w:t xml:space="preserve">88</w:t>
            </w:r>
          </w:hyperlink>
          <w:r w:rsidDel="00000000" w:rsidR="00000000" w:rsidRPr="00000000">
            <w:rPr>
              <w:rtl w:val="0"/>
            </w:rPr>
          </w:r>
        </w:p>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u5pweokgfyu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Chapter 14. Reflection</w:t>
              <w:tab/>
              <w:t xml:space="preserve">89</w:t>
            </w:r>
          </w:hyperlink>
          <w:r w:rsidDel="00000000" w:rsidR="00000000" w:rsidRPr="00000000">
            <w:rPr>
              <w:rtl w:val="0"/>
            </w:rPr>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vjlg4kjnys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14.1 Experience of Developing EcoLoop Office</w:t>
              <w:tab/>
              <w:t xml:space="preserve">89</w:t>
            </w:r>
          </w:hyperlink>
          <w:r w:rsidDel="00000000" w:rsidR="00000000" w:rsidRPr="00000000">
            <w:rPr>
              <w:rtl w:val="0"/>
            </w:rPr>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5fczhhlns4l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14.2 Learning from Market Research</w:t>
              <w:tab/>
              <w:t xml:space="preserve">89</w:t>
            </w:r>
          </w:hyperlink>
          <w:r w:rsidDel="00000000" w:rsidR="00000000" w:rsidRPr="00000000">
            <w:rPr>
              <w:rtl w:val="0"/>
            </w:rPr>
          </w:r>
        </w:p>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3hrvfulifwm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14.3 Learning from Strategic Analysis</w:t>
              <w:tab/>
              <w:t xml:space="preserve">89</w:t>
            </w:r>
          </w:hyperlink>
          <w:r w:rsidDel="00000000" w:rsidR="00000000" w:rsidRPr="00000000">
            <w:rPr>
              <w:rtl w:val="0"/>
            </w:rPr>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yz9qa8yanyd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14.4 Learning from Financial and Business Model Development</w:t>
              <w:tab/>
              <w:t xml:space="preserve">89</w:t>
            </w:r>
          </w:hyperlink>
          <w:r w:rsidDel="00000000" w:rsidR="00000000" w:rsidRPr="00000000">
            <w:rPr>
              <w:rtl w:val="0"/>
            </w:rPr>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e0wy7xystf8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15.5 Operational and Practical Learning</w:t>
              <w:tab/>
              <w:t xml:space="preserve">90</w:t>
            </w:r>
          </w:hyperlink>
          <w:r w:rsidDel="00000000" w:rsidR="00000000" w:rsidRPr="00000000">
            <w:rPr>
              <w:rtl w:val="0"/>
            </w:rPr>
          </w:r>
        </w:p>
        <w:p w:rsidR="00000000" w:rsidDel="00000000" w:rsidP="00000000" w:rsidRDefault="00000000" w:rsidRPr="00000000" w14:paraId="000000A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65vjxqo20ed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14.6 What I Would Do Differently</w:t>
              <w:tab/>
              <w:t xml:space="preserve">90</w:t>
            </w:r>
          </w:hyperlink>
          <w:r w:rsidDel="00000000" w:rsidR="00000000" w:rsidRPr="00000000">
            <w:rPr>
              <w:rtl w:val="0"/>
            </w:rPr>
          </w:r>
        </w:p>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hicqclw3z2k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14.7 Professional Development</w:t>
              <w:tab/>
              <w:t xml:space="preserve">90</w:t>
            </w:r>
          </w:hyperlink>
          <w:r w:rsidDel="00000000" w:rsidR="00000000" w:rsidRPr="00000000">
            <w:rPr>
              <w:rtl w:val="0"/>
            </w:rPr>
          </w:r>
        </w:p>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txe5auphxbo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91</w:t>
            </w:r>
          </w:hyperlink>
          <w:r w:rsidDel="00000000" w:rsidR="00000000" w:rsidRPr="00000000">
            <w:rPr>
              <w:rtl w:val="0"/>
            </w:rPr>
          </w:r>
        </w:p>
        <w:p w:rsidR="00000000" w:rsidDel="00000000" w:rsidP="00000000" w:rsidRDefault="00000000" w:rsidRPr="00000000" w14:paraId="000000A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A8">
      <w:pPr>
        <w:pStyle w:val="Heading1"/>
        <w:keepNext w:val="0"/>
        <w:keepLines w:val="0"/>
        <w:spacing w:before="200" w:lineRule="auto"/>
        <w:rPr/>
      </w:pPr>
      <w:r w:rsidDel="00000000" w:rsidR="00000000" w:rsidRPr="00000000">
        <w:rPr>
          <w:rtl w:val="0"/>
        </w:rPr>
      </w:r>
    </w:p>
    <w:p w:rsidR="00000000" w:rsidDel="00000000" w:rsidP="00000000" w:rsidRDefault="00000000" w:rsidRPr="00000000" w14:paraId="000000A9">
      <w:pPr>
        <w:pStyle w:val="Heading1"/>
        <w:keepNext w:val="0"/>
        <w:keepLines w:val="0"/>
        <w:spacing w:before="200" w:lineRule="auto"/>
        <w:rPr/>
      </w:pPr>
      <w:bookmarkStart w:colFirst="0" w:colLast="0" w:name="_lei0iulw6799" w:id="7"/>
      <w:bookmarkEnd w:id="7"/>
      <w:r w:rsidDel="00000000" w:rsidR="00000000" w:rsidRPr="00000000">
        <w:br w:type="page"/>
      </w:r>
      <w:r w:rsidDel="00000000" w:rsidR="00000000" w:rsidRPr="00000000">
        <w:rPr>
          <w:rtl w:val="0"/>
        </w:rPr>
      </w:r>
    </w:p>
    <w:p w:rsidR="00000000" w:rsidDel="00000000" w:rsidP="00000000" w:rsidRDefault="00000000" w:rsidRPr="00000000" w14:paraId="000000AA">
      <w:pPr>
        <w:pStyle w:val="Heading1"/>
        <w:keepNext w:val="0"/>
        <w:keepLines w:val="0"/>
        <w:spacing w:before="200" w:lineRule="auto"/>
        <w:rPr/>
      </w:pPr>
      <w:bookmarkStart w:colFirst="0" w:colLast="0" w:name="_m1wromc3p5gg" w:id="8"/>
      <w:bookmarkEnd w:id="8"/>
      <w:r w:rsidDel="00000000" w:rsidR="00000000" w:rsidRPr="00000000">
        <w:rPr>
          <w:rtl w:val="0"/>
        </w:rPr>
        <w:t xml:space="preserve">Chapter 1: Introduction</w:t>
      </w:r>
    </w:p>
    <w:p w:rsidR="00000000" w:rsidDel="00000000" w:rsidP="00000000" w:rsidRDefault="00000000" w:rsidRPr="00000000" w14:paraId="000000A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1.1 Background and Context</w:t>
      </w:r>
      <w:r w:rsidDel="00000000" w:rsidR="00000000" w:rsidRPr="00000000">
        <w:rPr>
          <w:rtl w:val="0"/>
        </w:rPr>
      </w:r>
    </w:p>
    <w:p w:rsidR="00000000" w:rsidDel="00000000" w:rsidP="00000000" w:rsidRDefault="00000000" w:rsidRPr="00000000" w14:paraId="000000A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Hybrid working, pressure on costs and sustainability demands are changing the face of the UK's workplace. The original blended working at 28% January to March 2025, should be kept but the reference to this should be changed from ONS (2023) to the correct ONS source (2025). The latter quote - 2 in every 3 working adult’s hybrid worked - should have been stripped out, as it is inconsistent with the 28% figure.</w:t>
      </w:r>
    </w:p>
    <w:p w:rsidR="00000000" w:rsidDel="00000000" w:rsidP="00000000" w:rsidRDefault="00000000" w:rsidRPr="00000000" w14:paraId="000000A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Pr>
        <w:drawing>
          <wp:inline distB="114300" distT="114300" distL="114300" distR="114300">
            <wp:extent cx="4829175" cy="2878931"/>
            <wp:effectExtent b="12700" l="12700" r="12700" t="1270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4829175" cy="2878931"/>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A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Figure 1: Working from Home Statistics UK (2025)</w:t>
      </w:r>
    </w:p>
    <w:p w:rsidR="00000000" w:rsidDel="00000000" w:rsidP="00000000" w:rsidRDefault="00000000" w:rsidRPr="00000000" w14:paraId="000000A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Source:(Dalton, 2025)</w:t>
      </w:r>
    </w:p>
    <w:p w:rsidR="00000000" w:rsidDel="00000000" w:rsidP="00000000" w:rsidRDefault="00000000" w:rsidRPr="00000000" w14:paraId="000000B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Technology has the potential to enhance the opportunity by aligning subscriptions, inventory, maintenance, replacement and ESG reporting. Policy is another motivator. There is clear evidence that sustainability is becoming part of the standards for furniture and textiles procurement, with UK government guidelines covering both materials. Furniture and textiles are both covered by UK government procurement standards, making sustainability an ever-increasing part of the purchasing criteria. However, regulation can make things more complicated for the operators without necessarily creating demand.</w:t>
      </w:r>
    </w:p>
    <w:p w:rsidR="00000000" w:rsidDel="00000000" w:rsidP="00000000" w:rsidRDefault="00000000" w:rsidRPr="00000000" w14:paraId="000000B1">
      <w:pPr>
        <w:pStyle w:val="Heading2"/>
        <w:keepNext w:val="0"/>
        <w:keepLines w:val="0"/>
        <w:spacing w:before="200" w:lineRule="auto"/>
        <w:rPr/>
      </w:pPr>
      <w:bookmarkStart w:colFirst="0" w:colLast="0" w:name="_ojalya4matsg" w:id="9"/>
      <w:bookmarkEnd w:id="9"/>
      <w:r w:rsidDel="00000000" w:rsidR="00000000" w:rsidRPr="00000000">
        <w:rPr>
          <w:rtl w:val="0"/>
        </w:rPr>
        <w:t xml:space="preserve">1.2 Problem / Opportunity Statement</w:t>
      </w:r>
    </w:p>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Businesses in the UK are increasingly facing fluctuating office needs, but the furniture business model doesn't match these needs, as furniture purchases are usually made as a fixed asset. EcoLoop Office is a response to a gap in the UK corporate furniture industry, as businesses often buy furniture as a fixed asset in the face of ever-changing work environments. Furniture that may still be useful, but has been left under-used or thrown out due to relocation, downsizing, refurbishment and redesign. This is important as London is cited as the world's second highest office fit-out cost market, with a focus on reducing head-investment (Consultancy UK, 2026). </w:t>
      </w:r>
    </w:p>
    <w:p w:rsidR="00000000" w:rsidDel="00000000" w:rsidP="00000000" w:rsidRDefault="00000000" w:rsidRPr="00000000" w14:paraId="000000B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Pr>
        <w:drawing>
          <wp:inline distB="114300" distT="114300" distL="114300" distR="114300">
            <wp:extent cx="4041775" cy="3523599"/>
            <wp:effectExtent b="12700" l="12700" r="12700" t="12700"/>
            <wp:docPr id="2" name="image2.png"/>
            <a:graphic>
              <a:graphicData uri="http://schemas.openxmlformats.org/drawingml/2006/picture">
                <pic:pic>
                  <pic:nvPicPr>
                    <pic:cNvPr id="0" name="image2.png"/>
                    <pic:cNvPicPr preferRelativeResize="0"/>
                  </pic:nvPicPr>
                  <pic:blipFill>
                    <a:blip r:embed="rId8"/>
                    <a:srcRect b="17705" l="0" r="0" t="11086"/>
                    <a:stretch>
                      <a:fillRect/>
                    </a:stretch>
                  </pic:blipFill>
                  <pic:spPr>
                    <a:xfrm>
                      <a:off x="0" y="0"/>
                      <a:ext cx="4041775" cy="3523599"/>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Figure 2: The number of VAT and/or PAYE businesses in the UK increased by 0.4% in the past year</w:t>
      </w:r>
    </w:p>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Source: (Business Registers Strategy and Outputs team, 2025)</w:t>
      </w:r>
    </w:p>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UK businesses are increasingly undergoing a requirement to adapt their offices, so furniture is often being bought as a fixed asset. A subscription-based solution for all EcoLoop Office services: maintenance, refurbishment, swap-out, take-back, resale and reporting on ESG. As London is one of the largest cost markets in the world, it is of great importance to minimise the upfront costs for the office fit-outs (Consultancy UK, 2026). The UK comprises a wide range of businesses, in particular, within the VAT and/or PAYE sector, with 2.73 million businesses recorded in March 2025, as opposed to EcoLoop's addressable market (ONS, 2025). Thus, there is a need to differentiate between demand and market size.</w:t>
      </w:r>
    </w:p>
    <w:p w:rsidR="00000000" w:rsidDel="00000000" w:rsidP="00000000" w:rsidRDefault="00000000" w:rsidRPr="00000000" w14:paraId="000000B7">
      <w:pPr>
        <w:pStyle w:val="Heading2"/>
        <w:keepNext w:val="0"/>
        <w:keepLines w:val="0"/>
        <w:spacing w:before="200" w:lineRule="auto"/>
        <w:rPr/>
      </w:pPr>
      <w:bookmarkStart w:colFirst="0" w:colLast="0" w:name="_lc8tey8ech1u" w:id="10"/>
      <w:bookmarkEnd w:id="10"/>
      <w:r w:rsidDel="00000000" w:rsidR="00000000" w:rsidRPr="00000000">
        <w:rPr>
          <w:rtl w:val="0"/>
        </w:rPr>
        <w:t xml:space="preserve">1.3 Initial Observation of Demand</w:t>
      </w:r>
    </w:p>
    <w:p w:rsidR="00000000" w:rsidDel="00000000" w:rsidP="00000000" w:rsidRDefault="00000000" w:rsidRPr="00000000" w14:paraId="000000B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Homes England (2025) evidence shows there has been practical reuse with 21 tonnes of office furniture diverted from disposal in 2024/25, and 543 furniture and office-asset items redistributed. This does not mean that they will be willing to pay for a subscription, however. The revised goal is to evaluate the potential for the commercialisation and scale of EcoLoop's circular furniture model for furniture subscription and refurbishment. Objectives should evaluate aspects such as customer adoption, financial/ESG implications, competitive/operational/regulatory aspects and the attractiveness of the target markets, with research questions directly linked to these objectives.</w:t>
      </w:r>
    </w:p>
    <w:p w:rsidR="00000000" w:rsidDel="00000000" w:rsidP="00000000" w:rsidRDefault="00000000" w:rsidRPr="00000000" w14:paraId="000000B9">
      <w:pPr>
        <w:pStyle w:val="Heading2"/>
        <w:keepNext w:val="0"/>
        <w:keepLines w:val="0"/>
        <w:spacing w:before="200" w:lineRule="auto"/>
        <w:rPr/>
      </w:pPr>
      <w:bookmarkStart w:colFirst="0" w:colLast="0" w:name="_swvz8x8bdtw2" w:id="11"/>
      <w:bookmarkEnd w:id="11"/>
      <w:r w:rsidDel="00000000" w:rsidR="00000000" w:rsidRPr="00000000">
        <w:rPr>
          <w:rtl w:val="0"/>
        </w:rPr>
        <w:t xml:space="preserve">1.4 Aim, Objectives and Research Questions</w:t>
      </w:r>
    </w:p>
    <w:p w:rsidR="00000000" w:rsidDel="00000000" w:rsidP="00000000" w:rsidRDefault="00000000" w:rsidRPr="00000000" w14:paraId="000000BA">
      <w:pPr>
        <w:pStyle w:val="Heading3"/>
        <w:keepNext w:val="0"/>
        <w:keepLines w:val="0"/>
        <w:rPr/>
      </w:pPr>
      <w:bookmarkStart w:colFirst="0" w:colLast="0" w:name="_2ilg3ww2tkqn" w:id="12"/>
      <w:bookmarkEnd w:id="12"/>
      <w:r w:rsidDel="00000000" w:rsidR="00000000" w:rsidRPr="00000000">
        <w:rPr>
          <w:rtl w:val="0"/>
        </w:rPr>
        <w:t xml:space="preserve">1.4.1 Research Aim</w:t>
      </w:r>
    </w:p>
    <w:p w:rsidR="00000000" w:rsidDel="00000000" w:rsidP="00000000" w:rsidRDefault="00000000" w:rsidRPr="00000000" w14:paraId="000000B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This research will be used to determine the market viability and commercial feasibility of EcoLoop Office as a viable circular furniture subscription and refurbishment platform for the UK.</w:t>
      </w:r>
    </w:p>
    <w:p w:rsidR="00000000" w:rsidDel="00000000" w:rsidP="00000000" w:rsidRDefault="00000000" w:rsidRPr="00000000" w14:paraId="000000BC">
      <w:pPr>
        <w:pStyle w:val="Heading3"/>
        <w:keepNext w:val="0"/>
        <w:keepLines w:val="0"/>
        <w:rPr/>
      </w:pPr>
      <w:bookmarkStart w:colFirst="0" w:colLast="0" w:name="_68g9xbhestyc" w:id="13"/>
      <w:bookmarkEnd w:id="13"/>
      <w:r w:rsidDel="00000000" w:rsidR="00000000" w:rsidRPr="00000000">
        <w:rPr>
          <w:rtl w:val="0"/>
        </w:rPr>
        <w:t xml:space="preserve">1.4.2 Research Objectives</w:t>
      </w:r>
    </w:p>
    <w:p w:rsidR="00000000" w:rsidDel="00000000" w:rsidP="00000000" w:rsidRDefault="00000000" w:rsidRPr="00000000" w14:paraId="000000B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00" w:line="360" w:lineRule="auto"/>
        <w:ind w:left="720" w:right="0" w:hanging="360"/>
        <w:jc w:val="left"/>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 assess the demand (subscriptions) for office furniture in the UK and the market conditions.</w:t>
      </w:r>
    </w:p>
    <w:p w:rsidR="00000000" w:rsidDel="00000000" w:rsidP="00000000" w:rsidRDefault="00000000" w:rsidRPr="00000000" w14:paraId="000000B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00" w:line="360" w:lineRule="auto"/>
        <w:ind w:left="720" w:right="0" w:hanging="360"/>
        <w:jc w:val="left"/>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 evaluate furniture renting and refurbishing benefits, compared to cost flexibility, and ESG dimension.</w:t>
      </w:r>
    </w:p>
    <w:p w:rsidR="00000000" w:rsidDel="00000000" w:rsidP="00000000" w:rsidRDefault="00000000" w:rsidRPr="00000000" w14:paraId="000000B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00" w:line="360" w:lineRule="auto"/>
        <w:ind w:left="720" w:right="0" w:hanging="360"/>
        <w:jc w:val="left"/>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 see how EcoLoop Office could be viable in the marketplace, and investigate its operating model, its cost and value-added proposition.</w:t>
      </w:r>
    </w:p>
    <w:p w:rsidR="00000000" w:rsidDel="00000000" w:rsidP="00000000" w:rsidRDefault="00000000" w:rsidRPr="00000000" w14:paraId="000000C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40" w:before="200" w:line="360" w:lineRule="auto"/>
        <w:ind w:left="720" w:right="0" w:hanging="360"/>
        <w:jc w:val="left"/>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 identify Key opportunities for UK circular office furniture platforms to be identified, as well as competitive pressures, regulatory factors and barriers.</w:t>
      </w:r>
    </w:p>
    <w:p w:rsidR="00000000" w:rsidDel="00000000" w:rsidP="00000000" w:rsidRDefault="00000000" w:rsidRPr="00000000" w14:paraId="000000C1">
      <w:pPr>
        <w:pStyle w:val="Heading3"/>
        <w:keepNext w:val="0"/>
        <w:keepLines w:val="0"/>
        <w:rPr/>
      </w:pPr>
      <w:bookmarkStart w:colFirst="0" w:colLast="0" w:name="_xi8kio9a9srm" w:id="14"/>
      <w:bookmarkEnd w:id="14"/>
      <w:r w:rsidDel="00000000" w:rsidR="00000000" w:rsidRPr="00000000">
        <w:rPr>
          <w:rtl w:val="0"/>
        </w:rPr>
        <w:t xml:space="preserve">1.4.3 Research Questions</w:t>
      </w:r>
    </w:p>
    <w:p w:rsidR="00000000" w:rsidDel="00000000" w:rsidP="00000000" w:rsidRDefault="00000000" w:rsidRPr="00000000" w14:paraId="000000C2">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200" w:line="360" w:lineRule="auto"/>
        <w:ind w:left="720" w:right="0" w:hanging="360"/>
        <w:jc w:val="left"/>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How much of a market exists for subscription furniture in the UK Office Fit-out Industry?</w:t>
      </w:r>
    </w:p>
    <w:p w:rsidR="00000000" w:rsidDel="00000000" w:rsidP="00000000" w:rsidRDefault="00000000" w:rsidRPr="00000000" w14:paraId="000000C3">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200" w:line="360" w:lineRule="auto"/>
        <w:ind w:left="720" w:right="0" w:hanging="360"/>
        <w:jc w:val="left"/>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What is the business case for furniture subscription and refurbishment, offering cost and value flexibility for UK businesses in terms of ESG value?</w:t>
      </w:r>
    </w:p>
    <w:p w:rsidR="00000000" w:rsidDel="00000000" w:rsidP="00000000" w:rsidRDefault="00000000" w:rsidRPr="00000000" w14:paraId="000000C4">
      <w:pPr>
        <w:pStyle w:val="Heading2"/>
        <w:keepNext w:val="0"/>
        <w:keepLines w:val="0"/>
        <w:spacing w:before="200" w:lineRule="auto"/>
        <w:rPr/>
      </w:pPr>
      <w:bookmarkStart w:colFirst="0" w:colLast="0" w:name="_tudm78uvthl9" w:id="15"/>
      <w:bookmarkEnd w:id="15"/>
      <w:r w:rsidDel="00000000" w:rsidR="00000000" w:rsidRPr="00000000">
        <w:rPr>
          <w:rtl w:val="0"/>
        </w:rPr>
        <w:t xml:space="preserve">1.5 Scope of Analysis</w:t>
      </w:r>
    </w:p>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analysis concentrates on the UK corporate office fit-out and refurbishment market, specifically looking at demand, customer value, competition, cost flexibility, ESG value, regulation and commercial viability of EcoLoop Office. It does not include consumer markets that are not primary, related to the house and interviews/surveys that are not primary. The study is based mainly on secondary evidence, which is in accordance with the proposal.</w:t>
      </w:r>
    </w:p>
    <w:p w:rsidR="00000000" w:rsidDel="00000000" w:rsidP="00000000" w:rsidRDefault="00000000" w:rsidRPr="00000000" w14:paraId="000000C6">
      <w:pPr>
        <w:pStyle w:val="Heading2"/>
        <w:keepNext w:val="0"/>
        <w:keepLines w:val="0"/>
        <w:spacing w:before="200" w:lineRule="auto"/>
        <w:rPr/>
      </w:pPr>
      <w:bookmarkStart w:colFirst="0" w:colLast="0" w:name="_1grwe05ck03p" w:id="16"/>
      <w:bookmarkEnd w:id="16"/>
      <w:r w:rsidDel="00000000" w:rsidR="00000000" w:rsidRPr="00000000">
        <w:rPr>
          <w:rtl w:val="0"/>
        </w:rPr>
        <w:t xml:space="preserve">1.6 Structure of the Report</w:t>
      </w:r>
    </w:p>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This introduction is followed by a critical review of relevant literature and theories, an explanation of the secondary research method, an assessment of market opportunity and assessment of the external environment, findings analysis, business model and commercial feasibility analysis, all leading to evidence-based recommendations.</w:t>
      </w:r>
    </w:p>
    <w:p w:rsidR="00000000" w:rsidDel="00000000" w:rsidP="00000000" w:rsidRDefault="00000000" w:rsidRPr="00000000" w14:paraId="000000C8">
      <w:pPr>
        <w:pStyle w:val="Heading1"/>
        <w:keepNext w:val="0"/>
        <w:keepLines w:val="0"/>
        <w:spacing w:before="200" w:lineRule="auto"/>
        <w:rPr/>
      </w:pPr>
      <w:r w:rsidDel="00000000" w:rsidR="00000000" w:rsidRPr="00000000">
        <w:rPr>
          <w:rtl w:val="0"/>
        </w:rPr>
      </w:r>
    </w:p>
    <w:p w:rsidR="00000000" w:rsidDel="00000000" w:rsidP="00000000" w:rsidRDefault="00000000" w:rsidRPr="00000000" w14:paraId="000000C9">
      <w:pPr>
        <w:pStyle w:val="Heading1"/>
        <w:keepNext w:val="0"/>
        <w:keepLines w:val="0"/>
        <w:spacing w:before="200" w:lineRule="auto"/>
        <w:rPr/>
      </w:pPr>
      <w:bookmarkStart w:colFirst="0" w:colLast="0" w:name="_um34lvmsqous" w:id="17"/>
      <w:bookmarkEnd w:id="17"/>
      <w:r w:rsidDel="00000000" w:rsidR="00000000" w:rsidRPr="00000000">
        <w:rPr>
          <w:rtl w:val="0"/>
        </w:rPr>
        <w:t xml:space="preserve">Chapter 2: Company Description</w:t>
      </w:r>
    </w:p>
    <w:p w:rsidR="00000000" w:rsidDel="00000000" w:rsidP="00000000" w:rsidRDefault="00000000" w:rsidRPr="00000000" w14:paraId="000000CA">
      <w:pPr>
        <w:pStyle w:val="Heading2"/>
        <w:keepNext w:val="0"/>
        <w:keepLines w:val="0"/>
        <w:spacing w:before="200" w:lineRule="auto"/>
        <w:rPr/>
      </w:pPr>
      <w:bookmarkStart w:colFirst="0" w:colLast="0" w:name="_vekldncj9vaj" w:id="18"/>
      <w:bookmarkEnd w:id="18"/>
      <w:r w:rsidDel="00000000" w:rsidR="00000000" w:rsidRPr="00000000">
        <w:rPr>
          <w:rtl w:val="0"/>
        </w:rPr>
        <w:t xml:space="preserve">2.1 Business Identity and Legal Structure </w:t>
      </w:r>
    </w:p>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EcoLoop Office is proposed as a B2B Computers-for-access circular furniture as a service offering in the UK. The company structure is explanatory and unconfirmed, as is its London location, though it might be incorporated and have a history. No incorporated company or history is provided, suggesting that the company structure is illustrative and that the head office is in London. It has four central values: circularity, affordability, reliability, transparency and customer flexibility.</w:t>
      </w:r>
    </w:p>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Pr>
        <w:drawing>
          <wp:inline distB="114300" distT="114300" distL="114300" distR="114300">
            <wp:extent cx="4929188" cy="3286125"/>
            <wp:effectExtent b="12700" l="12700" r="12700" t="12700"/>
            <wp:docPr id="5"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4929188" cy="3286125"/>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C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Figure 3: Ecoloop</w:t>
      </w:r>
    </w:p>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Source: Self-developed</w:t>
      </w:r>
    </w:p>
    <w:p w:rsidR="00000000" w:rsidDel="00000000" w:rsidP="00000000" w:rsidRDefault="00000000" w:rsidRPr="00000000" w14:paraId="000000C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This is an adequate structure to meet the needs of the model, which need investment in inventory, refurbishment costs, technology and working capital, and where founders also have limited personal liability. It aims to be more flexible, affordable and circular in the world of office furniture and aspires to be a scalable platform for furniture-as-a-service in the UK. Core values are circularity, affordability, reliability, transparency and customer flexibility.</w:t>
      </w:r>
    </w:p>
    <w:p w:rsidR="00000000" w:rsidDel="00000000" w:rsidP="00000000" w:rsidRDefault="00000000" w:rsidRPr="00000000" w14:paraId="000000D0">
      <w:pPr>
        <w:pStyle w:val="Heading2"/>
        <w:keepNext w:val="0"/>
        <w:keepLines w:val="0"/>
        <w:spacing w:before="200" w:lineRule="auto"/>
        <w:rPr/>
      </w:pPr>
      <w:bookmarkStart w:colFirst="0" w:colLast="0" w:name="_5zc9mqxhml0k" w:id="19"/>
      <w:bookmarkEnd w:id="19"/>
      <w:r w:rsidDel="00000000" w:rsidR="00000000" w:rsidRPr="00000000">
        <w:rPr>
          <w:rtl w:val="0"/>
        </w:rPr>
        <w:t xml:space="preserve">2.2 Product/Service and Problem Solved</w:t>
      </w:r>
    </w:p>
    <w:p w:rsidR="00000000" w:rsidDel="00000000" w:rsidP="00000000" w:rsidRDefault="00000000" w:rsidRPr="00000000" w14:paraId="000000D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This service includes delivery &amp; installation, maintenance &amp; refurbishment, flexible swap-out, take-back, resale and ESG impact reporting. This counters high initial purchase expenditures, excess desk furnishings resulting from relocating and downsizing and disposal needs. There is some evidence that around 1.2 million desks and 1.8 million chairs are discarded each year and that 17% of desks can be recycled, so there is some evidence of the resource problem (WRAP, 2025), but it does not prove the customer demand problem. Hence, the quality, hygiene, availability and pricing should be evaluated.</w:t>
      </w:r>
    </w:p>
    <w:p w:rsidR="00000000" w:rsidDel="00000000" w:rsidP="00000000" w:rsidRDefault="00000000" w:rsidRPr="00000000" w14:paraId="000000D2">
      <w:pPr>
        <w:pStyle w:val="Heading2"/>
        <w:keepNext w:val="0"/>
        <w:keepLines w:val="0"/>
        <w:spacing w:before="200" w:lineRule="auto"/>
        <w:rPr/>
      </w:pPr>
      <w:bookmarkStart w:colFirst="0" w:colLast="0" w:name="_yprn6qgy6i0l" w:id="20"/>
      <w:bookmarkEnd w:id="20"/>
      <w:r w:rsidDel="00000000" w:rsidR="00000000" w:rsidRPr="00000000">
        <w:rPr>
          <w:rtl w:val="0"/>
        </w:rPr>
        <w:t xml:space="preserve">2.3 Founding Idea and History</w:t>
      </w:r>
    </w:p>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EcoLoop Office is not a company; it is a proposed new venture and a founder biography and operating history is not provided. The founding concept is based on the identified gap of the conventional furniture purchase-use-dispose cycle and furniture circular management. The idea is a mix of subscription model and refurbishment, re-use, replacement and lifecycle reporting. </w:t>
      </w:r>
    </w:p>
    <w:p w:rsidR="00000000" w:rsidDel="00000000" w:rsidP="00000000" w:rsidRDefault="00000000" w:rsidRPr="00000000" w14:paraId="000000D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Pr>
        <w:drawing>
          <wp:inline distB="114300" distT="114300" distL="114300" distR="114300">
            <wp:extent cx="5943600" cy="2765310"/>
            <wp:effectExtent b="12700" l="12700" r="12700" t="12700"/>
            <wp:docPr id="4" name="image4.png"/>
            <a:graphic>
              <a:graphicData uri="http://schemas.openxmlformats.org/drawingml/2006/picture">
                <pic:pic>
                  <pic:nvPicPr>
                    <pic:cNvPr id="0" name="image4.png"/>
                    <pic:cNvPicPr preferRelativeResize="0"/>
                  </pic:nvPicPr>
                  <pic:blipFill>
                    <a:blip r:embed="rId10"/>
                    <a:srcRect b="8732" l="0" r="0" t="8639"/>
                    <a:stretch>
                      <a:fillRect/>
                    </a:stretch>
                  </pic:blipFill>
                  <pic:spPr>
                    <a:xfrm>
                      <a:off x="0" y="0"/>
                      <a:ext cx="5943600" cy="276531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D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Figure 4: UK Eco-friendly Furniture Market Size &amp; Outlook, 2033</w:t>
      </w:r>
    </w:p>
    <w:p w:rsidR="00000000" w:rsidDel="00000000" w:rsidP="00000000" w:rsidRDefault="00000000" w:rsidRPr="00000000" w14:paraId="000000D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Source: (Grand View Research, 2024)</w:t>
      </w:r>
    </w:p>
    <w:p w:rsidR="00000000" w:rsidDel="00000000" w:rsidP="00000000" w:rsidRDefault="00000000" w:rsidRPr="00000000" w14:paraId="000000D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For office furniture, refurbishment/repair and redistribution/re-use are estimated to be worth £250 million (excluding VAT) as part of the 2025 sustainable furniture framework (Find a Tender, 2025). This is procrastination and not the level of absolute subscription demand. As indicated in the evidence, circular procurement has taken place at the institutions, but not necessarily on a scale that will enable commercial success of a subscription model.</w:t>
      </w:r>
    </w:p>
    <w:p w:rsidR="00000000" w:rsidDel="00000000" w:rsidP="00000000" w:rsidRDefault="00000000" w:rsidRPr="00000000" w14:paraId="000000D8">
      <w:pPr>
        <w:pStyle w:val="Heading2"/>
        <w:keepNext w:val="0"/>
        <w:keepLines w:val="0"/>
        <w:spacing w:before="200" w:lineRule="auto"/>
        <w:rPr/>
      </w:pPr>
      <w:bookmarkStart w:colFirst="0" w:colLast="0" w:name="_n5dz5a5ne51v" w:id="21"/>
      <w:bookmarkEnd w:id="21"/>
      <w:r w:rsidDel="00000000" w:rsidR="00000000" w:rsidRPr="00000000">
        <w:rPr>
          <w:rtl w:val="0"/>
        </w:rPr>
        <w:t xml:space="preserve">2.4 SMART Business Objectives and Goals</w:t>
      </w:r>
    </w:p>
    <w:p w:rsidR="00000000" w:rsidDel="00000000" w:rsidP="00000000" w:rsidRDefault="00000000" w:rsidRPr="00000000" w14:paraId="000000D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2.1 SMART Objectives</w:t>
      </w:r>
    </w:p>
    <w:tbl>
      <w:tblPr>
        <w:tblStyle w:val="Table1"/>
        <w:tblW w:w="9360.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385"/>
        <w:gridCol w:w="1454"/>
        <w:gridCol w:w="1384"/>
        <w:gridCol w:w="1891"/>
        <w:gridCol w:w="1313"/>
        <w:gridCol w:w="933"/>
        <w:tblGridChange w:id="0">
          <w:tblGrid>
            <w:gridCol w:w="2385"/>
            <w:gridCol w:w="1454"/>
            <w:gridCol w:w="1384"/>
            <w:gridCol w:w="1891"/>
            <w:gridCol w:w="1313"/>
            <w:gridCol w:w="933"/>
          </w:tblGrid>
        </w:tblGridChange>
      </w:tblGrid>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Objective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Specific</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Measurable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Achievable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Relevant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Time-bound</w:t>
            </w:r>
            <w:r w:rsidDel="00000000" w:rsidR="00000000" w:rsidRPr="00000000">
              <w:rPr>
                <w:rtl w:val="0"/>
              </w:rPr>
            </w:r>
          </w:p>
        </w:tc>
      </w:tr>
      <w:tr>
        <w:trPr>
          <w:cantSplit w:val="1"/>
          <w:trHeight w:val="137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Lead over 50 UK customers through direct sales and partnerships.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UK businesses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50 customers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Sales/partnerships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Builds customer base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 months</w:t>
            </w:r>
          </w:p>
        </w:tc>
      </w:tr>
      <w:tr>
        <w:trPr>
          <w:cantSplit w:val="1"/>
          <w:trHeight w:val="164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 reach the 70% average inventory utilisation with minimum idle inventory and storage expenses.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Subscription furniture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70% utilisation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Reduce idle assets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Improves efficiency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Month 18</w:t>
            </w:r>
          </w:p>
        </w:tc>
      </w:tr>
      <w:tr>
        <w:trPr>
          <w:cantSplit w:val="1"/>
          <w:trHeight w:val="108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 return at least 80% of furniture for re-use/refurbishment.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Returned furniture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Reduce disposal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Supports circularity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24 months</w:t>
            </w:r>
          </w:p>
        </w:tc>
      </w:tr>
      <w:tr>
        <w:trPr>
          <w:cantSplit w:val="1"/>
          <w:trHeight w:val="108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 achieve 75% customer retention.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Existing customers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75% retention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Maintain relationships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Supports recurring revenue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Year 2</w:t>
            </w:r>
          </w:p>
        </w:tc>
      </w:tr>
    </w:tbl>
    <w:p w:rsidR="00000000" w:rsidDel="00000000" w:rsidP="00000000" w:rsidRDefault="00000000" w:rsidRPr="00000000" w14:paraId="000000F8">
      <w:pPr>
        <w:pStyle w:val="Heading2"/>
        <w:keepNext w:val="0"/>
        <w:keepLines w:val="0"/>
        <w:spacing w:before="200" w:lineRule="auto"/>
        <w:rPr/>
      </w:pPr>
      <w:bookmarkStart w:colFirst="0" w:colLast="0" w:name="_2zrlxj266ndu" w:id="22"/>
      <w:bookmarkEnd w:id="22"/>
      <w:r w:rsidDel="00000000" w:rsidR="00000000" w:rsidRPr="00000000">
        <w:rPr>
          <w:rtl w:val="0"/>
        </w:rPr>
        <w:t xml:space="preserve">2.5 Core Values and Trend Alignment</w:t>
      </w:r>
    </w:p>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EcoLoop philosophy resonates well with the concept of the circular economy and flexibility of workplaces. Two in every three working adult’s hybrid worked throughout January to March 2025, further supporting the argument for the need of flexible workplace resources (ONS 2025). Government modelling also suggests the policies for furniture resource-efficiency could result in a reduction of territorial greenhouse-gas emissions in the UK of 4 MtCO2e from 2021 to 2050 (Department for Environment, Food and Rural Affairs, 2023). EcoLoop therefore combines value for the environment with operational flexibility. Its differentiation, however, has to be proven through measurable cost savings, utilisation, re-use, and reliability of service, and not just the sustainability claims. As such, operational measurement becomes a key element of credibility and a successful long-term commercial positioning.</w:t>
      </w:r>
    </w:p>
    <w:p w:rsidR="00000000" w:rsidDel="00000000" w:rsidP="00000000" w:rsidRDefault="00000000" w:rsidRPr="00000000" w14:paraId="000000FA">
      <w:pPr>
        <w:pStyle w:val="Heading1"/>
        <w:keepNext w:val="0"/>
        <w:keepLines w:val="0"/>
        <w:spacing w:before="200" w:lineRule="auto"/>
        <w:rPr/>
      </w:pPr>
      <w:bookmarkStart w:colFirst="0" w:colLast="0" w:name="_6xai443sqrkk" w:id="23"/>
      <w:bookmarkEnd w:id="23"/>
      <w:r w:rsidDel="00000000" w:rsidR="00000000" w:rsidRPr="00000000">
        <w:br w:type="page"/>
      </w:r>
      <w:r w:rsidDel="00000000" w:rsidR="00000000" w:rsidRPr="00000000">
        <w:rPr>
          <w:rtl w:val="0"/>
        </w:rPr>
      </w:r>
    </w:p>
    <w:p w:rsidR="00000000" w:rsidDel="00000000" w:rsidP="00000000" w:rsidRDefault="00000000" w:rsidRPr="00000000" w14:paraId="000000FB">
      <w:pPr>
        <w:pStyle w:val="Heading1"/>
        <w:keepNext w:val="0"/>
        <w:keepLines w:val="0"/>
        <w:spacing w:before="200" w:lineRule="auto"/>
        <w:rPr/>
      </w:pPr>
      <w:bookmarkStart w:colFirst="0" w:colLast="0" w:name="_iqjbf3d1dyhg" w:id="24"/>
      <w:bookmarkEnd w:id="24"/>
      <w:r w:rsidDel="00000000" w:rsidR="00000000" w:rsidRPr="00000000">
        <w:rPr>
          <w:rtl w:val="0"/>
        </w:rPr>
        <w:t xml:space="preserve">Chapter 3: Literature Review</w:t>
      </w:r>
    </w:p>
    <w:p w:rsidR="00000000" w:rsidDel="00000000" w:rsidP="00000000" w:rsidRDefault="00000000" w:rsidRPr="00000000" w14:paraId="000000FC">
      <w:pPr>
        <w:pStyle w:val="Heading2"/>
        <w:keepNext w:val="0"/>
        <w:keepLines w:val="0"/>
        <w:spacing w:before="200" w:lineRule="auto"/>
        <w:rPr/>
      </w:pPr>
      <w:bookmarkStart w:colFirst="0" w:colLast="0" w:name="_s6gd2f4u0dxn" w:id="25"/>
      <w:bookmarkEnd w:id="25"/>
      <w:r w:rsidDel="00000000" w:rsidR="00000000" w:rsidRPr="00000000">
        <w:rPr>
          <w:rtl w:val="0"/>
        </w:rPr>
        <w:t xml:space="preserve">3.1 UK Office Fit-Out and Furniture Market</w:t>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 the UK, flexible working and the shifting shapes of offices, cost constraints and sustainability demands are transforming fit-outs and furniture. Two areas that have been pointed out by McAllister and Nase (2023) are sustainable refurbishment, while Surma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(2021) connect flexibility with new working post-COVID. Extending the furniture lifecycle with circular design (Pei, Italia and Melazzini 2024) and procurement reliability during organisational change (Njølstad Slotsvik, Gould and Hayes 2025) are both critical to better connecting furniture with organisations. But these results don't necessarily indicate that subscribers were needed for these. Having</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 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(2019) and Bennett and Mayouf (2021) agree that whole-life value management is a solution, and flexible design is a solution, according to Daglio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(2023). Measurable outcomes are also becoming a growing element of ESG pressures, as noted by Halat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(2026) in their consideration of Scope 3 pressures. EcoLoop's opportunity is therefore based on measurable value to the community that is financial, operational and environmental.</w:t>
      </w:r>
    </w:p>
    <w:p w:rsidR="00000000" w:rsidDel="00000000" w:rsidP="00000000" w:rsidRDefault="00000000" w:rsidRPr="00000000" w14:paraId="000000FE">
      <w:pPr>
        <w:pStyle w:val="Heading2"/>
        <w:keepNext w:val="0"/>
        <w:keepLines w:val="0"/>
        <w:spacing w:before="200" w:lineRule="auto"/>
        <w:rPr/>
      </w:pPr>
      <w:bookmarkStart w:colFirst="0" w:colLast="0" w:name="_slcb28r16kam" w:id="26"/>
      <w:bookmarkEnd w:id="26"/>
      <w:r w:rsidDel="00000000" w:rsidR="00000000" w:rsidRPr="00000000">
        <w:rPr>
          <w:rtl w:val="0"/>
        </w:rPr>
        <w:t xml:space="preserve">3.2 Circular Economy Theory</w:t>
      </w:r>
    </w:p>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Circular Economy Theory encourages to extend the life of products and materials. Morseletto (2023) considers circularity to be a transition and Milios (2021) at the other end of the spectrum defines product-life extension as an “intervention into business”. EcoLoop embraces these principles in terms of re-using, refurbishing, maintenance, swapping and resale. Kans and Hetti Arachchige and Paulin (2024) highlight durability, collection systems, refurbishment quality and customer acceptance, while Kusumo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(2022) focus on measurable indicators of the circularity.</w:t>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Pr>
        <w:drawing>
          <wp:inline distB="114300" distT="114300" distL="114300" distR="114300">
            <wp:extent cx="4711700" cy="3981450"/>
            <wp:effectExtent b="12700" l="12700" r="12700" t="12700"/>
            <wp:docPr id="7" name="image7.png"/>
            <a:graphic>
              <a:graphicData uri="http://schemas.openxmlformats.org/drawingml/2006/picture">
                <pic:pic>
                  <pic:nvPicPr>
                    <pic:cNvPr id="0" name="image7.png"/>
                    <pic:cNvPicPr preferRelativeResize="0"/>
                  </pic:nvPicPr>
                  <pic:blipFill>
                    <a:blip r:embed="rId11"/>
                    <a:srcRect b="9921" l="6197" r="4513" t="14573"/>
                    <a:stretch>
                      <a:fillRect/>
                    </a:stretch>
                  </pic:blipFill>
                  <pic:spPr>
                    <a:xfrm>
                      <a:off x="0" y="0"/>
                      <a:ext cx="4711700" cy="398145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Figure 5: The Circular Economy</w:t>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Source: (Bio-powder.com, 2023)</w:t>
      </w:r>
    </w:p>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There are ample examples that others argue product-as-a-service models could help pave the way toward a shift from ownership to access, such as Hidalgo-Crespo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(2024) and Baden and Frei (2021). However, Bressanelli, Saccani and Perona (2022) demonstrate that adoption may be limited by user acceptance and business potential. In addition, coordinated activities within a circular service model are highlighted by Alcayaga and Hansen (2025). CE thus carries environmental reasoning as a driver behind EcoLoop, but without evidence on pricing, utilisation and logistics, CE does not have the ability to create commercial viability.</w:t>
      </w:r>
    </w:p>
    <w:p w:rsidR="00000000" w:rsidDel="00000000" w:rsidP="00000000" w:rsidRDefault="00000000" w:rsidRPr="00000000" w14:paraId="00000104">
      <w:pPr>
        <w:pStyle w:val="Heading2"/>
        <w:spacing w:before="200" w:lineRule="auto"/>
        <w:rPr/>
      </w:pPr>
      <w:bookmarkStart w:colFirst="0" w:colLast="0" w:name="_fwj9ynlqyibl" w:id="27"/>
      <w:bookmarkEnd w:id="27"/>
      <w:r w:rsidDel="00000000" w:rsidR="00000000" w:rsidRPr="00000000">
        <w:rPr>
          <w:rtl w:val="0"/>
        </w:rPr>
      </w:r>
    </w:p>
    <w:p w:rsidR="00000000" w:rsidDel="00000000" w:rsidP="00000000" w:rsidRDefault="00000000" w:rsidRPr="00000000" w14:paraId="00000105">
      <w:pPr>
        <w:pStyle w:val="Heading2"/>
        <w:spacing w:before="200" w:lineRule="auto"/>
        <w:rPr/>
      </w:pPr>
      <w:bookmarkStart w:colFirst="0" w:colLast="0" w:name="_nu895ywj1o6m" w:id="28"/>
      <w:bookmarkEnd w:id="28"/>
      <w:r w:rsidDel="00000000" w:rsidR="00000000" w:rsidRPr="00000000">
        <w:rPr>
          <w:rtl w:val="0"/>
        </w:rPr>
        <w:t xml:space="preserve">3.3 Sustainable Business Model Innovation</w:t>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Sustainable Business Model Innovation (SBMI) takes sustainable development into value creation, delivery and capture </w:t>
      </w: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(Refer to Figure 6)</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The authors of the two papers cited above, as well as the authors of the articles, are convinced that companies need to rethink their business logic, and that other business models can include sustainability. Böttcher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(2024) point to digital technology as a facilitator of sustainable business models. </w:t>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Pr>
        <w:drawing>
          <wp:inline distB="114300" distT="114300" distL="114300" distR="114300">
            <wp:extent cx="5943600" cy="3987800"/>
            <wp:effectExtent b="12700" l="12700" r="12700" t="12700"/>
            <wp:docPr id="6"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5943600" cy="39878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Figure 6: A Sustainable Business Model</w:t>
      </w:r>
    </w:p>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center"/>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Source: (Briggs, 2023)</w:t>
      </w:r>
    </w:p>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For EcoLoop, SBMI translates to a furniture subscription replacing the one-off furniture sale, maintenance, refurbishment, swapping out, and resale. Poldner, Overdiek and Evangelista (2022), and Su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(2025) provide examples of how product-service models can drive the change in consumption from ownership to access. However, there could be a rise in the expenses incurred in warehousing, refurbishment, reverse logistics, and maintenance, as in the case of sustainable innovation. Smiley and Bocken (2022) thus suggest that the ecosystem effects should be taken into account. EcoLoop will be testing the viability of recurring revenue and lifecycle control to overcome the operational complexity.</w:t>
      </w:r>
    </w:p>
    <w:p w:rsidR="00000000" w:rsidDel="00000000" w:rsidP="00000000" w:rsidRDefault="00000000" w:rsidRPr="00000000" w14:paraId="0000010B">
      <w:pPr>
        <w:pStyle w:val="Heading2"/>
        <w:keepNext w:val="0"/>
        <w:keepLines w:val="0"/>
        <w:spacing w:before="200" w:lineRule="auto"/>
        <w:rPr/>
      </w:pPr>
      <w:bookmarkStart w:colFirst="0" w:colLast="0" w:name="_58uvktgslrk9" w:id="29"/>
      <w:bookmarkEnd w:id="29"/>
      <w:r w:rsidDel="00000000" w:rsidR="00000000" w:rsidRPr="00000000">
        <w:rPr>
          <w:rtl w:val="0"/>
        </w:rPr>
        <w:t xml:space="preserve">3.4 Strategic Frameworks for Business Development</w:t>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Jobs to be done (JTBD) uncovers customer needs for furnishing, moving in and out, growing and shrinking, and reveals issues with ownership, cleanliness and remanufactured quality. But it is not able to evaluate broader market conditions. PESTLE therefore looks at the external factors which are likely to affect the business and not at competitive strength.</w:t>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Porter's Five Forces are concerned with competitive feasibility, considering competition, buyer power, supplier power, new entrants and substitutes. The price and flexibility expectations are emphasized by Andersen and Kreye (2023) and the availability and warehousing costs are emphasized by Pratiwi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(2025). Therefore, Porter is used to seeing if EcoLoop's customer proposition is going to be competitive.</w:t>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Business Model Canvas (BMC) looks at the operational and financial viability, including the mapping of the partners, activities, resources, costs and revenues. The Value Proposition Canvas (VPC) on the other hand verifies the fit of a value proposition: customer gains and pains, and flexibility, the cost of service and refurbishment, and the reporting of ESG benefits are assessed. Then STP looks at the market focus - priority segments and positioning EcoLoop against alternatives.</w:t>
      </w:r>
    </w:p>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 these frameworks are not duplicated analysis, but complementary. JTBD is used to find out what the customer needs, PESTLE is used to study external factors, Porter is used to study competition, VPC is used to assess value fit, BMC is used to study the business-model logic, and STP is used to determine positioning in the target market. When used in combination, these applications allow for a more comprehensive evaluation of EcoLoop across the customer demand, environmental conditions, competitive pressures, value creation, role in the operational design and market positioning, which strengthens the basis for evaluating the overall commercial feasibility.</w:t>
      </w:r>
    </w:p>
    <w:p w:rsidR="00000000" w:rsidDel="00000000" w:rsidP="00000000" w:rsidRDefault="00000000" w:rsidRPr="00000000" w14:paraId="00000110">
      <w:pPr>
        <w:pStyle w:val="Heading2"/>
        <w:keepNext w:val="0"/>
        <w:keepLines w:val="0"/>
        <w:spacing w:before="200" w:lineRule="auto"/>
        <w:rPr/>
      </w:pPr>
      <w:bookmarkStart w:colFirst="0" w:colLast="0" w:name="_f5wlrh2y5030" w:id="30"/>
      <w:bookmarkEnd w:id="30"/>
      <w:r w:rsidDel="00000000" w:rsidR="00000000" w:rsidRPr="00000000">
        <w:rPr>
          <w:rtl w:val="0"/>
        </w:rPr>
        <w:t xml:space="preserve">3.5 Synthesis and Research Gap</w:t>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Theories supporting circular furniture and sustainable service models are fragmented in the literature, ranging from CE to SBMI, acceptance and strategic analysis. The real question isn't if circularity is good or bad, it's whether subscription furniture can be commercially viable in the context of UK office fit-out. The existing evidence is not as well connected as it could be to include market demand, customer value, cost flexibility, refurbishment economics, ESG benefits, competition and regulation. EcoLoop fills this void by integrating CE Theory, SBMI with the principles of JTBD, PESTLE, Porter's Five Forces, BMC and VPC and STP. This holistic process is an analysis of customer issues, external factors, competition, value creation and revenue logic. Most importantly, the frameworks should stimulate, rather than dictate, the outcome: EcoLoop needs to prove that sustainability can be customer value and marketable processes.</w:t>
      </w:r>
    </w:p>
    <w:p w:rsidR="00000000" w:rsidDel="00000000" w:rsidP="00000000" w:rsidRDefault="00000000" w:rsidRPr="00000000" w14:paraId="00000112">
      <w:pPr>
        <w:pStyle w:val="Heading1"/>
        <w:keepNext w:val="0"/>
        <w:keepLines w:val="0"/>
        <w:spacing w:before="200" w:lineRule="auto"/>
        <w:rPr/>
      </w:pPr>
      <w:bookmarkStart w:colFirst="0" w:colLast="0" w:name="_voej2p32b0jo" w:id="31"/>
      <w:bookmarkEnd w:id="31"/>
      <w:r w:rsidDel="00000000" w:rsidR="00000000" w:rsidRPr="00000000">
        <w:br w:type="page"/>
      </w:r>
      <w:r w:rsidDel="00000000" w:rsidR="00000000" w:rsidRPr="00000000">
        <w:rPr>
          <w:rtl w:val="0"/>
        </w:rPr>
      </w:r>
    </w:p>
    <w:p w:rsidR="00000000" w:rsidDel="00000000" w:rsidP="00000000" w:rsidRDefault="00000000" w:rsidRPr="00000000" w14:paraId="00000113">
      <w:pPr>
        <w:pStyle w:val="Heading1"/>
        <w:keepNext w:val="0"/>
        <w:keepLines w:val="0"/>
        <w:spacing w:before="200" w:lineRule="auto"/>
        <w:rPr/>
      </w:pPr>
      <w:bookmarkStart w:colFirst="0" w:colLast="0" w:name="_hf3gfmnsksab" w:id="32"/>
      <w:bookmarkEnd w:id="32"/>
      <w:r w:rsidDel="00000000" w:rsidR="00000000" w:rsidRPr="00000000">
        <w:rPr>
          <w:rtl w:val="0"/>
        </w:rPr>
        <w:t xml:space="preserve">Chapter 4: Methodology</w:t>
      </w:r>
    </w:p>
    <w:p w:rsidR="00000000" w:rsidDel="00000000" w:rsidP="00000000" w:rsidRDefault="00000000" w:rsidRPr="00000000" w14:paraId="00000114">
      <w:pPr>
        <w:pStyle w:val="Heading2"/>
        <w:keepNext w:val="0"/>
        <w:keepLines w:val="0"/>
        <w:spacing w:before="200" w:lineRule="auto"/>
        <w:rPr/>
      </w:pPr>
      <w:bookmarkStart w:colFirst="0" w:colLast="0" w:name="_swfr7a5kmc49" w:id="33"/>
      <w:bookmarkEnd w:id="33"/>
      <w:r w:rsidDel="00000000" w:rsidR="00000000" w:rsidRPr="00000000">
        <w:rPr>
          <w:rtl w:val="0"/>
        </w:rPr>
        <w:t xml:space="preserve">4.1 Methodological Approach to Opportunity Identification</w:t>
      </w:r>
    </w:p>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For the methodology, it takes a secondary investigation approach, but in accordance with the approved scope of the EcoLoop Office proposal. They are not conducting surveys, interviews or customer conversations or other research involving human participants, but rather systematically gathering, screening and comparing academic, government and industry evidence. It centres on the UK corporate office furniture, fit-out and refurbishment market and events from 2021 to 2026, with older seminal events kept if required. This is suitable since it is not the aim to obtain primary behavioural data but to evaluate if the product is commercially viable. The opportunity is defined by four related issues: Workplace needs are evolving, Furniture purchasing cost is on the rise, Furniture waste, and Rising ESG expectations.</w:t>
      </w:r>
    </w:p>
    <w:p w:rsidR="00000000" w:rsidDel="00000000" w:rsidP="00000000" w:rsidRDefault="00000000" w:rsidRPr="00000000" w14:paraId="00000116">
      <w:pPr>
        <w:pStyle w:val="Heading2"/>
        <w:keepNext w:val="0"/>
        <w:keepLines w:val="0"/>
        <w:spacing w:before="200" w:lineRule="auto"/>
        <w:rPr/>
      </w:pPr>
      <w:bookmarkStart w:colFirst="0" w:colLast="0" w:name="_iufljnodttnx" w:id="34"/>
      <w:bookmarkEnd w:id="34"/>
      <w:r w:rsidDel="00000000" w:rsidR="00000000" w:rsidRPr="00000000">
        <w:rPr>
          <w:rtl w:val="0"/>
        </w:rPr>
        <w:t xml:space="preserve">4.2 Market Insight Collection</w:t>
      </w:r>
    </w:p>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information gathered from the market to create insights is not from the actual customers but from reputable secondary sources. Sources are peer-reviewed journal articles, UK Government publications, Office for National Statistics datasets and industry reports, procurement notices and business sources (Liu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2026). The sources are chosen based on their relevance to the UK furniture market for offices, their approach to circular economy, refurbishment, flexible working, procurement, regulation, competition and sustainability. Evidence is documented by source, publication year, market relevance, and numerical evidence/implications for EcoLoop Office. This establishes a process that can be replicated to evaluate evidence that is in opposition to the proposal objectives.</w:t>
      </w:r>
    </w:p>
    <w:p w:rsidR="00000000" w:rsidDel="00000000" w:rsidP="00000000" w:rsidRDefault="00000000" w:rsidRPr="00000000" w14:paraId="0000011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Importantly, the proposal excludes activities like customer conversations, store visits and mystery shopping, as the design clearly calls for the collection of secondary data and there are no human subjects involved. Competitor benchmarking is therefore carried out on publicly available data on existing providers, such as their service propositions, positioning with regard to circularity, subscription or rental models and customer-facing offerings (Stabler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2024). This reduces the number of uninformed inferences about competitor performance.</w:t>
      </w:r>
    </w:p>
    <w:p w:rsidR="00000000" w:rsidDel="00000000" w:rsidP="00000000" w:rsidRDefault="00000000" w:rsidRPr="00000000" w14:paraId="00000119">
      <w:pPr>
        <w:pStyle w:val="Heading2"/>
        <w:keepNext w:val="0"/>
        <w:keepLines w:val="0"/>
        <w:spacing w:before="200" w:lineRule="auto"/>
        <w:rPr/>
      </w:pPr>
      <w:bookmarkStart w:colFirst="0" w:colLast="0" w:name="_fjpkxys7isw2" w:id="35"/>
      <w:bookmarkEnd w:id="35"/>
      <w:r w:rsidDel="00000000" w:rsidR="00000000" w:rsidRPr="00000000">
        <w:rPr>
          <w:rtl w:val="0"/>
        </w:rPr>
        <w:t xml:space="preserve">4.3 Market Data Gathering</w:t>
      </w:r>
    </w:p>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study is based on secondary research within the scope of the EcoLoop Office and will not involve surveys, interviews or research involving human participants. Evidence emphasises the corporate office furniture fit-out and refurbishment market in the UK, mainly in 2021-2026, alongside the inclusion of some older seminal sources that are deemed necessary. Authoritative data sources (e.g. ONS and any publications from the UK government) are prioritised and then supported by peer-reviewed literature and/or industry evidence.</w:t>
      </w:r>
    </w:p>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Data are obtained from searching academic, public, and industry sources. The evidence is then organised into the seven areas of market demand, customer value, cost, ESG, regulation, competition and operational feasibility (Dauerer, 2025). This classification directly reflects the research objectives, and it does not allow irrelevant evidence to affect the business decision.</w:t>
      </w:r>
    </w:p>
    <w:p w:rsidR="00000000" w:rsidDel="00000000" w:rsidP="00000000" w:rsidRDefault="00000000" w:rsidRPr="00000000" w14:paraId="0000011C">
      <w:pPr>
        <w:pStyle w:val="Heading2"/>
        <w:spacing w:before="200" w:lineRule="auto"/>
        <w:rPr/>
      </w:pPr>
      <w:bookmarkStart w:colFirst="0" w:colLast="0" w:name="_lnybu26md2ql" w:id="36"/>
      <w:bookmarkEnd w:id="36"/>
      <w:r w:rsidDel="00000000" w:rsidR="00000000" w:rsidRPr="00000000">
        <w:rPr>
          <w:rtl w:val="0"/>
        </w:rPr>
        <w:t xml:space="preserve">4.4 Search Strategy and Search Terms</w:t>
      </w:r>
    </w:p>
    <w:p w:rsidR="00000000" w:rsidDel="00000000" w:rsidP="00000000" w:rsidRDefault="00000000" w:rsidRPr="00000000" w14:paraId="0000011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 ensure the method is reproducible, the search should include ONS, GOV.UK and UK Government procurement sites as well as Google Scholar and any relevant academic search engines and credible industry search providers. In addition, they must contain elements such as “UK office furniture market”, “office furniture refurbishment”, “circular economy furniture”, “furniture-as-a-service”, “subscription furniture”, “hybrid working UK”, “sustainable procurement furniture”, “reverse logistics”, “office furniture waste” and “ESG reporting”. Peer-reviewed research, official statistics, notices of contracts being put out for tender and credible industry evidence specific to the UK should all be focused on inclusion. There is no need to include promotional, irrelevant and poorly documented sources. The evidence should be kept and documented by source, year, geographical relevance, type of evidence, key finding, numerical evidence and implication for EcoLoop.</w:t>
      </w:r>
    </w:p>
    <w:p w:rsidR="00000000" w:rsidDel="00000000" w:rsidP="00000000" w:rsidRDefault="00000000" w:rsidRPr="00000000" w14:paraId="0000011E">
      <w:pPr>
        <w:pStyle w:val="Heading2"/>
        <w:keepNext w:val="0"/>
        <w:keepLines w:val="0"/>
        <w:spacing w:before="200" w:lineRule="auto"/>
        <w:rPr/>
      </w:pPr>
      <w:bookmarkStart w:colFirst="0" w:colLast="0" w:name="_914moauzhmuv" w:id="37"/>
      <w:bookmarkEnd w:id="37"/>
      <w:r w:rsidDel="00000000" w:rsidR="00000000" w:rsidRPr="00000000">
        <w:rPr>
          <w:rtl w:val="0"/>
        </w:rPr>
        <w:t xml:space="preserve">4.5 Data Analysis</w:t>
      </w:r>
    </w:p>
    <w:p w:rsidR="00000000" w:rsidDel="00000000" w:rsidP="00000000" w:rsidRDefault="00000000" w:rsidRPr="00000000" w14:paraId="0000011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Analysis is mostly in the thematic and comparative style and not in the statistical hypothesis testing style. Thematic analysis detects comparable themes/patterns in the secondary evidence, such as cost flexibility, adaptability in the workplace, refurbishment, reuse, ESG reporting, quality aspects, and operational issues. The comparison of ownership versus subscription, new furniture versus refurbished furniture and EcoLoop versus competing and comparable products. No regression analysis is performed as there is no primary respondent dataset in the study; numerical indications are used in a descriptive manner to establish market scale, signals of demand, cost pressure and environmental significance.</w:t>
      </w:r>
    </w:p>
    <w:p w:rsidR="00000000" w:rsidDel="00000000" w:rsidP="00000000" w:rsidRDefault="00000000" w:rsidRPr="00000000" w14:paraId="0000012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evidence is assessed by weighing up the findings in favour of the evidence against it. This is important as sustainability benefits are not quantitative enough to ensure profitability. For instance, while furniture can last longer if it is reused, storage, refitting and maintenance can lead to higher operational costs. The assessment takes into account opportunity strength and risk.</w:t>
      </w:r>
    </w:p>
    <w:p w:rsidR="00000000" w:rsidDel="00000000" w:rsidP="00000000" w:rsidRDefault="00000000" w:rsidRPr="00000000" w14:paraId="00000121">
      <w:pPr>
        <w:pStyle w:val="Heading2"/>
        <w:keepNext w:val="0"/>
        <w:keepLines w:val="0"/>
        <w:spacing w:before="200" w:lineRule="auto"/>
        <w:rPr/>
      </w:pPr>
      <w:bookmarkStart w:colFirst="0" w:colLast="0" w:name="_k5ior473pfk9" w:id="38"/>
      <w:bookmarkEnd w:id="38"/>
      <w:r w:rsidDel="00000000" w:rsidR="00000000" w:rsidRPr="00000000">
        <w:rPr>
          <w:rtl w:val="0"/>
        </w:rPr>
        <w:t xml:space="preserve">4.6 Models and Frameworks</w:t>
      </w:r>
    </w:p>
    <w:p w:rsidR="00000000" w:rsidDel="00000000" w:rsidP="00000000" w:rsidRDefault="00000000" w:rsidRPr="00000000" w14:paraId="0000012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frameworks used in the literature review are used as complementary analysis tools. Jobs-to-Be-Done focuses on real-world issues customers need to have addressed, like furniture and moving out, expansion and downsizing (Kalbach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2024). PESTLE considers political, economic, social, technological, legal and environmental factors impacting the opportunity. Porter's 5 Forces analysis looks at buyer power, supplier power, rivalry, substitutes and entry barriers. The Business Model Canvas visualises the following elements: partners, activities, resources, value proposition, customer segments, channels, relationships, costs and revenues. The Value Proposition Canvas is used to check if the advantages EcoLoop offers customers meet their jobs, pains and gains. Then, STP transforms the evidence into segments, customer personas and positioning. The theoretical background for the interpretation of the proposed model that will create sustainability and business value is provided by Circular Economy Theory and Sustainable Business Model Innovation. These tools can be combined to allow for triangulation of market, customer, competitive and business-model evidence.</w:t>
      </w:r>
    </w:p>
    <w:p w:rsidR="00000000" w:rsidDel="00000000" w:rsidP="00000000" w:rsidRDefault="00000000" w:rsidRPr="00000000" w14:paraId="00000123">
      <w:pPr>
        <w:pStyle w:val="Heading2"/>
        <w:keepNext w:val="0"/>
        <w:keepLines w:val="0"/>
        <w:spacing w:before="200" w:lineRule="auto"/>
        <w:rPr/>
      </w:pPr>
      <w:bookmarkStart w:colFirst="0" w:colLast="0" w:name="_ae6v6ha7t56o" w:id="39"/>
      <w:bookmarkEnd w:id="39"/>
      <w:r w:rsidDel="00000000" w:rsidR="00000000" w:rsidRPr="00000000">
        <w:rPr>
          <w:rtl w:val="0"/>
        </w:rPr>
        <w:t xml:space="preserve">4.7 Limitations and Ethical Considerations</w:t>
      </w:r>
    </w:p>
    <w:p w:rsidR="00000000" w:rsidDel="00000000" w:rsidP="00000000" w:rsidRDefault="00000000" w:rsidRPr="00000000" w14:paraId="0000012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primary constraint is reliance on secondary information, which can be incomplete, inconsistent and/or commercially sensitive. Commercial estimates may also be less accurate because public pricing and customers' demand data may be inadequate. Competitor claims may include promotion bias, and datasets may have varying definitions. It is therefore not based on a single data source, but rather findings are triangulated across multiple credible sources (Fu, Nicholson and Easton, 2024).</w:t>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Ethically, the study does not involve human beings, personal information, or confidential organisational information. Sources are represented accurately, referenced and interpreted without manipulating evidence to support EcoLoop Office. The methodology is transparent and is repeatable and consistent with the secondary-research boundary of the proposal where commercially appropriate.</w:t>
      </w:r>
      <w:r w:rsidDel="00000000" w:rsidR="00000000" w:rsidRPr="00000000">
        <w:br w:type="page"/>
      </w:r>
      <w:r w:rsidDel="00000000" w:rsidR="00000000" w:rsidRPr="00000000">
        <w:rPr>
          <w:rtl w:val="0"/>
        </w:rPr>
      </w:r>
    </w:p>
    <w:p w:rsidR="00000000" w:rsidDel="00000000" w:rsidP="00000000" w:rsidRDefault="00000000" w:rsidRPr="00000000" w14:paraId="00000126">
      <w:pPr>
        <w:pStyle w:val="Heading1"/>
        <w:spacing w:before="200" w:lineRule="auto"/>
        <w:rPr/>
      </w:pPr>
      <w:bookmarkStart w:colFirst="0" w:colLast="0" w:name="_ud5hdhivm4gw" w:id="40"/>
      <w:bookmarkEnd w:id="40"/>
      <w:r w:rsidDel="00000000" w:rsidR="00000000" w:rsidRPr="00000000">
        <w:rPr>
          <w:rtl w:val="0"/>
        </w:rPr>
        <w:t xml:space="preserve">Chapter 5: Market Opportunity Analysis</w:t>
      </w:r>
    </w:p>
    <w:p w:rsidR="00000000" w:rsidDel="00000000" w:rsidP="00000000" w:rsidRDefault="00000000" w:rsidRPr="00000000" w14:paraId="00000127">
      <w:pPr>
        <w:pStyle w:val="Heading2"/>
        <w:spacing w:before="200" w:lineRule="auto"/>
        <w:rPr/>
      </w:pPr>
      <w:bookmarkStart w:colFirst="0" w:colLast="0" w:name="_2i2x9mw5dkc8" w:id="41"/>
      <w:bookmarkEnd w:id="41"/>
      <w:r w:rsidDel="00000000" w:rsidR="00000000" w:rsidRPr="00000000">
        <w:rPr>
          <w:rtl w:val="0"/>
        </w:rPr>
        <w:t xml:space="preserve">5.1 Scope and Market Definition</w:t>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EcoLoop Office is a component of the UK B2B office furniture circular economy market, providing furniture on a subscription basis instead of traditional ownership along with delivery services, furniture maintenance, swap-out, take back, refurbishment, re-sale and ESG reporting. The relevant customers are customers who have varying needs in their work area, particularly the customers of SMEs, scale-ups and flexible workspace operators (Zahari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2023). Current evidence has been used for the analysis of the UK market, along with contractual direct distribution channels focusing on B2B distribution arrangements. This is relevant because the office-furniture industry is much bigger than a market that a subscription scheme would possibly be able to penetrate. Thus, this chapter reviews not just the demand for a product, but if the demand is great enough, accessible and commercially viable for the EcoLoop.</w:t>
      </w:r>
    </w:p>
    <w:p w:rsidR="00000000" w:rsidDel="00000000" w:rsidP="00000000" w:rsidRDefault="00000000" w:rsidRPr="00000000" w14:paraId="00000129">
      <w:pPr>
        <w:pStyle w:val="Heading2"/>
        <w:spacing w:before="200" w:lineRule="auto"/>
        <w:rPr/>
      </w:pPr>
      <w:bookmarkStart w:colFirst="0" w:colLast="0" w:name="_krkgpig3w6ge" w:id="42"/>
      <w:bookmarkEnd w:id="42"/>
      <w:r w:rsidDel="00000000" w:rsidR="00000000" w:rsidRPr="00000000">
        <w:rPr>
          <w:rtl w:val="0"/>
        </w:rPr>
        <w:t xml:space="preserve">5.2 Market Size and Growth</w:t>
      </w:r>
    </w:p>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Boasting a significant customer base of around 2.73 million VAT and/or PAYE businesses (Government of UK, 2025), the UK is home to a significant B2B market. This number should not be taken as a measure of EcoLoop's addressable market, though. Many businesses could actually have a lower likelihood of needing to move their offices, regular furniture layouts, or not be interested in procurement through subscriptions (Ma and Chang, 2024). This definition of the relevant market thus needs to be limited from the overall business sector to those enterprises that are interested in acquiring office furniture, are undergoing establishment or restructuring of the office space, and have a reasonable basis for considering flexibility.</w:t>
      </w:r>
    </w:p>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There is compelling evidence that around 1.2 million desks and 1.8 million chairs are thrown away every year (Gorecka, 2025), which is supported by the circular opportunity. This points to large amounts of furniture that is available to be reused and refurbished, but does not show a demand for subscription. In fact, furniture waste and furniture demand are two entirely different indicators: the former represents an underused asset pool, the latter a company's demand for breaking the laws of access to furniture. (Pei, Italia and Melazzini, 2024).</w:t>
      </w:r>
    </w:p>
    <w:p w:rsidR="00000000" w:rsidDel="00000000" w:rsidP="00000000" w:rsidRDefault="00000000" w:rsidRPr="00000000" w14:paraId="0000012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1: Market Discussion and Relevance to EcoLoop</w:t>
      </w:r>
    </w:p>
    <w:tbl>
      <w:tblPr>
        <w:tblStyle w:val="Table2"/>
        <w:tblW w:w="9045.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5115"/>
        <w:gridCol w:w="3930"/>
        <w:tblGridChange w:id="0">
          <w:tblGrid>
            <w:gridCol w:w="5115"/>
            <w:gridCol w:w="3930"/>
          </w:tblGrid>
        </w:tblGridChange>
      </w:tblGrid>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Market level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Relevance to EcoLoop</w:t>
            </w:r>
            <w:r w:rsidDel="00000000" w:rsidR="00000000" w:rsidRPr="00000000">
              <w:rPr>
                <w:rtl w:val="0"/>
              </w:rPr>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Total UK businesses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Broad potential population</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Businesses with offices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Relevant customer pool</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Businesses with changing requirements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More realistic potential market</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Businesses receptive to flexible access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Serviceable market</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SMEs/scale-ups and flexible workspaces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Priority initial target</w:t>
            </w:r>
          </w:p>
        </w:tc>
      </w:tr>
    </w:tbl>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direction of the market is also not clear. Climate change, changing occupancy, and redesigning offices can drive up the need for flexibility and are an impetus for reusing space through hybrid working. Alternatively, the response can be for organisations to keep existing furniture or reduce space (e.g. through downsizing) or buy modular furniture products (Mokhtar, Xifeng and Wenming, 2025). So overall trends are good in the workplace, which translates to a need for adaptability, but not growth in the particular subscription space. The experience of a single consumer in the office-furniture sector makes it difficult to determine how consumers feel and what they are willing to pay for subscription relationships.</w:t>
      </w:r>
    </w:p>
    <w:p w:rsidR="00000000" w:rsidDel="00000000" w:rsidP="00000000" w:rsidRDefault="00000000" w:rsidRPr="00000000" w14:paraId="0000013A">
      <w:pPr>
        <w:pStyle w:val="Heading2"/>
        <w:spacing w:before="200" w:lineRule="auto"/>
        <w:rPr/>
      </w:pPr>
      <w:bookmarkStart w:colFirst="0" w:colLast="0" w:name="_89ngd7x2vxmi" w:id="43"/>
      <w:bookmarkEnd w:id="43"/>
      <w:r w:rsidDel="00000000" w:rsidR="00000000" w:rsidRPr="00000000">
        <w:rPr>
          <w:rtl w:val="0"/>
        </w:rPr>
        <w:t xml:space="preserve">5.3 Segmentation and Target Customer</w:t>
      </w:r>
    </w:p>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EcoLoop's segmentation should be based on factors influencing need, affordability, frequency of exchange and willingness to apply flexible procurement; and not be limited to only those businesses that are potential customers. Firmographic features like size and growth rate are especially significant, and behavioural attributes like relocations, expansions, furniture turnover and environmental, social and economic (ESG) considerations for purchasing furniture bear particular relevance for the identification of genuine prospects (Kaluvilla, Mulla and Zahidi, 2025).</w:t>
      </w:r>
    </w:p>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SMEs and scale-ups are appealing as growing and shrinking cottages/relocating can render ownership relatively inflexible. While some might find this appealing, cost constraints could make it more appealing for them to buy a copy than to subscribe (Amasino, Dolgin and Huettel, 2023). While there are greater purchasing power and ESG benefits from corporate tenants, there are increased challenges regarding procurement and arrangements from suppliers, due to established supplier relationships. Among the various types of flex workplaces, the flexible-workspace operators seem to have greater appeal, as tenants typically move in and out of the flexible workspace, reconfiguring, replacing or relocating the furniture on each occasion. However, their buying power could also lead to a good negotiating price. Environments where sustainability alignment exists may be less accessible in public-sector organisations as this might require formal procurement.</w:t>
      </w:r>
    </w:p>
    <w:p w:rsidR="00000000" w:rsidDel="00000000" w:rsidP="00000000" w:rsidRDefault="00000000" w:rsidRPr="00000000" w14:paraId="0000013D">
      <w:pPr>
        <w:pStyle w:val="Heading3"/>
        <w:rPr/>
      </w:pPr>
      <w:bookmarkStart w:colFirst="0" w:colLast="0" w:name="_73p2c9xae1gx" w:id="44"/>
      <w:bookmarkEnd w:id="44"/>
      <w:r w:rsidDel="00000000" w:rsidR="00000000" w:rsidRPr="00000000">
        <w:rPr>
          <w:rtl w:val="0"/>
        </w:rPr>
        <w:t xml:space="preserve">5.3.1 Segmentation</w:t>
      </w:r>
    </w:p>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2. Segmentation</w:t>
      </w:r>
    </w:p>
    <w:tbl>
      <w:tblPr>
        <w:tblStyle w:val="Table3"/>
        <w:tblW w:w="9235.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645"/>
        <w:gridCol w:w="6590"/>
        <w:tblGridChange w:id="0">
          <w:tblGrid>
            <w:gridCol w:w="2645"/>
            <w:gridCol w:w="6590"/>
          </w:tblGrid>
        </w:tblGridChange>
      </w:tblGrid>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Segmentation Dimension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Analysis</w:t>
            </w:r>
            <w:r w:rsidDel="00000000" w:rsidR="00000000" w:rsidRPr="00000000">
              <w:rPr>
                <w:rtl w:val="0"/>
              </w:rPr>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Demographic</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SMEs, corporates, flexible-workspace operators and public organisations.</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Geographic</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UK commercial centres with strong office activity.</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Psychographic</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Cost-conscious, flexibility- and sustainability-oriented.</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Behavioural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Relocation, expansion, downsizing and refurbishment.</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Economic</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Varying purchasing capacity and price sensitivity.</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Overall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Strongest fit: SMEs/scale-ups and flexible workspaces.</w:t>
            </w:r>
          </w:p>
        </w:tc>
      </w:tr>
    </w:tbl>
    <w:p w:rsidR="00000000" w:rsidDel="00000000" w:rsidP="00000000" w:rsidRDefault="00000000" w:rsidRPr="00000000" w14:paraId="0000014D">
      <w:pPr>
        <w:pStyle w:val="Heading3"/>
        <w:spacing w:after="80" w:lineRule="auto"/>
        <w:rPr/>
      </w:pPr>
      <w:bookmarkStart w:colFirst="0" w:colLast="0" w:name="_6jf2968ti2sd" w:id="45"/>
      <w:bookmarkEnd w:id="45"/>
      <w:r w:rsidDel="00000000" w:rsidR="00000000" w:rsidRPr="00000000">
        <w:rPr>
          <w:rtl w:val="0"/>
        </w:rPr>
        <w:t xml:space="preserve">5.3.2 Targeting</w:t>
      </w:r>
    </w:p>
    <w:p w:rsidR="00000000" w:rsidDel="00000000" w:rsidP="00000000" w:rsidRDefault="00000000" w:rsidRPr="00000000" w14:paraId="0000014E">
      <w:pPr>
        <w:keepNext w:val="0"/>
        <w:keepLines w:val="0"/>
        <w:pageBreakBefore w:val="0"/>
        <w:widowControl w:val="1"/>
        <w:pBdr>
          <w:top w:space="0" w:sz="0" w:val="nil"/>
          <w:left w:space="0" w:sz="0" w:val="nil"/>
          <w:bottom w:space="0" w:sz="0" w:val="nil"/>
          <w:right w:space="0" w:sz="0" w:val="nil"/>
          <w:between w:space="0" w:sz="0" w:val="nil"/>
        </w:pBdr>
        <w:shd w:fill="auto" w:val="clear"/>
        <w:spacing w:after="8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3. Customer Persona 1</w:t>
      </w:r>
    </w:p>
    <w:tbl>
      <w:tblPr>
        <w:tblStyle w:val="Table4"/>
        <w:tblW w:w="936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1"/>
          <w:tblHeader w:val="1"/>
        </w:trPr>
        <w:tc>
          <w:tcPr>
            <w:shd w:fill="f4cccc" w:val="clear"/>
            <w:tcMar>
              <w:top w:w="100.0" w:type="dxa"/>
              <w:left w:w="100.0" w:type="dxa"/>
              <w:bottom w:w="100.0" w:type="dxa"/>
              <w:right w:w="100.0" w:type="dxa"/>
            </w:tcMar>
          </w:tcPr>
          <w:p w:rsidR="00000000" w:rsidDel="00000000" w:rsidP="00000000" w:rsidRDefault="00000000" w:rsidRPr="00000000" w14:paraId="000001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drawing>
                <wp:inline distB="114300" distT="114300" distL="114300" distR="114300">
                  <wp:extent cx="2838450" cy="1892300"/>
                  <wp:effectExtent b="12700" l="12700" r="12700" t="12700"/>
                  <wp:docPr id="9"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2838450" cy="1892300"/>
                          </a:xfrm>
                          <a:prstGeom prst="rect"/>
                          <a:ln w="12700">
                            <a:solidFill>
                              <a:srgbClr val="000000"/>
                            </a:solidFill>
                            <a:prstDash val="solid"/>
                          </a:ln>
                        </pic:spPr>
                      </pic:pic>
                    </a:graphicData>
                  </a:graphic>
                </wp:inline>
              </w:drawing>
            </w:r>
            <w:r w:rsidDel="00000000" w:rsidR="00000000" w:rsidRPr="00000000">
              <w:rPr>
                <w:rtl w:val="0"/>
              </w:rPr>
            </w:r>
          </w:p>
        </w:tc>
        <w:tc>
          <w:tcPr>
            <w:shd w:fill="f4cccc" w:val="clear"/>
            <w:tcMar>
              <w:top w:w="100.0" w:type="dxa"/>
              <w:left w:w="100.0" w:type="dxa"/>
              <w:bottom w:w="100.0" w:type="dxa"/>
              <w:right w:w="100.0" w:type="dxa"/>
            </w:tcMar>
          </w:tcPr>
          <w:p w:rsidR="00000000" w:rsidDel="00000000" w:rsidP="00000000" w:rsidRDefault="00000000" w:rsidRPr="00000000" w14:paraId="000001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Works for a large company with dynamic growth who have fluctuating office space needs - staff of 80+ He appreciates cost containment, flexibility and convenience, and does not want to buy items of furniture when he understands that he will be able to avoid an excess after expansion or relocation.</w:t>
            </w:r>
          </w:p>
        </w:tc>
      </w:tr>
      <w:tr>
        <w:trPr>
          <w:cantSplit w:val="1"/>
          <w:tblHeader w:val="1"/>
        </w:trPr>
        <w:tc>
          <w:tcPr>
            <w:shd w:fill="f4cccc" w:val="clear"/>
            <w:tcMar>
              <w:top w:w="100.0" w:type="dxa"/>
              <w:left w:w="100.0" w:type="dxa"/>
              <w:bottom w:w="100.0" w:type="dxa"/>
              <w:right w:w="100.0" w:type="dxa"/>
            </w:tcMar>
          </w:tcPr>
          <w:p w:rsidR="00000000" w:rsidDel="00000000" w:rsidP="00000000" w:rsidRDefault="00000000" w:rsidRPr="00000000" w14:paraId="000001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Name: James Wilson</w:t>
            </w:r>
          </w:p>
          <w:p w:rsidR="00000000" w:rsidDel="00000000" w:rsidP="00000000" w:rsidRDefault="00000000" w:rsidRPr="00000000" w14:paraId="000001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Age: 34</w:t>
            </w:r>
          </w:p>
          <w:p w:rsidR="00000000" w:rsidDel="00000000" w:rsidP="00000000" w:rsidRDefault="00000000" w:rsidRPr="00000000" w14:paraId="000001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Location: London</w:t>
            </w:r>
          </w:p>
          <w:p w:rsidR="00000000" w:rsidDel="00000000" w:rsidP="00000000" w:rsidRDefault="00000000" w:rsidRPr="00000000" w14:paraId="000001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Role: Operations Manager – Growth-Stage SME</w:t>
            </w:r>
          </w:p>
        </w:tc>
        <w:tc>
          <w:tcPr>
            <w:shd w:fill="f4cccc" w:val="clear"/>
            <w:tcMar>
              <w:top w:w="100.0" w:type="dxa"/>
              <w:left w:w="100.0" w:type="dxa"/>
              <w:bottom w:w="100.0" w:type="dxa"/>
              <w:right w:w="100.0" w:type="dxa"/>
            </w:tcMar>
          </w:tcPr>
          <w:p w:rsidR="00000000" w:rsidDel="00000000" w:rsidP="00000000" w:rsidRDefault="00000000" w:rsidRPr="00000000" w14:paraId="000001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Work style</w:t>
            </w:r>
          </w:p>
          <w:p w:rsidR="00000000" w:rsidDel="00000000" w:rsidP="00000000" w:rsidRDefault="00000000" w:rsidRPr="00000000" w14:paraId="00000156">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Hybrid</w:t>
            </w:r>
          </w:p>
          <w:p w:rsidR="00000000" w:rsidDel="00000000" w:rsidP="00000000" w:rsidRDefault="00000000" w:rsidRPr="00000000" w14:paraId="00000157">
            <w:pPr>
              <w:keepNext w:val="0"/>
              <w:keepLines w:val="0"/>
              <w:pageBreakBefore w:val="0"/>
              <w:widowControl w:val="0"/>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Rapidly expanding</w:t>
            </w:r>
          </w:p>
        </w:tc>
      </w:tr>
      <w:tr>
        <w:trPr>
          <w:cantSplit w:val="1"/>
          <w:tblHeader w:val="1"/>
        </w:trPr>
        <w:tc>
          <w:tcPr>
            <w:shd w:fill="f4cccc" w:val="clear"/>
            <w:tcMar>
              <w:top w:w="100.0" w:type="dxa"/>
              <w:left w:w="100.0" w:type="dxa"/>
              <w:bottom w:w="100.0" w:type="dxa"/>
              <w:right w:w="100.0" w:type="dxa"/>
            </w:tcMar>
          </w:tcPr>
          <w:p w:rsidR="00000000" w:rsidDel="00000000" w:rsidP="00000000" w:rsidRDefault="00000000" w:rsidRPr="00000000" w14:paraId="000001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Goal</w:t>
            </w:r>
          </w:p>
          <w:p w:rsidR="00000000" w:rsidDel="00000000" w:rsidP="00000000" w:rsidRDefault="00000000" w:rsidRPr="00000000" w14:paraId="00000159">
            <w:pPr>
              <w:keepNext w:val="0"/>
              <w:keepLines w:val="0"/>
              <w:pageBreakBefore w:val="0"/>
              <w:widowControl w:val="0"/>
              <w:numPr>
                <w:ilvl w:val="0"/>
                <w:numId w:val="1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Reduce upfront furniture expenditure </w:t>
            </w:r>
          </w:p>
        </w:tc>
        <w:tc>
          <w:tcPr>
            <w:shd w:fill="f4cccc" w:val="clear"/>
            <w:tcMar>
              <w:top w:w="100.0" w:type="dxa"/>
              <w:left w:w="100.0" w:type="dxa"/>
              <w:bottom w:w="100.0" w:type="dxa"/>
              <w:right w:w="100.0" w:type="dxa"/>
            </w:tcMar>
          </w:tcPr>
          <w:p w:rsidR="00000000" w:rsidDel="00000000" w:rsidP="00000000" w:rsidRDefault="00000000" w:rsidRPr="00000000" w14:paraId="000001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Need</w:t>
            </w:r>
          </w:p>
          <w:p w:rsidR="00000000" w:rsidDel="00000000" w:rsidP="00000000" w:rsidRDefault="00000000" w:rsidRPr="00000000" w14:paraId="0000015B">
            <w:pPr>
              <w:keepNext w:val="0"/>
              <w:keepLines w:val="0"/>
              <w:pageBreakBefore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Flexible furniture for expansion</w:t>
            </w:r>
          </w:p>
          <w:p w:rsidR="00000000" w:rsidDel="00000000" w:rsidP="00000000" w:rsidRDefault="00000000" w:rsidRPr="00000000" w14:paraId="0000015C">
            <w:pPr>
              <w:keepNext w:val="0"/>
              <w:keepLines w:val="0"/>
              <w:pageBreakBefore w:val="0"/>
              <w:widowControl w:val="0"/>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Relocation </w:t>
            </w:r>
          </w:p>
        </w:tc>
      </w:tr>
      <w:tr>
        <w:trPr>
          <w:cantSplit w:val="1"/>
          <w:trHeight w:val="440" w:hRule="atLeast"/>
          <w:tblHeader w:val="1"/>
        </w:trPr>
        <w:tc>
          <w:tcPr>
            <w:gridSpan w:val="2"/>
            <w:shd w:fill="d0e0e3" w:val="clear"/>
            <w:tcMar>
              <w:top w:w="100.0" w:type="dxa"/>
              <w:left w:w="100.0" w:type="dxa"/>
              <w:bottom w:w="100.0" w:type="dxa"/>
              <w:right w:w="100.0" w:type="dxa"/>
            </w:tcMar>
          </w:tcPr>
          <w:p w:rsidR="00000000" w:rsidDel="00000000" w:rsidP="00000000" w:rsidRDefault="00000000" w:rsidRPr="00000000" w14:paraId="000001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Pain points</w:t>
            </w:r>
          </w:p>
          <w:p w:rsidR="00000000" w:rsidDel="00000000" w:rsidP="00000000" w:rsidRDefault="00000000" w:rsidRPr="00000000" w14:paraId="0000015E">
            <w:pPr>
              <w:keepNext w:val="0"/>
              <w:keepLines w:val="0"/>
              <w:pageBreakBefore w:val="0"/>
              <w:widowControl w:val="0"/>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Storage</w:t>
            </w:r>
          </w:p>
          <w:p w:rsidR="00000000" w:rsidDel="00000000" w:rsidP="00000000" w:rsidRDefault="00000000" w:rsidRPr="00000000" w14:paraId="0000015F">
            <w:pPr>
              <w:keepNext w:val="0"/>
              <w:keepLines w:val="0"/>
              <w:pageBreakBefore w:val="0"/>
              <w:widowControl w:val="0"/>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Disposal</w:t>
            </w:r>
          </w:p>
          <w:p w:rsidR="00000000" w:rsidDel="00000000" w:rsidP="00000000" w:rsidRDefault="00000000" w:rsidRPr="00000000" w14:paraId="00000160">
            <w:pPr>
              <w:keepNext w:val="0"/>
              <w:keepLines w:val="0"/>
              <w:pageBreakBefore w:val="0"/>
              <w:widowControl w:val="0"/>
              <w:numPr>
                <w:ilvl w:val="0"/>
                <w:numId w:val="1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Stranded furniture </w:t>
            </w:r>
          </w:p>
        </w:tc>
      </w:tr>
    </w:tbl>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4. Customer Persona 2</w:t>
      </w:r>
    </w:p>
    <w:tbl>
      <w:tblPr>
        <w:tblStyle w:val="Table5"/>
        <w:tblW w:w="936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1"/>
          <w:tblHeader w:val="1"/>
        </w:trPr>
        <w:tc>
          <w:tcPr>
            <w:shd w:fill="b6d7a8" w:val="clear"/>
            <w:tcMar>
              <w:top w:w="100.0" w:type="dxa"/>
              <w:left w:w="100.0" w:type="dxa"/>
              <w:bottom w:w="100.0" w:type="dxa"/>
              <w:right w:w="100.0" w:type="dxa"/>
            </w:tcMar>
          </w:tcPr>
          <w:p w:rsidR="00000000" w:rsidDel="00000000" w:rsidP="00000000" w:rsidRDefault="00000000" w:rsidRPr="00000000" w14:paraId="000001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drawing>
                <wp:inline distB="114300" distT="114300" distL="114300" distR="114300">
                  <wp:extent cx="2838450" cy="1892300"/>
                  <wp:effectExtent b="12700" l="12700" r="12700" t="12700"/>
                  <wp:docPr id="8" name="image8.png"/>
                  <a:graphic>
                    <a:graphicData uri="http://schemas.openxmlformats.org/drawingml/2006/picture">
                      <pic:pic>
                        <pic:nvPicPr>
                          <pic:cNvPr id="0" name="image8.png"/>
                          <pic:cNvPicPr preferRelativeResize="0"/>
                        </pic:nvPicPr>
                        <pic:blipFill>
                          <a:blip r:embed="rId14"/>
                          <a:srcRect b="0" l="0" r="0" t="0"/>
                          <a:stretch>
                            <a:fillRect/>
                          </a:stretch>
                        </pic:blipFill>
                        <pic:spPr>
                          <a:xfrm>
                            <a:off x="0" y="0"/>
                            <a:ext cx="2838450" cy="1892300"/>
                          </a:xfrm>
                          <a:prstGeom prst="rect"/>
                          <a:ln w="12700">
                            <a:solidFill>
                              <a:srgbClr val="000000"/>
                            </a:solidFill>
                            <a:prstDash val="solid"/>
                          </a:ln>
                        </pic:spPr>
                      </pic:pic>
                    </a:graphicData>
                  </a:graphic>
                </wp:inline>
              </w:drawing>
            </w:r>
            <w:r w:rsidDel="00000000" w:rsidR="00000000" w:rsidRPr="00000000">
              <w:rPr>
                <w:rtl w:val="0"/>
              </w:rPr>
            </w:r>
          </w:p>
        </w:tc>
        <w:tc>
          <w:tcPr>
            <w:shd w:fill="b6d7a8" w:val="clear"/>
            <w:tcMar>
              <w:top w:w="100.0" w:type="dxa"/>
              <w:left w:w="100.0" w:type="dxa"/>
              <w:bottom w:w="100.0" w:type="dxa"/>
              <w:right w:w="100.0" w:type="dxa"/>
            </w:tcMar>
          </w:tcPr>
          <w:p w:rsidR="00000000" w:rsidDel="00000000" w:rsidP="00000000" w:rsidRDefault="00000000" w:rsidRPr="00000000" w14:paraId="000001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Supervises a multi-tenant workspace that is subject to turnover and needs to have furniture often reconfigured and replaced quickly. Chemistry is her key focus, where she values: being available, service reliability, operational flexibility.</w:t>
            </w:r>
          </w:p>
        </w:tc>
      </w:tr>
      <w:tr>
        <w:trPr>
          <w:cantSplit w:val="1"/>
          <w:tblHeader w:val="1"/>
        </w:trPr>
        <w:tc>
          <w:tcPr>
            <w:shd w:fill="ffe599" w:val="clear"/>
            <w:tcMar>
              <w:top w:w="100.0" w:type="dxa"/>
              <w:left w:w="100.0" w:type="dxa"/>
              <w:bottom w:w="100.0" w:type="dxa"/>
              <w:right w:w="100.0" w:type="dxa"/>
            </w:tcMar>
          </w:tcPr>
          <w:p w:rsidR="00000000" w:rsidDel="00000000" w:rsidP="00000000" w:rsidRDefault="00000000" w:rsidRPr="00000000" w14:paraId="000001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Name: Sarah Patel</w:t>
            </w:r>
          </w:p>
          <w:p w:rsidR="00000000" w:rsidDel="00000000" w:rsidP="00000000" w:rsidRDefault="00000000" w:rsidRPr="00000000" w14:paraId="000001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Age: 41</w:t>
            </w:r>
          </w:p>
          <w:p w:rsidR="00000000" w:rsidDel="00000000" w:rsidP="00000000" w:rsidRDefault="00000000" w:rsidRPr="00000000" w14:paraId="000001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Job: Workplace Manager</w:t>
            </w:r>
          </w:p>
          <w:p w:rsidR="00000000" w:rsidDel="00000000" w:rsidP="00000000" w:rsidRDefault="00000000" w:rsidRPr="00000000" w14:paraId="000001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Location: UK</w:t>
            </w:r>
          </w:p>
        </w:tc>
        <w:tc>
          <w:tcPr>
            <w:shd w:fill="b6d7a8" w:val="clear"/>
            <w:tcMar>
              <w:top w:w="100.0" w:type="dxa"/>
              <w:left w:w="100.0" w:type="dxa"/>
              <w:bottom w:w="100.0" w:type="dxa"/>
              <w:right w:w="100.0" w:type="dxa"/>
            </w:tcMar>
          </w:tcPr>
          <w:p w:rsidR="00000000" w:rsidDel="00000000" w:rsidP="00000000" w:rsidRDefault="00000000" w:rsidRPr="00000000" w14:paraId="000001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Personality</w:t>
            </w:r>
          </w:p>
          <w:p w:rsidR="00000000" w:rsidDel="00000000" w:rsidP="00000000" w:rsidRDefault="00000000" w:rsidRPr="00000000" w14:paraId="0000016A">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Adaptability</w:t>
            </w:r>
          </w:p>
          <w:p w:rsidR="00000000" w:rsidDel="00000000" w:rsidP="00000000" w:rsidRDefault="00000000" w:rsidRPr="00000000" w14:paraId="0000016B">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Efficiency-focused</w:t>
            </w:r>
          </w:p>
        </w:tc>
      </w:tr>
      <w:tr>
        <w:trPr>
          <w:cantSplit w:val="1"/>
          <w:tblHeader w:val="1"/>
        </w:trPr>
        <w:tc>
          <w:tcPr>
            <w:shd w:fill="b6d7a8" w:val="clear"/>
            <w:tcMar>
              <w:top w:w="100.0" w:type="dxa"/>
              <w:left w:w="100.0" w:type="dxa"/>
              <w:bottom w:w="100.0" w:type="dxa"/>
              <w:right w:w="100.0" w:type="dxa"/>
            </w:tcMar>
          </w:tcPr>
          <w:p w:rsidR="00000000" w:rsidDel="00000000" w:rsidP="00000000" w:rsidRDefault="00000000" w:rsidRPr="00000000" w14:paraId="000001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Goal</w:t>
            </w:r>
          </w:p>
          <w:p w:rsidR="00000000" w:rsidDel="00000000" w:rsidP="00000000" w:rsidRDefault="00000000" w:rsidRPr="00000000" w14:paraId="0000016D">
            <w:pPr>
              <w:keepNext w:val="0"/>
              <w:keepLines w:val="0"/>
              <w:pageBreakBefore w:val="0"/>
              <w:widowControl w:val="0"/>
              <w:numPr>
                <w:ilvl w:val="0"/>
                <w:numId w:val="1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Reconfigure workspaces quickly</w:t>
            </w:r>
          </w:p>
        </w:tc>
        <w:tc>
          <w:tcPr>
            <w:shd w:fill="ffe599" w:val="clear"/>
            <w:tcMar>
              <w:top w:w="100.0" w:type="dxa"/>
              <w:left w:w="100.0" w:type="dxa"/>
              <w:bottom w:w="100.0" w:type="dxa"/>
              <w:right w:w="100.0" w:type="dxa"/>
            </w:tcMar>
          </w:tcPr>
          <w:p w:rsidR="00000000" w:rsidDel="00000000" w:rsidP="00000000" w:rsidRDefault="00000000" w:rsidRPr="00000000" w14:paraId="000001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Need</w:t>
            </w:r>
          </w:p>
          <w:p w:rsidR="00000000" w:rsidDel="00000000" w:rsidP="00000000" w:rsidRDefault="00000000" w:rsidRPr="00000000" w14:paraId="0000016F">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Reliable furniture availability</w:t>
            </w:r>
          </w:p>
          <w:p w:rsidR="00000000" w:rsidDel="00000000" w:rsidP="00000000" w:rsidRDefault="00000000" w:rsidRPr="00000000" w14:paraId="00000170">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Replacement</w:t>
            </w:r>
          </w:p>
        </w:tc>
      </w:tr>
      <w:tr>
        <w:trPr>
          <w:cantSplit w:val="1"/>
          <w:trHeight w:val="440" w:hRule="atLeast"/>
          <w:tblHeader w:val="1"/>
        </w:trPr>
        <w:tc>
          <w:tcPr>
            <w:gridSpan w:val="2"/>
            <w:shd w:fill="b6d7a8" w:val="clear"/>
            <w:tcMar>
              <w:top w:w="100.0" w:type="dxa"/>
              <w:left w:w="100.0" w:type="dxa"/>
              <w:bottom w:w="100.0" w:type="dxa"/>
              <w:right w:w="100.0" w:type="dxa"/>
            </w:tcMar>
          </w:tcPr>
          <w:p w:rsidR="00000000" w:rsidDel="00000000" w:rsidP="00000000" w:rsidRDefault="00000000" w:rsidRPr="00000000" w14:paraId="000001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Pain points</w:t>
            </w:r>
          </w:p>
          <w:p w:rsidR="00000000" w:rsidDel="00000000" w:rsidP="00000000" w:rsidRDefault="00000000" w:rsidRPr="00000000" w14:paraId="00000172">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Turnover</w:t>
            </w:r>
          </w:p>
          <w:p w:rsidR="00000000" w:rsidDel="00000000" w:rsidP="00000000" w:rsidRDefault="00000000" w:rsidRPr="00000000" w14:paraId="00000173">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Storage</w:t>
            </w:r>
          </w:p>
          <w:p w:rsidR="00000000" w:rsidDel="00000000" w:rsidP="00000000" w:rsidRDefault="00000000" w:rsidRPr="00000000" w14:paraId="00000174">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Downtime</w:t>
            </w:r>
          </w:p>
        </w:tc>
      </w:tr>
    </w:tbl>
    <w:p w:rsidR="00000000" w:rsidDel="00000000" w:rsidP="00000000" w:rsidRDefault="00000000" w:rsidRPr="00000000" w14:paraId="00000176">
      <w:pPr>
        <w:pStyle w:val="Heading2"/>
        <w:keepNext w:val="0"/>
        <w:keepLines w:val="0"/>
        <w:spacing w:before="200" w:lineRule="auto"/>
        <w:rPr/>
      </w:pPr>
      <w:bookmarkStart w:colFirst="0" w:colLast="0" w:name="_5ctrkxxjxmv0" w:id="46"/>
      <w:bookmarkEnd w:id="46"/>
      <w:r w:rsidDel="00000000" w:rsidR="00000000" w:rsidRPr="00000000">
        <w:rPr>
          <w:rtl w:val="0"/>
        </w:rPr>
        <w:t xml:space="preserve">5.4 Pain Points, Unmet Needs and Demand</w:t>
      </w:r>
    </w:p>
    <w:p w:rsidR="00000000" w:rsidDel="00000000" w:rsidP="00000000" w:rsidRDefault="00000000" w:rsidRPr="00000000" w14:paraId="0000017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primary problem is that office furniture is costly, but office furniture that fits that office's needs is a problem that's inefficiently solved by ownership. In the event of relocation, expansion, downsizing and refurbishment, organisations may have surplus separation and disposal responsibilities, storage costs (Öngel, Gonçalves and da Silva, 2025) and assets to manage and maintain. One method of overcoming this rigidity with EcoLoop is by implementing a subscription service, second-life use and swapping out batteries, and take-back. All of these problems, though, do not create demand for EcoLoop's solution.</w:t>
      </w:r>
    </w:p>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Customers are also provided with an option to buy assets (new or second-hand), rent assets, own existing assets or repair existing assets. This can be beneficial if these options appear more familiar, more controlled or have perceived less risk. Likewise, hybrid work might require more flexibility in the workplace, and correspondingly, companies may need to cut down on office space and not subscribe to furniture (Alfieri, Mariotti and Rossi 2025). The preferences for sustainability don't necessarily take precedence over issues of quality, ownership, and long-term cost.</w:t>
      </w:r>
    </w:p>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Thus, there is likely to be a difference in demand depending on how often furniture is being changed, how price sensitive, the switching costs, and the perceived risk. The advantage of subscription is greater when organisations are required to frequently reconfigure their furniture arrangements, as well as have limited capital. On the other hand, owning furniture may be advantageous for organisations in which furniture is expected to last for a long time (Pourrahimian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2026). The limiting factor is willingness to pay. Without primary evidence from the customers, they can only be potential customers; actual purchasing behaviour cannot be determined. Thus, EcoLoop has found a valid unmet opportunity, which has yet to be validated in terms of commercial need.</w:t>
      </w:r>
    </w:p>
    <w:p w:rsidR="00000000" w:rsidDel="00000000" w:rsidP="00000000" w:rsidRDefault="00000000" w:rsidRPr="00000000" w14:paraId="0000017A">
      <w:pPr>
        <w:pStyle w:val="Heading2"/>
        <w:spacing w:before="200" w:lineRule="auto"/>
        <w:rPr/>
      </w:pPr>
      <w:bookmarkStart w:colFirst="0" w:colLast="0" w:name="_usokl2of126s" w:id="47"/>
      <w:bookmarkEnd w:id="47"/>
      <w:r w:rsidDel="00000000" w:rsidR="00000000" w:rsidRPr="00000000">
        <w:rPr>
          <w:rtl w:val="0"/>
        </w:rPr>
        <w:t xml:space="preserve">5.5 Economic and Geographic Conditions</w:t>
      </w:r>
    </w:p>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Economic conditions are counterintuitive for EcoLoop. It can be favourable to avoid heavy initial investment as the cost of fit-out and procurement of office furniture can be high. Subscription can also help in terms of predictability of expenditures and lower financial risk of adaptive response to the changing needs in the work environment (Markiewicz and Ziobrowska-Sztuczka, 2026). However, regular repayments are an agreement which may cost more than owning in the long term.</w:t>
      </w:r>
    </w:p>
    <w:p w:rsidR="00000000" w:rsidDel="00000000" w:rsidP="00000000" w:rsidRDefault="00000000" w:rsidRPr="00000000" w14:paraId="0000017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This tension exists due to inflation too. This may lead to a higher awareness of furniture costs and procurement costs, which can enhance refurbishment and cost-flexible methods, but can also eat into businesses' budgets. SMEs might appreciate flexibility and may therefore delay the expenditure, or even make no expenses. Likewise, higher financing rates can make it less attractive to have a large investment, but it doesn't necessarily mean that people will opt for subscriptions (Elarabi and Khalifa, 2025).</w:t>
      </w:r>
    </w:p>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5: Economic Condition and Related Opportunities</w:t>
      </w:r>
    </w:p>
    <w:tbl>
      <w:tblPr>
        <w:tblStyle w:val="Table6"/>
        <w:tblW w:w="9210.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565"/>
        <w:gridCol w:w="3360"/>
        <w:gridCol w:w="3285"/>
        <w:tblGridChange w:id="0">
          <w:tblGrid>
            <w:gridCol w:w="2565"/>
            <w:gridCol w:w="3360"/>
            <w:gridCol w:w="3285"/>
          </w:tblGrid>
        </w:tblGridChange>
      </w:tblGrid>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Economic condition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Potential opportunity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Counter-effect</w:t>
            </w:r>
            <w:r w:rsidDel="00000000" w:rsidR="00000000" w:rsidRPr="00000000">
              <w:rPr>
                <w:rtl w:val="0"/>
              </w:rPr>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Inflation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Greater interest in reuse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Lower business budgets</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High fit-out costs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Lower upfront commitment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Investment postponement</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Financing pressure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Access instead of ownership</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Recurring payments remain</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Business uncertainty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Greater value of flexibility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Lower overall spending</w:t>
            </w:r>
          </w:p>
        </w:tc>
      </w:tr>
    </w:tbl>
    <w:p w:rsidR="00000000" w:rsidDel="00000000" w:rsidP="00000000" w:rsidRDefault="00000000" w:rsidRPr="00000000" w14:paraId="0000018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As a geographical viewpoint, EcoLoop should target geographical areas where there is a high density of businesses, which have a significant amount of office activities as well as practical facility access. Working out of the main commercial hubs and London might have more demand as the value of flexibility also rises due to workplace costs, and more organisations are complex. But the attribute of geographical attractiveness is to be balanced with delivery/collection costs, storage and refurbishment costs (Mohri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2024) Although geographically dense markets may yield greater demand, poor margins can also result when there are high reverse logistics costs. As a result, in addition to influencing customer acquisition, geography plays a role in the economics of the circular model as well.</w:t>
      </w:r>
    </w:p>
    <w:p w:rsidR="00000000" w:rsidDel="00000000" w:rsidP="00000000" w:rsidRDefault="00000000" w:rsidRPr="00000000" w14:paraId="0000018E">
      <w:pPr>
        <w:pStyle w:val="Heading2"/>
        <w:spacing w:before="200" w:lineRule="auto"/>
        <w:rPr/>
      </w:pPr>
      <w:bookmarkStart w:colFirst="0" w:colLast="0" w:name="_ae0ue3l9k7my" w:id="48"/>
      <w:bookmarkEnd w:id="48"/>
      <w:r w:rsidDel="00000000" w:rsidR="00000000" w:rsidRPr="00000000">
        <w:rPr>
          <w:rtl w:val="0"/>
        </w:rPr>
        <w:t xml:space="preserve">5.6 Research Findings and Opportunity Synthesis</w:t>
      </w:r>
    </w:p>
    <w:p w:rsidR="00000000" w:rsidDel="00000000" w:rsidP="00000000" w:rsidRDefault="00000000" w:rsidRPr="00000000" w14:paraId="0000018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There is evidence that there may be a commercially attractive market opportunity for Weben, although it is not an established high-growth market.</w:t>
      </w:r>
    </w:p>
    <w:p w:rsidR="00000000" w:rsidDel="00000000" w:rsidP="00000000" w:rsidRDefault="00000000" w:rsidRPr="00000000" w14:paraId="0000019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6: Overall Assessment</w:t>
      </w:r>
    </w:p>
    <w:tbl>
      <w:tblPr>
        <w:tblStyle w:val="Table7"/>
        <w:tblW w:w="9360.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103"/>
        <w:gridCol w:w="1775"/>
        <w:gridCol w:w="5482"/>
        <w:tblGridChange w:id="0">
          <w:tblGrid>
            <w:gridCol w:w="2103"/>
            <w:gridCol w:w="1775"/>
            <w:gridCol w:w="5482"/>
          </w:tblGrid>
        </w:tblGridChange>
      </w:tblGrid>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Criterion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Assessment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Critical judgement</w:t>
            </w:r>
            <w:r w:rsidDel="00000000" w:rsidR="00000000" w:rsidRPr="00000000">
              <w:rPr>
                <w:rtl w:val="0"/>
              </w:rPr>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Need strength</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Strong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Change in the workplace and surplus furniture are real issues</w:t>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Market scale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Strong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 lot of lines for B2B – but half of them are not realistic numbers that can be targeted.</w:t>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Target accessibility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Moderate–Strong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It is beneficial to SMEs and flexible spaces, but needs to be validated.</w:t>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Demand quality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Moderate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There is a need, but it is not clear if it will be adopted in a subscription.</w:t>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Economic resilience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A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Moderate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Fewer will be able to afford as much flexibility as before, and budgets will shrink.</w:t>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Evidence confidence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Moderate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Customer willingness is untried and customer usefulness is helpful.</w:t>
            </w:r>
          </w:p>
        </w:tc>
      </w:tr>
    </w:tbl>
    <w:p w:rsidR="00000000" w:rsidDel="00000000" w:rsidP="00000000" w:rsidRDefault="00000000" w:rsidRPr="00000000" w14:paraId="000001A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Put simply, the synergy of hybrid working, evolving space needs, waste from office furniture, sustainability considerations and a need for multi-functionality and working capital freedom enhance EcoLoop's value. Those are elements which create retail conditions, but do not ensure sales. The biggest ambiguities are those of willingness to pay, customer switching, customer retention, acceptance of refurbished furniture, and reverse logistics costs.</w:t>
      </w:r>
    </w:p>
    <w:p w:rsidR="00000000" w:rsidDel="00000000" w:rsidP="00000000" w:rsidRDefault="00000000" w:rsidRPr="00000000" w14:paraId="000001A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This is because the opportunity is best realised when there are customers who undergo changes in their workplace/practice, or high furniture turnover, and SMEs/scale-ups as well as operators of flexible workspaces seem to be ideal first players (Hokmabadi, Rezvani and de Matos, 2024). A subscription pricing-controlled pilot needs to be performed before scaling out, assessing asset utilisation, customer retention and refurbishment costs, and evaluating collection economics (Kowalkowski and Ulaga, 2024). This would make the existing hypothesis on the opportunity hypothesis "evidence-based" into "commercial evidence. The final result on the other hand, is a conditional one, as EcoLoop also provides solutions to potentially valid market issues, and will need to be shown to deliver the value of flexibility to customers at a profitable price. But with no primary research sources, the willingness to pay is yet unknown and pricey forecasts for subscription and switching rates are accepted. This reduces the certainty in the ability of market attractiveness to be translated into commercial forecasts. It is also essential that the proposed circular model can be shown to increase the marginal costs of collection, storage, refurbishment, and re-distribution without causing the subscription revenues to decline.</w:t>
      </w:r>
    </w:p>
    <w:p w:rsidR="00000000" w:rsidDel="00000000" w:rsidP="00000000" w:rsidRDefault="00000000" w:rsidRPr="00000000" w14:paraId="000001A8">
      <w:pPr>
        <w:pStyle w:val="Heading1"/>
        <w:spacing w:before="200" w:lineRule="auto"/>
        <w:rPr/>
      </w:pPr>
      <w:bookmarkStart w:colFirst="0" w:colLast="0" w:name="_9nf1q6l3ab63" w:id="49"/>
      <w:bookmarkEnd w:id="49"/>
      <w:r w:rsidDel="00000000" w:rsidR="00000000" w:rsidRPr="00000000">
        <w:br w:type="page"/>
      </w:r>
      <w:r w:rsidDel="00000000" w:rsidR="00000000" w:rsidRPr="00000000">
        <w:rPr>
          <w:rtl w:val="0"/>
        </w:rPr>
      </w:r>
    </w:p>
    <w:p w:rsidR="00000000" w:rsidDel="00000000" w:rsidP="00000000" w:rsidRDefault="00000000" w:rsidRPr="00000000" w14:paraId="000001A9">
      <w:pPr>
        <w:pStyle w:val="Heading1"/>
        <w:spacing w:before="200" w:lineRule="auto"/>
        <w:rPr/>
      </w:pPr>
      <w:bookmarkStart w:colFirst="0" w:colLast="0" w:name="_ds3g4vxims4o" w:id="50"/>
      <w:bookmarkEnd w:id="50"/>
      <w:r w:rsidDel="00000000" w:rsidR="00000000" w:rsidRPr="00000000">
        <w:rPr>
          <w:rtl w:val="0"/>
        </w:rPr>
        <w:t xml:space="preserve">Chapter 6: Competitive Environment Analysis</w:t>
      </w:r>
    </w:p>
    <w:p w:rsidR="00000000" w:rsidDel="00000000" w:rsidP="00000000" w:rsidRDefault="00000000" w:rsidRPr="00000000" w14:paraId="000001AA">
      <w:pPr>
        <w:pStyle w:val="Heading2"/>
        <w:keepNext w:val="0"/>
        <w:keepLines w:val="0"/>
        <w:spacing w:before="200" w:lineRule="auto"/>
        <w:rPr/>
      </w:pPr>
      <w:bookmarkStart w:colFirst="0" w:colLast="0" w:name="_prg8kdk3oh92" w:id="51"/>
      <w:bookmarkEnd w:id="51"/>
      <w:r w:rsidDel="00000000" w:rsidR="00000000" w:rsidRPr="00000000">
        <w:rPr>
          <w:rtl w:val="0"/>
        </w:rPr>
        <w:t xml:space="preserve">6.1 Scope, Frameworks and Competitive Set</w:t>
      </w:r>
    </w:p>
    <w:p w:rsidR="00000000" w:rsidDel="00000000" w:rsidP="00000000" w:rsidRDefault="00000000" w:rsidRPr="00000000" w14:paraId="000001A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While the UK-based EcoLoop is active in the corporate office furniture/workplace solutions market, the challenge it faces is not just from traditional office furniture suppliers. The requirements can be met in the same way by another party through ownership, refurbishment, letting, repairs, and retaining the assets (Dao, Cooper and Watkins, 2026). But it is not only on the product availability that a competition will be conducted; it also relies on price/value, flexibility, quality, reliability, ease of use and sustainability. Traditional furniture vendors are best known for furniture ownership-based requirements, whereas refurbished, hire and circular providers make better business model comparisons. The substitutes are existing furniture or those who fix/alter the old furniture, while established suppliers that are coming into the furniture-as-service model are potential entrants. As per the research methodology, analysis of the competitors is then done through positioning and key success factors and then through Porter's five forces and PESTLE.</w:t>
      </w:r>
    </w:p>
    <w:p w:rsidR="00000000" w:rsidDel="00000000" w:rsidP="00000000" w:rsidRDefault="00000000" w:rsidRPr="00000000" w14:paraId="000001AC">
      <w:pPr>
        <w:pStyle w:val="Heading2"/>
        <w:spacing w:before="200" w:lineRule="auto"/>
        <w:rPr/>
      </w:pPr>
      <w:bookmarkStart w:colFirst="0" w:colLast="0" w:name="_vhxorlpgsu0l" w:id="52"/>
      <w:bookmarkEnd w:id="52"/>
      <w:r w:rsidDel="00000000" w:rsidR="00000000" w:rsidRPr="00000000">
        <w:rPr>
          <w:rtl w:val="0"/>
        </w:rPr>
        <w:t xml:space="preserve">6.2 Key Success Factors</w:t>
      </w:r>
    </w:p>
    <w:p w:rsidR="00000000" w:rsidDel="00000000" w:rsidP="00000000" w:rsidRDefault="00000000" w:rsidRPr="00000000" w14:paraId="000001A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Service reliability and availability are more important to EcoLoop than it is to traditional ownership models, as the customer relies on the service provider for delivery, installation, maintenance, and replacement. Traditional suppliers can provide more robust service structures while EcoLoop's service structure needs to be demonstrated as equally strong in a more complicated lifecycle model.</w:t>
      </w:r>
    </w:p>
    <w:p w:rsidR="00000000" w:rsidDel="00000000" w:rsidP="00000000" w:rsidRDefault="00000000" w:rsidRPr="00000000" w14:paraId="000001A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Another key consideration is price – value performance. Both conventional and EcoLoop buying have their advantages and disadvantages, with conventional putting in more money up front but yielding ownership, and EcoLoop saving money in the long run but committing to less ownership. Hence, subscription revenues need to exhibit an outstanding life cycle value, not just high upfront revenues (Liu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2025).</w:t>
      </w:r>
    </w:p>
    <w:p w:rsidR="00000000" w:rsidDel="00000000" w:rsidP="00000000" w:rsidRDefault="00000000" w:rsidRPr="00000000" w14:paraId="000001A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Circular and refurbishment capability could be one of the indications of the difference between circular and linear providers. Take-back, reuse, refurbishment and resale increase the value of the asset; however, quality and hygiene as well as durability are expectations for refurbished furniture. Despite the fact that there are communication companies that achieve remarkable sustainability results, their weak product performance may not be enough to offset it (p. 410, Pérez-Sánchez, Velasco-Fernández and Giampietro, 2022).</w:t>
      </w:r>
    </w:p>
    <w:p w:rsidR="00000000" w:rsidDel="00000000" w:rsidP="00000000" w:rsidRDefault="00000000" w:rsidRPr="00000000" w14:paraId="000001B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Access to improved operating efficiency can make a profit. Storage, reverse logistics, maintenance and inventory can be potential threats to EcoLoop's recurring revenue. While conventional suppliers have an advantage in their one-way business, companies have an advantage in terms of reaching high asset utilisation values necessary to make circularity commercially viable (Kudrenko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2025). The research specifies some key conditions such as logistics, utilisation quality and refurbishment quality.</w:t>
      </w:r>
    </w:p>
    <w:p w:rsidR="00000000" w:rsidDel="00000000" w:rsidP="00000000" w:rsidRDefault="00000000" w:rsidRPr="00000000" w14:paraId="000001B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Last but not least, trust and the credibility of ESG. EcoLoop has the potential to provide more than just potential systems; it can provide measurable reuse and ESG reporting, unlike suppliers that may not have as integrated sustainability information. However, the claims do only make the cut when backed up by clear-cut proof.</w:t>
      </w:r>
    </w:p>
    <w:p w:rsidR="00000000" w:rsidDel="00000000" w:rsidP="00000000" w:rsidRDefault="00000000" w:rsidRPr="00000000" w14:paraId="000001B2">
      <w:pPr>
        <w:pStyle w:val="Heading2"/>
        <w:keepNext w:val="0"/>
        <w:keepLines w:val="0"/>
        <w:spacing w:before="200" w:lineRule="auto"/>
        <w:rPr/>
      </w:pPr>
      <w:bookmarkStart w:colFirst="0" w:colLast="0" w:name="_fst8rpp5qwgf" w:id="53"/>
      <w:bookmarkEnd w:id="53"/>
      <w:r w:rsidDel="00000000" w:rsidR="00000000" w:rsidRPr="00000000">
        <w:rPr>
          <w:rtl w:val="0"/>
        </w:rPr>
        <w:t xml:space="preserve">6.3 Main Competitors and Positioning</w:t>
      </w:r>
    </w:p>
    <w:p w:rsidR="00000000" w:rsidDel="00000000" w:rsidP="00000000" w:rsidRDefault="00000000" w:rsidRPr="00000000" w14:paraId="000001B3">
      <w:pPr>
        <w:pStyle w:val="Heading3"/>
        <w:rPr/>
      </w:pPr>
      <w:bookmarkStart w:colFirst="0" w:colLast="0" w:name="_waboxk174t33" w:id="54"/>
      <w:bookmarkEnd w:id="54"/>
      <w:r w:rsidDel="00000000" w:rsidR="00000000" w:rsidRPr="00000000">
        <w:rPr>
          <w:rtl w:val="0"/>
        </w:rPr>
        <w:t xml:space="preserve">6.3.1 Competitor Analysis</w:t>
      </w:r>
    </w:p>
    <w:p w:rsidR="00000000" w:rsidDel="00000000" w:rsidP="00000000" w:rsidRDefault="00000000" w:rsidRPr="00000000" w14:paraId="000001B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7. Key Competitors. </w:t>
      </w:r>
    </w:p>
    <w:tbl>
      <w:tblPr>
        <w:tblStyle w:val="Table8"/>
        <w:tblW w:w="9360.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924"/>
        <w:gridCol w:w="4142"/>
        <w:gridCol w:w="3294"/>
        <w:tblGridChange w:id="0">
          <w:tblGrid>
            <w:gridCol w:w="1924"/>
            <w:gridCol w:w="4142"/>
            <w:gridCol w:w="3294"/>
          </w:tblGrid>
        </w:tblGridChange>
      </w:tblGrid>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Competitor</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B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Strength</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EcoLoop Competitive Gap/Threat</w:t>
            </w:r>
            <w:r w:rsidDel="00000000" w:rsidR="00000000" w:rsidRPr="00000000">
              <w:rPr>
                <w:rtl w:val="0"/>
              </w:rPr>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Traditional suppliers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Product range, reliability, procurement relationships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Limited flexibility; strong incumbent advantage</w:t>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Refurbished providers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B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Lower prices, reuse, circularity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Mainly ownership-based</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Rental providers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Access, flexibility, lower upfront cost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Circular integration varies</w:t>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Circular providers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C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Refurbishment, reuse, lifecycle services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Increasingly similar proposition</w:t>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EcoLoop</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C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Subscription, take-back, refurbishment, maintenance and ESG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New entrant; high logistics and validation risks</w:t>
            </w:r>
          </w:p>
        </w:tc>
      </w:tr>
    </w:tbl>
    <w:p w:rsidR="00000000" w:rsidDel="00000000" w:rsidP="00000000" w:rsidRDefault="00000000" w:rsidRPr="00000000" w14:paraId="000001C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This analysis reveals that in addition to not having a single competitor, EcoLoop actually competes with several different types of business models. Scale and reliability are the advantage of traditional suppliers, and affordability and circularity can be competitive options of refurbished suppliers. Flexibility is facilitated by rental providers and circular companies are increasingly executing reuse in combination with lifecycle services (Stabler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2024). Namely, because of its newness, the complexity of logistics and the lack of validated acceptance by customers, the integrated subscription model has the potential to differentiate but cannot be defended. It's not merely positioning for sustainability that will win you competitive advantage, but also the execution of your operations.</w:t>
      </w:r>
    </w:p>
    <w:p w:rsidR="00000000" w:rsidDel="00000000" w:rsidP="00000000" w:rsidRDefault="00000000" w:rsidRPr="00000000" w14:paraId="000001C8">
      <w:pPr>
        <w:pStyle w:val="Heading3"/>
        <w:rPr/>
      </w:pPr>
      <w:bookmarkStart w:colFirst="0" w:colLast="0" w:name="_h5fvmn843pjd" w:id="55"/>
      <w:bookmarkEnd w:id="55"/>
      <w:r w:rsidDel="00000000" w:rsidR="00000000" w:rsidRPr="00000000">
        <w:rPr>
          <w:rtl w:val="0"/>
        </w:rPr>
        <w:t xml:space="preserve">6.3.2 Positioning Map</w:t>
      </w:r>
    </w:p>
    <w:p w:rsidR="00000000" w:rsidDel="00000000" w:rsidP="00000000" w:rsidRDefault="00000000" w:rsidRPr="00000000" w14:paraId="000001C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Figure 7. Positioning Map</w:t>
      </w:r>
    </w:p>
    <w:p w:rsidR="00000000" w:rsidDel="00000000" w:rsidP="00000000" w:rsidRDefault="00000000" w:rsidRPr="00000000" w14:paraId="000001C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drawing>
          <wp:inline distB="114300" distT="114300" distL="114300" distR="114300">
            <wp:extent cx="5943600" cy="3865178"/>
            <wp:effectExtent b="12700" l="12700" r="12700" t="12700"/>
            <wp:docPr id="12" name="image12.png"/>
            <a:graphic>
              <a:graphicData uri="http://schemas.openxmlformats.org/drawingml/2006/picture">
                <pic:pic>
                  <pic:nvPicPr>
                    <pic:cNvPr id="0" name="image12.png"/>
                    <pic:cNvPicPr preferRelativeResize="0"/>
                  </pic:nvPicPr>
                  <pic:blipFill>
                    <a:blip r:embed="rId15"/>
                    <a:srcRect b="0" l="0" r="0" t="13292"/>
                    <a:stretch>
                      <a:fillRect/>
                    </a:stretch>
                  </pic:blipFill>
                  <pic:spPr>
                    <a:xfrm>
                      <a:off x="0" y="0"/>
                      <a:ext cx="5943600" cy="3865178"/>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1C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As identified through the positioning map, the position of EcoLoop is potentially attractive regarding 'high use of eligibility – high use of circularity' that is associated with 'subscription – lifecycle management'. Fluid is flexible religious and secular clothing is acceptable but doesn't look as round, and Coggin looks more round, although less flexible. While differentiated, not unique, Circular Office Group is the closest strategic competitor to EcoLoop. So, while positioning is important, it is only a matter of 'how' rather than 'where'. It is what counts are asset utilisation, quality of refurbishment and measured ESG performance, as well as reliability of the service itself.</w:t>
      </w:r>
    </w:p>
    <w:p w:rsidR="00000000" w:rsidDel="00000000" w:rsidP="00000000" w:rsidRDefault="00000000" w:rsidRPr="00000000" w14:paraId="000001CC">
      <w:pPr>
        <w:pStyle w:val="Heading2"/>
        <w:spacing w:before="200" w:lineRule="auto"/>
        <w:rPr/>
      </w:pPr>
      <w:bookmarkStart w:colFirst="0" w:colLast="0" w:name="_jdcgncmluu1d" w:id="56"/>
      <w:bookmarkEnd w:id="56"/>
      <w:r w:rsidDel="00000000" w:rsidR="00000000" w:rsidRPr="00000000">
        <w:rPr>
          <w:rtl w:val="0"/>
        </w:rPr>
        <w:t xml:space="preserve">6.4 Porter’s Five Forces</w:t>
      </w:r>
    </w:p>
    <w:p w:rsidR="00000000" w:rsidDel="00000000" w:rsidP="00000000" w:rsidRDefault="00000000" w:rsidRPr="00000000" w14:paraId="000001C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8. Porter’s Five Forces Analysis</w:t>
      </w:r>
    </w:p>
    <w:tbl>
      <w:tblPr>
        <w:tblStyle w:val="Table9"/>
        <w:tblW w:w="9360.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701"/>
        <w:gridCol w:w="4857"/>
        <w:gridCol w:w="2802"/>
        <w:tblGridChange w:id="0">
          <w:tblGrid>
            <w:gridCol w:w="1701"/>
            <w:gridCol w:w="4857"/>
            <w:gridCol w:w="2802"/>
          </w:tblGrid>
        </w:tblGridChange>
      </w:tblGrid>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Force / Factor</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Analysis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D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Impact on EcoLoop</w:t>
            </w:r>
            <w:r w:rsidDel="00000000" w:rsidR="00000000" w:rsidRPr="00000000">
              <w:rPr>
                <w:rtl w:val="0"/>
              </w:rPr>
            </w:r>
          </w:p>
        </w:tc>
      </w:tr>
      <w:tr>
        <w:trPr>
          <w:cantSplit w:val="1"/>
          <w:trHeight w:val="108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D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Competitive rivalry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D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There are overlaps between established, refurbished, rental and circular business models that are possible to 'imitate' (Davis and Charter, 2025).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D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Low: pricing and differentiation pressure.</w:t>
            </w:r>
            <w:r w:rsidDel="00000000" w:rsidR="00000000" w:rsidRPr="00000000">
              <w:rPr>
                <w:rtl w:val="0"/>
              </w:rPr>
            </w:r>
          </w:p>
        </w:tc>
      </w:tr>
      <w:tr>
        <w:trPr>
          <w:cantSplit w:val="1"/>
          <w:trHeight w:val="108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Buyer power</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Corporate buyers can choose between several different suppliers, can discuss and negotiate contracts, and can switch between purchasing, renting and refurbishing equipment (Budler, Quiroga and Trkman, 2023).</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D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High: limits pricing power.</w:t>
            </w:r>
            <w:r w:rsidDel="00000000" w:rsidR="00000000" w:rsidRPr="00000000">
              <w:rPr>
                <w:rtl w:val="0"/>
              </w:rPr>
            </w:r>
          </w:p>
        </w:tc>
      </w:tr>
      <w:tr>
        <w:trPr>
          <w:cantSplit w:val="1"/>
          <w:trHeight w:val="108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Supplier power</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An essential element for EcoLoop is manufacturers and refurbishment partners, quality used stock, as well as logistics services.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Medium: availability and logistics may affect margins.</w:t>
            </w:r>
            <w:r w:rsidDel="00000000" w:rsidR="00000000" w:rsidRPr="00000000">
              <w:rPr>
                <w:rtl w:val="0"/>
              </w:rPr>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Substitutes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Furniture that is new or refurbished, rented, leased, repaired or retained could meet this need.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High: restricts demand and pricing freedom.</w:t>
            </w:r>
            <w:r w:rsidDel="00000000" w:rsidR="00000000" w:rsidRPr="00000000">
              <w:rPr>
                <w:rtl w:val="0"/>
              </w:rPr>
            </w:r>
          </w:p>
        </w:tc>
      </w:tr>
      <w:tr>
        <w:trPr>
          <w:cantSplit w:val="1"/>
          <w:trHeight w:val="108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New entrants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Trust, capability to refurbish, logistics and inventory are still barriers and digital platforms have decreased entry barriers (Connor-Crabb, Hemingray and Toms, 2026).</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Medium: incumbents can also imitate subscriptions.</w:t>
            </w:r>
            <w:r w:rsidDel="00000000" w:rsidR="00000000" w:rsidRPr="00000000">
              <w:rPr>
                <w:rtl w:val="0"/>
              </w:rPr>
            </w:r>
          </w:p>
        </w:tc>
      </w:tr>
    </w:tbl>
    <w:p w:rsidR="00000000" w:rsidDel="00000000" w:rsidP="00000000" w:rsidRDefault="00000000" w:rsidRPr="00000000" w14:paraId="000001E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Five Forces shows a moderately attractive, but highly competitive industry. Buyer power and substitutes place the most pressure since the consumer has a number of substitutes, will negotiate for price and service. Then, rivalry becomes important as rivals merge flexibility and circularity in the hearts and minds of corporate buyers and contractors, according to Davis and Charter (2025). While supplier power and barriers to entry must be seen as being at a moderate level, issues related to logistics and inventory and refurbishment make scalability difficult. This means that margins of EcoLoop may come under pressure if it is unable to gain asset utilization and operational efficiencies. Therefore, its strategic freedom is restricted: If it is constrained to compete on price alone, it's more difficult, so the focus on the reliability of the service, its life value, and measurable circularity by that determinant could be more protected strategic elements.</w:t>
      </w:r>
    </w:p>
    <w:p w:rsidR="00000000" w:rsidDel="00000000" w:rsidP="00000000" w:rsidRDefault="00000000" w:rsidRPr="00000000" w14:paraId="000001E1">
      <w:pPr>
        <w:pStyle w:val="Heading2"/>
        <w:keepNext w:val="0"/>
        <w:keepLines w:val="0"/>
        <w:spacing w:before="200" w:lineRule="auto"/>
        <w:rPr/>
      </w:pPr>
      <w:bookmarkStart w:colFirst="0" w:colLast="0" w:name="_6kw2a52zjy90" w:id="57"/>
      <w:bookmarkEnd w:id="57"/>
      <w:r w:rsidDel="00000000" w:rsidR="00000000" w:rsidRPr="00000000">
        <w:rPr>
          <w:rtl w:val="0"/>
        </w:rPr>
        <w:t xml:space="preserve">6.5 PESTLE and External Change</w:t>
      </w:r>
    </w:p>
    <w:p w:rsidR="00000000" w:rsidDel="00000000" w:rsidP="00000000" w:rsidRDefault="00000000" w:rsidRPr="00000000" w14:paraId="000001E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9: PESTLE Analysis</w:t>
      </w:r>
    </w:p>
    <w:tbl>
      <w:tblPr>
        <w:tblStyle w:val="Table10"/>
        <w:tblW w:w="9525.0" w:type="dxa"/>
        <w:jc w:val="left"/>
        <w:tblInd w:w="-265.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995"/>
        <w:gridCol w:w="4935"/>
        <w:gridCol w:w="2595"/>
        <w:tblGridChange w:id="0">
          <w:tblGrid>
            <w:gridCol w:w="1995"/>
            <w:gridCol w:w="4935"/>
            <w:gridCol w:w="2595"/>
          </w:tblGrid>
        </w:tblGridChange>
      </w:tblGrid>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Factor</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UK Market Analysis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Impact</w:t>
            </w:r>
            <w:r w:rsidDel="00000000" w:rsidR="00000000" w:rsidRPr="00000000">
              <w:rPr>
                <w:rtl w:val="0"/>
              </w:rPr>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Political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Reuse and circularity are more common elements of sustainable public procurement (Torkki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2024).</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High: Strong procurement support</w:t>
            </w:r>
            <w:r w:rsidDel="00000000" w:rsidR="00000000" w:rsidRPr="00000000">
              <w:rPr>
                <w:rtl w:val="0"/>
              </w:rPr>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Economic</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Business spending is affected by costs of inflation, financing and fit-out.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High: Significant cost pressures</w:t>
            </w:r>
            <w:r w:rsidDel="00000000" w:rsidR="00000000" w:rsidRPr="00000000">
              <w:rPr>
                <w:rtl w:val="0"/>
              </w:rPr>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Social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Many factors can influence adoption, including hybrid working and attitudes to the refurbished furniture (Holman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2026).</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High: Changing workplace behaviour</w:t>
            </w:r>
            <w:r w:rsidDel="00000000" w:rsidR="00000000" w:rsidRPr="00000000">
              <w:rPr>
                <w:rtl w:val="0"/>
              </w:rPr>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Technological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Digital inventory, tracking and ESG solutions aid lifecycle management (Chen and Perry, 2026).</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High: Improved operational efficiency</w:t>
            </w:r>
            <w:r w:rsidDel="00000000" w:rsidR="00000000" w:rsidRPr="00000000">
              <w:rPr>
                <w:rtl w:val="0"/>
              </w:rPr>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Legal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Market participation driven by procurement and contractual and environmental requirements.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Low: Limited direct influence</w:t>
            </w:r>
            <w:r w:rsidDel="00000000" w:rsidR="00000000" w:rsidRPr="00000000">
              <w:rPr>
                <w:rtl w:val="0"/>
              </w:rPr>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Environmental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There is a potential for reuse and refurbishment based on furniture waste and pressure of circular economy (Das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High: Growing circular demand</w:t>
            </w:r>
            <w:r w:rsidDel="00000000" w:rsidR="00000000" w:rsidRPr="00000000">
              <w:rPr>
                <w:rtl w:val="0"/>
              </w:rPr>
            </w:r>
          </w:p>
        </w:tc>
      </w:tr>
    </w:tbl>
    <w:p w:rsidR="00000000" w:rsidDel="00000000" w:rsidP="00000000" w:rsidRDefault="00000000" w:rsidRPr="00000000" w14:paraId="000001F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As shown by the PESTLE analysis, the factors of politics, economics, social, technology and environment are variously present with high impacts on EcoLoop. Circular procurement and re-use becomes strengthened by political and environmental pressures in favour of what EcoLoop proposes. Flexible models can be good in an economic uncertainty as cost pressure could lead to the use of flexible models, while high refurbishment and logistics costs could have a negative impact on margins. Social acceptance of areas where employees work of a blended (or used) nature is supportive of use but is somewhat uncertain. The technology brings advantages in stock management, subscription management and ESG reporting, but has the potential to open new possibilities for copycat clones of the EcoLoop business model. Legal is impactful, but with a low direct impact, and is a requirement for market participation.</w:t>
      </w:r>
    </w:p>
    <w:p w:rsidR="00000000" w:rsidDel="00000000" w:rsidP="00000000" w:rsidRDefault="00000000" w:rsidRPr="00000000" w14:paraId="000001F9">
      <w:pPr>
        <w:pStyle w:val="Heading2"/>
        <w:keepNext w:val="0"/>
        <w:keepLines w:val="0"/>
        <w:spacing w:before="200" w:lineRule="auto"/>
        <w:rPr/>
      </w:pPr>
      <w:bookmarkStart w:colFirst="0" w:colLast="0" w:name="_rnff1bbyatw9" w:id="58"/>
      <w:bookmarkEnd w:id="58"/>
      <w:r w:rsidDel="00000000" w:rsidR="00000000" w:rsidRPr="00000000">
        <w:rPr>
          <w:rtl w:val="0"/>
        </w:rPr>
        <w:t xml:space="preserve">6.6 Industry Attractiveness, Market Gaps and Synthesis</w:t>
      </w:r>
    </w:p>
    <w:p w:rsidR="00000000" w:rsidDel="00000000" w:rsidP="00000000" w:rsidRDefault="00000000" w:rsidRPr="00000000" w14:paraId="000001F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EcoLoop is going to be a moderately interesting and competitive market. Competition is high, and buyer power is high, while there are substitutes which make price elasticity and switching costs low. Subscription and circular features can be emulated by established competitors, which involves a high operational challenge due to inventory, logistics, refurbishment and entry restrictions. Thus, it is necessary to make assets used more efficiently and provide reliable services for profitability.</w:t>
      </w:r>
    </w:p>
    <w:p w:rsidR="00000000" w:rsidDel="00000000" w:rsidP="00000000" w:rsidRDefault="00000000" w:rsidRPr="00000000" w14:paraId="000001F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potential market opportunity is "access at will" along with circular life-cycle management and measurable ESG reporting (Telukdarie and Nyathi, 2026). It is a way of adding value to the customer, flexibility, and sustainability –but it is not actually an area of difference, as there are other forms of existing rental, refurbishment and circular models from which to choose that aid in our vision and aims for a more sustainable future. Payability of the customer continues to be important.</w:t>
      </w:r>
    </w:p>
    <w:p w:rsidR="00000000" w:rsidDel="00000000" w:rsidP="00000000" w:rsidRDefault="00000000" w:rsidRPr="00000000" w14:paraId="000001F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Structural conditions generally are improving according to competitor evidence, Five Forces and PESTLE evidence, but there is a high level of competition. This means that EcoLoop's line of thinking is promising, not defensive. Not only the concept of the subscription, but the execution is superior, the measurable environmental impact, and the superior service and life cycle cost savings, that will form the basis of sustainable differentiation.</w:t>
      </w:r>
    </w:p>
    <w:p w:rsidR="00000000" w:rsidDel="00000000" w:rsidP="00000000" w:rsidRDefault="00000000" w:rsidRPr="00000000" w14:paraId="000001FD">
      <w:pPr>
        <w:pStyle w:val="Heading2"/>
        <w:keepNext w:val="0"/>
        <w:keepLines w:val="0"/>
        <w:spacing w:before="200" w:lineRule="auto"/>
        <w:rPr/>
      </w:pPr>
      <w:bookmarkStart w:colFirst="0" w:colLast="0" w:name="_vq44zhj3y0fb" w:id="59"/>
      <w:bookmarkEnd w:id="59"/>
      <w:r w:rsidDel="00000000" w:rsidR="00000000" w:rsidRPr="00000000">
        <w:rPr>
          <w:rtl w:val="0"/>
        </w:rPr>
        <w:t xml:space="preserve">6.7 Chapter Summary</w:t>
      </w:r>
    </w:p>
    <w:p w:rsidR="00000000" w:rsidDel="00000000" w:rsidP="00000000" w:rsidRDefault="00000000" w:rsidRPr="00000000" w14:paraId="000001F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environment of EcoLoop is moderately good, however, is still highly competitive, where low bargaining power and substitute products and rivalry pose the biggest pressures on the market. Maintaining a high level of reliability and efficiency of asset usage, competitive lifecycle value, refurbishment capability and credible evidence of environmental, social and governance (ESG) is essential for success. One might suggest a market opportunity that combines "flexible access" and 'circular lifecycle management' and also measures sustainability impact, though the competitors could be able to build the same sorts of features. For this EcoLoop thus has a conditionally competitive advantage which it has to demonstrate and validate with customers. These conclusions are then translated into a business strategy and market entry approach in the next chapter.</w:t>
      </w:r>
    </w:p>
    <w:p w:rsidR="00000000" w:rsidDel="00000000" w:rsidP="00000000" w:rsidRDefault="00000000" w:rsidRPr="00000000" w14:paraId="000001FF">
      <w:pPr>
        <w:pStyle w:val="Heading1"/>
        <w:spacing w:before="200" w:lineRule="auto"/>
        <w:rPr/>
      </w:pPr>
      <w:bookmarkStart w:colFirst="0" w:colLast="0" w:name="_qol293cy6se4" w:id="60"/>
      <w:bookmarkEnd w:id="60"/>
      <w:r w:rsidDel="00000000" w:rsidR="00000000" w:rsidRPr="00000000">
        <w:br w:type="page"/>
      </w:r>
      <w:r w:rsidDel="00000000" w:rsidR="00000000" w:rsidRPr="00000000">
        <w:rPr>
          <w:rtl w:val="0"/>
        </w:rPr>
      </w:r>
    </w:p>
    <w:p w:rsidR="00000000" w:rsidDel="00000000" w:rsidP="00000000" w:rsidRDefault="00000000" w:rsidRPr="00000000" w14:paraId="00000200">
      <w:pPr>
        <w:pStyle w:val="Heading1"/>
        <w:spacing w:before="200" w:lineRule="auto"/>
        <w:rPr/>
      </w:pPr>
      <w:bookmarkStart w:colFirst="0" w:colLast="0" w:name="_scdt09dkjxnr" w:id="61"/>
      <w:bookmarkEnd w:id="61"/>
      <w:r w:rsidDel="00000000" w:rsidR="00000000" w:rsidRPr="00000000">
        <w:rPr>
          <w:rtl w:val="0"/>
        </w:rPr>
        <w:t xml:space="preserve">Chapter 7. Business Strategy </w:t>
      </w:r>
    </w:p>
    <w:p w:rsidR="00000000" w:rsidDel="00000000" w:rsidP="00000000" w:rsidRDefault="00000000" w:rsidRPr="00000000" w14:paraId="00000201">
      <w:pPr>
        <w:pStyle w:val="Heading2"/>
        <w:spacing w:before="200" w:lineRule="auto"/>
        <w:rPr/>
      </w:pPr>
      <w:bookmarkStart w:colFirst="0" w:colLast="0" w:name="_kfxvdobocqub" w:id="62"/>
      <w:bookmarkEnd w:id="62"/>
      <w:r w:rsidDel="00000000" w:rsidR="00000000" w:rsidRPr="00000000">
        <w:rPr>
          <w:rtl w:val="0"/>
        </w:rPr>
        <w:t xml:space="preserve">7.1 Strategic Introduction</w:t>
      </w:r>
    </w:p>
    <w:p w:rsidR="00000000" w:rsidDel="00000000" w:rsidP="00000000" w:rsidRDefault="00000000" w:rsidRPr="00000000" w14:paraId="0000020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EcoLoop Office's approach needs to be a viable, defensible commercial proposition that takes an achievable circular economy opportunity. In Chapter 6 and Chapter 7, I have set out the evidence that hybrid working, cost pressure, waste of resources and sustainability requirements are driving the transformation of UK office demand, but that at the same time – buyer power, multiple substitutes, operational complexity – are limiting profitability. The strategy then has a very clear 'golden thread', the external conditions are the opportunity, VRIO tests whether or not EcoLoop can come up with the strategy to exploit this, SWOT turns the evidence into strategic priorities, focused differentiation specifies the market position and the USP and capability system defines how the value will be defended. The goal is not sustainability for sustainability's sake, it is about customer value, reliability and economically viable circularity.</w:t>
      </w:r>
    </w:p>
    <w:p w:rsidR="00000000" w:rsidDel="00000000" w:rsidP="00000000" w:rsidRDefault="00000000" w:rsidRPr="00000000" w14:paraId="00000203">
      <w:pPr>
        <w:pStyle w:val="Heading2"/>
        <w:spacing w:before="200" w:lineRule="auto"/>
        <w:rPr/>
      </w:pPr>
      <w:bookmarkStart w:colFirst="0" w:colLast="0" w:name="_iqps5xruwe54" w:id="63"/>
      <w:bookmarkEnd w:id="63"/>
      <w:r w:rsidDel="00000000" w:rsidR="00000000" w:rsidRPr="00000000">
        <w:rPr>
          <w:rtl w:val="0"/>
        </w:rPr>
        <w:t xml:space="preserve">7.2 External Strategic Analysis</w:t>
      </w:r>
    </w:p>
    <w:p w:rsidR="00000000" w:rsidDel="00000000" w:rsidP="00000000" w:rsidRDefault="00000000" w:rsidRPr="00000000" w14:paraId="0000020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evidence suggests that EcoLoop is making its way into a market in which sustainable expectations and flexible working are met, while economic expectations and compliance are limiting flexibility and strategic choices.</w:t>
      </w:r>
    </w:p>
    <w:p w:rsidR="00000000" w:rsidDel="00000000" w:rsidP="00000000" w:rsidRDefault="00000000" w:rsidRPr="00000000" w14:paraId="0000020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10: External Strategic Analysis</w:t>
      </w:r>
    </w:p>
    <w:tbl>
      <w:tblPr>
        <w:tblStyle w:val="Table11"/>
        <w:tblW w:w="11025.0" w:type="dxa"/>
        <w:jc w:val="left"/>
        <w:tblInd w:w="-9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610"/>
        <w:gridCol w:w="4575"/>
        <w:gridCol w:w="3840"/>
        <w:tblGridChange w:id="0">
          <w:tblGrid>
            <w:gridCol w:w="2610"/>
            <w:gridCol w:w="4575"/>
            <w:gridCol w:w="3840"/>
          </w:tblGrid>
        </w:tblGridChange>
      </w:tblGrid>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Factor</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Numerical/strategic evidence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Implication for EcoLoop</w:t>
            </w:r>
            <w:r w:rsidDel="00000000" w:rsidR="00000000" w:rsidRPr="00000000">
              <w:rPr>
                <w:rtl w:val="0"/>
              </w:rPr>
            </w:r>
          </w:p>
        </w:tc>
      </w:tr>
      <w:tr>
        <w:trPr>
          <w:cantSplit w:val="1"/>
          <w:trHeight w:val="131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Political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2025 Sustainable Furniture Solutions framework includes an office-furniture lot estimated at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£250 million excluding VAT (Delta-esourcing.com, 2026)</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Opportunity: circular procurement has institutional legitimacy.</w:t>
            </w:r>
          </w:p>
        </w:tc>
      </w:tr>
      <w:tr>
        <w:trPr>
          <w:cantSplit w:val="1"/>
          <w:trHeight w:val="104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Economic</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UK CPI was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2.6% in June 2026 (Bankofengland.co.uk, 2026)</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Mixed: cost pressures may encourage flexibility but constrain SME budgets.</w:t>
            </w:r>
          </w:p>
        </w:tc>
      </w:tr>
      <w:tr>
        <w:trPr>
          <w:cantSplit w:val="1"/>
          <w:trHeight w:val="104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Social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28%</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of working adults in Great Britain hybrid-worked between January and March 2025 (Public Policy and Economic Insights team, 2025).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Opportunity: changing workplace configurations strengthen demand for adaptability.</w:t>
            </w:r>
          </w:p>
        </w:tc>
      </w:tr>
      <w:tr>
        <w:trPr>
          <w:cantSplit w:val="1"/>
          <w:trHeight w:val="104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Technological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Digital inventory, QR/barcode tracking, dashboards and analytics can support traceability (Udvaros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2024).</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Opportunity: technology can improve transparency and reporting.</w:t>
            </w:r>
          </w:p>
        </w:tc>
      </w:tr>
      <w:tr>
        <w:trPr>
          <w:cantSplit w:val="1"/>
          <w:trHeight w:val="131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Environmental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England generated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32.6 million tonnes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of commercial and industrial waste in 2023 (Department for Environment, Food &amp; Rural Affairs, 2022).</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Opportunity: substantial resource-management problem, although waste volume does not prove subscription demand.</w:t>
            </w:r>
          </w:p>
        </w:tc>
      </w:tr>
      <w:tr>
        <w:trPr>
          <w:cantSplit w:val="1"/>
          <w:trHeight w:val="104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1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Legal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Non-hazardous waste-transfer documentation must generally be retained for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2 years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Threat: compliance increases process requirements and liability.</w:t>
            </w:r>
          </w:p>
        </w:tc>
      </w:tr>
    </w:tbl>
    <w:p w:rsidR="00000000" w:rsidDel="00000000" w:rsidP="00000000" w:rsidRDefault="00000000" w:rsidRPr="00000000" w14:paraId="0000021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Source: Self -developed</w:t>
      </w:r>
    </w:p>
    <w:p w:rsidR="00000000" w:rsidDel="00000000" w:rsidP="00000000" w:rsidRDefault="00000000" w:rsidRPr="00000000" w14:paraId="0000021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Critical analysis </w:t>
      </w:r>
    </w:p>
    <w:p w:rsidR="00000000" w:rsidDel="00000000" w:rsidP="00000000" w:rsidRDefault="00000000" w:rsidRPr="00000000" w14:paraId="0000021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EcoLoop's external environment is supportive, yet strategically ambivalent as indicated in the table. The NEUPC (2026) procurement notice also shows that circular and sustainable furniture purchasing is more and more becoming a formal procurement opportunity, in turn bolstering the political argument for EcoLoop! This should not be taken as a given demand, however. As for the economy, the Bank of England (2026) identifies ongoing inflationary and cost pressures, which means that EcoLoop will have to continue to have controlled pricing and route efficiency. In terms of social, the Public Policy and Economic Insights team (2025) states that 28% of working adult’s hybrid-worked in January – March 2025, which backs the demand for flexible working options. However, the Office for National Statistics (2025) count of 2.73 million VAT/PAYE businesses is much greater than EcoLoop's realistic "potential market". Political and environmental pressures create opportunity, but it is commercial viability that is determined by willingness to pay, compliance costs and operational efficiency.</w:t>
      </w:r>
    </w:p>
    <w:p w:rsidR="00000000" w:rsidDel="00000000" w:rsidP="00000000" w:rsidRDefault="00000000" w:rsidRPr="00000000" w14:paraId="0000021E">
      <w:pPr>
        <w:pStyle w:val="Heading2"/>
        <w:spacing w:before="200" w:lineRule="auto"/>
        <w:rPr/>
      </w:pPr>
      <w:bookmarkStart w:colFirst="0" w:colLast="0" w:name="_vn0ma2bb1u6o" w:id="64"/>
      <w:bookmarkEnd w:id="64"/>
      <w:r w:rsidDel="00000000" w:rsidR="00000000" w:rsidRPr="00000000">
        <w:rPr>
          <w:rtl w:val="0"/>
        </w:rPr>
        <w:t xml:space="preserve">7.3 Internal Analysis: VRIO</w:t>
      </w:r>
    </w:p>
    <w:p w:rsidR="00000000" w:rsidDel="00000000" w:rsidP="00000000" w:rsidRDefault="00000000" w:rsidRPr="00000000" w14:paraId="0000021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EcoLoop's resources and capabilities should be evaluated based on their value, rarity, inimitability and effectiveness in organization. The analysis is significant as the company will be a new business with limited resources and no reputation.</w:t>
      </w:r>
    </w:p>
    <w:p w:rsidR="00000000" w:rsidDel="00000000" w:rsidP="00000000" w:rsidRDefault="00000000" w:rsidRPr="00000000" w14:paraId="0000022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11. VRIO Analysis</w:t>
      </w:r>
    </w:p>
    <w:tbl>
      <w:tblPr>
        <w:tblStyle w:val="Table12"/>
        <w:tblW w:w="10635.0" w:type="dxa"/>
        <w:jc w:val="left"/>
        <w:tblInd w:w="-739.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986"/>
        <w:gridCol w:w="975"/>
        <w:gridCol w:w="919"/>
        <w:gridCol w:w="895"/>
        <w:gridCol w:w="960"/>
        <w:gridCol w:w="3900"/>
        <w:tblGridChange w:id="0">
          <w:tblGrid>
            <w:gridCol w:w="2986"/>
            <w:gridCol w:w="975"/>
            <w:gridCol w:w="919"/>
            <w:gridCol w:w="895"/>
            <w:gridCol w:w="960"/>
            <w:gridCol w:w="3900"/>
          </w:tblGrid>
        </w:tblGridChange>
      </w:tblGrid>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Resource/Capability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V</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O</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Outcome</w:t>
            </w:r>
            <w:r w:rsidDel="00000000" w:rsidR="00000000" w:rsidRPr="00000000">
              <w:rPr>
                <w:rtl w:val="0"/>
              </w:rPr>
            </w:r>
          </w:p>
        </w:tc>
      </w:tr>
      <w:tr>
        <w:trPr>
          <w:cantSplit w:val="1"/>
          <w:trHeight w:val="54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Circular office solution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Competitive parity/potential temporary advantage</w:t>
            </w:r>
          </w:p>
        </w:tc>
      </w:tr>
      <w:tr>
        <w:trPr>
          <w:cantSplit w:val="1"/>
          <w:trHeight w:val="54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Digital tracking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Competitive parity</w:t>
            </w:r>
          </w:p>
        </w:tc>
      </w:tr>
      <w:tr>
        <w:trPr>
          <w:cantSplit w:val="1"/>
          <w:trHeight w:val="54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Sustainability reporting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Competitive parity</w:t>
            </w:r>
          </w:p>
        </w:tc>
      </w:tr>
      <w:tr>
        <w:trPr>
          <w:cantSplit w:val="1"/>
          <w:trHeight w:val="54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Local collection network</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Potential temporary advantage</w:t>
            </w:r>
          </w:p>
        </w:tc>
      </w:tr>
      <w:tr>
        <w:trPr>
          <w:cantSplit w:val="1"/>
          <w:trHeight w:val="54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Supplier relationships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Competitive parity</w:t>
            </w:r>
          </w:p>
        </w:tc>
      </w:tr>
      <w:tr>
        <w:trPr>
          <w:cantSplit w:val="1"/>
          <w:trHeight w:val="54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Sustainability expertise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Competitive parity</w:t>
            </w:r>
          </w:p>
        </w:tc>
      </w:tr>
      <w:tr>
        <w:trPr>
          <w:cantSplit w:val="1"/>
          <w:trHeight w:val="54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Customer relationships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Competitive parity</w:t>
            </w:r>
          </w:p>
        </w:tc>
      </w:tr>
      <w:tr>
        <w:trPr>
          <w:cantSplit w:val="1"/>
          <w:trHeight w:val="54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Brand reputation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New-entry weakness</w:t>
            </w:r>
          </w:p>
        </w:tc>
      </w:tr>
    </w:tbl>
    <w:p w:rsidR="00000000" w:rsidDel="00000000" w:rsidP="00000000" w:rsidRDefault="00000000" w:rsidRPr="00000000" w14:paraId="0000025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proposed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£75,000 start-up budget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further indicates that financial resources are constrained and must be allocated selectively.</w:t>
      </w:r>
    </w:p>
    <w:p w:rsidR="00000000" w:rsidDel="00000000" w:rsidP="00000000" w:rsidRDefault="00000000" w:rsidRPr="00000000" w14:paraId="0000025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Critical analysis </w:t>
      </w:r>
    </w:p>
    <w:p w:rsidR="00000000" w:rsidDel="00000000" w:rsidP="00000000" w:rsidRDefault="00000000" w:rsidRPr="00000000" w14:paraId="0000025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EcoLoop's internal resource base is currently greater than what is demonstrated. The £75,000 lean start-up budget is the limiting constraint on financial resources, which restricts the company's ability to build up the same level of assets, geographic reach or purchasing power as mature competitors. Human capital needs to meld together logistics, customer service, sustainability and digital skills – not be split amongst specialist departments. The use of technology is a useful tool for traceability but is not uncommon and easy to copy as other companies are able to acquire similar technology (Khan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2022). Partnerships are an important strategic approach and will lower capital cost, and also expand refurbishment and recycling capacity. Customer relationships can be beneficial due to the knowledge gained and reporting experiences gained, but this only comes after contracts are won. Thus, the best way to get temporary advantage is to have local collection capability and to have integrated operational knowledge. Proprietary customer data and trusted networks, plus consistently better execution (Franzè, Paolucci and Pessot, 2024) would be needed for sustained advantage. An important strategic objective is, therefore, the structuring of resources into a stable operating system and not just resources that can be used for advantage.</w:t>
      </w:r>
    </w:p>
    <w:p w:rsidR="00000000" w:rsidDel="00000000" w:rsidP="00000000" w:rsidRDefault="00000000" w:rsidRPr="00000000" w14:paraId="0000025A">
      <w:pPr>
        <w:pStyle w:val="Heading2"/>
        <w:spacing w:before="200" w:lineRule="auto"/>
        <w:rPr/>
      </w:pPr>
      <w:bookmarkStart w:colFirst="0" w:colLast="0" w:name="_8r8m0ja5bxbl" w:id="65"/>
      <w:bookmarkEnd w:id="65"/>
      <w:r w:rsidDel="00000000" w:rsidR="00000000" w:rsidRPr="00000000">
        <w:rPr>
          <w:rtl w:val="0"/>
        </w:rPr>
        <w:t xml:space="preserve">7.4 SWOT and Strategic Implications</w:t>
      </w:r>
    </w:p>
    <w:p w:rsidR="00000000" w:rsidDel="00000000" w:rsidP="00000000" w:rsidRDefault="00000000" w:rsidRPr="00000000" w14:paraId="0000025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SWOT consolidates the preceding external and internal evidence. Its value lies not simply in listing factors but in identifying strategic combinations that can guide resource allocation and risk control.</w:t>
      </w:r>
    </w:p>
    <w:p w:rsidR="00000000" w:rsidDel="00000000" w:rsidP="00000000" w:rsidRDefault="00000000" w:rsidRPr="00000000" w14:paraId="0000025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12. SWOT Analysis</w:t>
      </w:r>
    </w:p>
    <w:tbl>
      <w:tblPr>
        <w:tblStyle w:val="Table13"/>
        <w:tblW w:w="10740.0" w:type="dxa"/>
        <w:jc w:val="left"/>
        <w:tblInd w:w="-699.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430"/>
        <w:gridCol w:w="8310"/>
        <w:tblGridChange w:id="0">
          <w:tblGrid>
            <w:gridCol w:w="2430"/>
            <w:gridCol w:w="8310"/>
          </w:tblGrid>
        </w:tblGridChange>
      </w:tblGrid>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Category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Key factors</w:t>
            </w:r>
            <w:r w:rsidDel="00000000" w:rsidR="00000000" w:rsidRPr="00000000">
              <w:rPr>
                <w:rtl w:val="0"/>
              </w:rPr>
            </w:r>
          </w:p>
        </w:tc>
      </w:tr>
      <w:tr>
        <w:trPr>
          <w:cantSplit w:val="1"/>
          <w:trHeight w:val="77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Strengths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Proposition for sustainability; positioning as circular economy; potential for recurring revenues; digital tracking/reporting; flexible service model (Ogiemwonyi, 2025).</w:t>
            </w:r>
          </w:p>
        </w:tc>
      </w:tr>
      <w:tr>
        <w:trPr>
          <w:cantSplit w:val="1"/>
          <w:trHeight w:val="104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Weaknesses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New entrant; limited initial resources; limited brand recognition; dependence on external reuse/recycling partners; initial technology and logistics costs (Kanda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2024).</w:t>
            </w:r>
          </w:p>
        </w:tc>
      </w:tr>
      <w:tr>
        <w:trPr>
          <w:cantSplit w:val="1"/>
          <w:trHeight w:val="104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Opportunities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Raising sustainability demands; SMEs' need to outsource sustainability solutions; circular procurement; corporate sustainability reporting; partnerships with offices and property managers (Cooper, 2024).</w:t>
            </w:r>
          </w:p>
        </w:tc>
      </w:tr>
      <w:tr>
        <w:trPr>
          <w:cantSplit w:val="1"/>
          <w:trHeight w:val="104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Threats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Established waste-management firms; price competition; customer switching; regulatory changes; operational disruption; greenwashing concerns (Xu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2025).</w:t>
            </w:r>
          </w:p>
        </w:tc>
      </w:tr>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SO strategy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Combine sustainability expertise and technology to capture demand.</w:t>
            </w:r>
          </w:p>
        </w:tc>
      </w:tr>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WO strategy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Use partnerships to overcome limited financial and operational resources.</w:t>
            </w:r>
          </w:p>
        </w:tc>
      </w:tr>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ST strategy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Differentiate through service reliability and reporting rather than price.</w:t>
            </w:r>
          </w:p>
        </w:tc>
      </w:tr>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WT strategy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Use a phased pilot to minimise financial and operational exposure.</w:t>
            </w:r>
          </w:p>
        </w:tc>
      </w:tr>
    </w:tbl>
    <w:p w:rsidR="00000000" w:rsidDel="00000000" w:rsidP="00000000" w:rsidRDefault="00000000" w:rsidRPr="00000000" w14:paraId="0000026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Critical analysis </w:t>
      </w:r>
    </w:p>
    <w:p w:rsidR="00000000" w:rsidDel="00000000" w:rsidP="00000000" w:rsidRDefault="00000000" w:rsidRPr="00000000" w14:paraId="0000027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SWOT evidence shows that the best strategic fit for EcoLoop is a circular approach combined with digital transparency, but that potential benefit is limited by the small scale of use and a lack of recognition and trust of the brand with customers. While positioning as a circular economy can be a differentiator, sustainability is not enough to add value to customers (Ogiemwonyi 2025). Cooper (2024) also shows that integrating sustainability into procurement can enhance strategic alignment, but that does not mean that procurement commitment turns into adoption. Based on 70 circular new ventures identified, Kanda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(2024) point out the operational and commercial challenges encountered in the development of viable circular business models. EcoLoop should thus refrain from making significant fixed investments until the demand is confirmed. Relations with partners can overcome resource constraints by offering logistics, refurbishment and recycling services; a good service and reporting system can enhance the differentiation. What's more, Xu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(2025) point out that greenwashing has market implications, which further underscores the importance of credible environmental evidence. The willingness to pay, retention, collection economics and operational reliability should therefore be tested through a phased pilot before scaling.</w:t>
      </w:r>
    </w:p>
    <w:p w:rsidR="00000000" w:rsidDel="00000000" w:rsidP="00000000" w:rsidRDefault="00000000" w:rsidRPr="00000000" w14:paraId="00000271">
      <w:pPr>
        <w:pStyle w:val="Heading2"/>
        <w:spacing w:before="200" w:lineRule="auto"/>
        <w:rPr/>
      </w:pPr>
      <w:bookmarkStart w:colFirst="0" w:colLast="0" w:name="_qq47lqvd4kot" w:id="66"/>
      <w:bookmarkEnd w:id="66"/>
      <w:r w:rsidDel="00000000" w:rsidR="00000000" w:rsidRPr="00000000">
        <w:rPr>
          <w:rtl w:val="0"/>
        </w:rPr>
        <w:t xml:space="preserve">7.5 Strategic Choice</w:t>
      </w:r>
    </w:p>
    <w:p w:rsidR="00000000" w:rsidDel="00000000" w:rsidP="00000000" w:rsidRDefault="00000000" w:rsidRPr="00000000" w14:paraId="0000027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most logical strategic option is focused differentiation, as there is no need for a cost-leading strategy when a circular strategy is not scalable for EcoLoop, but it can be measured and attainable through specialist service design. It is recommended that the initial segment be SMEs and medium sized organisations rather than the total population of businesses, who have varying office needs. This focus is strategically warranted because of the widespread adoption of hybrid working, and the fact that ONS has identified 2.73M VAT/PAYE businesses, which are broad but do not necessarily represent demand that can be addressed (Business Registers Strategy and Outputs team, 2025). EcoLoop should therefore focus on companies undergoing a change in ownership, such as relocations, expansions, downsizing, and refurbishment, as there may be stranded assets and disposal requirements.</w:t>
      </w:r>
    </w:p>
    <w:p w:rsidR="00000000" w:rsidDel="00000000" w:rsidP="00000000" w:rsidRDefault="00000000" w:rsidRPr="00000000" w14:paraId="0000027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differentiation should be based on a comprehensive proposition that covers collection, reuse and refurbishment/recycling coordination, digital traceability, maintenance and sustainability reporting. The goal is to go on lifecycle value, not lowest price. The concept of cost leadership seems to be structurally impossible as the established operators have large-scale, strong procurement influence, logistics, and a loyal customer base (Pesce and Neirotti, 2023). Rather than adding switching value, EcoLoop should focus on providing convenient services, reliable service, transparency and commitment to providing reporting to the customer based on their specific needs.</w:t>
      </w:r>
    </w:p>
    <w:p w:rsidR="00000000" w:rsidDel="00000000" w:rsidP="00000000" w:rsidRDefault="00000000" w:rsidRPr="00000000" w14:paraId="0000027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strategy should also be regionally focused. This is suitable for a London-led pilot as it is identified that there is good office activity and fit out pressures, however, there is no automatic right to expand due to geographic density. However, reverse logistics can negatively impact the margins if the distances traveled for collecting, cost of storage and processing increase (Jenkins, 2024). Pilot, validate, standardise and scale, then, is therefore the recommended sequence. The pilot should evaluate customer acquisition, retention, contribution margin and collection reliability and resource utilisation, before a significant fixed investment is committed.</w:t>
      </w:r>
    </w:p>
    <w:p w:rsidR="00000000" w:rsidDel="00000000" w:rsidP="00000000" w:rsidRDefault="00000000" w:rsidRPr="00000000" w14:paraId="00000275">
      <w:pPr>
        <w:pStyle w:val="Heading2"/>
        <w:spacing w:before="200" w:lineRule="auto"/>
        <w:rPr/>
      </w:pPr>
      <w:bookmarkStart w:colFirst="0" w:colLast="0" w:name="_ys9hzrloqcuo" w:id="67"/>
      <w:bookmarkEnd w:id="67"/>
      <w:r w:rsidDel="00000000" w:rsidR="00000000" w:rsidRPr="00000000">
        <w:rPr>
          <w:rtl w:val="0"/>
        </w:rPr>
        <w:t xml:space="preserve">7.6 USP and Value Proposition</w:t>
      </w:r>
    </w:p>
    <w:p w:rsidR="00000000" w:rsidDel="00000000" w:rsidP="00000000" w:rsidRDefault="00000000" w:rsidRPr="00000000" w14:paraId="0000027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EcoLoop's proposed USP is: “The convenient collection of office resources, multi-purpose re-use, recycling and measurable sustainability reporting.” The proposition is a mixture of four types of value. The functional value is created by Collection, Sorting, Reuse, Recycling and Digital Monitoring. Economic value can be derived from better use of resources, potential savings on waste and sustainability management costs (outsourcing) (Sala-Garrido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2024). Environmental value is related to the diversion of material from the disposal stream and to the increase of the lifespan of resources, reputational value is related to evidence-based sustainability reporting.</w:t>
      </w:r>
    </w:p>
    <w:p w:rsidR="00000000" w:rsidDel="00000000" w:rsidP="00000000" w:rsidRDefault="00000000" w:rsidRPr="00000000" w14:paraId="0000027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proposition is a solution to a significant problem of resource management. The scale of the challenge is demonstrated by the amount of commercial and industrial waste that England produced in 2023, which was 32.6 million tonnes, but is not indicative of demand for EcoLoop (Government of UK, 2024). As of March 2025, there were 2.73 million VAT and/or PAYE businesses in the UK, which is not the UK's addressable market for EcoLoop (ONS, 2025). Thus the USP needs to be targeted at actual customer results instead of the general sustainability statements.</w:t>
      </w:r>
    </w:p>
    <w:p w:rsidR="00000000" w:rsidDel="00000000" w:rsidP="00000000" w:rsidRDefault="00000000" w:rsidRPr="00000000" w14:paraId="0000027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However, sustainability alone is not defensible since other people can copy circular services and customers can choose to buy goods instead of repair, rent or refurbish or to switch to incumbent waste-management contracts (Huis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2026). Convenience, technology, and measurable data should be a part of EcoLoop. Customers should have the option to make collections, monitor the outcome of the usage of resources and receive credible impact reports. Collection reliability, reuse, satisfaction, retention, cost per collection should be used for validating the USP.</w:t>
      </w:r>
    </w:p>
    <w:p w:rsidR="00000000" w:rsidDel="00000000" w:rsidP="00000000" w:rsidRDefault="00000000" w:rsidRPr="00000000" w14:paraId="00000279">
      <w:pPr>
        <w:pStyle w:val="Heading2"/>
        <w:spacing w:before="200" w:lineRule="auto"/>
        <w:rPr/>
      </w:pPr>
      <w:bookmarkStart w:colFirst="0" w:colLast="0" w:name="_pddq4oaij6gq" w:id="68"/>
      <w:bookmarkEnd w:id="68"/>
      <w:r w:rsidDel="00000000" w:rsidR="00000000" w:rsidRPr="00000000">
        <w:rPr>
          <w:rtl w:val="0"/>
        </w:rPr>
        <w:t xml:space="preserve">7.7 Competitive Advantage</w:t>
      </w:r>
    </w:p>
    <w:p w:rsidR="00000000" w:rsidDel="00000000" w:rsidP="00000000" w:rsidRDefault="00000000" w:rsidRPr="00000000" w14:paraId="0000027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EcoLoop's competitive edge should come from six capabilities that are interrelated: integrated circular service delivery, digital tracking, sustainability-impact reporting, flexible SME packages, local partnerships and customer specific recommendations. None is not necessarily rare on its own; competitors can do similar features. What is good is the way they are "packaged" together into a service system. Digital records enhance the reporting process, partnerships increase the potential for reuse, while customer data helps to provide customised recommendations (Wang, Wang and Liu, 2025). This makes it harder to imitate, but doesn't necessarily secure the advantage. So, competitive advantage will only be achieved if the operations are reliable, knowledge of customers is built up and they are executed at a low cost.</w:t>
      </w:r>
    </w:p>
    <w:p w:rsidR="00000000" w:rsidDel="00000000" w:rsidP="00000000" w:rsidRDefault="00000000" w:rsidRPr="00000000" w14:paraId="0000027B">
      <w:pPr>
        <w:pStyle w:val="Heading2"/>
        <w:spacing w:before="200" w:lineRule="auto"/>
        <w:rPr/>
      </w:pPr>
      <w:bookmarkStart w:colFirst="0" w:colLast="0" w:name="_a0xxezmnx4c4" w:id="69"/>
      <w:bookmarkEnd w:id="69"/>
      <w:r w:rsidDel="00000000" w:rsidR="00000000" w:rsidRPr="00000000">
        <w:rPr>
          <w:rtl w:val="0"/>
        </w:rPr>
        <w:t xml:space="preserve">7.8 Key Success Factors</w:t>
      </w:r>
    </w:p>
    <w:p w:rsidR="00000000" w:rsidDel="00000000" w:rsidP="00000000" w:rsidRDefault="00000000" w:rsidRPr="00000000" w14:paraId="0000027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key to success is having reliable collections, competitive pricing, customer acquisition and retention, strong reuse/recycling partnerships, reliable technology, capable employees, measurable environmental outcomes, customer satisfaction, and positive cash flow. These should be made operational KPIs and linked directly to the Business Model Canvas, financial plan and operations plan and implementation programme. The test of the strategy is straightforward: EcoLoop has to prove that circularity enhances customer value while leaving the economics of logistics, processing and servicing intact.</w:t>
      </w:r>
    </w:p>
    <w:p w:rsidR="00000000" w:rsidDel="00000000" w:rsidP="00000000" w:rsidRDefault="00000000" w:rsidRPr="00000000" w14:paraId="0000027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7E">
      <w:pPr>
        <w:pStyle w:val="Heading1"/>
        <w:spacing w:before="200" w:lineRule="auto"/>
        <w:rPr/>
      </w:pPr>
      <w:bookmarkStart w:colFirst="0" w:colLast="0" w:name="_gxglcvldk5zl" w:id="70"/>
      <w:bookmarkEnd w:id="70"/>
      <w:r w:rsidDel="00000000" w:rsidR="00000000" w:rsidRPr="00000000">
        <w:br w:type="page"/>
      </w:r>
      <w:r w:rsidDel="00000000" w:rsidR="00000000" w:rsidRPr="00000000">
        <w:rPr>
          <w:rtl w:val="0"/>
        </w:rPr>
      </w:r>
    </w:p>
    <w:p w:rsidR="00000000" w:rsidDel="00000000" w:rsidP="00000000" w:rsidRDefault="00000000" w:rsidRPr="00000000" w14:paraId="0000027F">
      <w:pPr>
        <w:pStyle w:val="Heading1"/>
        <w:spacing w:before="200" w:lineRule="auto"/>
        <w:rPr/>
      </w:pPr>
      <w:bookmarkStart w:colFirst="0" w:colLast="0" w:name="_e645748znlui" w:id="71"/>
      <w:bookmarkEnd w:id="71"/>
      <w:r w:rsidDel="00000000" w:rsidR="00000000" w:rsidRPr="00000000">
        <w:rPr>
          <w:rtl w:val="0"/>
        </w:rPr>
        <w:t xml:space="preserve">Chapter 8. Business Model Canvas</w:t>
      </w:r>
    </w:p>
    <w:p w:rsidR="00000000" w:rsidDel="00000000" w:rsidP="00000000" w:rsidRDefault="00000000" w:rsidRPr="00000000" w14:paraId="00000280">
      <w:pPr>
        <w:pStyle w:val="Heading2"/>
        <w:keepNext w:val="0"/>
        <w:keepLines w:val="0"/>
        <w:spacing w:before="200" w:lineRule="auto"/>
        <w:rPr/>
      </w:pPr>
      <w:bookmarkStart w:colFirst="0" w:colLast="0" w:name="_5hodoa3sd4zq" w:id="72"/>
      <w:bookmarkEnd w:id="72"/>
      <w:r w:rsidDel="00000000" w:rsidR="00000000" w:rsidRPr="00000000">
        <w:rPr>
          <w:rtl w:val="0"/>
        </w:rPr>
        <w:t xml:space="preserve">8.1 BMC Introduction</w:t>
      </w:r>
    </w:p>
    <w:p w:rsidR="00000000" w:rsidDel="00000000" w:rsidP="00000000" w:rsidRDefault="00000000" w:rsidRPr="00000000" w14:paraId="0000028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EcoLoop Office approach to focus-differentiation has been presented in the Business Model Canvas (BMC) which portrays the integrated creation, delivery and capture of value. It brings together the customer's problem (inefficient office resource and waste management) and collection, reuse, recycling and digital reporting. In 2023, England produced approximately 32.6 million tonnes of commercial and industrial waste, which presents a significant challenge for the management of resources. (Government of UK, 2024c) The BMC thus establishes commercial viability for all the 9 components against environmental value.</w:t>
      </w:r>
    </w:p>
    <w:p w:rsidR="00000000" w:rsidDel="00000000" w:rsidP="00000000" w:rsidRDefault="00000000" w:rsidRPr="00000000" w14:paraId="00000282">
      <w:pPr>
        <w:pStyle w:val="Heading2"/>
        <w:keepNext w:val="0"/>
        <w:keepLines w:val="0"/>
        <w:spacing w:before="200" w:lineRule="auto"/>
        <w:rPr/>
      </w:pPr>
      <w:bookmarkStart w:colFirst="0" w:colLast="0" w:name="_qmblthhmdq3m" w:id="73"/>
      <w:bookmarkEnd w:id="73"/>
      <w:r w:rsidDel="00000000" w:rsidR="00000000" w:rsidRPr="00000000">
        <w:rPr>
          <w:rtl w:val="0"/>
        </w:rPr>
        <w:t xml:space="preserve">8.2 Customer Segments</w:t>
      </w:r>
    </w:p>
    <w:p w:rsidR="00000000" w:rsidDel="00000000" w:rsidP="00000000" w:rsidRDefault="00000000" w:rsidRPr="00000000" w14:paraId="0000028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EcoLoop should focus on SMEs and medium sized offices as this is a large market segment with the possibility of unmet demand for standardised waste services. As at the beginning of 2024, there were some 5.49 million SMEs in the UK, which comprised nearly 99.8% of private-sector businesses, though SMEs in the UK accounted for about 60% of private-sector employment and 52% of turnover (Government of UK, 2024a). But 74% of businesses were owned by business people only, and those that reported having employees other than business people were far less frequently smaller businesses. Higher numbers of smaller businesses were found in hotels and motels, driving services, and manufacturing, while gaming and retail trade had the fewest, (OECD, 2026). EcoLoop should thus adopt the strategy of engaging organisations. Other secondary segments comprise co-working spaces, educational organisations, professional-services firms and office/property managers.</w:t>
      </w:r>
    </w:p>
    <w:p w:rsidR="00000000" w:rsidDel="00000000" w:rsidP="00000000" w:rsidRDefault="00000000" w:rsidRPr="00000000" w14:paraId="00000284">
      <w:pPr>
        <w:pStyle w:val="Heading2"/>
        <w:keepNext w:val="0"/>
        <w:keepLines w:val="0"/>
        <w:spacing w:before="200" w:lineRule="auto"/>
        <w:rPr/>
      </w:pPr>
      <w:bookmarkStart w:colFirst="0" w:colLast="0" w:name="_2lwjq5sjertt" w:id="74"/>
      <w:bookmarkEnd w:id="74"/>
      <w:r w:rsidDel="00000000" w:rsidR="00000000" w:rsidRPr="00000000">
        <w:rPr>
          <w:rtl w:val="0"/>
        </w:rPr>
        <w:t xml:space="preserve">8.3 Value Proposition</w:t>
      </w:r>
    </w:p>
    <w:p w:rsidR="00000000" w:rsidDel="00000000" w:rsidP="00000000" w:rsidRDefault="00000000" w:rsidRPr="00000000" w14:paraId="0000028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offer from EcoLoop need not be limited to “recycling,” but also integrated circular-office service. Customers enjoy convenient collection and reuse/recycling, digital tracking and sustainability reporting (Eslamipoor 2026). It will create functional value as it will decrease administrative burden and information value from collection activities by collecting them in measurable sustainability data. The UK recycling rate for household waste remains at 44.6% for 2023, and the commercial and institutional waste is still a significant amount (Green Space Innovations, 2025). By identifying what happens to resources after collection, EcoLoop can differentiate by demonstrating what is happening to the resources themselves after they leave the collection system. An environmental claim can however not be targeted, but substantiated with evidence, or else it risks becoming "green washed.</w:t>
      </w:r>
    </w:p>
    <w:p w:rsidR="00000000" w:rsidDel="00000000" w:rsidP="00000000" w:rsidRDefault="00000000" w:rsidRPr="00000000" w14:paraId="00000286">
      <w:pPr>
        <w:pStyle w:val="Heading2"/>
        <w:keepNext w:val="0"/>
        <w:keepLines w:val="0"/>
        <w:spacing w:before="200" w:lineRule="auto"/>
        <w:rPr/>
      </w:pPr>
      <w:bookmarkStart w:colFirst="0" w:colLast="0" w:name="_3ob5l0f1w7x4" w:id="75"/>
      <w:bookmarkEnd w:id="75"/>
      <w:r w:rsidDel="00000000" w:rsidR="00000000" w:rsidRPr="00000000">
        <w:rPr>
          <w:rtl w:val="0"/>
        </w:rPr>
        <w:t xml:space="preserve">8.4 Channels</w:t>
      </w:r>
    </w:p>
    <w:p w:rsidR="00000000" w:rsidDel="00000000" w:rsidP="00000000" w:rsidRDefault="00000000" w:rsidRPr="00000000" w14:paraId="0000028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Selling major items through a digitized and a B2B route (Shonubi, 2025) should be favored for the adoption of EcoLoop. Direct sales will be able to recognize the position, which has an appropriate amount of waste, and the website will help answer questions, sustainability evaluation and offer quotations (Shonubi, 2025). Target Office Managers, Operations Managers, Sustainability Decision makers – with Linkedin and Email marketing. Credibility can be garnered from the hosting of sustainability events and networks of businesses. This is the better way to do things instead of digital advertising alone due to the need for trust during operational change.</w:t>
      </w:r>
    </w:p>
    <w:p w:rsidR="00000000" w:rsidDel="00000000" w:rsidP="00000000" w:rsidRDefault="00000000" w:rsidRPr="00000000" w14:paraId="00000288">
      <w:pPr>
        <w:pStyle w:val="Heading2"/>
        <w:keepNext w:val="0"/>
        <w:keepLines w:val="0"/>
        <w:spacing w:before="200" w:lineRule="auto"/>
        <w:rPr/>
      </w:pPr>
      <w:bookmarkStart w:colFirst="0" w:colLast="0" w:name="_k04q35onkbw9" w:id="76"/>
      <w:bookmarkEnd w:id="76"/>
      <w:r w:rsidDel="00000000" w:rsidR="00000000" w:rsidRPr="00000000">
        <w:rPr>
          <w:rtl w:val="0"/>
        </w:rPr>
        <w:t xml:space="preserve">8.5 Customer Relationships</w:t>
      </w:r>
    </w:p>
    <w:p w:rsidR="00000000" w:rsidDel="00000000" w:rsidP="00000000" w:rsidRDefault="00000000" w:rsidRPr="00000000" w14:paraId="0000028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Relationships should be consultative and not transactional. EcoLoop should start by conducting an office sustainability assessment, to be followed by on boarding, regular collections, ongoing account management and regular impact reporting to the European Commission (2026). Outcomes of collection volumes and re-use and re-cycling can be reported on a dashboard. This can help bolster retention via amassed service records and reports. What should be at the core of the renewal process is not the environmental message. It should be all about reliability and the actual value to the customer.</w:t>
      </w:r>
    </w:p>
    <w:p w:rsidR="00000000" w:rsidDel="00000000" w:rsidP="00000000" w:rsidRDefault="00000000" w:rsidRPr="00000000" w14:paraId="0000028A">
      <w:pPr>
        <w:pStyle w:val="Heading2"/>
        <w:keepNext w:val="0"/>
        <w:keepLines w:val="0"/>
        <w:spacing w:before="200" w:lineRule="auto"/>
        <w:rPr/>
      </w:pPr>
      <w:bookmarkStart w:colFirst="0" w:colLast="0" w:name="_xyp9129w0gef" w:id="77"/>
      <w:bookmarkEnd w:id="77"/>
      <w:r w:rsidDel="00000000" w:rsidR="00000000" w:rsidRPr="00000000">
        <w:rPr>
          <w:rtl w:val="0"/>
        </w:rPr>
        <w:t xml:space="preserve">8.6 Revenue Streams</w:t>
      </w:r>
    </w:p>
    <w:p w:rsidR="00000000" w:rsidDel="00000000" w:rsidP="00000000" w:rsidRDefault="00000000" w:rsidRPr="00000000" w14:paraId="0000028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revenue model should bring in periodic revenues, usage and value added revenues. Predictable monthly recurring revenue to invest in collection infrastructure, technology and staff. There are various ways to determine the collection fees; fees can be lower or higher depending on the volume, or based on the frequency of collection, similar to the cost of the operation (Lamichhane, Lama and Lopchan, 2024). Delivers options like premium sustainability analytics for customers that need to provide detailed reports, or consultancy that can convert office audits and improvement plans (PwC, 2025). Corporate contracts are available in larger companies. </w:t>
      </w:r>
    </w:p>
    <w:p w:rsidR="00000000" w:rsidDel="00000000" w:rsidP="00000000" w:rsidRDefault="00000000" w:rsidRPr="00000000" w14:paraId="0000028C">
      <w:pPr>
        <w:pStyle w:val="Heading2"/>
        <w:keepNext w:val="0"/>
        <w:keepLines w:val="0"/>
        <w:spacing w:before="200" w:lineRule="auto"/>
        <w:rPr/>
      </w:pPr>
      <w:bookmarkStart w:colFirst="0" w:colLast="0" w:name="_aam0j4ma0a28" w:id="78"/>
      <w:bookmarkEnd w:id="78"/>
      <w:r w:rsidDel="00000000" w:rsidR="00000000" w:rsidRPr="00000000">
        <w:rPr>
          <w:rtl w:val="0"/>
        </w:rPr>
        <w:t xml:space="preserve">8.7 Key Resources</w:t>
      </w:r>
    </w:p>
    <w:p w:rsidR="00000000" w:rsidDel="00000000" w:rsidP="00000000" w:rsidRDefault="00000000" w:rsidRPr="00000000" w14:paraId="0000028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human resources, Digital Platform, Collection Systems, Logistics Capacity, Customer Data, Brand Reputation, Supply Chain and Sustainability expertise are the key resources (Kam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2026). A sustained competitive advantage won't necessarily be obtained through technology as similar technologies are possible to buy from a competitor. Therefore, EcoLoop needs to put technology together with business know-how, and together with the knowledge of customers and partnerships.</w:t>
      </w:r>
    </w:p>
    <w:p w:rsidR="00000000" w:rsidDel="00000000" w:rsidP="00000000" w:rsidRDefault="00000000" w:rsidRPr="00000000" w14:paraId="0000028E">
      <w:pPr>
        <w:pStyle w:val="Heading2"/>
        <w:keepNext w:val="0"/>
        <w:keepLines w:val="0"/>
        <w:spacing w:before="200" w:lineRule="auto"/>
        <w:rPr/>
      </w:pPr>
      <w:bookmarkStart w:colFirst="0" w:colLast="0" w:name="_sw7o59bfg9m4" w:id="79"/>
      <w:bookmarkEnd w:id="79"/>
      <w:r w:rsidDel="00000000" w:rsidR="00000000" w:rsidRPr="00000000">
        <w:rPr>
          <w:rtl w:val="0"/>
        </w:rPr>
        <w:t xml:space="preserve">8.8 Key Activities</w:t>
      </w:r>
    </w:p>
    <w:p w:rsidR="00000000" w:rsidDel="00000000" w:rsidP="00000000" w:rsidRDefault="00000000" w:rsidRPr="00000000" w14:paraId="0000028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Core activities are: (i) Customer acquisition, (ii) Office and resource assessment, (iii) Collection, (iv) Sorting, (v) Coordination for reuse and recycling, (vi) Data management and (vii) Reporting of impacts and maintenance of good customer service (Petropoulos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2025). If the activities are involved they need to be reinforcing the value proposition. Inaccurate data capture is especially significant since this impacts customer loyalty and segmentation if data is generated inaccurately.</w:t>
      </w:r>
    </w:p>
    <w:p w:rsidR="00000000" w:rsidDel="00000000" w:rsidP="00000000" w:rsidRDefault="00000000" w:rsidRPr="00000000" w14:paraId="00000290">
      <w:pPr>
        <w:pStyle w:val="Heading2"/>
        <w:keepNext w:val="0"/>
        <w:keepLines w:val="0"/>
        <w:spacing w:before="200" w:lineRule="auto"/>
        <w:rPr/>
      </w:pPr>
      <w:bookmarkStart w:colFirst="0" w:colLast="0" w:name="_e6wttrlgg1kj" w:id="80"/>
      <w:bookmarkEnd w:id="80"/>
      <w:r w:rsidDel="00000000" w:rsidR="00000000" w:rsidRPr="00000000">
        <w:rPr>
          <w:rtl w:val="0"/>
        </w:rPr>
        <w:t xml:space="preserve">8.9 Key Partnerships</w:t>
      </w:r>
    </w:p>
    <w:p w:rsidR="00000000" w:rsidDel="00000000" w:rsidP="00000000" w:rsidRDefault="00000000" w:rsidRPr="00000000" w14:paraId="0000029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By forming partnerships with recycling partners, reuse/refurbishment partners, logistics providers, technology suppliers, office landlords and sustainability specialists, EcoLoop enjoys access to capabilities without owning the entire value chain supply (Bals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2024). Nigeria should therefore seek to assess its critical suppliers for reliability, compliance, environmental performance and cost, and find alternative suppliers if it can.</w:t>
      </w:r>
    </w:p>
    <w:p w:rsidR="00000000" w:rsidDel="00000000" w:rsidP="00000000" w:rsidRDefault="00000000" w:rsidRPr="00000000" w14:paraId="00000292">
      <w:pPr>
        <w:pStyle w:val="Heading2"/>
        <w:keepNext w:val="0"/>
        <w:keepLines w:val="0"/>
        <w:spacing w:before="200" w:lineRule="auto"/>
        <w:rPr/>
      </w:pPr>
      <w:bookmarkStart w:colFirst="0" w:colLast="0" w:name="_pbwi2dv539ai" w:id="81"/>
      <w:bookmarkEnd w:id="81"/>
      <w:r w:rsidDel="00000000" w:rsidR="00000000" w:rsidRPr="00000000">
        <w:rPr>
          <w:rtl w:val="0"/>
        </w:rPr>
        <w:t xml:space="preserve">8.10 Cost Structure</w:t>
      </w:r>
    </w:p>
    <w:p w:rsidR="00000000" w:rsidDel="00000000" w:rsidP="00000000" w:rsidRDefault="00000000" w:rsidRPr="00000000" w14:paraId="0000029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fixed costs should include the salaries, technology, insurance, administration and storage costs, while the variable costs should involve logistics, processing, packaging costs, and fees paid to partners and costs of acquiring customers (Mostafa, Moustafa and Elshaer, 2023). The pilot needs to keep a core, low fixed cost initial base and build up variable capacity based on customers. This will help keep your cash flow intact and remain scalable with a differentiated service.</w:t>
      </w:r>
    </w:p>
    <w:p w:rsidR="00000000" w:rsidDel="00000000" w:rsidP="00000000" w:rsidRDefault="00000000" w:rsidRPr="00000000" w14:paraId="0000029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295">
      <w:pPr>
        <w:pStyle w:val="Heading1"/>
        <w:spacing w:before="200" w:lineRule="auto"/>
        <w:rPr/>
      </w:pPr>
      <w:bookmarkStart w:colFirst="0" w:colLast="0" w:name="_pxa1db2qsrv1" w:id="82"/>
      <w:bookmarkEnd w:id="82"/>
      <w:r w:rsidDel="00000000" w:rsidR="00000000" w:rsidRPr="00000000">
        <w:br w:type="page"/>
      </w:r>
      <w:r w:rsidDel="00000000" w:rsidR="00000000" w:rsidRPr="00000000">
        <w:rPr>
          <w:rtl w:val="0"/>
        </w:rPr>
      </w:r>
    </w:p>
    <w:p w:rsidR="00000000" w:rsidDel="00000000" w:rsidP="00000000" w:rsidRDefault="00000000" w:rsidRPr="00000000" w14:paraId="00000296">
      <w:pPr>
        <w:pStyle w:val="Heading1"/>
        <w:spacing w:before="200" w:lineRule="auto"/>
        <w:rPr/>
      </w:pPr>
      <w:bookmarkStart w:colFirst="0" w:colLast="0" w:name="_p8x4rorg7hyn" w:id="83"/>
      <w:bookmarkEnd w:id="83"/>
      <w:r w:rsidDel="00000000" w:rsidR="00000000" w:rsidRPr="00000000">
        <w:rPr>
          <w:rtl w:val="0"/>
        </w:rPr>
        <w:t xml:space="preserve">Chapter 9. Financial, Marketing &amp; Human Capital Management Plan</w:t>
      </w:r>
    </w:p>
    <w:p w:rsidR="00000000" w:rsidDel="00000000" w:rsidP="00000000" w:rsidRDefault="00000000" w:rsidRPr="00000000" w14:paraId="00000297">
      <w:pPr>
        <w:pStyle w:val="Heading2"/>
        <w:spacing w:before="200" w:lineRule="auto"/>
        <w:rPr/>
      </w:pPr>
      <w:bookmarkStart w:colFirst="0" w:colLast="0" w:name="_tvhe3348pyeu" w:id="84"/>
      <w:bookmarkEnd w:id="84"/>
      <w:r w:rsidDel="00000000" w:rsidR="00000000" w:rsidRPr="00000000">
        <w:rPr>
          <w:rtl w:val="0"/>
        </w:rPr>
        <w:t xml:space="preserve">9.1 Financial Plan</w:t>
      </w:r>
    </w:p>
    <w:p w:rsidR="00000000" w:rsidDel="00000000" w:rsidP="00000000" w:rsidRDefault="00000000" w:rsidRPr="00000000" w14:paraId="00000298">
      <w:pPr>
        <w:pStyle w:val="Heading3"/>
        <w:rPr/>
      </w:pPr>
      <w:bookmarkStart w:colFirst="0" w:colLast="0" w:name="_ellfxm6v85sp" w:id="85"/>
      <w:bookmarkEnd w:id="85"/>
      <w:r w:rsidDel="00000000" w:rsidR="00000000" w:rsidRPr="00000000">
        <w:rPr>
          <w:rtl w:val="0"/>
        </w:rPr>
        <w:t xml:space="preserve">9.1.1 Financial Strategy</w:t>
      </w:r>
    </w:p>
    <w:p w:rsidR="00000000" w:rsidDel="00000000" w:rsidP="00000000" w:rsidRDefault="00000000" w:rsidRPr="00000000" w14:paraId="0000029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EcoLoop Office's financial approach should be to maintain steady growth while minimizing the chance of undue fixed cost exposure for the first time in the market. The opportunity for business is remarkable; in the UK there were 5.69 million private sector businesses at the beginning of 2025, 99.85% of these were SMEs and 60% of employment was done by SMEs (Buckley, 2023). However, most of the firms are non-employers and it would be better to focus not on the entire SME population but on the employer businesses. In 2023, within England alone, 32.6 million tonnes of commercial and industrial waste were produced (Market Data Forecast, 2024).</w:t>
      </w:r>
    </w:p>
    <w:p w:rsidR="00000000" w:rsidDel="00000000" w:rsidP="00000000" w:rsidRDefault="00000000" w:rsidRPr="00000000" w14:paraId="0000029A">
      <w:pPr>
        <w:pStyle w:val="Heading3"/>
        <w:rPr/>
      </w:pPr>
      <w:bookmarkStart w:colFirst="0" w:colLast="0" w:name="_5oyq2a8wzwob" w:id="86"/>
      <w:bookmarkEnd w:id="86"/>
      <w:r w:rsidDel="00000000" w:rsidR="00000000" w:rsidRPr="00000000">
        <w:rPr>
          <w:rtl w:val="0"/>
        </w:rPr>
        <w:t xml:space="preserve">9.1.2 Start-Up Costs</w:t>
      </w:r>
    </w:p>
    <w:p w:rsidR="00000000" w:rsidDel="00000000" w:rsidP="00000000" w:rsidRDefault="00000000" w:rsidRPr="00000000" w14:paraId="0000029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 lean launch budget of approximately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£75,000</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is proposed. These are planning assumptions rather than supplier quotations and should be validated during the pilot.</w:t>
      </w:r>
    </w:p>
    <w:p w:rsidR="00000000" w:rsidDel="00000000" w:rsidP="00000000" w:rsidRDefault="00000000" w:rsidRPr="00000000" w14:paraId="0000029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13. Start-up Costs</w:t>
      </w:r>
    </w:p>
    <w:tbl>
      <w:tblPr>
        <w:tblStyle w:val="Table14"/>
        <w:tblW w:w="4900.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170"/>
        <w:gridCol w:w="1730"/>
        <w:tblGridChange w:id="0">
          <w:tblGrid>
            <w:gridCol w:w="3170"/>
            <w:gridCol w:w="1730"/>
          </w:tblGrid>
        </w:tblGridChange>
      </w:tblGrid>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Item</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Estimated cost</w:t>
            </w:r>
            <w:r w:rsidDel="00000000" w:rsidR="00000000" w:rsidRPr="00000000">
              <w:rPr>
                <w:rtl w:val="0"/>
              </w:rPr>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Digital platform/CRM</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£12,000</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A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Website/e-commerce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£4,000</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Collection equipment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£8,000</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Vehicle/logistics setup</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A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£18,000</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Branding and launch materials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£3,500</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A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Insurance and compliance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A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£4,500</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A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Legal/accounting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A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£3,000</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A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Initial marketing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£7,000</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A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Working capital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B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£15,000</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B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Total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B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£75,000</w:t>
            </w:r>
            <w:r w:rsidDel="00000000" w:rsidR="00000000" w:rsidRPr="00000000">
              <w:rPr>
                <w:rtl w:val="0"/>
              </w:rPr>
            </w:r>
          </w:p>
        </w:tc>
      </w:tr>
    </w:tbl>
    <w:p w:rsidR="00000000" w:rsidDel="00000000" w:rsidP="00000000" w:rsidRDefault="00000000" w:rsidRPr="00000000" w14:paraId="000002B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Self-Created</w:t>
      </w:r>
    </w:p>
    <w:p w:rsidR="00000000" w:rsidDel="00000000" w:rsidP="00000000" w:rsidRDefault="00000000" w:rsidRPr="00000000" w14:paraId="000002B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relatively high allocation for logistics is in fact because the physical collection becomes the pivot of the value proposition, and working capital is a buffer to the likelihood of delays in the receipt of B2B payments and variability in earnings from the B2B side. This means cost assumptions should also account for contingency because UK CPI is currently at 2.6% and these costs are constantly changing, not static (Office for National Statistics, 2026).</w:t>
      </w:r>
    </w:p>
    <w:p w:rsidR="00000000" w:rsidDel="00000000" w:rsidP="00000000" w:rsidRDefault="00000000" w:rsidRPr="00000000" w14:paraId="000002B5">
      <w:pPr>
        <w:pStyle w:val="Heading3"/>
        <w:rPr/>
      </w:pPr>
      <w:bookmarkStart w:colFirst="0" w:colLast="0" w:name="_3wtonpw6yd4u" w:id="87"/>
      <w:bookmarkEnd w:id="87"/>
      <w:r w:rsidDel="00000000" w:rsidR="00000000" w:rsidRPr="00000000">
        <w:rPr>
          <w:rtl w:val="0"/>
        </w:rPr>
        <w:t xml:space="preserve">9.1.3 Revenue Model</w:t>
      </w:r>
    </w:p>
    <w:p w:rsidR="00000000" w:rsidDel="00000000" w:rsidP="00000000" w:rsidRDefault="00000000" w:rsidRPr="00000000" w14:paraId="000002B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proposed model combines predictable subscription income with usage-based and higher-margin services.</w:t>
      </w:r>
    </w:p>
    <w:p w:rsidR="00000000" w:rsidDel="00000000" w:rsidP="00000000" w:rsidRDefault="00000000" w:rsidRPr="00000000" w14:paraId="000002B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14. Revenue Model</w:t>
      </w:r>
    </w:p>
    <w:tbl>
      <w:tblPr>
        <w:tblStyle w:val="Table15"/>
        <w:tblW w:w="8190.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530"/>
        <w:gridCol w:w="3360"/>
        <w:gridCol w:w="3300"/>
        <w:tblGridChange w:id="0">
          <w:tblGrid>
            <w:gridCol w:w="1530"/>
            <w:gridCol w:w="3360"/>
            <w:gridCol w:w="3300"/>
          </w:tblGrid>
        </w:tblGridChange>
      </w:tblGrid>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Package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Target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Indicative price/month</w:t>
            </w:r>
            <w:r w:rsidDel="00000000" w:rsidR="00000000" w:rsidRPr="00000000">
              <w:rPr>
                <w:rtl w:val="0"/>
              </w:rPr>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EcoBasic</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B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Small offices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£199</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EcoPlus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Medium offices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£399</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EcoPro</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C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Larger organisations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£799+</w:t>
            </w:r>
          </w:p>
        </w:tc>
      </w:tr>
    </w:tbl>
    <w:p w:rsidR="00000000" w:rsidDel="00000000" w:rsidP="00000000" w:rsidRDefault="00000000" w:rsidRPr="00000000" w14:paraId="000002C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Self-Created</w:t>
      </w:r>
    </w:p>
    <w:p w:rsidR="00000000" w:rsidDel="00000000" w:rsidP="00000000" w:rsidRDefault="00000000" w:rsidRPr="00000000" w14:paraId="000002C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EcoBasic, reporting: EcoPlus, bespoke circularity and analytics: EcoPro. These prices are forward-looking estimates and not bids or offers. Diversified revenue structure lessens dependence on a single income source and periodic subscription procedures make revenues more transparent and facilitates investment in operational capacity.</w:t>
      </w:r>
    </w:p>
    <w:p w:rsidR="00000000" w:rsidDel="00000000" w:rsidP="00000000" w:rsidRDefault="00000000" w:rsidRPr="00000000" w14:paraId="000002C6">
      <w:pPr>
        <w:pStyle w:val="Heading3"/>
        <w:keepNext w:val="0"/>
        <w:keepLines w:val="0"/>
        <w:rPr/>
      </w:pPr>
      <w:bookmarkStart w:colFirst="0" w:colLast="0" w:name="_4hgxzq1b7gcr" w:id="88"/>
      <w:bookmarkEnd w:id="88"/>
      <w:r w:rsidDel="00000000" w:rsidR="00000000" w:rsidRPr="00000000">
        <w:rPr>
          <w:rtl w:val="0"/>
        </w:rPr>
        <w:t xml:space="preserve">9.1.4 Pricing Strategy</w:t>
      </w:r>
    </w:p>
    <w:p w:rsidR="00000000" w:rsidDel="00000000" w:rsidP="00000000" w:rsidRDefault="00000000" w:rsidRPr="00000000" w14:paraId="000002C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EcoLoop must apply a value approach to pricing with cost floors and competitor pricing considerations. The value of data and reporting may be undervalued by cost-plus; on the other hand, a premium price that is not substantiated could lead to a lack of uptake (Guerreiro and Amaral, 2018). Volume discounts should be used for increased frequency of collection and pilot discounts should be used for the pilot customers. Thus the focused-differentiation strategy can be supported in a moderate premium if it has the qualities of convenience, measurable impact and reporting value like EcoLoop shows.</w:t>
      </w:r>
    </w:p>
    <w:p w:rsidR="00000000" w:rsidDel="00000000" w:rsidP="00000000" w:rsidRDefault="00000000" w:rsidRPr="00000000" w14:paraId="000002C8">
      <w:pPr>
        <w:pStyle w:val="Heading3"/>
        <w:rPr/>
      </w:pPr>
      <w:bookmarkStart w:colFirst="0" w:colLast="0" w:name="_gcdh04rxwrrp" w:id="89"/>
      <w:bookmarkEnd w:id="89"/>
      <w:r w:rsidDel="00000000" w:rsidR="00000000" w:rsidRPr="00000000">
        <w:rPr>
          <w:rtl w:val="0"/>
        </w:rPr>
        <w:t xml:space="preserve">9.1.5 Three-to-Five-Year Financial Forecast</w:t>
      </w:r>
    </w:p>
    <w:p w:rsidR="00000000" w:rsidDel="00000000" w:rsidP="00000000" w:rsidRDefault="00000000" w:rsidRPr="00000000" w14:paraId="000002C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following base-case forecast assumes gradual customer acquisition and increasing service utilisation.</w:t>
      </w:r>
    </w:p>
    <w:p w:rsidR="00000000" w:rsidDel="00000000" w:rsidP="00000000" w:rsidRDefault="00000000" w:rsidRPr="00000000" w14:paraId="000002C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15. Financial Forecast</w:t>
      </w:r>
    </w:p>
    <w:tbl>
      <w:tblPr>
        <w:tblStyle w:val="Table16"/>
        <w:tblW w:w="9360.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780"/>
        <w:gridCol w:w="1470"/>
        <w:gridCol w:w="2565"/>
        <w:gridCol w:w="1230"/>
        <w:gridCol w:w="1620"/>
        <w:gridCol w:w="1695"/>
        <w:tblGridChange w:id="0">
          <w:tblGrid>
            <w:gridCol w:w="780"/>
            <w:gridCol w:w="1470"/>
            <w:gridCol w:w="2565"/>
            <w:gridCol w:w="1230"/>
            <w:gridCol w:w="1620"/>
            <w:gridCol w:w="1695"/>
          </w:tblGrid>
        </w:tblGridChange>
      </w:tblGrid>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Year</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Customers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Avg. annual revenue/customer</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C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Revenue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C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Operating costs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D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Operating profit</w:t>
            </w:r>
            <w:r w:rsidDel="00000000" w:rsidR="00000000" w:rsidRPr="00000000">
              <w:rPr>
                <w:rtl w:val="0"/>
              </w:rPr>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D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D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D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£4,500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£270,000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£235,000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D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£35,000</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£4,700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£517,000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£410,000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£107,000</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175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£4,900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£857,500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£650,000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£207,500</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250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£5,100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£1,275,000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£930,000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£345,000</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340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£5,300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£1,802,000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£1,270,000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£532,000</w:t>
            </w:r>
          </w:p>
        </w:tc>
      </w:tr>
    </w:tbl>
    <w:p w:rsidR="00000000" w:rsidDel="00000000" w:rsidP="00000000" w:rsidRDefault="00000000" w:rsidRPr="00000000" w14:paraId="000002E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Self-Created</w:t>
      </w:r>
    </w:p>
    <w:p w:rsidR="00000000" w:rsidDel="00000000" w:rsidP="00000000" w:rsidRDefault="00000000" w:rsidRPr="00000000" w14:paraId="000002F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These numbers are based on assumptions, and not forecasts based on an audited company figure. Based on the model, there is expected to be a 568% increase in income from Years 1 to 5. Technology costs and administrative overheads can be spread out among more customers, making the company more profitable.</w:t>
      </w:r>
    </w:p>
    <w:p w:rsidR="00000000" w:rsidDel="00000000" w:rsidP="00000000" w:rsidRDefault="00000000" w:rsidRPr="00000000" w14:paraId="000002F1">
      <w:pPr>
        <w:pStyle w:val="Heading3"/>
        <w:keepNext w:val="0"/>
        <w:keepLines w:val="0"/>
        <w:rPr/>
      </w:pPr>
      <w:bookmarkStart w:colFirst="0" w:colLast="0" w:name="_d8wslp743kw5" w:id="90"/>
      <w:bookmarkEnd w:id="90"/>
      <w:r w:rsidDel="00000000" w:rsidR="00000000" w:rsidRPr="00000000">
        <w:rPr>
          <w:rtl w:val="0"/>
        </w:rPr>
        <w:t xml:space="preserve">9.1.6 Break-Even Analysis</w:t>
      </w:r>
    </w:p>
    <w:p w:rsidR="00000000" w:rsidDel="00000000" w:rsidP="00000000" w:rsidRDefault="00000000" w:rsidRPr="00000000" w14:paraId="000002F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Break-even will be about 60 customers (assuming that annual fixed costs are £150,000 and average annual contribution for each customer is £2,500). This is broadly comparable to the target for Year-1 base case. That means Geoff has to be careful not to grow too quickly geographically until Mrs. EcoLoop's bottom line produces some predictable payoff to offset EcoLoop's fixed-cost base. So it's suggested here that Geoff shouldn't continue to grow geographically until there is recurring revenue to pay off his fixed-cost base for EcoLoop.</w:t>
      </w:r>
    </w:p>
    <w:p w:rsidR="00000000" w:rsidDel="00000000" w:rsidP="00000000" w:rsidRDefault="00000000" w:rsidRPr="00000000" w14:paraId="000002F3">
      <w:pPr>
        <w:pStyle w:val="Heading3"/>
        <w:rPr/>
      </w:pPr>
      <w:bookmarkStart w:colFirst="0" w:colLast="0" w:name="_27bwct8itim8" w:id="91"/>
      <w:bookmarkEnd w:id="91"/>
      <w:r w:rsidDel="00000000" w:rsidR="00000000" w:rsidRPr="00000000">
        <w:rPr>
          <w:rtl w:val="0"/>
        </w:rPr>
        <w:t xml:space="preserve">9.1.7 Sensitivity Analysis</w:t>
      </w:r>
    </w:p>
    <w:p w:rsidR="00000000" w:rsidDel="00000000" w:rsidP="00000000" w:rsidRDefault="00000000" w:rsidRPr="00000000" w14:paraId="000002F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Profitability is most sensitive to customer acquisition, retention, average revenue and logistics costs.</w:t>
      </w:r>
    </w:p>
    <w:p w:rsidR="00000000" w:rsidDel="00000000" w:rsidP="00000000" w:rsidRDefault="00000000" w:rsidRPr="00000000" w14:paraId="000002F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16. Sensitivity Analysis</w:t>
      </w:r>
    </w:p>
    <w:tbl>
      <w:tblPr>
        <w:tblStyle w:val="Table17"/>
        <w:tblW w:w="6410.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340"/>
        <w:gridCol w:w="1685"/>
        <w:gridCol w:w="1460"/>
        <w:gridCol w:w="1925"/>
        <w:tblGridChange w:id="0">
          <w:tblGrid>
            <w:gridCol w:w="1340"/>
            <w:gridCol w:w="1685"/>
            <w:gridCol w:w="1460"/>
            <w:gridCol w:w="1925"/>
          </w:tblGrid>
        </w:tblGridChange>
      </w:tblGrid>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Scenario</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Customers Y3</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Revenue Y3</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Operating profit</w:t>
            </w:r>
            <w:r w:rsidDel="00000000" w:rsidR="00000000" w:rsidRPr="00000000">
              <w:rPr>
                <w:rtl w:val="0"/>
              </w:rPr>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Best case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£1.07m</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£300k</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Base case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2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175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£857.5k</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£207.5k</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Worst case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130</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£637k</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£70k</w:t>
            </w:r>
          </w:p>
        </w:tc>
      </w:tr>
    </w:tbl>
    <w:p w:rsidR="00000000" w:rsidDel="00000000" w:rsidP="00000000" w:rsidRDefault="00000000" w:rsidRPr="00000000" w14:paraId="0000030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Self-Created</w:t>
      </w:r>
    </w:p>
    <w:p w:rsidR="00000000" w:rsidDel="00000000" w:rsidP="00000000" w:rsidRDefault="00000000" w:rsidRPr="00000000" w14:paraId="0000030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optimistic scenario is one of quicker acquisition and improved stickiness, whereas the pessimistic scenario is one of slower growth with increased new loan servicing costs. The analysis reveals that customer volume is the biggest profitability driver — but retention is not far behind either, since it means customers won't need to be acquired again as part of a contract outside of one.</w:t>
      </w:r>
    </w:p>
    <w:p w:rsidR="00000000" w:rsidDel="00000000" w:rsidP="00000000" w:rsidRDefault="00000000" w:rsidRPr="00000000" w14:paraId="00000308">
      <w:pPr>
        <w:pStyle w:val="Heading2"/>
        <w:keepNext w:val="0"/>
        <w:keepLines w:val="0"/>
        <w:spacing w:after="120" w:before="200" w:lineRule="auto"/>
        <w:rPr/>
      </w:pPr>
      <w:bookmarkStart w:colFirst="0" w:colLast="0" w:name="_pg8rxx8cm282" w:id="92"/>
      <w:bookmarkEnd w:id="92"/>
      <w:r w:rsidDel="00000000" w:rsidR="00000000" w:rsidRPr="00000000">
        <w:rPr>
          <w:rtl w:val="0"/>
        </w:rPr>
        <w:t xml:space="preserve">9.2 Marketing Plan</w:t>
      </w:r>
    </w:p>
    <w:p w:rsidR="00000000" w:rsidDel="00000000" w:rsidP="00000000" w:rsidRDefault="00000000" w:rsidRPr="00000000" w14:paraId="00000309">
      <w:pPr>
        <w:pStyle w:val="Heading3"/>
        <w:rPr/>
      </w:pPr>
      <w:bookmarkStart w:colFirst="0" w:colLast="0" w:name="_1qxa9fgoah1z" w:id="93"/>
      <w:bookmarkEnd w:id="93"/>
      <w:r w:rsidDel="00000000" w:rsidR="00000000" w:rsidRPr="00000000">
        <w:rPr>
          <w:rtl w:val="0"/>
        </w:rPr>
        <w:t xml:space="preserve">9.2.1 SMART Marketing Objectives</w:t>
      </w:r>
    </w:p>
    <w:p w:rsidR="00000000" w:rsidDel="00000000" w:rsidP="00000000" w:rsidRDefault="00000000" w:rsidRPr="00000000" w14:paraId="0000030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17. SMART Objective</w:t>
      </w:r>
    </w:p>
    <w:tbl>
      <w:tblPr>
        <w:tblStyle w:val="Table18"/>
        <w:tblW w:w="9205.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420"/>
        <w:gridCol w:w="6785"/>
        <w:tblGridChange w:id="0">
          <w:tblGrid>
            <w:gridCol w:w="2420"/>
            <w:gridCol w:w="6785"/>
          </w:tblGrid>
        </w:tblGridChange>
      </w:tblGrid>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Objective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SMART Target</w:t>
            </w:r>
            <w:r w:rsidDel="00000000" w:rsidR="00000000" w:rsidRPr="00000000">
              <w:rPr>
                <w:rtl w:val="0"/>
              </w:rPr>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Customer acquisition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Secure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20 pilot B2B customers within 6 months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Brand awareness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Generate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10,000 targeted LinkedIn impressions within 6 months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Lead generation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Generate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150 qualified B2B leads within 12 months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Retention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Achieve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85% customer retention by the end of Year 1</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Revenue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Reach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£15,000 monthly recurring revenue by Month 12</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t>
            </w:r>
          </w:p>
        </w:tc>
      </w:tr>
    </w:tbl>
    <w:p w:rsidR="00000000" w:rsidDel="00000000" w:rsidP="00000000" w:rsidRDefault="00000000" w:rsidRPr="00000000" w14:paraId="0000031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Self-Created</w:t>
      </w:r>
    </w:p>
    <w:p w:rsidR="00000000" w:rsidDel="00000000" w:rsidP="00000000" w:rsidRDefault="00000000" w:rsidRPr="00000000" w14:paraId="00000318">
      <w:pPr>
        <w:pStyle w:val="Heading3"/>
        <w:rPr/>
      </w:pPr>
      <w:bookmarkStart w:colFirst="0" w:colLast="0" w:name="_xpc4fse3vhao" w:id="94"/>
      <w:bookmarkEnd w:id="94"/>
      <w:r w:rsidDel="00000000" w:rsidR="00000000" w:rsidRPr="00000000">
        <w:rPr>
          <w:rtl w:val="0"/>
        </w:rPr>
        <w:t xml:space="preserve">9.2.2 Segmentation, Targeting and Positioning</w:t>
      </w:r>
    </w:p>
    <w:p w:rsidR="00000000" w:rsidDel="00000000" w:rsidP="00000000" w:rsidRDefault="00000000" w:rsidRPr="00000000" w14:paraId="00000319">
      <w:pPr>
        <w:keepNext w:val="0"/>
        <w:keepLines w:val="0"/>
        <w:pageBreakBefore w:val="0"/>
        <w:widowControl w:val="1"/>
        <w:pBdr>
          <w:top w:space="0" w:sz="0" w:val="nil"/>
          <w:left w:space="0" w:sz="0" w:val="nil"/>
          <w:bottom w:space="0" w:sz="0" w:val="nil"/>
          <w:right w:space="0" w:sz="0" w:val="nil"/>
          <w:between w:space="0" w:sz="0" w:val="nil"/>
        </w:pBdr>
        <w:shd w:fill="auto" w:val="clear"/>
        <w:spacing w:after="80" w:before="200" w:line="360" w:lineRule="auto"/>
        <w:ind w:left="0" w:right="0" w:firstLine="0"/>
        <w:jc w:val="both"/>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Segmentation</w:t>
      </w:r>
    </w:p>
    <w:p w:rsidR="00000000" w:rsidDel="00000000" w:rsidP="00000000" w:rsidRDefault="00000000" w:rsidRPr="00000000" w14:paraId="0000031A">
      <w:pPr>
        <w:keepNext w:val="0"/>
        <w:keepLines w:val="0"/>
        <w:pageBreakBefore w:val="0"/>
        <w:widowControl w:val="1"/>
        <w:pBdr>
          <w:top w:space="0" w:sz="0" w:val="nil"/>
          <w:left w:space="0" w:sz="0" w:val="nil"/>
          <w:bottom w:space="0" w:sz="0" w:val="nil"/>
          <w:right w:space="0" w:sz="0" w:val="nil"/>
          <w:between w:space="0" w:sz="0" w:val="nil"/>
        </w:pBdr>
        <w:shd w:fill="auto" w:val="clear"/>
        <w:spacing w:after="8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18. Segmentation</w:t>
      </w:r>
    </w:p>
    <w:tbl>
      <w:tblPr>
        <w:tblStyle w:val="Table19"/>
        <w:tblW w:w="8425.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825"/>
        <w:gridCol w:w="5600"/>
        <w:tblGridChange w:id="0">
          <w:tblGrid>
            <w:gridCol w:w="2825"/>
            <w:gridCol w:w="5600"/>
          </w:tblGrid>
        </w:tblGridChange>
      </w:tblGrid>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Segmentation Factor</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Target Segment</w:t>
            </w:r>
            <w:r w:rsidDel="00000000" w:rsidR="00000000" w:rsidRPr="00000000">
              <w:rPr>
                <w:rtl w:val="0"/>
              </w:rPr>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Business size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SMEs and medium-sized organisations</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Industry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Professional services, education, technology and offices</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Office size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Small-to-large office workplaces</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Sustainability commitment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Medium-to-high sustainability focus</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Waste volume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Moderate-to-high recyclable office waste</w:t>
            </w:r>
          </w:p>
        </w:tc>
      </w:tr>
    </w:tbl>
    <w:p w:rsidR="00000000" w:rsidDel="00000000" w:rsidP="00000000" w:rsidRDefault="00000000" w:rsidRPr="00000000" w14:paraId="00000327">
      <w:pPr>
        <w:keepNext w:val="0"/>
        <w:keepLines w:val="0"/>
        <w:pageBreakBefore w:val="0"/>
        <w:widowControl w:val="1"/>
        <w:pBdr>
          <w:top w:space="0" w:sz="0" w:val="nil"/>
          <w:left w:space="0" w:sz="0" w:val="nil"/>
          <w:bottom w:space="0" w:sz="0" w:val="nil"/>
          <w:right w:space="0" w:sz="0" w:val="nil"/>
          <w:between w:space="0" w:sz="0" w:val="nil"/>
        </w:pBdr>
        <w:shd w:fill="auto" w:val="clear"/>
        <w:spacing w:after="8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Self-Created</w:t>
      </w:r>
    </w:p>
    <w:p w:rsidR="00000000" w:rsidDel="00000000" w:rsidP="00000000" w:rsidRDefault="00000000" w:rsidRPr="00000000" w14:paraId="00000328">
      <w:pPr>
        <w:keepNext w:val="0"/>
        <w:keepLines w:val="0"/>
        <w:pageBreakBefore w:val="0"/>
        <w:widowControl w:val="1"/>
        <w:pBdr>
          <w:top w:space="0" w:sz="0" w:val="nil"/>
          <w:left w:space="0" w:sz="0" w:val="nil"/>
          <w:bottom w:space="0" w:sz="0" w:val="nil"/>
          <w:right w:space="0" w:sz="0" w:val="nil"/>
          <w:between w:space="0" w:sz="0" w:val="nil"/>
        </w:pBdr>
        <w:shd w:fill="auto" w:val="clear"/>
        <w:spacing w:after="80" w:before="200" w:line="360" w:lineRule="auto"/>
        <w:ind w:left="0" w:right="0" w:firstLine="0"/>
        <w:jc w:val="both"/>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Targeting</w:t>
      </w:r>
    </w:p>
    <w:p w:rsidR="00000000" w:rsidDel="00000000" w:rsidP="00000000" w:rsidRDefault="00000000" w:rsidRPr="00000000" w14:paraId="0000032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19. Targeting</w:t>
      </w:r>
    </w:p>
    <w:tbl>
      <w:tblPr>
        <w:tblStyle w:val="Table20"/>
        <w:tblW w:w="936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3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drawing>
                <wp:inline distB="114300" distT="114300" distL="114300" distR="114300">
                  <wp:extent cx="2838450" cy="2385814"/>
                  <wp:effectExtent b="0" l="0" r="0" t="0"/>
                  <wp:docPr id="10" name="image10.png"/>
                  <a:graphic>
                    <a:graphicData uri="http://schemas.openxmlformats.org/drawingml/2006/picture">
                      <pic:pic>
                        <pic:nvPicPr>
                          <pic:cNvPr id="0" name="image10.png"/>
                          <pic:cNvPicPr preferRelativeResize="0"/>
                        </pic:nvPicPr>
                        <pic:blipFill>
                          <a:blip r:embed="rId16"/>
                          <a:srcRect b="44089" l="0" r="0" t="0"/>
                          <a:stretch>
                            <a:fillRect/>
                          </a:stretch>
                        </pic:blipFill>
                        <pic:spPr>
                          <a:xfrm>
                            <a:off x="0" y="0"/>
                            <a:ext cx="2838450" cy="2385814"/>
                          </a:xfrm>
                          <a:prstGeom prst="rect"/>
                          <a:ln/>
                        </pic:spPr>
                      </pic:pic>
                    </a:graphicData>
                  </a:graphic>
                </wp:inline>
              </w:drawing>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3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Alex is an office manager in a growing UK SME. They are responsible for workplace operations and want to make the office more sustainable but currently rely on fragmented waste services with limited reporting.</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3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Demographic</w:t>
            </w:r>
          </w:p>
          <w:p w:rsidR="00000000" w:rsidDel="00000000" w:rsidP="00000000" w:rsidRDefault="00000000" w:rsidRPr="00000000" w14:paraId="0000032D">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1"/>
                <w:bCs w:val="1"/>
                <w:i w:val="1"/>
                <w:iCs w:val="1"/>
                <w:smallCaps w:val="0"/>
                <w:strike w:val="0"/>
                <w:color w:val="000000"/>
                <w:sz w:val="24"/>
                <w:szCs w:val="24"/>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Age: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30–45 years old</w:t>
            </w:r>
            <w:r w:rsidDel="00000000" w:rsidR="00000000" w:rsidRPr="00000000">
              <w:rPr>
                <w:rtl w:val="0"/>
              </w:rPr>
            </w:r>
          </w:p>
          <w:p w:rsidR="00000000" w:rsidDel="00000000" w:rsidP="00000000" w:rsidRDefault="00000000" w:rsidRPr="00000000" w14:paraId="0000032E">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1"/>
                <w:bCs w:val="1"/>
                <w:i w:val="1"/>
                <w:iCs w:val="1"/>
                <w:smallCaps w:val="0"/>
                <w:strike w:val="0"/>
                <w:color w:val="000000"/>
                <w:sz w:val="24"/>
                <w:szCs w:val="24"/>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Sex: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Male</w:t>
            </w:r>
            <w:r w:rsidDel="00000000" w:rsidR="00000000" w:rsidRPr="00000000">
              <w:rPr>
                <w:rtl w:val="0"/>
              </w:rPr>
            </w:r>
          </w:p>
          <w:p w:rsidR="00000000" w:rsidDel="00000000" w:rsidP="00000000" w:rsidRDefault="00000000" w:rsidRPr="00000000" w14:paraId="0000032F">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1"/>
                <w:bCs w:val="1"/>
                <w:i w:val="1"/>
                <w:iCs w:val="1"/>
                <w:smallCaps w:val="0"/>
                <w:strike w:val="0"/>
                <w:color w:val="000000"/>
                <w:sz w:val="24"/>
                <w:szCs w:val="24"/>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Occupation: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Office/facilities manager</w:t>
            </w:r>
            <w:r w:rsidDel="00000000" w:rsidR="00000000" w:rsidRPr="00000000">
              <w:rPr>
                <w:rtl w:val="0"/>
              </w:rPr>
            </w:r>
          </w:p>
          <w:p w:rsidR="00000000" w:rsidDel="00000000" w:rsidP="00000000" w:rsidRDefault="00000000" w:rsidRPr="00000000" w14:paraId="00000330">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rial" w:cs="Arial" w:eastAsia="Arial" w:hAnsi="Arial"/>
                <w:b w:val="1"/>
                <w:bCs w:val="1"/>
                <w:i w:val="1"/>
                <w:iCs w:val="1"/>
                <w:smallCaps w:val="0"/>
                <w:strike w:val="0"/>
                <w:color w:val="000000"/>
                <w:sz w:val="24"/>
                <w:szCs w:val="24"/>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Income: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24,000$</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3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Needs</w:t>
            </w:r>
          </w:p>
          <w:p w:rsidR="00000000" w:rsidDel="00000000" w:rsidP="00000000" w:rsidRDefault="00000000" w:rsidRPr="00000000" w14:paraId="00000332">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Reliable waste collection, recycling and reuse services, simple supplier management, digital tracking and clear sustainability reports.</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3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Goal</w:t>
            </w:r>
          </w:p>
          <w:p w:rsidR="00000000" w:rsidDel="00000000" w:rsidP="00000000" w:rsidRDefault="00000000" w:rsidRPr="00000000" w14:paraId="00000334">
            <w:pPr>
              <w:keepNext w:val="0"/>
              <w:keepLines w:val="0"/>
              <w:pageBreakBefore w:val="0"/>
              <w:widowControl w:val="0"/>
              <w:numPr>
                <w:ilvl w:val="0"/>
                <w:numId w:val="7"/>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Reduce office waste, improve resource efficiency and demonstrate measurable sustainability performance without significantly increasing operating costs.</w:t>
            </w:r>
          </w:p>
        </w:tc>
        <w:tc>
          <w:tcPr>
            <w:shd w:fill="auto" w:val="clear"/>
            <w:tcMar>
              <w:top w:w="100.0" w:type="dxa"/>
              <w:left w:w="100.0" w:type="dxa"/>
              <w:bottom w:w="100.0" w:type="dxa"/>
              <w:right w:w="100.0" w:type="dxa"/>
            </w:tcMar>
          </w:tcPr>
          <w:p w:rsidR="00000000" w:rsidDel="00000000" w:rsidP="00000000" w:rsidRDefault="00000000" w:rsidRPr="00000000" w14:paraId="000003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Motivation</w:t>
            </w:r>
          </w:p>
          <w:p w:rsidR="00000000" w:rsidDel="00000000" w:rsidP="00000000" w:rsidRDefault="00000000" w:rsidRPr="00000000" w14:paraId="00000336">
            <w:pPr>
              <w:keepNext w:val="0"/>
              <w:keepLines w:val="0"/>
              <w:pageBreakBefore w:val="0"/>
              <w:widowControl w:val="0"/>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Growing environmental expectations from employees and management, desire to strengthen organisational sustainability credentials, and the need for convenient and measurable waste management.</w:t>
            </w:r>
          </w:p>
        </w:tc>
      </w:tr>
      <w:tr>
        <w:trPr>
          <w:cantSplit w:val="1"/>
          <w:trHeight w:val="440" w:hRule="atLeast"/>
          <w:tblHeader w:val="1"/>
        </w:trPr>
        <w:tc>
          <w:tcPr>
            <w:gridSpan w:val="2"/>
            <w:shd w:fill="auto" w:val="clear"/>
            <w:tcMar>
              <w:top w:w="100.0" w:type="dxa"/>
              <w:left w:w="100.0" w:type="dxa"/>
              <w:bottom w:w="100.0" w:type="dxa"/>
              <w:right w:w="100.0" w:type="dxa"/>
            </w:tcMar>
          </w:tcPr>
          <w:p w:rsidR="00000000" w:rsidDel="00000000" w:rsidP="00000000" w:rsidRDefault="00000000" w:rsidRPr="00000000" w14:paraId="000003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Pain Points</w:t>
            </w:r>
          </w:p>
          <w:p w:rsidR="00000000" w:rsidDel="00000000" w:rsidP="00000000" w:rsidRDefault="00000000" w:rsidRPr="00000000" w14:paraId="00000338">
            <w:pPr>
              <w:keepNext w:val="0"/>
              <w:keepLines w:val="0"/>
              <w:pageBreakBefore w:val="0"/>
              <w:widowControl w:val="0"/>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Limited time and expertise, fragmented suppliers, unclear recycling outcomes, administrative workload, inconsistent collection services and difficulty demonstrating the organisation’s environmental impact.</w:t>
            </w:r>
          </w:p>
        </w:tc>
      </w:tr>
    </w:tbl>
    <w:p w:rsidR="00000000" w:rsidDel="00000000" w:rsidP="00000000" w:rsidRDefault="00000000" w:rsidRPr="00000000" w14:paraId="0000033A">
      <w:pPr>
        <w:keepNext w:val="0"/>
        <w:keepLines w:val="0"/>
        <w:pageBreakBefore w:val="0"/>
        <w:widowControl w:val="1"/>
        <w:pBdr>
          <w:top w:space="0" w:sz="0" w:val="nil"/>
          <w:left w:space="0" w:sz="0" w:val="nil"/>
          <w:bottom w:space="0" w:sz="0" w:val="nil"/>
          <w:right w:space="0" w:sz="0" w:val="nil"/>
          <w:between w:space="0" w:sz="0" w:val="nil"/>
        </w:pBdr>
        <w:shd w:fill="auto" w:val="clear"/>
        <w:spacing w:after="8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Self-Created</w:t>
      </w:r>
    </w:p>
    <w:p w:rsidR="00000000" w:rsidDel="00000000" w:rsidP="00000000" w:rsidRDefault="00000000" w:rsidRPr="00000000" w14:paraId="0000033B">
      <w:pPr>
        <w:keepNext w:val="0"/>
        <w:keepLines w:val="0"/>
        <w:pageBreakBefore w:val="0"/>
        <w:widowControl w:val="1"/>
        <w:pBdr>
          <w:top w:space="0" w:sz="0" w:val="nil"/>
          <w:left w:space="0" w:sz="0" w:val="nil"/>
          <w:bottom w:space="0" w:sz="0" w:val="nil"/>
          <w:right w:space="0" w:sz="0" w:val="nil"/>
          <w:between w:space="0" w:sz="0" w:val="nil"/>
        </w:pBdr>
        <w:shd w:fill="auto" w:val="clear"/>
        <w:spacing w:after="80" w:before="200" w:line="360" w:lineRule="auto"/>
        <w:ind w:left="0" w:right="0" w:firstLine="0"/>
        <w:jc w:val="both"/>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Positioning</w:t>
      </w:r>
    </w:p>
    <w:p w:rsidR="00000000" w:rsidDel="00000000" w:rsidP="00000000" w:rsidRDefault="00000000" w:rsidRPr="00000000" w14:paraId="0000033C">
      <w:pPr>
        <w:keepNext w:val="0"/>
        <w:keepLines w:val="0"/>
        <w:pageBreakBefore w:val="0"/>
        <w:widowControl w:val="1"/>
        <w:pBdr>
          <w:top w:space="0" w:sz="0" w:val="nil"/>
          <w:left w:space="0" w:sz="0" w:val="nil"/>
          <w:bottom w:space="0" w:sz="0" w:val="nil"/>
          <w:right w:space="0" w:sz="0" w:val="nil"/>
          <w:between w:space="0" w:sz="0" w:val="nil"/>
        </w:pBdr>
        <w:shd w:fill="auto" w:val="clear"/>
        <w:spacing w:after="80" w:before="200" w:line="360" w:lineRule="auto"/>
        <w:ind w:left="0" w:right="0" w:firstLine="0"/>
        <w:jc w:val="both"/>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Figure 8. Positioning Map</w:t>
      </w:r>
    </w:p>
    <w:p w:rsidR="00000000" w:rsidDel="00000000" w:rsidP="00000000" w:rsidRDefault="00000000" w:rsidRPr="00000000" w14:paraId="0000033D">
      <w:pPr>
        <w:keepNext w:val="0"/>
        <w:keepLines w:val="0"/>
        <w:pageBreakBefore w:val="0"/>
        <w:widowControl w:val="1"/>
        <w:pBdr>
          <w:top w:space="0" w:sz="0" w:val="nil"/>
          <w:left w:space="0" w:sz="0" w:val="nil"/>
          <w:bottom w:space="0" w:sz="0" w:val="nil"/>
          <w:right w:space="0" w:sz="0" w:val="nil"/>
          <w:between w:space="0" w:sz="0" w:val="nil"/>
        </w:pBdr>
        <w:shd w:fill="auto" w:val="clear"/>
        <w:spacing w:after="80" w:before="200" w:line="36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drawing>
          <wp:inline distB="114300" distT="114300" distL="114300" distR="114300">
            <wp:extent cx="5943600" cy="3962400"/>
            <wp:effectExtent b="25400" l="25400" r="25400" t="25400"/>
            <wp:docPr id="11" name="image11.png"/>
            <a:graphic>
              <a:graphicData uri="http://schemas.openxmlformats.org/drawingml/2006/picture">
                <pic:pic>
                  <pic:nvPicPr>
                    <pic:cNvPr id="0" name="image11.png"/>
                    <pic:cNvPicPr preferRelativeResize="0"/>
                  </pic:nvPicPr>
                  <pic:blipFill>
                    <a:blip r:embed="rId17"/>
                    <a:srcRect b="0" l="0" r="0" t="0"/>
                    <a:stretch>
                      <a:fillRect/>
                    </a:stretch>
                  </pic:blipFill>
                  <pic:spPr>
                    <a:xfrm>
                      <a:off x="0" y="0"/>
                      <a:ext cx="5943600" cy="39624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33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Self-Created</w:t>
      </w:r>
    </w:p>
    <w:p w:rsidR="00000000" w:rsidDel="00000000" w:rsidP="00000000" w:rsidRDefault="00000000" w:rsidRPr="00000000" w14:paraId="0000033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three major competitors that EcoLoop Office will have to compete with are Biffa, who offers a large area of national coverage and established commercial waste services (Biffa, 2019), Veolia, which provides all these services with resources, waste collection, recycling and the environment (Veolia, 2023), and Grundon with commercial waste services, waste collection, recycling and environment services (Grundon, 2026). By contrast, EcoLoop Office ought to be in a niche, high sustainability and digitally-connected location, geared towards SMEs and medium-sized offices (Binyaseen, 2024). The differentiation of its products should be based on circular-office services, tracking of digital waste, reuse, recycling and measurable sustainability reporting.</w:t>
      </w:r>
    </w:p>
    <w:p w:rsidR="00000000" w:rsidDel="00000000" w:rsidP="00000000" w:rsidRDefault="00000000" w:rsidRPr="00000000" w14:paraId="00000340">
      <w:pPr>
        <w:pStyle w:val="Heading2"/>
        <w:spacing w:before="200" w:lineRule="auto"/>
        <w:rPr/>
      </w:pPr>
      <w:bookmarkStart w:colFirst="0" w:colLast="0" w:name="_k1wsqroro0gn" w:id="95"/>
      <w:bookmarkEnd w:id="95"/>
      <w:r w:rsidDel="00000000" w:rsidR="00000000" w:rsidRPr="00000000">
        <w:rPr>
          <w:rtl w:val="0"/>
        </w:rPr>
        <w:t xml:space="preserve">9.2.3 Marketing Mix</w:t>
      </w:r>
    </w:p>
    <w:p w:rsidR="00000000" w:rsidDel="00000000" w:rsidP="00000000" w:rsidRDefault="00000000" w:rsidRPr="00000000" w14:paraId="00000341">
      <w:pPr>
        <w:keepNext w:val="0"/>
        <w:keepLines w:val="0"/>
        <w:pageBreakBefore w:val="0"/>
        <w:widowControl w:val="1"/>
        <w:pBdr>
          <w:top w:space="0" w:sz="0" w:val="nil"/>
          <w:left w:space="0" w:sz="0" w:val="nil"/>
          <w:bottom w:space="0" w:sz="0" w:val="nil"/>
          <w:right w:space="0" w:sz="0" w:val="nil"/>
          <w:between w:space="0" w:sz="0" w:val="nil"/>
        </w:pBdr>
        <w:shd w:fill="auto" w:val="clear"/>
        <w:spacing w:after="80" w:before="200" w:line="360" w:lineRule="auto"/>
        <w:ind w:left="0" w:right="0" w:firstLine="0"/>
        <w:jc w:val="both"/>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Product</w:t>
      </w:r>
    </w:p>
    <w:p w:rsidR="00000000" w:rsidDel="00000000" w:rsidP="00000000" w:rsidRDefault="00000000" w:rsidRPr="00000000" w14:paraId="0000034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solution will provide a circular, integrated office-management service through collection, reuse, recycling, digital tracking and sustainability reporting by the company EcoLoop Office. A significant market in the UK for the proposition exists, with 5.69 million (99.93%) of the population engaged in private business activity, of those 5.68 million were SMEs, however EcoLoop should focus on recruitment of SMEs and not the high number of non-employers (Merchant Savvy, 2022). By representing 60% of employment in the UK's private sector, and 51% of total turnover (Government of UK, 2026a), SMEs are of commercial significance. Therefore, the sole thing to look for in the product is focus on convenience that is measurable, not only recycling alone.</w:t>
      </w:r>
    </w:p>
    <w:p w:rsidR="00000000" w:rsidDel="00000000" w:rsidP="00000000" w:rsidRDefault="00000000" w:rsidRPr="00000000" w14:paraId="00000343">
      <w:pPr>
        <w:keepNext w:val="0"/>
        <w:keepLines w:val="0"/>
        <w:pageBreakBefore w:val="0"/>
        <w:widowControl w:val="1"/>
        <w:pBdr>
          <w:top w:space="0" w:sz="0" w:val="nil"/>
          <w:left w:space="0" w:sz="0" w:val="nil"/>
          <w:bottom w:space="0" w:sz="0" w:val="nil"/>
          <w:right w:space="0" w:sz="0" w:val="nil"/>
          <w:between w:space="0" w:sz="0" w:val="nil"/>
        </w:pBdr>
        <w:shd w:fill="auto" w:val="clear"/>
        <w:spacing w:after="80" w:before="200" w:line="360" w:lineRule="auto"/>
        <w:ind w:left="0" w:right="0" w:firstLine="0"/>
        <w:jc w:val="both"/>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Price</w:t>
      </w:r>
    </w:p>
    <w:p w:rsidR="00000000" w:rsidDel="00000000" w:rsidP="00000000" w:rsidRDefault="00000000" w:rsidRPr="00000000" w14:paraId="0000034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Value added pricing is suitable because customers are not just buying waste collection, but a convenience service, reporting and measurable sustainability products (Netseva-Porcheva, 2011). Initial pricing during the pilot should lower the switching costs, and (long-term) prices should be based on the contribution margin.</w:t>
      </w:r>
    </w:p>
    <w:p w:rsidR="00000000" w:rsidDel="00000000" w:rsidP="00000000" w:rsidRDefault="00000000" w:rsidRPr="00000000" w14:paraId="00000345">
      <w:pPr>
        <w:keepNext w:val="0"/>
        <w:keepLines w:val="0"/>
        <w:pageBreakBefore w:val="0"/>
        <w:widowControl w:val="1"/>
        <w:pBdr>
          <w:top w:space="0" w:sz="0" w:val="nil"/>
          <w:left w:space="0" w:sz="0" w:val="nil"/>
          <w:bottom w:space="0" w:sz="0" w:val="nil"/>
          <w:right w:space="0" w:sz="0" w:val="nil"/>
          <w:between w:space="0" w:sz="0" w:val="nil"/>
        </w:pBdr>
        <w:shd w:fill="auto" w:val="clear"/>
        <w:spacing w:after="80" w:before="200" w:line="360" w:lineRule="auto"/>
        <w:ind w:left="0" w:right="0" w:firstLine="0"/>
        <w:jc w:val="both"/>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Place</w:t>
      </w:r>
    </w:p>
    <w:p w:rsidR="00000000" w:rsidDel="00000000" w:rsidP="00000000" w:rsidRDefault="00000000" w:rsidRPr="00000000" w14:paraId="0000034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Distribution will be via direct B2B sales and digital channels such as website, LinkedIn and email. There was an attractive starting point pool of businesses available with a professional, scientific and technical focused sector accounting for 15.3% of registered businesses in the United Kingdom in 2025 (OECD 2025).</w:t>
      </w:r>
    </w:p>
    <w:p w:rsidR="00000000" w:rsidDel="00000000" w:rsidP="00000000" w:rsidRDefault="00000000" w:rsidRPr="00000000" w14:paraId="00000347">
      <w:pPr>
        <w:keepNext w:val="0"/>
        <w:keepLines w:val="0"/>
        <w:pageBreakBefore w:val="0"/>
        <w:widowControl w:val="1"/>
        <w:pBdr>
          <w:top w:space="0" w:sz="0" w:val="nil"/>
          <w:left w:space="0" w:sz="0" w:val="nil"/>
          <w:bottom w:space="0" w:sz="0" w:val="nil"/>
          <w:right w:space="0" w:sz="0" w:val="nil"/>
          <w:between w:space="0" w:sz="0" w:val="nil"/>
        </w:pBdr>
        <w:shd w:fill="auto" w:val="clear"/>
        <w:spacing w:after="80" w:before="200" w:line="360" w:lineRule="auto"/>
        <w:ind w:left="0" w:right="0" w:firstLine="0"/>
        <w:jc w:val="both"/>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Promotion</w:t>
      </w:r>
    </w:p>
    <w:p w:rsidR="00000000" w:rsidDel="00000000" w:rsidP="00000000" w:rsidRDefault="00000000" w:rsidRPr="00000000" w14:paraId="0000034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LinkedIn, SEO, email marketing, sustainability case studies, events, partnerships and referrals will be used to promote. There is a need for evidence-based communication: 83% of businesses did not take any environmental-protection measure in late 2024, reflecting a challenge of engagement and a need to get the business value of EcoLoop across effectively (Fredriksson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2026).</w:t>
      </w:r>
    </w:p>
    <w:p w:rsidR="00000000" w:rsidDel="00000000" w:rsidP="00000000" w:rsidRDefault="00000000" w:rsidRPr="00000000" w14:paraId="00000349">
      <w:pPr>
        <w:pStyle w:val="Heading3"/>
        <w:keepNext w:val="0"/>
        <w:keepLines w:val="0"/>
        <w:rPr/>
      </w:pPr>
      <w:bookmarkStart w:colFirst="0" w:colLast="0" w:name="_ns4g8ita0v4m" w:id="96"/>
      <w:bookmarkEnd w:id="96"/>
      <w:r w:rsidDel="00000000" w:rsidR="00000000" w:rsidRPr="00000000">
        <w:rPr>
          <w:rtl w:val="0"/>
        </w:rPr>
        <w:t xml:space="preserve">9.2.4 Customer Acquisition Funnel</w:t>
      </w:r>
    </w:p>
    <w:p w:rsidR="00000000" w:rsidDel="00000000" w:rsidP="00000000" w:rsidRDefault="00000000" w:rsidRPr="00000000" w14:paraId="0000034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20. Customer Acquisition Funnel</w:t>
      </w:r>
    </w:p>
    <w:tbl>
      <w:tblPr>
        <w:tblStyle w:val="Table21"/>
        <w:tblW w:w="9225.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860"/>
        <w:gridCol w:w="7365"/>
        <w:tblGridChange w:id="0">
          <w:tblGrid>
            <w:gridCol w:w="1860"/>
            <w:gridCol w:w="7365"/>
          </w:tblGrid>
        </w:tblGridChange>
      </w:tblGrid>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Stage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Critical Role and KPI</w:t>
            </w:r>
            <w:r w:rsidDel="00000000" w:rsidR="00000000" w:rsidRPr="00000000">
              <w:rPr>
                <w:rtl w:val="0"/>
              </w:rPr>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Awareness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LinkedIn, SEO and partnerships introduce EcoLoop to targeted B2B prospects.</w:t>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Engagement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Website visits and content establish credibility;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78% of UK businesses had a website in 2025–26</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supporting digital discovery (Pratt, 2025). </w:t>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Assessment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 free sustainability assessment converts interest into a qualified business need.</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Proposal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Tailored pricing demonstrates financial and environmental value.</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Pilot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Low-risk trials reduce switching uncertainty and validate service quality.</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Subscription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Successful pilots convert into recurring contracts.</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Retention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Reporting and account management protect recurring revenue.</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1"/>
                <w:iCs w:val="1"/>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1"/>
                <w:iCs w:val="1"/>
                <w:smallCaps w:val="0"/>
                <w:strike w:val="0"/>
                <w:color w:val="000000"/>
                <w:sz w:val="24"/>
                <w:szCs w:val="24"/>
                <w:u w:val="none"/>
                <w:shd w:fill="auto" w:val="clear"/>
                <w:vertAlign w:val="baseline"/>
                <w:rtl w:val="0"/>
              </w:rPr>
              <w:t xml:space="preserve">Referral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Satisfied customers generate lower-cost leads and strengthen credibility.</w:t>
            </w:r>
          </w:p>
        </w:tc>
      </w:tr>
    </w:tbl>
    <w:p w:rsidR="00000000" w:rsidDel="00000000" w:rsidP="00000000" w:rsidRDefault="00000000" w:rsidRPr="00000000" w14:paraId="0000035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Self-Created</w:t>
      </w:r>
    </w:p>
    <w:p w:rsidR="00000000" w:rsidDel="00000000" w:rsidP="00000000" w:rsidRDefault="00000000" w:rsidRPr="00000000" w14:paraId="0000035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This funnel is appropriate because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69% of SME employers used technology/web-based software in 2024</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indicating substantial digital readiness among the target market (Sharabati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2024). </w:t>
      </w:r>
    </w:p>
    <w:p w:rsidR="00000000" w:rsidDel="00000000" w:rsidP="00000000" w:rsidRDefault="00000000" w:rsidRPr="00000000" w14:paraId="0000035F">
      <w:pPr>
        <w:pStyle w:val="Heading3"/>
        <w:rPr/>
      </w:pPr>
      <w:bookmarkStart w:colFirst="0" w:colLast="0" w:name="_bmejoifntuz9" w:id="97"/>
      <w:bookmarkEnd w:id="97"/>
      <w:r w:rsidDel="00000000" w:rsidR="00000000" w:rsidRPr="00000000">
        <w:rPr>
          <w:rtl w:val="0"/>
        </w:rPr>
        <w:t xml:space="preserve">9.2.5 Marketing Budget and KPIs</w:t>
      </w:r>
    </w:p>
    <w:p w:rsidR="00000000" w:rsidDel="00000000" w:rsidP="00000000" w:rsidRDefault="00000000" w:rsidRPr="00000000" w14:paraId="0000036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EcoLoop Office needs to be allocated an initial marketing spend of £7,000, with a focus on measurable B to B marketing or acquisition rather than blanket marketing awareness spend. </w:t>
      </w:r>
    </w:p>
    <w:p w:rsidR="00000000" w:rsidDel="00000000" w:rsidP="00000000" w:rsidRDefault="00000000" w:rsidRPr="00000000" w14:paraId="0000036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21. Marketing Budget</w:t>
      </w:r>
    </w:p>
    <w:tbl>
      <w:tblPr>
        <w:tblStyle w:val="Table22"/>
        <w:tblW w:w="4675.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050"/>
        <w:gridCol w:w="1625"/>
        <w:tblGridChange w:id="0">
          <w:tblGrid>
            <w:gridCol w:w="3050"/>
            <w:gridCol w:w="1625"/>
          </w:tblGrid>
        </w:tblGridChange>
      </w:tblGrid>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KPI</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Year-1 Target</w:t>
            </w:r>
            <w:r w:rsidDel="00000000" w:rsidR="00000000" w:rsidRPr="00000000">
              <w:rPr>
                <w:rtl w:val="0"/>
              </w:rPr>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Qualified leads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150</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Cost per lead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 £47</w:t>
            </w:r>
            <w:r w:rsidDel="00000000" w:rsidR="00000000" w:rsidRPr="00000000">
              <w:rPr>
                <w:rtl w:val="0"/>
              </w:rPr>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Lead-to-customer conversion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6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 13%</w:t>
            </w:r>
            <w:r w:rsidDel="00000000" w:rsidR="00000000" w:rsidRPr="00000000">
              <w:rPr>
                <w:rtl w:val="0"/>
              </w:rPr>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6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Customer acquisition cost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6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 £360</w:t>
            </w:r>
            <w:r w:rsidDel="00000000" w:rsidR="00000000" w:rsidRPr="00000000">
              <w:rPr>
                <w:rtl w:val="0"/>
              </w:rPr>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Website traffic</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10,000 visits</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Customer retention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 85%</w:t>
            </w:r>
            <w:r w:rsidDel="00000000" w:rsidR="00000000" w:rsidRPr="00000000">
              <w:rPr>
                <w:rtl w:val="0"/>
              </w:rPr>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Referral rate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 15%</w:t>
            </w:r>
            <w:r w:rsidDel="00000000" w:rsidR="00000000" w:rsidRPr="00000000">
              <w:rPr>
                <w:rtl w:val="0"/>
              </w:rPr>
            </w:r>
          </w:p>
        </w:tc>
      </w:tr>
    </w:tbl>
    <w:p w:rsidR="00000000" w:rsidDel="00000000" w:rsidP="00000000" w:rsidRDefault="00000000" w:rsidRPr="00000000" w14:paraId="0000037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Self-Created</w:t>
      </w:r>
    </w:p>
    <w:p w:rsidR="00000000" w:rsidDel="00000000" w:rsidP="00000000" w:rsidRDefault="00000000" w:rsidRPr="00000000" w14:paraId="0000037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These KPIs help to measure the marketing spend on commercial results, including acquisition cost, conversions and retention, instead of vanity metrics such as impressions.</w:t>
      </w:r>
    </w:p>
    <w:p w:rsidR="00000000" w:rsidDel="00000000" w:rsidP="00000000" w:rsidRDefault="00000000" w:rsidRPr="00000000" w14:paraId="00000374">
      <w:pPr>
        <w:pStyle w:val="Heading2"/>
        <w:spacing w:before="200" w:lineRule="auto"/>
        <w:rPr/>
      </w:pPr>
      <w:bookmarkStart w:colFirst="0" w:colLast="0" w:name="_tttktlh6z231" w:id="98"/>
      <w:bookmarkEnd w:id="98"/>
      <w:r w:rsidDel="00000000" w:rsidR="00000000" w:rsidRPr="00000000">
        <w:rPr>
          <w:rtl w:val="0"/>
        </w:rPr>
        <w:t xml:space="preserve">9.3 Human Capital Management Plan</w:t>
      </w:r>
    </w:p>
    <w:p w:rsidR="00000000" w:rsidDel="00000000" w:rsidP="00000000" w:rsidRDefault="00000000" w:rsidRPr="00000000" w14:paraId="00000375">
      <w:pPr>
        <w:pStyle w:val="Heading3"/>
        <w:rPr/>
      </w:pPr>
      <w:bookmarkStart w:colFirst="0" w:colLast="0" w:name="_m4kb0ujvho2o" w:id="99"/>
      <w:bookmarkEnd w:id="99"/>
      <w:r w:rsidDel="00000000" w:rsidR="00000000" w:rsidRPr="00000000">
        <w:rPr>
          <w:rtl w:val="0"/>
        </w:rPr>
        <w:t xml:space="preserve">9.3.1 Organisational Structure</w:t>
      </w:r>
    </w:p>
    <w:p w:rsidR="00000000" w:rsidDel="00000000" w:rsidP="00000000" w:rsidRDefault="00000000" w:rsidRPr="00000000" w14:paraId="0000037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During their startup phase, it is advisable to design a lean functional organizational structure in EcoLoop Office so as to have the capability to maintain specialists and control their labour expenses (Sahoo, 2021). It will be led by a Managing Director with support from an Operations Manager, Sales &amp; Marketing Executive and Sustainability/Data Officer. The physical activity will be performed by the collection staff.</w:t>
      </w:r>
    </w:p>
    <w:p w:rsidR="00000000" w:rsidDel="00000000" w:rsidP="00000000" w:rsidRDefault="00000000" w:rsidRPr="00000000" w14:paraId="00000377">
      <w:pPr>
        <w:pStyle w:val="Heading3"/>
        <w:rPr/>
      </w:pPr>
      <w:bookmarkStart w:colFirst="0" w:colLast="0" w:name="_tmn4ceoim43o" w:id="100"/>
      <w:bookmarkEnd w:id="100"/>
      <w:r w:rsidDel="00000000" w:rsidR="00000000" w:rsidRPr="00000000">
        <w:rPr>
          <w:rtl w:val="0"/>
        </w:rPr>
        <w:t xml:space="preserve">9.3.2 Staffing Requirements</w:t>
      </w:r>
    </w:p>
    <w:p w:rsidR="00000000" w:rsidDel="00000000" w:rsidP="00000000" w:rsidRDefault="00000000" w:rsidRPr="00000000" w14:paraId="0000037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It would be good to have about six key staff in the early stages of EcoLoop: 1 Managing Director, 1 Operations Manager, 1 Sales &amp; Marketing Executive, 1 Sustainability/Data Officer and 2 Collection/Operations Staff. The initial outsourcing of administrative tasks, like payroll and accounting, can be done. This methodology exposure not only minimizes the cost of the fixed assets but also retains their essential internal strengths. Operational &amp; Customer service functions should be combined by the collection staff; further, flexing workforce in order to achieve higher efficiencies.</w:t>
      </w:r>
    </w:p>
    <w:p w:rsidR="00000000" w:rsidDel="00000000" w:rsidP="00000000" w:rsidRDefault="00000000" w:rsidRPr="00000000" w14:paraId="00000379">
      <w:pPr>
        <w:pStyle w:val="Heading3"/>
        <w:rPr/>
      </w:pPr>
      <w:bookmarkStart w:colFirst="0" w:colLast="0" w:name="_ce0de5qem9np" w:id="101"/>
      <w:bookmarkEnd w:id="101"/>
      <w:r w:rsidDel="00000000" w:rsidR="00000000" w:rsidRPr="00000000">
        <w:rPr>
          <w:rtl w:val="0"/>
        </w:rPr>
        <w:t xml:space="preserve">9.3.3 Recruitment and Selection</w:t>
      </w:r>
    </w:p>
    <w:p w:rsidR="00000000" w:rsidDel="00000000" w:rsidP="00000000" w:rsidRDefault="00000000" w:rsidRPr="00000000" w14:paraId="0000037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It is essential to recruit but on a skills basis, considering knowledge of sustainability and enthusiasm about sustainability, skills in customer service, skills in logistics and in digital literacy (Bone, Ehlinger and Stephany, 2025). Differentiation requires these same two components - physical collection and digital reporting - and this is important to EcoLoop. Also, develop behavioral selection criteria for the company's greening goals. Additionally, behavioral fit for company's mission to "green the environment" should be taken into account when making a selection.</w:t>
      </w:r>
    </w:p>
    <w:p w:rsidR="00000000" w:rsidDel="00000000" w:rsidP="00000000" w:rsidRDefault="00000000" w:rsidRPr="00000000" w14:paraId="0000037B">
      <w:pPr>
        <w:pStyle w:val="Heading3"/>
        <w:rPr/>
      </w:pPr>
      <w:bookmarkStart w:colFirst="0" w:colLast="0" w:name="_i3y0lbvrywnm" w:id="102"/>
      <w:bookmarkEnd w:id="102"/>
      <w:r w:rsidDel="00000000" w:rsidR="00000000" w:rsidRPr="00000000">
        <w:rPr>
          <w:rtl w:val="0"/>
        </w:rPr>
        <w:t xml:space="preserve">9.3.4 Training and Development</w:t>
      </w:r>
    </w:p>
    <w:p w:rsidR="00000000" w:rsidDel="00000000" w:rsidP="00000000" w:rsidRDefault="00000000" w:rsidRPr="00000000" w14:paraId="0000037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Induction and ongoing staff training should be provided on Waste handling, Health and Safety, Customer Service, Digital tracking systems, Sustainability principles and environmental reporting. The importance of training rests on the credibility of the data of collection and impact by EcoLoop, which rests on solid data. The UK continues to face numerous employers who are struggling with a lack of skills, and CIPD data in this field indicates that employers continue to invest less in training.</w:t>
      </w:r>
    </w:p>
    <w:p w:rsidR="00000000" w:rsidDel="00000000" w:rsidP="00000000" w:rsidRDefault="00000000" w:rsidRPr="00000000" w14:paraId="0000037D">
      <w:pPr>
        <w:pStyle w:val="Heading3"/>
        <w:rPr/>
      </w:pPr>
      <w:bookmarkStart w:colFirst="0" w:colLast="0" w:name="_6ooggwk1uz5u" w:id="103"/>
      <w:bookmarkEnd w:id="103"/>
      <w:r w:rsidDel="00000000" w:rsidR="00000000" w:rsidRPr="00000000">
        <w:rPr>
          <w:rtl w:val="0"/>
        </w:rPr>
        <w:t xml:space="preserve">9.3.5 Compensation and Labour Costs</w:t>
      </w:r>
    </w:p>
    <w:p w:rsidR="00000000" w:rsidDel="00000000" w:rsidP="00000000" w:rsidRDefault="00000000" w:rsidRPr="00000000" w14:paraId="0000037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Compensation should be a blend of competitive pay and performance-based measures based on revenue not lost to customers, collection accuracy and customer service performance. The National Living Wage will rise to £12.71 per hour for anyone aged 21 and over from April 2026 - an increase of 4.1% on the current rate. Employer National Insurance is marginally more complex because it isn't fixed to the secondary thresholds; it's 15% higher than the thresholds for 2026–27, magnifying the need for realistic payroll budgeting (Government of UK, 2026b).</w:t>
      </w:r>
    </w:p>
    <w:p w:rsidR="00000000" w:rsidDel="00000000" w:rsidP="00000000" w:rsidRDefault="00000000" w:rsidRPr="00000000" w14:paraId="0000037F">
      <w:pPr>
        <w:pStyle w:val="Heading3"/>
        <w:rPr/>
      </w:pPr>
      <w:bookmarkStart w:colFirst="0" w:colLast="0" w:name="_7szq7v7z5zb9" w:id="104"/>
      <w:bookmarkEnd w:id="104"/>
      <w:r w:rsidDel="00000000" w:rsidR="00000000" w:rsidRPr="00000000">
        <w:rPr>
          <w:rtl w:val="0"/>
        </w:rPr>
        <w:t xml:space="preserve">9.3.6 HR Policies and Compliance</w:t>
      </w:r>
    </w:p>
    <w:p w:rsidR="00000000" w:rsidDel="00000000" w:rsidP="00000000" w:rsidRDefault="00000000" w:rsidRPr="00000000" w14:paraId="0000038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EcoLoop must have policies that include equality and diversity, health and safety, working hours, employee wellbeing, confidentiality and performance management. For those who are physically involved in collection and handling activities the health and safety is especially significant (PECB, 2025). Data confidentiality will also be relevant, as there may be customer data and operational data held on the digital platform. Job descriptions, frequent reviews, and documented processes can help manage risk in the operation. </w:t>
      </w:r>
    </w:p>
    <w:p w:rsidR="00000000" w:rsidDel="00000000" w:rsidP="00000000" w:rsidRDefault="00000000" w:rsidRPr="00000000" w14:paraId="00000381">
      <w:pPr>
        <w:pStyle w:val="Heading1"/>
        <w:spacing w:before="200" w:lineRule="auto"/>
        <w:rPr/>
      </w:pPr>
      <w:bookmarkStart w:colFirst="0" w:colLast="0" w:name="_a39a1sur8v4u" w:id="105"/>
      <w:bookmarkEnd w:id="105"/>
      <w:r w:rsidDel="00000000" w:rsidR="00000000" w:rsidRPr="00000000">
        <w:br w:type="page"/>
      </w:r>
      <w:r w:rsidDel="00000000" w:rsidR="00000000" w:rsidRPr="00000000">
        <w:rPr>
          <w:rtl w:val="0"/>
        </w:rPr>
      </w:r>
    </w:p>
    <w:p w:rsidR="00000000" w:rsidDel="00000000" w:rsidP="00000000" w:rsidRDefault="00000000" w:rsidRPr="00000000" w14:paraId="00000382">
      <w:pPr>
        <w:pStyle w:val="Heading1"/>
        <w:spacing w:before="200" w:lineRule="auto"/>
        <w:rPr/>
      </w:pPr>
      <w:bookmarkStart w:colFirst="0" w:colLast="0" w:name="_lgb4cu2n51m8" w:id="106"/>
      <w:bookmarkEnd w:id="106"/>
      <w:r w:rsidDel="00000000" w:rsidR="00000000" w:rsidRPr="00000000">
        <w:rPr>
          <w:rtl w:val="0"/>
        </w:rPr>
        <w:t xml:space="preserve">Chapter 10. Operations Plan</w:t>
      </w:r>
    </w:p>
    <w:p w:rsidR="00000000" w:rsidDel="00000000" w:rsidP="00000000" w:rsidRDefault="00000000" w:rsidRPr="00000000" w14:paraId="00000383">
      <w:pPr>
        <w:pStyle w:val="Heading2"/>
        <w:spacing w:before="200" w:lineRule="auto"/>
        <w:rPr/>
      </w:pPr>
      <w:bookmarkStart w:colFirst="0" w:colLast="0" w:name="_qrn0ab8hvnut" w:id="107"/>
      <w:bookmarkEnd w:id="107"/>
      <w:r w:rsidDel="00000000" w:rsidR="00000000" w:rsidRPr="00000000">
        <w:rPr>
          <w:rtl w:val="0"/>
        </w:rPr>
        <w:t xml:space="preserve">10.1 Operations Strategy</w:t>
      </w:r>
    </w:p>
    <w:p w:rsidR="00000000" w:rsidDel="00000000" w:rsidP="00000000" w:rsidRDefault="00000000" w:rsidRPr="00000000" w14:paraId="0000038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operations strategy of EcoLoop Office focuses on creating a convenient, reliable and measurable, yet lean cost structure service. From a commercial perspective, the amount of commercial and industrial waste produced by England was 32.6 million tonnes in 2023, but decreased by 3% from the 2022 level (Government of UK, 2024b). EcoLoop should thus not only concentrate on collecting waste, it would also be good to give them the opportunity to get even more re-generated or recycled – and at the same time give them the information in a concrete form.</w:t>
      </w:r>
    </w:p>
    <w:p w:rsidR="00000000" w:rsidDel="00000000" w:rsidP="00000000" w:rsidRDefault="00000000" w:rsidRPr="00000000" w14:paraId="00000385">
      <w:pPr>
        <w:pStyle w:val="Heading2"/>
        <w:spacing w:before="200" w:lineRule="auto"/>
        <w:rPr/>
      </w:pPr>
      <w:bookmarkStart w:colFirst="0" w:colLast="0" w:name="_3ek54579gm4e" w:id="108"/>
      <w:bookmarkEnd w:id="108"/>
      <w:r w:rsidDel="00000000" w:rsidR="00000000" w:rsidRPr="00000000">
        <w:rPr>
          <w:rtl w:val="0"/>
        </w:rPr>
        <w:t xml:space="preserve">10.2 End-to-End Operational Workflow</w:t>
      </w:r>
    </w:p>
    <w:p w:rsidR="00000000" w:rsidDel="00000000" w:rsidP="00000000" w:rsidRDefault="00000000" w:rsidRPr="00000000" w14:paraId="0000038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22. End-to-End Operational Workflow</w:t>
      </w:r>
    </w:p>
    <w:tbl>
      <w:tblPr>
        <w:tblStyle w:val="Table23"/>
        <w:tblW w:w="9360.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207"/>
        <w:gridCol w:w="4812"/>
        <w:gridCol w:w="2341"/>
        <w:tblGridChange w:id="0">
          <w:tblGrid>
            <w:gridCol w:w="2207"/>
            <w:gridCol w:w="4812"/>
            <w:gridCol w:w="2341"/>
          </w:tblGrid>
        </w:tblGridChange>
      </w:tblGrid>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Stage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Operational Activity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Responsible Function</w:t>
            </w:r>
            <w:r w:rsidDel="00000000" w:rsidR="00000000" w:rsidRPr="00000000">
              <w:rPr>
                <w:rtl w:val="0"/>
              </w:rPr>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Customer acquisition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Identify and qualify target offices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Sales &amp; Marketing</w:t>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Sustainability audit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Assess waste types, volumes and existing processes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Sustainability Officer</w:t>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Package selection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Recommend EcoBasic, EcoPlus or EcoPro</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Sales &amp; Sustainability</w:t>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Collection schedule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Establish frequency and collection requirements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Operations Manager</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Collection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Collect segregated materials securely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Collection Staff</w:t>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Sorting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Separate reusable, recyclable and residual materials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Operations Team</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Reuse/recycling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Transfer materials to approved partners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Operations Manager</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Data recording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A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Record quantities and destinations digitally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A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Data Officer</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Impact reporting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Produce customer sustainability reports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Sustainability Officer</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A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Improvement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A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Review KPIs and modify service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A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Management Team</w:t>
            </w:r>
          </w:p>
        </w:tc>
      </w:tr>
    </w:tbl>
    <w:p w:rsidR="00000000" w:rsidDel="00000000" w:rsidP="00000000" w:rsidRDefault="00000000" w:rsidRPr="00000000" w14:paraId="000003A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Self-Created</w:t>
      </w:r>
    </w:p>
    <w:p w:rsidR="00000000" w:rsidDel="00000000" w:rsidP="00000000" w:rsidRDefault="00000000" w:rsidRPr="00000000" w14:paraId="000003A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work flow starts with a sustainability audit for the customer, where the service is not defined by a standardised package, but geared to the actual characteristics of that waste stream. Collection staff then takes advantage of hub-and-spoke referenced containers and safe transport. The materials are then channelled to re-use and/or recycle, wherever technically and economically feasible (Ogwu and Kosoe, 2025). </w:t>
      </w:r>
    </w:p>
    <w:p w:rsidR="00000000" w:rsidDel="00000000" w:rsidP="00000000" w:rsidRDefault="00000000" w:rsidRPr="00000000" w14:paraId="000003A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strategic importance of digital recording lies in the fact that an integrated information system can be built, which can potentially provide data on weight, type of material, destination, and processing result, for each collection (Pascucci, Savelli and Gistri, 2023). This allows EcoLoop to publish science-based reports instead of environmental claims which are not based on science.</w:t>
      </w:r>
    </w:p>
    <w:p w:rsidR="00000000" w:rsidDel="00000000" w:rsidP="00000000" w:rsidRDefault="00000000" w:rsidRPr="00000000" w14:paraId="000003AB">
      <w:pPr>
        <w:pStyle w:val="Heading2"/>
        <w:spacing w:before="200" w:lineRule="auto"/>
        <w:rPr/>
      </w:pPr>
      <w:bookmarkStart w:colFirst="0" w:colLast="0" w:name="_w8prtpj01vqz" w:id="109"/>
      <w:bookmarkEnd w:id="109"/>
      <w:r w:rsidDel="00000000" w:rsidR="00000000" w:rsidRPr="00000000">
        <w:rPr>
          <w:rtl w:val="0"/>
        </w:rPr>
        <w:t xml:space="preserve">10.3 Location Strategy</w:t>
      </w:r>
    </w:p>
    <w:p w:rsidR="00000000" w:rsidDel="00000000" w:rsidP="00000000" w:rsidRDefault="00000000" w:rsidRPr="00000000" w14:paraId="000003A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management of material flows should play out of a small, strategically located storage and coordination system that is near where the target customers are located. Rent costs must be affordable and the site needs to be able to accommodate vehicles and additional space for temporary separation that does not result in unnecessary fixed costs. Yet proximity has a positive effect on collection mileage on reduced costs and environmental performance (Winter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2021). On the other hand, a regional hub model can be applied after the density of the customers is sufficient.</w:t>
      </w:r>
    </w:p>
    <w:p w:rsidR="00000000" w:rsidDel="00000000" w:rsidP="00000000" w:rsidRDefault="00000000" w:rsidRPr="00000000" w14:paraId="000003AD">
      <w:pPr>
        <w:pStyle w:val="Heading2"/>
        <w:spacing w:before="200" w:lineRule="auto"/>
        <w:rPr/>
      </w:pPr>
      <w:bookmarkStart w:colFirst="0" w:colLast="0" w:name="_365gxgt8s5pn" w:id="110"/>
      <w:bookmarkEnd w:id="110"/>
      <w:r w:rsidDel="00000000" w:rsidR="00000000" w:rsidRPr="00000000">
        <w:rPr>
          <w:rtl w:val="0"/>
        </w:rPr>
        <w:t xml:space="preserve">10.4 Supply Chain and Procurement</w:t>
      </w:r>
    </w:p>
    <w:p w:rsidR="00000000" w:rsidDel="00000000" w:rsidP="00000000" w:rsidRDefault="00000000" w:rsidRPr="00000000" w14:paraId="000003A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There should be a partnership based supply chain in place between EcoLoop and its downstream processing partners, rather than having to immediately invest in every processing capacity. Key partners include equipment suppliers, licensed recycling businesses, the reuse/refurbishment organisations, logistics and technology suppliers.</w:t>
      </w:r>
    </w:p>
    <w:p w:rsidR="00000000" w:rsidDel="00000000" w:rsidP="00000000" w:rsidRDefault="00000000" w:rsidRPr="00000000" w14:paraId="000003A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This will lower the capital needed and may come with dependency risk. EcoLoop should have alternative suppliers of critical activities. Businesses that are transferring waste to another business have a continuing duty of care to take reasonable measures to ensure that they are transferring to a company that is appropriate and is licensed to receive waste.</w:t>
      </w:r>
    </w:p>
    <w:p w:rsidR="00000000" w:rsidDel="00000000" w:rsidP="00000000" w:rsidRDefault="00000000" w:rsidRPr="00000000" w14:paraId="000003B0">
      <w:pPr>
        <w:pStyle w:val="Heading2"/>
        <w:spacing w:before="200" w:lineRule="auto"/>
        <w:rPr/>
      </w:pPr>
      <w:bookmarkStart w:colFirst="0" w:colLast="0" w:name="_qt5kz3q5y2dg" w:id="111"/>
      <w:bookmarkEnd w:id="111"/>
      <w:r w:rsidDel="00000000" w:rsidR="00000000" w:rsidRPr="00000000">
        <w:rPr>
          <w:rtl w:val="0"/>
        </w:rPr>
        <w:t xml:space="preserve">10.5 Inventory Management</w:t>
      </w:r>
    </w:p>
    <w:p w:rsidR="00000000" w:rsidDel="00000000" w:rsidP="00000000" w:rsidRDefault="00000000" w:rsidRPr="00000000" w14:paraId="000003B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 digital minimum-maximum system for controlling inventory of collection containers, labels, packaging, protective equipment and operation spares for containers. The aim is to check stocks on a weekly basis, and set automatic reorder points as the stocks get to a predetermined level. This helps to avoid having to allocate too much stock up for it to be in the way and costing too much working capital at the same time, and it avoids the problem of going out of stock, which could cause disruptions in collections. As opposed to manufacturing, the core business of EcoLoop should be service delivery meaning that stock should not be too large.</w:t>
      </w:r>
    </w:p>
    <w:p w:rsidR="00000000" w:rsidDel="00000000" w:rsidP="00000000" w:rsidRDefault="00000000" w:rsidRPr="00000000" w14:paraId="000003B2">
      <w:pPr>
        <w:pStyle w:val="Heading2"/>
        <w:spacing w:before="200" w:lineRule="auto"/>
        <w:rPr/>
      </w:pPr>
      <w:bookmarkStart w:colFirst="0" w:colLast="0" w:name="_vxavasmb6in5" w:id="112"/>
      <w:bookmarkEnd w:id="112"/>
      <w:r w:rsidDel="00000000" w:rsidR="00000000" w:rsidRPr="00000000">
        <w:rPr>
          <w:rtl w:val="0"/>
        </w:rPr>
        <w:t xml:space="preserve">10.6 Technology Systems</w:t>
      </w:r>
    </w:p>
    <w:p w:rsidR="00000000" w:rsidDel="00000000" w:rsidP="00000000" w:rsidRDefault="00000000" w:rsidRPr="00000000" w14:paraId="000003B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technology should give operation infrastructure that should touch the customer, employee and processing partner. The strategic value is increased transparency on the waste value chain. For instance, QR/barcode records have the opportunities to connect a collection with the customer, material category, quantity and destination (Ahmed &amp; MacCarthy, 2023). This eliminates dependence on manual spreadsheets and leaves a traceable record of the information.</w:t>
      </w:r>
    </w:p>
    <w:p w:rsidR="00000000" w:rsidDel="00000000" w:rsidP="00000000" w:rsidRDefault="00000000" w:rsidRPr="00000000" w14:paraId="000003B4">
      <w:pPr>
        <w:pStyle w:val="Heading2"/>
        <w:spacing w:before="200" w:lineRule="auto"/>
        <w:rPr/>
      </w:pPr>
      <w:bookmarkStart w:colFirst="0" w:colLast="0" w:name="_pf38v0ctetow" w:id="113"/>
      <w:bookmarkEnd w:id="113"/>
      <w:r w:rsidDel="00000000" w:rsidR="00000000" w:rsidRPr="00000000">
        <w:rPr>
          <w:rtl w:val="0"/>
        </w:rPr>
        <w:t xml:space="preserve">11.7 Quality Control</w:t>
      </w:r>
    </w:p>
    <w:p w:rsidR="00000000" w:rsidDel="00000000" w:rsidP="00000000" w:rsidRDefault="00000000" w:rsidRPr="00000000" w14:paraId="000003B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Quality management should focus on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service reliability and material quality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3B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23. Quality Control</w:t>
      </w:r>
    </w:p>
    <w:tbl>
      <w:tblPr>
        <w:tblStyle w:val="Table24"/>
        <w:tblW w:w="5350.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645"/>
        <w:gridCol w:w="2705"/>
        <w:tblGridChange w:id="0">
          <w:tblGrid>
            <w:gridCol w:w="2645"/>
            <w:gridCol w:w="2705"/>
          </w:tblGrid>
        </w:tblGridChange>
      </w:tblGrid>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KPI</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B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Initial Target</w:t>
            </w:r>
            <w:r w:rsidDel="00000000" w:rsidR="00000000" w:rsidRPr="00000000">
              <w:rPr>
                <w:rtl w:val="0"/>
              </w:rPr>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B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Collection completion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≥95%</w:t>
            </w:r>
            <w:r w:rsidDel="00000000" w:rsidR="00000000" w:rsidRPr="00000000">
              <w:rPr>
                <w:rtl w:val="0"/>
              </w:rPr>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B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Contamination rate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B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≤5%</w:t>
            </w:r>
            <w:r w:rsidDel="00000000" w:rsidR="00000000" w:rsidRPr="00000000">
              <w:rPr>
                <w:rtl w:val="0"/>
              </w:rPr>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B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Processing/data accuracy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≥98%</w:t>
            </w:r>
            <w:r w:rsidDel="00000000" w:rsidR="00000000" w:rsidRPr="00000000">
              <w:rPr>
                <w:rtl w:val="0"/>
              </w:rPr>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Customer response time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&lt;24 hours</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C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Customer complaints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C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&lt;3% of monthly accounts</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C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Customer satisfaction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0"/>
                <w:bCs w:val="0"/>
                <w:i w:val="0"/>
                <w:iCs w:val="0"/>
                <w:smallCaps w:val="0"/>
                <w:strike w:val="0"/>
                <w:color w:val="000000"/>
                <w:sz w:val="24"/>
                <w:szCs w:val="24"/>
                <w:u w:val="none"/>
                <w:shd w:fill="auto" w:val="clear"/>
                <w:vertAlign w:val="baseline"/>
                <w:rtl w:val="0"/>
              </w:rPr>
              <w:t xml:space="preserve">≥90%</w:t>
            </w:r>
            <w:r w:rsidDel="00000000" w:rsidR="00000000" w:rsidRPr="00000000">
              <w:rPr>
                <w:rtl w:val="0"/>
              </w:rPr>
            </w:r>
          </w:p>
        </w:tc>
      </w:tr>
    </w:tbl>
    <w:p w:rsidR="00000000" w:rsidDel="00000000" w:rsidP="00000000" w:rsidRDefault="00000000" w:rsidRPr="00000000" w14:paraId="000003C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Source: Self-Created</w:t>
      </w:r>
    </w:p>
    <w:p w:rsidR="00000000" w:rsidDel="00000000" w:rsidP="00000000" w:rsidRDefault="00000000" w:rsidRPr="00000000" w14:paraId="000003C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These measures have a direct link to the value proposition. Increased contamination levels would decrease recycling value and absence of services would have negative consequences on convenience. Therefore, instead of simply reporting performance, the monthly KPI tracking should find the root causes and corrective actions.</w:t>
      </w:r>
    </w:p>
    <w:p w:rsidR="00000000" w:rsidDel="00000000" w:rsidP="00000000" w:rsidRDefault="00000000" w:rsidRPr="00000000" w14:paraId="000003C7">
      <w:pPr>
        <w:pStyle w:val="Heading2"/>
        <w:spacing w:before="200" w:lineRule="auto"/>
        <w:rPr/>
      </w:pPr>
      <w:bookmarkStart w:colFirst="0" w:colLast="0" w:name="_fko36souuqg9" w:id="114"/>
      <w:bookmarkEnd w:id="114"/>
      <w:r w:rsidDel="00000000" w:rsidR="00000000" w:rsidRPr="00000000">
        <w:rPr>
          <w:rtl w:val="0"/>
        </w:rPr>
        <w:t xml:space="preserve">10.8 Logistics and Distribution</w:t>
      </w:r>
    </w:p>
    <w:p w:rsidR="00000000" w:rsidDel="00000000" w:rsidP="00000000" w:rsidRDefault="00000000" w:rsidRPr="00000000" w14:paraId="000003C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Planning routes needs to take into account that it is possible to group the visits of local customers to provide the highest return of the motor vehicle and avoid needless mileage. The number of garbage collection should adjust to the customer's waste tonnage and not rely on fixed frequency programs for all customers (Global Trash Solutions, 2026). Empty journeys can be minimised and geographically close customers geographically grouped with digital scheduling.</w:t>
      </w:r>
    </w:p>
    <w:p w:rsidR="00000000" w:rsidDel="00000000" w:rsidP="00000000" w:rsidRDefault="00000000" w:rsidRPr="00000000" w14:paraId="000003C9">
      <w:pPr>
        <w:pStyle w:val="Heading2"/>
        <w:spacing w:before="200" w:lineRule="auto"/>
        <w:rPr/>
      </w:pPr>
      <w:bookmarkStart w:colFirst="0" w:colLast="0" w:name="_7qnu2gqrhts2" w:id="115"/>
      <w:bookmarkEnd w:id="115"/>
      <w:r w:rsidDel="00000000" w:rsidR="00000000" w:rsidRPr="00000000">
        <w:rPr>
          <w:rtl w:val="0"/>
        </w:rPr>
        <w:t xml:space="preserve">10.9 Legal and Regulatory Considerations</w:t>
      </w:r>
    </w:p>
    <w:p w:rsidR="00000000" w:rsidDel="00000000" w:rsidP="00000000" w:rsidRDefault="00000000" w:rsidRPr="00000000" w14:paraId="000003C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mineralisation of waste, safe storage, waste transfer documentation and that waste carriers are registered is needed by UK businesses (Government of UK, 2023). For non-hazardous waste transfers, a waste transfer note is issued, and records kept for two years for the most part. EcoLoop will also conduct appropriate classification of waste, and ensure that employees' health and safety requirements are met, in addition to ensuring that environmental claims have evidence to support them.</w:t>
      </w:r>
      <w:r w:rsidDel="00000000" w:rsidR="00000000" w:rsidRPr="00000000">
        <w:br w:type="page"/>
      </w:r>
      <w:r w:rsidDel="00000000" w:rsidR="00000000" w:rsidRPr="00000000">
        <w:rPr>
          <w:rtl w:val="0"/>
        </w:rPr>
      </w:r>
    </w:p>
    <w:p w:rsidR="00000000" w:rsidDel="00000000" w:rsidP="00000000" w:rsidRDefault="00000000" w:rsidRPr="00000000" w14:paraId="000003CB">
      <w:pPr>
        <w:pStyle w:val="Heading1"/>
        <w:spacing w:before="200" w:lineRule="auto"/>
        <w:rPr/>
      </w:pPr>
      <w:bookmarkStart w:colFirst="0" w:colLast="0" w:name="_q9u1kj1uvs5t" w:id="116"/>
      <w:bookmarkEnd w:id="116"/>
      <w:r w:rsidDel="00000000" w:rsidR="00000000" w:rsidRPr="00000000">
        <w:rPr>
          <w:rtl w:val="0"/>
        </w:rPr>
        <w:t xml:space="preserve">Chapter 11. Feasibility Analysis </w:t>
      </w:r>
    </w:p>
    <w:p w:rsidR="00000000" w:rsidDel="00000000" w:rsidP="00000000" w:rsidRDefault="00000000" w:rsidRPr="00000000" w14:paraId="000003CC">
      <w:pPr>
        <w:pStyle w:val="Heading2"/>
        <w:spacing w:before="200" w:lineRule="auto"/>
        <w:rPr>
          <w:sz w:val="34"/>
          <w:szCs w:val="34"/>
        </w:rPr>
      </w:pPr>
      <w:bookmarkStart w:colFirst="0" w:colLast="0" w:name="_2e0pyrqu8lhx" w:id="117"/>
      <w:bookmarkEnd w:id="117"/>
      <w:r w:rsidDel="00000000" w:rsidR="00000000" w:rsidRPr="00000000">
        <w:rPr>
          <w:rtl w:val="0"/>
        </w:rPr>
        <w:t xml:space="preserve">11.1 Market Feasibility based on Decision Criteria</w:t>
      </w:r>
      <w:r w:rsidDel="00000000" w:rsidR="00000000" w:rsidRPr="00000000">
        <w:rPr>
          <w:rtl w:val="0"/>
        </w:rPr>
      </w:r>
    </w:p>
    <w:p w:rsidR="00000000" w:rsidDel="00000000" w:rsidP="00000000" w:rsidRDefault="00000000" w:rsidRPr="00000000" w14:paraId="000003C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Market, ethical, operational, financial and strategic evidence that has been created beforehand then tested for feasibility with EcoLoop. The assessment takes into account the validation of customer demand, reliability of operations, financial assumptions, and an ability to handle risks. The feasibility of a solution is assessed in the present state of uncertainty in regard to pilot based on contribution margins, customer retention and measurable circular outcomes of the solution.</w:t>
      </w:r>
    </w:p>
    <w:p w:rsidR="00000000" w:rsidDel="00000000" w:rsidP="00000000" w:rsidRDefault="00000000" w:rsidRPr="00000000" w14:paraId="000003CE">
      <w:pPr>
        <w:pStyle w:val="Heading2"/>
        <w:spacing w:before="200" w:lineRule="auto"/>
        <w:rPr/>
      </w:pPr>
      <w:bookmarkStart w:colFirst="0" w:colLast="0" w:name="_verhcf3mbihl" w:id="118"/>
      <w:bookmarkEnd w:id="118"/>
      <w:r w:rsidDel="00000000" w:rsidR="00000000" w:rsidRPr="00000000">
        <w:rPr>
          <w:rtl w:val="0"/>
        </w:rPr>
        <w:t xml:space="preserve">11.2 Ethical and market feasibility </w:t>
      </w:r>
    </w:p>
    <w:p w:rsidR="00000000" w:rsidDel="00000000" w:rsidP="00000000" w:rsidRDefault="00000000" w:rsidRPr="00000000" w14:paraId="000003CF">
      <w:pPr>
        <w:pStyle w:val="Heading3"/>
        <w:rPr/>
      </w:pPr>
      <w:bookmarkStart w:colFirst="0" w:colLast="0" w:name="_n9l0jr63a3mr" w:id="119"/>
      <w:bookmarkEnd w:id="119"/>
      <w:r w:rsidDel="00000000" w:rsidR="00000000" w:rsidRPr="00000000">
        <w:rPr>
          <w:rtl w:val="0"/>
        </w:rPr>
        <w:t xml:space="preserve">11.2.1 Market Feasibility </w:t>
      </w:r>
    </w:p>
    <w:p w:rsidR="00000000" w:rsidDel="00000000" w:rsidP="00000000" w:rsidRDefault="00000000" w:rsidRPr="00000000" w14:paraId="000003D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EcoLoop with its idea fills an unproven market need. The number of private sector businesses in the UK was 5.69 million in early 2025 and 60% of employment in this sector was in SMEs (Department for Business and Trade, 2025). But this is not indicative of business size or the size of the market EcoLoop operates in—75% of businesses had no employees. SMEs and scale-ups and flex space operators are more inclined towards demand. The amount of commercial and industrial waste produced in England in 2023 was 32.6 million tonnes (Department for Environment, Food and Rural Affairs 2025). The acquisition, retention and willingness to pay have yet to be proven and need to be pilot tested.</w:t>
      </w:r>
    </w:p>
    <w:p w:rsidR="00000000" w:rsidDel="00000000" w:rsidP="00000000" w:rsidRDefault="00000000" w:rsidRPr="00000000" w14:paraId="000003D1">
      <w:pPr>
        <w:pStyle w:val="Heading3"/>
        <w:rPr/>
      </w:pPr>
      <w:bookmarkStart w:colFirst="0" w:colLast="0" w:name="_n9zh0pmqt30j" w:id="120"/>
      <w:bookmarkEnd w:id="120"/>
      <w:r w:rsidDel="00000000" w:rsidR="00000000" w:rsidRPr="00000000">
        <w:rPr>
          <w:rtl w:val="0"/>
        </w:rPr>
        <w:t xml:space="preserve">11.2.2 Ethical Feasibility </w:t>
      </w:r>
    </w:p>
    <w:p w:rsidR="00000000" w:rsidDel="00000000" w:rsidP="00000000" w:rsidRDefault="00000000" w:rsidRPr="00000000" w14:paraId="000003D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For ethical feasibility, environmental outcomes must be shown and not just argued with sustainable rhetoric, or in claims in isolation. Often, EcoLoop should specify collection and distinctions with re-use, refurbishment and recycling (without supporting statements), without ambiguity. Waste needs to be disposed of appropriately and be recorded and securely stored via the authorised partnership. There needs to be training, health and safety rules and procedures for employees. Information about material destinations, service restrictions and environmental performance should be provided to the stakeholders. Evidence-based accountability must include outreach and reporting of the measurable environmental impact and recognize the impacts of transport, processing and refurbishment; waste diversion does not occur automatically and has its own impacts, which must be recognised.</w:t>
      </w:r>
    </w:p>
    <w:p w:rsidR="00000000" w:rsidDel="00000000" w:rsidP="00000000" w:rsidRDefault="00000000" w:rsidRPr="00000000" w14:paraId="000003D3">
      <w:pPr>
        <w:pStyle w:val="Heading2"/>
        <w:spacing w:before="200" w:lineRule="auto"/>
        <w:rPr/>
      </w:pPr>
      <w:bookmarkStart w:colFirst="0" w:colLast="0" w:name="_rnm7n4bxpuw" w:id="121"/>
      <w:bookmarkEnd w:id="121"/>
      <w:r w:rsidDel="00000000" w:rsidR="00000000" w:rsidRPr="00000000">
        <w:rPr>
          <w:rtl w:val="0"/>
        </w:rPr>
        <w:t xml:space="preserve">11.3 Operational and Technical Feasibility </w:t>
      </w:r>
    </w:p>
    <w:p w:rsidR="00000000" w:rsidDel="00000000" w:rsidP="00000000" w:rsidRDefault="00000000" w:rsidRPr="00000000" w14:paraId="000003D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Operational feasibility can be achieved just by not having to implement new technologies; digital inventory systems, QR/barcode identification, dashboards and analytics are available in the market. What is important is not the invention, but integration. Accurate collection, sorting, refurbishment and recycling, storage, partner coordination and reporting are key requirements for the model. The scale of processing activity is reflected in England's 32.6 million tonnes of commercial and industrial waste in 2023, as is its complexity (Department for Environment, Food and Rural Affairs, 2025).</w:t>
      </w:r>
    </w:p>
    <w:p w:rsidR="00000000" w:rsidDel="00000000" w:rsidP="00000000" w:rsidRDefault="00000000" w:rsidRPr="00000000" w14:paraId="000003D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Accounting for 6 people is the right size for a controlled pilot, and, if needed, accounting outsourcing and specialist partners can reduce costs. Scalability should be based on customer density, and not just geographical location: aggregated customers can lead to better utilisation of the vehicles and fewer empty trips. Prior to effective regional expansion, pilot testing should be undertaken to assess the reliability of collection, processing quality.</w:t>
      </w:r>
    </w:p>
    <w:p w:rsidR="00000000" w:rsidDel="00000000" w:rsidP="00000000" w:rsidRDefault="00000000" w:rsidRPr="00000000" w14:paraId="000003D6">
      <w:pPr>
        <w:pStyle w:val="Heading2"/>
        <w:spacing w:before="200" w:lineRule="auto"/>
        <w:rPr/>
      </w:pPr>
      <w:bookmarkStart w:colFirst="0" w:colLast="0" w:name="_2fzekf6r5xgv" w:id="122"/>
      <w:bookmarkEnd w:id="122"/>
      <w:r w:rsidDel="00000000" w:rsidR="00000000" w:rsidRPr="00000000">
        <w:rPr>
          <w:rtl w:val="0"/>
        </w:rPr>
        <w:t xml:space="preserve">11.4 Financial Feasibility </w:t>
      </w:r>
    </w:p>
    <w:p w:rsidR="00000000" w:rsidDel="00000000" w:rsidP="00000000" w:rsidRDefault="00000000" w:rsidRPr="00000000" w14:paraId="000003D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proposed financial model must be carefully tested as the start-up budget of £75,000 is a planning assumption and not a requirement that has been quoted by an external source. Planned expenditure £12,000 for digital platform/CRM, £18,000 for vehicle &amp; logistics set up and £15,000 for working capital. These allocations are based on the premise that there is risk of physical operation and risk of liquidity. But revenue projections are not a substitute for customer conversion and customer contribution margins, however.</w:t>
      </w:r>
    </w:p>
    <w:p w:rsidR="00000000" w:rsidDel="00000000" w:rsidP="00000000" w:rsidRDefault="00000000" w:rsidRPr="00000000" w14:paraId="000003D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24: Financial Feasibility Indicators </w:t>
      </w:r>
    </w:p>
    <w:tbl>
      <w:tblPr>
        <w:tblStyle w:val="Table25"/>
        <w:tblW w:w="10740.0" w:type="dxa"/>
        <w:jc w:val="left"/>
        <w:tblInd w:w="-82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3285"/>
        <w:gridCol w:w="1815"/>
        <w:gridCol w:w="5640"/>
        <w:tblGridChange w:id="0">
          <w:tblGrid>
            <w:gridCol w:w="3285"/>
            <w:gridCol w:w="1815"/>
            <w:gridCol w:w="5640"/>
          </w:tblGrid>
        </w:tblGridChange>
      </w:tblGrid>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Indicator</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Data</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Explanation</w:t>
            </w:r>
            <w:r w:rsidDel="00000000" w:rsidR="00000000" w:rsidRPr="00000000">
              <w:rPr>
                <w:rtl w:val="0"/>
              </w:rPr>
            </w:r>
          </w:p>
        </w:tc>
      </w:tr>
      <w:tr>
        <w:trPr>
          <w:cantSplit w:val="1"/>
          <w:trHeight w:val="77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Monthly packages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£199–£799+</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Creates recurring revenue across customer segments.</w:t>
            </w:r>
          </w:p>
        </w:tc>
      </w:tr>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Year 1 revenue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£270,000</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Indicates initial commercial potential.</w:t>
            </w:r>
          </w:p>
        </w:tc>
      </w:tr>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Year 1 profit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£35,000</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Shows modest early profitability.</w:t>
            </w:r>
          </w:p>
        </w:tc>
      </w:tr>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Year 5 revenue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£1.802m</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Indicates significant growth potential.</w:t>
            </w:r>
          </w:p>
        </w:tc>
      </w:tr>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Year 5 profit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£532,000</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Shows stronger profitability at scale.</w:t>
            </w:r>
          </w:p>
        </w:tc>
      </w:tr>
      <w:tr>
        <w:trPr>
          <w:cantSplit w:val="1"/>
          <w:trHeight w:val="77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Break-even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mo" w:cs="Arimo" w:eastAsia="Arimo" w:hAnsi="Arimo"/>
                <w:b w:val="1"/>
                <w:bCs w:val="1"/>
                <w:i w:val="0"/>
                <w:iCs w:val="0"/>
                <w:smallCaps w:val="0"/>
                <w:strike w:val="0"/>
                <w:color w:val="000000"/>
                <w:sz w:val="24"/>
                <w:szCs w:val="24"/>
                <w:u w:val="none"/>
                <w:shd w:fill="auto" w:val="clear"/>
                <w:vertAlign w:val="baseline"/>
                <w:rtl w:val="0"/>
              </w:rPr>
              <w:t xml:space="preserve">≈60 customers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Required to cover assumed fixed costs.</w:t>
            </w:r>
          </w:p>
        </w:tc>
      </w:tr>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Fixed costs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£150,000</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Creates pressure to secure recurring customers.</w:t>
            </w:r>
          </w:p>
        </w:tc>
      </w:tr>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Contribution/customer</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£2,500</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Supports the estimated break-even point.</w:t>
            </w:r>
          </w:p>
        </w:tc>
      </w:tr>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CPI</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F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2.6%</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F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Indicates continuing cost pressures.</w:t>
            </w:r>
          </w:p>
        </w:tc>
      </w:tr>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Living Wage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£12.71/hour</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Increases labour-cost requirements.</w:t>
            </w:r>
          </w:p>
        </w:tc>
      </w:tr>
    </w:tbl>
    <w:p w:rsidR="00000000" w:rsidDel="00000000" w:rsidP="00000000" w:rsidRDefault="00000000" w:rsidRPr="00000000" w14:paraId="000003F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Source: Self-developed </w:t>
      </w:r>
    </w:p>
    <w:p w:rsidR="00000000" w:rsidDel="00000000" w:rsidP="00000000" w:rsidRDefault="00000000" w:rsidRPr="00000000" w14:paraId="000003F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financial model is moderate to feasible as it has a projected growth of £1.802 million in Year 5 and recurring packages that generate consistent revenue. Profitability is still reliant on achieving around 60 customers, managing £150,000 fixed costs, logistics and retaining customers in a face of inflation and growing labour costs.</w:t>
      </w:r>
    </w:p>
    <w:p w:rsidR="00000000" w:rsidDel="00000000" w:rsidP="00000000" w:rsidRDefault="00000000" w:rsidRPr="00000000" w14:paraId="000003FC">
      <w:pPr>
        <w:pStyle w:val="Heading2"/>
        <w:spacing w:before="200" w:lineRule="auto"/>
        <w:rPr/>
      </w:pPr>
      <w:bookmarkStart w:colFirst="0" w:colLast="0" w:name="_5ouo7adjz1ha" w:id="123"/>
      <w:bookmarkEnd w:id="123"/>
      <w:r w:rsidDel="00000000" w:rsidR="00000000" w:rsidRPr="00000000">
        <w:rPr>
          <w:rtl w:val="0"/>
        </w:rPr>
        <w:t xml:space="preserve">11.5 Strategic Fit, risks and mitigation</w:t>
      </w:r>
    </w:p>
    <w:p w:rsidR="00000000" w:rsidDel="00000000" w:rsidP="00000000" w:rsidRDefault="00000000" w:rsidRPr="00000000" w14:paraId="000003F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25: Key Business Risks and Mitigation Measures for EcoLoop Office</w:t>
      </w:r>
    </w:p>
    <w:tbl>
      <w:tblPr>
        <w:tblStyle w:val="Table26"/>
        <w:tblW w:w="10780.0" w:type="dxa"/>
        <w:jc w:val="left"/>
        <w:tblInd w:w="-86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4885"/>
        <w:gridCol w:w="1530"/>
        <w:gridCol w:w="4365"/>
        <w:tblGridChange w:id="0">
          <w:tblGrid>
            <w:gridCol w:w="4885"/>
            <w:gridCol w:w="1530"/>
            <w:gridCol w:w="4365"/>
          </w:tblGrid>
        </w:tblGridChange>
      </w:tblGrid>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Risk</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3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Impact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Mitigation</w:t>
            </w:r>
            <w:r w:rsidDel="00000000" w:rsidR="00000000" w:rsidRPr="00000000">
              <w:rPr>
                <w:rtl w:val="0"/>
              </w:rPr>
            </w:r>
          </w:p>
        </w:tc>
      </w:tr>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Low customer acquisition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High</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Pilot and targeted B2B sales</w:t>
            </w:r>
          </w:p>
        </w:tc>
      </w:tr>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High logistics costs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High</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Route optimisation</w:t>
            </w:r>
          </w:p>
        </w:tc>
      </w:tr>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Supplier failure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Medium</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Multiple suppliers</w:t>
            </w:r>
          </w:p>
        </w:tc>
      </w:tr>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Competitor response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Medium</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Differentiation</w:t>
            </w:r>
          </w:p>
        </w:tc>
      </w:tr>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Technology failure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Medium</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Backup systems</w:t>
            </w:r>
          </w:p>
        </w:tc>
      </w:tr>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Greenwashing accusations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High</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Evidence-based reporting</w:t>
            </w:r>
          </w:p>
        </w:tc>
      </w:tr>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1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Cash-flow pressure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High</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Phased investment</w:t>
            </w:r>
          </w:p>
        </w:tc>
      </w:tr>
    </w:tbl>
    <w:p w:rsidR="00000000" w:rsidDel="00000000" w:rsidP="00000000" w:rsidRDefault="00000000" w:rsidRPr="00000000" w14:paraId="0000041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Source: Self-developed </w:t>
      </w:r>
    </w:p>
    <w:p w:rsidR="00000000" w:rsidDel="00000000" w:rsidP="00000000" w:rsidRDefault="00000000" w:rsidRPr="00000000" w14:paraId="0000041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With regard to commercial and operational risks, the risk profile shows that they pose threats to EcoLoop greater than technology risks. Slow acquisition or retention will impact the recurring revenue stream, high acquisition cost and slow break-even will impact profits. In order for EcoLoop to be strategically fit, there's a need to coordinate customer acquisition, operation, and reliability for the circular service with the value proposition. Logistical factors at length of asset life cycle, such as collection, storage and redistribution are not unimportant. Having multiple suppliers on the same part can diminish dependency and also can lead to escalated coordination costs. Price competition is NOT the way to deal with competitor imitation; it is an issue to be handled by execution, through customer data or customer service and reliability. Certain risks must apply, demand good claims and can be provided by evidence. A staggered investment approach should be used before going into a fleet or warehouse. Hence the final verdict will be based on a Conditional Go based on “customer KPIs”, “financial KPIs”, “operational KPIs”, a willingness of the customer to pay and positive contribution margins, circular outcomes that are measurable.</w:t>
      </w:r>
    </w:p>
    <w:p w:rsidR="00000000" w:rsidDel="00000000" w:rsidP="00000000" w:rsidRDefault="00000000" w:rsidRPr="00000000" w14:paraId="00000418">
      <w:pPr>
        <w:pStyle w:val="Heading2"/>
        <w:spacing w:before="200" w:lineRule="auto"/>
        <w:rPr/>
      </w:pPr>
      <w:bookmarkStart w:colFirst="0" w:colLast="0" w:name="_y475525zp8xd" w:id="124"/>
      <w:bookmarkEnd w:id="124"/>
      <w:r w:rsidDel="00000000" w:rsidR="00000000" w:rsidRPr="00000000">
        <w:rPr>
          <w:rtl w:val="0"/>
        </w:rPr>
        <w:t xml:space="preserve">11.6 Integrated Viability judgement</w:t>
      </w:r>
    </w:p>
    <w:p w:rsidR="00000000" w:rsidDel="00000000" w:rsidP="00000000" w:rsidRDefault="00000000" w:rsidRPr="00000000" w14:paraId="0000041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 summary, EcoLoop doesn't need a bump up yet, but should be considered for scale-up in the future. It appears market need and recurring revenue are up for grabs, but the acquisition, retention, contribution margins and the reliability of operations are not proven enough. Therefore, scaling should take place after conducting a controlled pilot and be agreed upon based on the willingness-to-pay, positive margins, reliable operations and measurable circular outcomes.</w:t>
      </w:r>
    </w:p>
    <w:p w:rsidR="00000000" w:rsidDel="00000000" w:rsidP="00000000" w:rsidRDefault="00000000" w:rsidRPr="00000000" w14:paraId="0000041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41B">
      <w:pPr>
        <w:pStyle w:val="Heading1"/>
        <w:spacing w:before="200" w:lineRule="auto"/>
        <w:rPr/>
      </w:pPr>
      <w:bookmarkStart w:colFirst="0" w:colLast="0" w:name="_pfr4xj2fgnv2" w:id="125"/>
      <w:bookmarkEnd w:id="125"/>
      <w:r w:rsidDel="00000000" w:rsidR="00000000" w:rsidRPr="00000000">
        <w:rPr>
          <w:rtl w:val="0"/>
        </w:rPr>
        <w:t xml:space="preserve">Chapter 12. Implementation Plan </w:t>
      </w:r>
    </w:p>
    <w:p w:rsidR="00000000" w:rsidDel="00000000" w:rsidP="00000000" w:rsidRDefault="00000000" w:rsidRPr="00000000" w14:paraId="0000041C">
      <w:pPr>
        <w:pStyle w:val="Heading2"/>
        <w:spacing w:before="200" w:lineRule="auto"/>
        <w:rPr/>
      </w:pPr>
      <w:bookmarkStart w:colFirst="0" w:colLast="0" w:name="_yj5qstx1cmxc" w:id="126"/>
      <w:bookmarkEnd w:id="126"/>
      <w:r w:rsidDel="00000000" w:rsidR="00000000" w:rsidRPr="00000000">
        <w:rPr>
          <w:rtl w:val="0"/>
        </w:rPr>
        <w:t xml:space="preserve">12.1 Implementation Approach and Launch Phases</w:t>
      </w:r>
    </w:p>
    <w:p w:rsidR="00000000" w:rsidDel="00000000" w:rsidP="00000000" w:rsidRDefault="00000000" w:rsidRPr="00000000" w14:paraId="0000041D">
      <w:pPr>
        <w:pStyle w:val="Heading3"/>
        <w:keepNext w:val="0"/>
        <w:keepLines w:val="0"/>
        <w:spacing w:after="80" w:lineRule="auto"/>
        <w:rPr>
          <w:sz w:val="26"/>
          <w:szCs w:val="26"/>
        </w:rPr>
      </w:pPr>
      <w:bookmarkStart w:colFirst="0" w:colLast="0" w:name="_8y937yx1369q" w:id="127"/>
      <w:bookmarkEnd w:id="127"/>
      <w:r w:rsidDel="00000000" w:rsidR="00000000" w:rsidRPr="00000000">
        <w:rPr>
          <w:sz w:val="26"/>
          <w:szCs w:val="26"/>
          <w:rtl w:val="0"/>
        </w:rPr>
        <w:t xml:space="preserve">12.1.1 Phase 1: Preparation — Months 1–2</w:t>
      </w:r>
    </w:p>
    <w:p w:rsidR="00000000" w:rsidDel="00000000" w:rsidP="00000000" w:rsidRDefault="00000000" w:rsidRPr="00000000" w14:paraId="0000041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Months 1-2 should be used to set up the conditions for market entry that involve differentiation, clear packages and service boundaries. Set-up and complete business registration, insurance, waste compliance, supplier agreements, legal requirements and service specifications. Provision of an MVI system for records, asset identification, scheduling and reporting (Ignatius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2024). Ensure sustainable measurable circularity, minimal recruitment and testing.</w:t>
      </w:r>
    </w:p>
    <w:p w:rsidR="00000000" w:rsidDel="00000000" w:rsidP="00000000" w:rsidRDefault="00000000" w:rsidRPr="00000000" w14:paraId="0000041F">
      <w:pPr>
        <w:pStyle w:val="Heading3"/>
        <w:keepNext w:val="0"/>
        <w:keepLines w:val="0"/>
        <w:spacing w:after="80" w:lineRule="auto"/>
        <w:rPr>
          <w:sz w:val="26"/>
          <w:szCs w:val="26"/>
        </w:rPr>
      </w:pPr>
      <w:bookmarkStart w:colFirst="0" w:colLast="0" w:name="_lfq28gyfq9k6" w:id="128"/>
      <w:bookmarkEnd w:id="128"/>
      <w:r w:rsidDel="00000000" w:rsidR="00000000" w:rsidRPr="00000000">
        <w:rPr>
          <w:sz w:val="26"/>
          <w:szCs w:val="26"/>
          <w:rtl w:val="0"/>
        </w:rPr>
        <w:t xml:space="preserve">12.1.2 Phase 2: Pilot — Months 3–4</w:t>
      </w:r>
    </w:p>
    <w:p w:rsidR="00000000" w:rsidDel="00000000" w:rsidP="00000000" w:rsidRDefault="00000000" w:rsidRPr="00000000" w14:paraId="0000042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 hypothesis-driven B2B outreach to SMEs should utilize months 3–4 to test hypotheses. Carry out audits, including those in the office and full asset and material outputs tracking. Assess satisfaction and reliability and cost of measures (Helo and Thai, 2024). Try to determine willingness to pay, make comparisons, do stage-gate cost/assumption fixes, etc. before launch.</w:t>
      </w:r>
    </w:p>
    <w:p w:rsidR="00000000" w:rsidDel="00000000" w:rsidP="00000000" w:rsidRDefault="00000000" w:rsidRPr="00000000" w14:paraId="00000421">
      <w:pPr>
        <w:pStyle w:val="Heading3"/>
        <w:keepNext w:val="0"/>
        <w:keepLines w:val="0"/>
        <w:spacing w:after="80" w:lineRule="auto"/>
        <w:rPr>
          <w:sz w:val="26"/>
          <w:szCs w:val="26"/>
        </w:rPr>
      </w:pPr>
      <w:bookmarkStart w:colFirst="0" w:colLast="0" w:name="_ix72pgqo01yp" w:id="129"/>
      <w:bookmarkEnd w:id="129"/>
      <w:r w:rsidDel="00000000" w:rsidR="00000000" w:rsidRPr="00000000">
        <w:rPr>
          <w:sz w:val="26"/>
          <w:szCs w:val="26"/>
          <w:rtl w:val="0"/>
        </w:rPr>
        <w:t xml:space="preserve">12.1.3 Phase 3: Commercial Launch — Months 5–6</w:t>
      </w:r>
    </w:p>
    <w:p w:rsidR="00000000" w:rsidDel="00000000" w:rsidP="00000000" w:rsidRDefault="00000000" w:rsidRPr="00000000" w14:paraId="0000042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pilot validation should be followed by month 5-6. Start geographically to defend against routing &amp; service quality attacks, focusing on SMEs and medium sized organisations. Digital marketing, referral and case studies, and partnerships with refurbishment companies, property managers and recycling companies; extend capability (Mehran and Kristensson, 2025). Track take-up, ongoing revenue, retain customers and guarantee reliability to manage growth.</w:t>
      </w:r>
    </w:p>
    <w:p w:rsidR="00000000" w:rsidDel="00000000" w:rsidP="00000000" w:rsidRDefault="00000000" w:rsidRPr="00000000" w14:paraId="00000423">
      <w:pPr>
        <w:pStyle w:val="Heading3"/>
        <w:keepNext w:val="0"/>
        <w:keepLines w:val="0"/>
        <w:spacing w:after="80" w:lineRule="auto"/>
        <w:rPr>
          <w:sz w:val="26"/>
          <w:szCs w:val="26"/>
        </w:rPr>
      </w:pPr>
      <w:bookmarkStart w:colFirst="0" w:colLast="0" w:name="_h4hcb98qa2ic" w:id="130"/>
      <w:bookmarkEnd w:id="130"/>
      <w:r w:rsidDel="00000000" w:rsidR="00000000" w:rsidRPr="00000000">
        <w:rPr>
          <w:sz w:val="26"/>
          <w:szCs w:val="26"/>
          <w:rtl w:val="0"/>
        </w:rPr>
        <w:t xml:space="preserve">12.1.4 Phase 4: Growth — Months 7–12</w:t>
      </w:r>
    </w:p>
    <w:p w:rsidR="00000000" w:rsidDel="00000000" w:rsidP="00000000" w:rsidRDefault="00000000" w:rsidRPr="00000000" w14:paraId="0000042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Costly growth ought to happen at that period of time (months 7 - 12) focused on evidence-based growth around that time where the reliability and the unit economics were there. Improve the capacity by density and routing economics; Improve logistics and selectively target the organisations. Sustainability Reporting has the capacity to generate value (Akbar, Jain and Bråthen, 2024). Examine performance month 12, and set expansion retention, margin and reliability requirements.</w:t>
      </w:r>
    </w:p>
    <w:p w:rsidR="00000000" w:rsidDel="00000000" w:rsidP="00000000" w:rsidRDefault="00000000" w:rsidRPr="00000000" w14:paraId="00000425">
      <w:pPr>
        <w:pStyle w:val="Heading2"/>
        <w:spacing w:before="200" w:lineRule="auto"/>
        <w:rPr/>
      </w:pPr>
      <w:bookmarkStart w:colFirst="0" w:colLast="0" w:name="_lyr3dvsgjcdn" w:id="131"/>
      <w:bookmarkEnd w:id="131"/>
      <w:r w:rsidDel="00000000" w:rsidR="00000000" w:rsidRPr="00000000">
        <w:rPr>
          <w:rtl w:val="0"/>
        </w:rPr>
        <w:t xml:space="preserve">12.2 Milestones and Timeline</w:t>
      </w:r>
    </w:p>
    <w:p w:rsidR="00000000" w:rsidDel="00000000" w:rsidP="00000000" w:rsidRDefault="00000000" w:rsidRPr="00000000" w14:paraId="0000042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26. Gantt Chart</w:t>
      </w:r>
    </w:p>
    <w:tbl>
      <w:tblPr>
        <w:tblStyle w:val="Table27"/>
        <w:tblW w:w="9360.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595"/>
        <w:gridCol w:w="1260"/>
        <w:gridCol w:w="2939"/>
        <w:gridCol w:w="3566"/>
        <w:tblGridChange w:id="0">
          <w:tblGrid>
            <w:gridCol w:w="1595"/>
            <w:gridCol w:w="1260"/>
            <w:gridCol w:w="2939"/>
            <w:gridCol w:w="3566"/>
          </w:tblGrid>
        </w:tblGridChange>
      </w:tblGrid>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Stage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Timeline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Key milestone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Decision/Control</w:t>
            </w:r>
            <w:r w:rsidDel="00000000" w:rsidR="00000000" w:rsidRPr="00000000">
              <w:rPr>
                <w:rtl w:val="0"/>
              </w:rPr>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Prepare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Months 1–2</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Complete preparation requirements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Confirm readiness before testing</w:t>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Test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Months 3–4</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Complete pilot and evaluate results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Decide whether to launch or redesign</w:t>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Launch</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Months 5–6</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Begin commercial operations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Monitor performance against expectations</w:t>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Measure &amp; Scale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Months 7–12</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Critically assess performance and build up where appropriate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Only scale when there is evidence of growth.</w:t>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Corrective Action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As required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Handle operational, financial or customer problems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Utilise corrective management when and if necessary</w:t>
            </w:r>
          </w:p>
        </w:tc>
      </w:tr>
    </w:tbl>
    <w:p w:rsidR="00000000" w:rsidDel="00000000" w:rsidP="00000000" w:rsidRDefault="00000000" w:rsidRPr="00000000" w14:paraId="0000043F">
      <w:pPr>
        <w:pStyle w:val="Heading2"/>
        <w:spacing w:before="200" w:lineRule="auto"/>
        <w:rPr/>
      </w:pPr>
      <w:bookmarkStart w:colFirst="0" w:colLast="0" w:name="_mompbq3x3vdc" w:id="132"/>
      <w:bookmarkEnd w:id="132"/>
      <w:r w:rsidDel="00000000" w:rsidR="00000000" w:rsidRPr="00000000">
        <w:rPr>
          <w:rtl w:val="0"/>
        </w:rPr>
        <w:t xml:space="preserve">12.3 Resource Allocation and Priorities</w:t>
      </w:r>
    </w:p>
    <w:p w:rsidR="00000000" w:rsidDel="00000000" w:rsidP="00000000" w:rsidRDefault="00000000" w:rsidRPr="00000000" w14:paraId="0000044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27. Resource Allocations</w:t>
      </w:r>
    </w:p>
    <w:tbl>
      <w:tblPr>
        <w:tblStyle w:val="Table28"/>
        <w:tblW w:w="9250.0" w:type="dxa"/>
        <w:jc w:val="left"/>
        <w:tblInd w:w="-10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105"/>
        <w:gridCol w:w="7145"/>
        <w:tblGridChange w:id="0">
          <w:tblGrid>
            <w:gridCol w:w="2105"/>
            <w:gridCol w:w="7145"/>
          </w:tblGrid>
        </w:tblGridChange>
      </w:tblGrid>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Resource/Priority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Allocation and Action</w:t>
            </w:r>
            <w:r w:rsidDel="00000000" w:rsidR="00000000" w:rsidRPr="00000000">
              <w:rPr>
                <w:rtl w:val="0"/>
              </w:rPr>
            </w:r>
          </w:p>
        </w:tc>
      </w:tr>
      <w:tr>
        <w:trPr>
          <w:cantSplit w:val="1"/>
          <w:trHeight w:val="8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Human resources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Minimal and should follow the recommended core of 6 people for recruitment.</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Technology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£12,000 for digital platform/CRM.</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Vehicle &amp; logistics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£18,000 for vehicle and logistics set-up.</w:t>
            </w:r>
          </w:p>
        </w:tc>
      </w:tr>
      <w:tr>
        <w:trPr>
          <w:cantSplit w:val="1"/>
          <w:trHeight w:val="51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Working capital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£15,000 allocated to working capital.</w:t>
            </w:r>
          </w:p>
        </w:tc>
      </w:tr>
      <w:tr>
        <w:trPr>
          <w:cantSplit w:val="1"/>
          <w:trHeight w:val="108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External capability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Capacity will be further developed through contracts with refurbishment specialists and recycling companies, and property managers (Mehran and Kristensson, 2025).</w:t>
            </w:r>
          </w:p>
        </w:tc>
      </w:tr>
      <w:tr>
        <w:trPr>
          <w:cantSplit w:val="1"/>
          <w:trHeight w:val="1085"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Capacity &amp; growth</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Expand capacity based on customer population; prioritise larger organisations and grow spatial in a regional approach.</w:t>
            </w:r>
          </w:p>
        </w:tc>
      </w:tr>
    </w:tbl>
    <w:p w:rsidR="00000000" w:rsidDel="00000000" w:rsidP="00000000" w:rsidRDefault="00000000" w:rsidRPr="00000000" w14:paraId="0000044F">
      <w:pPr>
        <w:pStyle w:val="Heading2"/>
        <w:spacing w:before="200" w:lineRule="auto"/>
        <w:rPr/>
      </w:pPr>
      <w:bookmarkStart w:colFirst="0" w:colLast="0" w:name="_xeeykt6xjju8" w:id="133"/>
      <w:bookmarkEnd w:id="133"/>
      <w:r w:rsidDel="00000000" w:rsidR="00000000" w:rsidRPr="00000000">
        <w:rPr>
          <w:rtl w:val="0"/>
        </w:rPr>
        <w:t xml:space="preserve">12.4 KPIs and Control </w:t>
      </w:r>
    </w:p>
    <w:p w:rsidR="00000000" w:rsidDel="00000000" w:rsidP="00000000" w:rsidRDefault="00000000" w:rsidRPr="00000000" w14:paraId="0000045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28: A balanced KPI system should connect strategic objectives with operational control.</w:t>
      </w:r>
    </w:p>
    <w:tbl>
      <w:tblPr>
        <w:tblStyle w:val="Table29"/>
        <w:tblW w:w="10860.0" w:type="dxa"/>
        <w:jc w:val="left"/>
        <w:tblInd w:w="-840.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445"/>
        <w:gridCol w:w="4650"/>
        <w:gridCol w:w="3765"/>
        <w:tblGridChange w:id="0">
          <w:tblGrid>
            <w:gridCol w:w="2445"/>
            <w:gridCol w:w="4650"/>
            <w:gridCol w:w="3765"/>
          </w:tblGrid>
        </w:tblGridChange>
      </w:tblGrid>
      <w:tr>
        <w:trPr>
          <w:cantSplit w:val="1"/>
          <w:trHeight w:val="50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Dimension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KPI</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Control purpose</w:t>
            </w:r>
            <w:r w:rsidDel="00000000" w:rsidR="00000000" w:rsidRPr="00000000">
              <w:rPr>
                <w:rtl w:val="0"/>
              </w:rPr>
            </w:r>
          </w:p>
        </w:tc>
      </w:tr>
      <w:tr>
        <w:trPr>
          <w:cantSplit w:val="1"/>
          <w:trHeight w:val="77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Financial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Revenue, MRR, gross margin, break-even customers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Test commercial sustainability and liquidity.</w:t>
            </w:r>
          </w:p>
        </w:tc>
      </w:tr>
      <w:tr>
        <w:trPr>
          <w:cantSplit w:val="1"/>
          <w:trHeight w:val="77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Customer</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Acquisition, retention, satisfaction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Assess market acceptance and relationship quality.</w:t>
            </w:r>
          </w:p>
        </w:tc>
      </w:tr>
      <w:tr>
        <w:trPr>
          <w:cantSplit w:val="1"/>
          <w:trHeight w:val="77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Operational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Collection reliability, cost per collection, processing efficiency (Handoyo et al., 2023)</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Control service quality and unit economics.</w:t>
            </w:r>
          </w:p>
        </w:tc>
      </w:tr>
      <w:tr>
        <w:trPr>
          <w:cantSplit w:val="1"/>
          <w:trHeight w:val="770" w:hRule="atLeast"/>
          <w:tblHeader w:val="1"/>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Sustainability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Waste diverted, reused materials, recycled materials, environmental impact (Recykal.com, 2025)</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4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Verify circular outcomes and prevent unsupported claims.</w:t>
            </w:r>
          </w:p>
        </w:tc>
      </w:tr>
    </w:tbl>
    <w:p w:rsidR="00000000" w:rsidDel="00000000" w:rsidP="00000000" w:rsidRDefault="00000000" w:rsidRPr="00000000" w14:paraId="0000046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Source: Self-developed </w:t>
      </w:r>
    </w:p>
    <w:p w:rsidR="00000000" w:rsidDel="00000000" w:rsidP="00000000" w:rsidRDefault="00000000" w:rsidRPr="00000000" w14:paraId="0000046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There should be a monthly dashboard for management to review and analyse adverse trends. Consistently record sustainability measures for credible reporting. A break-even of about 60 customers should still be a target for financial achievement. Labour planning should take account of the National Living Wage rates and the schedule of increases for April 2026 is £12.71 per hour (Low Pay Commission, 2026). The detailed Gantt chart should be attached at the appendix. The steps of implementation should be: prepare, test, launch, measure &amp; scale, and then take corrective management action decisions at the appropriate time.</w:t>
      </w:r>
    </w:p>
    <w:p w:rsidR="00000000" w:rsidDel="00000000" w:rsidP="00000000" w:rsidRDefault="00000000" w:rsidRPr="00000000" w14:paraId="00000462">
      <w:pPr>
        <w:pStyle w:val="Heading2"/>
        <w:spacing w:before="200" w:lineRule="auto"/>
        <w:rPr/>
      </w:pPr>
      <w:bookmarkStart w:colFirst="0" w:colLast="0" w:name="_d2xqt0y9k5yr" w:id="134"/>
      <w:bookmarkEnd w:id="134"/>
      <w:r w:rsidDel="00000000" w:rsidR="00000000" w:rsidRPr="00000000">
        <w:rPr>
          <w:rtl w:val="0"/>
        </w:rPr>
        <w:t xml:space="preserve">12.5 Change Management and Implementation Risks</w:t>
      </w:r>
    </w:p>
    <w:p w:rsidR="00000000" w:rsidDel="00000000" w:rsidP="00000000" w:rsidRDefault="00000000" w:rsidRPr="00000000" w14:paraId="0000046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Implementation risk is not only in the technical aspects but also in operational reliability and customer acceptance and scaling too early (Orellano and Gourc, 2024). Operational issues should be captured and addressed as early as possible prior to launch – the stage-gate process should be used for either proceeding or redesigning (Svensson Harari and Fundin, 2023). Service reliability must not be sacrificed for growth and economic and operational factors must be used to decide growth expansion. Defending against service distortions tends to be more important as part of the expansion process as contribution margins and service uniformity becomes more important than geographical expansion or bigger contracts as these will magnify service issues and hence require attention first.</w:t>
      </w:r>
    </w:p>
    <w:p w:rsidR="00000000" w:rsidDel="00000000" w:rsidP="00000000" w:rsidRDefault="00000000" w:rsidRPr="00000000" w14:paraId="00000464">
      <w:pPr>
        <w:pStyle w:val="Heading2"/>
        <w:spacing w:before="200" w:lineRule="auto"/>
        <w:rPr/>
      </w:pPr>
      <w:bookmarkStart w:colFirst="0" w:colLast="0" w:name="_tz9hrljha5xy" w:id="135"/>
      <w:bookmarkEnd w:id="135"/>
      <w:r w:rsidDel="00000000" w:rsidR="00000000" w:rsidRPr="00000000">
        <w:rPr>
          <w:rtl w:val="0"/>
        </w:rPr>
        <w:t xml:space="preserve">12.6 Implementation Readiness Summary</w:t>
      </w:r>
    </w:p>
    <w:p w:rsidR="00000000" w:rsidDel="00000000" w:rsidP="00000000" w:rsidRDefault="00000000" w:rsidRPr="00000000" w14:paraId="0000046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Implementation readiness involves factors that must be met to make implementation successful—not presuming success. In preparation, it is important to get the organisations ready for generating significant investment. To minimise premature scaling, a pilot test to determine customer interest in paying along with operation reliability and commercial viability should be attempted. This can help with cash-flow protection and recurring orders, with resources being invested in stages based on evidence that they will scale.</w:t>
      </w:r>
      <w:r w:rsidDel="00000000" w:rsidR="00000000" w:rsidRPr="00000000">
        <w:br w:type="page"/>
      </w:r>
      <w:r w:rsidDel="00000000" w:rsidR="00000000" w:rsidRPr="00000000">
        <w:rPr>
          <w:rtl w:val="0"/>
        </w:rPr>
      </w:r>
    </w:p>
    <w:p w:rsidR="00000000" w:rsidDel="00000000" w:rsidP="00000000" w:rsidRDefault="00000000" w:rsidRPr="00000000" w14:paraId="00000466">
      <w:pPr>
        <w:pStyle w:val="Heading1"/>
        <w:spacing w:before="200" w:lineRule="auto"/>
        <w:rPr/>
      </w:pPr>
      <w:bookmarkStart w:colFirst="0" w:colLast="0" w:name="_7he72zvm7n6y" w:id="136"/>
      <w:bookmarkEnd w:id="136"/>
      <w:r w:rsidDel="00000000" w:rsidR="00000000" w:rsidRPr="00000000">
        <w:rPr>
          <w:rtl w:val="0"/>
        </w:rPr>
        <w:t xml:space="preserve">Chapter 13: Conclusion &amp; Recommendations </w:t>
      </w:r>
    </w:p>
    <w:p w:rsidR="00000000" w:rsidDel="00000000" w:rsidP="00000000" w:rsidRDefault="00000000" w:rsidRPr="00000000" w14:paraId="00000467">
      <w:pPr>
        <w:pStyle w:val="Heading2"/>
        <w:spacing w:before="200" w:lineRule="auto"/>
        <w:rPr/>
      </w:pPr>
      <w:bookmarkStart w:colFirst="0" w:colLast="0" w:name="_8127el3y7r6h" w:id="137"/>
      <w:bookmarkEnd w:id="137"/>
      <w:r w:rsidDel="00000000" w:rsidR="00000000" w:rsidRPr="00000000">
        <w:rPr>
          <w:rtl w:val="0"/>
        </w:rPr>
        <w:t xml:space="preserve">13.1 Evaluation of Frameworks</w:t>
      </w:r>
    </w:p>
    <w:p w:rsidR="00000000" w:rsidDel="00000000" w:rsidP="00000000" w:rsidRDefault="00000000" w:rsidRPr="00000000" w14:paraId="0000046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frameworks collectively provide decision value rather than descriptive coverage. PESTLE identifies the external pressures shaping circular procurement, hybrid working, costs and regulation, while revealing that favourable sustainability trends do not guarantee willingness to pay. VRIO tests whether EcoLoop can convert its circular service, digital tracking and partnerships into advantage, exposing limited rarity and imitation barriers. SWOT usefully integrates these findings, identifying partnerships and evidence-based reporting as responses to resource and credibility weaknesses. The Business Model Canvas then translates the strategic choice into customers, channels, activities, resources, revenues and costs. Financial analysis adds the critical commercial test: projected Year 1 revenue of £270,000 and £35,000 operating profit remain assumptions requiring validation. Together, the frameworks support a conditional rather than unquestioning investment decision.</w:t>
      </w:r>
    </w:p>
    <w:p w:rsidR="00000000" w:rsidDel="00000000" w:rsidP="00000000" w:rsidRDefault="00000000" w:rsidRPr="00000000" w14:paraId="00000469">
      <w:pPr>
        <w:pStyle w:val="Heading2"/>
        <w:spacing w:before="200" w:lineRule="auto"/>
        <w:rPr/>
      </w:pPr>
      <w:bookmarkStart w:colFirst="0" w:colLast="0" w:name="_oedsy4ghwji7" w:id="138"/>
      <w:bookmarkEnd w:id="138"/>
      <w:r w:rsidDel="00000000" w:rsidR="00000000" w:rsidRPr="00000000">
        <w:rPr>
          <w:rtl w:val="0"/>
        </w:rPr>
        <w:t xml:space="preserve">13.2 Market Opportunity</w:t>
      </w:r>
    </w:p>
    <w:p w:rsidR="00000000" w:rsidDel="00000000" w:rsidP="00000000" w:rsidRDefault="00000000" w:rsidRPr="00000000" w14:paraId="0000046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EcoLoop addresses changing office requirements, resource inefficiency and sustainability pressures. The UK had 5.69 million private-sector businesses at the start of 2025, although this headline figure substantially exceeds the realistic addressable market. The strongest target is therefore SMEs and medium-sized organisations experiencing relocation, expansion, downsizing or refurbishment. England generated 32.6 million tonnes of commercial and industrial waste in 2023, confirming substantial resource-management pressure. Nevertheless, waste volume indicates need rather than willingness to pay. The opportunity is attractive but requires targeted validation against customer acquisition, retention and contribution margins.</w:t>
      </w:r>
    </w:p>
    <w:p w:rsidR="00000000" w:rsidDel="00000000" w:rsidP="00000000" w:rsidRDefault="00000000" w:rsidRPr="00000000" w14:paraId="0000046B">
      <w:pPr>
        <w:pStyle w:val="Heading2"/>
        <w:spacing w:before="200" w:lineRule="auto"/>
        <w:rPr/>
      </w:pPr>
      <w:bookmarkStart w:colFirst="0" w:colLast="0" w:name="_g3cmp55r9zzg" w:id="139"/>
      <w:bookmarkEnd w:id="139"/>
      <w:r w:rsidDel="00000000" w:rsidR="00000000" w:rsidRPr="00000000">
        <w:rPr>
          <w:rtl w:val="0"/>
        </w:rPr>
        <w:t xml:space="preserve">13.3 Strategic Viability</w:t>
      </w:r>
    </w:p>
    <w:p w:rsidR="00000000" w:rsidDel="00000000" w:rsidP="00000000" w:rsidRDefault="00000000" w:rsidRPr="00000000" w14:paraId="0000046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Focused differentiation is strategically appropriate because EcoLoop lacks the scale required for cost leadership but can combine circular service delivery, convenience, digital tracking and measurable sustainability reporting. Competing on price would expose the venture to established providers with greater purchasing and logistical economies. Conversely, sustainability alone is insufficient because competitors can imitate environmental messaging and customers retain substitutes. A focused SME segment allows tailored service, lower acquisition complexity and geographically concentrated collections. Strategic viability therefore depends on converting differentiation into measurable customer value and operational efficiency. The approach is viable, but only if pilot evidence demonstrates that customers will pay recurring fees for convenience, transparency and circular outcomes.</w:t>
      </w:r>
    </w:p>
    <w:p w:rsidR="00000000" w:rsidDel="00000000" w:rsidP="00000000" w:rsidRDefault="00000000" w:rsidRPr="00000000" w14:paraId="0000046D">
      <w:pPr>
        <w:pStyle w:val="Heading2"/>
        <w:spacing w:before="200" w:lineRule="auto"/>
        <w:rPr/>
      </w:pPr>
      <w:bookmarkStart w:colFirst="0" w:colLast="0" w:name="_ooh762np4aal" w:id="140"/>
      <w:bookmarkEnd w:id="140"/>
      <w:r w:rsidDel="00000000" w:rsidR="00000000" w:rsidRPr="00000000">
        <w:rPr>
          <w:rtl w:val="0"/>
        </w:rPr>
        <w:t xml:space="preserve">13.4 Financial and Operational Viability</w:t>
      </w:r>
    </w:p>
    <w:p w:rsidR="00000000" w:rsidDel="00000000" w:rsidP="00000000" w:rsidRDefault="00000000" w:rsidRPr="00000000" w14:paraId="0000046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recurring-revenue model, based on £199, £399 and £799+ monthly packages, provides a potentially predictable income stream. The business plan projects £1.802 million revenue and £532,000 operating profit by Year 5, with break-even estimated at approximately 60 customers. However, these projections remain sensitive to acquisition, churn, logistics and labour costs. Operationally, the proposed six-person core team and external partners provide a lean starting structure, but scalability depends on collection density, reliable processing and technology performance. Consequently, financial and operational viability is moderate rather than assured. Management should release investment progressively as customer, margin and service-reliability thresholds are achieved.</w:t>
      </w:r>
    </w:p>
    <w:p w:rsidR="00000000" w:rsidDel="00000000" w:rsidP="00000000" w:rsidRDefault="00000000" w:rsidRPr="00000000" w14:paraId="0000046F">
      <w:pPr>
        <w:pStyle w:val="Heading2"/>
        <w:spacing w:before="200" w:lineRule="auto"/>
        <w:rPr/>
      </w:pPr>
      <w:bookmarkStart w:colFirst="0" w:colLast="0" w:name="_yc68kh35am6g" w:id="141"/>
      <w:bookmarkEnd w:id="141"/>
      <w:r w:rsidDel="00000000" w:rsidR="00000000" w:rsidRPr="00000000">
        <w:rPr>
          <w:rtl w:val="0"/>
        </w:rPr>
        <w:t xml:space="preserve">13.5 Recommendations</w:t>
      </w:r>
    </w:p>
    <w:p w:rsidR="00000000" w:rsidDel="00000000" w:rsidP="00000000" w:rsidRDefault="00000000" w:rsidRPr="00000000" w14:paraId="0000047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Recommendation 1: Launch through a controlled pilot.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7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Lyu and Kim (2025)</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argue that EcoLoop should validate willingness to pay, retention, collection reliability and contribution margins before committing substantial fixed investment. The pilot should establish evidence-based stage gates for expansion.</w:t>
      </w:r>
    </w:p>
    <w:p w:rsidR="00000000" w:rsidDel="00000000" w:rsidP="00000000" w:rsidRDefault="00000000" w:rsidRPr="00000000" w14:paraId="0000047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Recommendation 2: Initially target SMEs and medium-sized organisations.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7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This focus limits acquisition complexity and enables tailored packages for organisations facing workplace change. Bauer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et 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(2024) demonstrate that Geographic concentration should be prioritised to protect logistics economics.</w:t>
      </w:r>
    </w:p>
    <w:p w:rsidR="00000000" w:rsidDel="00000000" w:rsidP="00000000" w:rsidRDefault="00000000" w:rsidRPr="00000000" w14:paraId="0000047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Recommendation 3: Develop digital tracking and impact reporting.</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7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Technology should provide traceability from collection to reuse, refurbishment or recycling and convert operational data into credible sustainability reports. Horn and Silvennoinen (2025) highlight that this can strengthen differentiation while reducing greenwashing risk. However, reporting must remain evidence-based and avoid unsupported environmental claims. These recommendations should be integrated with the Business Model Canvas, financial controls and implementation KPIs rather than treated as separate initiatives.</w:t>
      </w:r>
    </w:p>
    <w:p w:rsidR="00000000" w:rsidDel="00000000" w:rsidP="00000000" w:rsidRDefault="00000000" w:rsidRPr="00000000" w14:paraId="00000476">
      <w:pPr>
        <w:pStyle w:val="Heading2"/>
        <w:spacing w:before="200" w:lineRule="auto"/>
        <w:rPr/>
      </w:pPr>
      <w:bookmarkStart w:colFirst="0" w:colLast="0" w:name="_vart0r4vrnoe" w:id="142"/>
      <w:bookmarkEnd w:id="142"/>
      <w:r w:rsidDel="00000000" w:rsidR="00000000" w:rsidRPr="00000000">
        <w:rPr>
          <w:rtl w:val="0"/>
        </w:rPr>
        <w:t xml:space="preserve">13.6 Future Development</w:t>
      </w:r>
    </w:p>
    <w:p w:rsidR="00000000" w:rsidDel="00000000" w:rsidP="00000000" w:rsidRDefault="00000000" w:rsidRPr="00000000" w14:paraId="0000047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Future development should follow demonstrated commercial viability. EcoLoop could pursue corporate contracts and regional expansion, then introduce advanced sustainability analytics, AI-enabled waste optimisation and a circular office-product marketplace. Such expansion should occur only after reliable unit economics, operational capacity and credible impact measurement have been established.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This sequencing protects capital, reduces execution risk, and creates evidence for scalable growth without compromising service quality.</w:t>
      </w:r>
      <w:r w:rsidDel="00000000" w:rsidR="00000000" w:rsidRPr="00000000">
        <w:br w:type="page"/>
      </w:r>
      <w:r w:rsidDel="00000000" w:rsidR="00000000" w:rsidRPr="00000000">
        <w:rPr>
          <w:rtl w:val="0"/>
        </w:rPr>
      </w:r>
    </w:p>
    <w:p w:rsidR="00000000" w:rsidDel="00000000" w:rsidP="00000000" w:rsidRDefault="00000000" w:rsidRPr="00000000" w14:paraId="00000478">
      <w:pPr>
        <w:pStyle w:val="Heading1"/>
        <w:spacing w:before="200" w:lineRule="auto"/>
        <w:rPr/>
      </w:pPr>
      <w:bookmarkStart w:colFirst="0" w:colLast="0" w:name="_u5pweokgfyu1" w:id="143"/>
      <w:bookmarkEnd w:id="143"/>
      <w:r w:rsidDel="00000000" w:rsidR="00000000" w:rsidRPr="00000000">
        <w:rPr>
          <w:rtl w:val="0"/>
        </w:rPr>
        <w:t xml:space="preserve">Chapter 14. Reflection</w:t>
      </w:r>
    </w:p>
    <w:p w:rsidR="00000000" w:rsidDel="00000000" w:rsidP="00000000" w:rsidRDefault="00000000" w:rsidRPr="00000000" w14:paraId="00000479">
      <w:pPr>
        <w:pStyle w:val="Heading2"/>
        <w:keepNext w:val="0"/>
        <w:keepLines w:val="0"/>
        <w:spacing w:before="200" w:lineRule="auto"/>
        <w:rPr/>
      </w:pPr>
      <w:bookmarkStart w:colFirst="0" w:colLast="0" w:name="_vjlg4kjnysg" w:id="144"/>
      <w:bookmarkEnd w:id="144"/>
      <w:r w:rsidDel="00000000" w:rsidR="00000000" w:rsidRPr="00000000">
        <w:rPr>
          <w:rtl w:val="0"/>
        </w:rPr>
        <w:t xml:space="preserve">14.1 Experience of Developing EcoLoop Office</w:t>
      </w:r>
    </w:p>
    <w:p w:rsidR="00000000" w:rsidDel="00000000" w:rsidP="00000000" w:rsidRDefault="00000000" w:rsidRPr="00000000" w14:paraId="0000047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As my role in the development of EcoLoop Office evolved from finding a promising idea to actually proving if that idea could be commercially viable, it changed my guidelines on what constitutes business development. In the beginning I was seeing sustainability in the office as an environmental opportunity. In my job of methodology, however, I personally had to undertake a systematic process of investigating customer needs and the contexts of competitors, costs and operational requirements.</w:t>
      </w:r>
    </w:p>
    <w:p w:rsidR="00000000" w:rsidDel="00000000" w:rsidP="00000000" w:rsidRDefault="00000000" w:rsidRPr="00000000" w14:paraId="0000047B">
      <w:pPr>
        <w:pStyle w:val="Heading2"/>
        <w:keepNext w:val="0"/>
        <w:keepLines w:val="0"/>
        <w:spacing w:before="200" w:lineRule="auto"/>
        <w:rPr/>
      </w:pPr>
      <w:bookmarkStart w:colFirst="0" w:colLast="0" w:name="_5fczhhlns4lk" w:id="145"/>
      <w:bookmarkEnd w:id="145"/>
      <w:r w:rsidDel="00000000" w:rsidR="00000000" w:rsidRPr="00000000">
        <w:rPr>
          <w:rtl w:val="0"/>
        </w:rPr>
        <w:t xml:space="preserve">14.2 Learning from Market Research</w:t>
      </w:r>
    </w:p>
    <w:p w:rsidR="00000000" w:rsidDel="00000000" w:rsidP="00000000" w:rsidRDefault="00000000" w:rsidRPr="00000000" w14:paraId="0000047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market/cmp analysis was very useful as it knocked down some of my assumptions. It was my original assumption before the process that organisations would take the sustainable waste solution for granted. Studies revealed that it is not the proposition itself that needs to be communicated, but rather the following: convenience, measurable results and economic benefit. Segmenting by employees, office activity and waste volume and sustainability commitment resulted in a more realistic target market.</w:t>
      </w:r>
    </w:p>
    <w:p w:rsidR="00000000" w:rsidDel="00000000" w:rsidP="00000000" w:rsidRDefault="00000000" w:rsidRPr="00000000" w14:paraId="0000047D">
      <w:pPr>
        <w:pStyle w:val="Heading2"/>
        <w:keepNext w:val="0"/>
        <w:keepLines w:val="0"/>
        <w:spacing w:before="200" w:lineRule="auto"/>
        <w:rPr/>
      </w:pPr>
      <w:bookmarkStart w:colFirst="0" w:colLast="0" w:name="_3hrvfulifwmn" w:id="146"/>
      <w:bookmarkEnd w:id="146"/>
      <w:r w:rsidDel="00000000" w:rsidR="00000000" w:rsidRPr="00000000">
        <w:rPr>
          <w:rtl w:val="0"/>
        </w:rPr>
        <w:t xml:space="preserve">14.3 Learning from Strategic Analysis</w:t>
      </w:r>
    </w:p>
    <w:p w:rsidR="00000000" w:rsidDel="00000000" w:rsidP="00000000" w:rsidRDefault="00000000" w:rsidRPr="00000000" w14:paraId="0000047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Using PESTLE, VRIO and SWOT enabled me to shift from a generic approach to sustainability to a differentiated one. Discovered that sustainability does not necessarily result in SCA as long as a competitor is already established. I was pushed by VRIO to think about how another approach combining the digital tracking, customer relationship, Sustainability know-how, and operational partnerships of EcoLoop could provide a greater differentiation. </w:t>
      </w:r>
    </w:p>
    <w:p w:rsidR="00000000" w:rsidDel="00000000" w:rsidP="00000000" w:rsidRDefault="00000000" w:rsidRPr="00000000" w14:paraId="0000047F">
      <w:pPr>
        <w:pStyle w:val="Heading2"/>
        <w:keepNext w:val="0"/>
        <w:keepLines w:val="0"/>
        <w:spacing w:before="200" w:lineRule="auto"/>
        <w:rPr/>
      </w:pPr>
      <w:bookmarkStart w:colFirst="0" w:colLast="0" w:name="_yz9qa8yanydg" w:id="147"/>
      <w:bookmarkEnd w:id="147"/>
      <w:r w:rsidDel="00000000" w:rsidR="00000000" w:rsidRPr="00000000">
        <w:rPr>
          <w:rtl w:val="0"/>
        </w:rPr>
        <w:t xml:space="preserve">14.4 Learning from Financial and Business Model Development</w:t>
      </w:r>
    </w:p>
    <w:p w:rsidR="00000000" w:rsidDel="00000000" w:rsidP="00000000" w:rsidRDefault="00000000" w:rsidRPr="00000000" w14:paraId="0000048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most challenging component of the proposal was development of a Business Model Canvas and financial plan. I discovered that beauty is in the eye of the beholder and not necessarily in the wallet. The pricing was to be reasonable for the customers, while it had to also cover logistics, staffing and technology. This showed the significance of subscription related to customers, customer retention and CM.</w:t>
      </w:r>
    </w:p>
    <w:p w:rsidR="00000000" w:rsidDel="00000000" w:rsidP="00000000" w:rsidRDefault="00000000" w:rsidRPr="00000000" w14:paraId="00000481">
      <w:pPr>
        <w:pStyle w:val="Heading2"/>
        <w:keepNext w:val="0"/>
        <w:keepLines w:val="0"/>
        <w:spacing w:before="200" w:lineRule="auto"/>
        <w:rPr/>
      </w:pPr>
      <w:bookmarkStart w:colFirst="0" w:colLast="0" w:name="_e0wy7xystf85" w:id="148"/>
      <w:bookmarkEnd w:id="148"/>
      <w:r w:rsidDel="00000000" w:rsidR="00000000" w:rsidRPr="00000000">
        <w:rPr>
          <w:rtl w:val="0"/>
        </w:rPr>
        <w:t xml:space="preserve">15.5 Operational and Practical Learning</w:t>
      </w:r>
    </w:p>
    <w:p w:rsidR="00000000" w:rsidDel="00000000" w:rsidP="00000000" w:rsidRDefault="00000000" w:rsidRPr="00000000" w14:paraId="0000048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Customer value is influenced by several factors including collection scheduling, supplier reliability, sorting of the waste, technology utilisation and compliance with regulations. A sustainable business model is only possible if it is run in a consistent way. It's not the environmental proposition that's important from a sustainability perspective, but the collection—the lift from the basket.</w:t>
      </w:r>
    </w:p>
    <w:p w:rsidR="00000000" w:rsidDel="00000000" w:rsidP="00000000" w:rsidRDefault="00000000" w:rsidRPr="00000000" w14:paraId="00000483">
      <w:pPr>
        <w:pStyle w:val="Heading2"/>
        <w:keepNext w:val="0"/>
        <w:keepLines w:val="0"/>
        <w:spacing w:before="200" w:lineRule="auto"/>
        <w:rPr/>
      </w:pPr>
      <w:bookmarkStart w:colFirst="0" w:colLast="0" w:name="_65vjxqo20edq" w:id="149"/>
      <w:bookmarkEnd w:id="149"/>
      <w:r w:rsidDel="00000000" w:rsidR="00000000" w:rsidRPr="00000000">
        <w:rPr>
          <w:rtl w:val="0"/>
        </w:rPr>
        <w:t xml:space="preserve">14.6 What I Would Do Differently</w:t>
      </w:r>
    </w:p>
    <w:p w:rsidR="00000000" w:rsidDel="00000000" w:rsidP="00000000" w:rsidRDefault="00000000" w:rsidRPr="00000000" w14:paraId="0000048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Assuming it would go into production again, I would take some more primary interviews of customers and would run some more pricing tests, before making money assumptions final. I would get real quotes from suppliers and then do a tiny pilot, testing the digital tracking system with users. Also, the more competing prices I could obtain and more sensitivity scenarios I would make.</w:t>
      </w:r>
    </w:p>
    <w:p w:rsidR="00000000" w:rsidDel="00000000" w:rsidP="00000000" w:rsidRDefault="00000000" w:rsidRPr="00000000" w14:paraId="00000485">
      <w:pPr>
        <w:pStyle w:val="Heading2"/>
        <w:keepNext w:val="0"/>
        <w:keepLines w:val="0"/>
        <w:spacing w:before="200" w:lineRule="auto"/>
        <w:rPr/>
      </w:pPr>
      <w:bookmarkStart w:colFirst="0" w:colLast="0" w:name="_hicqclw3z2k6" w:id="150"/>
      <w:bookmarkEnd w:id="150"/>
      <w:r w:rsidDel="00000000" w:rsidR="00000000" w:rsidRPr="00000000">
        <w:rPr>
          <w:rtl w:val="0"/>
        </w:rPr>
        <w:t xml:space="preserve">14.7 Professional Development</w:t>
      </w:r>
    </w:p>
    <w:p w:rsidR="00000000" w:rsidDel="00000000" w:rsidP="00000000" w:rsidRDefault="00000000" w:rsidRPr="00000000" w14:paraId="0000048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1"/>
          <w:bCs w:val="1"/>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 general, the project improved my strategic thinking skills, commercial judgment, financial analysis, research, problem solving and project planning. Most important of all, I learned to assess business opportunities on an objective basis instead of being attached to the initial concept. The experience proved that developing businesses is a never ending process of testing the value for customers, the competitive advantage and the ability and sustainability of the operation.</w:t>
      </w:r>
      <w:r w:rsidDel="00000000" w:rsidR="00000000" w:rsidRPr="00000000">
        <w:br w:type="page"/>
      </w:r>
      <w:r w:rsidDel="00000000" w:rsidR="00000000" w:rsidRPr="00000000">
        <w:rPr>
          <w:rtl w:val="0"/>
        </w:rPr>
      </w:r>
    </w:p>
    <w:p w:rsidR="00000000" w:rsidDel="00000000" w:rsidP="00000000" w:rsidRDefault="00000000" w:rsidRPr="00000000" w14:paraId="00000487">
      <w:pPr>
        <w:pStyle w:val="Heading1"/>
        <w:spacing w:before="200" w:lineRule="auto"/>
        <w:rPr/>
      </w:pPr>
      <w:bookmarkStart w:colFirst="0" w:colLast="0" w:name="_txe5auphxbon" w:id="151"/>
      <w:bookmarkEnd w:id="151"/>
      <w:r w:rsidDel="00000000" w:rsidR="00000000" w:rsidRPr="00000000">
        <w:rPr>
          <w:rtl w:val="0"/>
        </w:rPr>
        <w:t xml:space="preserve">References </w:t>
      </w:r>
    </w:p>
    <w:p w:rsidR="00000000" w:rsidDel="00000000" w:rsidP="00000000" w:rsidRDefault="00000000" w:rsidRPr="00000000" w14:paraId="0000048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Ahmed, W.A.H. and MacCarthy, B.L. (2023). Blockchain-enabled supply chain traceability – How wide? How deep?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International Journal of Production Economics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263, p.108963. Available at: </w:t>
      </w:r>
      <w:hyperlink r:id="rId18">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https://www.sciencedirect.com/science/article/pii/S0925527323001950</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89">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Akbar, U., Jain, A.A. and Bråthen, S. (2024). Sustainability assessment of inter-urban crowdshipping - A case study approach.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Research in Transportation Economics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103, p.101409. </w:t>
      </w:r>
      <w:hyperlink r:id="rId19">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https://www.sciencedirect.com/journal/research-in-transportation-economics/vol/103/suppl/C</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8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‌Alcayaga, A. and Hansen, E.G., 2025. Smart circular economy as a service business model: an activity system framework and research agenda. R&amp;D Management, 55(2), pp.508-530.</w:t>
      </w:r>
      <w:hyperlink r:id="rId20">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https://onlinelibrary.wiley.com/doi/pdf/10.1111/radm.12707</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8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Alfieri, L., Mariotti, I. and Rossi, F. (2025). The twin transition and flexible work arrangements: A systematic literature review.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Journal of Environmental Management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395, p.127988. Available at: </w:t>
      </w:r>
      <w:hyperlink r:id="rId21">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https://www.sciencedirect.com/science/article/pii/S0301479725039647?via%3Dihub</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8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Alfina, K.N., Ratnayake, C., Wibisono, D., Basri, M.H. and Mulyono, N.B. (2025). Enhancing resilience and sustainable healthcare supply chains: Integrating circular economy and dynamic barrier management.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Discover Sustainability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6(1). Available at: </w:t>
      </w:r>
      <w:hyperlink r:id="rId22">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https://link.springer.com/article/10.1007/s43621-025-01270-1</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8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Amasino, D.R., Dolgin, J. and Huettel, S.A. (2023). Eyes on the account size: Interactions between attention and budget in consumer choice.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Journal of Economic Psychology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97, pp.102632–102632. Available at: </w:t>
      </w:r>
      <w:hyperlink r:id="rId23">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https://www.sciencedirect.com/science/article/pii/S0167487023000338</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8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Andersen, B.S. and Kreye, M.E. (2023). Implementing a centralised procurement strategy for global supplier base management. [online] pp.1–13. Available at: </w:t>
      </w:r>
      <w:hyperlink r:id="rId24">
        <w:r w:rsidDel="00000000" w:rsidR="00000000" w:rsidRPr="00000000">
          <w:rPr>
            <w:rFonts w:ascii="Arial" w:cs="Arial" w:eastAsia="Arial" w:hAnsi="Arial"/>
            <w:b w:val="0"/>
            <w:bCs w:val="0"/>
            <w:i w:val="0"/>
            <w:iCs w:val="0"/>
            <w:smallCaps w:val="0"/>
            <w:strike w:val="0"/>
            <w:color w:val="0000ff"/>
            <w:sz w:val="24"/>
            <w:szCs w:val="24"/>
            <w:u w:val="single"/>
            <w:shd w:fill="auto" w:val="clear"/>
            <w:vertAlign w:val="baseline"/>
            <w:rtl w:val="0"/>
          </w:rPr>
          <w:t xml:space="preserve">https://www.tandfonline.com/doi/full/10.1080/09537287.2023.2217489</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8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Baden, D. and Frei, R., 2021. Product returns: an opportunity to shift towards an access-based economy?. Sustainability, 14(1), p.410.</w:t>
      </w:r>
      <w:hyperlink r:id="rId25">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https://www.mdpi.com/2071-1050/14/1/410</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9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Bals, L., Taylor, K.M., Rosca, E. and Ciulli, F. (2024). Toward a circular supply chain: The enabling role of information and financial flows in open and closed loop designs.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Resources Conservation and Recycling</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209, pp.107781–107781. Available at: </w:t>
      </w:r>
      <w:hyperlink r:id="rId26">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https://www.sciencedirect.com/science/article/pii/S0921344924003756</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91">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‌Bankofengland.co.uk. (2026).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Monetary Policy Report - July 2026</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Available at: https://www.bankofengland.co.uk/monetary-policy-report/2026/july-2026 </w:t>
      </w:r>
    </w:p>
    <w:p w:rsidR="00000000" w:rsidDel="00000000" w:rsidP="00000000" w:rsidRDefault="00000000" w:rsidRPr="00000000" w14:paraId="0000049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Bauer, F., King, D.R., Friesl, M., Schriber, S. and Weng, Q. (2024). Acquisition integration capabilities and organizational design. Long Range Planning, [online] 57(6), p.102479. </w:t>
      </w:r>
      <w:hyperlink r:id="rId27">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https://doi.org/10.1016/j.lrp.2024.102479</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9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Bennett, K. and Mayouf, M., 2021. Value management integration for whole life cycle: post COVID-19 strategy for the UK construction industry. Sustainability, 13(16), p.9274.</w:t>
      </w:r>
      <w:hyperlink r:id="rId28">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https://www.mdpi.com/2071-1050/13/16/9274</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9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Biffa (2019).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Welcome to Biffa – no.1 for business waste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Biffa. Available at: </w:t>
      </w:r>
      <w:hyperlink r:id="rId29">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https://www.biffa.co.uk/</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9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Binyaseen, A.M.A. (2024). Office design features and future organizational change toward supporting sustainability.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Buildings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14(1), p.260. Available at: </w:t>
      </w:r>
      <w:hyperlink r:id="rId30">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https://www.mdpi.com/2075-5309/14/1/260</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9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Bio-powder.com.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Embracing Circular Economy: Profitable Sustainability for Modern Companies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Available at: https://www.bio-powder.com/en/circular-economy/ </w:t>
      </w:r>
    </w:p>
    <w:p w:rsidR="00000000" w:rsidDel="00000000" w:rsidP="00000000" w:rsidRDefault="00000000" w:rsidRPr="00000000" w14:paraId="0000049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Bone, M., Ehlinger, E.G. and Stephany, F. (2025). Skills or degree? The rise of skill-based hiring for AI and green jobs.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Technological Forecasting and Social Change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214, p.124042. Available at: </w:t>
      </w:r>
      <w:hyperlink r:id="rId31">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https://www.sciencedirect.com/science/article/pii/S0040162525000733</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9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Böttcher, T.P., Empelmann, S., Weking, J., Hein, A. and Krcmar, H., 2024. Digital sustainable business models: Using digital technology to integrate ecological sustainability into the core of business models. Information Systems Journal, 34(3), pp.736-761.</w:t>
      </w:r>
      <w:hyperlink r:id="rId32">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https://onlinelibrary.wiley.com/doi/pdfdirect/10.1111/isj.12436</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9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Bressanelli, G., Saccani, N. and Perona, M., 2022. Investigating business potential and users’ acceptance of circular economy: a survey and an evaluation model. Sustainability, 14(2), p.609.</w:t>
      </w:r>
      <w:hyperlink r:id="rId33">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https://www.mdpi.com/2071-1050/14/2/609</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9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‌Briggs, C.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A Sustainable Business Model - Sustainable X</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Sustainable X. Available at: </w:t>
      </w:r>
      <w:hyperlink r:id="rId34">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https://www.sustainablex.co.uk/sustainable-business-model/</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9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Buckley, D.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UK small and medium-sized enterprises (SMEs) statistics | leyton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United Kingdom. Available at: </w:t>
      </w:r>
      <w:hyperlink r:id="rId35">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https://leyton.com/uk/insights/articles/uk-sme-statistics/</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9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Budler, M., Quiroga, B.F. and Trkman, P. (2023). A review of supply chain transparency research: Antecedents, technologies, types, and outcomes.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Journal of Business Logistics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45(1). Available at: </w:t>
      </w:r>
      <w:hyperlink r:id="rId36">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https://onlinelibrary.wiley.com/doi/10.1111/jbl.12368</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9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Business Registers Strategy and Outputs team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UK business; activity, size and location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Ons.gov.uk. Available at: </w:t>
      </w:r>
      <w:hyperlink r:id="rId37">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https://www.ons.gov.uk/businessindustryandtrade/business/activitysizeandlocation/bulletins/ukbusinessactivitysizeandlocation/2025</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9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Chen, R. and Perry, P. (2026). Configurational pathways for technology-enabled ESG value creation in global supply chains.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Journal of Business Research</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215, p.116356. Available at: </w:t>
      </w:r>
      <w:hyperlink r:id="rId38">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https://www.sciencedirect.com/science/article/pii/S0148296326003917</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9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Connor-Crabb, A., Hemingray, C. and Toms, S. (2026). Can digital technologies support sufficiency in fashion? Evidence from innovative UK fashion SMEs.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Fashion Practice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pp.1–26. Available at: </w:t>
      </w:r>
      <w:hyperlink r:id="rId39">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https://www.tandfonline.com/doi/full/10.1080/17569370.2026.2639755</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A0">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Consultancy UK (2026) ‘London now world’s second most expensive office fit-out market’,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Consultancy.uk</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 June. Available at:</w:t>
      </w:r>
      <w:hyperlink r:id="rId4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hyperlink>
      <w:hyperlink r:id="rId41">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https://www.consultancy.uk/news/44287/london-now-worlds-second-most-expensive-office-fit-out-market</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br w:type="textWrapping"/>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Office for National Statistics (2025a) ‘UK business; activity, size and location: 2025’, 24 September. Available at:</w:t>
      </w:r>
      <w:hyperlink r:id="rId4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hyperlink>
      <w:hyperlink r:id="rId43">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https://www.ons.gov.uk/businessindustryandtrade/business/activitysizeandlocation/bulletins/ukbusinessactivitysizeandlocation/2025</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br w:type="textWrapping"/>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Office for National Statistics (2025b) ‘Who has access to hybrid work in Great Britain?’, 11 June. Available at:</w:t>
      </w:r>
      <w:hyperlink r:id="rId4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hyperlink>
      <w:hyperlink r:id="rId45">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https://www.ons.gov.uk/employmentandlabourmarket/peopleinwork/employmentandemployeetypes/articles/whohasaccesstohybridworkingreatbritain/latest</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br w:type="textWrapping"/>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Homes England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Homes England annual report and accounts 2024 to 2025</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w:t>
      </w:r>
      <w:hyperlink r:id="rId4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hyperlink>
      <w:hyperlink r:id="rId47">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https://www.gov.uk/government/publications/homes-england-annual-report-and-accounts-2024-and-2025/homes-england-annual-report-2024-to-2025-chairs-foreword-and-performance-report-accessible-version</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A1">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Cooper, M. (2024). Integrating Sustainability Into Procurement: Perspectives From Supply Chain Practitioners. </w:t>
      </w:r>
      <w:hyperlink r:id="rId48">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https://doi.org/10.20944/preprints202407.0614.v1</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A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Daglio, L., Ginelli, E. and Vignati, G., 2023. Housing design: Furniture or fixtures? Accommodating change through technological and typological innovation. Buildings, 13(7), p.1862.</w:t>
      </w:r>
      <w:hyperlink r:id="rId49">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https://www.mdpi.com/2075-5309/13/7/1862</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A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‌Dalton, L.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Working from Home Statistics UK: The 2025 Report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Working From Coffee Shops. Available at: </w:t>
      </w:r>
      <w:hyperlink r:id="rId50">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https://www.workingfromcoffeeshops.co.uk/blog/working-from-home-statistics-uk</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A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Dao, T., Cooper, T. and Watkins, M. (2026). Examining the ‘consumer repair journey’ and business intervention opportunities to enhance customer experience and satisfaction.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Circular Economy and Sustainability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6(2). Available at: </w:t>
      </w:r>
      <w:hyperlink r:id="rId51">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https://link.springer.com/article/10.1007/s43615-026-00773-x</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A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Das, A.K., Hossain, M.F., Khan, B.U., Rahman, M.M., Asad, Z. and Akter, M. (2025). Circular economy: A sustainable model for waste reduction and wealth creation in the textile supply chain.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SPE Polymers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6(1). Available at: </w:t>
      </w:r>
      <w:hyperlink r:id="rId52">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https://4spepublications.onlinelibrary.wiley.com/doi/10.1002/pls2.10171</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A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Dauerer, A. (2025). A systematic literature review of performance measurement systems and the integration of ESG factors.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Environmental and Sustainability Indicators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27, p.100746. </w:t>
      </w:r>
      <w:hyperlink r:id="rId53">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https://doi.org/10.1016/j.indic.2025.100746</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A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Davis, T. and Charter, M. (2025). Creative Industries and the circular economy: A reality check across global policy, practice, and research.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Sustainability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17(23), p.10460. Available at: </w:t>
      </w:r>
      <w:hyperlink r:id="rId54">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https://www.mdpi.com/2071-1050/17/23/10460</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A8">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Delta-esourcing.com. (2026).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View Notice | NEUPC Procurement Portal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Available at: https://neupc.delta-esourcing.com/commonNoticeSearch/viewNotice.html?displayNoticeId=1043636322 </w:t>
      </w:r>
    </w:p>
    <w:p w:rsidR="00000000" w:rsidDel="00000000" w:rsidP="00000000" w:rsidRDefault="00000000" w:rsidRPr="00000000" w14:paraId="000004A9">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Department for Environment, Food &amp; Rural Affairs (2022).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UK statistics on waste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GOV.UK. Available at: https://www.gov.uk/government/statistics/uk-waste-data/uk-statistics-on-waste </w:t>
      </w:r>
    </w:p>
    <w:p w:rsidR="00000000" w:rsidDel="00000000" w:rsidP="00000000" w:rsidRDefault="00000000" w:rsidRPr="00000000" w14:paraId="000004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Department for Environment, Food &amp; Rural Affairs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UK statistics on waste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GOV.UK. Available at:</w:t>
      </w:r>
      <w:hyperlink r:id="rId5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hyperlink>
      <w:hyperlink r:id="rId56">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https://www.gov.uk/government/statistics/uk-waste-data/uk-statistics-on-waste</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AB">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Department for Environment, Food and Rural Affairs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Maximising resources, minimising waste: a circular economy approach to resource and waste management in England</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57">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https://www.gov.uk/government/publications/waste-prevention-programme-for-england-maximising-resources-minimising-waste/the-waste-prevention-programme-for-england-maximising-resources-minimising-waste</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A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Elarabi, H.A.O. and Khalifa, W. (2025). Impact of sustainable finance on business financial performance: Insight from London Stock Exchange firms.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Sustainability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17(11), p.4898. Available at: </w:t>
      </w:r>
      <w:hyperlink r:id="rId58">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https://www.mdpi.com/2071-1050/17/11/4898</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A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Eslamipoor, R. (2026). Digital Technology’s role in circular waste management: A systematic review.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Business Strategy and the Environment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Available at: </w:t>
      </w:r>
      <w:hyperlink r:id="rId59">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https://onlinelibrary.wiley.com/doi/full/10.1002/bse.70943</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A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European Commission (2026).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Documents download module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Europa.eu. Available at: </w:t>
      </w:r>
      <w:hyperlink r:id="rId60">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https://ec.europa.eu/research/participants/documents/downloadPublic?documentIds=080166e51297820f&amp;appId=PPGMS</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AF">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Find a Tender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Sustainable Furniture Solutions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w:t>
      </w:r>
      <w:hyperlink r:id="rId6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hyperlink>
      <w:hyperlink r:id="rId62">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https://www.find-tender.service.gov.uk/Notice/051565-2025</w:t>
        </w:r>
      </w:hyperlink>
      <w:r w:rsidDel="00000000" w:rsidR="00000000" w:rsidRPr="00000000">
        <w:rPr>
          <w:rtl w:val="0"/>
        </w:rPr>
      </w:r>
    </w:p>
    <w:p w:rsidR="00000000" w:rsidDel="00000000" w:rsidP="00000000" w:rsidRDefault="00000000" w:rsidRPr="00000000" w14:paraId="000004B0">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Franzè, C., Paolucci, E. and Pessot, E. (2024). Sustained value creation driven by digital connectivity: A multiple case study in the mechanical components industry.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Technovation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129, p.102918. </w:t>
      </w:r>
      <w:hyperlink r:id="rId63">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https://www.sciencedirect.com/journal/technovation/vol/129/suppl/C</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B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Fredriksson, A., Eriksson, L., Janné, M. and Lundberg, K. (2026). Breaking barriers to circularity: Understanding multi-actor misalignment in planning practices.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Circular Economy and Sustainability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6(2). Available at: </w:t>
      </w:r>
      <w:hyperlink r:id="rId64">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https://link.springer.com/article/10.1007/s43615-026-00775-9</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B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Fu, Q., Nicholson, G.L. and Easton, J.M. (2024). Understanding data quality in a data-driven industry context: Insights from the fundamentals.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Journal of Industrial Information Integration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42, p.100729. </w:t>
      </w:r>
      <w:hyperlink r:id="rId65">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https://www.sciencedirect.com/journal/journal-of-industrial-information-integration/vol/42/suppl/C</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B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Fu, Y., Li, Y. and Li, X. (2023). Coexisting or coworking? The reconfigured office spaces in two emerging global cities.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Journal of Urban Affairs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pp.1–18. Available at: </w:t>
      </w:r>
      <w:hyperlink r:id="rId66">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https://www.researchgate.net/publication/373599608_Coexisting_or_coworking_The_reconfigured_office_spaces_in_two_emerging_global_citie</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B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Global Trash Solutions (2026).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Page restricted</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Globaltrashsolutions.com. Available at: </w:t>
      </w:r>
      <w:hyperlink r:id="rId67">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https://globaltrashsolutions.com/blog/waste-reduction-strategies-for-retail-chains</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B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Gorecka, I.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Beyond recycling: The role of office furniture in a truly sustainable economy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Coggin-sos.co.uk. Available at: </w:t>
      </w:r>
      <w:hyperlink r:id="rId68">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https://www.coggin-sos.co.uk/beyond-recycling-the-role-of-office-furniture-in-a-truly-sustainable-econom</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B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Government of UK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Dispose of business or commercial waste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GOV.UK. Available at: </w:t>
      </w:r>
      <w:hyperlink r:id="rId69">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https://www.gov.uk/dispose-business-commercial-waste</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B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Government of UK (2024a).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Estimates of Residual Waste and Municipal Residual Waste in England</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GOV.UK. Available at: </w:t>
      </w:r>
      <w:hyperlink r:id="rId70">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https://www.gov.uk/government/statistics/estimates-of-residual-waste-and-municipal-residual-waste-in-england/estimates-of-residual-waste-excluding-major-mineral-wastes-and-municipal-residual-waste-in-england</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B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Government of UK (2024b).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Supplementary information: Small and medium-sized enterprises definition (HTML)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GOV.UK. Available at: </w:t>
      </w:r>
      <w:hyperlink r:id="rId71">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https://www.gov.uk/government/publications/procurement-act-2023-short-guides/supplementary-information-small-and-medium-sized-enterprises-definition-html</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B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Government of UK (2024c).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UK Statistics on Waste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GOV.UK. Available at: </w:t>
      </w:r>
      <w:hyperlink r:id="rId72">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https://www.gov.uk/government/statistics/uk-waste-data/uk-statistics-on-waste</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B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Government of UK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UK business; activity, size and location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Ons.gov.uk. Available at: </w:t>
      </w:r>
      <w:hyperlink r:id="rId73">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https://www.ons.gov.uk/businessindustryandtrade/business/activitysizeandlocation/bulletins/ukbusinessactivitysizeandlocation/2025</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B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Government of UK (2026a).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Backing your business: Our plan for small and medium sized businesses (web version)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GOV.UK. Available at: </w:t>
      </w:r>
      <w:hyperlink r:id="rId74">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https://www.gov.uk/government/publications/backing-your-business-our-plan-for-small-and-medium-sized-businesses/backing-your-business-our-plan-for-small-and-medium-sized-businesses-web-version</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B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Government of UK (2026b).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National Living Wage increases to £12.71 per hour</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GOV.UK. Available at: </w:t>
      </w:r>
      <w:hyperlink r:id="rId75">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https://www.gov.uk/government/news/national-living-wage-increases-to-1271-per-hour</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B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Grand View Research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UK Eco-friendly Furniture Market Size &amp; Outlook, 2030</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Grandviewresearch.com</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 </w:t>
      </w:r>
      <w:hyperlink r:id="rId76">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https://www.grandviewresearch.com/horizon/outlook/eco-friendly-furniture-market/uk</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B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Green Space Innovations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Blocked</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Greenspaceinnovations.co.uk. Available at: </w:t>
      </w:r>
      <w:hyperlink r:id="rId77">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https://greenspaceinnovations.co.uk/uk-recycling-rate-rises-to-44-6-as-waste-to-landfill-falls/</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B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Grundon (2026).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UK Waste Disposal &amp; Waste Management Services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Grundon. Available at: </w:t>
      </w:r>
      <w:hyperlink r:id="rId78">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https://www.grundon.com/</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C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Guerreiro, R. and Amaral, J.V. (2018). Cost-based price and value-based price: Are they conflicting approaches?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Journal of Business &amp; Industrial Marketing</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33(3), pp.00–00. Available at: </w:t>
      </w:r>
      <w:hyperlink r:id="rId79">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https://www.researchgate.net/publication/323082261_Cost-based_price_and_value-based_price_are_they_conflicting_approaches</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C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Halat, K., Childe, S., Golding, N. and Summerscales, J., 2026. Scope 3 Carbon Emissions Assessment for Manufacturing SMEs. Corporate Social Responsibility and Environmental Management.</w:t>
      </w:r>
      <w:hyperlink r:id="rId80">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https://onlinelibrary.wiley.com/doi/pdf/10.1002/csr.70489</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C2">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‌Handoyo, S., Suharman, H., Ghani, E.K. and Soedarsono, S. (2023). A business strategy, operational efficiency, ownership structure, and manufacturing performance: The moderating role of market uncertainty and competition intensity and its implication on open innovation.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Journal of Open Innovation: Technology, Market, and Complexity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9(2), p.100039. </w:t>
      </w:r>
      <w:hyperlink r:id="rId81">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https://doi.org/10.1016/j.joitmc.2023.100039</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C3">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Helo, P. and Thai, V.V. (2024). Logistics 4.0 – digital transformation with smart connected tracking and tracing devices.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International Journal of Production Economics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275, p.109336. </w:t>
      </w:r>
      <w:hyperlink r:id="rId82">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https://www.sciencedirect.com/journal/international-journal-of-production-economics/vol/275/suppl/C</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C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Hidalgo-Crespo, J., Riel, A., Duberg, J.V., Bunodiere, A. and Golinska-Dawson, P., 2024. An exploratory study for product-as-a-service (PaaS) offers development for electrical and electronic equipment. Procedia CIRP, 122, pp.521-526.</w:t>
      </w:r>
      <w:hyperlink r:id="rId83">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https://www.sciencedirect.com/science/article/pii/S2212827124000933/pdf?md5=eef925a01737505493cc025e4f44a238&amp;pid=1-s2.0-S2212827124000933-main.pdf</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C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Hokmabadi, H., Rezvani, S.M.H.S. and de Matos, C.A. (2024). Business resilience for small and medium enterprises and startups by digital transformation and the role of marketing capabilities—A systematic review.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Systems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12(6), p.220. Available at: </w:t>
      </w:r>
      <w:hyperlink r:id="rId84">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https://www.mdpi.com/2079-8954/12/6/220</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C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Holman, D., Davis, M., Escaffi-Schwarz, M. and Ono, M. (2026). The hybrid workspace: Testing an activity-based model of hybrid workspace design.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European Journal of Work and Organizational Psychology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pp.1–21. Available at: </w:t>
      </w:r>
      <w:hyperlink r:id="rId85">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https://www.tandfonline.com/doi/full/10.1080/1359432X.2026.2648294</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C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Horn, S. and Silvennoinen, K. (2025). Traceability as an Enabler of Circular Economy in the Plastics Packaging Value Chain. Circular Economy and Sustainability. </w:t>
      </w:r>
      <w:hyperlink r:id="rId86">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https://doi.org/10.1007/s43615-025-00626-z?urlappend=%3Futm_source%3Dresearchgate.net%26utm_medium%3Darticle</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C8">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Huis, C., Vallaster, C. and Müller, J.M. (2026) ‘The difficulties in finding value in waste: linking institutional dynamics and circular business model development’,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Review of Managerial Science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hyperlink r:id="rId87">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https://doi.org/10.1007/s11846-026-00971-9?urlappend=%3Futm_source%3Dresearchgate.net%26utm_medium%3Darticle</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C9">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Ignatius, T., Nwabekee, S., Ebele, E. and Abdul-Azeez, O.Y. (2024). The impact of customer relationship management (CRM) tools on sales growth and customer loyalty in emerging markets.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International Journal of Management &amp; Entrepreneurship Research</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6(9), pp.2964–2988. </w:t>
      </w:r>
      <w:hyperlink r:id="rId88">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https://doi.org/10.51594/ijmer.v6i9.1533</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CA">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Jenkins, A.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13 Reverse Logistics Challenges &amp; How to Overcome Them</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Oracle NetSuite. Available at: https://www.netsuite.com/portal/resource/articles/inventory-management/reverse-logistics-challenges.shtml </w:t>
      </w:r>
    </w:p>
    <w:p w:rsidR="00000000" w:rsidDel="00000000" w:rsidP="00000000" w:rsidRDefault="00000000" w:rsidRPr="00000000" w14:paraId="000004C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Kalbach, J., Wermuth, Y., Duda, S. and Florin Ciontu (2024). Jobs-to-be-done at scale: Disrupting the status quo with customer focus.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Journal of digital &amp; social media marketing.</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12(3), pp.262–262. </w:t>
      </w:r>
      <w:hyperlink r:id="rId89">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https://doi.org/10.69554/NJQQ4314</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C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Kaluvilla, B.B., Mulla, T. and Zahidi, F. (2025). Driving sustainable choices through understanding consumer behaviour and underlying factors that influence the purchasing intention of refurbished furniture.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Discover Sustainability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6(1). Available at: </w:t>
      </w:r>
      <w:hyperlink r:id="rId90">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https://link.springer.com/article/10.1007/s43621-025-01497-y</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C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Kam, B., Ahsan, K., Deng, H. and Duan, S. (2026). Digital platforms in supply chain and logistics management: A systematic literature review.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Transportation Research Part E: Logistics and Transportation Review</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209, p.104737. Available at: </w:t>
      </w:r>
      <w:hyperlink r:id="rId91">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https://www.sciencedirect.com/science/article/pii/S1366554526000773</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CE">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Kanda, W., Klofsten, M., Bienkowska, D., Henry, M. and Hjelm, O. (2024). Challenges of circular new ventures: An empirical analysis of 70 cases.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Journal of Cleaner Production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442, p.141103. </w:t>
      </w:r>
      <w:hyperlink r:id="rId92">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https://www.sciencedirect.com/journal/journal-of-cleaner-production/vol/442/suppl/C</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C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Kans, Mirka, Chamirangika Madushani Hetti Arachchige, and Dan Paulin. "Circular Strategies in the Swedish Furniture Industry–A Business Modelling Approach." In Sustainable Production through Advanced Manufacturing, Intelligent Automation and Work Integrated Learning: Proceedings of the 11th Swedish Production Symposium (SPS2024), pp. 552-563. 1 Oliver's Yard, 55 City Road, London, EC1Y 1SP: SAGE Publications, 2024.</w:t>
      </w:r>
      <w:hyperlink r:id="rId93">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https://journals.sagepub.com/doi/pdf/10.3233/ATDE240197</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D0">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‌Khan, M., Parvaiz, G.S., Dedahanov, A.T., Abdurazzakov, O.S. and Rakhmonov, D.A. (2022). The Impact of Technologies of Traceability and Transparency in Supply Chains.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Sustainability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14(24), p.16336. </w:t>
      </w:r>
      <w:hyperlink r:id="rId94">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https://doi.org/10.3390/su142416336</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D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Kowalkowski, C. and Ulaga, W. (2024). Subscription offers in business-to-business markets: Conceptualization, taxonomy, and framework for growth.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Industrial Marketing Management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117, pp.440–456. Available at: </w:t>
      </w:r>
      <w:hyperlink r:id="rId95">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https://www.sciencedirect.com/science/article/pii/S0019850124000142</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D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Kudrenko, I., Mukhametov, A. and Aslanov, E.S. (2025). Structural modification of supply chains in the imperatives of circular economy.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Journal of Innovation and Entrepreneurship</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14(1). Available at: </w:t>
      </w:r>
      <w:hyperlink r:id="rId96">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https://link.springer.com/article/10.1186/s13731-025-00515-7</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D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Kusumo, F., Mahlia, T.M.I., Pradhan, S., Ong, H.C., Silitonga, A.S., Fattah, I.R., Nghiem, L.D. and Mofijur, M., 2022. A framework to assess indicators of the circular economy in biological systems. Environmental Technology &amp; Innovation, 28, p.102945.</w:t>
      </w:r>
      <w:hyperlink r:id="rId97">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https://www.sciencedirect.com/science/article/pii/S2352186422003686</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D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Lamichhane, B.D., Lama, P.B. and Lopchan, L. (2024). Cost-volume analysis and its impact on profitability: An evidence from Nepal.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International Journal of Religion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5(12), pp.2007–2018. Available at: </w:t>
      </w:r>
      <w:hyperlink r:id="rId98">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https://www.researchgate.net/publication/387473297_Cost-Volume_Analysis_and_its_Impact_on_Profitability_An_Evidence_from_Nepal</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D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‌Liu, Q., Wang, R., Pareti, M., Castellini, A., Viaggi, D. and Canavari, M. (2026). Big data in consumer behavior research: a systematic review of data sources, analytical methods, and research questions.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Journal of Marketing Analytics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w:t>
      </w:r>
      <w:hyperlink r:id="rId99">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https://link.springer.com/article/10.1057/s41270-026-00470-6#citeas</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D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Liu, X., Zhou, B., Qi, W., Li, Z. and Wang, J. (2025). Value-added service pricing strategies considering customer stickiness: A freemium perspective.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Journal of theoretical and applied electronic commerce research</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20(3), pp.201–201. Available at: </w:t>
      </w:r>
      <w:hyperlink r:id="rId100">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https://www.mdpi.com/0718-1876/20/3/201</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D7">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Low Pay Commission (2026).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National Living Wage increases to £12.71 per hour</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GOV.UK. Available at: </w:t>
      </w:r>
      <w:hyperlink r:id="rId101">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https://www.gov.uk/government/news/national-living-wage-increases-to-1271-per-hour</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D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Lyu, S.O. and Kim, C. (2025) ‘What Drives Consumer Willingness to Pay for Environmental, Social, and Governance Initiatives? A Choice Experiment’, Corporate Social Responsibility and Environmental Management, 32(2). </w:t>
      </w:r>
      <w:hyperlink r:id="rId102">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https://doi.org/10.1002/csr.3141</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D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 C.-C. and Chang, H.-P. (2024). The perception of consumer behaviors in subscription platforms for surplus food restaurants—An analytical view of the technology acceptance model.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Foods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13(19), pp.3045–3045. Available at: </w:t>
      </w:r>
      <w:hyperlink r:id="rId103">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https://www.mdpi.com/2304-8158/13/19/3045</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D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Market Data Forecast (2024).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UK waste management market report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Market Data Forecast. Available at: </w:t>
      </w:r>
      <w:hyperlink r:id="rId104">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https://www.marketdataforecast.com/market-reports/united-kingdom-waste-management-market</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D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Markiewicz, E. and Ziobrowska-Sztuczka, J. (2026). Subscription economy as a tool for promoting sustainable consumption in Poland.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Sustainability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18(3), p.1484. Available at: </w:t>
      </w:r>
      <w:hyperlink r:id="rId105">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https://www.mdpi.com/2071-1050/18/3/1484</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D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McAllister, P. and Nase, I., 2023. Minimum energy efficiency standards in the commercial real estate sector: A critical review of policy regimes. Journal of Cleaner Production, 393, p.136342. </w:t>
      </w:r>
      <w:hyperlink r:id="rId106">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https://www.sciencedirect.com/science/article/pii/S0959652623005000</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DD">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Mehran, J. and Kristensson, P. (2025) ‘B2B Service Innovation: How Business Customers Perceive Firm Innovativeness’, in Witell, L. (ed.)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Service Innovation and Management: Digitalization, Service Infusion and Customer Experience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Cham: Springer, pp. 157–172. </w:t>
      </w:r>
      <w:hyperlink r:id="rId107">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https://doi.org/10.1007/978-3-031-76560-5_12</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D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Merchant Savvy (2022).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UK SME data, statistics &amp; brilliant charts. Updated nov 2018.</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Merchant Savvy. Available at: </w:t>
      </w:r>
      <w:hyperlink r:id="rId108">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https://www.merchantsavvy.co.uk/uk-sme-data-stats-charts/</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D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Mignon, I. and Bankel, A., 2023. Sustainable business models and innovation strategies to realize them: A review of 87 empirical cases. Business Strategy and the Environment, 32(4), pp.1357-1372. </w:t>
      </w:r>
      <w:hyperlink r:id="rId109">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https://onlinelibrary.wiley.com/doi/pdf/10.1002/bse.3192</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E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Milios, L., 2021. Overarching policy framework for product life extension in a circular economy—A bottom‐up business perspective. Environmental Policy and Governance, 31(4), pp.330-346.</w:t>
      </w:r>
      <w:hyperlink r:id="rId110">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https://onlinelibrary.wiley.com/doi/pdf/10.1002/eet.1927</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E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Mohri, S.S., Ghaderi, H., Woensel, T. Van, Mohammadi, M., Nassir, N. and Thompson, R.G. (2024). Contextualizing alternative delivery points in last mile delivery.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Transportation Research Part E: Logistics and Transportation Review</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192, p.103787. Available at: </w:t>
      </w:r>
      <w:hyperlink r:id="rId111">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https://www.sciencedirect.com/science/article/pii/S1366554524003788</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E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Mokhtar, N.S., Xifeng, N.C. and Wenming, N.Z. (2025). Modular system of cabinets for mass-customized furniture.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Environment-Behaviour Proceedings Journal</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10(SI29), pp.67–73. Available at: </w:t>
      </w:r>
      <w:hyperlink r:id="rId112">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https://www.researchgate.net/publication/394186609_Modular_System_of_Cabinets_for_Mass-Customized_Furniture</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E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Morseletto, P., 2023. Sometimes linear, sometimes circular: States of the economy and transitions to the future. Journal of Cleaner Production, 390, p.136138.</w:t>
      </w:r>
      <w:hyperlink r:id="rId113">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https://www.sciencedirect.com/science/article/pii/S0959652623002962</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E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Mostafa, A., Moustafa, K. and Elshaer, R. (2023). Impact of fixed cost increase on the optimization of two-stage sustainable supply chain networks.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Sustainability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15(18), pp.13949–13949. Available at: </w:t>
      </w:r>
      <w:hyperlink r:id="rId114">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https://www.mdpi.com/2071-1050/15/18/13949</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E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Netseva-Porcheva, T. (2011).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Value-based pricing: A success factor in the competitive struggle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ResearchGate. Available at: </w:t>
      </w:r>
      <w:hyperlink r:id="rId115">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https://www.researchgate.net/publication/276228917_Value-based_pricing_A_success_factor_in_the_competitive_struggle</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E6">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Njølstad Slotsvik, T., Arne Pettersen Gould, K. and Hayes, J. (2025). Adapting to the rhythm of the procurement cycle. Organizational reliability implications of change processes in procured critical services.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Safety Science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181, p.106672. Available at: </w:t>
      </w:r>
      <w:hyperlink r:id="rId116">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https://www.sciencedirect.com/science/article/pii/S0925753524002625</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E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OECD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OECD employment outlook 2025: Navigating the golden years: Making the labour market work for older workers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OECD. Available at: </w:t>
      </w:r>
      <w:hyperlink r:id="rId117">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https://www.oecd.org/en/publications/oecd-employment-outlook-2025_194a947b-en/full-report/navigating-the-golden-years-making-the-labour-market-work-for-older-workers_2bc681ed.html</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E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OECD (2026).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The twin transition of retail SMEs: Local retail, global trends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OECD. Available at: </w:t>
      </w:r>
      <w:hyperlink r:id="rId118">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https://www.oecd.org/en/publications/local-retail-global-trends_55e2edec-en/full-report/the-twin-transition-of-retail-smes_e9ff5378.html</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E9">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Office for National Statistics (2025) ‘Who has access to hybrid work in Great Britain?’, 11 June. Available at:</w:t>
      </w:r>
      <w:hyperlink r:id="rId11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hyperlink>
      <w:hyperlink r:id="rId120">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https://www.ons.gov.uk/employmentandlabourmarket/peopleinwork/employmentandemployeetypes/articles/whohasaccesstohybridworkingreatbritain/latest</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Office for National Statistics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UK business; activity, size and location: 2025</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Available at:</w:t>
      </w:r>
      <w:hyperlink r:id="rId12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hyperlink>
      <w:hyperlink r:id="rId122">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https://www.ons.gov.uk/businessindustryandtrade/business/activitysizeandlocation/bulletins/ukbusinessactivitysizeandlocation/2025</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E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Office for National Statistics (2026).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Consumer price inflation, UK</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Ons.gov.uk. Available at: </w:t>
      </w:r>
      <w:hyperlink r:id="rId123">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https://www.ons.gov.uk/economy/inflationandpriceindices/bulletins/consumerpriceinflation/june2026</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EC">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Ogiemwonyi, O. (2025). A conceptual review of circular economy position from a marketing perspective.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Innovation and Green Development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4(4), p.100258. </w:t>
      </w:r>
      <w:hyperlink r:id="rId124">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https://doi.org/10.1016/j.igd.2025.100258</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E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Ogwu, M.C. and Kosoe, E.A. (2025). Innovative approaches to recycling, upcycling, and downcycling for sustainable waste management.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CleanMat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2(3), pp.242–261. Available at: </w:t>
      </w:r>
      <w:hyperlink r:id="rId125">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https://onlinelibrary.wiley.com/doi/10.1002/clem.70013</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E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Öngel, F.S., Gonçalves, J. and da Silva, F.N. (2025). Industrial Relocation and Urban Restructuring: Between Decline and Global Connectivity in Setúbal.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Urban Science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9(5), p.167. Available at: </w:t>
      </w:r>
      <w:hyperlink r:id="rId126">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https://www.mdpi.com/2413-8851/9/5/167</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E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Orellano, M. and Gourc, D. (2024). What typology of risks and methods for risk management in innovation projects?: A systematic literature review.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International Journal of Innovation Studies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Available at: </w:t>
      </w:r>
      <w:hyperlink r:id="rId127">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https://www.sciencedirect.com/science/article/pii/S2096248724000456</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F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Pascucci, F., Savelli, E. and Gistri, G. (2023). How digital technologies reshape marketing: Evidence from a qualitative investigation.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Italian Journal of Marketing</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2023(1), pp.27–58. Available at: </w:t>
      </w:r>
      <w:hyperlink r:id="rId128">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https://link.springer.com/article/10.1007/s43039-023-00063-6</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F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PECB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The Importance of Occupational Health and Safety - PECB</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PECB. Available at: </w:t>
      </w:r>
      <w:hyperlink r:id="rId129">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https://pecb.com/en/article/the-importance-of-occupational-health-and-safety</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F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Pei, X., Italia, M. and Melazzini, M. (2024). Enhancing circular economy practices in the furniture industry through circular design strategies.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Sustainability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16(15), pp.6544–6544. Available at: </w:t>
      </w:r>
      <w:hyperlink r:id="rId130">
        <w:r w:rsidDel="00000000" w:rsidR="00000000" w:rsidRPr="00000000">
          <w:rPr>
            <w:rFonts w:ascii="Arial" w:cs="Arial" w:eastAsia="Arial" w:hAnsi="Arial"/>
            <w:b w:val="0"/>
            <w:bCs w:val="0"/>
            <w:i w:val="0"/>
            <w:iCs w:val="0"/>
            <w:smallCaps w:val="0"/>
            <w:strike w:val="0"/>
            <w:color w:val="0000ff"/>
            <w:sz w:val="24"/>
            <w:szCs w:val="24"/>
            <w:u w:val="single"/>
            <w:shd w:fill="auto" w:val="clear"/>
            <w:vertAlign w:val="baseline"/>
            <w:rtl w:val="0"/>
          </w:rPr>
          <w:t xml:space="preserve">https://www.mdpi.com/2071-1050/16/15/6544</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F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Pérez-Sánchez, L.À., Velasco-Fernández, R. and Giampietro, M. (2022). Factors and actions for the sustainability of the residential sector. The nexus of energy, materials, space, and time use.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Renewable and Sustainable Energy Reviews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161, p.112388. Available at: </w:t>
      </w:r>
      <w:hyperlink r:id="rId131">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https://www.sciencedirect.com/science/article/pii/S1364032122002982</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F4">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‌Pesce, D. and Neirotti, P. (2023). The impact of IT–business strategic alignment on firm performance: The evolving role of IT in industries.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Information &amp; Management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60(5), p.103800. </w:t>
      </w:r>
      <w:hyperlink r:id="rId132">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https://www.sciencedirect.com/journal/information-and-management/vol/60/issue/5</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F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Petropoulos, F., Akkermans, H., Aksin, O.Z., Ali, I., Babai, M.Z., Barbosa-Povoa, A., Battaïa, O., Besiou, M., Boysen, N., Brammer, S., Brandon-Jones, A., Briskorn, D., Browning, T.R., Buijs, P., Centobelli, P., Chiarini, A., Cousins, P., Cudney, E.A., Davies, A., Day, S.J., de Koster, R., Dekker, R., Denicol, J., Despeisse, M., Disney, S.M., Dolgui, A., Duong, L., El-Qallali, M., Fahimnia, B., Fakhredin, F., Gershwin, S.B., Ghamat, S., Giannikas, V., Glock, C.H., Godsell, J., Govindan, K., Hannibal, C., Haug, A., Hernaus, T., Hsuan, J., Ivanov, D., Jahre, M., Johansson, B., Kalidoss, M.S., Kanellopoulos, A., Kannan, D., Karul, E., Katsikopoulos, K.V., Begüm Kilic-Ararat, A., Kolisch, R., Koppenberg, M., Kumar, M., Kuo, Y.-H., Kusiak, A., Lewis, M.A., Lim, S.F.W.T., Limère, V., Liu, J., Maghazei, O., Marić, M., Meissner, J., Meuwissen, M., Micheli, P., Nanayakkara, S., Nur Özdemir, B., Papadopoulos, T., Pavelin, S., Perera, S., Phillips, W., Prak, D., Pun, H., Qazi, S.A., Ramanathan, U., Reiner, G., Reitsma, E., Roehrich, J.K., Sanders, N.R., Sarkis, J., André Schmid, N., Schmidt, C.G., Schroeder, A., Selviaridis, K., Seuring, S., Shi, C., Son, B.-G., Spring, M., Squire, B., der Valk, W. van, van Donk, D.P., van Houtum, G.-J., Wilhelm, M., Wynstra, F. and Zheng, T. (2025). Operations &amp;amp; supply chain management: Principles and practice.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International Journal of Production Research</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pp.1–184. Available at: </w:t>
      </w:r>
      <w:hyperlink r:id="rId133">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https://www.tandfonline.com/doi/full/10.1080/00207543.2025.2555531</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F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Poldner, K., Overdiek, A. and Evangelista, A., 2022. Fashion-as-a-service: Circular business model innovation in retail. Sustainability, 14(20), p.13273.</w:t>
      </w:r>
      <w:hyperlink r:id="rId134">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https://www.mdpi.com/2071-1050/14/20/13273</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F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Pourrahimian, P., Seyedzadeh, S., Arabi, B., Kahani, D. and Lotfian, S. (2026). Digital enablers of the circular economy: A systematic review of applications, barriers, and future directions.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Journal of Manufacturing and Materials Processing</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10(4). Available at: </w:t>
      </w:r>
      <w:hyperlink r:id="rId135">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https://www.mdpi.com/2504-4494/10/4/112</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F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Pratiwi, I., Elizabeth, R., Fatari, N., Basrowi, N. and Nuryanto, U.W. (2025). Assessing pricing, distribution, and warehousing strategies in influencing consumer demand and purchase decisions: Evidence from Indonesia.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Social Sciences &amp; Humanities Open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12, pp.101688–101688. Available at: </w:t>
      </w:r>
      <w:hyperlink r:id="rId136">
        <w:r w:rsidDel="00000000" w:rsidR="00000000" w:rsidRPr="00000000">
          <w:rPr>
            <w:rFonts w:ascii="Arial" w:cs="Arial" w:eastAsia="Arial" w:hAnsi="Arial"/>
            <w:b w:val="0"/>
            <w:bCs w:val="0"/>
            <w:i w:val="0"/>
            <w:iCs w:val="0"/>
            <w:smallCaps w:val="0"/>
            <w:strike w:val="0"/>
            <w:color w:val="0000ff"/>
            <w:sz w:val="24"/>
            <w:szCs w:val="24"/>
            <w:u w:val="single"/>
            <w:shd w:fill="auto" w:val="clear"/>
            <w:vertAlign w:val="baseline"/>
            <w:rtl w:val="0"/>
          </w:rPr>
          <w:t xml:space="preserve">https://www.sciencedirect.com/science/article/pii/S2590291125004164</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F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Pratt, K. (2025). UK website statistics.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Forbes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Available at: </w:t>
      </w:r>
      <w:hyperlink r:id="rId137">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https://www.forbes.com/advisor/uk/business/software/website-statistics/</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FA">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‌Public Policy and Economic Insights team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Who has access to hybrid work in Great Britain?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Ons.gov.uk. Available at: https://www.ons.gov.uk/employmentandlabourmarket/peopleinwork/employmentandemployeetypes/articles/whohasaccesstohybridworkingreatbritain/2025-06-11 </w:t>
      </w:r>
    </w:p>
    <w:p w:rsidR="00000000" w:rsidDel="00000000" w:rsidP="00000000" w:rsidRDefault="00000000" w:rsidRPr="00000000" w14:paraId="000004F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PwC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2025 AI business predictions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PwC. Available at: </w:t>
      </w:r>
      <w:hyperlink r:id="rId138">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https://www.pwc.com/us/en/tech-effect/ai-analytics/ai-predictions.html</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FC">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Recykal.com. (2025).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Environmental Impact of Landfills and Waste Diversion in 2025 - Recykal | Sustainable Circularity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Available at: </w:t>
      </w:r>
      <w:hyperlink r:id="rId139">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https://www.recykal.com/trending-blog/environmental-impact-of-landfills-and-waste-diversion-in-2025</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F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Sahoo, S. (2021). Lean practices and operational performance: The role of organizational culture.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International Journal of Quality &amp; Reliability Management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ahead-of-print(ahead-of-print). Available at: </w:t>
      </w:r>
      <w:hyperlink r:id="rId140">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https://www.emerald.com/ijqrm/article/39/2/428/314305/Lean-practices-and-operational-performance-the</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FE">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‌Sala-Garrido, R., Mocholi-Arce, M., Maziotis, A. and Molinos-Senante, M. (2024). Eco-efficiency approach in sustainable waste management: An uncertainty analysis for Chile.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Environmental Science &amp; Policy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160, p.103859. </w:t>
      </w:r>
      <w:hyperlink r:id="rId141">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https://doi.org/10.1016/j.envsci.2024.103859</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4F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Sharabati, A.-A.A., Ali, A., Allahham, M.I., Hussein, A.A., Alheet, A.F. and Mohammad, A.S. (2024). The impact of digital marketing on the performance of SMEs: An analytical study in light of modern digital transformations.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Sustainability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16(19). Available at: </w:t>
      </w:r>
      <w:hyperlink r:id="rId142">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https://www.mdpi.com/2071-1050/16/19/8667</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50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Shonubi, O.A. (2025). The role of digital B2B platforms with industry 4.0 technological ecosystems(integration of cloud computing, artificial intelligence and internet of things) as a growth lever.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Sustainable Futures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10, p.101041. Available at: </w:t>
      </w:r>
      <w:hyperlink r:id="rId143">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https://www.sciencedirect.com/science/article/pii/S2666188825006057</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50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Sinkovics, N., Gunaratne, D., Sinkovics, R.R. and Molina-Castillo, F.J., 2021. Sustainable business model innovation: An umbrella review. Sustainability, 13(13), p.7266.</w:t>
      </w:r>
      <w:hyperlink r:id="rId144">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https://www.mdpi.com/2071-1050/13/13/7266</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50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Snihur, Y. and Bocken, N., 2022. A call for action: The impact of business model innovation on business ecosystems, society and planet. Long Range Planning, 55(6), p.102182.</w:t>
      </w:r>
      <w:hyperlink r:id="rId145">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https://www.sciencedirect.com/science/article/pii/S0024630122000012</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50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Sohoo, I., Mahapatra, K., Lindbäck, E.A. and Poudel, B.C. (2025). Sustainable materials and waste management in office renovations: A Swedish case study.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Cleaner Waste Systems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12, p.100431. Available at: </w:t>
      </w:r>
      <w:hyperlink r:id="rId146">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https://www.sciencedirect.com/science/article/pii/S2772912525002295</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50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Stabler, D., Hakala, H., Huikkola, T. and Mention, A.-L. (2024). Aligning servitization and circularity: The role of institutional confluence in sustainable business models.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Journal of Cleaner Production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462, p.142666. doi:10.1016/j.jclepro.2024.142666.</w:t>
      </w:r>
    </w:p>
    <w:p w:rsidR="00000000" w:rsidDel="00000000" w:rsidP="00000000" w:rsidRDefault="00000000" w:rsidRPr="00000000" w14:paraId="0000050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 H., Petrecca, A.C.C. and Vezzoli, C., 2025. Designing Environmentally Sustainable Product–Service Systems for Smart Mobile Devices: A Conceptual Framework and Archetypes. Sustainability, 17(19), p.8524.</w:t>
      </w:r>
      <w:hyperlink r:id="rId147">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https://onlinelibrary.wiley.com/doi/pdfdirect/10.1002/bse.3297</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5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Surma, M.J., Nunes, R.J., Rook, C. and Loder, A., 2021. Assessing employee engagement in a post-COVID-19 workplace ecosystem. Sustainability, 13(20), p.11443. </w:t>
      </w:r>
      <w:hyperlink r:id="rId148">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https://www.mdpi.com/2071-1050/13/20/11443</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507">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Svensson Harari, N. and Fundin, A. (2023). An early-phase design process to enable long-term flexibility in assembly systems.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Research in Engineering Design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34(2), pp.257–283. Available at: </w:t>
      </w:r>
      <w:hyperlink r:id="rId149">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https://link.springer.com/article/10.1007/s00163-022-00404-0</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508">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Telukdarie, A. and Nyathi, M.H.L. (2026). ESG and circular business models: Towards a sector-specific circular–ESG integration framework.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Sustainability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18(8), p.4006. Available at: </w:t>
      </w:r>
      <w:hyperlink r:id="rId150">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https://www.mdpi.com/2071-1050/18/8/4006</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509">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Torkki, P., Rotinen, L., Suvituulia Taponen, S., Tella, S., Grönman, K., Deviatkin, I., Pitkänen, L.J., Venesoja, A., Koljonen, K., Repo, E. and Laatikainen, K. (2024). Increasing the role of sustainability in public procurement of personal protective equipment.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Journal of cleaner production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pp.142335–142335. Available at: </w:t>
      </w:r>
      <w:hyperlink r:id="rId151">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https://www.sciencedirect.com/science/article/abs/pii/S0959652624017839</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50A">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‌Udvaros, J., Forman, N., Tašić, J. and Szabó, L. (2024) ‘The Application of QR Codes in the Field of E-Business in the Case of Order Tracking and Logistics’,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14th International Symposium Engineering Management and Competitiveness (EMC 2024)</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Zrenjanin, Serbia. </w:t>
      </w:r>
      <w:hyperlink r:id="rId152">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https://www.researchgate.net/publication/381663947_The_Application_of_QR_Codes_in_the_Field_of_E-Business_in_the_Case_of_Order_Tracking_and_Logistics</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50B">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Veolia (2023).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Waste management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Veolia. Available at: </w:t>
      </w:r>
      <w:hyperlink r:id="rId153">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https://www.veolia.com/en/veolia-group/profile/business-activities/waste-management</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50C">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Wang, Y., Wang, D.D. and Liu, R. (2025). Impact of Digital Technology Adoption on the Similarity of Sustainability Reports.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Sustainability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17(8), p.3728. </w:t>
      </w:r>
      <w:hyperlink r:id="rId154">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https://doi.org/10.3390/su17083728</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50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Winter, K., Cats, O., Martens, K. and van Arem, B. (2021). Parking space for shared automated vehicles: How less can be more.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Transportation Research Part A: Policy and Practice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143, pp.61–77. Available at: </w:t>
      </w:r>
      <w:hyperlink r:id="rId155">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https://www.sciencedirect.com/science/article/pii/S0965856420307734</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50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50F">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WRAP (2025) ‘Crown Workspace Ltd: Leading the way in office furniture reuse’, 16 October. Available at:</w:t>
      </w:r>
      <w:hyperlink r:id="rId15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hyperlink>
      <w:hyperlink r:id="rId157">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https://www.wrap.ngo/resources/case-study/crown-workspace-ltd-leading-way-office-furniture-reuse</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510">
      <w:pPr>
        <w:keepNext w:val="0"/>
        <w:keepLines w:val="0"/>
        <w:pageBreakBefore w:val="0"/>
        <w:widowControl w:val="0"/>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Xu, M., Tse, Y.K., Geng, R., Liu, Z. and Potter, A. (2025). Greenwashing and market value of firms: An empirical study.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International Journal of Production Economics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284, p.109606. </w:t>
      </w:r>
      <w:hyperlink r:id="rId158">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https://www.sciencedirect.com/science/article/pii/S092552732500091X</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51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Zahari, A.I., Manan, A., Razali, F.M., Zolkaflil, S. and Said, J.B. (2023). Exploring the viability of remote work for SME. </w:t>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Journal of Open Innovation: Technology, Market, and Complexity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10(1), pp.100182–100182. Available at: </w:t>
      </w:r>
      <w:hyperlink r:id="rId159">
        <w:r w:rsidDel="00000000" w:rsidR="00000000" w:rsidRPr="00000000">
          <w:rPr>
            <w:rFonts w:ascii="Arial" w:cs="Arial" w:eastAsia="Arial" w:hAnsi="Arial"/>
            <w:b w:val="0"/>
            <w:bCs w:val="0"/>
            <w:i w:val="0"/>
            <w:iCs w:val="0"/>
            <w:smallCaps w:val="0"/>
            <w:strike w:val="0"/>
            <w:color w:val="1155cc"/>
            <w:sz w:val="24"/>
            <w:szCs w:val="24"/>
            <w:u w:val="single"/>
            <w:shd w:fill="auto" w:val="clear"/>
            <w:vertAlign w:val="baseline"/>
            <w:rtl w:val="0"/>
          </w:rPr>
          <w:t xml:space="preserve">https://www.sciencedirect.com/science/article/pii/S2199853123002846</w:t>
        </w:r>
      </w:hyperlin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p>
    <w:sectPr>
      <w:headerReference r:id="rId160" w:type="default"/>
      <w:footerReference r:id="rId161" w:type="default"/>
      <w:footerReference r:id="rId162"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Cambria"/>
  <w:font w:name="Arimo"/>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513">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righ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51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51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0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
      </w:rPr>
    </w:rPrDefault>
    <w:pPrDefault>
      <w:pPr>
        <w:spacing w:after="240" w:before="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60" w:line="360" w:lineRule="auto"/>
      <w:ind w:left="0" w:right="0" w:firstLine="0"/>
      <w:jc w:val="both"/>
    </w:pPr>
    <w:rPr>
      <w:rFonts w:ascii="Arial" w:cs="Arial" w:eastAsia="Arial" w:hAnsi="Arial"/>
      <w:b w:val="1"/>
      <w:bCs w:val="1"/>
      <w:i w:val="0"/>
      <w:iCs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360" w:lineRule="auto"/>
      <w:ind w:left="0" w:right="0" w:firstLine="0"/>
      <w:jc w:val="both"/>
    </w:pPr>
    <w:rPr>
      <w:rFonts w:ascii="Arial" w:cs="Arial" w:eastAsia="Arial" w:hAnsi="Arial"/>
      <w:b w:val="1"/>
      <w:bCs w:val="1"/>
      <w:i w:val="0"/>
      <w:iCs w:val="0"/>
      <w:smallCaps w:val="0"/>
      <w:strike w:val="0"/>
      <w:color w:val="000000"/>
      <w:sz w:val="26"/>
      <w:szCs w:val="26"/>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 w:before="200" w:line="360" w:lineRule="auto"/>
      <w:ind w:left="0" w:right="0" w:firstLine="0"/>
      <w:jc w:val="both"/>
    </w:pPr>
    <w:rPr>
      <w:rFonts w:ascii="Arial" w:cs="Arial" w:eastAsia="Arial" w:hAnsi="Arial"/>
      <w:b w:val="1"/>
      <w:bCs w:val="1"/>
      <w:i w:val="0"/>
      <w:iCs w:val="0"/>
      <w:smallCaps w:val="0"/>
      <w:strike w:val="0"/>
      <w:color w:val="000000"/>
      <w:sz w:val="24"/>
      <w:szCs w:val="24"/>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360" w:lineRule="auto"/>
      <w:ind w:left="0" w:right="0" w:firstLine="0"/>
      <w:jc w:val="both"/>
    </w:pPr>
    <w:rPr>
      <w:rFonts w:ascii="Arial" w:cs="Arial" w:eastAsia="Arial" w:hAnsi="Arial"/>
      <w:b w:val="0"/>
      <w:bCs w:val="0"/>
      <w:i w:val="0"/>
      <w:iCs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00" w:line="360" w:lineRule="auto"/>
      <w:ind w:left="0" w:right="0" w:firstLine="0"/>
      <w:jc w:val="both"/>
    </w:pPr>
    <w:rPr>
      <w:rFonts w:ascii="Arial" w:cs="Arial" w:eastAsia="Arial" w:hAnsi="Arial"/>
      <w:b w:val="0"/>
      <w:bCs w:val="0"/>
      <w:i w:val="0"/>
      <w:iCs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00" w:line="360" w:lineRule="auto"/>
      <w:ind w:left="0" w:right="0" w:firstLine="0"/>
      <w:jc w:val="both"/>
    </w:pPr>
    <w:rPr>
      <w:rFonts w:ascii="Arial" w:cs="Arial" w:eastAsia="Arial" w:hAnsi="Arial"/>
      <w:b w:val="0"/>
      <w:bCs w:val="0"/>
      <w:i w:val="1"/>
      <w:iCs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360" w:lineRule="auto"/>
      <w:ind w:left="0" w:right="0" w:firstLine="0"/>
      <w:jc w:val="both"/>
    </w:pPr>
    <w:rPr>
      <w:rFonts w:ascii="Arial" w:cs="Arial" w:eastAsia="Arial" w:hAnsi="Arial"/>
      <w:b w:val="0"/>
      <w:bCs w:val="0"/>
      <w:i w:val="0"/>
      <w:iCs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360" w:lineRule="auto"/>
      <w:ind w:left="0" w:right="0" w:firstLine="0"/>
      <w:jc w:val="both"/>
    </w:pPr>
    <w:rPr>
      <w:rFonts w:ascii="Arial" w:cs="Arial" w:eastAsia="Arial" w:hAnsi="Arial"/>
      <w:b w:val="0"/>
      <w:bCs w:val="0"/>
      <w:i w:val="0"/>
      <w:iCs w:val="0"/>
      <w:smallCaps w:val="0"/>
      <w:strike w:val="0"/>
      <w:color w:val="666666"/>
      <w:sz w:val="30"/>
      <w:szCs w:val="30"/>
      <w:u w:val="none"/>
      <w:shd w:fill="auto" w:val="clear"/>
      <w:vertAlign w:val="baseline"/>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 w:type="table" w:styleId="Table8">
    <w:basedOn w:val="TableNormal"/>
    <w:tblPr>
      <w:tblStyleRowBandSize w:val="1"/>
      <w:tblStyleColBandSize w:val="1"/>
      <w:tblCellMar>
        <w:top w:w="100.0" w:type="dxa"/>
        <w:left w:w="100.0" w:type="dxa"/>
        <w:bottom w:w="100.0" w:type="dxa"/>
        <w:right w:w="100.0" w:type="dxa"/>
      </w:tblCellMar>
    </w:tblPr>
  </w:style>
  <w:style w:type="table" w:styleId="Table9">
    <w:basedOn w:val="TableNormal"/>
    <w:tblPr>
      <w:tblStyleRowBandSize w:val="1"/>
      <w:tblStyleColBandSize w:val="1"/>
      <w:tblCellMar>
        <w:top w:w="100.0" w:type="dxa"/>
        <w:left w:w="100.0" w:type="dxa"/>
        <w:bottom w:w="100.0" w:type="dxa"/>
        <w:right w:w="100.0" w:type="dxa"/>
      </w:tblCellMar>
    </w:tblPr>
  </w:style>
  <w:style w:type="table" w:styleId="Table10">
    <w:basedOn w:val="TableNormal"/>
    <w:tblPr>
      <w:tblStyleRowBandSize w:val="1"/>
      <w:tblStyleColBandSize w:val="1"/>
      <w:tblCellMar>
        <w:top w:w="100.0" w:type="dxa"/>
        <w:left w:w="100.0" w:type="dxa"/>
        <w:bottom w:w="100.0" w:type="dxa"/>
        <w:right w:w="100.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08.0" w:type="dxa"/>
        <w:bottom w:w="0.0" w:type="dxa"/>
        <w:right w:w="108.0" w:type="dxa"/>
      </w:tblCellMar>
    </w:tblPr>
  </w:style>
  <w:style w:type="table" w:styleId="Table15">
    <w:basedOn w:val="TableNormal"/>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08.0" w:type="dxa"/>
        <w:bottom w:w="0.0" w:type="dxa"/>
        <w:right w:w="108.0" w:type="dxa"/>
      </w:tblCellMar>
    </w:tblPr>
  </w:style>
  <w:style w:type="table" w:styleId="Table17">
    <w:basedOn w:val="TableNormal"/>
    <w:tblPr>
      <w:tblStyleRowBandSize w:val="1"/>
      <w:tblStyleColBandSize w:val="1"/>
      <w:tblCellMar>
        <w:top w:w="0.0" w:type="dxa"/>
        <w:left w:w="108.0" w:type="dxa"/>
        <w:bottom w:w="0.0" w:type="dxa"/>
        <w:right w:w="108.0" w:type="dxa"/>
      </w:tblCellMar>
    </w:tblPr>
  </w:style>
  <w:style w:type="table" w:styleId="Table18">
    <w:basedOn w:val="TableNormal"/>
    <w:tblPr>
      <w:tblStyleRowBandSize w:val="1"/>
      <w:tblStyleColBandSize w:val="1"/>
      <w:tblCellMar>
        <w:top w:w="0.0" w:type="dxa"/>
        <w:left w:w="108.0" w:type="dxa"/>
        <w:bottom w:w="0.0" w:type="dxa"/>
        <w:right w:w="108.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08.0" w:type="dxa"/>
        <w:bottom w:w="0.0" w:type="dxa"/>
        <w:right w:w="108.0" w:type="dxa"/>
      </w:tblCellMar>
    </w:tblPr>
  </w:style>
  <w:style w:type="table" w:styleId="Table23">
    <w:basedOn w:val="TableNormal"/>
    <w:tblPr>
      <w:tblStyleRowBandSize w:val="1"/>
      <w:tblStyleColBandSize w:val="1"/>
      <w:tblCellMar>
        <w:top w:w="0.0" w:type="dxa"/>
        <w:left w:w="108.0" w:type="dxa"/>
        <w:bottom w:w="0.0" w:type="dxa"/>
        <w:right w:w="108.0" w:type="dxa"/>
      </w:tblCellMar>
    </w:tblPr>
  </w:style>
  <w:style w:type="table" w:styleId="Table24">
    <w:basedOn w:val="TableNormal"/>
    <w:tblPr>
      <w:tblStyleRowBandSize w:val="1"/>
      <w:tblStyleColBandSize w:val="1"/>
      <w:tblCellMar>
        <w:top w:w="0.0" w:type="dxa"/>
        <w:left w:w="108.0" w:type="dxa"/>
        <w:bottom w:w="0.0" w:type="dxa"/>
        <w:right w:w="108.0" w:type="dxa"/>
      </w:tblCellMar>
    </w:tblPr>
  </w:style>
  <w:style w:type="table" w:styleId="Table25">
    <w:basedOn w:val="TableNormal"/>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08.0" w:type="dxa"/>
        <w:bottom w:w="0.0" w:type="dxa"/>
        <w:right w:w="108.0" w:type="dxa"/>
      </w:tblCellMar>
    </w:tblPr>
  </w:style>
  <w:style w:type="table" w:styleId="Table27">
    <w:basedOn w:val="TableNormal"/>
    <w:tblPr>
      <w:tblStyleRowBandSize w:val="1"/>
      <w:tblStyleColBandSize w:val="1"/>
      <w:tblCellMar>
        <w:top w:w="0.0" w:type="dxa"/>
        <w:left w:w="108.0" w:type="dxa"/>
        <w:bottom w:w="0.0" w:type="dxa"/>
        <w:right w:w="108.0" w:type="dxa"/>
      </w:tblCellMar>
    </w:tblPr>
  </w:style>
  <w:style w:type="table" w:styleId="Table28">
    <w:basedOn w:val="TableNormal"/>
    <w:tblPr>
      <w:tblStyleRowBandSize w:val="1"/>
      <w:tblStyleColBandSize w:val="1"/>
      <w:tblCellMar>
        <w:top w:w="0.0" w:type="dxa"/>
        <w:left w:w="108.0" w:type="dxa"/>
        <w:bottom w:w="0.0" w:type="dxa"/>
        <w:right w:w="108.0" w:type="dxa"/>
      </w:tblCellMar>
    </w:tblPr>
  </w:style>
  <w:style w:type="table" w:styleId="Table29">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consultancy.uk/news/44287/london-now-worlds-second-most-expensive-office-fit-out-market?utm_source=chatgpt.com" TargetMode="External"/><Relationship Id="rId42" Type="http://schemas.openxmlformats.org/officeDocument/2006/relationships/hyperlink" Target="https://www.ons.gov.uk/businessindustryandtrade/business/activitysizeandlocation/bulletins/ukbusinessactivitysizeandlocation/2025" TargetMode="External"/><Relationship Id="rId41" Type="http://schemas.openxmlformats.org/officeDocument/2006/relationships/hyperlink" Target="https://www.consultancy.uk/news/44287/london-now-worlds-second-most-expensive-office-fit-out-market" TargetMode="External"/><Relationship Id="rId44" Type="http://schemas.openxmlformats.org/officeDocument/2006/relationships/hyperlink" Target="https://www.ons.gov.uk/employmentandlabourmarket/peopleinwork/employmentandemployeetypes/articles/whohasaccesstohybridworkingreatbritain/latest" TargetMode="External"/><Relationship Id="rId43" Type="http://schemas.openxmlformats.org/officeDocument/2006/relationships/hyperlink" Target="https://www.ons.gov.uk/businessindustryandtrade/business/activitysizeandlocation/bulletins/ukbusinessactivitysizeandlocation/2025" TargetMode="External"/><Relationship Id="rId46" Type="http://schemas.openxmlformats.org/officeDocument/2006/relationships/hyperlink" Target="https://www.gov.uk/government/publications/homes-england-annual-report-and-accounts-2024-and-2025/homes-england-annual-report-2024-to-2025-chairs-foreword-and-performance-report-accessible-version" TargetMode="External"/><Relationship Id="rId45" Type="http://schemas.openxmlformats.org/officeDocument/2006/relationships/hyperlink" Target="https://www.ons.gov.uk/employmentandlabourmarket/peopleinwork/employmentandemployeetypes/articles/whohasaccesstohybridworkingreatbritain/latest" TargetMode="External"/><Relationship Id="rId107" Type="http://schemas.openxmlformats.org/officeDocument/2006/relationships/hyperlink" Target="https://doi.org/10.1007/978-3-031-76560-5_12" TargetMode="External"/><Relationship Id="rId106" Type="http://schemas.openxmlformats.org/officeDocument/2006/relationships/hyperlink" Target="https://www.sciencedirect.com/science/article/pii/S0959652623005000" TargetMode="External"/><Relationship Id="rId105" Type="http://schemas.openxmlformats.org/officeDocument/2006/relationships/hyperlink" Target="https://www.mdpi.com/2071-1050/18/3/1484" TargetMode="External"/><Relationship Id="rId104" Type="http://schemas.openxmlformats.org/officeDocument/2006/relationships/hyperlink" Target="https://www.marketdataforecast.com/market-reports/united-kingdom-waste-management-market" TargetMode="External"/><Relationship Id="rId109" Type="http://schemas.openxmlformats.org/officeDocument/2006/relationships/hyperlink" Target="https://onlinelibrary.wiley.com/doi/pdf/10.1002/bse.3192" TargetMode="External"/><Relationship Id="rId108" Type="http://schemas.openxmlformats.org/officeDocument/2006/relationships/hyperlink" Target="https://www.merchantsavvy.co.uk/uk-sme-data-stats-charts/" TargetMode="External"/><Relationship Id="rId48" Type="http://schemas.openxmlformats.org/officeDocument/2006/relationships/hyperlink" Target="https://doi.org/10.20944/preprints202407.0614.v1" TargetMode="External"/><Relationship Id="rId47" Type="http://schemas.openxmlformats.org/officeDocument/2006/relationships/hyperlink" Target="https://www.gov.uk/government/publications/homes-england-annual-report-and-accounts-2024-and-2025/homes-england-annual-report-2024-to-2025-chairs-foreword-and-performance-report-accessible-version" TargetMode="External"/><Relationship Id="rId49" Type="http://schemas.openxmlformats.org/officeDocument/2006/relationships/hyperlink" Target="https://www.mdpi.com/2075-5309/13/7/1862" TargetMode="External"/><Relationship Id="rId103" Type="http://schemas.openxmlformats.org/officeDocument/2006/relationships/hyperlink" Target="https://www.mdpi.com/2304-8158/13/19/3045" TargetMode="External"/><Relationship Id="rId102" Type="http://schemas.openxmlformats.org/officeDocument/2006/relationships/hyperlink" Target="https://doi.org/10.1002/csr.3141" TargetMode="External"/><Relationship Id="rId101" Type="http://schemas.openxmlformats.org/officeDocument/2006/relationships/hyperlink" Target="https://www.gov.uk/government/news/national-living-wage-increases-to-1271-per-hour" TargetMode="External"/><Relationship Id="rId100" Type="http://schemas.openxmlformats.org/officeDocument/2006/relationships/hyperlink" Target="https://www.mdpi.com/0718-1876/20/3/201" TargetMode="External"/><Relationship Id="rId31" Type="http://schemas.openxmlformats.org/officeDocument/2006/relationships/hyperlink" Target="https://www.sciencedirect.com/science/article/pii/S0040162525000733" TargetMode="External"/><Relationship Id="rId30" Type="http://schemas.openxmlformats.org/officeDocument/2006/relationships/hyperlink" Target="https://www.mdpi.com/2075-5309/14/1/260" TargetMode="External"/><Relationship Id="rId33" Type="http://schemas.openxmlformats.org/officeDocument/2006/relationships/hyperlink" Target="https://www.mdpi.com/2071-1050/14/2/609" TargetMode="External"/><Relationship Id="rId32" Type="http://schemas.openxmlformats.org/officeDocument/2006/relationships/hyperlink" Target="https://onlinelibrary.wiley.com/doi/pdfdirect/10.1111/isj.12436" TargetMode="External"/><Relationship Id="rId35" Type="http://schemas.openxmlformats.org/officeDocument/2006/relationships/hyperlink" Target="https://leyton.com/uk/insights/articles/uk-sme-statistics/" TargetMode="External"/><Relationship Id="rId34" Type="http://schemas.openxmlformats.org/officeDocument/2006/relationships/hyperlink" Target="https://www.sustainablex.co.uk/sustainable-business-model/" TargetMode="External"/><Relationship Id="rId37" Type="http://schemas.openxmlformats.org/officeDocument/2006/relationships/hyperlink" Target="https://www.ons.gov.uk/businessindustryandtrade/business/activitysizeandlocation/bulletins/ukbusinessactivitysizeandlocation/2025" TargetMode="External"/><Relationship Id="rId36" Type="http://schemas.openxmlformats.org/officeDocument/2006/relationships/hyperlink" Target="https://onlinelibrary.wiley.com/doi/10.1111/jbl.12368" TargetMode="External"/><Relationship Id="rId39" Type="http://schemas.openxmlformats.org/officeDocument/2006/relationships/hyperlink" Target="https://www.tandfonline.com/doi/full/10.1080/17569370.2026.2639755" TargetMode="External"/><Relationship Id="rId38" Type="http://schemas.openxmlformats.org/officeDocument/2006/relationships/hyperlink" Target="https://www.sciencedirect.com/science/article/pii/S0148296326003917" TargetMode="External"/><Relationship Id="rId20" Type="http://schemas.openxmlformats.org/officeDocument/2006/relationships/hyperlink" Target="https://onlinelibrary.wiley.com/doi/pdf/10.1111/radm.12707" TargetMode="External"/><Relationship Id="rId22" Type="http://schemas.openxmlformats.org/officeDocument/2006/relationships/hyperlink" Target="https://link.springer.com/article/10.1007/s43621-025-01270-1" TargetMode="External"/><Relationship Id="rId21" Type="http://schemas.openxmlformats.org/officeDocument/2006/relationships/hyperlink" Target="https://www.sciencedirect.com/science/article/pii/S0301479725039647?via%3Dihub" TargetMode="External"/><Relationship Id="rId24" Type="http://schemas.openxmlformats.org/officeDocument/2006/relationships/hyperlink" Target="https://www.tandfonline.com/doi/full/10.1080/09537287.2023.2217489" TargetMode="External"/><Relationship Id="rId23" Type="http://schemas.openxmlformats.org/officeDocument/2006/relationships/hyperlink" Target="https://www.sciencedirect.com/science/article/pii/S0167487023000338" TargetMode="External"/><Relationship Id="rId129" Type="http://schemas.openxmlformats.org/officeDocument/2006/relationships/hyperlink" Target="https://pecb.com/en/article/the-importance-of-occupational-health-and-safety" TargetMode="External"/><Relationship Id="rId128" Type="http://schemas.openxmlformats.org/officeDocument/2006/relationships/hyperlink" Target="https://link.springer.com/article/10.1007/s43039-023-00063-6" TargetMode="External"/><Relationship Id="rId127" Type="http://schemas.openxmlformats.org/officeDocument/2006/relationships/hyperlink" Target="https://www.sciencedirect.com/science/article/pii/S2096248724000456" TargetMode="External"/><Relationship Id="rId126" Type="http://schemas.openxmlformats.org/officeDocument/2006/relationships/hyperlink" Target="https://www.mdpi.com/2413-8851/9/5/167" TargetMode="External"/><Relationship Id="rId26" Type="http://schemas.openxmlformats.org/officeDocument/2006/relationships/hyperlink" Target="https://www.sciencedirect.com/science/article/pii/S0921344924003756" TargetMode="External"/><Relationship Id="rId121" Type="http://schemas.openxmlformats.org/officeDocument/2006/relationships/hyperlink" Target="https://www.ons.gov.uk/businessindustryandtrade/business/activitysizeandlocation/bulletins/ukbusinessactivitysizeandlocation/2025" TargetMode="External"/><Relationship Id="rId25" Type="http://schemas.openxmlformats.org/officeDocument/2006/relationships/hyperlink" Target="https://www.mdpi.com/2071-1050/14/1/410" TargetMode="External"/><Relationship Id="rId120" Type="http://schemas.openxmlformats.org/officeDocument/2006/relationships/hyperlink" Target="https://www.ons.gov.uk/employmentandlabourmarket/peopleinwork/employmentandemployeetypes/articles/whohasaccesstohybridworkingreatbritain/latest" TargetMode="External"/><Relationship Id="rId28" Type="http://schemas.openxmlformats.org/officeDocument/2006/relationships/hyperlink" Target="https://www.mdpi.com/2071-1050/13/16/9274" TargetMode="External"/><Relationship Id="rId27" Type="http://schemas.openxmlformats.org/officeDocument/2006/relationships/hyperlink" Target="https://doi.org/10.1016/j.lrp.2024.102479" TargetMode="External"/><Relationship Id="rId125" Type="http://schemas.openxmlformats.org/officeDocument/2006/relationships/hyperlink" Target="https://onlinelibrary.wiley.com/doi/10.1002/clem.70013" TargetMode="External"/><Relationship Id="rId29" Type="http://schemas.openxmlformats.org/officeDocument/2006/relationships/hyperlink" Target="https://www.biffa.co.uk/" TargetMode="External"/><Relationship Id="rId124" Type="http://schemas.openxmlformats.org/officeDocument/2006/relationships/hyperlink" Target="https://doi.org/10.1016/j.igd.2025.100258" TargetMode="External"/><Relationship Id="rId123" Type="http://schemas.openxmlformats.org/officeDocument/2006/relationships/hyperlink" Target="https://www.ons.gov.uk/economy/inflationandpriceindices/bulletins/consumerpriceinflation/june2026" TargetMode="External"/><Relationship Id="rId122" Type="http://schemas.openxmlformats.org/officeDocument/2006/relationships/hyperlink" Target="https://www.ons.gov.uk/businessindustryandtrade/business/activitysizeandlocation/bulletins/ukbusinessactivitysizeandlocation/2025" TargetMode="External"/><Relationship Id="rId95" Type="http://schemas.openxmlformats.org/officeDocument/2006/relationships/hyperlink" Target="https://www.sciencedirect.com/science/article/pii/S0019850124000142" TargetMode="External"/><Relationship Id="rId94" Type="http://schemas.openxmlformats.org/officeDocument/2006/relationships/hyperlink" Target="https://doi.org/10.3390/su142416336" TargetMode="External"/><Relationship Id="rId97" Type="http://schemas.openxmlformats.org/officeDocument/2006/relationships/hyperlink" Target="https://www.sciencedirect.com/science/article/pii/S2352186422003686" TargetMode="External"/><Relationship Id="rId96" Type="http://schemas.openxmlformats.org/officeDocument/2006/relationships/hyperlink" Target="https://link.springer.com/article/10.1186/s13731-025-00515-7" TargetMode="External"/><Relationship Id="rId11" Type="http://schemas.openxmlformats.org/officeDocument/2006/relationships/image" Target="media/image7.png"/><Relationship Id="rId99" Type="http://schemas.openxmlformats.org/officeDocument/2006/relationships/hyperlink" Target="https://link.springer.com/article/10.1057/s41270-026-00470-6#citeas" TargetMode="External"/><Relationship Id="rId10" Type="http://schemas.openxmlformats.org/officeDocument/2006/relationships/image" Target="media/image4.png"/><Relationship Id="rId98" Type="http://schemas.openxmlformats.org/officeDocument/2006/relationships/hyperlink" Target="https://www.researchgate.net/publication/387473297_Cost-Volume_Analysis_and_its_Impact_on_Profitability_An_Evidence_from_Nepal" TargetMode="External"/><Relationship Id="rId13" Type="http://schemas.openxmlformats.org/officeDocument/2006/relationships/image" Target="media/image9.png"/><Relationship Id="rId12" Type="http://schemas.openxmlformats.org/officeDocument/2006/relationships/image" Target="media/image6.png"/><Relationship Id="rId91" Type="http://schemas.openxmlformats.org/officeDocument/2006/relationships/hyperlink" Target="https://www.sciencedirect.com/science/article/pii/S1366554526000773" TargetMode="External"/><Relationship Id="rId90" Type="http://schemas.openxmlformats.org/officeDocument/2006/relationships/hyperlink" Target="https://link.springer.com/article/10.1007/s43621-025-01497-y" TargetMode="External"/><Relationship Id="rId93" Type="http://schemas.openxmlformats.org/officeDocument/2006/relationships/hyperlink" Target="https://journals.sagepub.com/doi/pdf/10.3233/ATDE240197" TargetMode="External"/><Relationship Id="rId92" Type="http://schemas.openxmlformats.org/officeDocument/2006/relationships/hyperlink" Target="https://www.sciencedirect.com/journal/journal-of-cleaner-production/vol/442/suppl/C" TargetMode="External"/><Relationship Id="rId118" Type="http://schemas.openxmlformats.org/officeDocument/2006/relationships/hyperlink" Target="https://www.oecd.org/en/publications/local-retail-global-trends_55e2edec-en/full-report/the-twin-transition-of-retail-smes_e9ff5378.html" TargetMode="External"/><Relationship Id="rId117" Type="http://schemas.openxmlformats.org/officeDocument/2006/relationships/hyperlink" Target="https://www.oecd.org/en/publications/oecd-employment-outlook-2025_194a947b-en/full-report/navigating-the-golden-years-making-the-labour-market-work-for-older-workers_2bc681ed.html" TargetMode="External"/><Relationship Id="rId116" Type="http://schemas.openxmlformats.org/officeDocument/2006/relationships/hyperlink" Target="https://www.sciencedirect.com/science/article/pii/S0925753524002625" TargetMode="External"/><Relationship Id="rId115" Type="http://schemas.openxmlformats.org/officeDocument/2006/relationships/hyperlink" Target="https://www.researchgate.net/publication/276228917_Value-based_pricing_A_success_factor_in_the_competitive_struggle" TargetMode="External"/><Relationship Id="rId119" Type="http://schemas.openxmlformats.org/officeDocument/2006/relationships/hyperlink" Target="https://www.ons.gov.uk/employmentandlabourmarket/peopleinwork/employmentandemployeetypes/articles/whohasaccesstohybridworkingreatbritain/latest" TargetMode="External"/><Relationship Id="rId15" Type="http://schemas.openxmlformats.org/officeDocument/2006/relationships/image" Target="media/image12.png"/><Relationship Id="rId110" Type="http://schemas.openxmlformats.org/officeDocument/2006/relationships/hyperlink" Target="https://onlinelibrary.wiley.com/doi/pdf/10.1002/eet.1927" TargetMode="External"/><Relationship Id="rId14" Type="http://schemas.openxmlformats.org/officeDocument/2006/relationships/image" Target="media/image8.png"/><Relationship Id="rId17" Type="http://schemas.openxmlformats.org/officeDocument/2006/relationships/image" Target="media/image11.png"/><Relationship Id="rId16" Type="http://schemas.openxmlformats.org/officeDocument/2006/relationships/image" Target="media/image10.png"/><Relationship Id="rId19" Type="http://schemas.openxmlformats.org/officeDocument/2006/relationships/hyperlink" Target="https://www.sciencedirect.com/journal/research-in-transportation-economics/vol/103/suppl/C" TargetMode="External"/><Relationship Id="rId114" Type="http://schemas.openxmlformats.org/officeDocument/2006/relationships/hyperlink" Target="https://www.mdpi.com/2071-1050/15/18/13949" TargetMode="External"/><Relationship Id="rId18" Type="http://schemas.openxmlformats.org/officeDocument/2006/relationships/hyperlink" Target="https://www.sciencedirect.com/science/article/pii/S0925527323001950" TargetMode="External"/><Relationship Id="rId113" Type="http://schemas.openxmlformats.org/officeDocument/2006/relationships/hyperlink" Target="https://www.sciencedirect.com/science/article/pii/S0959652623002962" TargetMode="External"/><Relationship Id="rId112" Type="http://schemas.openxmlformats.org/officeDocument/2006/relationships/hyperlink" Target="https://www.researchgate.net/publication/394186609_Modular_System_of_Cabinets_for_Mass-Customized_Furniture" TargetMode="External"/><Relationship Id="rId111" Type="http://schemas.openxmlformats.org/officeDocument/2006/relationships/hyperlink" Target="https://www.sciencedirect.com/science/article/pii/S1366554524003788" TargetMode="External"/><Relationship Id="rId84" Type="http://schemas.openxmlformats.org/officeDocument/2006/relationships/hyperlink" Target="https://www.mdpi.com/2079-8954/12/6/220" TargetMode="External"/><Relationship Id="rId83" Type="http://schemas.openxmlformats.org/officeDocument/2006/relationships/hyperlink" Target="https://www.sciencedirect.com/science/article/pii/S2212827124000933/pdf?md5=eef925a01737505493cc025e4f44a238&amp;pid=1-s2.0-S2212827124000933-main.pdf" TargetMode="External"/><Relationship Id="rId86" Type="http://schemas.openxmlformats.org/officeDocument/2006/relationships/hyperlink" Target="https://doi.org/10.1007/s43615-025-00626-z?urlappend=%3Futm_source%3Dresearchgate.net%26utm_medium%3Darticle" TargetMode="External"/><Relationship Id="rId85" Type="http://schemas.openxmlformats.org/officeDocument/2006/relationships/hyperlink" Target="https://www.tandfonline.com/doi/full/10.1080/1359432X.2026.2648294" TargetMode="External"/><Relationship Id="rId88" Type="http://schemas.openxmlformats.org/officeDocument/2006/relationships/hyperlink" Target="https://doi.org/10.51594/ijmer.v6i9.1533" TargetMode="External"/><Relationship Id="rId150" Type="http://schemas.openxmlformats.org/officeDocument/2006/relationships/hyperlink" Target="https://www.mdpi.com/2071-1050/18/8/4006" TargetMode="External"/><Relationship Id="rId87" Type="http://schemas.openxmlformats.org/officeDocument/2006/relationships/hyperlink" Target="https://doi.org/10.1007/s11846-026-00971-9?urlappend=%3Futm_source%3Dresearchgate.net%26utm_medium%3Darticle" TargetMode="External"/><Relationship Id="rId89" Type="http://schemas.openxmlformats.org/officeDocument/2006/relationships/hyperlink" Target="https://doi.org/10.69554/NJQQ4314" TargetMode="External"/><Relationship Id="rId80" Type="http://schemas.openxmlformats.org/officeDocument/2006/relationships/hyperlink" Target="https://onlinelibrary.wiley.com/doi/pdf/10.1002/csr.70489" TargetMode="External"/><Relationship Id="rId82" Type="http://schemas.openxmlformats.org/officeDocument/2006/relationships/hyperlink" Target="https://www.sciencedirect.com/journal/international-journal-of-production-economics/vol/275/suppl/C" TargetMode="External"/><Relationship Id="rId81" Type="http://schemas.openxmlformats.org/officeDocument/2006/relationships/hyperlink" Target="https://doi.org/10.1016/j.joitmc.2023.10003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149" Type="http://schemas.openxmlformats.org/officeDocument/2006/relationships/hyperlink" Target="https://link.springer.com/article/10.1007/s00163-022-00404-0" TargetMode="External"/><Relationship Id="rId4" Type="http://schemas.openxmlformats.org/officeDocument/2006/relationships/numbering" Target="numbering.xml"/><Relationship Id="rId148" Type="http://schemas.openxmlformats.org/officeDocument/2006/relationships/hyperlink" Target="https://www.mdpi.com/2071-1050/13/20/11443" TargetMode="External"/><Relationship Id="rId9" Type="http://schemas.openxmlformats.org/officeDocument/2006/relationships/image" Target="media/image5.png"/><Relationship Id="rId143" Type="http://schemas.openxmlformats.org/officeDocument/2006/relationships/hyperlink" Target="https://www.sciencedirect.com/science/article/pii/S2666188825006057" TargetMode="External"/><Relationship Id="rId142" Type="http://schemas.openxmlformats.org/officeDocument/2006/relationships/hyperlink" Target="https://www.mdpi.com/2071-1050/16/19/8667" TargetMode="External"/><Relationship Id="rId141" Type="http://schemas.openxmlformats.org/officeDocument/2006/relationships/hyperlink" Target="https://doi.org/10.1016/j.envsci.2024.103859" TargetMode="External"/><Relationship Id="rId140" Type="http://schemas.openxmlformats.org/officeDocument/2006/relationships/hyperlink" Target="https://www.emerald.com/ijqrm/article/39/2/428/314305/Lean-practices-and-operational-performance-the" TargetMode="External"/><Relationship Id="rId5" Type="http://schemas.openxmlformats.org/officeDocument/2006/relationships/styles" Target="styles.xml"/><Relationship Id="rId147" Type="http://schemas.openxmlformats.org/officeDocument/2006/relationships/hyperlink" Target="https://onlinelibrary.wiley.com/doi/pdfdirect/10.1002/bse.3297" TargetMode="External"/><Relationship Id="rId6" Type="http://schemas.openxmlformats.org/officeDocument/2006/relationships/image" Target="media/image1.png"/><Relationship Id="rId146" Type="http://schemas.openxmlformats.org/officeDocument/2006/relationships/hyperlink" Target="https://www.sciencedirect.com/science/article/pii/S2772912525002295" TargetMode="External"/><Relationship Id="rId7" Type="http://schemas.openxmlformats.org/officeDocument/2006/relationships/image" Target="media/image3.png"/><Relationship Id="rId145" Type="http://schemas.openxmlformats.org/officeDocument/2006/relationships/hyperlink" Target="https://www.sciencedirect.com/science/article/pii/S0024630122000012" TargetMode="External"/><Relationship Id="rId8" Type="http://schemas.openxmlformats.org/officeDocument/2006/relationships/image" Target="media/image2.png"/><Relationship Id="rId144" Type="http://schemas.openxmlformats.org/officeDocument/2006/relationships/hyperlink" Target="https://www.mdpi.com/2071-1050/13/13/7266" TargetMode="External"/><Relationship Id="rId73" Type="http://schemas.openxmlformats.org/officeDocument/2006/relationships/hyperlink" Target="https://www.ons.gov.uk/businessindustryandtrade/business/activitysizeandlocation/bulletins/ukbusinessactivitysizeandlocation/2025" TargetMode="External"/><Relationship Id="rId72" Type="http://schemas.openxmlformats.org/officeDocument/2006/relationships/hyperlink" Target="https://www.gov.uk/government/statistics/uk-waste-data/uk-statistics-on-waste" TargetMode="External"/><Relationship Id="rId75" Type="http://schemas.openxmlformats.org/officeDocument/2006/relationships/hyperlink" Target="https://www.gov.uk/government/news/national-living-wage-increases-to-1271-per-hour" TargetMode="External"/><Relationship Id="rId74" Type="http://schemas.openxmlformats.org/officeDocument/2006/relationships/hyperlink" Target="https://www.gov.uk/government/publications/backing-your-business-our-plan-for-small-and-medium-sized-businesses/backing-your-business-our-plan-for-small-and-medium-sized-businesses-web-version" TargetMode="External"/><Relationship Id="rId77" Type="http://schemas.openxmlformats.org/officeDocument/2006/relationships/hyperlink" Target="https://greenspaceinnovations.co.uk/uk-recycling-rate-rises-to-44-6-as-waste-to-landfill-falls/" TargetMode="External"/><Relationship Id="rId76" Type="http://schemas.openxmlformats.org/officeDocument/2006/relationships/hyperlink" Target="https://www.grandviewresearch.com/horizon/outlook/eco-friendly-furniture-market/uk" TargetMode="External"/><Relationship Id="rId79" Type="http://schemas.openxmlformats.org/officeDocument/2006/relationships/hyperlink" Target="https://www.researchgate.net/publication/323082261_Cost-based_price_and_value-based_price_are_they_conflicting_approaches" TargetMode="External"/><Relationship Id="rId78" Type="http://schemas.openxmlformats.org/officeDocument/2006/relationships/hyperlink" Target="https://www.grundon.com/" TargetMode="External"/><Relationship Id="rId71" Type="http://schemas.openxmlformats.org/officeDocument/2006/relationships/hyperlink" Target="https://www.gov.uk/government/publications/procurement-act-2023-short-guides/supplementary-information-small-and-medium-sized-enterprises-definition-html" TargetMode="External"/><Relationship Id="rId70" Type="http://schemas.openxmlformats.org/officeDocument/2006/relationships/hyperlink" Target="https://www.gov.uk/government/statistics/estimates-of-residual-waste-and-municipal-residual-waste-in-england/estimates-of-residual-waste-excluding-major-mineral-wastes-and-municipal-residual-waste-in-england" TargetMode="External"/><Relationship Id="rId139" Type="http://schemas.openxmlformats.org/officeDocument/2006/relationships/hyperlink" Target="https://www.recykal.com/trending-blog/environmental-impact-of-landfills-and-waste-diversion-in-2025" TargetMode="External"/><Relationship Id="rId138" Type="http://schemas.openxmlformats.org/officeDocument/2006/relationships/hyperlink" Target="https://www.pwc.com/us/en/tech-effect/ai-analytics/ai-predictions.html" TargetMode="External"/><Relationship Id="rId137" Type="http://schemas.openxmlformats.org/officeDocument/2006/relationships/hyperlink" Target="https://www.forbes.com/advisor/uk/business/software/website-statistics/" TargetMode="External"/><Relationship Id="rId132" Type="http://schemas.openxmlformats.org/officeDocument/2006/relationships/hyperlink" Target="https://www.sciencedirect.com/journal/information-and-management/vol/60/issue/5" TargetMode="External"/><Relationship Id="rId131" Type="http://schemas.openxmlformats.org/officeDocument/2006/relationships/hyperlink" Target="https://www.sciencedirect.com/science/article/pii/S1364032122002982" TargetMode="External"/><Relationship Id="rId130" Type="http://schemas.openxmlformats.org/officeDocument/2006/relationships/hyperlink" Target="https://www.mdpi.com/2071-1050/16/15/6544" TargetMode="External"/><Relationship Id="rId136" Type="http://schemas.openxmlformats.org/officeDocument/2006/relationships/hyperlink" Target="https://www.sciencedirect.com/science/article/pii/S2590291125004164" TargetMode="External"/><Relationship Id="rId135" Type="http://schemas.openxmlformats.org/officeDocument/2006/relationships/hyperlink" Target="https://www.mdpi.com/2504-4494/10/4/112" TargetMode="External"/><Relationship Id="rId134" Type="http://schemas.openxmlformats.org/officeDocument/2006/relationships/hyperlink" Target="https://www.mdpi.com/2071-1050/14/20/13273" TargetMode="External"/><Relationship Id="rId133" Type="http://schemas.openxmlformats.org/officeDocument/2006/relationships/hyperlink" Target="https://www.tandfonline.com/doi/full/10.1080/00207543.2025.2555531" TargetMode="External"/><Relationship Id="rId62" Type="http://schemas.openxmlformats.org/officeDocument/2006/relationships/hyperlink" Target="https://www.find-tender.service.gov.uk/Notice/051565-2025?utm_source=chatgpt.com" TargetMode="External"/><Relationship Id="rId61" Type="http://schemas.openxmlformats.org/officeDocument/2006/relationships/hyperlink" Target="https://www.find-tender.service.gov.uk/Notice/051565-2025?utm_source=chatgpt.com" TargetMode="External"/><Relationship Id="rId64" Type="http://schemas.openxmlformats.org/officeDocument/2006/relationships/hyperlink" Target="https://link.springer.com/article/10.1007/s43615-026-00775-9" TargetMode="External"/><Relationship Id="rId63" Type="http://schemas.openxmlformats.org/officeDocument/2006/relationships/hyperlink" Target="https://www.sciencedirect.com/journal/technovation/vol/129/suppl/C" TargetMode="External"/><Relationship Id="rId66" Type="http://schemas.openxmlformats.org/officeDocument/2006/relationships/hyperlink" Target="https://www.researchgate.net/publication/373599608_Coexisting_or_coworking_The_reconfigured_office_spaces_in_two_emerging_global_citie" TargetMode="External"/><Relationship Id="rId65" Type="http://schemas.openxmlformats.org/officeDocument/2006/relationships/hyperlink" Target="https://www.sciencedirect.com/journal/journal-of-industrial-information-integration/vol/42/suppl/C" TargetMode="External"/><Relationship Id="rId68" Type="http://schemas.openxmlformats.org/officeDocument/2006/relationships/hyperlink" Target="https://www.coggin-sos.co.uk/beyond-recycling-the-role-of-office-furniture-in-a-truly-sustainable-econom" TargetMode="External"/><Relationship Id="rId67" Type="http://schemas.openxmlformats.org/officeDocument/2006/relationships/hyperlink" Target="https://globaltrashsolutions.com/blog/waste-reduction-strategies-for-retail-chains" TargetMode="External"/><Relationship Id="rId60" Type="http://schemas.openxmlformats.org/officeDocument/2006/relationships/hyperlink" Target="https://ec.europa.eu/research/participants/documents/downloadPublic?documentIds=080166e51297820f&amp;appId=PPGMS" TargetMode="External"/><Relationship Id="rId69" Type="http://schemas.openxmlformats.org/officeDocument/2006/relationships/hyperlink" Target="https://www.gov.uk/dispose-business-commercial-waste" TargetMode="External"/><Relationship Id="rId162" Type="http://schemas.openxmlformats.org/officeDocument/2006/relationships/footer" Target="footer2.xml"/><Relationship Id="rId51" Type="http://schemas.openxmlformats.org/officeDocument/2006/relationships/hyperlink" Target="https://link.springer.com/article/10.1007/s43615-026-00773-x" TargetMode="External"/><Relationship Id="rId50" Type="http://schemas.openxmlformats.org/officeDocument/2006/relationships/hyperlink" Target="https://www.workingfromcoffeeshops.co.uk/blog/working-from-home-statistics-uk" TargetMode="External"/><Relationship Id="rId53" Type="http://schemas.openxmlformats.org/officeDocument/2006/relationships/hyperlink" Target="https://doi.org/10.1016/j.indic.2025.100746" TargetMode="External"/><Relationship Id="rId52" Type="http://schemas.openxmlformats.org/officeDocument/2006/relationships/hyperlink" Target="https://4spepublications.onlinelibrary.wiley.com/doi/10.1002/pls2.10171" TargetMode="External"/><Relationship Id="rId55" Type="http://schemas.openxmlformats.org/officeDocument/2006/relationships/hyperlink" Target="https://www.gov.uk/government/statistics/uk-waste-data/uk-statistics-on-waste" TargetMode="External"/><Relationship Id="rId161" Type="http://schemas.openxmlformats.org/officeDocument/2006/relationships/footer" Target="footer1.xml"/><Relationship Id="rId54" Type="http://schemas.openxmlformats.org/officeDocument/2006/relationships/hyperlink" Target="https://www.mdpi.com/2071-1050/17/23/10460" TargetMode="External"/><Relationship Id="rId160" Type="http://schemas.openxmlformats.org/officeDocument/2006/relationships/header" Target="header1.xml"/><Relationship Id="rId57" Type="http://schemas.openxmlformats.org/officeDocument/2006/relationships/hyperlink" Target="https://www.gov.uk/government/publications/waste-prevention-programme-for-england-maximising-resources-minimising-waste/the-waste-prevention-programme-for-england-maximising-resources-minimising-waste" TargetMode="External"/><Relationship Id="rId56" Type="http://schemas.openxmlformats.org/officeDocument/2006/relationships/hyperlink" Target="https://www.gov.uk/government/statistics/uk-waste-data/uk-statistics-on-waste" TargetMode="External"/><Relationship Id="rId159" Type="http://schemas.openxmlformats.org/officeDocument/2006/relationships/hyperlink" Target="https://www.sciencedirect.com/science/article/pii/S2199853123002846" TargetMode="External"/><Relationship Id="rId59" Type="http://schemas.openxmlformats.org/officeDocument/2006/relationships/hyperlink" Target="https://onlinelibrary.wiley.com/doi/full/10.1002/bse.70943" TargetMode="External"/><Relationship Id="rId154" Type="http://schemas.openxmlformats.org/officeDocument/2006/relationships/hyperlink" Target="https://doi.org/10.3390/su17083728" TargetMode="External"/><Relationship Id="rId58" Type="http://schemas.openxmlformats.org/officeDocument/2006/relationships/hyperlink" Target="https://www.mdpi.com/2071-1050/17/11/4898" TargetMode="External"/><Relationship Id="rId153" Type="http://schemas.openxmlformats.org/officeDocument/2006/relationships/hyperlink" Target="https://www.veolia.com/en/veolia-group/profile/business-activities/waste-management" TargetMode="External"/><Relationship Id="rId152" Type="http://schemas.openxmlformats.org/officeDocument/2006/relationships/hyperlink" Target="https://www.researchgate.net/publication/381663947_The_Application_of_QR_Codes_in_the_Field_of_E-Business_in_the_Case_of_Order_Tracking_and_Logistics" TargetMode="External"/><Relationship Id="rId151" Type="http://schemas.openxmlformats.org/officeDocument/2006/relationships/hyperlink" Target="https://www.sciencedirect.com/science/article/abs/pii/S0959652624017839" TargetMode="External"/><Relationship Id="rId158" Type="http://schemas.openxmlformats.org/officeDocument/2006/relationships/hyperlink" Target="https://www.sciencedirect.com/science/article/pii/S092552732500091X" TargetMode="External"/><Relationship Id="rId157" Type="http://schemas.openxmlformats.org/officeDocument/2006/relationships/hyperlink" Target="https://www.wrap.ngo/resources/case-study/crown-workspace-ltd-leading-way-office-furniture-reuse?utm_source=chatgpt.com" TargetMode="External"/><Relationship Id="rId156" Type="http://schemas.openxmlformats.org/officeDocument/2006/relationships/hyperlink" Target="https://www.wrap.ngo/resources/case-study/crown-workspace-ltd-leading-way-office-furniture-reuse?utm_source=chatgpt.com" TargetMode="External"/><Relationship Id="rId155" Type="http://schemas.openxmlformats.org/officeDocument/2006/relationships/hyperlink" Target="https://www.sciencedirect.com/science/article/pii/S09658564203077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