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ascii="Arial" w:hAnsi="Arial" w:cs="Arial"/>
          <w:sz w:val="28"/>
          <w:szCs w:val="28"/>
        </w:rPr>
      </w:pPr>
    </w:p>
    <w:p>
      <w:pPr>
        <w:rPr>
          <w:rFonts w:ascii="Arial" w:hAnsi="Arial" w:cs="Arial"/>
          <w:b/>
          <w:sz w:val="24"/>
          <w:szCs w:val="24"/>
          <w:u w:val="single"/>
        </w:rPr>
      </w:pPr>
      <w:r>
        <w:rPr>
          <w:rFonts w:ascii="Arial" w:hAnsi="Arial" w:cs="Arial"/>
          <w:b/>
          <w:sz w:val="24"/>
          <w:szCs w:val="24"/>
          <w:u w:val="single"/>
        </w:rPr>
        <w:t>Evaluate the position of embedded counselling practices within the multidisciplinary arena of health and social care; analyse a range of contexts in which these skills are applied and consider how these skills differ from counselling practice.</w:t>
      </w:r>
    </w:p>
    <w:p>
      <w:pPr>
        <w:rPr>
          <w:rFonts w:ascii="Arial" w:hAnsi="Arial" w:cs="Arial"/>
          <w:b/>
          <w:sz w:val="24"/>
          <w:szCs w:val="24"/>
          <w:u w:val="single"/>
        </w:rPr>
      </w:pPr>
    </w:p>
    <w:p>
      <w:pPr>
        <w:rPr>
          <w:rFonts w:ascii="Arial" w:hAnsi="Arial" w:cs="Arial"/>
          <w:sz w:val="24"/>
          <w:szCs w:val="24"/>
        </w:rPr>
      </w:pPr>
      <w:r>
        <w:rPr>
          <w:rFonts w:ascii="Arial" w:hAnsi="Arial" w:cs="Arial"/>
          <w:sz w:val="24"/>
          <w:szCs w:val="24"/>
        </w:rPr>
        <w:t>The work that is being provided is going to evaluate the position of embedded counselling practices within the multidisciplinary arena of health and social care; analyse a range of contexts in which these skills are applied and consider how these skills from counselling practice. The work that will be covered with embedded counselling , counselling, places that embedded counselling take place, the difference between counselling and embedded counselling, multidisciplinary areas jobs, the skills that is required within in each job, code practices they have to follow, the different people within the job they work with, any issues they can face within the job, the positives and negatives of both embedded counselling and counselling, the expectancy and services each person must provide with the jobs and their roles required in their jobs and what both counselling and embedded counselling has in common along with how they differ from each other before concluding.</w:t>
      </w:r>
    </w:p>
    <w:p>
      <w:pPr>
        <w:rPr>
          <w:rFonts w:ascii="Arial" w:hAnsi="Arial" w:cs="Arial"/>
          <w:sz w:val="24"/>
          <w:szCs w:val="24"/>
        </w:rPr>
      </w:pPr>
    </w:p>
    <w:p>
      <w:pPr>
        <w:rPr>
          <w:rFonts w:ascii="Arial" w:hAnsi="Arial" w:cs="Arial"/>
          <w:sz w:val="24"/>
          <w:szCs w:val="24"/>
        </w:rPr>
      </w:pPr>
      <w:r>
        <w:rPr>
          <w:rFonts w:ascii="Arial" w:hAnsi="Arial" w:cs="Arial"/>
          <w:sz w:val="24"/>
          <w:szCs w:val="24"/>
        </w:rPr>
        <w:t>The health and social care has several areas involved one is multidisciplinary areas. Multidisciplinary areas have a wide variety of jobs and a range of skills that is given throughout. The top jobs that are in this area are teachers, psychiatrists, social workers and nurses. Each job provides different and a variety of roles, requirements and skills in the working environment.</w:t>
      </w:r>
      <w:r>
        <w:rPr>
          <w:rFonts w:ascii="Arial" w:hAnsi="Arial" w:cs="Arial"/>
          <w:sz w:val="24"/>
          <w:szCs w:val="24"/>
          <w:lang w:val="en-GB"/>
        </w:rPr>
        <w:t>(nationalcareer.2017)</w:t>
      </w:r>
      <w:r>
        <w:rPr>
          <w:rFonts w:ascii="Arial" w:hAnsi="Arial" w:cs="Arial"/>
          <w:sz w:val="24"/>
          <w:szCs w:val="24"/>
        </w:rPr>
        <w:t xml:space="preserve"> Each of these jobs differ in certain ways but are also the same in other ways, however each job is required that the person must be able to work with people from different backgrounds and professions. A nurse must be able to advocate, be diverse, communicate, be reliable, flexible, listen, observe, be able to deal with several situations especially if the person is stressed, depressed, upset, angry or volatile and they must be able to pay good attention to detail especially when it comes to giving and providing information about a person. </w:t>
      </w:r>
      <w:r>
        <w:rPr>
          <w:rFonts w:ascii="Arial" w:hAnsi="Arial" w:cs="Arial"/>
          <w:sz w:val="24"/>
          <w:szCs w:val="24"/>
          <w:lang w:val="en-GB"/>
        </w:rPr>
        <w:t>(nationalcareer.2017)</w:t>
      </w:r>
      <w:r>
        <w:rPr>
          <w:rFonts w:ascii="Arial" w:hAnsi="Arial" w:cs="Arial"/>
          <w:sz w:val="24"/>
          <w:szCs w:val="24"/>
        </w:rPr>
        <w:t>There are many rules that a nurse must provide and follow these are be compassionate, caring, communicate, be competent, be committed and have a lot of courage. There a wide variety of different professions that a nurse will work with are doctors, pharmacists and therapists these are just a few that a nurse will work with on a day to day basis. Therefore, it is required that a nurse must be able to provide details widely and accurately as a nurse must know what is required from each profession they work with and make sure that is the professional is providing the best service possible and correctly.</w:t>
      </w:r>
      <w:r>
        <w:rPr>
          <w:rFonts w:ascii="Arial" w:hAnsi="Arial" w:cs="Arial"/>
          <w:sz w:val="24"/>
          <w:szCs w:val="24"/>
          <w:lang w:val="en-GB"/>
        </w:rPr>
        <w:t>(nationalcareer.2017)</w:t>
      </w:r>
    </w:p>
    <w:p>
      <w:pPr>
        <w:rPr>
          <w:rFonts w:ascii="Arial" w:hAnsi="Arial" w:cs="Arial"/>
          <w:sz w:val="24"/>
          <w:szCs w:val="24"/>
        </w:rPr>
      </w:pPr>
      <w:r>
        <w:rPr>
          <w:rFonts w:ascii="Arial" w:hAnsi="Arial" w:cs="Arial"/>
          <w:sz w:val="24"/>
          <w:szCs w:val="24"/>
        </w:rPr>
        <w:t>A social worker must be able to protect, advice, listen, communicate, support, be diverse, empathetic, sympathetic, judgemental, organise, calm and be able to handle a wide variety and number of extremely stressful situations along with collecting and providing the correct and accurate information on each person and case they work with and on. Social workers also work with a wide variety of different professions and people no matter what their background is. Just to name a few of the wide variety of professions that social workers work is are schools, courts, organisations and hospitals. When it comes to a psychiatrist that person must be critical, communicate, trusting, confident, diverse, manageable, judging and be able to lead any situation they face or come up against. Gps, social workers, patients and the patient’s family are the range of people and profession that psychiatrist work with. Teachers must have the factor first and fore most the most important they must be diverse always because they will work with a wide variety and range of students and people from all ages, backgrounds, ethnicity and religions. They must also be trustworthy, be able to give guidance, communicate, support, and be patient.</w:t>
      </w:r>
      <w:r>
        <w:rPr>
          <w:rFonts w:ascii="Arial" w:hAnsi="Arial" w:cs="Arial"/>
          <w:sz w:val="24"/>
          <w:szCs w:val="24"/>
          <w:lang w:val="en-GB"/>
        </w:rPr>
        <w:t>(nationalcareer.2017)</w:t>
      </w:r>
      <w:r>
        <w:rPr>
          <w:rFonts w:ascii="Arial" w:hAnsi="Arial" w:cs="Arial"/>
          <w:sz w:val="24"/>
          <w:szCs w:val="24"/>
        </w:rPr>
        <w:t xml:space="preserve"> A teacher also works with a wide variety of professions that include social workers to make sure each student is being supported in every aspect of their live whether it be in school, outside school and at home.</w:t>
      </w:r>
    </w:p>
    <w:p>
      <w:pPr>
        <w:rPr>
          <w:rFonts w:ascii="Arial" w:hAnsi="Arial" w:cs="Arial"/>
          <w:sz w:val="24"/>
          <w:szCs w:val="24"/>
        </w:rPr>
      </w:pPr>
    </w:p>
    <w:p>
      <w:pPr>
        <w:rPr>
          <w:rFonts w:ascii="Arial" w:hAnsi="Arial" w:cs="Arial"/>
          <w:sz w:val="24"/>
          <w:szCs w:val="24"/>
        </w:rPr>
      </w:pPr>
      <w:r>
        <w:rPr>
          <w:rFonts w:ascii="Arial" w:hAnsi="Arial" w:cs="Arial"/>
          <w:sz w:val="24"/>
          <w:szCs w:val="24"/>
        </w:rPr>
        <w:t xml:space="preserve">Each job provides a variety of skills and requirements and that each job must work with a wide variety of people no matter what their age, background or profession is. It is also shown that each person must know and provide the correct and accurate service. They must know what each job entails and should be providing to the best of their abilities. </w:t>
      </w:r>
      <w:r>
        <w:rPr>
          <w:rFonts w:ascii="Arial" w:hAnsi="Arial" w:cs="Arial"/>
          <w:sz w:val="24"/>
          <w:szCs w:val="24"/>
          <w:lang w:val="en-GB"/>
        </w:rPr>
        <w:t>(tousin,2012)</w:t>
      </w:r>
      <w:r>
        <w:rPr>
          <w:rFonts w:ascii="Arial" w:hAnsi="Arial" w:cs="Arial"/>
          <w:sz w:val="24"/>
          <w:szCs w:val="24"/>
        </w:rPr>
        <w:t>It is essential that each person must work as a team to provide these services for the person that needs and requires them. It is hugely important that each member of the team trusts each other, communicates well with each other, is confident that each person of the team is providing the best service possible and is working hard to make sure it stays that way to the best of their ability.  The most essential and important factor for each team is that they are diverse always. There is always going to be positives and negatives with working in a team these can be that the team is providing the best service and covering all areas of the person life and is improving it for the better, however it could possibly be that this is not being done and provided because of a communication breakdown within the team and the information is not correctly being provided and communicated within the team.</w:t>
      </w:r>
      <w:r>
        <w:rPr>
          <w:rFonts w:ascii="Arial" w:hAnsi="Arial" w:cs="Arial"/>
          <w:sz w:val="24"/>
          <w:szCs w:val="24"/>
          <w:lang w:val="en-GB"/>
        </w:rPr>
        <w:t>(Adamson, 2016)</w:t>
      </w:r>
      <w:r>
        <w:rPr>
          <w:rFonts w:ascii="Arial" w:hAnsi="Arial" w:cs="Arial"/>
          <w:sz w:val="24"/>
          <w:szCs w:val="24"/>
        </w:rPr>
        <w:t xml:space="preserve"> There could also be the issue of lack of services and funds available to be provide the person with the correct service and support they need and require for their own individual needs in improving their life.</w:t>
      </w:r>
    </w:p>
    <w:p>
      <w:pPr>
        <w:rPr>
          <w:rFonts w:ascii="Arial" w:hAnsi="Arial" w:cs="Arial"/>
          <w:sz w:val="24"/>
          <w:szCs w:val="24"/>
        </w:rPr>
      </w:pPr>
    </w:p>
    <w:p>
      <w:pPr>
        <w:rPr>
          <w:rFonts w:ascii="Arial" w:hAnsi="Arial" w:cs="Arial"/>
          <w:sz w:val="24"/>
          <w:szCs w:val="24"/>
          <w:lang w:val="en-GB"/>
        </w:rPr>
      </w:pPr>
      <w:r>
        <w:rPr>
          <w:rFonts w:ascii="Arial" w:hAnsi="Arial" w:cs="Arial"/>
          <w:sz w:val="24"/>
          <w:szCs w:val="24"/>
          <w:lang w:val="en-GB"/>
        </w:rPr>
        <w:t xml:space="preserve">Counselling is a work based relationship between a client and  a counsellor. The relationship is on the 2 people coming together and meeting at a certain place and certain time to discuss a certain issue or problem that has evolved in the clients life. The client would need to have counselling due to the fact that the issue or problem is effecting their life that much it is not letting them move forward going into the future. (mcleod,mcleod,2015)The counsellor will provide a service and guidance to the client to help them deal with the issue or problem in a better and more appropriative manner. The counsellor will address the issue and help the client find solutions and work their around the situation. Embedded counselling on the other hand is based around the client career or job and it does not use a fully qualified counsellor. Embedded counselling can happen any place, any time, any where and at any moment. The person that require embedded counselling will tend to need help with a situation that has arisen in their personal life and they are asking someone with a professional basis how to deal with the situation that has arisen and what the professional thinks would be the best way to deal with the situation. The difference between counselling and embedded counselling whilst dealing with a situation in a clients life is that counselling consists of set time scales  and periods for the client to deal with the issue whereas embedded does not. When it comes to embedded it could be a quick fix solution or it could be a solution that takes months maybe even years to resolve. (pederson, 2017)This does however depend on the situation that has happened. Embedded counselling does intend to exist within a person work place and the professions that have previously been listed. The only clear divide between counselling and embedded counselling is that as previously stated counselling is fixed and has certain method and map planned out for the client whereas embedded counselling does not. Counselling also has contracts, confidential, set methods, the counsellor will not know the client before meeting with them and does not know anything about their background. The counsellor will also not know the reason behind the clients need for therapy , however when it comes to embedded the counsellor will know the client, will know their background, along with knowing the reason behind them coming to them for advice and guidance.(Lobella,2008) There is no contracts or set methods regarding embedded counselling and confidentiality is not as important within embedded as it is when its is regarding counselling. Confidential within counselling is  important to the point there is no names on the clients file they tend to be numbers on their case files and if the confidential is breached there will be severe consequences for the counsellor and also the client because it could mean that they have to find a new counsellor. </w:t>
      </w:r>
    </w:p>
    <w:p>
      <w:pPr>
        <w:rPr>
          <w:rFonts w:ascii="Arial" w:hAnsi="Arial" w:cs="Arial"/>
          <w:sz w:val="24"/>
          <w:szCs w:val="24"/>
          <w:lang w:val="en-GB"/>
        </w:rPr>
      </w:pPr>
    </w:p>
    <w:p>
      <w:pPr>
        <w:rPr>
          <w:rFonts w:ascii="Arial" w:hAnsi="Arial" w:cs="Arial"/>
          <w:sz w:val="24"/>
          <w:szCs w:val="24"/>
          <w:lang w:val="en-GB"/>
        </w:rPr>
      </w:pPr>
      <w:r>
        <w:rPr>
          <w:rFonts w:ascii="Arial" w:hAnsi="Arial" w:cs="Arial"/>
          <w:sz w:val="24"/>
          <w:szCs w:val="24"/>
          <w:lang w:val="en-GB"/>
        </w:rPr>
        <w:t xml:space="preserve">There are 3 stages within 2 methods that counsellor will tend to follow , these can be the 3 stages of helping skills or 3 stages of the skilled helper. These 2 methods are very similar to each other but also there is differences between the both also. (mcleod,mcleod, 2016)The both stages are similar in the ways that the counselling sessions are set out which will consist of open questions, helpfulness and courage for the client, looking into the clients background, looking into the issue and making sure that the issue has not stemmed from the clients history or background from their childhood. The both stages will also provide an action plan for the client, change certain behaviours of the client, help the client look at the issue that has happened in a positive way rather than a negative way to help the client move forward with their life. The difference between the methods is that the skilled helper does identify the issue, also gives options, makes changes and also evaluates the issues that is effecting the client whereas the helping skills methods only assists and guides the client with the issues and problems the client has.(Herald,2016) A counsellor will tend to follow only one of these methods depending on the client and the issue and also down the counsellor and their own personal choice and method of counselling. The reason behind a counsellor following either one of these methods is to ensure that the relationship between themselves and the client remains a good working relationship. A counsellor job is to make sure the client is getting the right help, support and guidance whilst dealing with the situation in the clients life, and make sure the client is improving their life and moving forward in the right direction which is going to better their lives in the future. As with any relationship problems and issue can happen and these can be anything from commitment issues, the willingness to have change in their life, any emotional issues that the client or counsellor may have, any negative outcomes that happen and also if any of the changes that have been made has started effecting the relationship between the counsellor and client or the clients other relationships in their lives. It does not matter whether it is a counselling working relationship or an embedded counselling working relationship both of these counselling can face all of these problems and challenges. (fitzgerald,2014)Embedded counselling could end up having a more severe effect on the relationship that has been as they already know the client and had a relationship previously so if there is a negative impact on the relationship between the counsel and client it could end up having a permanently negative impact on the client and effecting their relationship completely for the future or even cause it break down totally. </w:t>
      </w:r>
    </w:p>
    <w:p>
      <w:pPr>
        <w:rPr>
          <w:rFonts w:ascii="Arial" w:hAnsi="Arial" w:cs="Arial"/>
          <w:sz w:val="24"/>
          <w:szCs w:val="24"/>
          <w:lang w:val="en-GB"/>
        </w:rPr>
      </w:pPr>
    </w:p>
    <w:p>
      <w:pPr>
        <w:rPr>
          <w:rFonts w:ascii="Arial" w:hAnsi="Arial" w:cs="Arial"/>
          <w:sz w:val="24"/>
          <w:szCs w:val="24"/>
          <w:lang w:val="en-GB"/>
        </w:rPr>
      </w:pPr>
      <w:r>
        <w:rPr>
          <w:rFonts w:ascii="Arial" w:hAnsi="Arial" w:cs="Arial"/>
          <w:sz w:val="24"/>
          <w:szCs w:val="24"/>
          <w:lang w:val="en-GB"/>
        </w:rPr>
        <w:t xml:space="preserve">There is a number of challenges that can happen between both counselling methods it could end up that the client and counsellor could become extremely close that is becomes an unhealthy relationship, the issue could have a huge impact on both the client and counsellor within their lives, career, the wrong advise could be given , professionalism could be breached, arguments could happen because of the clients and counsellor own personal opinion on the matter.(Tiedje,2012) If any of these do happen it could end having huge consequences on the clients and counsellor in their own personal lives and can even stop them moving forward and effect their relationships in the future in a negative way rather than a positive way. Boundaries and confidential could be breached and broken which could even lead to to a lawsuit against the counsellor and the company they work for. </w:t>
      </w:r>
    </w:p>
    <w:p>
      <w:pPr>
        <w:rPr>
          <w:rFonts w:ascii="Arial" w:hAnsi="Arial" w:cs="Arial"/>
          <w:sz w:val="24"/>
          <w:szCs w:val="24"/>
          <w:lang w:val="en-GB"/>
        </w:rPr>
      </w:pPr>
    </w:p>
    <w:p>
      <w:pPr>
        <w:rPr>
          <w:rFonts w:ascii="Arial" w:hAnsi="Arial" w:cs="Arial"/>
          <w:sz w:val="24"/>
          <w:szCs w:val="24"/>
          <w:lang w:val="en-GB"/>
        </w:rPr>
      </w:pPr>
      <w:r>
        <w:rPr>
          <w:rFonts w:ascii="Arial" w:hAnsi="Arial" w:cs="Arial"/>
          <w:sz w:val="24"/>
          <w:szCs w:val="24"/>
          <w:lang w:val="en-GB"/>
        </w:rPr>
        <w:t>Every single job that exists within our society has codes and practices that an individual must follow for their own safety.(verwey, 2014) They exist for the fact it ensure the professional acts and behaves in certain manner but also the codes and practices does depend on the job that the individual has. All codes and practices have the same sort of rules which are confidential, law required, diversity, trust and honesty. Boundaries must also be set in place and know by all parties involved to make sure no extra issues arise because of an individuals boundaries and personal space being breached.(wermeling,2014) Each person knows their own limits and boundaries and know what will trigger them so it is easier if they are made known to make sure that no relationships become effected due to the fact they have been breached . this also way frameworks are put in-place to ensure this happens and that no limits or boundaries are crossed in a negative way but only in a positive way for the future and all parties involved.</w:t>
      </w:r>
    </w:p>
    <w:p>
      <w:pPr>
        <w:rPr>
          <w:rFonts w:ascii="Arial" w:hAnsi="Arial" w:cs="Arial"/>
          <w:sz w:val="24"/>
          <w:szCs w:val="24"/>
          <w:lang w:val="en-GB"/>
        </w:rPr>
      </w:pPr>
    </w:p>
    <w:p>
      <w:pPr>
        <w:rPr>
          <w:rFonts w:ascii="Arial" w:hAnsi="Arial" w:cs="Arial"/>
          <w:sz w:val="24"/>
          <w:szCs w:val="24"/>
          <w:lang w:val="en-GB"/>
        </w:rPr>
      </w:pPr>
      <w:r>
        <w:rPr>
          <w:rFonts w:ascii="Arial" w:hAnsi="Arial" w:cs="Arial"/>
          <w:sz w:val="24"/>
          <w:szCs w:val="24"/>
          <w:lang w:val="en-GB"/>
        </w:rPr>
        <w:t>In conclusion as it can be seen it does not matter whether the client is receiving counselling or embedded counselling within their job or in a variety of places the both methods have the same goal and outline and also have to follow the same rules. The rules are there for all the parties benefit and also put in place because it is a law requirement. When it comes to the client and their counselling or embedded counselling relationship the only goal that I in mind is that the client is receiving the best and guidance and advise possible and setting them up fro the best path to move forward in the future. Professionalism must remain the same no matter what relationship is or is not there before the counselling method has been put in place , the reason behind this is because it can have severe and negative consequences for both the client and counsel if this is not maintained. There fore this could impact both of them to the point it effects them in lives in the future and any relationships they have in future or at the present so the point it could breakdown and even effect both of their careers in the long run.</w:t>
      </w:r>
    </w:p>
    <w:p>
      <w:pPr>
        <w:rPr>
          <w:rFonts w:ascii="Arial" w:hAnsi="Arial" w:cs="Arial"/>
          <w:sz w:val="24"/>
          <w:szCs w:val="24"/>
          <w:lang w:val="en-GB"/>
        </w:rPr>
      </w:pPr>
    </w:p>
    <w:p>
      <w:pPr>
        <w:rPr>
          <w:rFonts w:ascii="Arial" w:hAnsi="Arial" w:cs="Arial"/>
          <w:sz w:val="24"/>
          <w:szCs w:val="24"/>
          <w:lang w:val="en-GB"/>
        </w:rPr>
      </w:pPr>
    </w:p>
    <w:p>
      <w:pPr>
        <w:rPr>
          <w:rFonts w:ascii="Arial" w:hAnsi="Arial" w:cs="Arial"/>
          <w:sz w:val="24"/>
          <w:szCs w:val="24"/>
          <w:lang w:val="en-GB"/>
        </w:rPr>
      </w:pPr>
    </w:p>
    <w:p>
      <w:pPr>
        <w:rPr>
          <w:rFonts w:ascii="Arial" w:hAnsi="Arial" w:cs="Arial"/>
          <w:sz w:val="24"/>
          <w:szCs w:val="24"/>
          <w:lang w:val="en-GB"/>
        </w:rPr>
      </w:pPr>
    </w:p>
    <w:p>
      <w:pPr>
        <w:rPr>
          <w:rFonts w:ascii="Arial" w:hAnsi="Arial" w:cs="Arial"/>
          <w:sz w:val="24"/>
          <w:szCs w:val="24"/>
          <w:lang w:val="en-GB"/>
        </w:rPr>
      </w:pPr>
    </w:p>
    <w:p>
      <w:pPr>
        <w:rPr>
          <w:rFonts w:ascii="Arial" w:hAnsi="Arial" w:cs="Arial"/>
          <w:sz w:val="24"/>
          <w:szCs w:val="24"/>
          <w:lang w:val="en-GB"/>
        </w:rPr>
      </w:pPr>
    </w:p>
    <w:p>
      <w:pPr>
        <w:rPr>
          <w:rFonts w:ascii="Arial" w:hAnsi="Arial" w:cs="Arial"/>
          <w:sz w:val="24"/>
          <w:szCs w:val="24"/>
          <w:lang w:val="en-GB"/>
        </w:rPr>
      </w:pPr>
    </w:p>
    <w:p>
      <w:pPr>
        <w:rPr>
          <w:rFonts w:ascii="Arial" w:hAnsi="Arial" w:cs="Arial"/>
          <w:sz w:val="24"/>
          <w:szCs w:val="24"/>
          <w:lang w:val="en-GB"/>
        </w:rPr>
      </w:pPr>
    </w:p>
    <w:p>
      <w:pPr>
        <w:rPr>
          <w:rFonts w:ascii="Arial" w:hAnsi="Arial" w:cs="Arial"/>
          <w:b/>
          <w:bCs/>
          <w:i w:val="0"/>
          <w:iCs w:val="0"/>
          <w:sz w:val="24"/>
          <w:szCs w:val="24"/>
          <w:u w:val="single"/>
          <w:lang w:val="en-GB"/>
        </w:rPr>
      </w:pPr>
      <w:r>
        <w:rPr>
          <w:rFonts w:ascii="Arial" w:hAnsi="Arial" w:cs="Arial"/>
          <w:b/>
          <w:bCs/>
          <w:i w:val="0"/>
          <w:iCs w:val="0"/>
          <w:sz w:val="24"/>
          <w:szCs w:val="24"/>
          <w:u w:val="single"/>
          <w:lang w:val="en-GB"/>
        </w:rPr>
        <w:t>Bibliography</w:t>
      </w:r>
    </w:p>
    <w:p>
      <w:pPr>
        <w:rPr>
          <w:rFonts w:hint="default" w:ascii="Verdana" w:hAnsi="Verdana" w:eastAsia="SimSun" w:cs="Verdana"/>
          <w:b w:val="0"/>
          <w:i w:val="0"/>
          <w:caps w:val="0"/>
          <w:color w:val="000000"/>
          <w:spacing w:val="0"/>
          <w:sz w:val="20"/>
          <w:szCs w:val="20"/>
        </w:rPr>
      </w:pPr>
      <w:r>
        <w:rPr>
          <w:rFonts w:ascii="Verdana" w:hAnsi="Verdana" w:eastAsia="SimSun" w:cs="Verdana"/>
          <w:b w:val="0"/>
          <w:i w:val="0"/>
          <w:caps w:val="0"/>
          <w:color w:val="000000"/>
          <w:spacing w:val="0"/>
          <w:sz w:val="20"/>
          <w:szCs w:val="20"/>
        </w:rPr>
        <w:t>Brandie Hearld. (2016). Assessment of clinical workload for general and speciality genetic counsellors at an academic medical center: a tool for evaluating genetic counselling practices.</w:t>
      </w:r>
      <w:r>
        <w:rPr>
          <w:rFonts w:hint="default" w:ascii="Verdana" w:hAnsi="Verdana" w:eastAsia="SimSun" w:cs="Verdana"/>
          <w:b w:val="0"/>
          <w:i w:val="0"/>
          <w:caps w:val="0"/>
          <w:color w:val="000000"/>
          <w:spacing w:val="0"/>
          <w:sz w:val="20"/>
          <w:szCs w:val="20"/>
        </w:rPr>
        <w:t> </w:t>
      </w:r>
      <w:r>
        <w:rPr>
          <w:rFonts w:hint="default" w:ascii="Verdana" w:hAnsi="Verdana" w:eastAsia="SimSun" w:cs="Verdana"/>
          <w:b w:val="0"/>
          <w:i/>
          <w:caps w:val="0"/>
          <w:color w:val="000000"/>
          <w:spacing w:val="0"/>
          <w:sz w:val="20"/>
          <w:szCs w:val="20"/>
        </w:rPr>
        <w:t>NPJ Genomic medicine</w:t>
      </w:r>
      <w:r>
        <w:rPr>
          <w:rFonts w:hint="default" w:ascii="Verdana" w:hAnsi="Verdana" w:eastAsia="SimSun" w:cs="Verdana"/>
          <w:b w:val="0"/>
          <w:i w:val="0"/>
          <w:caps w:val="0"/>
          <w:color w:val="000000"/>
          <w:spacing w:val="0"/>
          <w:sz w:val="20"/>
          <w:szCs w:val="20"/>
        </w:rPr>
        <w:t>. 1 (10), 1- 25.</w:t>
      </w:r>
    </w:p>
    <w:p>
      <w:pPr>
        <w:rPr>
          <w:rFonts w:hint="default" w:ascii="Verdana" w:hAnsi="Verdana" w:eastAsia="SimSun" w:cs="Verdana"/>
          <w:b w:val="0"/>
          <w:i w:val="0"/>
          <w:caps w:val="0"/>
          <w:color w:val="000000"/>
          <w:spacing w:val="0"/>
          <w:sz w:val="20"/>
          <w:szCs w:val="20"/>
        </w:rPr>
      </w:pPr>
      <w:r>
        <w:rPr>
          <w:rFonts w:ascii="Verdana" w:hAnsi="Verdana" w:eastAsia="SimSun" w:cs="Verdana"/>
          <w:b w:val="0"/>
          <w:i w:val="0"/>
          <w:caps w:val="0"/>
          <w:color w:val="000000"/>
          <w:spacing w:val="0"/>
          <w:sz w:val="20"/>
          <w:szCs w:val="20"/>
        </w:rPr>
        <w:t xml:space="preserve">F Lobelo, J Duperly, E Frank. (2008). Phyiscal activity habits of doctors and medical </w:t>
      </w:r>
    </w:p>
    <w:p>
      <w:pPr>
        <w:rPr>
          <w:rFonts w:hint="default" w:ascii="Verdana" w:hAnsi="Verdana" w:eastAsia="SimSun" w:cs="Verdana"/>
          <w:b w:val="0"/>
          <w:i w:val="0"/>
          <w:caps w:val="0"/>
          <w:color w:val="000000"/>
          <w:spacing w:val="0"/>
          <w:sz w:val="20"/>
          <w:szCs w:val="20"/>
        </w:rPr>
      </w:pPr>
      <w:r>
        <w:rPr>
          <w:rFonts w:ascii="Verdana" w:hAnsi="Verdana" w:eastAsia="SimSun" w:cs="Verdana"/>
          <w:b w:val="0"/>
          <w:i w:val="0"/>
          <w:caps w:val="0"/>
          <w:color w:val="000000"/>
          <w:spacing w:val="0"/>
          <w:sz w:val="20"/>
          <w:szCs w:val="20"/>
        </w:rPr>
        <w:t>influence their counselling practices.</w:t>
      </w:r>
      <w:r>
        <w:rPr>
          <w:rFonts w:hint="default" w:ascii="Verdana" w:hAnsi="Verdana" w:eastAsia="SimSun" w:cs="Verdana"/>
          <w:b w:val="0"/>
          <w:i w:val="0"/>
          <w:caps w:val="0"/>
          <w:color w:val="000000"/>
          <w:spacing w:val="0"/>
          <w:sz w:val="20"/>
          <w:szCs w:val="20"/>
        </w:rPr>
        <w:t> </w:t>
      </w:r>
      <w:r>
        <w:rPr>
          <w:rFonts w:hint="default" w:ascii="Verdana" w:hAnsi="Verdana" w:eastAsia="SimSun" w:cs="Verdana"/>
          <w:b w:val="0"/>
          <w:i/>
          <w:caps w:val="0"/>
          <w:color w:val="000000"/>
          <w:spacing w:val="0"/>
          <w:sz w:val="20"/>
          <w:szCs w:val="20"/>
        </w:rPr>
        <w:t>Review</w:t>
      </w:r>
      <w:r>
        <w:rPr>
          <w:rFonts w:hint="default" w:ascii="Verdana" w:hAnsi="Verdana" w:eastAsia="SimSun" w:cs="Verdana"/>
          <w:b w:val="0"/>
          <w:i w:val="0"/>
          <w:caps w:val="0"/>
          <w:color w:val="000000"/>
          <w:spacing w:val="0"/>
          <w:sz w:val="20"/>
          <w:szCs w:val="20"/>
        </w:rPr>
        <w:t>. 1 (1), 5-10.</w:t>
      </w:r>
    </w:p>
    <w:p>
      <w:pPr>
        <w:rPr>
          <w:rFonts w:hint="default" w:ascii="Verdana" w:hAnsi="Verdana" w:eastAsia="SimSun" w:cs="Verdana"/>
          <w:b w:val="0"/>
          <w:i w:val="0"/>
          <w:caps w:val="0"/>
          <w:color w:val="000000"/>
          <w:spacing w:val="0"/>
          <w:sz w:val="20"/>
          <w:szCs w:val="20"/>
        </w:rPr>
      </w:pPr>
      <w:r>
        <w:rPr>
          <w:rFonts w:ascii="Verdana" w:hAnsi="Verdana" w:eastAsia="SimSun" w:cs="Verdana"/>
          <w:b w:val="0"/>
          <w:i w:val="0"/>
          <w:caps w:val="0"/>
          <w:color w:val="000000"/>
          <w:spacing w:val="0"/>
          <w:sz w:val="20"/>
          <w:szCs w:val="20"/>
        </w:rPr>
        <w:t>H pederson. (2017). Impact of embedded genetic counselor on breast cancer treatment.</w:t>
      </w:r>
      <w:r>
        <w:rPr>
          <w:rFonts w:hint="default" w:ascii="Verdana" w:hAnsi="Verdana" w:eastAsia="SimSun" w:cs="Verdana"/>
          <w:b w:val="0"/>
          <w:i w:val="0"/>
          <w:caps w:val="0"/>
          <w:color w:val="000000"/>
          <w:spacing w:val="0"/>
          <w:sz w:val="20"/>
          <w:szCs w:val="20"/>
        </w:rPr>
        <w:t> </w:t>
      </w:r>
      <w:r>
        <w:rPr>
          <w:rFonts w:hint="default" w:ascii="Verdana" w:hAnsi="Verdana" w:eastAsia="SimSun" w:cs="Verdana"/>
          <w:b w:val="0"/>
          <w:i/>
          <w:caps w:val="0"/>
          <w:color w:val="000000"/>
          <w:spacing w:val="0"/>
          <w:sz w:val="20"/>
          <w:szCs w:val="20"/>
        </w:rPr>
        <w:t>Preclinical study</w:t>
      </w:r>
      <w:r>
        <w:rPr>
          <w:rFonts w:hint="default" w:ascii="Verdana" w:hAnsi="Verdana" w:eastAsia="SimSun" w:cs="Verdana"/>
          <w:b w:val="0"/>
          <w:i w:val="0"/>
          <w:caps w:val="0"/>
          <w:color w:val="000000"/>
          <w:spacing w:val="0"/>
          <w:sz w:val="20"/>
          <w:szCs w:val="20"/>
        </w:rPr>
        <w:t>. 17 (7), 17-49.</w:t>
      </w:r>
    </w:p>
    <w:p>
      <w:pPr>
        <w:rPr>
          <w:rFonts w:hint="default" w:ascii="Verdana" w:hAnsi="Verdana" w:eastAsia="SimSun" w:cs="Verdana"/>
          <w:b w:val="0"/>
          <w:i w:val="0"/>
          <w:caps w:val="0"/>
          <w:color w:val="000000"/>
          <w:spacing w:val="0"/>
          <w:sz w:val="20"/>
          <w:szCs w:val="20"/>
        </w:rPr>
      </w:pPr>
      <w:r>
        <w:rPr>
          <w:rFonts w:ascii="Verdana" w:hAnsi="Verdana" w:eastAsia="SimSun" w:cs="Verdana"/>
          <w:b w:val="0"/>
          <w:i w:val="0"/>
          <w:caps w:val="0"/>
          <w:color w:val="000000"/>
          <w:spacing w:val="0"/>
          <w:sz w:val="20"/>
          <w:szCs w:val="20"/>
        </w:rPr>
        <w:t>John Mcleod and Julia Mcleod. (2015). Research on embedded counselling: An emerging topic of potential importance for the future of counselling psychology.</w:t>
      </w:r>
      <w:r>
        <w:rPr>
          <w:rFonts w:hint="default" w:ascii="Verdana" w:hAnsi="Verdana" w:eastAsia="SimSun" w:cs="Verdana"/>
          <w:b w:val="0"/>
          <w:i w:val="0"/>
          <w:caps w:val="0"/>
          <w:color w:val="000000"/>
          <w:spacing w:val="0"/>
          <w:sz w:val="20"/>
          <w:szCs w:val="20"/>
        </w:rPr>
        <w:t> </w:t>
      </w:r>
      <w:r>
        <w:rPr>
          <w:rFonts w:hint="default" w:ascii="Verdana" w:hAnsi="Verdana" w:eastAsia="SimSun" w:cs="Verdana"/>
          <w:b w:val="0"/>
          <w:i/>
          <w:caps w:val="0"/>
          <w:color w:val="000000"/>
          <w:spacing w:val="0"/>
          <w:sz w:val="20"/>
          <w:szCs w:val="20"/>
        </w:rPr>
        <w:t>Counselling Psychology</w:t>
      </w:r>
      <w:r>
        <w:rPr>
          <w:rFonts w:hint="default" w:ascii="Verdana" w:hAnsi="Verdana" w:eastAsia="SimSun" w:cs="Verdana"/>
          <w:b w:val="0"/>
          <w:i w:val="0"/>
          <w:caps w:val="0"/>
          <w:color w:val="000000"/>
          <w:spacing w:val="0"/>
          <w:sz w:val="20"/>
          <w:szCs w:val="20"/>
        </w:rPr>
        <w:t>. 28 (1), 27-43.</w:t>
      </w:r>
    </w:p>
    <w:p>
      <w:pPr>
        <w:rPr>
          <w:rFonts w:hint="default" w:ascii="Verdana" w:hAnsi="Verdana" w:eastAsia="SimSun" w:cs="Verdana"/>
          <w:b w:val="0"/>
          <w:i w:val="0"/>
          <w:caps w:val="0"/>
          <w:color w:val="000000"/>
          <w:spacing w:val="0"/>
          <w:sz w:val="20"/>
          <w:szCs w:val="20"/>
        </w:rPr>
      </w:pPr>
      <w:r>
        <w:rPr>
          <w:rFonts w:ascii="Verdana" w:hAnsi="Verdana" w:eastAsia="SimSun" w:cs="Verdana"/>
          <w:b w:val="0"/>
          <w:i w:val="0"/>
          <w:caps w:val="0"/>
          <w:color w:val="000000"/>
          <w:spacing w:val="0"/>
          <w:sz w:val="20"/>
          <w:szCs w:val="20"/>
        </w:rPr>
        <w:t>K Tiedje. (2013). They leave at least believing they had a part in the discussion: understanding decision aid use and patient-clinican decision making through qualitative research .</w:t>
      </w:r>
      <w:r>
        <w:rPr>
          <w:rFonts w:hint="default" w:ascii="Verdana" w:hAnsi="Verdana" w:eastAsia="SimSun" w:cs="Verdana"/>
          <w:b w:val="0"/>
          <w:i w:val="0"/>
          <w:caps w:val="0"/>
          <w:color w:val="000000"/>
          <w:spacing w:val="0"/>
          <w:sz w:val="20"/>
          <w:szCs w:val="20"/>
        </w:rPr>
        <w:t> </w:t>
      </w:r>
      <w:r>
        <w:rPr>
          <w:rFonts w:hint="default" w:ascii="Verdana" w:hAnsi="Verdana" w:eastAsia="SimSun" w:cs="Verdana"/>
          <w:b w:val="0"/>
          <w:i/>
          <w:caps w:val="0"/>
          <w:color w:val="000000"/>
          <w:spacing w:val="0"/>
          <w:sz w:val="20"/>
          <w:szCs w:val="20"/>
        </w:rPr>
        <w:t>Parent education and counselling</w:t>
      </w:r>
      <w:r>
        <w:rPr>
          <w:rFonts w:hint="default" w:ascii="Verdana" w:hAnsi="Verdana" w:eastAsia="SimSun" w:cs="Verdana"/>
          <w:b w:val="0"/>
          <w:i w:val="0"/>
          <w:caps w:val="0"/>
          <w:color w:val="000000"/>
          <w:spacing w:val="0"/>
          <w:sz w:val="20"/>
          <w:szCs w:val="20"/>
        </w:rPr>
        <w:t>. 93 (10), 86-94.</w:t>
      </w:r>
    </w:p>
    <w:p>
      <w:pPr>
        <w:rPr>
          <w:rFonts w:hint="default" w:ascii="Verdana" w:hAnsi="Verdana" w:eastAsia="SimSun" w:cs="Verdana"/>
          <w:b w:val="0"/>
          <w:i w:val="0"/>
          <w:caps w:val="0"/>
          <w:color w:val="000000"/>
          <w:spacing w:val="0"/>
          <w:sz w:val="20"/>
          <w:szCs w:val="20"/>
        </w:rPr>
      </w:pPr>
      <w:r>
        <w:rPr>
          <w:rFonts w:ascii="Verdana" w:hAnsi="Verdana" w:eastAsia="SimSun" w:cs="Verdana"/>
          <w:b w:val="0"/>
          <w:i w:val="0"/>
          <w:caps w:val="0"/>
          <w:color w:val="000000"/>
          <w:spacing w:val="0"/>
          <w:sz w:val="20"/>
          <w:szCs w:val="20"/>
        </w:rPr>
        <w:t>M Adamson. (2016). Compositions of professionalism in counselling work: An embodied and embedded intersectionality framework.</w:t>
      </w:r>
      <w:r>
        <w:rPr>
          <w:rFonts w:hint="default" w:ascii="Verdana" w:hAnsi="Verdana" w:eastAsia="SimSun" w:cs="Verdana"/>
          <w:b w:val="0"/>
          <w:i w:val="0"/>
          <w:caps w:val="0"/>
          <w:color w:val="000000"/>
          <w:spacing w:val="0"/>
          <w:sz w:val="20"/>
          <w:szCs w:val="20"/>
        </w:rPr>
        <w:t> </w:t>
      </w:r>
      <w:r>
        <w:rPr>
          <w:rFonts w:hint="default" w:ascii="Verdana" w:hAnsi="Verdana" w:eastAsia="SimSun" w:cs="Verdana"/>
          <w:b w:val="0"/>
          <w:i/>
          <w:caps w:val="0"/>
          <w:color w:val="000000"/>
          <w:spacing w:val="0"/>
          <w:sz w:val="20"/>
          <w:szCs w:val="20"/>
        </w:rPr>
        <w:t>Human realtions</w:t>
      </w:r>
      <w:r>
        <w:rPr>
          <w:rFonts w:hint="default" w:ascii="Verdana" w:hAnsi="Verdana" w:eastAsia="SimSun" w:cs="Verdana"/>
          <w:b w:val="0"/>
          <w:i w:val="0"/>
          <w:caps w:val="0"/>
          <w:color w:val="000000"/>
          <w:spacing w:val="0"/>
          <w:sz w:val="20"/>
          <w:szCs w:val="20"/>
        </w:rPr>
        <w:t>. 69 (12), 2201-2223.</w:t>
      </w:r>
    </w:p>
    <w:p>
      <w:pPr>
        <w:rPr>
          <w:rFonts w:hint="default" w:ascii="Verdana" w:hAnsi="Verdana" w:eastAsia="SimSun" w:cs="Verdana"/>
          <w:b w:val="0"/>
          <w:i w:val="0"/>
          <w:caps w:val="0"/>
          <w:color w:val="000000"/>
          <w:spacing w:val="0"/>
          <w:sz w:val="20"/>
          <w:szCs w:val="20"/>
        </w:rPr>
      </w:pPr>
      <w:r>
        <w:rPr>
          <w:rFonts w:ascii="Verdana" w:hAnsi="Verdana" w:eastAsia="SimSun" w:cs="Verdana"/>
          <w:b w:val="0"/>
          <w:i w:val="0"/>
          <w:caps w:val="0"/>
          <w:color w:val="000000"/>
          <w:spacing w:val="0"/>
          <w:sz w:val="20"/>
          <w:szCs w:val="20"/>
        </w:rPr>
        <w:t>M Wermeling. (2014). Type 2 diabetes patients perspectives on lifestyle counselling and weight management in general practice.</w:t>
      </w:r>
      <w:r>
        <w:rPr>
          <w:rFonts w:hint="default" w:ascii="Verdana" w:hAnsi="Verdana" w:eastAsia="SimSun" w:cs="Verdana"/>
          <w:b w:val="0"/>
          <w:i w:val="0"/>
          <w:caps w:val="0"/>
          <w:color w:val="000000"/>
          <w:spacing w:val="0"/>
          <w:sz w:val="20"/>
          <w:szCs w:val="20"/>
        </w:rPr>
        <w:t> </w:t>
      </w:r>
      <w:r>
        <w:rPr>
          <w:rFonts w:hint="default" w:ascii="Verdana" w:hAnsi="Verdana" w:eastAsia="SimSun" w:cs="Verdana"/>
          <w:b w:val="0"/>
          <w:i/>
          <w:caps w:val="0"/>
          <w:color w:val="000000"/>
          <w:spacing w:val="0"/>
          <w:sz w:val="20"/>
          <w:szCs w:val="20"/>
        </w:rPr>
        <w:t>BMC family practice</w:t>
      </w:r>
      <w:r>
        <w:rPr>
          <w:rFonts w:hint="default" w:ascii="Verdana" w:hAnsi="Verdana" w:eastAsia="SimSun" w:cs="Verdana"/>
          <w:b w:val="0"/>
          <w:i w:val="0"/>
          <w:caps w:val="0"/>
          <w:color w:val="000000"/>
          <w:spacing w:val="0"/>
          <w:sz w:val="20"/>
          <w:szCs w:val="20"/>
        </w:rPr>
        <w:t>. 15 (4), 15-97.</w:t>
      </w:r>
    </w:p>
    <w:p>
      <w:pPr>
        <w:rPr>
          <w:rFonts w:hint="default" w:ascii="Verdana" w:hAnsi="Verdana" w:eastAsia="SimSun" w:cs="Verdana"/>
          <w:b w:val="0"/>
          <w:i w:val="0"/>
          <w:caps w:val="0"/>
          <w:color w:val="000000"/>
          <w:spacing w:val="0"/>
          <w:sz w:val="20"/>
          <w:szCs w:val="20"/>
        </w:rPr>
      </w:pPr>
      <w:r>
        <w:rPr>
          <w:rFonts w:ascii="Verdana" w:hAnsi="Verdana" w:eastAsia="SimSun" w:cs="Verdana"/>
          <w:b w:val="0"/>
          <w:i w:val="0"/>
          <w:caps w:val="0"/>
          <w:color w:val="000000"/>
          <w:spacing w:val="0"/>
          <w:sz w:val="20"/>
          <w:szCs w:val="20"/>
        </w:rPr>
        <w:t>N Fitzgerald. (2015). Alcohol brief interventions practice following training for multidiscilinary health and social care: A qualitative interview study.</w:t>
      </w:r>
      <w:r>
        <w:rPr>
          <w:rFonts w:hint="default" w:ascii="Verdana" w:hAnsi="Verdana" w:eastAsia="SimSun" w:cs="Verdana"/>
          <w:b w:val="0"/>
          <w:i w:val="0"/>
          <w:caps w:val="0"/>
          <w:color w:val="000000"/>
          <w:spacing w:val="0"/>
          <w:sz w:val="20"/>
          <w:szCs w:val="20"/>
        </w:rPr>
        <w:t> </w:t>
      </w:r>
      <w:r>
        <w:rPr>
          <w:rFonts w:hint="default" w:ascii="Verdana" w:hAnsi="Verdana" w:eastAsia="SimSun" w:cs="Verdana"/>
          <w:b w:val="0"/>
          <w:i/>
          <w:caps w:val="0"/>
          <w:color w:val="000000"/>
          <w:spacing w:val="0"/>
          <w:sz w:val="20"/>
          <w:szCs w:val="20"/>
        </w:rPr>
        <w:t>Drug and Alcohol Review</w:t>
      </w:r>
      <w:r>
        <w:rPr>
          <w:rFonts w:hint="default" w:ascii="Verdana" w:hAnsi="Verdana" w:eastAsia="SimSun" w:cs="Verdana"/>
          <w:b w:val="0"/>
          <w:i w:val="0"/>
          <w:caps w:val="0"/>
          <w:color w:val="000000"/>
          <w:spacing w:val="0"/>
          <w:sz w:val="20"/>
          <w:szCs w:val="20"/>
        </w:rPr>
        <w:t>. 34 (2), 185-193.</w:t>
      </w:r>
    </w:p>
    <w:p>
      <w:pPr>
        <w:rPr>
          <w:rFonts w:hint="default" w:ascii="Verdana" w:hAnsi="Verdana" w:eastAsia="SimSun" w:cs="Verdana"/>
          <w:b w:val="0"/>
          <w:i w:val="0"/>
          <w:caps w:val="0"/>
          <w:color w:val="000000"/>
          <w:spacing w:val="0"/>
          <w:sz w:val="20"/>
          <w:szCs w:val="20"/>
        </w:rPr>
      </w:pPr>
      <w:r>
        <w:rPr>
          <w:rFonts w:ascii="Verdana" w:hAnsi="Verdana" w:eastAsia="SimSun" w:cs="Verdana"/>
          <w:b w:val="0"/>
          <w:i w:val="0"/>
          <w:caps w:val="0"/>
          <w:color w:val="000000"/>
          <w:spacing w:val="0"/>
          <w:sz w:val="20"/>
          <w:szCs w:val="20"/>
        </w:rPr>
        <w:t>R Venwey. (2014). A monitoring and feedback tool embedded in a counselling protocol to increase phyiscal activity of patients with COPD or type 2 diabetes in primary care.</w:t>
      </w:r>
      <w:r>
        <w:rPr>
          <w:rFonts w:hint="default" w:ascii="Verdana" w:hAnsi="Verdana" w:eastAsia="SimSun" w:cs="Verdana"/>
          <w:b w:val="0"/>
          <w:i w:val="0"/>
          <w:caps w:val="0"/>
          <w:color w:val="000000"/>
          <w:spacing w:val="0"/>
          <w:sz w:val="20"/>
          <w:szCs w:val="20"/>
        </w:rPr>
        <w:t> </w:t>
      </w:r>
      <w:r>
        <w:rPr>
          <w:rFonts w:hint="default" w:ascii="Verdana" w:hAnsi="Verdana" w:eastAsia="SimSun" w:cs="Verdana"/>
          <w:b w:val="0"/>
          <w:i/>
          <w:caps w:val="0"/>
          <w:color w:val="000000"/>
          <w:spacing w:val="0"/>
          <w:sz w:val="20"/>
          <w:szCs w:val="20"/>
        </w:rPr>
        <w:t>BMC family practice</w:t>
      </w:r>
      <w:r>
        <w:rPr>
          <w:rFonts w:hint="default" w:ascii="Verdana" w:hAnsi="Verdana" w:eastAsia="SimSun" w:cs="Verdana"/>
          <w:b w:val="0"/>
          <w:i w:val="0"/>
          <w:caps w:val="0"/>
          <w:color w:val="000000"/>
          <w:spacing w:val="0"/>
          <w:sz w:val="20"/>
          <w:szCs w:val="20"/>
        </w:rPr>
        <w:t>. 15 (4), 15-93</w:t>
      </w:r>
    </w:p>
    <w:p>
      <w:pPr>
        <w:rPr>
          <w:rFonts w:hint="default" w:ascii="Verdana" w:hAnsi="Verdana" w:eastAsia="SimSun" w:cs="Verdana"/>
          <w:b w:val="0"/>
          <w:i w:val="0"/>
          <w:caps w:val="0"/>
          <w:color w:val="000000"/>
          <w:spacing w:val="0"/>
          <w:sz w:val="20"/>
          <w:szCs w:val="20"/>
        </w:rPr>
      </w:pPr>
      <w:r>
        <w:rPr>
          <w:rFonts w:ascii="Verdana" w:hAnsi="Verdana" w:eastAsia="SimSun" w:cs="Verdana"/>
          <w:b w:val="0"/>
          <w:i w:val="0"/>
          <w:caps w:val="0"/>
          <w:color w:val="000000"/>
          <w:spacing w:val="0"/>
          <w:sz w:val="20"/>
          <w:szCs w:val="20"/>
        </w:rPr>
        <w:t>W Tousijn. (2012). integrating health and social care:Interprofessional relations of multidisciplinary teams in italy.</w:t>
      </w:r>
      <w:r>
        <w:rPr>
          <w:rFonts w:hint="default" w:ascii="Verdana" w:hAnsi="Verdana" w:eastAsia="SimSun" w:cs="Verdana"/>
          <w:b w:val="0"/>
          <w:i w:val="0"/>
          <w:caps w:val="0"/>
          <w:color w:val="000000"/>
          <w:spacing w:val="0"/>
          <w:sz w:val="20"/>
          <w:szCs w:val="20"/>
        </w:rPr>
        <w:t> </w:t>
      </w:r>
      <w:r>
        <w:rPr>
          <w:rFonts w:hint="default" w:ascii="Verdana" w:hAnsi="Verdana" w:eastAsia="SimSun" w:cs="Verdana"/>
          <w:b w:val="0"/>
          <w:i/>
          <w:caps w:val="0"/>
          <w:color w:val="000000"/>
          <w:spacing w:val="0"/>
          <w:sz w:val="20"/>
          <w:szCs w:val="20"/>
        </w:rPr>
        <w:t>Sage</w:t>
      </w:r>
      <w:r>
        <w:rPr>
          <w:rFonts w:hint="default" w:ascii="Verdana" w:hAnsi="Verdana" w:eastAsia="SimSun" w:cs="Verdana"/>
          <w:b w:val="0"/>
          <w:i w:val="0"/>
          <w:caps w:val="0"/>
          <w:color w:val="000000"/>
          <w:spacing w:val="0"/>
          <w:sz w:val="20"/>
          <w:szCs w:val="20"/>
        </w:rPr>
        <w:t>. 60 (4), 522-537.</w:t>
      </w:r>
    </w:p>
    <w:p>
      <w:pPr>
        <w:rPr>
          <w:rFonts w:hint="default" w:ascii="Verdana" w:hAnsi="Verdana" w:eastAsia="SimSun" w:cs="Verdana"/>
          <w:b w:val="0"/>
          <w:i w:val="0"/>
          <w:caps w:val="0"/>
          <w:color w:val="000000"/>
          <w:spacing w:val="0"/>
          <w:sz w:val="20"/>
          <w:szCs w:val="20"/>
        </w:rPr>
      </w:pPr>
    </w:p>
    <w:p>
      <w:pPr>
        <w:rPr>
          <w:rFonts w:hint="default" w:ascii="Verdana" w:hAnsi="Verdana" w:eastAsia="SimSun" w:cs="Verdana"/>
          <w:b w:val="0"/>
          <w:i w:val="0"/>
          <w:caps w:val="0"/>
          <w:color w:val="000000"/>
          <w:spacing w:val="0"/>
          <w:sz w:val="20"/>
          <w:szCs w:val="20"/>
          <w:lang w:val="en-GB"/>
        </w:rPr>
      </w:pPr>
      <w:r>
        <w:rPr>
          <w:rFonts w:hint="default" w:ascii="Verdana" w:hAnsi="Verdana" w:eastAsia="SimSun" w:cs="Verdana"/>
          <w:b w:val="0"/>
          <w:i w:val="0"/>
          <w:caps w:val="0"/>
          <w:color w:val="000000"/>
          <w:spacing w:val="0"/>
          <w:sz w:val="20"/>
          <w:szCs w:val="20"/>
          <w:lang w:val="en-GB"/>
        </w:rPr>
        <w:t>Nationalcareerservice.2017.jobprofiles.available:https//nationalcareerservice.direct.gov.uk last accessed 01/02/2018</w:t>
      </w:r>
    </w:p>
    <w:p>
      <w:pPr>
        <w:rPr>
          <w:rFonts w:hint="default" w:ascii="Verdana" w:hAnsi="Verdana" w:eastAsia="SimSun" w:cs="Verdana"/>
          <w:b w:val="0"/>
          <w:i w:val="0"/>
          <w:caps w:val="0"/>
          <w:color w:val="000000"/>
          <w:spacing w:val="0"/>
          <w:sz w:val="20"/>
          <w:szCs w:val="20"/>
          <w:lang w:val="en-GB"/>
        </w:rPr>
      </w:pPr>
    </w:p>
    <w:p>
      <w:pPr>
        <w:rPr>
          <w:rFonts w:hint="default" w:ascii="Verdana" w:hAnsi="Verdana" w:eastAsia="SimSun" w:cs="Verdana"/>
          <w:b w:val="0"/>
          <w:i w:val="0"/>
          <w:caps w:val="0"/>
          <w:color w:val="000000"/>
          <w:spacing w:val="0"/>
          <w:sz w:val="20"/>
          <w:szCs w:val="20"/>
          <w:lang w:val="en-GB"/>
        </w:rPr>
      </w:pPr>
    </w:p>
    <w:p>
      <w:pPr>
        <w:rPr>
          <w:rFonts w:hint="default" w:ascii="Verdana" w:hAnsi="Verdana" w:eastAsia="SimSun" w:cs="Verdana"/>
          <w:b w:val="0"/>
          <w:i w:val="0"/>
          <w:caps w:val="0"/>
          <w:color w:val="000000"/>
          <w:spacing w:val="0"/>
          <w:sz w:val="20"/>
          <w:szCs w:val="20"/>
        </w:rPr>
      </w:pPr>
    </w:p>
    <w:p>
      <w:pPr>
        <w:rPr>
          <w:rFonts w:hint="default" w:ascii="Verdana" w:hAnsi="Verdana" w:eastAsia="SimSun" w:cs="Verdana"/>
          <w:b w:val="0"/>
          <w:i w:val="0"/>
          <w:caps w:val="0"/>
          <w:color w:val="000000"/>
          <w:spacing w:val="0"/>
          <w:sz w:val="20"/>
          <w:szCs w:val="20"/>
        </w:rPr>
      </w:pPr>
    </w:p>
    <w:p>
      <w:pPr>
        <w:rPr>
          <w:rFonts w:hint="default" w:ascii="Verdana" w:hAnsi="Verdana" w:eastAsia="SimSun" w:cs="Verdana"/>
          <w:b w:val="0"/>
          <w:i w:val="0"/>
          <w:caps w:val="0"/>
          <w:color w:val="000000"/>
          <w:spacing w:val="0"/>
          <w:sz w:val="20"/>
          <w:szCs w:val="20"/>
        </w:rPr>
      </w:pPr>
    </w:p>
    <w:p>
      <w:pPr>
        <w:rPr>
          <w:rFonts w:hint="default" w:ascii="Verdana" w:hAnsi="Verdana" w:eastAsia="SimSun" w:cs="Verdana"/>
          <w:b w:val="0"/>
          <w:i w:val="0"/>
          <w:caps w:val="0"/>
          <w:color w:val="000000"/>
          <w:spacing w:val="0"/>
          <w:sz w:val="20"/>
          <w:szCs w:val="20"/>
        </w:rPr>
      </w:pPr>
    </w:p>
    <w:p>
      <w:pPr>
        <w:rPr>
          <w:rFonts w:ascii="SimSun" w:hAnsi="SimSun" w:eastAsia="SimSun" w:cs="SimSun"/>
          <w:sz w:val="24"/>
          <w:szCs w:val="24"/>
        </w:rPr>
      </w:pPr>
      <w:r>
        <w:rPr>
          <w:rFonts w:ascii="SimSun" w:hAnsi="SimSun" w:eastAsia="SimSun" w:cs="SimSun"/>
          <w:sz w:val="24"/>
          <w:szCs w:val="24"/>
        </w:rPr>
        <w:t>Personal Evaluation – to support your academic progress, we are interested to read your own assessment of this work as a measure of your own effort and in order that we may comment on your strengths and weaknesses. Please ensure you complete this assessment before submitting your work.</w:t>
      </w:r>
    </w:p>
    <w:p>
      <w:pPr>
        <w:rPr>
          <w:rFonts w:ascii="SimSun" w:hAnsi="SimSun" w:eastAsia="SimSun" w:cs="SimSun"/>
          <w:sz w:val="24"/>
          <w:szCs w:val="24"/>
        </w:rPr>
      </w:pPr>
      <w:r>
        <w:rPr>
          <w:rFonts w:ascii="SimSun" w:hAnsi="SimSun" w:eastAsia="SimSun" w:cs="SimSun"/>
          <w:sz w:val="24"/>
          <w:szCs w:val="24"/>
        </w:rPr>
        <w:t xml:space="preserve"> What do you consider are the best aspects of this piece of work?</w:t>
      </w:r>
    </w:p>
    <w:p>
      <w:pPr>
        <w:rPr>
          <w:rFonts w:hint="default" w:ascii="Arial" w:hAnsi="Arial" w:eastAsia="SimSun" w:cs="Arial"/>
          <w:sz w:val="24"/>
          <w:szCs w:val="24"/>
          <w:lang w:val="en-GB"/>
        </w:rPr>
      </w:pPr>
      <w:r>
        <w:rPr>
          <w:rFonts w:hint="default" w:ascii="Arial" w:hAnsi="Arial" w:eastAsia="SimSun" w:cs="Arial"/>
          <w:sz w:val="24"/>
          <w:szCs w:val="24"/>
          <w:lang w:val="en-GB"/>
        </w:rPr>
        <w:t>Finding all the information regarding teh differnt types of careers and how much they all into link with each other</w:t>
      </w:r>
    </w:p>
    <w:p>
      <w:pPr>
        <w:rPr>
          <w:rFonts w:ascii="SimSun" w:hAnsi="SimSun" w:eastAsia="SimSun" w:cs="SimSun"/>
          <w:sz w:val="24"/>
          <w:szCs w:val="24"/>
          <w:lang w:val="en-GB"/>
        </w:rPr>
      </w:pPr>
    </w:p>
    <w:p>
      <w:pPr>
        <w:rPr>
          <w:rFonts w:ascii="SimSun" w:hAnsi="SimSun" w:eastAsia="SimSun" w:cs="SimSun"/>
          <w:sz w:val="24"/>
          <w:szCs w:val="24"/>
        </w:rPr>
      </w:pPr>
    </w:p>
    <w:p>
      <w:pPr>
        <w:rPr>
          <w:rFonts w:ascii="SimSun" w:hAnsi="SimSun" w:eastAsia="SimSun" w:cs="SimSun"/>
          <w:sz w:val="24"/>
          <w:szCs w:val="24"/>
        </w:rPr>
      </w:pPr>
      <w:r>
        <w:rPr>
          <w:rFonts w:ascii="SimSun" w:hAnsi="SimSun" w:eastAsia="SimSun" w:cs="SimSun"/>
          <w:sz w:val="24"/>
          <w:szCs w:val="24"/>
        </w:rPr>
        <w:t xml:space="preserve"> Which aspects do you consider could have been improved in this piece of work? </w:t>
      </w:r>
    </w:p>
    <w:p>
      <w:pPr>
        <w:rPr>
          <w:rFonts w:hint="default" w:ascii="Arial" w:hAnsi="Arial" w:eastAsia="SimSun" w:cs="Arial"/>
          <w:sz w:val="24"/>
          <w:szCs w:val="24"/>
          <w:lang w:val="en-GB"/>
        </w:rPr>
      </w:pPr>
      <w:r>
        <w:rPr>
          <w:rFonts w:hint="default" w:ascii="Arial" w:hAnsi="Arial" w:eastAsia="SimSun" w:cs="Arial"/>
          <w:sz w:val="24"/>
          <w:szCs w:val="24"/>
          <w:lang w:val="en-GB"/>
        </w:rPr>
        <w:t>Would of liked to of known some more information on certain parts of the information</w:t>
      </w:r>
    </w:p>
    <w:p>
      <w:pPr>
        <w:rPr>
          <w:rFonts w:ascii="SimSun" w:hAnsi="SimSun" w:eastAsia="SimSun" w:cs="SimSun"/>
          <w:sz w:val="24"/>
          <w:szCs w:val="24"/>
        </w:rPr>
      </w:pPr>
    </w:p>
    <w:p>
      <w:pPr>
        <w:rPr>
          <w:rFonts w:ascii="SimSun" w:hAnsi="SimSun" w:eastAsia="SimSun" w:cs="SimSun"/>
          <w:sz w:val="24"/>
          <w:szCs w:val="24"/>
        </w:rPr>
      </w:pPr>
      <w:r>
        <w:rPr>
          <w:rFonts w:ascii="SimSun" w:hAnsi="SimSun" w:eastAsia="SimSun" w:cs="SimSun"/>
          <w:sz w:val="24"/>
          <w:szCs w:val="24"/>
        </w:rPr>
        <w:t>What have you found most satisfying whilst undertaking this submission?</w:t>
      </w:r>
    </w:p>
    <w:p>
      <w:pPr>
        <w:rPr>
          <w:rFonts w:hint="default" w:ascii="Arial" w:hAnsi="Arial" w:eastAsia="SimSun" w:cs="Arial"/>
          <w:sz w:val="24"/>
          <w:szCs w:val="24"/>
          <w:lang w:val="en-GB"/>
        </w:rPr>
      </w:pPr>
      <w:r>
        <w:rPr>
          <w:rFonts w:hint="default" w:ascii="Arial" w:hAnsi="Arial" w:eastAsia="SimSun" w:cs="Arial"/>
          <w:sz w:val="24"/>
          <w:szCs w:val="24"/>
          <w:lang w:val="en-GB"/>
        </w:rPr>
        <w:t>It showing how much careers are there for each other no matter what their job is and background.</w:t>
      </w:r>
      <w:bookmarkStart w:id="0" w:name="_GoBack"/>
      <w:bookmarkEnd w:id="0"/>
    </w:p>
    <w:p>
      <w:pPr>
        <w:rPr>
          <w:rFonts w:hint="default" w:ascii="Verdana" w:hAnsi="Verdana" w:eastAsia="SimSun" w:cs="Verdana"/>
          <w:b w:val="0"/>
          <w:i w:val="0"/>
          <w:caps w:val="0"/>
          <w:color w:val="000000"/>
          <w:spacing w:val="0"/>
          <w:sz w:val="20"/>
          <w:szCs w:val="20"/>
          <w:lang w:val="en-GB"/>
        </w:rPr>
      </w:pPr>
    </w:p>
    <w:sectPr>
      <w:headerReference r:id="rId3" w:type="default"/>
      <w:footerReference r:id="rId4" w:type="default"/>
      <w:pgSz w:w="11906" w:h="16838"/>
      <w:pgMar w:top="1440" w:right="1440" w:bottom="1440" w:left="1440" w:header="709" w:footer="709"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43"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mbria">
    <w:panose1 w:val="02040503050406030204"/>
    <w:charset w:val="00"/>
    <w:family w:val="roman"/>
    <w:pitch w:val="default"/>
    <w:sig w:usb0="E00006FF" w:usb1="400004FF" w:usb2="00000000" w:usb3="00000000" w:csb0="2000019F" w:csb1="00000000"/>
  </w:font>
  <w:font w:name="Calibri">
    <w:panose1 w:val="020F0502020204030204"/>
    <w:charset w:val="86"/>
    <w:family w:val="swiss"/>
    <w:pitch w:val="default"/>
    <w:sig w:usb0="E0002AFF" w:usb1="C000247B" w:usb2="00000009" w:usb3="00000000" w:csb0="200001FF" w:csb1="00000000"/>
  </w:font>
  <w:font w:name="Calibri">
    <w:panose1 w:val="020F0502020204030204"/>
    <w:charset w:val="86"/>
    <w:family w:val="swiss"/>
    <w:pitch w:val="default"/>
    <w:sig w:usb0="E0002AFF" w:usb1="C000247B" w:usb2="00000009" w:usb3="00000000" w:csb0="200001FF" w:csb1="00000000"/>
  </w:font>
  <w:font w:name="Calibri Light">
    <w:panose1 w:val="020F0302020204030204"/>
    <w:charset w:val="00"/>
    <w:family w:val="swiss"/>
    <w:pitch w:val="default"/>
    <w:sig w:usb0="E0002AFF" w:usb1="C000247B" w:usb2="00000009" w:usb3="00000000" w:csb0="200001FF" w:csb1="00000000"/>
  </w:font>
  <w:font w:name="Calibri">
    <w:panose1 w:val="020F0502020204030204"/>
    <w:charset w:val="00"/>
    <w:family w:val="auto"/>
    <w:pitch w:val="default"/>
    <w:sig w:usb0="E0002AFF" w:usb1="C000247B" w:usb2="00000009" w:usb3="00000000" w:csb0="200001FF" w:csb1="00000000"/>
  </w:font>
  <w:font w:name="Verdana">
    <w:panose1 w:val="020B0604030504040204"/>
    <w:charset w:val="00"/>
    <w:family w:val="auto"/>
    <w:pitch w:val="default"/>
    <w:sig w:usb0="A10006FF" w:usb1="4000205B" w:usb2="00000010" w:usb3="00000000" w:csb0="2000019F" w:csb1="00000000"/>
  </w:font>
  <w:font w:name="PMingLiU-ExtB">
    <w:panose1 w:val="02020500000000000000"/>
    <w:charset w:val="88"/>
    <w:family w:val="auto"/>
    <w:pitch w:val="default"/>
    <w:sig w:usb0="8000002F" w:usb1="02000008" w:usb2="00000000" w:usb3="00000000" w:csb0="00100001" w:csb1="00000000"/>
  </w:font>
  <w:font w:name="Algerian">
    <w:panose1 w:val="04020705040A02060702"/>
    <w:charset w:val="00"/>
    <w:family w:val="auto"/>
    <w:pitch w:val="default"/>
    <w:sig w:usb0="00000003" w:usb1="00000000" w:usb2="00000000" w:usb3="00000000" w:csb0="20000001" w:csb1="00000000"/>
  </w:font>
  <w:font w:name="Arial Black">
    <w:panose1 w:val="020B0A04020102020204"/>
    <w:charset w:val="00"/>
    <w:family w:val="auto"/>
    <w:pitch w:val="default"/>
    <w:sig w:usb0="A00002AF" w:usb1="400078FB" w:usb2="00000000" w:usb3="00000000" w:csb0="6000009F" w:csb1="DFD70000"/>
  </w:font>
  <w:font w:name="MS Gothic">
    <w:panose1 w:val="020B0609070205080204"/>
    <w:charset w:val="80"/>
    <w:family w:val="auto"/>
    <w:pitch w:val="default"/>
    <w:sig w:usb0="E00002FF" w:usb1="6AC7FDFB" w:usb2="08000012" w:usb3="00000000" w:csb0="4002009F" w:csb1="DFD70000"/>
  </w:font>
  <w:font w:name="Yu Gothic UI Light">
    <w:panose1 w:val="020B0300000000000000"/>
    <w:charset w:val="80"/>
    <w:family w:val="auto"/>
    <w:pitch w:val="default"/>
    <w:sig w:usb0="E00002FF" w:usb1="2AC7FDFF" w:usb2="00000016" w:usb3="00000000" w:csb0="2002009F" w:csb1="00000000"/>
  </w:font>
  <w:font w:name="Yu Gothic UI">
    <w:panose1 w:val="020B0500000000000000"/>
    <w:charset w:val="80"/>
    <w:family w:val="auto"/>
    <w:pitch w:val="default"/>
    <w:sig w:usb0="E00002FF" w:usb1="2AC7FDFF" w:usb2="00000016" w:usb3="00000000" w:csb0="2002009F" w:csb1="00000000"/>
  </w:font>
  <w:font w:name="Yu Gothic Medium">
    <w:panose1 w:val="020B0500000000000000"/>
    <w:charset w:val="80"/>
    <w:family w:val="auto"/>
    <w:pitch w:val="default"/>
    <w:sig w:usb0="E00002FF" w:usb1="2AC7FDFF" w:usb2="00000016" w:usb3="00000000" w:csb0="2002009F" w:csb1="00000000"/>
  </w:font>
  <w:font w:name="Yu Gothic Light">
    <w:panose1 w:val="020B0300000000000000"/>
    <w:charset w:val="80"/>
    <w:family w:val="auto"/>
    <w:pitch w:val="default"/>
    <w:sig w:usb0="E00002FF" w:usb1="2AC7FDFF" w:usb2="00000016" w:usb3="00000000" w:csb0="2002009F" w:csb1="00000000"/>
  </w:font>
  <w:font w:name="Yu Gothic">
    <w:panose1 w:val="020B0400000000000000"/>
    <w:charset w:val="80"/>
    <w:family w:val="auto"/>
    <w:pitch w:val="default"/>
    <w:sig w:usb0="E00002FF" w:usb1="2AC7FDFF" w:usb2="00000016" w:usb3="00000000" w:csb0="2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341231303"/>
    </w:sdtPr>
    <w:sdtContent>
      <w:p>
        <w:pPr>
          <w:pStyle w:val="2"/>
          <w:jc w:val="right"/>
        </w:pPr>
        <w:r>
          <w:fldChar w:fldCharType="begin"/>
        </w:r>
        <w:r>
          <w:instrText xml:space="preserve"> PAGE   \* MERGEFORMAT </w:instrText>
        </w:r>
        <w:r>
          <w:fldChar w:fldCharType="separate"/>
        </w:r>
        <w:r>
          <w:t>3</w:t>
        </w:r>
        <w:r>
          <w:fldChar w:fldCharType="end"/>
        </w:r>
      </w:p>
    </w:sdtContent>
  </w:sdt>
  <w:p>
    <w:pPr>
      <w:pStyle w:val="2"/>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r>
      <w:t>P146895</w:t>
    </w:r>
    <w:r>
      <w:ptab w:relativeTo="margin" w:alignment="center" w:leader="none"/>
    </w:r>
    <w:r>
      <w:t>Amy Earles</w:t>
    </w:r>
    <w:r>
      <w:ptab w:relativeTo="margin" w:alignment="right" w:leader="none"/>
    </w:r>
    <w:sdt>
      <w:sdtPr>
        <w:id w:val="968859952"/>
        <w:placeholder>
          <w:docPart w:val="38CFD847A0844A9EB49A026685860F61"/>
        </w:placeholder>
        <w:temporary/>
        <w:showingPlcHdr/>
        <w15:appearance w15:val="hidden"/>
      </w:sdtPr>
      <w:sdtContent>
        <w:r>
          <w:t>[Type here]</w:t>
        </w:r>
      </w:sdtContent>
    </w:sdt>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compat>
    <w:doNotExpandShiftReturn/>
    <w:doNotWrapTextWithPunct/>
    <w:doNotUseEastAsianBreakRules/>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0DBE"/>
    <w:rsid w:val="0004310E"/>
    <w:rsid w:val="000F5587"/>
    <w:rsid w:val="00110DBE"/>
    <w:rsid w:val="002F23D5"/>
    <w:rsid w:val="00334D6A"/>
    <w:rsid w:val="005711B9"/>
    <w:rsid w:val="006F2101"/>
    <w:rsid w:val="00734B4E"/>
    <w:rsid w:val="009E748F"/>
    <w:rsid w:val="009F4C22"/>
    <w:rsid w:val="00AA43DD"/>
    <w:rsid w:val="00FE261C"/>
    <w:rsid w:val="0E8C76CE"/>
    <w:rsid w:val="696829C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semiHidden="0"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480" w:lineRule="auto"/>
    </w:pPr>
    <w:rPr>
      <w:rFonts w:asciiTheme="minorHAnsi" w:hAnsiTheme="minorHAnsi" w:eastAsiaTheme="minorHAnsi" w:cstheme="minorBidi"/>
      <w:sz w:val="22"/>
      <w:szCs w:val="22"/>
      <w:lang w:val="en-GB" w:eastAsia="en-US" w:bidi="ar-SA"/>
    </w:rPr>
  </w:style>
  <w:style w:type="character" w:default="1" w:styleId="4">
    <w:name w:val="Default Paragraph Font"/>
    <w:unhideWhenUsed/>
    <w:qFormat/>
    <w:uiPriority w:val="1"/>
  </w:style>
  <w:style w:type="table" w:default="1" w:styleId="5">
    <w:name w:val="Normal Table"/>
    <w:unhideWhenUsed/>
    <w:qFormat/>
    <w:uiPriority w:val="99"/>
    <w:tblPr>
      <w:tblLayout w:type="fixed"/>
      <w:tblCellMar>
        <w:top w:w="0" w:type="dxa"/>
        <w:left w:w="108" w:type="dxa"/>
        <w:bottom w:w="0" w:type="dxa"/>
        <w:right w:w="108" w:type="dxa"/>
      </w:tblCellMar>
    </w:tblPr>
  </w:style>
  <w:style w:type="paragraph" w:styleId="2">
    <w:name w:val="footer"/>
    <w:basedOn w:val="1"/>
    <w:link w:val="7"/>
    <w:unhideWhenUsed/>
    <w:uiPriority w:val="99"/>
    <w:pPr>
      <w:tabs>
        <w:tab w:val="center" w:pos="4513"/>
        <w:tab w:val="right" w:pos="9026"/>
      </w:tabs>
      <w:spacing w:after="0" w:line="240" w:lineRule="auto"/>
    </w:pPr>
  </w:style>
  <w:style w:type="paragraph" w:styleId="3">
    <w:name w:val="header"/>
    <w:basedOn w:val="1"/>
    <w:link w:val="6"/>
    <w:unhideWhenUsed/>
    <w:qFormat/>
    <w:uiPriority w:val="99"/>
    <w:pPr>
      <w:tabs>
        <w:tab w:val="center" w:pos="4513"/>
        <w:tab w:val="right" w:pos="9026"/>
      </w:tabs>
      <w:spacing w:after="0" w:line="240" w:lineRule="auto"/>
    </w:pPr>
  </w:style>
  <w:style w:type="character" w:customStyle="1" w:styleId="6">
    <w:name w:val="Header Char"/>
    <w:basedOn w:val="4"/>
    <w:link w:val="3"/>
    <w:qFormat/>
    <w:uiPriority w:val="99"/>
  </w:style>
  <w:style w:type="character" w:customStyle="1" w:styleId="7">
    <w:name w:val="Footer Char"/>
    <w:basedOn w:val="4"/>
    <w:link w:val="2"/>
    <w:qFormat/>
    <w:uiPriority w:val="99"/>
  </w:style>
</w:style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38CFD847A0844A9EB49A026685860F61"/>
        <w:style w:val=""/>
        <w:category>
          <w:name w:val="General"/>
          <w:gallery w:val="placeholder"/>
        </w:category>
        <w:types>
          <w:type w:val="bbPlcHdr"/>
        </w:types>
        <w:behaviors>
          <w:behavior w:val="content"/>
        </w:behaviors>
        <w:description w:val=""/>
        <w:guid w:val="{6692D9F4-CF24-42F6-BB0D-11B9E4CF4D29}"/>
      </w:docPartPr>
      <w:docPartBody>
        <w:p>
          <w:pPr>
            <w:pStyle w:val="4"/>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43"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mbria">
    <w:panose1 w:val="02040503050406030204"/>
    <w:charset w:val="00"/>
    <w:family w:val="roman"/>
    <w:pitch w:val="default"/>
    <w:sig w:usb0="E00006FF" w:usb1="400004FF" w:usb2="00000000" w:usb3="00000000" w:csb0="2000019F" w:csb1="00000000"/>
  </w:font>
  <w:font w:name="Calibri">
    <w:panose1 w:val="020F0502020204030204"/>
    <w:charset w:val="00"/>
    <w:family w:val="swiss"/>
    <w:pitch w:val="default"/>
    <w:sig w:usb0="E0002AFF" w:usb1="C000247B" w:usb2="00000009" w:usb3="00000000" w:csb0="200001FF" w:csb1="00000000"/>
  </w:font>
  <w:font w:name="等线">
    <w:altName w:val="SimSun"/>
    <w:panose1 w:val="00000000000000000000"/>
    <w:charset w:val="86"/>
    <w:family w:val="auto"/>
    <w:pitch w:val="default"/>
    <w:sig w:usb0="00000000" w:usb1="00000000" w:usb2="00000000" w:usb3="00000000" w:csb0="00000000" w:csb1="00000000"/>
  </w:font>
  <w:font w:name="Calibri Light">
    <w:panose1 w:val="020F0302020204030204"/>
    <w:charset w:val="00"/>
    <w:family w:val="swiss"/>
    <w:pitch w:val="default"/>
    <w:sig w:usb0="E0002AFF" w:usb1="C000247B" w:usb2="00000009" w:usb3="00000000" w:csb0="200001FF" w:csb1="00000000"/>
  </w:font>
  <w:font w:name="等线">
    <w:altName w:val="SimSun"/>
    <w:panose1 w:val="00000000000000000000"/>
    <w:charset w:val="86"/>
    <w:family w:val="auto"/>
    <w:pitch w:val="default"/>
    <w:sig w:usb0="00000000" w:usb1="00000000" w:usb2="00000000" w:usb3="00000000" w:csb0="00000000"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05D4"/>
    <w:rsid w:val="009F05D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iPriority="1" w:semiHidden="0" w:name="Default Paragraph Font"/>
    <w:lsdException w:uiPriority="99" w:semiHidden="0" w:name="Normal Table"/>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GB" w:eastAsia="en-GB" w:bidi="ar-SA"/>
    </w:rPr>
  </w:style>
  <w:style w:type="character" w:default="1" w:styleId="2">
    <w:name w:val="Default Paragraph Font"/>
    <w:unhideWhenUsed/>
    <w:qFormat/>
    <w:uiPriority w:val="1"/>
  </w:style>
  <w:style w:type="table" w:default="1" w:styleId="3">
    <w:name w:val="Normal Table"/>
    <w:unhideWhenUsed/>
    <w:uiPriority w:val="99"/>
    <w:tblPr>
      <w:tblLayout w:type="fixed"/>
      <w:tblCellMar>
        <w:top w:w="0" w:type="dxa"/>
        <w:left w:w="108" w:type="dxa"/>
        <w:bottom w:w="0" w:type="dxa"/>
        <w:right w:w="108" w:type="dxa"/>
      </w:tblCellMar>
    </w:tblPr>
  </w:style>
  <w:style w:type="paragraph" w:customStyle="1" w:styleId="4">
    <w:name w:val="38CFD847A0844A9EB49A026685860F61"/>
    <w:uiPriority w:val="0"/>
    <w:pPr>
      <w:spacing w:after="160" w:line="259" w:lineRule="auto"/>
    </w:pPr>
    <w:rPr>
      <w:rFonts w:asciiTheme="minorHAnsi" w:hAnsiTheme="minorHAnsi" w:eastAsiaTheme="minorEastAsia" w:cstheme="minorBidi"/>
      <w:sz w:val="22"/>
      <w:szCs w:val="22"/>
      <w:lang w:val="en-GB" w:eastAsia="en-GB" w:bidi="ar-SA"/>
    </w:rPr>
  </w:style>
</w:styl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4</Pages>
  <Words>843</Words>
  <Characters>4810</Characters>
  <Lines>40</Lines>
  <Paragraphs>11</Paragraphs>
  <ScaleCrop>false</ScaleCrop>
  <LinksUpToDate>false</LinksUpToDate>
  <CharactersWithSpaces>5642</CharactersWithSpaces>
  <Application>WPS Office_10.2.0.5965_F1E327BC-269C-435d-A152-05C5408002CA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2018-02-27T17:51:00Z</dcterms:created>
  <dc:creator>RM</dc:creator>
  <cp:lastModifiedBy>RM</cp:lastModifiedBy>
  <dcterms:modified xsi:type="dcterms:W3CDTF">2018-03-02T15:17:36Z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2057-10.2.0.5965</vt:lpwstr>
  </property>
</Properties>
</file>