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288A" w:rsidRPr="0078288A" w:rsidRDefault="0078288A" w:rsidP="0078288A">
      <w:pPr>
        <w:spacing w:before="100" w:beforeAutospacing="1" w:after="100" w:afterAutospacing="1" w:line="240" w:lineRule="auto"/>
        <w:outlineLvl w:val="0"/>
        <w:rPr>
          <w:rFonts w:ascii="Arial" w:eastAsia="Times New Roman" w:hAnsi="Arial" w:cs="Arial"/>
          <w:b/>
          <w:bCs/>
          <w:color w:val="4D3069"/>
          <w:kern w:val="36"/>
          <w:sz w:val="48"/>
          <w:szCs w:val="48"/>
          <w:lang w:eastAsia="en-GB"/>
        </w:rPr>
      </w:pPr>
      <w:r w:rsidRPr="0078288A">
        <w:rPr>
          <w:rFonts w:ascii="Arial" w:eastAsia="Times New Roman" w:hAnsi="Arial" w:cs="Arial"/>
          <w:b/>
          <w:bCs/>
          <w:color w:val="4D3069"/>
          <w:kern w:val="36"/>
          <w:sz w:val="48"/>
          <w:szCs w:val="48"/>
          <w:lang w:eastAsia="en-GB"/>
        </w:rPr>
        <w:t>Key dilapidations issues</w:t>
      </w:r>
    </w:p>
    <w:p w:rsidR="0078288A" w:rsidRPr="0078288A" w:rsidRDefault="0078288A" w:rsidP="0078288A">
      <w:pPr>
        <w:spacing w:before="100" w:beforeAutospacing="1" w:after="100" w:afterAutospacing="1" w:line="240" w:lineRule="auto"/>
        <w:outlineLvl w:val="1"/>
        <w:rPr>
          <w:rFonts w:ascii="Arial" w:eastAsia="Times New Roman" w:hAnsi="Arial" w:cs="Arial"/>
          <w:b/>
          <w:bCs/>
          <w:color w:val="002147"/>
          <w:sz w:val="36"/>
          <w:szCs w:val="36"/>
          <w:lang w:eastAsia="en-GB"/>
        </w:rPr>
      </w:pPr>
      <w:r w:rsidRPr="0078288A">
        <w:rPr>
          <w:rFonts w:ascii="Arial" w:eastAsia="Times New Roman" w:hAnsi="Arial" w:cs="Arial"/>
          <w:b/>
          <w:bCs/>
          <w:color w:val="002147"/>
          <w:sz w:val="36"/>
          <w:szCs w:val="36"/>
          <w:lang w:eastAsia="en-GB"/>
        </w:rPr>
        <w:t>Repair</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Determining in any one case whether actual disrepair has occurred is probably the most complex area in dilapidations. </w:t>
      </w:r>
      <w:hyperlink r:id="rId5" w:history="1">
        <w:r w:rsidRPr="0078288A">
          <w:rPr>
            <w:rFonts w:ascii="Arial" w:eastAsia="Times New Roman" w:hAnsi="Arial" w:cs="Arial"/>
            <w:color w:val="684F80"/>
            <w:sz w:val="24"/>
            <w:szCs w:val="24"/>
            <w:lang w:eastAsia="en-GB"/>
          </w:rPr>
          <w:t>Dowding and Reynolds</w:t>
        </w:r>
      </w:hyperlink>
      <w:r w:rsidRPr="0078288A">
        <w:rPr>
          <w:rFonts w:ascii="Arial" w:eastAsia="Times New Roman" w:hAnsi="Arial" w:cs="Arial"/>
          <w:color w:val="36424A"/>
          <w:sz w:val="24"/>
          <w:szCs w:val="24"/>
          <w:lang w:eastAsia="en-GB"/>
        </w:rPr>
        <w:t> recommend working through a five-part analysis which provides an excellent method of establishing the existence of disrepair:</w:t>
      </w:r>
    </w:p>
    <w:p w:rsidR="0078288A" w:rsidRPr="0078288A" w:rsidRDefault="0078288A" w:rsidP="0078288A">
      <w:pPr>
        <w:numPr>
          <w:ilvl w:val="0"/>
          <w:numId w:val="1"/>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What is the physical subject matter of the covenant?</w:t>
      </w:r>
    </w:p>
    <w:p w:rsidR="0078288A" w:rsidRPr="0078288A" w:rsidRDefault="0078288A" w:rsidP="0078288A">
      <w:pPr>
        <w:numPr>
          <w:ilvl w:val="0"/>
          <w:numId w:val="1"/>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Is the subject matter in a damaged or deteriorated condition?</w:t>
      </w:r>
    </w:p>
    <w:p w:rsidR="0078288A" w:rsidRPr="0078288A" w:rsidRDefault="0078288A" w:rsidP="0078288A">
      <w:pPr>
        <w:numPr>
          <w:ilvl w:val="0"/>
          <w:numId w:val="1"/>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Is the nature of the damage or deterioration such as to bring the condition of the subject matter below the standard contemplated by the covenant?</w:t>
      </w:r>
    </w:p>
    <w:p w:rsidR="0078288A" w:rsidRPr="0078288A" w:rsidRDefault="0078288A" w:rsidP="0078288A">
      <w:pPr>
        <w:numPr>
          <w:ilvl w:val="0"/>
          <w:numId w:val="1"/>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What work is necessary in order to put the subject matter of the covenant into the contemplated condition?</w:t>
      </w:r>
    </w:p>
    <w:p w:rsidR="0078288A" w:rsidRPr="0078288A" w:rsidRDefault="0078288A" w:rsidP="0078288A">
      <w:pPr>
        <w:numPr>
          <w:ilvl w:val="0"/>
          <w:numId w:val="1"/>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Is that work nonetheless of such a nature that the parties did not contemplate that it would be the liability of the covenant party?</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i/>
          <w:iCs/>
          <w:color w:val="36424A"/>
          <w:sz w:val="24"/>
          <w:szCs w:val="24"/>
          <w:lang w:eastAsia="en-GB"/>
        </w:rPr>
        <w:t>The authors and publisher wish to thank Messrs Dowding and Reynolds for permission to reproduce the above material</w:t>
      </w:r>
      <w:r w:rsidRPr="0078288A">
        <w:rPr>
          <w:rFonts w:ascii="Arial" w:eastAsia="Times New Roman" w:hAnsi="Arial" w:cs="Arial"/>
          <w:color w:val="36424A"/>
          <w:sz w:val="24"/>
          <w:szCs w:val="24"/>
          <w:lang w:eastAsia="en-GB"/>
        </w:rPr>
        <w:t>.</w:t>
      </w:r>
    </w:p>
    <w:p w:rsidR="0078288A" w:rsidRPr="0078288A" w:rsidRDefault="0078288A" w:rsidP="0078288A">
      <w:pPr>
        <w:spacing w:before="100" w:beforeAutospacing="1" w:after="100" w:afterAutospacing="1" w:line="240" w:lineRule="auto"/>
        <w:outlineLvl w:val="2"/>
        <w:rPr>
          <w:rFonts w:ascii="Arial" w:eastAsia="Times New Roman" w:hAnsi="Arial" w:cs="Arial"/>
          <w:b/>
          <w:bCs/>
          <w:color w:val="36424A"/>
          <w:sz w:val="27"/>
          <w:szCs w:val="27"/>
          <w:lang w:eastAsia="en-GB"/>
        </w:rPr>
      </w:pPr>
      <w:r w:rsidRPr="0078288A">
        <w:rPr>
          <w:rFonts w:ascii="Arial" w:eastAsia="Times New Roman" w:hAnsi="Arial" w:cs="Arial"/>
          <w:b/>
          <w:bCs/>
          <w:color w:val="36424A"/>
          <w:sz w:val="27"/>
          <w:szCs w:val="27"/>
          <w:lang w:eastAsia="en-GB"/>
        </w:rPr>
        <w:t>1. What is the physical subject matter of the covenant?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Identifying the physical extent of the demised property to which the terms of the lease relate is a crucial part in the dilapidations process but is not always straightforward.</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Where a whole building is let by the lease, the task of identifying the physical extent of the building should be straightforward. However, where the demise is only part of the building there is greater scope for confusion or ambiguity, as the lease will describe those parts of the building that are demised and, either expressly or by implication, those that are retained by the landlord. There may also be parts of the demise that are specifically excluded from the tenant’s obligations (such as pipes serving the whole building that happen to pass through the demised area).</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If there is a plan of the building this may be considered when interpreting the lease. However, care must be taken when doing so - as a rule, the plan should only serve as an aid to the interpretation, unless there are clear words to the contrary, in which case the plan will take precedence over the words used to describe the demise.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Sometimes the lease leaves an issue unresolved, for example, whether window frames are demised. Moreover, while a particular part of a building may be referred to as part of the demise, the item concerned may be made up of a number of constituent parts and there may be confusion over the extent of the building incorporated in the demise. For example, where window frames are specifically demised to the tenant will this also include a responsibility for the glass within them?</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lastRenderedPageBreak/>
        <w:t>Where there is uncertainty one must examine the precise, individual circumstances of the case. In </w:t>
      </w:r>
      <w:hyperlink r:id="rId6" w:history="1">
        <w:r w:rsidRPr="0078288A">
          <w:rPr>
            <w:rFonts w:ascii="Arial" w:eastAsia="Times New Roman" w:hAnsi="Arial" w:cs="Arial"/>
            <w:color w:val="684F80"/>
            <w:sz w:val="24"/>
            <w:szCs w:val="24"/>
            <w:lang w:eastAsia="en-GB"/>
          </w:rPr>
          <w:t xml:space="preserve">Dr A T Ibrahim v </w:t>
        </w:r>
        <w:proofErr w:type="spellStart"/>
        <w:r w:rsidRPr="0078288A">
          <w:rPr>
            <w:rFonts w:ascii="Arial" w:eastAsia="Times New Roman" w:hAnsi="Arial" w:cs="Arial"/>
            <w:color w:val="684F80"/>
            <w:sz w:val="24"/>
            <w:szCs w:val="24"/>
            <w:lang w:eastAsia="en-GB"/>
          </w:rPr>
          <w:t>Dovecorn</w:t>
        </w:r>
        <w:proofErr w:type="spellEnd"/>
        <w:r w:rsidRPr="0078288A">
          <w:rPr>
            <w:rFonts w:ascii="Arial" w:eastAsia="Times New Roman" w:hAnsi="Arial" w:cs="Arial"/>
            <w:color w:val="684F80"/>
            <w:sz w:val="24"/>
            <w:szCs w:val="24"/>
            <w:lang w:eastAsia="en-GB"/>
          </w:rPr>
          <w:t xml:space="preserve"> Reversions &amp; Others [2001] 30 EG 116</w:t>
        </w:r>
      </w:hyperlink>
      <w:r w:rsidRPr="0078288A">
        <w:rPr>
          <w:rFonts w:ascii="Arial" w:eastAsia="Times New Roman" w:hAnsi="Arial" w:cs="Arial"/>
          <w:color w:val="36424A"/>
          <w:sz w:val="24"/>
          <w:szCs w:val="24"/>
          <w:lang w:eastAsia="en-GB"/>
        </w:rPr>
        <w:t> the court had to decide whether a roof terrace demised to and enjoyed by a flat owner was part of the ‘roof’ for which the landlord had responsibility. On the facts of that case, the landlord had responsibility. However, in </w:t>
      </w:r>
      <w:hyperlink r:id="rId7" w:history="1">
        <w:r w:rsidRPr="0078288A">
          <w:rPr>
            <w:rFonts w:ascii="Arial" w:eastAsia="Times New Roman" w:hAnsi="Arial" w:cs="Arial"/>
            <w:color w:val="684F80"/>
            <w:sz w:val="24"/>
            <w:szCs w:val="24"/>
            <w:lang w:eastAsia="en-GB"/>
          </w:rPr>
          <w:t xml:space="preserve">George </w:t>
        </w:r>
        <w:proofErr w:type="spellStart"/>
        <w:r w:rsidRPr="0078288A">
          <w:rPr>
            <w:rFonts w:ascii="Arial" w:eastAsia="Times New Roman" w:hAnsi="Arial" w:cs="Arial"/>
            <w:color w:val="684F80"/>
            <w:sz w:val="24"/>
            <w:szCs w:val="24"/>
            <w:lang w:eastAsia="en-GB"/>
          </w:rPr>
          <w:t>Petersson</w:t>
        </w:r>
        <w:proofErr w:type="spellEnd"/>
        <w:r w:rsidRPr="0078288A">
          <w:rPr>
            <w:rFonts w:ascii="Arial" w:eastAsia="Times New Roman" w:hAnsi="Arial" w:cs="Arial"/>
            <w:color w:val="684F80"/>
            <w:sz w:val="24"/>
            <w:szCs w:val="24"/>
            <w:lang w:eastAsia="en-GB"/>
          </w:rPr>
          <w:t xml:space="preserve"> and Others v Pitt Place (Epsom) Ltd [2001] EGCS 13</w:t>
        </w:r>
      </w:hyperlink>
      <w:r w:rsidRPr="0078288A">
        <w:rPr>
          <w:rFonts w:ascii="Arial" w:eastAsia="Times New Roman" w:hAnsi="Arial" w:cs="Arial"/>
          <w:color w:val="36424A"/>
          <w:sz w:val="24"/>
          <w:szCs w:val="24"/>
          <w:lang w:eastAsia="en-GB"/>
        </w:rPr>
        <w:t>, there were overlapping obligations. On the facts of that case, the court decided that the tenant was responsible for the repair of the roof terrace.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For a detailed analysis of the problems and issues that have arisen in this area generally, and in relation to particular parts of a building, see chapter 7 of </w:t>
      </w:r>
      <w:hyperlink r:id="rId8" w:history="1">
        <w:r w:rsidRPr="0078288A">
          <w:rPr>
            <w:rFonts w:ascii="Arial" w:eastAsia="Times New Roman" w:hAnsi="Arial" w:cs="Arial"/>
            <w:color w:val="684F80"/>
            <w:sz w:val="24"/>
            <w:szCs w:val="24"/>
            <w:lang w:eastAsia="en-GB"/>
          </w:rPr>
          <w:t>Dilapidations – The Law and Practice (4th edition)</w:t>
        </w:r>
      </w:hyperlink>
      <w:r w:rsidRPr="0078288A">
        <w:rPr>
          <w:rFonts w:ascii="Arial" w:eastAsia="Times New Roman" w:hAnsi="Arial" w:cs="Arial"/>
          <w:color w:val="36424A"/>
          <w:sz w:val="24"/>
          <w:szCs w:val="24"/>
          <w:lang w:eastAsia="en-GB"/>
        </w:rPr>
        <w: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Leases and tenancy agreements should be specific to particular areas of property. In the same way that the inspection must include all demised areas and not include areas additional to those demised, the items recorded in the schedule must reflect precisely the extent of the property for which the tenant has responsibility.</w:t>
      </w:r>
    </w:p>
    <w:p w:rsidR="0078288A" w:rsidRPr="0078288A" w:rsidRDefault="0078288A" w:rsidP="0078288A">
      <w:pPr>
        <w:spacing w:before="100" w:beforeAutospacing="1" w:after="100" w:afterAutospacing="1" w:line="240" w:lineRule="auto"/>
        <w:outlineLvl w:val="2"/>
        <w:rPr>
          <w:rFonts w:ascii="Arial" w:eastAsia="Times New Roman" w:hAnsi="Arial" w:cs="Arial"/>
          <w:b/>
          <w:bCs/>
          <w:color w:val="36424A"/>
          <w:sz w:val="27"/>
          <w:szCs w:val="27"/>
          <w:lang w:eastAsia="en-GB"/>
        </w:rPr>
      </w:pPr>
      <w:r w:rsidRPr="0078288A">
        <w:rPr>
          <w:rFonts w:ascii="Arial" w:eastAsia="Times New Roman" w:hAnsi="Arial" w:cs="Arial"/>
          <w:b/>
          <w:bCs/>
          <w:color w:val="36424A"/>
          <w:sz w:val="27"/>
          <w:szCs w:val="27"/>
          <w:lang w:eastAsia="en-GB"/>
        </w:rPr>
        <w:t>2. Is the subject matter in a damaged or deteriorated condition?</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Case law (for example, </w:t>
      </w:r>
      <w:hyperlink r:id="rId9" w:history="1">
        <w:r w:rsidRPr="0078288A">
          <w:rPr>
            <w:rFonts w:ascii="Arial" w:eastAsia="Times New Roman" w:hAnsi="Arial" w:cs="Arial"/>
            <w:color w:val="684F80"/>
            <w:sz w:val="24"/>
            <w:szCs w:val="24"/>
            <w:lang w:eastAsia="en-GB"/>
          </w:rPr>
          <w:t>Quick v Taff-Ely Borough Council</w:t>
        </w:r>
      </w:hyperlink>
      <w:r w:rsidRPr="0078288A">
        <w:rPr>
          <w:rFonts w:ascii="Arial" w:eastAsia="Times New Roman" w:hAnsi="Arial" w:cs="Arial"/>
          <w:color w:val="36424A"/>
          <w:sz w:val="24"/>
          <w:szCs w:val="24"/>
          <w:lang w:eastAsia="en-GB"/>
        </w:rPr>
        <w:t> and </w:t>
      </w:r>
      <w:hyperlink r:id="rId10" w:history="1">
        <w:r w:rsidRPr="0078288A">
          <w:rPr>
            <w:rFonts w:ascii="Arial" w:eastAsia="Times New Roman" w:hAnsi="Arial" w:cs="Arial"/>
            <w:color w:val="684F80"/>
            <w:sz w:val="24"/>
            <w:szCs w:val="24"/>
            <w:lang w:eastAsia="en-GB"/>
          </w:rPr>
          <w:t>Post Office v Aquarius Properties</w:t>
        </w:r>
      </w:hyperlink>
      <w:r w:rsidRPr="0078288A">
        <w:rPr>
          <w:rFonts w:ascii="Arial" w:eastAsia="Times New Roman" w:hAnsi="Arial" w:cs="Arial"/>
          <w:color w:val="36424A"/>
          <w:sz w:val="24"/>
          <w:szCs w:val="24"/>
          <w:lang w:eastAsia="en-GB"/>
        </w:rPr>
        <w:t>) requires that the item in question must have deteriorated from a previous physical state for there to be a breach of covenant to keep in repair or good condition. This is particularly relevant when considering items such as </w:t>
      </w:r>
      <w:hyperlink r:id="rId11" w:history="1">
        <w:r w:rsidRPr="0078288A">
          <w:rPr>
            <w:rFonts w:ascii="Arial" w:eastAsia="Times New Roman" w:hAnsi="Arial" w:cs="Arial"/>
            <w:color w:val="684F80"/>
            <w:sz w:val="24"/>
            <w:szCs w:val="24"/>
            <w:lang w:eastAsia="en-GB"/>
          </w:rPr>
          <w:t>asbestos</w:t>
        </w:r>
      </w:hyperlink>
      <w:r w:rsidRPr="0078288A">
        <w:rPr>
          <w:rFonts w:ascii="Arial" w:eastAsia="Times New Roman" w:hAnsi="Arial" w:cs="Arial"/>
          <w:color w:val="36424A"/>
          <w:sz w:val="24"/>
          <w:szCs w:val="24"/>
          <w:lang w:eastAsia="en-GB"/>
        </w:rPr>
        <w:t>, as the mere presence of such an item does not represent a breach of a repairing covenant even though it is known to be dangerous under certain circumstances. The material must have deteriorated from the state in which it would have been found at the time the lease commenced for there to be a breach of a repairing covenant, assuming it had been properly maintained up to that time.</w:t>
      </w:r>
    </w:p>
    <w:p w:rsidR="0078288A" w:rsidRPr="0078288A" w:rsidRDefault="0078288A" w:rsidP="0078288A">
      <w:pPr>
        <w:spacing w:before="100" w:beforeAutospacing="1" w:after="100" w:afterAutospacing="1" w:line="240" w:lineRule="auto"/>
        <w:outlineLvl w:val="2"/>
        <w:rPr>
          <w:rFonts w:ascii="Arial" w:eastAsia="Times New Roman" w:hAnsi="Arial" w:cs="Arial"/>
          <w:b/>
          <w:bCs/>
          <w:color w:val="36424A"/>
          <w:sz w:val="27"/>
          <w:szCs w:val="27"/>
          <w:lang w:eastAsia="en-GB"/>
        </w:rPr>
      </w:pPr>
      <w:r w:rsidRPr="0078288A">
        <w:rPr>
          <w:rFonts w:ascii="Arial" w:eastAsia="Times New Roman" w:hAnsi="Arial" w:cs="Arial"/>
          <w:b/>
          <w:bCs/>
          <w:color w:val="36424A"/>
          <w:sz w:val="27"/>
          <w:szCs w:val="27"/>
          <w:lang w:eastAsia="en-GB"/>
        </w:rPr>
        <w:t>3. Is the nature of the damage or deterioration such as to bring the condition of the subject matter below the standard contemplated by the covenant?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Cases such as </w:t>
      </w:r>
      <w:hyperlink r:id="rId12" w:history="1">
        <w:r w:rsidRPr="0078288A">
          <w:rPr>
            <w:rFonts w:ascii="Arial" w:eastAsia="Times New Roman" w:hAnsi="Arial" w:cs="Arial"/>
            <w:color w:val="684F80"/>
            <w:sz w:val="24"/>
            <w:szCs w:val="24"/>
            <w:lang w:eastAsia="en-GB"/>
          </w:rPr>
          <w:t>Proudfoot v Hart</w:t>
        </w:r>
      </w:hyperlink>
      <w:r w:rsidRPr="0078288A">
        <w:rPr>
          <w:rFonts w:ascii="Arial" w:eastAsia="Times New Roman" w:hAnsi="Arial" w:cs="Arial"/>
          <w:color w:val="36424A"/>
          <w:sz w:val="24"/>
          <w:szCs w:val="24"/>
          <w:lang w:eastAsia="en-GB"/>
        </w:rPr>
        <w:t>, </w:t>
      </w:r>
      <w:r w:rsidRPr="0078288A">
        <w:rPr>
          <w:rFonts w:ascii="Arial" w:eastAsia="Times New Roman" w:hAnsi="Arial" w:cs="Arial"/>
          <w:i/>
          <w:iCs/>
          <w:color w:val="36424A"/>
          <w:sz w:val="24"/>
          <w:szCs w:val="24"/>
          <w:lang w:eastAsia="en-GB"/>
        </w:rPr>
        <w:t xml:space="preserve">Calthorpe v </w:t>
      </w:r>
      <w:proofErr w:type="spellStart"/>
      <w:r w:rsidRPr="0078288A">
        <w:rPr>
          <w:rFonts w:ascii="Arial" w:eastAsia="Times New Roman" w:hAnsi="Arial" w:cs="Arial"/>
          <w:i/>
          <w:iCs/>
          <w:color w:val="36424A"/>
          <w:sz w:val="24"/>
          <w:szCs w:val="24"/>
          <w:lang w:eastAsia="en-GB"/>
        </w:rPr>
        <w:t>McOscar</w:t>
      </w:r>
      <w:proofErr w:type="spellEnd"/>
      <w:r w:rsidRPr="0078288A">
        <w:rPr>
          <w:rFonts w:ascii="Arial" w:eastAsia="Times New Roman" w:hAnsi="Arial" w:cs="Arial"/>
          <w:color w:val="36424A"/>
          <w:sz w:val="24"/>
          <w:szCs w:val="24"/>
          <w:lang w:eastAsia="en-GB"/>
        </w:rPr>
        <w:t> and </w:t>
      </w:r>
      <w:proofErr w:type="spellStart"/>
      <w:r w:rsidRPr="0078288A">
        <w:rPr>
          <w:rFonts w:ascii="Arial" w:eastAsia="Times New Roman" w:hAnsi="Arial" w:cs="Arial"/>
          <w:color w:val="36424A"/>
          <w:sz w:val="24"/>
          <w:szCs w:val="24"/>
          <w:lang w:eastAsia="en-GB"/>
        </w:rPr>
        <w:fldChar w:fldCharType="begin"/>
      </w:r>
      <w:r w:rsidRPr="0078288A">
        <w:rPr>
          <w:rFonts w:ascii="Arial" w:eastAsia="Times New Roman" w:hAnsi="Arial" w:cs="Arial"/>
          <w:color w:val="36424A"/>
          <w:sz w:val="24"/>
          <w:szCs w:val="24"/>
          <w:lang w:eastAsia="en-GB"/>
        </w:rPr>
        <w:instrText xml:space="preserve"> HYPERLINK "https://www.isurv.com/site/scripts/documents_info.aspx?documentID=7591&amp;categoryID=455" </w:instrText>
      </w:r>
      <w:r w:rsidRPr="0078288A">
        <w:rPr>
          <w:rFonts w:ascii="Arial" w:eastAsia="Times New Roman" w:hAnsi="Arial" w:cs="Arial"/>
          <w:color w:val="36424A"/>
          <w:sz w:val="24"/>
          <w:szCs w:val="24"/>
          <w:lang w:eastAsia="en-GB"/>
        </w:rPr>
        <w:fldChar w:fldCharType="separate"/>
      </w:r>
      <w:r w:rsidRPr="0078288A">
        <w:rPr>
          <w:rFonts w:ascii="Arial" w:eastAsia="Times New Roman" w:hAnsi="Arial" w:cs="Arial"/>
          <w:color w:val="684F80"/>
          <w:sz w:val="24"/>
          <w:szCs w:val="24"/>
          <w:lang w:eastAsia="en-GB"/>
        </w:rPr>
        <w:t>Hammersmatch</w:t>
      </w:r>
      <w:proofErr w:type="spellEnd"/>
      <w:r w:rsidRPr="0078288A">
        <w:rPr>
          <w:rFonts w:ascii="Arial" w:eastAsia="Times New Roman" w:hAnsi="Arial" w:cs="Arial"/>
          <w:color w:val="684F80"/>
          <w:sz w:val="24"/>
          <w:szCs w:val="24"/>
          <w:lang w:eastAsia="en-GB"/>
        </w:rPr>
        <w:t xml:space="preserve"> Properties (Welwyn) Ltd v Saint-Gobain Ceramics and Plastics Ltd</w:t>
      </w:r>
      <w:r w:rsidRPr="0078288A">
        <w:rPr>
          <w:rFonts w:ascii="Arial" w:eastAsia="Times New Roman" w:hAnsi="Arial" w:cs="Arial"/>
          <w:color w:val="36424A"/>
          <w:sz w:val="24"/>
          <w:szCs w:val="24"/>
          <w:lang w:eastAsia="en-GB"/>
        </w:rPr>
        <w:fldChar w:fldCharType="end"/>
      </w:r>
      <w:r w:rsidRPr="0078288A">
        <w:rPr>
          <w:rFonts w:ascii="Arial" w:eastAsia="Times New Roman" w:hAnsi="Arial" w:cs="Arial"/>
          <w:color w:val="36424A"/>
          <w:sz w:val="24"/>
          <w:szCs w:val="24"/>
          <w:lang w:eastAsia="en-GB"/>
        </w:rPr>
        <w:t> [2013] EWHC 1161 (TCC) have also considered the extent to which an item needs to deteriorate in order constitute a breach of covenant. It is based on the notion that at the time the lease was entered into, the parties had a preconception of the extent to which the property was likely to deteriorate under normal circumstances due to the effect of time, weather, and any naturally occurring forces. This, it is suggested, would include an estimation of the average life of plant and machinery giving an indication of which items would require replacement within the lease term and, on the understanding that that was carried out, the condition of the new plant at the end of that time.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Case law is clear that the properties handed back at the end of the lease do not need to be in perfect repair, nor do they need to be in the condition in which they were let. Allowance has to be made for the effect of time and, further, the properties must be considered in context of the area in which they are located and the use to </w:t>
      </w:r>
      <w:r w:rsidRPr="0078288A">
        <w:rPr>
          <w:rFonts w:ascii="Arial" w:eastAsia="Times New Roman" w:hAnsi="Arial" w:cs="Arial"/>
          <w:color w:val="36424A"/>
          <w:sz w:val="24"/>
          <w:szCs w:val="24"/>
          <w:lang w:eastAsia="en-GB"/>
        </w:rPr>
        <w:lastRenderedPageBreak/>
        <w:t>which they could reasonably be expected to be put. If the standard of the property at the end of the lease falls below that reasonably anticipated at the commencement of the lease, a breach of covenant can exist. If the general condition and state of repair is as would reasonably be expected, or better, then no breach of the repairing covenant can exist.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standard of repair will be laid down by the covenant of the lease. For example, the obligations may merely be to leave it wind and water tight, habitable, or only to a standard comparable with a schedule of condition.</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standard of repair will also take account of the age, character and locality of the premises such that it is fit for occupation by the reasonably-minded tenant of the nature who would occupy it. Thus, if the premises are in a rundown industrial estate that only achieves short, cheap lets, it is probable that quite a number of items of disrepair would be tolerated by an incoming tenant. However, more significant disrepair such as leaking roofs or dangerous electrical installations would not be acceptable, so would be likely to amount to a breach of the lease. Alternatively, if the premises were a modern, high specification city office block, very few, even minor, items of disrepair would be tolerated, so the standard of repair to be achieved would be higher.</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All of these issues were considered in </w:t>
      </w:r>
      <w:proofErr w:type="spellStart"/>
      <w:r w:rsidRPr="0078288A">
        <w:rPr>
          <w:rFonts w:ascii="Arial" w:eastAsia="Times New Roman" w:hAnsi="Arial" w:cs="Arial"/>
          <w:color w:val="36424A"/>
          <w:sz w:val="24"/>
          <w:szCs w:val="24"/>
          <w:lang w:eastAsia="en-GB"/>
        </w:rPr>
        <w:fldChar w:fldCharType="begin"/>
      </w:r>
      <w:r w:rsidRPr="0078288A">
        <w:rPr>
          <w:rFonts w:ascii="Arial" w:eastAsia="Times New Roman" w:hAnsi="Arial" w:cs="Arial"/>
          <w:color w:val="36424A"/>
          <w:sz w:val="24"/>
          <w:szCs w:val="24"/>
          <w:lang w:eastAsia="en-GB"/>
        </w:rPr>
        <w:instrText xml:space="preserve"> HYPERLINK "https://www.isurv.com/site/scripts/documents_info.aspx?documentID=7586" </w:instrText>
      </w:r>
      <w:r w:rsidRPr="0078288A">
        <w:rPr>
          <w:rFonts w:ascii="Arial" w:eastAsia="Times New Roman" w:hAnsi="Arial" w:cs="Arial"/>
          <w:color w:val="36424A"/>
          <w:sz w:val="24"/>
          <w:szCs w:val="24"/>
          <w:lang w:eastAsia="en-GB"/>
        </w:rPr>
        <w:fldChar w:fldCharType="separate"/>
      </w:r>
      <w:r w:rsidRPr="0078288A">
        <w:rPr>
          <w:rFonts w:ascii="Arial" w:eastAsia="Times New Roman" w:hAnsi="Arial" w:cs="Arial"/>
          <w:color w:val="684F80"/>
          <w:sz w:val="24"/>
          <w:szCs w:val="24"/>
          <w:lang w:eastAsia="en-GB"/>
        </w:rPr>
        <w:t>Twinmar</w:t>
      </w:r>
      <w:proofErr w:type="spellEnd"/>
      <w:r w:rsidRPr="0078288A">
        <w:rPr>
          <w:rFonts w:ascii="Arial" w:eastAsia="Times New Roman" w:hAnsi="Arial" w:cs="Arial"/>
          <w:color w:val="684F80"/>
          <w:sz w:val="24"/>
          <w:szCs w:val="24"/>
          <w:lang w:eastAsia="en-GB"/>
        </w:rPr>
        <w:t xml:space="preserve"> Holdings Ltd v </w:t>
      </w:r>
      <w:proofErr w:type="spellStart"/>
      <w:r w:rsidRPr="0078288A">
        <w:rPr>
          <w:rFonts w:ascii="Arial" w:eastAsia="Times New Roman" w:hAnsi="Arial" w:cs="Arial"/>
          <w:color w:val="684F80"/>
          <w:sz w:val="24"/>
          <w:szCs w:val="24"/>
          <w:lang w:eastAsia="en-GB"/>
        </w:rPr>
        <w:t>Klarius</w:t>
      </w:r>
      <w:proofErr w:type="spellEnd"/>
      <w:r w:rsidRPr="0078288A">
        <w:rPr>
          <w:rFonts w:ascii="Arial" w:eastAsia="Times New Roman" w:hAnsi="Arial" w:cs="Arial"/>
          <w:color w:val="684F80"/>
          <w:sz w:val="24"/>
          <w:szCs w:val="24"/>
          <w:lang w:eastAsia="en-GB"/>
        </w:rPr>
        <w:t xml:space="preserve"> UK Ltd &amp; </w:t>
      </w:r>
      <w:proofErr w:type="spellStart"/>
      <w:r w:rsidRPr="0078288A">
        <w:rPr>
          <w:rFonts w:ascii="Arial" w:eastAsia="Times New Roman" w:hAnsi="Arial" w:cs="Arial"/>
          <w:color w:val="684F80"/>
          <w:sz w:val="24"/>
          <w:szCs w:val="24"/>
          <w:lang w:eastAsia="en-GB"/>
        </w:rPr>
        <w:t>anor</w:t>
      </w:r>
      <w:proofErr w:type="spellEnd"/>
      <w:r w:rsidRPr="0078288A">
        <w:rPr>
          <w:rFonts w:ascii="Arial" w:eastAsia="Times New Roman" w:hAnsi="Arial" w:cs="Arial"/>
          <w:color w:val="36424A"/>
          <w:sz w:val="24"/>
          <w:szCs w:val="24"/>
          <w:lang w:eastAsia="en-GB"/>
        </w:rPr>
        <w:fldChar w:fldCharType="end"/>
      </w:r>
      <w:r w:rsidRPr="0078288A">
        <w:rPr>
          <w:rFonts w:ascii="Arial" w:eastAsia="Times New Roman" w:hAnsi="Arial" w:cs="Arial"/>
          <w:color w:val="36424A"/>
          <w:sz w:val="24"/>
          <w:szCs w:val="24"/>
          <w:lang w:eastAsia="en-GB"/>
        </w:rPr>
        <w:t>. </w:t>
      </w:r>
    </w:p>
    <w:p w:rsidR="0078288A" w:rsidRPr="0078288A" w:rsidRDefault="0078288A" w:rsidP="0078288A">
      <w:pPr>
        <w:spacing w:before="100" w:beforeAutospacing="1" w:after="100" w:afterAutospacing="1" w:line="240" w:lineRule="auto"/>
        <w:outlineLvl w:val="2"/>
        <w:rPr>
          <w:rFonts w:ascii="Arial" w:eastAsia="Times New Roman" w:hAnsi="Arial" w:cs="Arial"/>
          <w:b/>
          <w:bCs/>
          <w:color w:val="36424A"/>
          <w:sz w:val="27"/>
          <w:szCs w:val="27"/>
          <w:lang w:eastAsia="en-GB"/>
        </w:rPr>
      </w:pPr>
      <w:r w:rsidRPr="0078288A">
        <w:rPr>
          <w:rFonts w:ascii="Arial" w:eastAsia="Times New Roman" w:hAnsi="Arial" w:cs="Arial"/>
          <w:b/>
          <w:bCs/>
          <w:color w:val="36424A"/>
          <w:sz w:val="27"/>
          <w:szCs w:val="27"/>
          <w:lang w:eastAsia="en-GB"/>
        </w:rPr>
        <w:t>4. What work is necessary in order to put the subject matter of the covenant into the contemplated condition?</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Various cases (for example, </w:t>
      </w:r>
      <w:r w:rsidRPr="0078288A">
        <w:rPr>
          <w:rFonts w:ascii="Arial" w:eastAsia="Times New Roman" w:hAnsi="Arial" w:cs="Arial"/>
          <w:i/>
          <w:iCs/>
          <w:color w:val="36424A"/>
          <w:sz w:val="24"/>
          <w:szCs w:val="24"/>
          <w:lang w:eastAsia="en-GB"/>
        </w:rPr>
        <w:t xml:space="preserve">Lister v Lane and </w:t>
      </w:r>
      <w:proofErr w:type="spellStart"/>
      <w:r w:rsidRPr="0078288A">
        <w:rPr>
          <w:rFonts w:ascii="Arial" w:eastAsia="Times New Roman" w:hAnsi="Arial" w:cs="Arial"/>
          <w:i/>
          <w:iCs/>
          <w:color w:val="36424A"/>
          <w:sz w:val="24"/>
          <w:szCs w:val="24"/>
          <w:lang w:eastAsia="en-GB"/>
        </w:rPr>
        <w:t>Nesham</w:t>
      </w:r>
      <w:proofErr w:type="spellEnd"/>
      <w:r w:rsidRPr="0078288A">
        <w:rPr>
          <w:rFonts w:ascii="Arial" w:eastAsia="Times New Roman" w:hAnsi="Arial" w:cs="Arial"/>
          <w:color w:val="36424A"/>
          <w:sz w:val="24"/>
          <w:szCs w:val="24"/>
          <w:lang w:eastAsia="en-GB"/>
        </w:rPr>
        <w:t>) confirm that when considering the appropriate repair, the overriding principle is that the tenant is not required to give back to the landlord a completely different thing to that which the tenant took on in the first place. In other words, the tenant’s liability is to give back the building that was originally demised in a state and condition consistent with the performance of the covenants. It follows, therefore, that if the landlord chooses to alter, change or improve the property following the end of the lease, not only is the tenant not responsible for those changes or improvements, but the tenant’s liability to repair the altered items is potentially negated.</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construction case of </w:t>
      </w:r>
      <w:r w:rsidRPr="0078288A">
        <w:rPr>
          <w:rFonts w:ascii="Arial" w:eastAsia="Times New Roman" w:hAnsi="Arial" w:cs="Arial"/>
          <w:i/>
          <w:iCs/>
          <w:color w:val="36424A"/>
          <w:sz w:val="24"/>
          <w:szCs w:val="24"/>
          <w:lang w:eastAsia="en-GB"/>
        </w:rPr>
        <w:t>Richard Roberts v Douglas Smith</w:t>
      </w:r>
      <w:r w:rsidRPr="0078288A">
        <w:rPr>
          <w:rFonts w:ascii="Arial" w:eastAsia="Times New Roman" w:hAnsi="Arial" w:cs="Arial"/>
          <w:color w:val="36424A"/>
          <w:sz w:val="24"/>
          <w:szCs w:val="24"/>
          <w:lang w:eastAsia="en-GB"/>
        </w:rPr>
        <w:t> suggests that: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‘if the only practicable method of overcoming the consequences of the defendant’s breach of contract is to build to a higher standard than the contract has required, the plaintiff may recover the cost of building to that higher standard. If, however, the plaintiff chooses to build to a higher standard than is strictly necessary, the courts will, unless the works are so different as to breach the chain of causation, award him the cost of the works less a credit to the defendant in respect of the betterment.’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Whether or not the payment of a credit is appropriate in dilapidations cases is, at best, debatable. However, the current thinking is that where a landlord voluntarily alters a property, the tenant’s liability is completely negated.</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lastRenderedPageBreak/>
        <w:t>The second area to be considered is the nature of the repair. The landlord is entitled to recover the cost of repairing the building to its original format. In assessing the appropriate remedy there are four strands to consider which are demonstrated by four separate cases.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w:t>
      </w:r>
      <w:r w:rsidRPr="0078288A">
        <w:rPr>
          <w:rFonts w:ascii="Arial" w:eastAsia="Times New Roman" w:hAnsi="Arial" w:cs="Arial"/>
          <w:b/>
          <w:bCs/>
          <w:color w:val="36424A"/>
          <w:sz w:val="24"/>
          <w:szCs w:val="24"/>
          <w:lang w:eastAsia="en-GB"/>
        </w:rPr>
        <w:t>first strand</w:t>
      </w:r>
      <w:r w:rsidRPr="0078288A">
        <w:rPr>
          <w:rFonts w:ascii="Arial" w:eastAsia="Times New Roman" w:hAnsi="Arial" w:cs="Arial"/>
          <w:color w:val="36424A"/>
          <w:sz w:val="24"/>
          <w:szCs w:val="24"/>
          <w:lang w:eastAsia="en-GB"/>
        </w:rPr>
        <w:t> to consider is whether it is physically possible to repair the defective item. In </w:t>
      </w:r>
      <w:hyperlink r:id="rId13" w:history="1">
        <w:r w:rsidRPr="0078288A">
          <w:rPr>
            <w:rFonts w:ascii="Arial" w:eastAsia="Times New Roman" w:hAnsi="Arial" w:cs="Arial"/>
            <w:color w:val="684F80"/>
            <w:sz w:val="24"/>
            <w:szCs w:val="24"/>
            <w:lang w:eastAsia="en-GB"/>
          </w:rPr>
          <w:t xml:space="preserve">Hammersmith v </w:t>
        </w:r>
        <w:proofErr w:type="spellStart"/>
        <w:r w:rsidRPr="0078288A">
          <w:rPr>
            <w:rFonts w:ascii="Arial" w:eastAsia="Times New Roman" w:hAnsi="Arial" w:cs="Arial"/>
            <w:color w:val="684F80"/>
            <w:sz w:val="24"/>
            <w:szCs w:val="24"/>
            <w:lang w:eastAsia="en-GB"/>
          </w:rPr>
          <w:t>Creska</w:t>
        </w:r>
        <w:proofErr w:type="spellEnd"/>
      </w:hyperlink>
      <w:r w:rsidRPr="0078288A">
        <w:rPr>
          <w:rFonts w:ascii="Arial" w:eastAsia="Times New Roman" w:hAnsi="Arial" w:cs="Arial"/>
          <w:color w:val="36424A"/>
          <w:sz w:val="24"/>
          <w:szCs w:val="24"/>
          <w:lang w:eastAsia="en-GB"/>
        </w:rPr>
        <w:t>, the court was asked to decide whether an alternative, yet similar, method of heating was an appropriate repair if it was possible to physically repair the original installation. The court found that because it was physically possible to repair the heating system as originally installed, that was the tenant’s obligation under the repairing covenant. The manner in which required work is carried out is generally a matter for the tenant and if the covenant can properly be performed in a number of different ways the tenant cannot be criticised for choosing the least expensive option. It will certainly not always be the case that the tenant will have to carry out the work as the landlord would wish (see </w:t>
      </w:r>
      <w:hyperlink r:id="rId14" w:history="1">
        <w:r w:rsidRPr="0078288A">
          <w:rPr>
            <w:rFonts w:ascii="Arial" w:eastAsia="Times New Roman" w:hAnsi="Arial" w:cs="Arial"/>
            <w:color w:val="684F80"/>
            <w:sz w:val="24"/>
            <w:szCs w:val="24"/>
            <w:lang w:eastAsia="en-GB"/>
          </w:rPr>
          <w:t>Riverside Property Investments Ltd v Blackhawk Automotive</w:t>
        </w:r>
      </w:hyperlink>
      <w:r w:rsidRPr="0078288A">
        <w:rPr>
          <w:rFonts w:ascii="Arial" w:eastAsia="Times New Roman" w:hAnsi="Arial" w:cs="Arial"/>
          <w:color w:val="36424A"/>
          <w:sz w:val="24"/>
          <w:szCs w:val="24"/>
          <w:lang w:eastAsia="en-GB"/>
        </w:rPr>
        <w:t>, TCC, 8 December 2004).</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w:t>
      </w:r>
      <w:r w:rsidRPr="0078288A">
        <w:rPr>
          <w:rFonts w:ascii="Arial" w:eastAsia="Times New Roman" w:hAnsi="Arial" w:cs="Arial"/>
          <w:b/>
          <w:bCs/>
          <w:color w:val="36424A"/>
          <w:sz w:val="24"/>
          <w:szCs w:val="24"/>
          <w:lang w:eastAsia="en-GB"/>
        </w:rPr>
        <w:t>second strand</w:t>
      </w:r>
      <w:r w:rsidRPr="0078288A">
        <w:rPr>
          <w:rFonts w:ascii="Arial" w:eastAsia="Times New Roman" w:hAnsi="Arial" w:cs="Arial"/>
          <w:color w:val="36424A"/>
          <w:sz w:val="24"/>
          <w:szCs w:val="24"/>
          <w:lang w:eastAsia="en-GB"/>
        </w:rPr>
        <w:t> applies to situations where either it is not possible to effect a repair, or the market has moved on technologically such that improvements render the strict repair obsolete. The case of </w:t>
      </w:r>
      <w:hyperlink r:id="rId15" w:history="1">
        <w:r w:rsidRPr="0078288A">
          <w:rPr>
            <w:rFonts w:ascii="Arial" w:eastAsia="Times New Roman" w:hAnsi="Arial" w:cs="Arial"/>
            <w:color w:val="684F80"/>
            <w:sz w:val="24"/>
            <w:szCs w:val="24"/>
            <w:lang w:eastAsia="en-GB"/>
          </w:rPr>
          <w:t>Elite Investments v Bainbridge</w:t>
        </w:r>
      </w:hyperlink>
      <w:r w:rsidRPr="0078288A">
        <w:rPr>
          <w:rFonts w:ascii="Arial" w:eastAsia="Times New Roman" w:hAnsi="Arial" w:cs="Arial"/>
          <w:color w:val="36424A"/>
          <w:sz w:val="24"/>
          <w:szCs w:val="24"/>
          <w:lang w:eastAsia="en-GB"/>
        </w:rPr>
        <w:t> considered a situation where the asbestos cement sheet roof of a Wellington bomber hangar was replaced with a single sheet profiled steel roof and the court was asked to consider whether the change in specification negated the tenant’s liability to repair.</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court found that the nature of the building was fundamentally unchanged. It was still a large shed with a single skin roof and this was unchanged by the change in specification. Further, over the life of the hanger, technological improvements provided other materials and the landlord was at liberty to consider alternatives. However, it is important to note that in this particular instance, the cost of replacing with another asbestos roof was similar to the cost of replacing with a steel roof and under the circumstances the court permitted the change. To supplement a mineral fibre suspended ceiling with a pressed metal tray suspended ceiling may, however, not be permissible due to the difference in cost between the two elements and, under these circumstances, the tenant’s liability for the mineral fibre suspended ceiling would be negated by the installation of a metal tray.</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w:t>
      </w:r>
      <w:r w:rsidRPr="0078288A">
        <w:rPr>
          <w:rFonts w:ascii="Arial" w:eastAsia="Times New Roman" w:hAnsi="Arial" w:cs="Arial"/>
          <w:b/>
          <w:bCs/>
          <w:color w:val="36424A"/>
          <w:sz w:val="24"/>
          <w:szCs w:val="24"/>
          <w:lang w:eastAsia="en-GB"/>
        </w:rPr>
        <w:t>third strand</w:t>
      </w:r>
      <w:r w:rsidRPr="0078288A">
        <w:rPr>
          <w:rFonts w:ascii="Arial" w:eastAsia="Times New Roman" w:hAnsi="Arial" w:cs="Arial"/>
          <w:color w:val="36424A"/>
          <w:sz w:val="24"/>
          <w:szCs w:val="24"/>
          <w:lang w:eastAsia="en-GB"/>
        </w:rPr>
        <w:t> to consider is the effect of statutory improvements over the life of the lease. Part of the judgement in </w:t>
      </w:r>
      <w:proofErr w:type="spellStart"/>
      <w:r w:rsidRPr="0078288A">
        <w:rPr>
          <w:rFonts w:ascii="Arial" w:eastAsia="Times New Roman" w:hAnsi="Arial" w:cs="Arial"/>
          <w:i/>
          <w:iCs/>
          <w:color w:val="36424A"/>
          <w:sz w:val="24"/>
          <w:szCs w:val="24"/>
          <w:lang w:eastAsia="en-GB"/>
        </w:rPr>
        <w:t>Postel</w:t>
      </w:r>
      <w:proofErr w:type="spellEnd"/>
      <w:r w:rsidRPr="0078288A">
        <w:rPr>
          <w:rFonts w:ascii="Arial" w:eastAsia="Times New Roman" w:hAnsi="Arial" w:cs="Arial"/>
          <w:i/>
          <w:iCs/>
          <w:color w:val="36424A"/>
          <w:sz w:val="24"/>
          <w:szCs w:val="24"/>
          <w:lang w:eastAsia="en-GB"/>
        </w:rPr>
        <w:t xml:space="preserve"> v Boots</w:t>
      </w:r>
      <w:r w:rsidRPr="0078288A">
        <w:rPr>
          <w:rFonts w:ascii="Arial" w:eastAsia="Times New Roman" w:hAnsi="Arial" w:cs="Arial"/>
          <w:color w:val="36424A"/>
          <w:sz w:val="24"/>
          <w:szCs w:val="24"/>
          <w:lang w:eastAsia="en-GB"/>
        </w:rPr>
        <w:t xml:space="preserve"> (a case in which the landlord had the obligation to repair, but the tenant the obligation to contribute to the cost by a service charge) considers the situation where Building Regulations require improvements to levels of thermal insulation within a built-up roofing system. It was argued that, because the level of insulation required by the Building Regulations was significantly greater than that contained within the roof, significantly thicker layers of insulation were required. In view of this improvement and the additional cost required to install it, it was argued that the work was outside the scope of the repairing obligation. The court decided that the original roof was insulated and the repaired roof was also insulated. The landlord had an obligation to comply with statute and where that statute requires additional thickness of insulation, it was within the repairing obligation to provide it. The repairing obligation included the improvement of insulation to bring it up to standard. The court’s decision may have been different </w:t>
      </w:r>
      <w:r w:rsidRPr="0078288A">
        <w:rPr>
          <w:rFonts w:ascii="Arial" w:eastAsia="Times New Roman" w:hAnsi="Arial" w:cs="Arial"/>
          <w:color w:val="36424A"/>
          <w:sz w:val="24"/>
          <w:szCs w:val="24"/>
          <w:lang w:eastAsia="en-GB"/>
        </w:rPr>
        <w:lastRenderedPageBreak/>
        <w:t>if the original roof in place at the time the lease was entered into was not insulated, as the introduction of a layer of insulation would have substantially changed the specification of the roof such that it had become something totally different.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w:t>
      </w:r>
      <w:r w:rsidRPr="0078288A">
        <w:rPr>
          <w:rFonts w:ascii="Arial" w:eastAsia="Times New Roman" w:hAnsi="Arial" w:cs="Arial"/>
          <w:b/>
          <w:bCs/>
          <w:color w:val="36424A"/>
          <w:sz w:val="24"/>
          <w:szCs w:val="24"/>
          <w:lang w:eastAsia="en-GB"/>
        </w:rPr>
        <w:t>fourth strand</w:t>
      </w:r>
      <w:r w:rsidRPr="0078288A">
        <w:rPr>
          <w:rFonts w:ascii="Arial" w:eastAsia="Times New Roman" w:hAnsi="Arial" w:cs="Arial"/>
          <w:color w:val="36424A"/>
          <w:sz w:val="24"/>
          <w:szCs w:val="24"/>
          <w:lang w:eastAsia="en-GB"/>
        </w:rPr>
        <w:t> considers whether there is flexibility within the method of repair for an established breach of contract. In </w:t>
      </w:r>
      <w:proofErr w:type="spellStart"/>
      <w:r w:rsidRPr="0078288A">
        <w:rPr>
          <w:rFonts w:ascii="Arial" w:eastAsia="Times New Roman" w:hAnsi="Arial" w:cs="Arial"/>
          <w:color w:val="36424A"/>
          <w:sz w:val="24"/>
          <w:szCs w:val="24"/>
          <w:lang w:eastAsia="en-GB"/>
        </w:rPr>
        <w:fldChar w:fldCharType="begin"/>
      </w:r>
      <w:r w:rsidRPr="0078288A">
        <w:rPr>
          <w:rFonts w:ascii="Arial" w:eastAsia="Times New Roman" w:hAnsi="Arial" w:cs="Arial"/>
          <w:color w:val="36424A"/>
          <w:sz w:val="24"/>
          <w:szCs w:val="24"/>
          <w:lang w:eastAsia="en-GB"/>
        </w:rPr>
        <w:instrText xml:space="preserve"> HYPERLINK "https://www.isurv.com/site/scripts/documents_info.aspx?documentID=6827" </w:instrText>
      </w:r>
      <w:r w:rsidRPr="0078288A">
        <w:rPr>
          <w:rFonts w:ascii="Arial" w:eastAsia="Times New Roman" w:hAnsi="Arial" w:cs="Arial"/>
          <w:color w:val="36424A"/>
          <w:sz w:val="24"/>
          <w:szCs w:val="24"/>
          <w:lang w:eastAsia="en-GB"/>
        </w:rPr>
        <w:fldChar w:fldCharType="separate"/>
      </w:r>
      <w:r w:rsidRPr="0078288A">
        <w:rPr>
          <w:rFonts w:ascii="Arial" w:eastAsia="Times New Roman" w:hAnsi="Arial" w:cs="Arial"/>
          <w:color w:val="684F80"/>
          <w:sz w:val="24"/>
          <w:szCs w:val="24"/>
          <w:lang w:eastAsia="en-GB"/>
        </w:rPr>
        <w:t>Minja</w:t>
      </w:r>
      <w:proofErr w:type="spellEnd"/>
      <w:r w:rsidRPr="0078288A">
        <w:rPr>
          <w:rFonts w:ascii="Arial" w:eastAsia="Times New Roman" w:hAnsi="Arial" w:cs="Arial"/>
          <w:color w:val="684F80"/>
          <w:sz w:val="24"/>
          <w:szCs w:val="24"/>
          <w:lang w:eastAsia="en-GB"/>
        </w:rPr>
        <w:t xml:space="preserve"> v </w:t>
      </w:r>
      <w:proofErr w:type="spellStart"/>
      <w:r w:rsidRPr="0078288A">
        <w:rPr>
          <w:rFonts w:ascii="Arial" w:eastAsia="Times New Roman" w:hAnsi="Arial" w:cs="Arial"/>
          <w:color w:val="684F80"/>
          <w:sz w:val="24"/>
          <w:szCs w:val="24"/>
          <w:lang w:eastAsia="en-GB"/>
        </w:rPr>
        <w:t>Cussins</w:t>
      </w:r>
      <w:proofErr w:type="spellEnd"/>
      <w:r w:rsidRPr="0078288A">
        <w:rPr>
          <w:rFonts w:ascii="Arial" w:eastAsia="Times New Roman" w:hAnsi="Arial" w:cs="Arial"/>
          <w:color w:val="36424A"/>
          <w:sz w:val="24"/>
          <w:szCs w:val="24"/>
          <w:lang w:eastAsia="en-GB"/>
        </w:rPr>
        <w:fldChar w:fldCharType="end"/>
      </w:r>
      <w:r w:rsidRPr="0078288A">
        <w:rPr>
          <w:rFonts w:ascii="Arial" w:eastAsia="Times New Roman" w:hAnsi="Arial" w:cs="Arial"/>
          <w:color w:val="36424A"/>
          <w:sz w:val="24"/>
          <w:szCs w:val="24"/>
          <w:lang w:eastAsia="en-GB"/>
        </w:rPr>
        <w:t> the condition of single-glazed metal-framed windows was not in dispute and it was agreed that replacement was required. However, it was proposed to replace them with double-glazed PVC units and the court was asked to consider whether this change in specification was covered by the repairing covenant. Again, an economic argument was brought into play as well as consideration whether the nature of the building had changed. As the comparable costs of the two systems were similar, the court was satisfied that replacement with PVC units did amount to appropriate repair. Further, if there is more than one possible method of repair that complies with the required standard, the tenant can make the choice as to which it undertakes. If there is a cost differential, when it comes to assessing loss, the measure of damages at common law is based on the least expensive option (see </w:t>
      </w:r>
      <w:hyperlink r:id="rId16" w:history="1">
        <w:r w:rsidRPr="0078288A">
          <w:rPr>
            <w:rFonts w:ascii="Arial" w:eastAsia="Times New Roman" w:hAnsi="Arial" w:cs="Arial"/>
            <w:color w:val="684F80"/>
            <w:sz w:val="24"/>
            <w:szCs w:val="24"/>
            <w:lang w:eastAsia="en-GB"/>
          </w:rPr>
          <w:t>Carmel Southend Limited v Strachan &amp; Henshaw Limited (2007)</w:t>
        </w:r>
      </w:hyperlink>
      <w:r w:rsidRPr="0078288A">
        <w:rPr>
          <w:rFonts w:ascii="Arial" w:eastAsia="Times New Roman" w:hAnsi="Arial" w:cs="Arial"/>
          <w:color w:val="36424A"/>
          <w:sz w:val="24"/>
          <w:szCs w:val="24"/>
          <w:lang w:eastAsia="en-GB"/>
        </w:rPr>
        <w: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Usually, of course, the tenant is keen to </w:t>
      </w:r>
      <w:proofErr w:type="spellStart"/>
      <w:r w:rsidRPr="0078288A">
        <w:rPr>
          <w:rFonts w:ascii="Arial" w:eastAsia="Times New Roman" w:hAnsi="Arial" w:cs="Arial"/>
          <w:color w:val="36424A"/>
          <w:sz w:val="24"/>
          <w:szCs w:val="24"/>
          <w:lang w:eastAsia="en-GB"/>
        </w:rPr>
        <w:t>fulfill</w:t>
      </w:r>
      <w:proofErr w:type="spellEnd"/>
      <w:r w:rsidRPr="0078288A">
        <w:rPr>
          <w:rFonts w:ascii="Arial" w:eastAsia="Times New Roman" w:hAnsi="Arial" w:cs="Arial"/>
          <w:color w:val="36424A"/>
          <w:sz w:val="24"/>
          <w:szCs w:val="24"/>
          <w:lang w:eastAsia="en-GB"/>
        </w:rPr>
        <w:t xml:space="preserve"> their obligations in the least expensive way, but that is not always the case. In </w:t>
      </w:r>
      <w:hyperlink r:id="rId17" w:history="1">
        <w:r w:rsidRPr="0078288A">
          <w:rPr>
            <w:rFonts w:ascii="Arial" w:eastAsia="Times New Roman" w:hAnsi="Arial" w:cs="Arial"/>
            <w:color w:val="684F80"/>
            <w:sz w:val="24"/>
            <w:szCs w:val="24"/>
            <w:lang w:eastAsia="en-GB"/>
          </w:rPr>
          <w:t>Creative Foundation v Dreamland Leisure (2015)</w:t>
        </w:r>
      </w:hyperlink>
      <w:r w:rsidRPr="0078288A">
        <w:rPr>
          <w:rFonts w:ascii="Arial" w:eastAsia="Times New Roman" w:hAnsi="Arial" w:cs="Arial"/>
          <w:color w:val="36424A"/>
          <w:sz w:val="24"/>
          <w:szCs w:val="24"/>
          <w:lang w:eastAsia="en-GB"/>
        </w:rPr>
        <w:t xml:space="preserve"> the tenant elected to </w:t>
      </w:r>
      <w:proofErr w:type="spellStart"/>
      <w:r w:rsidRPr="0078288A">
        <w:rPr>
          <w:rFonts w:ascii="Arial" w:eastAsia="Times New Roman" w:hAnsi="Arial" w:cs="Arial"/>
          <w:color w:val="36424A"/>
          <w:sz w:val="24"/>
          <w:szCs w:val="24"/>
          <w:lang w:eastAsia="en-GB"/>
        </w:rPr>
        <w:t>fulfill</w:t>
      </w:r>
      <w:proofErr w:type="spellEnd"/>
      <w:r w:rsidRPr="0078288A">
        <w:rPr>
          <w:rFonts w:ascii="Arial" w:eastAsia="Times New Roman" w:hAnsi="Arial" w:cs="Arial"/>
          <w:color w:val="36424A"/>
          <w:sz w:val="24"/>
          <w:szCs w:val="24"/>
          <w:lang w:eastAsia="en-GB"/>
        </w:rPr>
        <w:t xml:space="preserve"> their repairing obligation to remove </w:t>
      </w:r>
      <w:proofErr w:type="spellStart"/>
      <w:r w:rsidRPr="0078288A">
        <w:rPr>
          <w:rFonts w:ascii="Arial" w:eastAsia="Times New Roman" w:hAnsi="Arial" w:cs="Arial"/>
          <w:color w:val="36424A"/>
          <w:sz w:val="24"/>
          <w:szCs w:val="24"/>
          <w:lang w:eastAsia="en-GB"/>
        </w:rPr>
        <w:t>grafitti</w:t>
      </w:r>
      <w:proofErr w:type="spellEnd"/>
      <w:r w:rsidRPr="0078288A">
        <w:rPr>
          <w:rFonts w:ascii="Arial" w:eastAsia="Times New Roman" w:hAnsi="Arial" w:cs="Arial"/>
          <w:color w:val="36424A"/>
          <w:sz w:val="24"/>
          <w:szCs w:val="24"/>
          <w:lang w:eastAsia="en-GB"/>
        </w:rPr>
        <w:t xml:space="preserve"> that had been painted on an external wall by removing a section of wall render in its entirety, rather than simply paint over it or clean it. The graffiti in question was the work of street artist, Banksy and the mural was estimated to be worth around £300,000. The tenant’s clear intention was to enjoy this 'windfall' and sell the mural at auction. At court it was decided that the tenant’s method was not an appropriate one and, further, that, once removed, the mural became a landlord’s chattel. As such the mural had to be returned.</w:t>
      </w:r>
    </w:p>
    <w:p w:rsidR="0078288A" w:rsidRPr="0078288A" w:rsidRDefault="0078288A" w:rsidP="0078288A">
      <w:pPr>
        <w:spacing w:before="100" w:beforeAutospacing="1" w:after="100" w:afterAutospacing="1" w:line="240" w:lineRule="auto"/>
        <w:outlineLvl w:val="2"/>
        <w:rPr>
          <w:rFonts w:ascii="Arial" w:eastAsia="Times New Roman" w:hAnsi="Arial" w:cs="Arial"/>
          <w:b/>
          <w:bCs/>
          <w:color w:val="36424A"/>
          <w:sz w:val="27"/>
          <w:szCs w:val="27"/>
          <w:lang w:eastAsia="en-GB"/>
        </w:rPr>
      </w:pPr>
      <w:r w:rsidRPr="0078288A">
        <w:rPr>
          <w:rFonts w:ascii="Arial" w:eastAsia="Times New Roman" w:hAnsi="Arial" w:cs="Arial"/>
          <w:b/>
          <w:bCs/>
          <w:color w:val="36424A"/>
          <w:sz w:val="27"/>
          <w:szCs w:val="27"/>
          <w:lang w:eastAsia="en-GB"/>
        </w:rPr>
        <w:t>5. Is the work nonetheless of such nature that the parties did not contemplate that it would be the liability of the covenanting party?</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This goes back to the fundamental question of the parties’ intent and anticipation at the commencement of the lease. Arguments under this head would be specific and unusual and, it is suggested, would require some form of corroborative evidence to justify them.</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It is important to note case law (</w:t>
      </w:r>
      <w:hyperlink r:id="rId18" w:history="1">
        <w:r w:rsidRPr="0078288A">
          <w:rPr>
            <w:rFonts w:ascii="Arial" w:eastAsia="Times New Roman" w:hAnsi="Arial" w:cs="Arial"/>
            <w:color w:val="684F80"/>
            <w:sz w:val="24"/>
            <w:szCs w:val="24"/>
            <w:lang w:eastAsia="en-GB"/>
          </w:rPr>
          <w:t xml:space="preserve">Credit Suisse v </w:t>
        </w:r>
        <w:proofErr w:type="spellStart"/>
        <w:r w:rsidRPr="0078288A">
          <w:rPr>
            <w:rFonts w:ascii="Arial" w:eastAsia="Times New Roman" w:hAnsi="Arial" w:cs="Arial"/>
            <w:color w:val="684F80"/>
            <w:sz w:val="24"/>
            <w:szCs w:val="24"/>
            <w:lang w:eastAsia="en-GB"/>
          </w:rPr>
          <w:t>Beegas</w:t>
        </w:r>
        <w:proofErr w:type="spellEnd"/>
      </w:hyperlink>
      <w:r w:rsidRPr="0078288A">
        <w:rPr>
          <w:rFonts w:ascii="Arial" w:eastAsia="Times New Roman" w:hAnsi="Arial" w:cs="Arial"/>
          <w:color w:val="36424A"/>
          <w:sz w:val="24"/>
          <w:szCs w:val="24"/>
          <w:lang w:eastAsia="en-GB"/>
        </w:rPr>
        <w:t> and </w:t>
      </w:r>
      <w:r w:rsidRPr="0078288A">
        <w:rPr>
          <w:rFonts w:ascii="Arial" w:eastAsia="Times New Roman" w:hAnsi="Arial" w:cs="Arial"/>
          <w:i/>
          <w:iCs/>
          <w:color w:val="36424A"/>
          <w:sz w:val="24"/>
          <w:szCs w:val="24"/>
          <w:lang w:eastAsia="en-GB"/>
        </w:rPr>
        <w:t>Norwich Union Life Insurance Society v British Railways Board</w:t>
      </w:r>
      <w:r w:rsidRPr="0078288A">
        <w:rPr>
          <w:rFonts w:ascii="Arial" w:eastAsia="Times New Roman" w:hAnsi="Arial" w:cs="Arial"/>
          <w:color w:val="36424A"/>
          <w:sz w:val="24"/>
          <w:szCs w:val="24"/>
          <w:lang w:eastAsia="en-GB"/>
        </w:rPr>
        <w:t>) indicating that where a repairing obligation includes the word ‘condition’, the words ‘repair’ and ‘condition’ have distinct meanings, and condition can impose a greater obligation than mere repair.</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It is suggested that repairing obligations relate to the fundamental physical properties of the building and it is the intention to provide a consistent stable environment protected from the effects of weather and climate and a firm level base upon which to utilise the space. This is essential for function. Condition, on the other hand, can be said to be more aesthetic and dealing with finish and appearance, although it is accepted that condition has other implications when dealing with services.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lastRenderedPageBreak/>
        <w:t>The relevant clause(s) may go further and include a requirement to renew or improve the building or parts of it. For example, a covenant that includes an obligation to keep the property in good condition could mean that, even though an element of it is not actually in any worse condition than it was (that is, it is not out of repair), work to it is required. In </w:t>
      </w:r>
      <w:r w:rsidRPr="0078288A">
        <w:rPr>
          <w:rFonts w:ascii="Arial" w:eastAsia="Times New Roman" w:hAnsi="Arial" w:cs="Arial"/>
          <w:i/>
          <w:iCs/>
          <w:color w:val="36424A"/>
          <w:sz w:val="24"/>
          <w:szCs w:val="24"/>
          <w:lang w:eastAsia="en-GB"/>
        </w:rPr>
        <w:t>Welsh v Greenwich LBC</w:t>
      </w:r>
      <w:r w:rsidRPr="0078288A">
        <w:rPr>
          <w:rFonts w:ascii="Arial" w:eastAsia="Times New Roman" w:hAnsi="Arial" w:cs="Arial"/>
          <w:color w:val="36424A"/>
          <w:sz w:val="24"/>
          <w:szCs w:val="24"/>
          <w:lang w:eastAsia="en-GB"/>
        </w:rPr>
        <w:t> [2000] EGCS 84, the court underlined the conclusion that such covenants were rather different from ordinary repairing covenants and, in that case, the effect of its decision was that the landlord was liable to carry out work for which it would not have been liable under the repairing covenant. A similar result could arise where the covenant extended to an obligation to keep the property (or elements of it) in good working order (</w:t>
      </w:r>
      <w:r w:rsidRPr="0078288A">
        <w:rPr>
          <w:rFonts w:ascii="Arial" w:eastAsia="Times New Roman" w:hAnsi="Arial" w:cs="Arial"/>
          <w:i/>
          <w:iCs/>
          <w:color w:val="36424A"/>
          <w:sz w:val="24"/>
          <w:szCs w:val="24"/>
          <w:lang w:eastAsia="en-GB"/>
        </w:rPr>
        <w:t>Langham Estate Management Limited v Hardy</w:t>
      </w:r>
      <w:r w:rsidRPr="0078288A">
        <w:rPr>
          <w:rFonts w:ascii="Arial" w:eastAsia="Times New Roman" w:hAnsi="Arial" w:cs="Arial"/>
          <w:color w:val="36424A"/>
          <w:sz w:val="24"/>
          <w:szCs w:val="24"/>
          <w:lang w:eastAsia="en-GB"/>
        </w:rPr>
        <w:t> (2008)). </w:t>
      </w:r>
    </w:p>
    <w:p w:rsidR="0078288A" w:rsidRPr="0078288A" w:rsidRDefault="0078288A" w:rsidP="0078288A">
      <w:pPr>
        <w:spacing w:before="100" w:beforeAutospacing="1" w:after="100" w:afterAutospacing="1" w:line="240" w:lineRule="auto"/>
        <w:outlineLvl w:val="1"/>
        <w:rPr>
          <w:rFonts w:ascii="Arial" w:eastAsia="Times New Roman" w:hAnsi="Arial" w:cs="Arial"/>
          <w:b/>
          <w:bCs/>
          <w:color w:val="002147"/>
          <w:sz w:val="36"/>
          <w:szCs w:val="36"/>
          <w:lang w:eastAsia="en-GB"/>
        </w:rPr>
      </w:pPr>
      <w:r w:rsidRPr="0078288A">
        <w:rPr>
          <w:rFonts w:ascii="Arial" w:eastAsia="Times New Roman" w:hAnsi="Arial" w:cs="Arial"/>
          <w:b/>
          <w:bCs/>
          <w:color w:val="002147"/>
          <w:sz w:val="36"/>
          <w:szCs w:val="36"/>
          <w:lang w:eastAsia="en-GB"/>
        </w:rPr>
        <w:t>Some specific repair issues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There are a number of ways in which a covenant to repair can be expressed. In simple terms, the obligation will be ‘to repair’ the property. Sometimes, however, the obligation appears to be qualified or that simple expression is modified.</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For example, the obligation may be to ‘put the property into repair’. Where such words are encountered, one might conclude that the intention was that the tenant would be obliged to carry out whatever work was required to bring the condition of the property up to a level that would be considered ‘in repair’. In other words, the expression contemplates that the property is not in repair when the lease is entered into or it might fall out of repair and the tenant has to address that. Sometimes such covenants to put property into repair are further modified such that it appears that there is a timeframe for doing so, for example, by the use of words such as ‘forthwith’ or by reference to a specific date or a period of time. In the case of the former example, the obligation may require that the repairs are carried out within a reasonable time and, in relation to the latter example, the tenant will be in breach if it has not complied with the obligation by the date specified (although there is sometimes room for doubt about when the period begins and ends if the obligation is dependent on some other event occurring).</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Alternatively, the obligation may be to ‘keep in repair the property’. Such an expression adds little to the covenant to repair and, if the property is not in repair (whether when the lease is entered into or during the term of the lease), it still requires the tenant to put it into repair.</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Note that a covenant simply using the words ‘to repair’ implies ‘to put in repair’ and ‘to keep in repair’.</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In almost all cases, the obligation to repair is present whether or not the tenant (or the landlord where a repairing obligation is retained for all/part of the property – see </w:t>
      </w:r>
      <w:proofErr w:type="spellStart"/>
      <w:r w:rsidRPr="0078288A">
        <w:rPr>
          <w:rFonts w:ascii="Arial" w:eastAsia="Times New Roman" w:hAnsi="Arial" w:cs="Arial"/>
          <w:color w:val="36424A"/>
          <w:sz w:val="24"/>
          <w:szCs w:val="24"/>
          <w:lang w:eastAsia="en-GB"/>
        </w:rPr>
        <w:t>Daejan</w:t>
      </w:r>
      <w:proofErr w:type="spellEnd"/>
      <w:r w:rsidRPr="0078288A">
        <w:rPr>
          <w:rFonts w:ascii="Arial" w:eastAsia="Times New Roman" w:hAnsi="Arial" w:cs="Arial"/>
          <w:color w:val="36424A"/>
          <w:sz w:val="24"/>
          <w:szCs w:val="24"/>
          <w:lang w:eastAsia="en-GB"/>
        </w:rPr>
        <w:t xml:space="preserve"> Properties Ltd v Griffin (2014)) is actually aware of disrepair. However, in some limited cases the obligation may be linked to the tenant being given or having notice of the disrepair. If there is such a limitation, then the tenant (or landlord, if the obligation is on the landlord) will not be in breach unless notice has been given and requisite action not taken within any time limits (if there are any - sometimes the lease provides that the tenant may have two or three months to carry out the work). </w:t>
      </w:r>
      <w:r w:rsidRPr="0078288A">
        <w:rPr>
          <w:rFonts w:ascii="Arial" w:eastAsia="Times New Roman" w:hAnsi="Arial" w:cs="Arial"/>
          <w:color w:val="36424A"/>
          <w:sz w:val="24"/>
          <w:szCs w:val="24"/>
          <w:lang w:eastAsia="en-GB"/>
        </w:rPr>
        <w:lastRenderedPageBreak/>
        <w:t>Covenants providing for the landlord to enter, carry out work and recover the cost from the tenant are considered under </w:t>
      </w:r>
      <w:hyperlink r:id="rId19" w:history="1">
        <w:r w:rsidRPr="0078288A">
          <w:rPr>
            <w:rFonts w:ascii="Arial" w:eastAsia="Times New Roman" w:hAnsi="Arial" w:cs="Arial"/>
            <w:color w:val="684F80"/>
            <w:sz w:val="24"/>
            <w:szCs w:val="24"/>
            <w:lang w:eastAsia="en-GB"/>
          </w:rPr>
          <w:t>Jervis v Harris</w:t>
        </w:r>
      </w:hyperlink>
      <w:r w:rsidRPr="0078288A">
        <w:rPr>
          <w:rFonts w:ascii="Arial" w:eastAsia="Times New Roman" w:hAnsi="Arial" w:cs="Arial"/>
          <w:color w:val="36424A"/>
          <w:sz w:val="24"/>
          <w:szCs w:val="24"/>
          <w:lang w:eastAsia="en-GB"/>
        </w:rPr>
        <w: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For obvious reasons one needs to identify and understand the covenant to repair and its extent (its extent may be limited in some way, for example, by reference to a schedule of condition), but it is also necessary to do so because it is this covenant that is affected by </w:t>
      </w:r>
      <w:hyperlink r:id="rId20" w:history="1">
        <w:r w:rsidRPr="0078288A">
          <w:rPr>
            <w:rFonts w:ascii="Arial" w:eastAsia="Times New Roman" w:hAnsi="Arial" w:cs="Arial"/>
            <w:color w:val="684F80"/>
            <w:sz w:val="24"/>
            <w:szCs w:val="24"/>
            <w:lang w:eastAsia="en-GB"/>
          </w:rPr>
          <w:t>section 18 of the Landlord and Tenant Act 1927</w:t>
        </w:r>
      </w:hyperlink>
      <w:r w:rsidRPr="0078288A">
        <w:rPr>
          <w:rFonts w:ascii="Arial" w:eastAsia="Times New Roman" w:hAnsi="Arial" w:cs="Arial"/>
          <w:color w:val="36424A"/>
          <w:sz w:val="24"/>
          <w:szCs w:val="24"/>
          <w:lang w:eastAsia="en-GB"/>
        </w:rPr>
        <w: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For a more detailed discussion of the variations on the covenant to repair, see </w:t>
      </w:r>
      <w:hyperlink r:id="rId21" w:history="1">
        <w:r w:rsidRPr="0078288A">
          <w:rPr>
            <w:rFonts w:ascii="Arial" w:eastAsia="Times New Roman" w:hAnsi="Arial" w:cs="Arial"/>
            <w:color w:val="684F80"/>
            <w:sz w:val="24"/>
            <w:szCs w:val="24"/>
            <w:lang w:eastAsia="en-GB"/>
          </w:rPr>
          <w:t>Dowding and Reynolds</w:t>
        </w:r>
      </w:hyperlink>
      <w:r w:rsidRPr="0078288A">
        <w:rPr>
          <w:rFonts w:ascii="Arial" w:eastAsia="Times New Roman" w:hAnsi="Arial" w:cs="Arial"/>
          <w:color w:val="36424A"/>
          <w:sz w:val="24"/>
          <w:szCs w:val="24"/>
          <w:lang w:eastAsia="en-GB"/>
        </w:rPr>
        <w:t>, chapter 14.</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covenant to repair carries with it an implied covenant not to destroy the subject matter of the covenant, in whole or in part.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See </w:t>
      </w:r>
      <w:r w:rsidRPr="0078288A">
        <w:rPr>
          <w:rFonts w:ascii="Arial" w:eastAsia="Times New Roman" w:hAnsi="Arial" w:cs="Arial"/>
          <w:i/>
          <w:iCs/>
          <w:color w:val="36424A"/>
          <w:sz w:val="24"/>
          <w:szCs w:val="24"/>
          <w:lang w:eastAsia="en-GB"/>
        </w:rPr>
        <w:t xml:space="preserve">Devonshire Reid Properties Ltd v </w:t>
      </w:r>
      <w:proofErr w:type="spellStart"/>
      <w:r w:rsidRPr="0078288A">
        <w:rPr>
          <w:rFonts w:ascii="Arial" w:eastAsia="Times New Roman" w:hAnsi="Arial" w:cs="Arial"/>
          <w:i/>
          <w:iCs/>
          <w:color w:val="36424A"/>
          <w:sz w:val="24"/>
          <w:szCs w:val="24"/>
          <w:lang w:eastAsia="en-GB"/>
        </w:rPr>
        <w:t>Trenaman</w:t>
      </w:r>
      <w:proofErr w:type="spellEnd"/>
      <w:r w:rsidRPr="0078288A">
        <w:rPr>
          <w:rFonts w:ascii="Arial" w:eastAsia="Times New Roman" w:hAnsi="Arial" w:cs="Arial"/>
          <w:color w:val="36424A"/>
          <w:sz w:val="24"/>
          <w:szCs w:val="24"/>
          <w:lang w:eastAsia="en-GB"/>
        </w:rPr>
        <w:t> (1997) and </w:t>
      </w:r>
      <w:r w:rsidRPr="0078288A">
        <w:rPr>
          <w:rFonts w:ascii="Arial" w:eastAsia="Times New Roman" w:hAnsi="Arial" w:cs="Arial"/>
          <w:i/>
          <w:iCs/>
          <w:color w:val="36424A"/>
          <w:sz w:val="24"/>
          <w:szCs w:val="24"/>
          <w:lang w:eastAsia="en-GB"/>
        </w:rPr>
        <w:t>Hannon v 169 Queens Gate Ltd</w:t>
      </w:r>
      <w:r w:rsidRPr="0078288A">
        <w:rPr>
          <w:rFonts w:ascii="Arial" w:eastAsia="Times New Roman" w:hAnsi="Arial" w:cs="Arial"/>
          <w:color w:val="36424A"/>
          <w:sz w:val="24"/>
          <w:szCs w:val="24"/>
          <w:lang w:eastAsia="en-GB"/>
        </w:rPr>
        <w:t> (2000).</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b/>
          <w:bCs/>
          <w:color w:val="36424A"/>
          <w:sz w:val="24"/>
          <w:szCs w:val="24"/>
          <w:lang w:eastAsia="en-GB"/>
        </w:rPr>
        <w:t>Cases concerning the extent of the property to which the obligation attaches</w:t>
      </w:r>
    </w:p>
    <w:p w:rsidR="0078288A" w:rsidRPr="0078288A" w:rsidRDefault="0078288A" w:rsidP="0078288A">
      <w:pPr>
        <w:numPr>
          <w:ilvl w:val="0"/>
          <w:numId w:val="2"/>
        </w:numPr>
        <w:spacing w:beforeAutospacing="1" w:after="0" w:afterAutospacing="1" w:line="240" w:lineRule="auto"/>
        <w:rPr>
          <w:rFonts w:ascii="Arial" w:eastAsia="Times New Roman" w:hAnsi="Arial" w:cs="Arial"/>
          <w:color w:val="36424A"/>
          <w:sz w:val="24"/>
          <w:szCs w:val="24"/>
          <w:lang w:eastAsia="en-GB"/>
        </w:rPr>
      </w:pPr>
      <w:hyperlink r:id="rId22" w:history="1">
        <w:r w:rsidRPr="0078288A">
          <w:rPr>
            <w:rFonts w:ascii="Arial" w:eastAsia="Times New Roman" w:hAnsi="Arial" w:cs="Arial"/>
            <w:color w:val="684F80"/>
            <w:sz w:val="24"/>
            <w:szCs w:val="24"/>
            <w:lang w:eastAsia="en-GB"/>
          </w:rPr>
          <w:t>Grigsby v Melville (1974)</w:t>
        </w:r>
      </w:hyperlink>
    </w:p>
    <w:p w:rsidR="0078288A" w:rsidRPr="0078288A" w:rsidRDefault="0078288A" w:rsidP="0078288A">
      <w:pPr>
        <w:numPr>
          <w:ilvl w:val="0"/>
          <w:numId w:val="2"/>
        </w:numPr>
        <w:spacing w:beforeAutospacing="1" w:after="0" w:afterAutospacing="1" w:line="240" w:lineRule="auto"/>
        <w:rPr>
          <w:rFonts w:ascii="Arial" w:eastAsia="Times New Roman" w:hAnsi="Arial" w:cs="Arial"/>
          <w:color w:val="36424A"/>
          <w:sz w:val="24"/>
          <w:szCs w:val="24"/>
          <w:lang w:eastAsia="en-GB"/>
        </w:rPr>
      </w:pPr>
      <w:hyperlink r:id="rId23" w:history="1">
        <w:r w:rsidRPr="0078288A">
          <w:rPr>
            <w:rFonts w:ascii="Arial" w:eastAsia="Times New Roman" w:hAnsi="Arial" w:cs="Arial"/>
            <w:color w:val="684F80"/>
            <w:sz w:val="24"/>
            <w:szCs w:val="24"/>
            <w:lang w:eastAsia="en-GB"/>
          </w:rPr>
          <w:t xml:space="preserve">Davies v </w:t>
        </w:r>
        <w:proofErr w:type="spellStart"/>
        <w:r w:rsidRPr="0078288A">
          <w:rPr>
            <w:rFonts w:ascii="Arial" w:eastAsia="Times New Roman" w:hAnsi="Arial" w:cs="Arial"/>
            <w:color w:val="684F80"/>
            <w:sz w:val="24"/>
            <w:szCs w:val="24"/>
            <w:lang w:eastAsia="en-GB"/>
          </w:rPr>
          <w:t>Yadegar</w:t>
        </w:r>
        <w:proofErr w:type="spellEnd"/>
        <w:r w:rsidRPr="0078288A">
          <w:rPr>
            <w:rFonts w:ascii="Arial" w:eastAsia="Times New Roman" w:hAnsi="Arial" w:cs="Arial"/>
            <w:color w:val="684F80"/>
            <w:sz w:val="24"/>
            <w:szCs w:val="24"/>
            <w:lang w:eastAsia="en-GB"/>
          </w:rPr>
          <w:t xml:space="preserve"> (1990)</w:t>
        </w:r>
      </w:hyperlink>
    </w:p>
    <w:p w:rsidR="0078288A" w:rsidRPr="0078288A" w:rsidRDefault="0078288A" w:rsidP="0078288A">
      <w:pPr>
        <w:numPr>
          <w:ilvl w:val="0"/>
          <w:numId w:val="2"/>
        </w:numPr>
        <w:spacing w:beforeAutospacing="1" w:after="0" w:afterAutospacing="1" w:line="240" w:lineRule="auto"/>
        <w:rPr>
          <w:rFonts w:ascii="Arial" w:eastAsia="Times New Roman" w:hAnsi="Arial" w:cs="Arial"/>
          <w:color w:val="36424A"/>
          <w:sz w:val="24"/>
          <w:szCs w:val="24"/>
          <w:lang w:eastAsia="en-GB"/>
        </w:rPr>
      </w:pPr>
      <w:hyperlink r:id="rId24" w:history="1">
        <w:r w:rsidRPr="0078288A">
          <w:rPr>
            <w:rFonts w:ascii="Arial" w:eastAsia="Times New Roman" w:hAnsi="Arial" w:cs="Arial"/>
            <w:color w:val="684F80"/>
            <w:sz w:val="24"/>
            <w:szCs w:val="24"/>
            <w:lang w:eastAsia="en-GB"/>
          </w:rPr>
          <w:t>Cockburn v Smith (1924)</w:t>
        </w:r>
      </w:hyperlink>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b/>
          <w:bCs/>
          <w:color w:val="36424A"/>
          <w:sz w:val="24"/>
          <w:szCs w:val="24"/>
          <w:lang w:eastAsia="en-GB"/>
        </w:rPr>
        <w:t>Cases concerning the extent of the work required or permitted by the obligation</w:t>
      </w:r>
    </w:p>
    <w:p w:rsidR="0078288A" w:rsidRPr="0078288A" w:rsidRDefault="0078288A" w:rsidP="0078288A">
      <w:pPr>
        <w:numPr>
          <w:ilvl w:val="0"/>
          <w:numId w:val="3"/>
        </w:numPr>
        <w:spacing w:beforeAutospacing="1" w:after="0" w:afterAutospacing="1" w:line="240" w:lineRule="auto"/>
        <w:rPr>
          <w:rFonts w:ascii="Arial" w:eastAsia="Times New Roman" w:hAnsi="Arial" w:cs="Arial"/>
          <w:color w:val="36424A"/>
          <w:sz w:val="24"/>
          <w:szCs w:val="24"/>
          <w:lang w:eastAsia="en-GB"/>
        </w:rPr>
      </w:pPr>
      <w:hyperlink r:id="rId25" w:history="1">
        <w:r w:rsidRPr="0078288A">
          <w:rPr>
            <w:rFonts w:ascii="Arial" w:eastAsia="Times New Roman" w:hAnsi="Arial" w:cs="Arial"/>
            <w:color w:val="684F80"/>
            <w:sz w:val="24"/>
            <w:szCs w:val="24"/>
            <w:lang w:eastAsia="en-GB"/>
          </w:rPr>
          <w:t xml:space="preserve">Brew Bros Ltd v </w:t>
        </w:r>
        <w:proofErr w:type="spellStart"/>
        <w:r w:rsidRPr="0078288A">
          <w:rPr>
            <w:rFonts w:ascii="Arial" w:eastAsia="Times New Roman" w:hAnsi="Arial" w:cs="Arial"/>
            <w:color w:val="684F80"/>
            <w:sz w:val="24"/>
            <w:szCs w:val="24"/>
            <w:lang w:eastAsia="en-GB"/>
          </w:rPr>
          <w:t>Snax</w:t>
        </w:r>
        <w:proofErr w:type="spellEnd"/>
        <w:r w:rsidRPr="0078288A">
          <w:rPr>
            <w:rFonts w:ascii="Arial" w:eastAsia="Times New Roman" w:hAnsi="Arial" w:cs="Arial"/>
            <w:color w:val="684F80"/>
            <w:sz w:val="24"/>
            <w:szCs w:val="24"/>
            <w:lang w:eastAsia="en-GB"/>
          </w:rPr>
          <w:t xml:space="preserve"> (Ross) Ltd (1970)</w:t>
        </w:r>
      </w:hyperlink>
    </w:p>
    <w:p w:rsidR="0078288A" w:rsidRPr="0078288A" w:rsidRDefault="0078288A" w:rsidP="0078288A">
      <w:pPr>
        <w:numPr>
          <w:ilvl w:val="0"/>
          <w:numId w:val="3"/>
        </w:numPr>
        <w:spacing w:beforeAutospacing="1" w:after="0" w:afterAutospacing="1" w:line="240" w:lineRule="auto"/>
        <w:rPr>
          <w:rFonts w:ascii="Arial" w:eastAsia="Times New Roman" w:hAnsi="Arial" w:cs="Arial"/>
          <w:color w:val="36424A"/>
          <w:sz w:val="24"/>
          <w:szCs w:val="24"/>
          <w:lang w:eastAsia="en-GB"/>
        </w:rPr>
      </w:pPr>
      <w:hyperlink r:id="rId26" w:history="1">
        <w:r w:rsidRPr="0078288A">
          <w:rPr>
            <w:rFonts w:ascii="Arial" w:eastAsia="Times New Roman" w:hAnsi="Arial" w:cs="Arial"/>
            <w:color w:val="684F80"/>
            <w:sz w:val="24"/>
            <w:szCs w:val="24"/>
            <w:lang w:eastAsia="en-GB"/>
          </w:rPr>
          <w:t>Holding &amp; Management Ltd v Property Holding &amp; Investment Trust plc (1990)</w:t>
        </w:r>
      </w:hyperlink>
    </w:p>
    <w:p w:rsidR="0078288A" w:rsidRPr="0078288A" w:rsidRDefault="0078288A" w:rsidP="0078288A">
      <w:pPr>
        <w:numPr>
          <w:ilvl w:val="0"/>
          <w:numId w:val="3"/>
        </w:numPr>
        <w:spacing w:beforeAutospacing="1" w:after="0" w:afterAutospacing="1" w:line="240" w:lineRule="auto"/>
        <w:rPr>
          <w:rFonts w:ascii="Arial" w:eastAsia="Times New Roman" w:hAnsi="Arial" w:cs="Arial"/>
          <w:color w:val="36424A"/>
          <w:sz w:val="24"/>
          <w:szCs w:val="24"/>
          <w:lang w:eastAsia="en-GB"/>
        </w:rPr>
      </w:pPr>
      <w:hyperlink r:id="rId27" w:history="1">
        <w:proofErr w:type="spellStart"/>
        <w:r w:rsidRPr="0078288A">
          <w:rPr>
            <w:rFonts w:ascii="Arial" w:eastAsia="Times New Roman" w:hAnsi="Arial" w:cs="Arial"/>
            <w:color w:val="684F80"/>
            <w:sz w:val="24"/>
            <w:szCs w:val="24"/>
            <w:lang w:eastAsia="en-GB"/>
          </w:rPr>
          <w:t>Creska</w:t>
        </w:r>
        <w:proofErr w:type="spellEnd"/>
        <w:r w:rsidRPr="0078288A">
          <w:rPr>
            <w:rFonts w:ascii="Arial" w:eastAsia="Times New Roman" w:hAnsi="Arial" w:cs="Arial"/>
            <w:color w:val="684F80"/>
            <w:sz w:val="24"/>
            <w:szCs w:val="24"/>
            <w:lang w:eastAsia="en-GB"/>
          </w:rPr>
          <w:t xml:space="preserve"> Ltd v Hammersmith and Fulham London Borough Council (1998)</w:t>
        </w:r>
      </w:hyperlink>
    </w:p>
    <w:p w:rsidR="0078288A" w:rsidRPr="0078288A" w:rsidRDefault="0078288A" w:rsidP="0078288A">
      <w:pPr>
        <w:numPr>
          <w:ilvl w:val="0"/>
          <w:numId w:val="3"/>
        </w:numPr>
        <w:spacing w:beforeAutospacing="1" w:after="0" w:afterAutospacing="1" w:line="240" w:lineRule="auto"/>
        <w:rPr>
          <w:rFonts w:ascii="Arial" w:eastAsia="Times New Roman" w:hAnsi="Arial" w:cs="Arial"/>
          <w:color w:val="36424A"/>
          <w:sz w:val="24"/>
          <w:szCs w:val="24"/>
          <w:lang w:eastAsia="en-GB"/>
        </w:rPr>
      </w:pPr>
      <w:hyperlink r:id="rId28" w:history="1">
        <w:proofErr w:type="spellStart"/>
        <w:r w:rsidRPr="0078288A">
          <w:rPr>
            <w:rFonts w:ascii="Arial" w:eastAsia="Times New Roman" w:hAnsi="Arial" w:cs="Arial"/>
            <w:color w:val="684F80"/>
            <w:sz w:val="24"/>
            <w:szCs w:val="24"/>
            <w:lang w:eastAsia="en-GB"/>
          </w:rPr>
          <w:t>Postel</w:t>
        </w:r>
        <w:proofErr w:type="spellEnd"/>
        <w:r w:rsidRPr="0078288A">
          <w:rPr>
            <w:rFonts w:ascii="Arial" w:eastAsia="Times New Roman" w:hAnsi="Arial" w:cs="Arial"/>
            <w:color w:val="684F80"/>
            <w:sz w:val="24"/>
            <w:szCs w:val="24"/>
            <w:lang w:eastAsia="en-GB"/>
          </w:rPr>
          <w:t xml:space="preserve"> Properties Ltd v Boots the Chemist Ltd (1996)</w:t>
        </w:r>
      </w:hyperlink>
    </w:p>
    <w:p w:rsidR="0078288A" w:rsidRPr="0078288A" w:rsidRDefault="0078288A" w:rsidP="0078288A">
      <w:pPr>
        <w:numPr>
          <w:ilvl w:val="0"/>
          <w:numId w:val="3"/>
        </w:numPr>
        <w:spacing w:beforeAutospacing="1" w:after="0" w:afterAutospacing="1" w:line="240" w:lineRule="auto"/>
        <w:rPr>
          <w:rFonts w:ascii="Arial" w:eastAsia="Times New Roman" w:hAnsi="Arial" w:cs="Arial"/>
          <w:color w:val="36424A"/>
          <w:sz w:val="24"/>
          <w:szCs w:val="24"/>
          <w:lang w:eastAsia="en-GB"/>
        </w:rPr>
      </w:pPr>
      <w:hyperlink r:id="rId29" w:history="1">
        <w:proofErr w:type="spellStart"/>
        <w:r w:rsidRPr="0078288A">
          <w:rPr>
            <w:rFonts w:ascii="Arial" w:eastAsia="Times New Roman" w:hAnsi="Arial" w:cs="Arial"/>
            <w:color w:val="684F80"/>
            <w:sz w:val="24"/>
            <w:szCs w:val="24"/>
            <w:lang w:eastAsia="en-GB"/>
          </w:rPr>
          <w:t>Ravenseft</w:t>
        </w:r>
        <w:proofErr w:type="spellEnd"/>
        <w:r w:rsidRPr="0078288A">
          <w:rPr>
            <w:rFonts w:ascii="Arial" w:eastAsia="Times New Roman" w:hAnsi="Arial" w:cs="Arial"/>
            <w:color w:val="684F80"/>
            <w:sz w:val="24"/>
            <w:szCs w:val="24"/>
            <w:lang w:eastAsia="en-GB"/>
          </w:rPr>
          <w:t xml:space="preserve"> Properties Ltd v </w:t>
        </w:r>
        <w:proofErr w:type="spellStart"/>
        <w:r w:rsidRPr="0078288A">
          <w:rPr>
            <w:rFonts w:ascii="Arial" w:eastAsia="Times New Roman" w:hAnsi="Arial" w:cs="Arial"/>
            <w:color w:val="684F80"/>
            <w:sz w:val="24"/>
            <w:szCs w:val="24"/>
            <w:lang w:eastAsia="en-GB"/>
          </w:rPr>
          <w:t>Davstone</w:t>
        </w:r>
        <w:proofErr w:type="spellEnd"/>
        <w:r w:rsidRPr="0078288A">
          <w:rPr>
            <w:rFonts w:ascii="Arial" w:eastAsia="Times New Roman" w:hAnsi="Arial" w:cs="Arial"/>
            <w:color w:val="684F80"/>
            <w:sz w:val="24"/>
            <w:szCs w:val="24"/>
            <w:lang w:eastAsia="en-GB"/>
          </w:rPr>
          <w:t xml:space="preserve"> (Holdings) Ltd (1979)</w:t>
        </w:r>
      </w:hyperlink>
    </w:p>
    <w:p w:rsidR="0078288A" w:rsidRPr="0078288A" w:rsidRDefault="0078288A" w:rsidP="0078288A">
      <w:pPr>
        <w:numPr>
          <w:ilvl w:val="0"/>
          <w:numId w:val="3"/>
        </w:numPr>
        <w:spacing w:beforeAutospacing="1" w:after="0" w:afterAutospacing="1" w:line="240" w:lineRule="auto"/>
        <w:rPr>
          <w:rFonts w:ascii="Arial" w:eastAsia="Times New Roman" w:hAnsi="Arial" w:cs="Arial"/>
          <w:color w:val="36424A"/>
          <w:sz w:val="24"/>
          <w:szCs w:val="24"/>
          <w:lang w:eastAsia="en-GB"/>
        </w:rPr>
      </w:pPr>
      <w:hyperlink r:id="rId30" w:history="1">
        <w:r w:rsidRPr="0078288A">
          <w:rPr>
            <w:rFonts w:ascii="Arial" w:eastAsia="Times New Roman" w:hAnsi="Arial" w:cs="Arial"/>
            <w:color w:val="684F80"/>
            <w:sz w:val="24"/>
            <w:szCs w:val="24"/>
            <w:lang w:eastAsia="en-GB"/>
          </w:rPr>
          <w:t>Post Office v Aquarius Properties Ltd (1987)</w:t>
        </w:r>
      </w:hyperlink>
    </w:p>
    <w:p w:rsidR="0078288A" w:rsidRPr="0078288A" w:rsidRDefault="0078288A" w:rsidP="0078288A">
      <w:pPr>
        <w:numPr>
          <w:ilvl w:val="0"/>
          <w:numId w:val="3"/>
        </w:numPr>
        <w:spacing w:beforeAutospacing="1" w:after="0" w:afterAutospacing="1" w:line="240" w:lineRule="auto"/>
        <w:rPr>
          <w:rFonts w:ascii="Arial" w:eastAsia="Times New Roman" w:hAnsi="Arial" w:cs="Arial"/>
          <w:color w:val="36424A"/>
          <w:sz w:val="24"/>
          <w:szCs w:val="24"/>
          <w:lang w:eastAsia="en-GB"/>
        </w:rPr>
      </w:pPr>
      <w:hyperlink r:id="rId31" w:history="1">
        <w:r w:rsidRPr="0078288A">
          <w:rPr>
            <w:rFonts w:ascii="Arial" w:eastAsia="Times New Roman" w:hAnsi="Arial" w:cs="Arial"/>
            <w:color w:val="684F80"/>
            <w:sz w:val="24"/>
            <w:szCs w:val="24"/>
            <w:lang w:eastAsia="en-GB"/>
          </w:rPr>
          <w:t>Gibson Investments Ltd v Chesterton plc (No. 1) (2002)</w:t>
        </w:r>
      </w:hyperlink>
    </w:p>
    <w:p w:rsidR="0078288A" w:rsidRPr="0078288A" w:rsidRDefault="0078288A" w:rsidP="0078288A">
      <w:pPr>
        <w:numPr>
          <w:ilvl w:val="0"/>
          <w:numId w:val="3"/>
        </w:numPr>
        <w:spacing w:beforeAutospacing="1" w:after="0" w:afterAutospacing="1" w:line="240" w:lineRule="auto"/>
        <w:rPr>
          <w:rFonts w:ascii="Arial" w:eastAsia="Times New Roman" w:hAnsi="Arial" w:cs="Arial"/>
          <w:color w:val="36424A"/>
          <w:sz w:val="24"/>
          <w:szCs w:val="24"/>
          <w:lang w:eastAsia="en-GB"/>
        </w:rPr>
      </w:pPr>
      <w:hyperlink r:id="rId32" w:history="1">
        <w:proofErr w:type="spellStart"/>
        <w:r w:rsidRPr="0078288A">
          <w:rPr>
            <w:rFonts w:ascii="Arial" w:eastAsia="Times New Roman" w:hAnsi="Arial" w:cs="Arial"/>
            <w:color w:val="684F80"/>
            <w:sz w:val="24"/>
            <w:szCs w:val="24"/>
            <w:lang w:eastAsia="en-GB"/>
          </w:rPr>
          <w:t>Elmcroft</w:t>
        </w:r>
        <w:proofErr w:type="spellEnd"/>
        <w:r w:rsidRPr="0078288A">
          <w:rPr>
            <w:rFonts w:ascii="Arial" w:eastAsia="Times New Roman" w:hAnsi="Arial" w:cs="Arial"/>
            <w:color w:val="684F80"/>
            <w:sz w:val="24"/>
            <w:szCs w:val="24"/>
            <w:lang w:eastAsia="en-GB"/>
          </w:rPr>
          <w:t xml:space="preserve"> Developments Ltd v Tankersley-Sawyer (1984)</w:t>
        </w:r>
      </w:hyperlink>
    </w:p>
    <w:p w:rsidR="0078288A" w:rsidRPr="0078288A" w:rsidRDefault="0078288A" w:rsidP="0078288A">
      <w:pPr>
        <w:numPr>
          <w:ilvl w:val="0"/>
          <w:numId w:val="3"/>
        </w:numPr>
        <w:spacing w:before="100" w:beforeAutospacing="1" w:after="100" w:afterAutospacing="1" w:line="240" w:lineRule="auto"/>
        <w:rPr>
          <w:rFonts w:ascii="Arial" w:eastAsia="Times New Roman" w:hAnsi="Arial" w:cs="Arial"/>
          <w:color w:val="36424A"/>
          <w:sz w:val="24"/>
          <w:szCs w:val="24"/>
          <w:lang w:eastAsia="en-GB"/>
        </w:rPr>
      </w:pPr>
      <w:proofErr w:type="spellStart"/>
      <w:r w:rsidRPr="0078288A">
        <w:rPr>
          <w:rFonts w:ascii="Arial" w:eastAsia="Times New Roman" w:hAnsi="Arial" w:cs="Arial"/>
          <w:color w:val="36424A"/>
          <w:sz w:val="24"/>
          <w:szCs w:val="24"/>
          <w:lang w:eastAsia="en-GB"/>
        </w:rPr>
        <w:t>Pembery</w:t>
      </w:r>
      <w:proofErr w:type="spellEnd"/>
      <w:r w:rsidRPr="0078288A">
        <w:rPr>
          <w:rFonts w:ascii="Arial" w:eastAsia="Times New Roman" w:hAnsi="Arial" w:cs="Arial"/>
          <w:color w:val="36424A"/>
          <w:sz w:val="24"/>
          <w:szCs w:val="24"/>
          <w:lang w:eastAsia="en-GB"/>
        </w:rPr>
        <w:t xml:space="preserve"> v </w:t>
      </w:r>
      <w:proofErr w:type="spellStart"/>
      <w:r w:rsidRPr="0078288A">
        <w:rPr>
          <w:rFonts w:ascii="Arial" w:eastAsia="Times New Roman" w:hAnsi="Arial" w:cs="Arial"/>
          <w:color w:val="36424A"/>
          <w:sz w:val="24"/>
          <w:szCs w:val="24"/>
          <w:lang w:eastAsia="en-GB"/>
        </w:rPr>
        <w:t>Lamdin</w:t>
      </w:r>
      <w:proofErr w:type="spellEnd"/>
      <w:r w:rsidRPr="0078288A">
        <w:rPr>
          <w:rFonts w:ascii="Arial" w:eastAsia="Times New Roman" w:hAnsi="Arial" w:cs="Arial"/>
          <w:color w:val="36424A"/>
          <w:sz w:val="24"/>
          <w:szCs w:val="24"/>
          <w:lang w:eastAsia="en-GB"/>
        </w:rPr>
        <w:t xml:space="preserve"> (1940)</w:t>
      </w:r>
    </w:p>
    <w:p w:rsidR="0078288A" w:rsidRPr="0078288A" w:rsidRDefault="0078288A" w:rsidP="0078288A">
      <w:pPr>
        <w:numPr>
          <w:ilvl w:val="0"/>
          <w:numId w:val="3"/>
        </w:numPr>
        <w:spacing w:beforeAutospacing="1" w:after="0" w:afterAutospacing="1" w:line="240" w:lineRule="auto"/>
        <w:rPr>
          <w:rFonts w:ascii="Arial" w:eastAsia="Times New Roman" w:hAnsi="Arial" w:cs="Arial"/>
          <w:color w:val="36424A"/>
          <w:sz w:val="24"/>
          <w:szCs w:val="24"/>
          <w:lang w:eastAsia="en-GB"/>
        </w:rPr>
      </w:pPr>
      <w:hyperlink r:id="rId33" w:history="1">
        <w:proofErr w:type="spellStart"/>
        <w:r w:rsidRPr="0078288A">
          <w:rPr>
            <w:rFonts w:ascii="Arial" w:eastAsia="Times New Roman" w:hAnsi="Arial" w:cs="Arial"/>
            <w:color w:val="684F80"/>
            <w:sz w:val="24"/>
            <w:szCs w:val="24"/>
            <w:lang w:eastAsia="en-GB"/>
          </w:rPr>
          <w:t>Minja</w:t>
        </w:r>
        <w:proofErr w:type="spellEnd"/>
        <w:r w:rsidRPr="0078288A">
          <w:rPr>
            <w:rFonts w:ascii="Arial" w:eastAsia="Times New Roman" w:hAnsi="Arial" w:cs="Arial"/>
            <w:color w:val="684F80"/>
            <w:sz w:val="24"/>
            <w:szCs w:val="24"/>
            <w:lang w:eastAsia="en-GB"/>
          </w:rPr>
          <w:t xml:space="preserve"> Properties Ltd v </w:t>
        </w:r>
        <w:proofErr w:type="spellStart"/>
        <w:r w:rsidRPr="0078288A">
          <w:rPr>
            <w:rFonts w:ascii="Arial" w:eastAsia="Times New Roman" w:hAnsi="Arial" w:cs="Arial"/>
            <w:color w:val="684F80"/>
            <w:sz w:val="24"/>
            <w:szCs w:val="24"/>
            <w:lang w:eastAsia="en-GB"/>
          </w:rPr>
          <w:t>Cussins</w:t>
        </w:r>
        <w:proofErr w:type="spellEnd"/>
        <w:r w:rsidRPr="0078288A">
          <w:rPr>
            <w:rFonts w:ascii="Arial" w:eastAsia="Times New Roman" w:hAnsi="Arial" w:cs="Arial"/>
            <w:color w:val="684F80"/>
            <w:sz w:val="24"/>
            <w:szCs w:val="24"/>
            <w:lang w:eastAsia="en-GB"/>
          </w:rPr>
          <w:t xml:space="preserve"> Property Group plc (1998)</w:t>
        </w:r>
      </w:hyperlink>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b/>
          <w:bCs/>
          <w:color w:val="36424A"/>
          <w:sz w:val="24"/>
          <w:szCs w:val="24"/>
          <w:lang w:eastAsia="en-GB"/>
        </w:rPr>
        <w:t>Cases illustrating the approach of the courts to particular parts of a property</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It is important to treat reference to case law with caution. Each case turns on its own facts and cannot necessarily be relied upon as determinative of how the court would decide on a specific problem.</w:t>
      </w:r>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Roofs (repair/replacement/improvement): </w:t>
      </w:r>
      <w:proofErr w:type="spellStart"/>
      <w:r w:rsidRPr="0078288A">
        <w:rPr>
          <w:rFonts w:ascii="Arial" w:eastAsia="Times New Roman" w:hAnsi="Arial" w:cs="Arial"/>
          <w:color w:val="36424A"/>
          <w:sz w:val="24"/>
          <w:szCs w:val="24"/>
          <w:lang w:eastAsia="en-GB"/>
        </w:rPr>
        <w:fldChar w:fldCharType="begin"/>
      </w:r>
      <w:r w:rsidRPr="0078288A">
        <w:rPr>
          <w:rFonts w:ascii="Arial" w:eastAsia="Times New Roman" w:hAnsi="Arial" w:cs="Arial"/>
          <w:color w:val="36424A"/>
          <w:sz w:val="24"/>
          <w:szCs w:val="24"/>
          <w:lang w:eastAsia="en-GB"/>
        </w:rPr>
        <w:instrText xml:space="preserve"> HYPERLINK "https://www.isurv.com/site/scripts/documents_info.aspx?documentID=5018" </w:instrText>
      </w:r>
      <w:r w:rsidRPr="0078288A">
        <w:rPr>
          <w:rFonts w:ascii="Arial" w:eastAsia="Times New Roman" w:hAnsi="Arial" w:cs="Arial"/>
          <w:color w:val="36424A"/>
          <w:sz w:val="24"/>
          <w:szCs w:val="24"/>
          <w:lang w:eastAsia="en-GB"/>
        </w:rPr>
        <w:fldChar w:fldCharType="separate"/>
      </w:r>
      <w:r w:rsidRPr="0078288A">
        <w:rPr>
          <w:rFonts w:ascii="Arial" w:eastAsia="Times New Roman" w:hAnsi="Arial" w:cs="Arial"/>
          <w:color w:val="684F80"/>
          <w:sz w:val="24"/>
          <w:szCs w:val="24"/>
          <w:lang w:eastAsia="en-GB"/>
        </w:rPr>
        <w:t>Postel</w:t>
      </w:r>
      <w:proofErr w:type="spellEnd"/>
      <w:r w:rsidRPr="0078288A">
        <w:rPr>
          <w:rFonts w:ascii="Arial" w:eastAsia="Times New Roman" w:hAnsi="Arial" w:cs="Arial"/>
          <w:color w:val="684F80"/>
          <w:sz w:val="24"/>
          <w:szCs w:val="24"/>
          <w:lang w:eastAsia="en-GB"/>
        </w:rPr>
        <w:t xml:space="preserve"> Properties Ltd v Boots the Chemist Ltd (1996)</w:t>
      </w:r>
      <w:r w:rsidRPr="0078288A">
        <w:rPr>
          <w:rFonts w:ascii="Arial" w:eastAsia="Times New Roman" w:hAnsi="Arial" w:cs="Arial"/>
          <w:color w:val="36424A"/>
          <w:sz w:val="24"/>
          <w:szCs w:val="24"/>
          <w:lang w:eastAsia="en-GB"/>
        </w:rPr>
        <w:fldChar w:fldCharType="end"/>
      </w:r>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Roofs (including asbestos roofing sheets and tiles): </w:t>
      </w:r>
      <w:hyperlink r:id="rId34" w:history="1">
        <w:r w:rsidRPr="0078288A">
          <w:rPr>
            <w:rFonts w:ascii="Arial" w:eastAsia="Times New Roman" w:hAnsi="Arial" w:cs="Arial"/>
            <w:color w:val="684F80"/>
            <w:sz w:val="24"/>
            <w:szCs w:val="24"/>
            <w:lang w:eastAsia="en-GB"/>
          </w:rPr>
          <w:t xml:space="preserve">Sun Life Assurance plc v Thales </w:t>
        </w:r>
        <w:proofErr w:type="spellStart"/>
        <w:r w:rsidRPr="0078288A">
          <w:rPr>
            <w:rFonts w:ascii="Arial" w:eastAsia="Times New Roman" w:hAnsi="Arial" w:cs="Arial"/>
            <w:color w:val="684F80"/>
            <w:sz w:val="24"/>
            <w:szCs w:val="24"/>
            <w:lang w:eastAsia="en-GB"/>
          </w:rPr>
          <w:t>Tracs</w:t>
        </w:r>
        <w:proofErr w:type="spellEnd"/>
        <w:r w:rsidRPr="0078288A">
          <w:rPr>
            <w:rFonts w:ascii="Arial" w:eastAsia="Times New Roman" w:hAnsi="Arial" w:cs="Arial"/>
            <w:color w:val="684F80"/>
            <w:sz w:val="24"/>
            <w:szCs w:val="24"/>
            <w:lang w:eastAsia="en-GB"/>
          </w:rPr>
          <w:t xml:space="preserve"> Ltd (2001)</w:t>
        </w:r>
      </w:hyperlink>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Roofs (including asbestos roofing sheets): </w:t>
      </w:r>
      <w:hyperlink r:id="rId35" w:history="1">
        <w:r w:rsidRPr="0078288A">
          <w:rPr>
            <w:rFonts w:ascii="Arial" w:eastAsia="Times New Roman" w:hAnsi="Arial" w:cs="Arial"/>
            <w:color w:val="684F80"/>
            <w:sz w:val="24"/>
            <w:szCs w:val="24"/>
            <w:lang w:eastAsia="en-GB"/>
          </w:rPr>
          <w:t>Riverside Property Investments Ltd v Blackhawk Automotive (2004)</w:t>
        </w:r>
      </w:hyperlink>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lastRenderedPageBreak/>
        <w:t>Roofs (repair or replacement/new materials): </w:t>
      </w:r>
      <w:hyperlink r:id="rId36" w:history="1">
        <w:r w:rsidRPr="0078288A">
          <w:rPr>
            <w:rFonts w:ascii="Arial" w:eastAsia="Times New Roman" w:hAnsi="Arial" w:cs="Arial"/>
            <w:color w:val="684F80"/>
            <w:sz w:val="24"/>
            <w:szCs w:val="24"/>
            <w:lang w:eastAsia="en-GB"/>
          </w:rPr>
          <w:t>Elite Investments Ltd v TI Bainbridge Silencers Ltd (1986)</w:t>
        </w:r>
      </w:hyperlink>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Windows/window frames: </w:t>
      </w:r>
      <w:proofErr w:type="spellStart"/>
      <w:r w:rsidRPr="0078288A">
        <w:rPr>
          <w:rFonts w:ascii="Arial" w:eastAsia="Times New Roman" w:hAnsi="Arial" w:cs="Arial"/>
          <w:color w:val="36424A"/>
          <w:sz w:val="24"/>
          <w:szCs w:val="24"/>
          <w:lang w:eastAsia="en-GB"/>
        </w:rPr>
        <w:fldChar w:fldCharType="begin"/>
      </w:r>
      <w:r w:rsidRPr="0078288A">
        <w:rPr>
          <w:rFonts w:ascii="Arial" w:eastAsia="Times New Roman" w:hAnsi="Arial" w:cs="Arial"/>
          <w:color w:val="36424A"/>
          <w:sz w:val="24"/>
          <w:szCs w:val="24"/>
          <w:lang w:eastAsia="en-GB"/>
        </w:rPr>
        <w:instrText xml:space="preserve"> HYPERLINK "https://www.isurv.com/site/scripts/documents_info.aspx?documentID=6827" </w:instrText>
      </w:r>
      <w:r w:rsidRPr="0078288A">
        <w:rPr>
          <w:rFonts w:ascii="Arial" w:eastAsia="Times New Roman" w:hAnsi="Arial" w:cs="Arial"/>
          <w:color w:val="36424A"/>
          <w:sz w:val="24"/>
          <w:szCs w:val="24"/>
          <w:lang w:eastAsia="en-GB"/>
        </w:rPr>
        <w:fldChar w:fldCharType="separate"/>
      </w:r>
      <w:r w:rsidRPr="0078288A">
        <w:rPr>
          <w:rFonts w:ascii="Arial" w:eastAsia="Times New Roman" w:hAnsi="Arial" w:cs="Arial"/>
          <w:color w:val="684F80"/>
          <w:sz w:val="24"/>
          <w:szCs w:val="24"/>
          <w:lang w:eastAsia="en-GB"/>
        </w:rPr>
        <w:t>Minja</w:t>
      </w:r>
      <w:proofErr w:type="spellEnd"/>
      <w:r w:rsidRPr="0078288A">
        <w:rPr>
          <w:rFonts w:ascii="Arial" w:eastAsia="Times New Roman" w:hAnsi="Arial" w:cs="Arial"/>
          <w:color w:val="684F80"/>
          <w:sz w:val="24"/>
          <w:szCs w:val="24"/>
          <w:lang w:eastAsia="en-GB"/>
        </w:rPr>
        <w:t xml:space="preserve"> Properties Ltd v </w:t>
      </w:r>
      <w:proofErr w:type="spellStart"/>
      <w:r w:rsidRPr="0078288A">
        <w:rPr>
          <w:rFonts w:ascii="Arial" w:eastAsia="Times New Roman" w:hAnsi="Arial" w:cs="Arial"/>
          <w:color w:val="684F80"/>
          <w:sz w:val="24"/>
          <w:szCs w:val="24"/>
          <w:lang w:eastAsia="en-GB"/>
        </w:rPr>
        <w:t>Cussins</w:t>
      </w:r>
      <w:proofErr w:type="spellEnd"/>
      <w:r w:rsidRPr="0078288A">
        <w:rPr>
          <w:rFonts w:ascii="Arial" w:eastAsia="Times New Roman" w:hAnsi="Arial" w:cs="Arial"/>
          <w:color w:val="684F80"/>
          <w:sz w:val="24"/>
          <w:szCs w:val="24"/>
          <w:lang w:eastAsia="en-GB"/>
        </w:rPr>
        <w:t xml:space="preserve"> Property Group plc (1998)</w:t>
      </w:r>
      <w:r w:rsidRPr="0078288A">
        <w:rPr>
          <w:rFonts w:ascii="Arial" w:eastAsia="Times New Roman" w:hAnsi="Arial" w:cs="Arial"/>
          <w:color w:val="36424A"/>
          <w:sz w:val="24"/>
          <w:szCs w:val="24"/>
          <w:lang w:eastAsia="en-GB"/>
        </w:rPr>
        <w:fldChar w:fldCharType="end"/>
      </w:r>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Windows/window frames: </w:t>
      </w:r>
      <w:hyperlink r:id="rId37" w:history="1">
        <w:r w:rsidRPr="0078288A">
          <w:rPr>
            <w:rFonts w:ascii="Arial" w:eastAsia="Times New Roman" w:hAnsi="Arial" w:cs="Arial"/>
            <w:color w:val="684F80"/>
            <w:sz w:val="24"/>
            <w:szCs w:val="24"/>
            <w:lang w:eastAsia="en-GB"/>
          </w:rPr>
          <w:t>Reston Ltd v Hudson (1990)</w:t>
        </w:r>
      </w:hyperlink>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Skylights/windows: </w:t>
      </w:r>
      <w:proofErr w:type="spellStart"/>
      <w:r w:rsidRPr="0078288A">
        <w:rPr>
          <w:rFonts w:ascii="Arial" w:eastAsia="Times New Roman" w:hAnsi="Arial" w:cs="Arial"/>
          <w:color w:val="36424A"/>
          <w:sz w:val="24"/>
          <w:szCs w:val="24"/>
          <w:lang w:eastAsia="en-GB"/>
        </w:rPr>
        <w:fldChar w:fldCharType="begin"/>
      </w:r>
      <w:r w:rsidRPr="0078288A">
        <w:rPr>
          <w:rFonts w:ascii="Arial" w:eastAsia="Times New Roman" w:hAnsi="Arial" w:cs="Arial"/>
          <w:color w:val="36424A"/>
          <w:sz w:val="24"/>
          <w:szCs w:val="24"/>
          <w:lang w:eastAsia="en-GB"/>
        </w:rPr>
        <w:instrText xml:space="preserve"> HYPERLINK "https://www.isurv.com/site/scripts/documents_info.aspx?documentID=7586" </w:instrText>
      </w:r>
      <w:r w:rsidRPr="0078288A">
        <w:rPr>
          <w:rFonts w:ascii="Arial" w:eastAsia="Times New Roman" w:hAnsi="Arial" w:cs="Arial"/>
          <w:color w:val="36424A"/>
          <w:sz w:val="24"/>
          <w:szCs w:val="24"/>
          <w:lang w:eastAsia="en-GB"/>
        </w:rPr>
        <w:fldChar w:fldCharType="separate"/>
      </w:r>
      <w:r w:rsidRPr="0078288A">
        <w:rPr>
          <w:rFonts w:ascii="Arial" w:eastAsia="Times New Roman" w:hAnsi="Arial" w:cs="Arial"/>
          <w:color w:val="684F80"/>
          <w:sz w:val="24"/>
          <w:szCs w:val="24"/>
          <w:lang w:eastAsia="en-GB"/>
        </w:rPr>
        <w:t>Twinmar</w:t>
      </w:r>
      <w:proofErr w:type="spellEnd"/>
      <w:r w:rsidRPr="0078288A">
        <w:rPr>
          <w:rFonts w:ascii="Arial" w:eastAsia="Times New Roman" w:hAnsi="Arial" w:cs="Arial"/>
          <w:color w:val="684F80"/>
          <w:sz w:val="24"/>
          <w:szCs w:val="24"/>
          <w:lang w:eastAsia="en-GB"/>
        </w:rPr>
        <w:t xml:space="preserve"> Holdings Ltd v </w:t>
      </w:r>
      <w:proofErr w:type="spellStart"/>
      <w:r w:rsidRPr="0078288A">
        <w:rPr>
          <w:rFonts w:ascii="Arial" w:eastAsia="Times New Roman" w:hAnsi="Arial" w:cs="Arial"/>
          <w:color w:val="684F80"/>
          <w:sz w:val="24"/>
          <w:szCs w:val="24"/>
          <w:lang w:eastAsia="en-GB"/>
        </w:rPr>
        <w:t>Klarius</w:t>
      </w:r>
      <w:proofErr w:type="spellEnd"/>
      <w:r w:rsidRPr="0078288A">
        <w:rPr>
          <w:rFonts w:ascii="Arial" w:eastAsia="Times New Roman" w:hAnsi="Arial" w:cs="Arial"/>
          <w:color w:val="684F80"/>
          <w:sz w:val="24"/>
          <w:szCs w:val="24"/>
          <w:lang w:eastAsia="en-GB"/>
        </w:rPr>
        <w:t xml:space="preserve"> UK Ltd (2013)</w:t>
      </w:r>
      <w:r w:rsidRPr="0078288A">
        <w:rPr>
          <w:rFonts w:ascii="Arial" w:eastAsia="Times New Roman" w:hAnsi="Arial" w:cs="Arial"/>
          <w:color w:val="36424A"/>
          <w:sz w:val="24"/>
          <w:szCs w:val="24"/>
          <w:lang w:eastAsia="en-GB"/>
        </w:rPr>
        <w:fldChar w:fldCharType="end"/>
      </w:r>
      <w:r w:rsidRPr="0078288A">
        <w:rPr>
          <w:rFonts w:ascii="Arial" w:eastAsia="Times New Roman" w:hAnsi="Arial" w:cs="Arial"/>
          <w:color w:val="36424A"/>
          <w:sz w:val="24"/>
          <w:szCs w:val="24"/>
          <w:lang w:eastAsia="en-GB"/>
        </w:rPr>
        <w:t> </w:t>
      </w:r>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Cladding/expansion joints: </w:t>
      </w:r>
      <w:proofErr w:type="spellStart"/>
      <w:r w:rsidRPr="0078288A">
        <w:rPr>
          <w:rFonts w:ascii="Arial" w:eastAsia="Times New Roman" w:hAnsi="Arial" w:cs="Arial"/>
          <w:color w:val="36424A"/>
          <w:sz w:val="24"/>
          <w:szCs w:val="24"/>
          <w:lang w:eastAsia="en-GB"/>
        </w:rPr>
        <w:fldChar w:fldCharType="begin"/>
      </w:r>
      <w:r w:rsidRPr="0078288A">
        <w:rPr>
          <w:rFonts w:ascii="Arial" w:eastAsia="Times New Roman" w:hAnsi="Arial" w:cs="Arial"/>
          <w:color w:val="36424A"/>
          <w:sz w:val="24"/>
          <w:szCs w:val="24"/>
          <w:lang w:eastAsia="en-GB"/>
        </w:rPr>
        <w:instrText xml:space="preserve"> HYPERLINK "https://www.isurv.com/site/scripts/documents_info.aspx?documentID=6867" </w:instrText>
      </w:r>
      <w:r w:rsidRPr="0078288A">
        <w:rPr>
          <w:rFonts w:ascii="Arial" w:eastAsia="Times New Roman" w:hAnsi="Arial" w:cs="Arial"/>
          <w:color w:val="36424A"/>
          <w:sz w:val="24"/>
          <w:szCs w:val="24"/>
          <w:lang w:eastAsia="en-GB"/>
        </w:rPr>
        <w:fldChar w:fldCharType="separate"/>
      </w:r>
      <w:r w:rsidRPr="0078288A">
        <w:rPr>
          <w:rFonts w:ascii="Arial" w:eastAsia="Times New Roman" w:hAnsi="Arial" w:cs="Arial"/>
          <w:color w:val="684F80"/>
          <w:sz w:val="24"/>
          <w:szCs w:val="24"/>
          <w:lang w:eastAsia="en-GB"/>
        </w:rPr>
        <w:t>Ravenseft</w:t>
      </w:r>
      <w:proofErr w:type="spellEnd"/>
      <w:r w:rsidRPr="0078288A">
        <w:rPr>
          <w:rFonts w:ascii="Arial" w:eastAsia="Times New Roman" w:hAnsi="Arial" w:cs="Arial"/>
          <w:color w:val="684F80"/>
          <w:sz w:val="24"/>
          <w:szCs w:val="24"/>
          <w:lang w:eastAsia="en-GB"/>
        </w:rPr>
        <w:t xml:space="preserve"> Properties Ltd v </w:t>
      </w:r>
      <w:proofErr w:type="spellStart"/>
      <w:r w:rsidRPr="0078288A">
        <w:rPr>
          <w:rFonts w:ascii="Arial" w:eastAsia="Times New Roman" w:hAnsi="Arial" w:cs="Arial"/>
          <w:color w:val="684F80"/>
          <w:sz w:val="24"/>
          <w:szCs w:val="24"/>
          <w:lang w:eastAsia="en-GB"/>
        </w:rPr>
        <w:t>Davstone</w:t>
      </w:r>
      <w:proofErr w:type="spellEnd"/>
      <w:r w:rsidRPr="0078288A">
        <w:rPr>
          <w:rFonts w:ascii="Arial" w:eastAsia="Times New Roman" w:hAnsi="Arial" w:cs="Arial"/>
          <w:color w:val="684F80"/>
          <w:sz w:val="24"/>
          <w:szCs w:val="24"/>
          <w:lang w:eastAsia="en-GB"/>
        </w:rPr>
        <w:t xml:space="preserve"> (Holdings) Ltd (1979)</w:t>
      </w:r>
      <w:r w:rsidRPr="0078288A">
        <w:rPr>
          <w:rFonts w:ascii="Arial" w:eastAsia="Times New Roman" w:hAnsi="Arial" w:cs="Arial"/>
          <w:color w:val="36424A"/>
          <w:sz w:val="24"/>
          <w:szCs w:val="24"/>
          <w:lang w:eastAsia="en-GB"/>
        </w:rPr>
        <w:fldChar w:fldCharType="end"/>
      </w:r>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Steel frame building and corrosion: </w:t>
      </w:r>
      <w:hyperlink r:id="rId38" w:history="1">
        <w:r w:rsidRPr="0078288A">
          <w:rPr>
            <w:rFonts w:ascii="Arial" w:eastAsia="Times New Roman" w:hAnsi="Arial" w:cs="Arial"/>
            <w:color w:val="684F80"/>
            <w:sz w:val="24"/>
            <w:szCs w:val="24"/>
            <w:lang w:eastAsia="en-GB"/>
          </w:rPr>
          <w:t>Gibson Investments Ltd v Chesterton plc (No. 1) (2002)</w:t>
        </w:r>
      </w:hyperlink>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Air conditioning: </w:t>
      </w:r>
      <w:hyperlink r:id="rId39" w:history="1">
        <w:r w:rsidRPr="0078288A">
          <w:rPr>
            <w:rFonts w:ascii="Arial" w:eastAsia="Times New Roman" w:hAnsi="Arial" w:cs="Arial"/>
            <w:color w:val="684F80"/>
            <w:sz w:val="24"/>
            <w:szCs w:val="24"/>
            <w:lang w:eastAsia="en-GB"/>
          </w:rPr>
          <w:t>Gibson Investments Ltd v Chesterton plc (No. 2) (2003)</w:t>
        </w:r>
      </w:hyperlink>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Damp/water penetration: </w:t>
      </w:r>
      <w:hyperlink r:id="rId40" w:history="1">
        <w:r w:rsidRPr="0078288A">
          <w:rPr>
            <w:rFonts w:ascii="Arial" w:eastAsia="Times New Roman" w:hAnsi="Arial" w:cs="Arial"/>
            <w:color w:val="684F80"/>
            <w:sz w:val="24"/>
            <w:szCs w:val="24"/>
            <w:lang w:eastAsia="en-GB"/>
          </w:rPr>
          <w:t>Post Office v Aquarius Properties Ltd (1987)</w:t>
        </w:r>
      </w:hyperlink>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Damp/damp-proof courses: </w:t>
      </w:r>
      <w:proofErr w:type="spellStart"/>
      <w:r w:rsidRPr="0078288A">
        <w:rPr>
          <w:rFonts w:ascii="Arial" w:eastAsia="Times New Roman" w:hAnsi="Arial" w:cs="Arial"/>
          <w:color w:val="36424A"/>
          <w:sz w:val="24"/>
          <w:szCs w:val="24"/>
          <w:lang w:eastAsia="en-GB"/>
        </w:rPr>
        <w:fldChar w:fldCharType="begin"/>
      </w:r>
      <w:r w:rsidRPr="0078288A">
        <w:rPr>
          <w:rFonts w:ascii="Arial" w:eastAsia="Times New Roman" w:hAnsi="Arial" w:cs="Arial"/>
          <w:color w:val="36424A"/>
          <w:sz w:val="24"/>
          <w:szCs w:val="24"/>
          <w:lang w:eastAsia="en-GB"/>
        </w:rPr>
        <w:instrText xml:space="preserve"> HYPERLINK "https://www.isurv.com/site/scripts/documents_info.aspx?documentID=6804" </w:instrText>
      </w:r>
      <w:r w:rsidRPr="0078288A">
        <w:rPr>
          <w:rFonts w:ascii="Arial" w:eastAsia="Times New Roman" w:hAnsi="Arial" w:cs="Arial"/>
          <w:color w:val="36424A"/>
          <w:sz w:val="24"/>
          <w:szCs w:val="24"/>
          <w:lang w:eastAsia="en-GB"/>
        </w:rPr>
        <w:fldChar w:fldCharType="separate"/>
      </w:r>
      <w:r w:rsidRPr="0078288A">
        <w:rPr>
          <w:rFonts w:ascii="Arial" w:eastAsia="Times New Roman" w:hAnsi="Arial" w:cs="Arial"/>
          <w:color w:val="684F80"/>
          <w:sz w:val="24"/>
          <w:szCs w:val="24"/>
          <w:lang w:eastAsia="en-GB"/>
        </w:rPr>
        <w:t>Elmcroft</w:t>
      </w:r>
      <w:proofErr w:type="spellEnd"/>
      <w:r w:rsidRPr="0078288A">
        <w:rPr>
          <w:rFonts w:ascii="Arial" w:eastAsia="Times New Roman" w:hAnsi="Arial" w:cs="Arial"/>
          <w:color w:val="684F80"/>
          <w:sz w:val="24"/>
          <w:szCs w:val="24"/>
          <w:lang w:eastAsia="en-GB"/>
        </w:rPr>
        <w:t xml:space="preserve"> Developments Ltd v Tankersley-Sawyer (1984)</w:t>
      </w:r>
      <w:r w:rsidRPr="0078288A">
        <w:rPr>
          <w:rFonts w:ascii="Arial" w:eastAsia="Times New Roman" w:hAnsi="Arial" w:cs="Arial"/>
          <w:color w:val="36424A"/>
          <w:sz w:val="24"/>
          <w:szCs w:val="24"/>
          <w:lang w:eastAsia="en-GB"/>
        </w:rPr>
        <w:fldChar w:fldCharType="end"/>
      </w:r>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Damp/damp-proof courses: </w:t>
      </w:r>
      <w:hyperlink r:id="rId41" w:history="1">
        <w:r w:rsidRPr="0078288A">
          <w:rPr>
            <w:rFonts w:ascii="Arial" w:eastAsia="Times New Roman" w:hAnsi="Arial" w:cs="Arial"/>
            <w:color w:val="684F80"/>
            <w:sz w:val="24"/>
            <w:szCs w:val="24"/>
            <w:lang w:eastAsia="en-GB"/>
          </w:rPr>
          <w:t>Eyre v McCracken (2001)</w:t>
        </w:r>
      </w:hyperlink>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Damp/damp-proof courses: </w:t>
      </w:r>
      <w:hyperlink r:id="rId42" w:history="1">
        <w:r w:rsidRPr="0078288A">
          <w:rPr>
            <w:rFonts w:ascii="Arial" w:eastAsia="Times New Roman" w:hAnsi="Arial" w:cs="Arial"/>
            <w:color w:val="684F80"/>
            <w:sz w:val="24"/>
            <w:szCs w:val="24"/>
            <w:lang w:eastAsia="en-GB"/>
          </w:rPr>
          <w:t>Uddin &amp; Anor v London Borough of Islington (2015) </w:t>
        </w:r>
      </w:hyperlink>
    </w:p>
    <w:p w:rsidR="0078288A" w:rsidRPr="0078288A" w:rsidRDefault="0078288A" w:rsidP="0078288A">
      <w:pPr>
        <w:numPr>
          <w:ilvl w:val="0"/>
          <w:numId w:val="4"/>
        </w:numPr>
        <w:spacing w:beforeAutospacing="1" w:after="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Damp/condensation: </w:t>
      </w:r>
      <w:hyperlink r:id="rId43" w:history="1">
        <w:r w:rsidRPr="0078288A">
          <w:rPr>
            <w:rFonts w:ascii="Arial" w:eastAsia="Times New Roman" w:hAnsi="Arial" w:cs="Arial"/>
            <w:color w:val="684F80"/>
            <w:sz w:val="24"/>
            <w:szCs w:val="24"/>
            <w:lang w:eastAsia="en-GB"/>
          </w:rPr>
          <w:t>Quick v Taff-Ely Borough Council (1985)</w:t>
        </w:r>
      </w:hyperlink>
    </w:p>
    <w:p w:rsidR="0078288A" w:rsidRPr="0078288A" w:rsidRDefault="0078288A" w:rsidP="0078288A">
      <w:pPr>
        <w:spacing w:before="100" w:beforeAutospacing="1" w:after="100" w:afterAutospacing="1" w:line="240" w:lineRule="auto"/>
        <w:outlineLvl w:val="2"/>
        <w:rPr>
          <w:rFonts w:ascii="Arial" w:eastAsia="Times New Roman" w:hAnsi="Arial" w:cs="Arial"/>
          <w:b/>
          <w:bCs/>
          <w:color w:val="36424A"/>
          <w:sz w:val="27"/>
          <w:szCs w:val="27"/>
          <w:lang w:eastAsia="en-GB"/>
        </w:rPr>
      </w:pPr>
      <w:r w:rsidRPr="0078288A">
        <w:rPr>
          <w:rFonts w:ascii="Arial" w:eastAsia="Times New Roman" w:hAnsi="Arial" w:cs="Arial"/>
          <w:b/>
          <w:bCs/>
          <w:color w:val="36424A"/>
          <w:sz w:val="27"/>
          <w:szCs w:val="27"/>
          <w:lang w:eastAsia="en-GB"/>
        </w:rPr>
        <w:t>Mechanical and electrical equipment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It is not appropriate to claim that equipment such as boilers needs to be renewed just because it has come to the end of its theoretical life. (The </w:t>
      </w:r>
      <w:hyperlink r:id="rId44" w:history="1">
        <w:r w:rsidRPr="0078288A">
          <w:rPr>
            <w:rFonts w:ascii="Arial" w:eastAsia="Times New Roman" w:hAnsi="Arial" w:cs="Arial"/>
            <w:color w:val="684F80"/>
            <w:sz w:val="24"/>
            <w:szCs w:val="24"/>
            <w:lang w:eastAsia="en-GB"/>
          </w:rPr>
          <w:t>Chartered Institute of Building Services</w:t>
        </w:r>
      </w:hyperlink>
      <w:r w:rsidRPr="0078288A">
        <w:rPr>
          <w:rFonts w:ascii="Arial" w:eastAsia="Times New Roman" w:hAnsi="Arial" w:cs="Arial"/>
          <w:color w:val="36424A"/>
          <w:sz w:val="24"/>
          <w:szCs w:val="24"/>
          <w:lang w:eastAsia="en-GB"/>
        </w:rPr>
        <w:t> (CIBSE) publish guidance on the expected life spans of such equipment.) This is because the issue is whether the equipment functions correctly or not, and this should be assessed by way of an inspection of its condition and by research into its maintenance history (see </w:t>
      </w:r>
      <w:hyperlink r:id="rId45" w:history="1">
        <w:r w:rsidRPr="0078288A">
          <w:rPr>
            <w:rFonts w:ascii="Arial" w:eastAsia="Times New Roman" w:hAnsi="Arial" w:cs="Arial"/>
            <w:color w:val="684F80"/>
            <w:sz w:val="24"/>
            <w:szCs w:val="24"/>
            <w:lang w:eastAsia="en-GB"/>
          </w:rPr>
          <w:t xml:space="preserve">Fluor Daniels Properties Ltd v </w:t>
        </w:r>
        <w:proofErr w:type="spellStart"/>
        <w:r w:rsidRPr="0078288A">
          <w:rPr>
            <w:rFonts w:ascii="Arial" w:eastAsia="Times New Roman" w:hAnsi="Arial" w:cs="Arial"/>
            <w:color w:val="684F80"/>
            <w:sz w:val="24"/>
            <w:szCs w:val="24"/>
            <w:lang w:eastAsia="en-GB"/>
          </w:rPr>
          <w:t>Shortlands</w:t>
        </w:r>
        <w:proofErr w:type="spellEnd"/>
        <w:r w:rsidRPr="0078288A">
          <w:rPr>
            <w:rFonts w:ascii="Arial" w:eastAsia="Times New Roman" w:hAnsi="Arial" w:cs="Arial"/>
            <w:color w:val="684F80"/>
            <w:sz w:val="24"/>
            <w:szCs w:val="24"/>
            <w:lang w:eastAsia="en-GB"/>
          </w:rPr>
          <w:t xml:space="preserve"> Investments Ltd</w:t>
        </w:r>
      </w:hyperlink>
      <w:r w:rsidRPr="0078288A">
        <w:rPr>
          <w:rFonts w:ascii="Arial" w:eastAsia="Times New Roman" w:hAnsi="Arial" w:cs="Arial"/>
          <w:color w:val="36424A"/>
          <w:sz w:val="24"/>
          <w:szCs w:val="24"/>
          <w:lang w:eastAsia="en-GB"/>
        </w:rPr>
        <w:t> [2001] 2 EGLR 103). This is a particular issue during the continuation of the lease, where the landlord carries out works, the cost of which is recoverable as a service charge. The landlord sometimes seeks to ‘improve’ the building, essentially at the cost of the tenants paying that service charge. The </w:t>
      </w:r>
      <w:r w:rsidRPr="0078288A">
        <w:rPr>
          <w:rFonts w:ascii="Arial" w:eastAsia="Times New Roman" w:hAnsi="Arial" w:cs="Arial"/>
          <w:i/>
          <w:iCs/>
          <w:color w:val="36424A"/>
          <w:sz w:val="24"/>
          <w:szCs w:val="24"/>
          <w:lang w:eastAsia="en-GB"/>
        </w:rPr>
        <w:t>Fluor Daniels</w:t>
      </w:r>
      <w:r w:rsidRPr="0078288A">
        <w:rPr>
          <w:rFonts w:ascii="Arial" w:eastAsia="Times New Roman" w:hAnsi="Arial" w:cs="Arial"/>
          <w:color w:val="36424A"/>
          <w:sz w:val="24"/>
          <w:szCs w:val="24"/>
          <w:lang w:eastAsia="en-GB"/>
        </w:rPr>
        <w:t> case considered just that point and significantly curtailed the landlord’s activities.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Generally, providing that the equipment is functioning, or can be made functional with repairs to a level that would have been an acceptable standard at the commencement of the lease, it will be deemed to be in repair (</w:t>
      </w:r>
      <w:proofErr w:type="spellStart"/>
      <w:r w:rsidRPr="0078288A">
        <w:rPr>
          <w:rFonts w:ascii="Arial" w:eastAsia="Times New Roman" w:hAnsi="Arial" w:cs="Arial"/>
          <w:color w:val="36424A"/>
          <w:sz w:val="24"/>
          <w:szCs w:val="24"/>
          <w:lang w:eastAsia="en-GB"/>
        </w:rPr>
        <w:fldChar w:fldCharType="begin"/>
      </w:r>
      <w:r w:rsidRPr="0078288A">
        <w:rPr>
          <w:rFonts w:ascii="Arial" w:eastAsia="Times New Roman" w:hAnsi="Arial" w:cs="Arial"/>
          <w:color w:val="36424A"/>
          <w:sz w:val="24"/>
          <w:szCs w:val="24"/>
          <w:lang w:eastAsia="en-GB"/>
        </w:rPr>
        <w:instrText xml:space="preserve"> HYPERLINK "https://www.isurv.com/site/scripts/documents_info.aspx?documentID=6840" </w:instrText>
      </w:r>
      <w:r w:rsidRPr="0078288A">
        <w:rPr>
          <w:rFonts w:ascii="Arial" w:eastAsia="Times New Roman" w:hAnsi="Arial" w:cs="Arial"/>
          <w:color w:val="36424A"/>
          <w:sz w:val="24"/>
          <w:szCs w:val="24"/>
          <w:lang w:eastAsia="en-GB"/>
        </w:rPr>
        <w:fldChar w:fldCharType="separate"/>
      </w:r>
      <w:r w:rsidRPr="0078288A">
        <w:rPr>
          <w:rFonts w:ascii="Arial" w:eastAsia="Times New Roman" w:hAnsi="Arial" w:cs="Arial"/>
          <w:color w:val="684F80"/>
          <w:sz w:val="24"/>
          <w:szCs w:val="24"/>
          <w:lang w:eastAsia="en-GB"/>
        </w:rPr>
        <w:t>Ultraworth</w:t>
      </w:r>
      <w:proofErr w:type="spellEnd"/>
      <w:r w:rsidRPr="0078288A">
        <w:rPr>
          <w:rFonts w:ascii="Arial" w:eastAsia="Times New Roman" w:hAnsi="Arial" w:cs="Arial"/>
          <w:color w:val="684F80"/>
          <w:sz w:val="24"/>
          <w:szCs w:val="24"/>
          <w:lang w:eastAsia="en-GB"/>
        </w:rPr>
        <w:t xml:space="preserve"> Ltd v General Accident Fire and Life Assurance Corporation plc</w:t>
      </w:r>
      <w:r w:rsidRPr="0078288A">
        <w:rPr>
          <w:rFonts w:ascii="Arial" w:eastAsia="Times New Roman" w:hAnsi="Arial" w:cs="Arial"/>
          <w:color w:val="36424A"/>
          <w:sz w:val="24"/>
          <w:szCs w:val="24"/>
          <w:lang w:eastAsia="en-GB"/>
        </w:rPr>
        <w:fldChar w:fldCharType="end"/>
      </w:r>
      <w:r w:rsidRPr="0078288A">
        <w:rPr>
          <w:rFonts w:ascii="Arial" w:eastAsia="Times New Roman" w:hAnsi="Arial" w:cs="Arial"/>
          <w:color w:val="36424A"/>
          <w:sz w:val="24"/>
          <w:szCs w:val="24"/>
          <w:lang w:eastAsia="en-GB"/>
        </w:rPr>
        <w:t> [2000]).</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With advances in technology, it is not uncommon to find that when a piece of equipment needs to be replaced an exact replacement is no longer available, or no longer meets regulatory standards, and its nearest equivalent is often superior. This may, on the face of it, look like an improvement. However, the fact that repairs incorporate some improvements in design does not mean they cease to be works of repair as long as the replacement is broadly the same sort of installation as that which is being replaced.</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There may be a situation where the plant works on the last day of the lease, but where its life expectancy is so short thereafter that it will not be in a standard that would have been acceptable at the beginning of the lease. In seeking to assess this, </w:t>
      </w:r>
      <w:r w:rsidRPr="0078288A">
        <w:rPr>
          <w:rFonts w:ascii="Arial" w:eastAsia="Times New Roman" w:hAnsi="Arial" w:cs="Arial"/>
          <w:color w:val="36424A"/>
          <w:sz w:val="24"/>
          <w:szCs w:val="24"/>
          <w:lang w:eastAsia="en-GB"/>
        </w:rPr>
        <w:lastRenderedPageBreak/>
        <w:t>it will be necessary to consider the duration of the tenant’s interest. If this was relatively short, the plant is unlikely to have deteriorated to such a degree that it is not of a similar condition to that at the commencement of the lease (see </w:t>
      </w:r>
      <w:hyperlink r:id="rId46" w:history="1">
        <w:r w:rsidRPr="0078288A">
          <w:rPr>
            <w:rFonts w:ascii="Arial" w:eastAsia="Times New Roman" w:hAnsi="Arial" w:cs="Arial"/>
            <w:color w:val="684F80"/>
            <w:sz w:val="24"/>
            <w:szCs w:val="24"/>
            <w:lang w:eastAsia="en-GB"/>
          </w:rPr>
          <w:t>Holding &amp; Management Ltd v Property Trust and Investment Trust plc</w:t>
        </w:r>
      </w:hyperlink>
      <w:r w:rsidRPr="0078288A">
        <w:rPr>
          <w:rFonts w:ascii="Arial" w:eastAsia="Times New Roman" w:hAnsi="Arial" w:cs="Arial"/>
          <w:color w:val="36424A"/>
          <w:sz w:val="24"/>
          <w:szCs w:val="24"/>
          <w:lang w:eastAsia="en-GB"/>
        </w:rPr>
        <w:t> [1990] 1 EGLR 65).</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Under </w:t>
      </w:r>
      <w:hyperlink r:id="rId47" w:history="1">
        <w:r w:rsidRPr="0078288A">
          <w:rPr>
            <w:rFonts w:ascii="Arial" w:eastAsia="Times New Roman" w:hAnsi="Arial" w:cs="Arial"/>
            <w:color w:val="684F80"/>
            <w:sz w:val="24"/>
            <w:szCs w:val="24"/>
            <w:lang w:eastAsia="en-GB"/>
          </w:rPr>
          <w:t>EU Regulation (EC) No. 1005/2009</w:t>
        </w:r>
      </w:hyperlink>
      <w:r w:rsidRPr="0078288A">
        <w:rPr>
          <w:rFonts w:ascii="Arial" w:eastAsia="Times New Roman" w:hAnsi="Arial" w:cs="Arial"/>
          <w:color w:val="36424A"/>
          <w:sz w:val="24"/>
          <w:szCs w:val="24"/>
          <w:lang w:eastAsia="en-GB"/>
        </w:rPr>
        <w:t> the maintenance and servicing of air-conditioning systems containing an HCFC gas that involves breaking into the refrigerant circuits is prohibited. R22 is the most commonly used HCFC gas. In terms of dilapidations, a tenant’s liability in respect of R22 equipment will depend very much on the lease terms and it may be the case that in the absence of actual disrepair there is no liability. However, as most modern leases are more widely drafted (to include words such as replace, renew and ‘to keep in good working order’) a tenant may be under an obligation to replace such installations.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Refurbishment (involving replacing the R22 with another refrigerant) could also be considered, although this can lead to reduced performance and other problems, which might collectively be construed as disrepair in itself. Additionally, one of the most common R22 refrigerant replacements – R422D – is (amongst a number of other gases) itself now subject to the EU F-Gas Regulations 2014. These regulations introduce controls on the use of refrigerants with a ‘Global Warming Potential’ (GWP) of over 2500 the equivalent amount of CO</w:t>
      </w:r>
      <w:r w:rsidRPr="0078288A">
        <w:rPr>
          <w:rFonts w:ascii="Arial" w:eastAsia="Times New Roman" w:hAnsi="Arial" w:cs="Arial"/>
          <w:color w:val="36424A"/>
          <w:sz w:val="20"/>
          <w:szCs w:val="20"/>
          <w:vertAlign w:val="subscript"/>
          <w:lang w:eastAsia="en-GB"/>
        </w:rPr>
        <w:t>2</w:t>
      </w:r>
      <w:r w:rsidRPr="0078288A">
        <w:rPr>
          <w:rFonts w:ascii="Arial" w:eastAsia="Times New Roman" w:hAnsi="Arial" w:cs="Arial"/>
          <w:color w:val="36424A"/>
          <w:sz w:val="24"/>
          <w:szCs w:val="24"/>
          <w:lang w:eastAsia="en-GB"/>
        </w:rPr>
        <w:t>. These controls will culminate in 2030 in a ban on the use of reclaimed refrigerant in existing systems which will mean that systems containing such gases will no longer be capable of being fully and properly maintained. This is of particular concern as there are now increased leak detection requirements for refrigerants with a high GWP.   </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With potentially large amounts of money at stake, it is likely that this issue will be explored by the courts in due course. See also </w:t>
      </w:r>
      <w:hyperlink r:id="rId48" w:history="1">
        <w:r w:rsidRPr="0078288A">
          <w:rPr>
            <w:rFonts w:ascii="Arial" w:eastAsia="Times New Roman" w:hAnsi="Arial" w:cs="Arial"/>
            <w:color w:val="684F80"/>
            <w:sz w:val="24"/>
            <w:szCs w:val="24"/>
            <w:lang w:eastAsia="en-GB"/>
          </w:rPr>
          <w:t>Compliance with statutes</w:t>
        </w:r>
      </w:hyperlink>
      <w:r w:rsidRPr="0078288A">
        <w:rPr>
          <w:rFonts w:ascii="Arial" w:eastAsia="Times New Roman" w:hAnsi="Arial" w:cs="Arial"/>
          <w:color w:val="36424A"/>
          <w:sz w:val="24"/>
          <w:szCs w:val="24"/>
          <w:lang w:eastAsia="en-GB"/>
        </w:rPr>
        <w: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See also </w:t>
      </w:r>
      <w:r w:rsidRPr="0078288A">
        <w:rPr>
          <w:rFonts w:ascii="Arial" w:eastAsia="Times New Roman" w:hAnsi="Arial" w:cs="Arial"/>
          <w:i/>
          <w:iCs/>
          <w:color w:val="36424A"/>
          <w:sz w:val="24"/>
          <w:szCs w:val="24"/>
          <w:lang w:eastAsia="en-GB"/>
        </w:rPr>
        <w:t>Undefined works</w:t>
      </w:r>
      <w:r w:rsidRPr="0078288A">
        <w:rPr>
          <w:rFonts w:ascii="Arial" w:eastAsia="Times New Roman" w:hAnsi="Arial" w:cs="Arial"/>
          <w:color w:val="36424A"/>
          <w:sz w:val="24"/>
          <w:szCs w:val="24"/>
          <w:lang w:eastAsia="en-GB"/>
        </w:rPr>
        <w:t> (below) for commentary on electrical testing.</w:t>
      </w:r>
    </w:p>
    <w:p w:rsidR="0078288A" w:rsidRPr="0078288A" w:rsidRDefault="0078288A" w:rsidP="0078288A">
      <w:pPr>
        <w:spacing w:before="100" w:beforeAutospacing="1" w:after="100" w:afterAutospacing="1" w:line="240" w:lineRule="auto"/>
        <w:outlineLvl w:val="2"/>
        <w:rPr>
          <w:rFonts w:ascii="Arial" w:eastAsia="Times New Roman" w:hAnsi="Arial" w:cs="Arial"/>
          <w:b/>
          <w:bCs/>
          <w:color w:val="36424A"/>
          <w:sz w:val="27"/>
          <w:szCs w:val="27"/>
          <w:lang w:eastAsia="en-GB"/>
        </w:rPr>
      </w:pPr>
      <w:r w:rsidRPr="0078288A">
        <w:rPr>
          <w:rFonts w:ascii="Arial" w:eastAsia="Times New Roman" w:hAnsi="Arial" w:cs="Arial"/>
          <w:b/>
          <w:bCs/>
          <w:color w:val="36424A"/>
          <w:sz w:val="27"/>
          <w:szCs w:val="27"/>
          <w:lang w:eastAsia="en-GB"/>
        </w:rPr>
        <w:t>Asbestos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Dilapidations claims can be complicated by the presence of asbestos within a building. As a general principle, the mere presence of asbestos does not necessitate its removal, as long as it is in good condition – this is also the case with high alumina cement (HAC) in concrete. In </w:t>
      </w:r>
      <w:hyperlink r:id="rId49" w:history="1">
        <w:r w:rsidRPr="0078288A">
          <w:rPr>
            <w:rFonts w:ascii="Arial" w:eastAsia="Times New Roman" w:hAnsi="Arial" w:cs="Arial"/>
            <w:color w:val="684F80"/>
            <w:sz w:val="24"/>
            <w:szCs w:val="24"/>
            <w:lang w:eastAsia="en-GB"/>
          </w:rPr>
          <w:t>Riverside Property Investments Ltd v Blackhawk</w:t>
        </w:r>
      </w:hyperlink>
      <w:r w:rsidRPr="0078288A">
        <w:rPr>
          <w:rFonts w:ascii="Arial" w:eastAsia="Times New Roman" w:hAnsi="Arial" w:cs="Arial"/>
          <w:color w:val="36424A"/>
          <w:sz w:val="24"/>
          <w:szCs w:val="24"/>
          <w:lang w:eastAsia="en-GB"/>
        </w:rPr>
        <w:t> (TCC, 8 December 2004) (which considered works to a roof which comprised asbestos cement roof sheets), the continued presence of asbestos in the original roof sheets that had not been replaced could not be a reason to contend that the defendant had breached its repairing obligation. If, however, asbestos is breaking down or the carrying out of the tenant’s works (including those necessary to comply with a dilapidations schedule) result in it being cut, drilled or disturbed, fibres will be released, thereby creating a risk to health. In this situation the asbestos will be deemed to be in disrepair and remedial works, usually in the form of removal or possibly encapsulation, will be required.</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Before determining whether a particular party is responsible for disrepair involving asbestos, it is necessary to consider whose demise it is within. This will depend upon the terms of the lease, as well as the location and form of the asbestos. There are a </w:t>
      </w:r>
      <w:r w:rsidRPr="0078288A">
        <w:rPr>
          <w:rFonts w:ascii="Arial" w:eastAsia="Times New Roman" w:hAnsi="Arial" w:cs="Arial"/>
          <w:color w:val="36424A"/>
          <w:sz w:val="24"/>
          <w:szCs w:val="24"/>
          <w:lang w:eastAsia="en-GB"/>
        </w:rPr>
        <w:lastRenderedPageBreak/>
        <w:t>few occasions when a tenant may still be responsible even where the asbestos is not within its demise. Such an example would be where asbestos formed the insulation of a floor slab for which the tenant had a non-structural responsibility, but on which the tenant had fixed partitions.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Be aware also that the </w:t>
      </w:r>
      <w:hyperlink r:id="rId50" w:history="1">
        <w:r w:rsidRPr="0078288A">
          <w:rPr>
            <w:rFonts w:ascii="Arial" w:eastAsia="Times New Roman" w:hAnsi="Arial" w:cs="Arial"/>
            <w:color w:val="684F80"/>
            <w:sz w:val="24"/>
            <w:szCs w:val="24"/>
            <w:lang w:eastAsia="en-GB"/>
          </w:rPr>
          <w:t>Control of Asbestos Regulations 2012</w:t>
        </w:r>
      </w:hyperlink>
      <w:r w:rsidRPr="0078288A">
        <w:rPr>
          <w:rFonts w:ascii="Arial" w:eastAsia="Times New Roman" w:hAnsi="Arial" w:cs="Arial"/>
          <w:color w:val="36424A"/>
          <w:sz w:val="24"/>
          <w:szCs w:val="24"/>
          <w:lang w:eastAsia="en-GB"/>
        </w:rPr>
        <w:t> also imposes obligations on duty holders to manage asbestos in non-domestic premises (see </w:t>
      </w:r>
      <w:hyperlink r:id="rId51" w:history="1">
        <w:r w:rsidRPr="0078288A">
          <w:rPr>
            <w:rFonts w:ascii="Arial" w:eastAsia="Times New Roman" w:hAnsi="Arial" w:cs="Arial"/>
            <w:color w:val="684F80"/>
            <w:sz w:val="24"/>
            <w:szCs w:val="24"/>
            <w:lang w:eastAsia="en-GB"/>
          </w:rPr>
          <w:t>Compliance with statutes</w:t>
        </w:r>
      </w:hyperlink>
      <w:r w:rsidRPr="0078288A">
        <w:rPr>
          <w:rFonts w:ascii="Arial" w:eastAsia="Times New Roman" w:hAnsi="Arial" w:cs="Arial"/>
          <w:color w:val="36424A"/>
          <w:sz w:val="24"/>
          <w:szCs w:val="24"/>
          <w:lang w:eastAsia="en-GB"/>
        </w:rPr>
        <w:t>). One of the requirements is for the ‘</w:t>
      </w:r>
      <w:proofErr w:type="spellStart"/>
      <w:r w:rsidRPr="0078288A">
        <w:rPr>
          <w:rFonts w:ascii="Arial" w:eastAsia="Times New Roman" w:hAnsi="Arial" w:cs="Arial"/>
          <w:color w:val="36424A"/>
          <w:sz w:val="24"/>
          <w:szCs w:val="24"/>
          <w:lang w:eastAsia="en-GB"/>
        </w:rPr>
        <w:t>dutyholder</w:t>
      </w:r>
      <w:proofErr w:type="spellEnd"/>
      <w:r w:rsidRPr="0078288A">
        <w:rPr>
          <w:rFonts w:ascii="Arial" w:eastAsia="Times New Roman" w:hAnsi="Arial" w:cs="Arial"/>
          <w:color w:val="36424A"/>
          <w:sz w:val="24"/>
          <w:szCs w:val="24"/>
          <w:lang w:eastAsia="en-GB"/>
        </w:rPr>
        <w:t>’ (</w:t>
      </w:r>
      <w:proofErr w:type="spellStart"/>
      <w:r w:rsidRPr="0078288A">
        <w:rPr>
          <w:rFonts w:ascii="Arial" w:eastAsia="Times New Roman" w:hAnsi="Arial" w:cs="Arial"/>
          <w:color w:val="36424A"/>
          <w:sz w:val="24"/>
          <w:szCs w:val="24"/>
          <w:lang w:eastAsia="en-GB"/>
        </w:rPr>
        <w:t>dutyholder</w:t>
      </w:r>
      <w:proofErr w:type="spellEnd"/>
      <w:r w:rsidRPr="0078288A">
        <w:rPr>
          <w:rFonts w:ascii="Arial" w:eastAsia="Times New Roman" w:hAnsi="Arial" w:cs="Arial"/>
          <w:color w:val="36424A"/>
          <w:sz w:val="24"/>
          <w:szCs w:val="24"/>
          <w:lang w:eastAsia="en-GB"/>
        </w:rPr>
        <w:t xml:space="preserve"> is defined in </w:t>
      </w:r>
      <w:hyperlink r:id="rId52" w:history="1">
        <w:r w:rsidRPr="0078288A">
          <w:rPr>
            <w:rFonts w:ascii="Arial" w:eastAsia="Times New Roman" w:hAnsi="Arial" w:cs="Arial"/>
            <w:color w:val="684F80"/>
            <w:sz w:val="24"/>
            <w:szCs w:val="24"/>
            <w:lang w:eastAsia="en-GB"/>
          </w:rPr>
          <w:t>regulation 4</w:t>
        </w:r>
      </w:hyperlink>
      <w:r w:rsidRPr="0078288A">
        <w:rPr>
          <w:rFonts w:ascii="Arial" w:eastAsia="Times New Roman" w:hAnsi="Arial" w:cs="Arial"/>
          <w:color w:val="36424A"/>
          <w:sz w:val="24"/>
          <w:szCs w:val="24"/>
          <w:lang w:eastAsia="en-GB"/>
        </w:rPr>
        <w:t>) to maintain an asbestos register. The absence of an asbestos register is not usually a breach of the lease in a terminal dilapidations situation. This is for the same reasons as noted in </w:t>
      </w:r>
      <w:hyperlink r:id="rId53" w:history="1">
        <w:r w:rsidRPr="0078288A">
          <w:rPr>
            <w:rFonts w:ascii="Arial" w:eastAsia="Times New Roman" w:hAnsi="Arial" w:cs="Arial"/>
            <w:color w:val="684F80"/>
            <w:sz w:val="24"/>
            <w:szCs w:val="24"/>
            <w:lang w:eastAsia="en-GB"/>
          </w:rPr>
          <w:t>Compliance with statutes</w:t>
        </w:r>
      </w:hyperlink>
      <w:r w:rsidRPr="0078288A">
        <w:rPr>
          <w:rFonts w:ascii="Arial" w:eastAsia="Times New Roman" w:hAnsi="Arial" w:cs="Arial"/>
          <w:color w:val="36424A"/>
          <w:sz w:val="24"/>
          <w:szCs w:val="24"/>
          <w:lang w:eastAsia="en-GB"/>
        </w:rPr>
        <w:t>, because the legislation is enacted under the </w:t>
      </w:r>
      <w:hyperlink r:id="rId54" w:history="1">
        <w:r w:rsidRPr="0078288A">
          <w:rPr>
            <w:rFonts w:ascii="Arial" w:eastAsia="Times New Roman" w:hAnsi="Arial" w:cs="Arial"/>
            <w:color w:val="684F80"/>
            <w:sz w:val="24"/>
            <w:szCs w:val="24"/>
            <w:lang w:eastAsia="en-GB"/>
          </w:rPr>
          <w:t>Health and Safety at Work Act 1974</w:t>
        </w:r>
      </w:hyperlink>
      <w:r w:rsidRPr="0078288A">
        <w:rPr>
          <w:rFonts w:ascii="Arial" w:eastAsia="Times New Roman" w:hAnsi="Arial" w:cs="Arial"/>
          <w:color w:val="36424A"/>
          <w:sz w:val="24"/>
          <w:szCs w:val="24"/>
          <w:lang w:eastAsia="en-GB"/>
        </w:rPr>
        <w:t>. If however, the breach is during the term of the lease, it may well be that the tenant is breaching this Act if it is employing people in a manner that is not safe. Alternatively, if there is asbestos in disrepair that needs to be attended to, it is a requirement of the </w:t>
      </w:r>
      <w:hyperlink r:id="rId55" w:history="1">
        <w:r w:rsidRPr="0078288A">
          <w:rPr>
            <w:rFonts w:ascii="Arial" w:eastAsia="Times New Roman" w:hAnsi="Arial" w:cs="Arial"/>
            <w:color w:val="684F80"/>
            <w:sz w:val="24"/>
            <w:szCs w:val="24"/>
            <w:lang w:eastAsia="en-GB"/>
          </w:rPr>
          <w:t>Construction (Design and Management) Regulations 2015</w:t>
        </w:r>
      </w:hyperlink>
      <w:r w:rsidRPr="0078288A">
        <w:rPr>
          <w:rFonts w:ascii="Arial" w:eastAsia="Times New Roman" w:hAnsi="Arial" w:cs="Arial"/>
          <w:color w:val="36424A"/>
          <w:sz w:val="24"/>
          <w:szCs w:val="24"/>
          <w:lang w:eastAsia="en-GB"/>
        </w:rPr>
        <w:t> (CDM 2015) to record the works that have been undertaken in the health and safety file.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Surveyors who have any involvement with asbestos are advised to consult the RICS guidance note </w:t>
      </w:r>
      <w:hyperlink r:id="rId56" w:history="1">
        <w:r w:rsidRPr="0078288A">
          <w:rPr>
            <w:rFonts w:ascii="Arial" w:eastAsia="Times New Roman" w:hAnsi="Arial" w:cs="Arial"/>
            <w:color w:val="684F80"/>
            <w:sz w:val="24"/>
            <w:szCs w:val="24"/>
            <w:lang w:eastAsia="en-GB"/>
          </w:rPr>
          <w:t>Asbestos</w:t>
        </w:r>
      </w:hyperlink>
      <w:r w:rsidRPr="0078288A">
        <w:rPr>
          <w:rFonts w:ascii="Arial" w:eastAsia="Times New Roman" w:hAnsi="Arial" w:cs="Arial"/>
          <w:color w:val="36424A"/>
          <w:sz w:val="24"/>
          <w:szCs w:val="24"/>
          <w:lang w:eastAsia="en-GB"/>
        </w:rPr>
        <w:t>.</w:t>
      </w:r>
    </w:p>
    <w:p w:rsidR="0078288A" w:rsidRPr="0078288A" w:rsidRDefault="0078288A" w:rsidP="0078288A">
      <w:pPr>
        <w:spacing w:before="100" w:beforeAutospacing="1" w:after="100" w:afterAutospacing="1" w:line="240" w:lineRule="auto"/>
        <w:outlineLvl w:val="2"/>
        <w:rPr>
          <w:rFonts w:ascii="Arial" w:eastAsia="Times New Roman" w:hAnsi="Arial" w:cs="Arial"/>
          <w:b/>
          <w:bCs/>
          <w:color w:val="36424A"/>
          <w:sz w:val="27"/>
          <w:szCs w:val="27"/>
          <w:lang w:eastAsia="en-GB"/>
        </w:rPr>
      </w:pPr>
      <w:r w:rsidRPr="0078288A">
        <w:rPr>
          <w:rFonts w:ascii="Arial" w:eastAsia="Times New Roman" w:hAnsi="Arial" w:cs="Arial"/>
          <w:b/>
          <w:bCs/>
          <w:color w:val="36424A"/>
          <w:sz w:val="27"/>
          <w:szCs w:val="27"/>
          <w:lang w:eastAsia="en-GB"/>
        </w:rPr>
        <w:t>Inherent defects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A commonly held misconception is that a tenant cannot be liable for defects in design that were apparent prior to the commencement of the lease and which subsequently lead to damage. However, as noted in </w:t>
      </w:r>
      <w:proofErr w:type="spellStart"/>
      <w:r w:rsidRPr="0078288A">
        <w:rPr>
          <w:rFonts w:ascii="Arial" w:eastAsia="Times New Roman" w:hAnsi="Arial" w:cs="Arial"/>
          <w:color w:val="36424A"/>
          <w:sz w:val="24"/>
          <w:szCs w:val="24"/>
          <w:lang w:eastAsia="en-GB"/>
        </w:rPr>
        <w:fldChar w:fldCharType="begin"/>
      </w:r>
      <w:r w:rsidRPr="0078288A">
        <w:rPr>
          <w:rFonts w:ascii="Arial" w:eastAsia="Times New Roman" w:hAnsi="Arial" w:cs="Arial"/>
          <w:color w:val="36424A"/>
          <w:sz w:val="24"/>
          <w:szCs w:val="24"/>
          <w:lang w:eastAsia="en-GB"/>
        </w:rPr>
        <w:instrText xml:space="preserve"> HYPERLINK "https://www.isurv.com/site/scripts/documents_info.aspx?documentID=6867" </w:instrText>
      </w:r>
      <w:r w:rsidRPr="0078288A">
        <w:rPr>
          <w:rFonts w:ascii="Arial" w:eastAsia="Times New Roman" w:hAnsi="Arial" w:cs="Arial"/>
          <w:color w:val="36424A"/>
          <w:sz w:val="24"/>
          <w:szCs w:val="24"/>
          <w:lang w:eastAsia="en-GB"/>
        </w:rPr>
        <w:fldChar w:fldCharType="separate"/>
      </w:r>
      <w:r w:rsidRPr="0078288A">
        <w:rPr>
          <w:rFonts w:ascii="Arial" w:eastAsia="Times New Roman" w:hAnsi="Arial" w:cs="Arial"/>
          <w:color w:val="684F80"/>
          <w:sz w:val="24"/>
          <w:szCs w:val="24"/>
          <w:lang w:eastAsia="en-GB"/>
        </w:rPr>
        <w:t>Ravenseft</w:t>
      </w:r>
      <w:proofErr w:type="spellEnd"/>
      <w:r w:rsidRPr="0078288A">
        <w:rPr>
          <w:rFonts w:ascii="Arial" w:eastAsia="Times New Roman" w:hAnsi="Arial" w:cs="Arial"/>
          <w:color w:val="684F80"/>
          <w:sz w:val="24"/>
          <w:szCs w:val="24"/>
          <w:lang w:eastAsia="en-GB"/>
        </w:rPr>
        <w:t xml:space="preserve"> Properties Ltd v </w:t>
      </w:r>
      <w:proofErr w:type="spellStart"/>
      <w:r w:rsidRPr="0078288A">
        <w:rPr>
          <w:rFonts w:ascii="Arial" w:eastAsia="Times New Roman" w:hAnsi="Arial" w:cs="Arial"/>
          <w:color w:val="684F80"/>
          <w:sz w:val="24"/>
          <w:szCs w:val="24"/>
          <w:lang w:eastAsia="en-GB"/>
        </w:rPr>
        <w:t>Davstone</w:t>
      </w:r>
      <w:proofErr w:type="spellEnd"/>
      <w:r w:rsidRPr="0078288A">
        <w:rPr>
          <w:rFonts w:ascii="Arial" w:eastAsia="Times New Roman" w:hAnsi="Arial" w:cs="Arial"/>
          <w:color w:val="684F80"/>
          <w:sz w:val="24"/>
          <w:szCs w:val="24"/>
          <w:lang w:eastAsia="en-GB"/>
        </w:rPr>
        <w:t xml:space="preserve"> (Holdings) Ltd</w:t>
      </w:r>
      <w:r w:rsidRPr="0078288A">
        <w:rPr>
          <w:rFonts w:ascii="Arial" w:eastAsia="Times New Roman" w:hAnsi="Arial" w:cs="Arial"/>
          <w:color w:val="36424A"/>
          <w:sz w:val="24"/>
          <w:szCs w:val="24"/>
          <w:lang w:eastAsia="en-GB"/>
        </w:rPr>
        <w:fldChar w:fldCharType="end"/>
      </w:r>
      <w:r w:rsidRPr="0078288A">
        <w:rPr>
          <w:rFonts w:ascii="Arial" w:eastAsia="Times New Roman" w:hAnsi="Arial" w:cs="Arial"/>
          <w:color w:val="36424A"/>
          <w:sz w:val="24"/>
          <w:szCs w:val="24"/>
          <w:lang w:eastAsia="en-GB"/>
        </w:rPr>
        <w:t> [1980] QB 12, generally, this is incorrect. It is possible for the damage caused by an inherent defect to form a breach of a tenant’s repair obligation. Additionally, if the only appropriate way of repairing this damage is also to correct the inherent defect, the cost of this will likewise fall under the tenant’s repair liability.</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This principle would not apply if the effect of completing the repair would be to give back to the landlord something wholly different to that which was demised at the commencement of the lease. At this point, the repair would become an improvement and would not be a breach of a repair liability. An example of this in practice would be a demand to waterproof a cellar that was damp at the outset of the lease. Were the tenant to be obliged to complete these works, the landlord would get back a building that was different, with the use that could be made of the cellar wholly different to that which it was able to offer at the commencement of the lease. An alternative example could be that of a window that had rotted due to having incorrect weathering details. The window would need to be replaced, but the addition of the correct weathering would still result in the landlord having fundamentally the same feature (a window) returned to it.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If there is an inherent defect that is not causing any physical damage, even if theoretically this will occur at some point in the future, the landlord cannot insist on work being carried out to eradicate the defect. If there is no damage equating to disrepair, there is no breach of the obligation to keep in repair. Whether or not the defect will give rise to a breach in the future is a judgment that can only be made in </w:t>
      </w:r>
      <w:r w:rsidRPr="0078288A">
        <w:rPr>
          <w:rFonts w:ascii="Arial" w:eastAsia="Times New Roman" w:hAnsi="Arial" w:cs="Arial"/>
          <w:color w:val="36424A"/>
          <w:sz w:val="24"/>
          <w:szCs w:val="24"/>
          <w:lang w:eastAsia="en-GB"/>
        </w:rPr>
        <w:lastRenderedPageBreak/>
        <w:t>the light of actual damage, should this eventually occur. For example, a metal-framed window may well cause considerable condensation, but this does not flow from any change in the condition of the window and is simply inherent in its nature. The condensation may lead to damage to finishes or plaster nearby and this may well be a disrepair, but the mere fact that the window is suffering from condensation is not in itself a breach of the repairing covenant.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Some leases have specific provisions that set out duties in respect of inherent defects or contain covenants in wider terms than simply to repair, or specifically inherent defects them from the repair liability. These are likely to change the principles noted above.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Of course, this is not always a tenant issue: it may be that the landlord retains an obligation to repair elements of the building. In </w:t>
      </w:r>
      <w:hyperlink r:id="rId57" w:history="1">
        <w:r w:rsidRPr="0078288A">
          <w:rPr>
            <w:rFonts w:ascii="Arial" w:eastAsia="Times New Roman" w:hAnsi="Arial" w:cs="Arial"/>
            <w:color w:val="684F80"/>
            <w:sz w:val="24"/>
            <w:szCs w:val="24"/>
            <w:lang w:eastAsia="en-GB"/>
          </w:rPr>
          <w:t>Uddin &amp; Anor v London Borough of Islington [2015]</w:t>
        </w:r>
      </w:hyperlink>
      <w:r w:rsidRPr="0078288A">
        <w:rPr>
          <w:rFonts w:ascii="Arial" w:eastAsia="Times New Roman" w:hAnsi="Arial" w:cs="Arial"/>
          <w:color w:val="36424A"/>
          <w:sz w:val="24"/>
          <w:szCs w:val="24"/>
          <w:lang w:eastAsia="en-GB"/>
        </w:rPr>
        <w:t>, for instance, the landlord had an implied obligation to keep the structure and exterior of the dwelling in repair. The basement flat had rising damp and it was held that the landlord was liable to provide a damp proof course as the ongoing cost of repair (to the internal finishes and so on) out-stripped those of remedying the inherent defect – i.e. the provision of an effective DPC. </w:t>
      </w:r>
    </w:p>
    <w:p w:rsidR="0078288A" w:rsidRPr="0078288A" w:rsidRDefault="0078288A" w:rsidP="0078288A">
      <w:pPr>
        <w:spacing w:before="100" w:beforeAutospacing="1" w:after="100" w:afterAutospacing="1" w:line="240" w:lineRule="auto"/>
        <w:outlineLvl w:val="2"/>
        <w:rPr>
          <w:rFonts w:ascii="Arial" w:eastAsia="Times New Roman" w:hAnsi="Arial" w:cs="Arial"/>
          <w:b/>
          <w:bCs/>
          <w:color w:val="36424A"/>
          <w:sz w:val="27"/>
          <w:szCs w:val="27"/>
          <w:lang w:eastAsia="en-GB"/>
        </w:rPr>
      </w:pPr>
      <w:r w:rsidRPr="0078288A">
        <w:rPr>
          <w:rFonts w:ascii="Arial" w:eastAsia="Times New Roman" w:hAnsi="Arial" w:cs="Arial"/>
          <w:b/>
          <w:bCs/>
          <w:color w:val="36424A"/>
          <w:sz w:val="27"/>
          <w:szCs w:val="27"/>
          <w:lang w:eastAsia="en-GB"/>
        </w:rPr>
        <w:t>Undefined works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There can be no claim if it is impossible to define what is wrong with the premises; this is because it is a prerequisite of a claim for dilapidations that there is a provable breach of an obligation. It is the landlord’s responsibility to discover what the defects are.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If a breach cannot be ascertained, because it is unconfirmed or not capable of definition, then it is not possible to say that there has been a breach of covenant at all and that any compensation is due. Thus, in a claim for damages it is not possible to include a contingency allowance in the claim or to include provisional items, as these cannot be defined. A landlord can avoid this conundrum by undertaking the works itself. If, in so doing, it encounters works that were not foreseen, then these can, assuming that they are legitimate items, be added to the claim. Thus it could be a sensible tactic for the landlord to complete the works itself, so that it has a fully crystallised claim. There is little that a tenant can do to avoid this possibility once its lease has come to an end, although all of its other 'defences' remain.</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For the same reason, it is not appropriate to include items for the testing of equipment within the building, such as electrical testing. While some leases include an obligation to maintain the electrical system in accordance with the regulations issued by the </w:t>
      </w:r>
      <w:hyperlink r:id="rId58" w:history="1">
        <w:r w:rsidRPr="0078288A">
          <w:rPr>
            <w:rFonts w:ascii="Arial" w:eastAsia="Times New Roman" w:hAnsi="Arial" w:cs="Arial"/>
            <w:color w:val="684F80"/>
            <w:sz w:val="24"/>
            <w:szCs w:val="24"/>
            <w:lang w:eastAsia="en-GB"/>
          </w:rPr>
          <w:t>IET</w:t>
        </w:r>
      </w:hyperlink>
      <w:r w:rsidRPr="0078288A">
        <w:rPr>
          <w:rFonts w:ascii="Arial" w:eastAsia="Times New Roman" w:hAnsi="Arial" w:cs="Arial"/>
          <w:color w:val="36424A"/>
          <w:sz w:val="24"/>
          <w:szCs w:val="24"/>
          <w:lang w:eastAsia="en-GB"/>
        </w:rPr>
        <w:t>, the testing regime is a recommendation only, rather than a prescriptive obligation. The absence of testing is not, therefore, in itself a breach of the regulations, although any disrepair that the testing identifies could be. Thus the surveyor is faced with the choice of either identifying the nature of the disrepair or, if it is reasonable in the circumstances, completing the testing as part of the preparation of the schedule (which could result in it being at the tenant’s expense, if there is a covenant to pay fees).</w:t>
      </w:r>
    </w:p>
    <w:p w:rsidR="0078288A" w:rsidRPr="0078288A" w:rsidRDefault="0078288A" w:rsidP="0078288A">
      <w:pPr>
        <w:spacing w:before="100" w:beforeAutospacing="1" w:after="100" w:afterAutospacing="1" w:line="240" w:lineRule="auto"/>
        <w:outlineLvl w:val="1"/>
        <w:rPr>
          <w:rFonts w:ascii="Arial" w:eastAsia="Times New Roman" w:hAnsi="Arial" w:cs="Arial"/>
          <w:b/>
          <w:bCs/>
          <w:color w:val="002147"/>
          <w:sz w:val="36"/>
          <w:szCs w:val="36"/>
          <w:lang w:eastAsia="en-GB"/>
        </w:rPr>
      </w:pPr>
      <w:r w:rsidRPr="0078288A">
        <w:rPr>
          <w:rFonts w:ascii="Arial" w:eastAsia="Times New Roman" w:hAnsi="Arial" w:cs="Arial"/>
          <w:b/>
          <w:bCs/>
          <w:color w:val="002147"/>
          <w:sz w:val="36"/>
          <w:szCs w:val="36"/>
          <w:lang w:eastAsia="en-GB"/>
        </w:rPr>
        <w:lastRenderedPageBreak/>
        <w:t>Improvements and alterations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Obligations to reinstate are generally only applicable at the end of the term or when a tenant is leaving. Reinstatement obligations are usually specific and are contained either within leases or licences for alterations. They can be triggered either by a lease obligation to reinstate under any circumstances or upon notice given by a landlord. Without some form of reinstatement obligation in the tenure documentation, a claim for reinstatement cannot be legitimately included in the schedule.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Once an obligation to reinstate has been established, the next step is to determine what alterations have been carried out, whether authorised or not. In looking for evidence of alterations, in addition to documentary evidence (such as plans, photographs, and so on), the surveyor might look for:</w:t>
      </w:r>
    </w:p>
    <w:p w:rsidR="0078288A" w:rsidRPr="0078288A" w:rsidRDefault="0078288A" w:rsidP="0078288A">
      <w:pPr>
        <w:numPr>
          <w:ilvl w:val="0"/>
          <w:numId w:val="5"/>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obvious differences in construction and materials;</w:t>
      </w:r>
    </w:p>
    <w:p w:rsidR="0078288A" w:rsidRPr="0078288A" w:rsidRDefault="0078288A" w:rsidP="0078288A">
      <w:pPr>
        <w:numPr>
          <w:ilvl w:val="0"/>
          <w:numId w:val="5"/>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materials which are inconsistent with the age of the building;</w:t>
      </w:r>
    </w:p>
    <w:p w:rsidR="0078288A" w:rsidRPr="0078288A" w:rsidRDefault="0078288A" w:rsidP="0078288A">
      <w:pPr>
        <w:numPr>
          <w:ilvl w:val="0"/>
          <w:numId w:val="5"/>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parts of the property which directly identify with the trade or occupation of the tenant (such as an extension constructed to store chemicals); and</w:t>
      </w:r>
    </w:p>
    <w:p w:rsidR="0078288A" w:rsidRPr="0078288A" w:rsidRDefault="0078288A" w:rsidP="0078288A">
      <w:pPr>
        <w:numPr>
          <w:ilvl w:val="0"/>
          <w:numId w:val="5"/>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existence of partitions and fitting-out.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Agents’ letting brochures, fitting-out specifications and schedules of condition can be particularly useful when attempting to establish the nature of the original fit-out and specification of the property that was leased at the commencement of the term. There might also be correspondence between the landlord and tenant, even if it did not result in a formal licence. These could include fire certificates, Building Regulations approvals or other documents that were prepared prior to the new lease (but to be useful they do need to be contemporaneous with the commencement of lease). The physical evidence on site is often useful, as mechanical plant often carries a manufacturer’s date. The best information is often held by the staff on site, be it the tenant’s managers or building maintenance staff. Similarly, tenants often have surveys or fit-out proposals prepared as they moved into the premises and these will show what the premises were like before any alterations were undertaken.</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Ultimately, this task takes some investigation to complete, and professional judgement is often required to make decisions ‘on balance’. Occasionally, it is necessary to make assumptions and some pragmatism is required by both the tenant’s and the landlord’s surveyor in this regard. However, such assumptions should be sensible, as it is fundamentally the landlord’s obligation to prove what has happened, not the tenant’s obligation to prove that the landlord’s optimistic assumptions are wrong.</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In many cases, it is also helpful to consider what consequential damage will be caused by the reinstatement of the tenant’s alterations. Any consequential damage should be set out as a continuation of this head of claim, because the effect of the diminution in value differences will apply to such consequential items in the same manner as to the actual alterations.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Where alterations are unlicensed and the lease contains a prohibition on alterations without consent, the breach of that covenant should entitle a landlord to obtain </w:t>
      </w:r>
      <w:r w:rsidRPr="0078288A">
        <w:rPr>
          <w:rFonts w:ascii="Arial" w:eastAsia="Times New Roman" w:hAnsi="Arial" w:cs="Arial"/>
          <w:color w:val="36424A"/>
          <w:sz w:val="24"/>
          <w:szCs w:val="24"/>
          <w:lang w:eastAsia="en-GB"/>
        </w:rPr>
        <w:lastRenderedPageBreak/>
        <w:t>reinstatement. However, it has been suggested that where the breach of covenant occurred more than 12 years previously, the </w:t>
      </w:r>
      <w:hyperlink r:id="rId59" w:history="1">
        <w:r w:rsidRPr="0078288A">
          <w:rPr>
            <w:rFonts w:ascii="Arial" w:eastAsia="Times New Roman" w:hAnsi="Arial" w:cs="Arial"/>
            <w:color w:val="684F80"/>
            <w:sz w:val="24"/>
            <w:szCs w:val="24"/>
            <w:u w:val="single"/>
            <w:lang w:eastAsia="en-GB"/>
          </w:rPr>
          <w:t>Limitation Act 1980</w:t>
        </w:r>
      </w:hyperlink>
      <w:r w:rsidRPr="0078288A">
        <w:rPr>
          <w:rFonts w:ascii="Arial" w:eastAsia="Times New Roman" w:hAnsi="Arial" w:cs="Arial"/>
          <w:color w:val="36424A"/>
          <w:sz w:val="24"/>
          <w:szCs w:val="24"/>
          <w:lang w:eastAsia="en-GB"/>
        </w:rPr>
        <w:t> applies and the right of reinstatement is lost. It is also suggested that the critical date will be 12 years from the point at which the landlord could reasonably have been expected to discover the breach rather than the date of actual breach, although legal advice should be taken under such circumstances. A landlord continuing to accept rent while unaware of an unauthorised alteration would not mean that the landlord would lose the right to ask for reinstatement of the unauthorised breach. Similarly, the landlord ought not to have lost the right to forfeit the lease.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In some instances, leases stipulate that the landlord is obliged to give notice prior to the end of the term, often to inform the tenant whether or not the landlord requires it to reinstate the tenant’s alterations. In some cases there is a counter-obligation on the tenant to seek direction from the landlord in this respect. Whatever the precise circumstances in any one case, given that reinstatement obligations can form a significant part of the overall claim it is vital that the surveyor examines the appropriate lease clause and any licences carefully, to note and follow such obligations in order to make a valid claim against the tenant.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In most lease covenants the use of a dilapidations schedule is considered to be a valid form of a notice (on the facts of the case, this view was confirmed in </w:t>
      </w:r>
      <w:hyperlink r:id="rId60" w:history="1">
        <w:r w:rsidRPr="0078288A">
          <w:rPr>
            <w:rFonts w:ascii="Arial" w:eastAsia="Times New Roman" w:hAnsi="Arial" w:cs="Arial"/>
            <w:color w:val="684F80"/>
            <w:sz w:val="24"/>
            <w:szCs w:val="24"/>
            <w:u w:val="single"/>
            <w:lang w:eastAsia="en-GB"/>
          </w:rPr>
          <w:t>Westminster City Council v HSBC Bank plc</w:t>
        </w:r>
      </w:hyperlink>
      <w:r w:rsidRPr="0078288A">
        <w:rPr>
          <w:rFonts w:ascii="Arial" w:eastAsia="Times New Roman" w:hAnsi="Arial" w:cs="Arial"/>
          <w:color w:val="36424A"/>
          <w:sz w:val="24"/>
          <w:szCs w:val="24"/>
          <w:lang w:eastAsia="en-GB"/>
        </w:rPr>
        <w:t> [2003] 16 EG 103). However, it is more advisable to provide an express notice to avoid any doubt over the landlord’s expectations. If such a notice is issued after the end of the lease, it may be invalid, as by this time the tenant cannot comply with the notice, because the right to occupy the premises has ceased. If a notice is issued late in the term, such that the tenant will not be able fully to comply with it, it will probably remain valid, and the tenant will be obliged to comply with it. This could lead to a temporary continuation of the lease to allow it to finish the works (see </w:t>
      </w:r>
      <w:hyperlink r:id="rId61" w:history="1">
        <w:r w:rsidRPr="0078288A">
          <w:rPr>
            <w:rFonts w:ascii="Arial" w:eastAsia="Times New Roman" w:hAnsi="Arial" w:cs="Arial"/>
            <w:color w:val="684F80"/>
            <w:sz w:val="24"/>
            <w:szCs w:val="24"/>
            <w:u w:val="single"/>
            <w:lang w:eastAsia="en-GB"/>
          </w:rPr>
          <w:t>Scottish Mutual Assurance Society Ltd v British Telecommunications plc</w:t>
        </w:r>
      </w:hyperlink>
      <w:r w:rsidRPr="0078288A">
        <w:rPr>
          <w:rFonts w:ascii="Arial" w:eastAsia="Times New Roman" w:hAnsi="Arial" w:cs="Arial"/>
          <w:color w:val="36424A"/>
          <w:sz w:val="24"/>
          <w:szCs w:val="24"/>
          <w:lang w:eastAsia="en-GB"/>
        </w:rPr>
        <w:t>: unreported decision of Anthony Butcher QC, sitting as an Official Referee, 18 March 1994). Care must be taken though to ensure that staying on does not have some adverse consequence, e.g. where a break clause has been exercised and the failure to give vacant possession when required can result in the break not being effective (see </w:t>
      </w:r>
      <w:proofErr w:type="spellStart"/>
      <w:r w:rsidRPr="0078288A">
        <w:rPr>
          <w:rFonts w:ascii="Arial" w:eastAsia="Times New Roman" w:hAnsi="Arial" w:cs="Arial"/>
          <w:color w:val="36424A"/>
          <w:sz w:val="24"/>
          <w:szCs w:val="24"/>
          <w:lang w:eastAsia="en-GB"/>
        </w:rPr>
        <w:fldChar w:fldCharType="begin"/>
      </w:r>
      <w:r w:rsidRPr="0078288A">
        <w:rPr>
          <w:rFonts w:ascii="Arial" w:eastAsia="Times New Roman" w:hAnsi="Arial" w:cs="Arial"/>
          <w:color w:val="36424A"/>
          <w:sz w:val="24"/>
          <w:szCs w:val="24"/>
          <w:lang w:eastAsia="en-GB"/>
        </w:rPr>
        <w:instrText xml:space="preserve"> HYPERLINK "https://www.isurv.com/site/scripts/documents_info.aspx?documentID=6819" </w:instrText>
      </w:r>
      <w:r w:rsidRPr="0078288A">
        <w:rPr>
          <w:rFonts w:ascii="Arial" w:eastAsia="Times New Roman" w:hAnsi="Arial" w:cs="Arial"/>
          <w:color w:val="36424A"/>
          <w:sz w:val="24"/>
          <w:szCs w:val="24"/>
          <w:lang w:eastAsia="en-GB"/>
        </w:rPr>
        <w:fldChar w:fldCharType="separate"/>
      </w:r>
      <w:r w:rsidRPr="0078288A">
        <w:rPr>
          <w:rFonts w:ascii="Arial" w:eastAsia="Times New Roman" w:hAnsi="Arial" w:cs="Arial"/>
          <w:color w:val="684F80"/>
          <w:sz w:val="24"/>
          <w:szCs w:val="24"/>
          <w:u w:val="single"/>
          <w:lang w:eastAsia="en-GB"/>
        </w:rPr>
        <w:t>Ibrend</w:t>
      </w:r>
      <w:proofErr w:type="spellEnd"/>
      <w:r w:rsidRPr="0078288A">
        <w:rPr>
          <w:rFonts w:ascii="Arial" w:eastAsia="Times New Roman" w:hAnsi="Arial" w:cs="Arial"/>
          <w:color w:val="684F80"/>
          <w:sz w:val="24"/>
          <w:szCs w:val="24"/>
          <w:u w:val="single"/>
          <w:lang w:eastAsia="en-GB"/>
        </w:rPr>
        <w:t xml:space="preserve"> Estates BV v NYK Logistics (UK) Ltd</w:t>
      </w:r>
      <w:r w:rsidRPr="0078288A">
        <w:rPr>
          <w:rFonts w:ascii="Arial" w:eastAsia="Times New Roman" w:hAnsi="Arial" w:cs="Arial"/>
          <w:color w:val="36424A"/>
          <w:sz w:val="24"/>
          <w:szCs w:val="24"/>
          <w:lang w:eastAsia="en-GB"/>
        </w:rPr>
        <w:fldChar w:fldCharType="end"/>
      </w:r>
      <w:r w:rsidRPr="0078288A">
        <w:rPr>
          <w:rFonts w:ascii="Arial" w:eastAsia="Times New Roman" w:hAnsi="Arial" w:cs="Arial"/>
          <w:color w:val="36424A"/>
          <w:sz w:val="24"/>
          <w:szCs w:val="24"/>
          <w:lang w:eastAsia="en-GB"/>
        </w:rPr>
        <w:t>. Some concluded agreement about occupation with the landlord is almost essential. In addition, in terminal claims the </w:t>
      </w:r>
      <w:hyperlink r:id="rId62" w:history="1">
        <w:r w:rsidRPr="0078288A">
          <w:rPr>
            <w:rFonts w:ascii="Arial" w:eastAsia="Times New Roman" w:hAnsi="Arial" w:cs="Arial"/>
            <w:color w:val="684F80"/>
            <w:sz w:val="24"/>
            <w:szCs w:val="24"/>
            <w:u w:val="single"/>
            <w:lang w:eastAsia="en-GB"/>
          </w:rPr>
          <w:t>Dilapidations Protocol</w:t>
        </w:r>
      </w:hyperlink>
      <w:r w:rsidRPr="0078288A">
        <w:rPr>
          <w:rFonts w:ascii="Arial" w:eastAsia="Times New Roman" w:hAnsi="Arial" w:cs="Arial"/>
          <w:color w:val="36424A"/>
          <w:sz w:val="24"/>
          <w:szCs w:val="24"/>
          <w:lang w:eastAsia="en-GB"/>
        </w:rPr>
        <w:t> requires surveyors ‘to specifically identify in the schedule (where appropriate) any notices served by the landlord requiring reinstatement works to be undertaken’</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Depending on what alterations the tenant has carried out there may well be a benefit to the landlord in not requiring reinstatement and the surveyor should bear this in mind in their advice.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See also </w:t>
      </w:r>
      <w:hyperlink r:id="rId63" w:history="1">
        <w:r w:rsidRPr="0078288A">
          <w:rPr>
            <w:rFonts w:ascii="Arial" w:eastAsia="Times New Roman" w:hAnsi="Arial" w:cs="Arial"/>
            <w:color w:val="684F80"/>
            <w:sz w:val="24"/>
            <w:szCs w:val="24"/>
            <w:u w:val="single"/>
            <w:lang w:eastAsia="en-GB"/>
          </w:rPr>
          <w:t>Importance of reinstatement</w:t>
        </w:r>
      </w:hyperlink>
      <w:r w:rsidRPr="0078288A">
        <w:rPr>
          <w:rFonts w:ascii="Arial" w:eastAsia="Times New Roman" w:hAnsi="Arial" w:cs="Arial"/>
          <w:color w:val="36424A"/>
          <w:sz w:val="24"/>
          <w:szCs w:val="24"/>
          <w:lang w:eastAsia="en-GB"/>
        </w:rPr>
        <w:t>. </w:t>
      </w:r>
    </w:p>
    <w:p w:rsidR="0078288A" w:rsidRPr="0078288A" w:rsidRDefault="0078288A" w:rsidP="0078288A">
      <w:pPr>
        <w:spacing w:before="100" w:beforeAutospacing="1" w:after="100" w:afterAutospacing="1" w:line="240" w:lineRule="auto"/>
        <w:outlineLvl w:val="1"/>
        <w:rPr>
          <w:rFonts w:ascii="Arial" w:eastAsia="Times New Roman" w:hAnsi="Arial" w:cs="Arial"/>
          <w:b/>
          <w:bCs/>
          <w:color w:val="002147"/>
          <w:sz w:val="36"/>
          <w:szCs w:val="36"/>
          <w:lang w:eastAsia="en-GB"/>
        </w:rPr>
      </w:pPr>
      <w:r w:rsidRPr="0078288A">
        <w:rPr>
          <w:rFonts w:ascii="Arial" w:eastAsia="Times New Roman" w:hAnsi="Arial" w:cs="Arial"/>
          <w:b/>
          <w:bCs/>
          <w:color w:val="002147"/>
          <w:sz w:val="36"/>
          <w:szCs w:val="36"/>
          <w:lang w:eastAsia="en-GB"/>
        </w:rPr>
        <w:t>To maintain/remove fixtures/not to remove fixtures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The fixtures attached to the property could form part of the property and therefore be within any obligation to repair the property. However, if that were always the case, </w:t>
      </w:r>
      <w:r w:rsidRPr="0078288A">
        <w:rPr>
          <w:rFonts w:ascii="Arial" w:eastAsia="Times New Roman" w:hAnsi="Arial" w:cs="Arial"/>
          <w:color w:val="36424A"/>
          <w:sz w:val="24"/>
          <w:szCs w:val="24"/>
          <w:lang w:eastAsia="en-GB"/>
        </w:rPr>
        <w:lastRenderedPageBreak/>
        <w:t>one could not easily make sense of covenants to repair, say, the property and the landlord’s fixtures. Such wording is not unusual. It would suggest, therefore, that fixtures in situ when the lease is entered into might have some characteristic other than being part of the principal demise. Such distinctions may be relevant if the lease does not demise the whole of the property but only part.</w:t>
      </w:r>
    </w:p>
    <w:tbl>
      <w:tblPr>
        <w:tblW w:w="11430" w:type="dxa"/>
        <w:tblCellMar>
          <w:top w:w="15" w:type="dxa"/>
          <w:left w:w="15" w:type="dxa"/>
          <w:bottom w:w="15" w:type="dxa"/>
          <w:right w:w="15" w:type="dxa"/>
        </w:tblCellMar>
        <w:tblLook w:val="04A0" w:firstRow="1" w:lastRow="0" w:firstColumn="1" w:lastColumn="0" w:noHBand="0" w:noVBand="1"/>
      </w:tblPr>
      <w:tblGrid>
        <w:gridCol w:w="11430"/>
      </w:tblGrid>
      <w:tr w:rsidR="0078288A" w:rsidRPr="0078288A" w:rsidTr="0078288A">
        <w:tc>
          <w:tcPr>
            <w:tcW w:w="0" w:type="auto"/>
            <w:shd w:val="clear" w:color="auto" w:fill="F4F4F4"/>
            <w:hideMark/>
          </w:tcPr>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b/>
                <w:bCs/>
                <w:sz w:val="24"/>
                <w:szCs w:val="24"/>
                <w:lang w:eastAsia="en-GB"/>
              </w:rPr>
              <w:t>Boswell v Crucible Steel Co (1925)</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In a case where the tenant covenanted to repair the interior of the demised property and the landlord’s fixtures and the majority of the walls were, as a result of the type and size of the property, largely of glass, while in some circumstances ‘windows’ might be a fixture (as the landlord contended), here they were held to be a part of the structure of the property itself, not just a part of the interior.</w:t>
            </w:r>
          </w:p>
        </w:tc>
      </w:tr>
    </w:tbl>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If the item concerned is effectively part of the property, then it will not really be a fixture. If the item is a fixture, a greater problem arises if the tenant has introduced it to the property. Arguments arise as to the standard of condition to which the items should be maintained (is the tenant obliged to repair them at all?), whether they can be removed by the tenant (before or at the end of the lease), what happens if they are damaged during removal or damage is caused to the property during their removal or what happens if the tenant is obliged to remove them and does not.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If the item is a chattel (that is, personal property) belonging to the tenant, there is rarely any issue about the position - it is generally entirely up to the tenant as to what it does with them (see also </w:t>
      </w:r>
      <w:hyperlink r:id="rId64" w:history="1">
        <w:r w:rsidRPr="0078288A">
          <w:rPr>
            <w:rFonts w:ascii="Arial" w:eastAsia="Times New Roman" w:hAnsi="Arial" w:cs="Arial"/>
            <w:color w:val="684F80"/>
            <w:sz w:val="24"/>
            <w:szCs w:val="24"/>
            <w:lang w:eastAsia="en-GB"/>
          </w:rPr>
          <w:t xml:space="preserve">Creative Foundation v Dreamland Leisure Ltd &amp; </w:t>
        </w:r>
        <w:proofErr w:type="spellStart"/>
        <w:r w:rsidRPr="0078288A">
          <w:rPr>
            <w:rFonts w:ascii="Arial" w:eastAsia="Times New Roman" w:hAnsi="Arial" w:cs="Arial"/>
            <w:color w:val="684F80"/>
            <w:sz w:val="24"/>
            <w:szCs w:val="24"/>
            <w:lang w:eastAsia="en-GB"/>
          </w:rPr>
          <w:t>Ors</w:t>
        </w:r>
        <w:proofErr w:type="spellEnd"/>
      </w:hyperlink>
      <w:r w:rsidRPr="0078288A">
        <w:rPr>
          <w:rFonts w:ascii="Arial" w:eastAsia="Times New Roman" w:hAnsi="Arial" w:cs="Arial"/>
          <w:color w:val="36424A"/>
          <w:sz w:val="24"/>
          <w:szCs w:val="24"/>
          <w:lang w:eastAsia="en-GB"/>
        </w:rPr>
        <w:t> - a landlord’s chattel case). However, if the tenant were to leave them at the property at the end of the lease, it could give rise to a damages claim by the landlord for failing to deliver up possession.</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If the item is a fixture, then it is treated effectively as being part of the land. But there are some fixtures that a tenant can remove, particularly by the end of the term of the lease. These are known as ‘tenant’s fixtures’. Those fixtures that should not be removed by the tenant are known as ‘landlord’s fixtures’.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It will often be essential to understand the difference between the two categories so as to be able to understand the obligations of the tenant, particularly at the end of the lease.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To do so, one has to consider the manner in which the fixture is attached to the land.</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If the item has not been attached to the property, that is a good indication that it remains a chattel. If it has been attached to the property, even to a limited extent, that could be an indication that it has become a fixture. (See </w:t>
      </w:r>
      <w:hyperlink r:id="rId65" w:history="1">
        <w:r w:rsidRPr="0078288A">
          <w:rPr>
            <w:rFonts w:ascii="Arial" w:eastAsia="Times New Roman" w:hAnsi="Arial" w:cs="Arial"/>
            <w:color w:val="684F80"/>
            <w:sz w:val="24"/>
            <w:szCs w:val="24"/>
            <w:lang w:eastAsia="en-GB"/>
          </w:rPr>
          <w:t>Riverside Park Ltd v NHS Property Services</w:t>
        </w:r>
      </w:hyperlink>
      <w:r w:rsidRPr="0078288A">
        <w:rPr>
          <w:rFonts w:ascii="Arial" w:eastAsia="Times New Roman" w:hAnsi="Arial" w:cs="Arial"/>
          <w:color w:val="36424A"/>
          <w:sz w:val="24"/>
          <w:szCs w:val="24"/>
          <w:lang w:eastAsia="en-GB"/>
        </w:rPr>
        <w:t> – a tenant's chattel/break clause case).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If an item rests on the property by its own weight, it is quite likely to be a chattel, even though it might be quite substantial (such as a shed). Equally, just because it does rest on the ground by its own weight will not always mean that the item is a chattel (such as heavy flagstones forming, say, a patio).</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Where an item is attached to the property, one should consider whether it can be removed without doing appreciable damage to the property to which it is attached or </w:t>
      </w:r>
      <w:r w:rsidRPr="0078288A">
        <w:rPr>
          <w:rFonts w:ascii="Arial" w:eastAsia="Times New Roman" w:hAnsi="Arial" w:cs="Arial"/>
          <w:color w:val="36424A"/>
          <w:sz w:val="24"/>
          <w:szCs w:val="24"/>
          <w:lang w:eastAsia="en-GB"/>
        </w:rPr>
        <w:lastRenderedPageBreak/>
        <w:t>to itself. If it cannot be removed without causing such damage, that is an indicator that the item may well be a fixture.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But the extent to which the item is attached to the property is not, of itself, the determining factor in deciding whether or not it is a fixture. One also has to consider the reason it was attached.</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If an item is attached for the purpose of achieving some permanent alteration or improvement to the property, it is more likely that it has become a fixture. Generally a domestic washing machine will be attached to the property so as to improve one’s quality of use of the property, but while it is so attached, it is more likely to be removable (although the plumbing to which it is attached might not) without damaging either itself or the property, so would objectively be considered to be a chattel.</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Further problems arise when the premises are </w:t>
      </w:r>
      <w:proofErr w:type="spellStart"/>
      <w:r w:rsidRPr="0078288A">
        <w:rPr>
          <w:rFonts w:ascii="Arial" w:eastAsia="Times New Roman" w:hAnsi="Arial" w:cs="Arial"/>
          <w:color w:val="36424A"/>
          <w:sz w:val="24"/>
          <w:szCs w:val="24"/>
          <w:lang w:eastAsia="en-GB"/>
        </w:rPr>
        <w:t>relet</w:t>
      </w:r>
      <w:proofErr w:type="spellEnd"/>
      <w:r w:rsidRPr="0078288A">
        <w:rPr>
          <w:rFonts w:ascii="Arial" w:eastAsia="Times New Roman" w:hAnsi="Arial" w:cs="Arial"/>
          <w:color w:val="36424A"/>
          <w:sz w:val="24"/>
          <w:szCs w:val="24"/>
          <w:lang w:eastAsia="en-GB"/>
        </w:rPr>
        <w:t>. At the point of the commencement of the new lease, and assuming that it does not say anything to the contrary, the existing fixtures (such as partition arrangements, kitchens or mezzanine floors) become part of the landlord’s demise. The tenant is therefore not entitled to remove them at any time and the landlord may not seek their removal at the end of the new term. This situation occurs even in a renewal between the same parties (whether or not flowing from the provisions of Part II of the </w:t>
      </w:r>
      <w:hyperlink r:id="rId66" w:history="1">
        <w:r w:rsidRPr="0078288A">
          <w:rPr>
            <w:rFonts w:ascii="Arial" w:eastAsia="Times New Roman" w:hAnsi="Arial" w:cs="Arial"/>
            <w:color w:val="684F80"/>
            <w:sz w:val="24"/>
            <w:szCs w:val="24"/>
            <w:lang w:eastAsia="en-GB"/>
          </w:rPr>
          <w:t>Landlord and Tenant Act 1954</w:t>
        </w:r>
      </w:hyperlink>
      <w:r w:rsidRPr="0078288A">
        <w:rPr>
          <w:rFonts w:ascii="Arial" w:eastAsia="Times New Roman" w:hAnsi="Arial" w:cs="Arial"/>
          <w:color w:val="36424A"/>
          <w:sz w:val="24"/>
          <w:szCs w:val="24"/>
          <w:lang w:eastAsia="en-GB"/>
        </w:rPr>
        <w:t>), where all of the alterations and fixtures of the previous lease simply become the landlord’s in the new lease.</w:t>
      </w:r>
    </w:p>
    <w:tbl>
      <w:tblPr>
        <w:tblW w:w="11430" w:type="dxa"/>
        <w:tblCellMar>
          <w:top w:w="15" w:type="dxa"/>
          <w:left w:w="15" w:type="dxa"/>
          <w:bottom w:w="15" w:type="dxa"/>
          <w:right w:w="15" w:type="dxa"/>
        </w:tblCellMar>
        <w:tblLook w:val="04A0" w:firstRow="1" w:lastRow="0" w:firstColumn="1" w:lastColumn="0" w:noHBand="0" w:noVBand="1"/>
      </w:tblPr>
      <w:tblGrid>
        <w:gridCol w:w="11430"/>
      </w:tblGrid>
      <w:tr w:rsidR="0078288A" w:rsidRPr="0078288A" w:rsidTr="0078288A">
        <w:tc>
          <w:tcPr>
            <w:tcW w:w="0" w:type="auto"/>
            <w:shd w:val="clear" w:color="auto" w:fill="F4F4F4"/>
            <w:hideMark/>
          </w:tcPr>
          <w:p w:rsidR="0078288A" w:rsidRPr="0078288A" w:rsidRDefault="0078288A" w:rsidP="0078288A">
            <w:pPr>
              <w:spacing w:before="100" w:beforeAutospacing="1" w:after="100" w:afterAutospacing="1" w:line="240" w:lineRule="auto"/>
              <w:outlineLvl w:val="2"/>
              <w:rPr>
                <w:rFonts w:ascii="Times New Roman" w:eastAsia="Times New Roman" w:hAnsi="Times New Roman" w:cs="Times New Roman"/>
                <w:b/>
                <w:bCs/>
                <w:color w:val="36424A"/>
                <w:sz w:val="27"/>
                <w:szCs w:val="27"/>
                <w:lang w:eastAsia="en-GB"/>
              </w:rPr>
            </w:pPr>
            <w:r w:rsidRPr="0078288A">
              <w:rPr>
                <w:rFonts w:ascii="Times New Roman" w:eastAsia="Times New Roman" w:hAnsi="Times New Roman" w:cs="Times New Roman"/>
                <w:b/>
                <w:bCs/>
                <w:color w:val="36424A"/>
                <w:sz w:val="27"/>
                <w:szCs w:val="27"/>
                <w:lang w:eastAsia="en-GB"/>
              </w:rPr>
              <w:t>Cases illustrating the approach to items and whether or not they are fixtures</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b/>
                <w:bCs/>
                <w:sz w:val="24"/>
                <w:szCs w:val="24"/>
                <w:lang w:eastAsia="en-GB"/>
              </w:rPr>
              <w:t>TSB Bank plc v Botham (1996)</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Each case turns on its own facts; in this particular case the following items were held to be fixtures:</w:t>
            </w:r>
          </w:p>
          <w:p w:rsidR="0078288A" w:rsidRPr="0078288A" w:rsidRDefault="0078288A" w:rsidP="0078288A">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Bathroom fittings: in every case in which a bath had been fitted or built into the bathroom, the bath would have become a fixture and its taps would, on the face of it, follow suit. Very special evidence would be needed to justify a conclusion that although the bath was a fixture, its taps remained chattels. They were all fixtures.</w:t>
            </w:r>
          </w:p>
          <w:p w:rsidR="0078288A" w:rsidRPr="0078288A" w:rsidRDefault="0078288A" w:rsidP="0078288A">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Fitted kitchen units: the evidence of photographs and common knowledge of the nature of fitted kitchen units justified the conclusion that the units installed in the flat had become fixtures.</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The following were held not to have become fixtures:</w:t>
            </w:r>
          </w:p>
          <w:p w:rsidR="0078288A" w:rsidRPr="0078288A" w:rsidRDefault="0078288A" w:rsidP="0078288A">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Fitted carpets and curtains: carpets, whether or not fitted, particularly if held only by gripper rods and curtains lacked the quality of permanency that was to be expected of articles that had become (in the eye of the law) part of the property.</w:t>
            </w:r>
          </w:p>
          <w:p w:rsidR="0078288A" w:rsidRPr="0078288A" w:rsidRDefault="0078288A" w:rsidP="0078288A">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Light fittings: there was no admissible evidence to justify a conclusion that the light fittings had become fixtures.</w:t>
            </w:r>
          </w:p>
          <w:p w:rsidR="0078288A" w:rsidRPr="0078288A" w:rsidRDefault="0078288A" w:rsidP="0078288A">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Gas fires: the only connection between the gas fires and the property was a gas pipe. Apart from that link, which was essential if they were to be used as gas fires, nothing secured the gas fires other than their own weight.</w:t>
            </w:r>
          </w:p>
          <w:p w:rsidR="0078288A" w:rsidRPr="0078288A" w:rsidRDefault="0078288A" w:rsidP="0078288A">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White goods: the degree of annexation was slight - no more than was needed to allow normal use. They could be bought separately, by instalments, when ownership did not pass immediately. Disconnection could be done without damage to the fabric of the property and normally without difficulty.</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b/>
                <w:bCs/>
                <w:sz w:val="24"/>
                <w:szCs w:val="24"/>
                <w:lang w:eastAsia="en-GB"/>
              </w:rPr>
              <w:lastRenderedPageBreak/>
              <w:t xml:space="preserve">Young v </w:t>
            </w:r>
            <w:proofErr w:type="spellStart"/>
            <w:r w:rsidRPr="0078288A">
              <w:rPr>
                <w:rFonts w:ascii="Times New Roman" w:eastAsia="Times New Roman" w:hAnsi="Times New Roman" w:cs="Times New Roman"/>
                <w:b/>
                <w:bCs/>
                <w:sz w:val="24"/>
                <w:szCs w:val="24"/>
                <w:lang w:eastAsia="en-GB"/>
              </w:rPr>
              <w:t>Dalgety</w:t>
            </w:r>
            <w:proofErr w:type="spellEnd"/>
            <w:r w:rsidRPr="0078288A">
              <w:rPr>
                <w:rFonts w:ascii="Times New Roman" w:eastAsia="Times New Roman" w:hAnsi="Times New Roman" w:cs="Times New Roman"/>
                <w:b/>
                <w:bCs/>
                <w:sz w:val="24"/>
                <w:szCs w:val="24"/>
                <w:lang w:eastAsia="en-GB"/>
              </w:rPr>
              <w:t xml:space="preserve"> (1987)</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In a case that concerned a rent review clause and the impact of fixtures on it:</w:t>
            </w:r>
          </w:p>
          <w:p w:rsidR="0078288A" w:rsidRPr="0078288A" w:rsidRDefault="0078288A" w:rsidP="0078288A">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light fittings which consisted of fluorescent tubes contained in glass boxes fixed securely to the plaster of the ceiling; and</w:t>
            </w:r>
          </w:p>
          <w:p w:rsidR="0078288A" w:rsidRPr="0078288A" w:rsidRDefault="0078288A" w:rsidP="0078288A">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floor covering being carpeting fixed to the floor by gripper rods, such rods being fixed to the floor with pins which were themselves attached to the carpet (the rods were laid on a screed floor);</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were both found to be tenant’s fixtures. (This should be contrasted with </w:t>
            </w:r>
            <w:r w:rsidRPr="0078288A">
              <w:rPr>
                <w:rFonts w:ascii="Times New Roman" w:eastAsia="Times New Roman" w:hAnsi="Times New Roman" w:cs="Times New Roman"/>
                <w:i/>
                <w:iCs/>
                <w:sz w:val="24"/>
                <w:szCs w:val="24"/>
                <w:lang w:eastAsia="en-GB"/>
              </w:rPr>
              <w:t xml:space="preserve">TSB Bank plc v </w:t>
            </w:r>
            <w:proofErr w:type="spellStart"/>
            <w:r w:rsidRPr="0078288A">
              <w:rPr>
                <w:rFonts w:ascii="Times New Roman" w:eastAsia="Times New Roman" w:hAnsi="Times New Roman" w:cs="Times New Roman"/>
                <w:i/>
                <w:iCs/>
                <w:sz w:val="24"/>
                <w:szCs w:val="24"/>
                <w:lang w:eastAsia="en-GB"/>
              </w:rPr>
              <w:t>Botham</w:t>
            </w:r>
            <w:r w:rsidRPr="0078288A">
              <w:rPr>
                <w:rFonts w:ascii="Times New Roman" w:eastAsia="Times New Roman" w:hAnsi="Times New Roman" w:cs="Times New Roman"/>
                <w:sz w:val="24"/>
                <w:szCs w:val="24"/>
                <w:lang w:eastAsia="en-GB"/>
              </w:rPr>
              <w:t>where</w:t>
            </w:r>
            <w:proofErr w:type="spellEnd"/>
            <w:r w:rsidRPr="0078288A">
              <w:rPr>
                <w:rFonts w:ascii="Times New Roman" w:eastAsia="Times New Roman" w:hAnsi="Times New Roman" w:cs="Times New Roman"/>
                <w:sz w:val="24"/>
                <w:szCs w:val="24"/>
                <w:lang w:eastAsia="en-GB"/>
              </w:rPr>
              <w:t xml:space="preserve"> the carpets were cut to size and held in place by gripper rods yet held not to be fixtures.)</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proofErr w:type="spellStart"/>
            <w:r w:rsidRPr="0078288A">
              <w:rPr>
                <w:rFonts w:ascii="Times New Roman" w:eastAsia="Times New Roman" w:hAnsi="Times New Roman" w:cs="Times New Roman"/>
                <w:b/>
                <w:bCs/>
                <w:sz w:val="24"/>
                <w:szCs w:val="24"/>
                <w:lang w:eastAsia="en-GB"/>
              </w:rPr>
              <w:t>Elitestone</w:t>
            </w:r>
            <w:proofErr w:type="spellEnd"/>
            <w:r w:rsidRPr="0078288A">
              <w:rPr>
                <w:rFonts w:ascii="Times New Roman" w:eastAsia="Times New Roman" w:hAnsi="Times New Roman" w:cs="Times New Roman"/>
                <w:b/>
                <w:bCs/>
                <w:sz w:val="24"/>
                <w:szCs w:val="24"/>
                <w:lang w:eastAsia="en-GB"/>
              </w:rPr>
              <w:t xml:space="preserve"> Ltd v Morris (1997)</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The chalet/bungalow could not be taken down and moved elsewhere. It could only be demolished. It had ceased to be a chattel.</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b/>
                <w:bCs/>
                <w:sz w:val="24"/>
                <w:szCs w:val="24"/>
                <w:lang w:eastAsia="en-GB"/>
              </w:rPr>
              <w:t xml:space="preserve">Pan Australian Credits SA Pty Ltd v </w:t>
            </w:r>
            <w:proofErr w:type="spellStart"/>
            <w:r w:rsidRPr="0078288A">
              <w:rPr>
                <w:rFonts w:ascii="Times New Roman" w:eastAsia="Times New Roman" w:hAnsi="Times New Roman" w:cs="Times New Roman"/>
                <w:b/>
                <w:bCs/>
                <w:sz w:val="24"/>
                <w:szCs w:val="24"/>
                <w:lang w:eastAsia="en-GB"/>
              </w:rPr>
              <w:t>Kolim</w:t>
            </w:r>
            <w:proofErr w:type="spellEnd"/>
            <w:r w:rsidRPr="0078288A">
              <w:rPr>
                <w:rFonts w:ascii="Times New Roman" w:eastAsia="Times New Roman" w:hAnsi="Times New Roman" w:cs="Times New Roman"/>
                <w:b/>
                <w:bCs/>
                <w:sz w:val="24"/>
                <w:szCs w:val="24"/>
                <w:lang w:eastAsia="en-GB"/>
              </w:rPr>
              <w:t xml:space="preserve"> Pty Ltd (1981)</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Air-conditioning equipment was so substantially installed that the units, ducting and vents had become part of the property.</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b/>
                <w:bCs/>
                <w:sz w:val="24"/>
                <w:szCs w:val="24"/>
                <w:lang w:eastAsia="en-GB"/>
              </w:rPr>
              <w:t>Peel Land and Property (Ports No.3) Ltd v TS Sheerness Steel Ltd (2013)</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In a </w:t>
            </w:r>
            <w:hyperlink r:id="rId67" w:history="1">
              <w:r w:rsidRPr="0078288A">
                <w:rPr>
                  <w:rFonts w:ascii="Times New Roman" w:eastAsia="Times New Roman" w:hAnsi="Times New Roman" w:cs="Times New Roman"/>
                  <w:color w:val="684F80"/>
                  <w:sz w:val="24"/>
                  <w:szCs w:val="24"/>
                  <w:lang w:eastAsia="en-GB"/>
                </w:rPr>
                <w:t>case</w:t>
              </w:r>
            </w:hyperlink>
            <w:r w:rsidRPr="0078288A">
              <w:rPr>
                <w:rFonts w:ascii="Times New Roman" w:eastAsia="Times New Roman" w:hAnsi="Times New Roman" w:cs="Times New Roman"/>
                <w:sz w:val="24"/>
                <w:szCs w:val="24"/>
                <w:lang w:eastAsia="en-GB"/>
              </w:rPr>
              <w:t> concerning a steel works, some very substantial items (for example, cranes) were held to be chattels and other substantial items were fixtures, but removable (for example, some 95 tonne ladles to transport molten steel).</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b/>
                <w:bCs/>
                <w:sz w:val="24"/>
                <w:szCs w:val="24"/>
                <w:lang w:eastAsia="en-GB"/>
              </w:rPr>
              <w:t>Riverside Park Ltd v NHS Property Services Ltd (2016)</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This case concerned whether a conditional tenant's break option had been successfully exercised. Demountable partitions were held not to form part of the premises and not to have become fixtures because they could easily be removed without damage to themselves or the fabric of the premises. Further, the object of their installation was to benefit the tenant and not to create a lasting improvement to the premises. (The case is also an important reminder that a licence to alter only authorises works which are undertaken in compliance with its terms. Non-compliance means the works are unauthorised and subject to an automatic obligation to remove (subject to any limitation defence)).</w:t>
            </w:r>
          </w:p>
        </w:tc>
      </w:tr>
    </w:tbl>
    <w:p w:rsidR="0078288A" w:rsidRPr="0078288A" w:rsidRDefault="0078288A" w:rsidP="0078288A">
      <w:pPr>
        <w:spacing w:before="100" w:beforeAutospacing="1" w:after="100" w:afterAutospacing="1" w:line="240" w:lineRule="auto"/>
        <w:outlineLvl w:val="2"/>
        <w:rPr>
          <w:rFonts w:ascii="Arial" w:eastAsia="Times New Roman" w:hAnsi="Arial" w:cs="Arial"/>
          <w:b/>
          <w:bCs/>
          <w:color w:val="36424A"/>
          <w:sz w:val="27"/>
          <w:szCs w:val="27"/>
          <w:lang w:eastAsia="en-GB"/>
        </w:rPr>
      </w:pPr>
      <w:r w:rsidRPr="0078288A">
        <w:rPr>
          <w:rFonts w:ascii="Arial" w:eastAsia="Times New Roman" w:hAnsi="Arial" w:cs="Arial"/>
          <w:b/>
          <w:bCs/>
          <w:color w:val="36424A"/>
          <w:sz w:val="27"/>
          <w:szCs w:val="27"/>
          <w:lang w:eastAsia="en-GB"/>
        </w:rPr>
        <w:lastRenderedPageBreak/>
        <w:t>Carpets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Carpets often cause difficulties in the context of dilapidations claims. In many claims, the costs of putting the carpets into repair (which typically means renewing them) can make up a significant proportion of the total value. Disputes often occur over whether the carpets belong to the landlord or are the tenant’s chattels (see </w:t>
      </w:r>
      <w:r w:rsidRPr="0078288A">
        <w:rPr>
          <w:rFonts w:ascii="Arial" w:eastAsia="Times New Roman" w:hAnsi="Arial" w:cs="Arial"/>
          <w:i/>
          <w:iCs/>
          <w:color w:val="36424A"/>
          <w:sz w:val="24"/>
          <w:szCs w:val="24"/>
          <w:lang w:eastAsia="en-GB"/>
        </w:rPr>
        <w:t>TSB Bank plc v Botham</w:t>
      </w:r>
      <w:r w:rsidRPr="0078288A">
        <w:rPr>
          <w:rFonts w:ascii="Arial" w:eastAsia="Times New Roman" w:hAnsi="Arial" w:cs="Arial"/>
          <w:color w:val="36424A"/>
          <w:sz w:val="24"/>
          <w:szCs w:val="24"/>
          <w:lang w:eastAsia="en-GB"/>
        </w:rPr>
        <w:t> and </w:t>
      </w:r>
      <w:r w:rsidRPr="0078288A">
        <w:rPr>
          <w:rFonts w:ascii="Arial" w:eastAsia="Times New Roman" w:hAnsi="Arial" w:cs="Arial"/>
          <w:i/>
          <w:iCs/>
          <w:color w:val="36424A"/>
          <w:sz w:val="24"/>
          <w:szCs w:val="24"/>
          <w:lang w:eastAsia="en-GB"/>
        </w:rPr>
        <w:t xml:space="preserve">Young v </w:t>
      </w:r>
      <w:proofErr w:type="spellStart"/>
      <w:r w:rsidRPr="0078288A">
        <w:rPr>
          <w:rFonts w:ascii="Arial" w:eastAsia="Times New Roman" w:hAnsi="Arial" w:cs="Arial"/>
          <w:i/>
          <w:iCs/>
          <w:color w:val="36424A"/>
          <w:sz w:val="24"/>
          <w:szCs w:val="24"/>
          <w:lang w:eastAsia="en-GB"/>
        </w:rPr>
        <w:t>Dalgety</w:t>
      </w:r>
      <w:proofErr w:type="spellEnd"/>
      <w:r w:rsidRPr="0078288A">
        <w:rPr>
          <w:rFonts w:ascii="Arial" w:eastAsia="Times New Roman" w:hAnsi="Arial" w:cs="Arial"/>
          <w:color w:val="36424A"/>
          <w:sz w:val="24"/>
          <w:szCs w:val="24"/>
          <w:lang w:eastAsia="en-GB"/>
        </w:rPr>
        <w:t> above for a more detailed discussion of this).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In the absence of specific direction in the lease, it is necessary to consider the permanency with which the carpets have become annexed to the building. Carpets that are physically glued to the floors are probably fixtures that cannot be readily removed at the end of the term. If so, the tenant may become responsible for repairing or renewing them as demanded by the repair covenants. Conversely, where the carpet is merely held in place by carpet grippers, then it is unlikely to have become annexed and should be treated like other tenant’s chattels.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Most modern offices are now specified with carpet tiles that are affixed with tackifier and are designed to be readily raised and moved about. As such, they are merely chattels. Even if they are provided by the landlord at the outset of the lease, they will not be subject to lease provisions that only refer to the demise. Therefore, unless the lease explains how the landlord’s possessions are to be looked after, the tenant is </w:t>
      </w:r>
      <w:r w:rsidRPr="0078288A">
        <w:rPr>
          <w:rFonts w:ascii="Arial" w:eastAsia="Times New Roman" w:hAnsi="Arial" w:cs="Arial"/>
          <w:color w:val="36424A"/>
          <w:sz w:val="24"/>
          <w:szCs w:val="24"/>
          <w:lang w:eastAsia="en-GB"/>
        </w:rPr>
        <w:lastRenderedPageBreak/>
        <w:t>entitled to do as it wishes with these tiles and could merely remove them at the end of the lease.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Where leases are silent on the presence of carpets, this interpretation may not be representative of the intentions of the parties at the outset of the lease. After all, if a landlord has spent a large sum on providing carpets at the beginning of the lease, it is unlikely to wish to give them away for free. There may be compelling evidence to suggest that it was the intention of the parties to treat the carpets as the landlord’s fixture. For example, see </w:t>
      </w:r>
      <w:hyperlink r:id="rId68" w:history="1">
        <w:r w:rsidRPr="0078288A">
          <w:rPr>
            <w:rFonts w:ascii="Arial" w:eastAsia="Times New Roman" w:hAnsi="Arial" w:cs="Arial"/>
            <w:color w:val="684F80"/>
            <w:sz w:val="24"/>
            <w:szCs w:val="24"/>
            <w:lang w:eastAsia="en-GB"/>
          </w:rPr>
          <w:t xml:space="preserve">South Essex Partnership University NHS Foundation Trust v Laindon Holdings Ltd [2016] EWCA </w:t>
        </w:r>
        <w:proofErr w:type="spellStart"/>
        <w:r w:rsidRPr="0078288A">
          <w:rPr>
            <w:rFonts w:ascii="Arial" w:eastAsia="Times New Roman" w:hAnsi="Arial" w:cs="Arial"/>
            <w:color w:val="684F80"/>
            <w:sz w:val="24"/>
            <w:szCs w:val="24"/>
            <w:lang w:eastAsia="en-GB"/>
          </w:rPr>
          <w:t>Civ</w:t>
        </w:r>
        <w:proofErr w:type="spellEnd"/>
        <w:r w:rsidRPr="0078288A">
          <w:rPr>
            <w:rFonts w:ascii="Arial" w:eastAsia="Times New Roman" w:hAnsi="Arial" w:cs="Arial"/>
            <w:color w:val="684F80"/>
            <w:sz w:val="24"/>
            <w:szCs w:val="24"/>
            <w:lang w:eastAsia="en-GB"/>
          </w:rPr>
          <w:t xml:space="preserve"> 377</w:t>
        </w:r>
      </w:hyperlink>
      <w:r w:rsidRPr="0078288A">
        <w:rPr>
          <w:rFonts w:ascii="Arial" w:eastAsia="Times New Roman" w:hAnsi="Arial" w:cs="Arial"/>
          <w:color w:val="36424A"/>
          <w:sz w:val="24"/>
          <w:szCs w:val="24"/>
          <w:lang w:eastAsia="en-GB"/>
        </w:rPr>
        <w:t> where a system of tiled carpeting, which had belonged to the landlord was removed and reinstated at the outset of the lease at the tenant's expense. The court held that the new system was a landlord's fixture. One should bear in mind, however, that when the court is considering the interpretation of the lease, it will not generally consider documents and events beyond that. Therefore, even if there is some evidence outside the lease as to what the parties intended in relation to carpets, there is no guarantee that this will be considered by the court.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As a result of these problems, and because many landlords provide property for let with carpets, many modern leases specifically confirm that carpets are part of the tenant’s demise. The effect of this is to confirm that, irrespective of whether the carpets are fixtures or chattels, any lease provision that relates to the demise also relates to these.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court held that where part of a demised premises is lawfully removed by a tenant, it then becomes a chattel. If it is a chattel of substantial value, then that chattel becomes the property of the landlord.</w:t>
      </w:r>
    </w:p>
    <w:p w:rsidR="0078288A" w:rsidRPr="0078288A" w:rsidRDefault="0078288A" w:rsidP="0078288A">
      <w:pPr>
        <w:spacing w:before="100" w:beforeAutospacing="1" w:after="100" w:afterAutospacing="1" w:line="240" w:lineRule="auto"/>
        <w:outlineLvl w:val="2"/>
        <w:rPr>
          <w:rFonts w:ascii="Arial" w:eastAsia="Times New Roman" w:hAnsi="Arial" w:cs="Arial"/>
          <w:b/>
          <w:bCs/>
          <w:color w:val="36424A"/>
          <w:sz w:val="27"/>
          <w:szCs w:val="27"/>
          <w:lang w:eastAsia="en-GB"/>
        </w:rPr>
      </w:pPr>
      <w:r w:rsidRPr="0078288A">
        <w:rPr>
          <w:rFonts w:ascii="Arial" w:eastAsia="Times New Roman" w:hAnsi="Arial" w:cs="Arial"/>
          <w:b/>
          <w:bCs/>
          <w:color w:val="36424A"/>
          <w:sz w:val="27"/>
          <w:szCs w:val="27"/>
          <w:lang w:eastAsia="en-GB"/>
        </w:rPr>
        <w:t>Removal of fixtures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If an item introduced to the property has become part and parcel of it, then it can never be removed. But if an item has retained its characteristics as a fixture, then if it is a landlord’s fixture it cannot be removed (this includes fixtures introduced by the tenant to replace existing landlord fixtures), whereas if it is a tenant’s fixture it can. Therefore, one only needs to consider whether a fixture is a tenant’s fixture.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To be a tenant’s fixture the item must:</w:t>
      </w:r>
    </w:p>
    <w:p w:rsidR="0078288A" w:rsidRPr="0078288A" w:rsidRDefault="0078288A" w:rsidP="0078288A">
      <w:pPr>
        <w:numPr>
          <w:ilvl w:val="0"/>
          <w:numId w:val="9"/>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have been attached to the property by or on behalf of the tenant;</w:t>
      </w:r>
    </w:p>
    <w:p w:rsidR="0078288A" w:rsidRPr="0078288A" w:rsidRDefault="0078288A" w:rsidP="0078288A">
      <w:pPr>
        <w:numPr>
          <w:ilvl w:val="0"/>
          <w:numId w:val="9"/>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be a trade, decorative or domestic or agricultural fixture; and</w:t>
      </w:r>
    </w:p>
    <w:p w:rsidR="0078288A" w:rsidRPr="0078288A" w:rsidRDefault="0078288A" w:rsidP="0078288A">
      <w:pPr>
        <w:numPr>
          <w:ilvl w:val="0"/>
          <w:numId w:val="9"/>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have been fixed with the intention of removing it when the tenant wished.</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In the case of commercial property, one will be concerned mainly with the first category: trade fixtures are items that the tenant has introduced to enable it to carry on its trade or business at the property.</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But even if an item is a tenant’s fixture, it may not be capable of removal since the lease may prohibit it.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lastRenderedPageBreak/>
        <w:t>For a recent detailed discussion of the principles to be applied, see </w:t>
      </w:r>
      <w:hyperlink r:id="rId69" w:history="1">
        <w:r w:rsidRPr="0078288A">
          <w:rPr>
            <w:rFonts w:ascii="Arial" w:eastAsia="Times New Roman" w:hAnsi="Arial" w:cs="Arial"/>
            <w:color w:val="684F80"/>
            <w:sz w:val="24"/>
            <w:szCs w:val="24"/>
            <w:lang w:eastAsia="en-GB"/>
          </w:rPr>
          <w:t>Peel Land and Property (Ports No.3) Ltd v TS Sheerness Steel Ltd</w:t>
        </w:r>
      </w:hyperlink>
      <w:r w:rsidRPr="0078288A">
        <w:rPr>
          <w:rFonts w:ascii="Arial" w:eastAsia="Times New Roman" w:hAnsi="Arial" w:cs="Arial"/>
          <w:color w:val="36424A"/>
          <w:sz w:val="24"/>
          <w:szCs w:val="24"/>
          <w:lang w:eastAsia="en-GB"/>
        </w:rPr>
        <w: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However, assuming that there is no such limitation, there are other issues to consider in respect of the timing of the removal, since a tenant can only do so during the continuance of the tenancy. (There are some exceptions in the case of others, such as mortgagees of tenant’s fixtures.) Therefore, on forfeiture the right to remove is lost on peaceable re-entry or until judgement for possession (where forfeiture has been by way of proceedings). On surrender, the right to remove will also have been lost, unless the tenant has taken a new tenancy. Where the lease simply expires, whether by effluxion of time or the expiry of a notice to quit (or, it is submitted, a break notice), the right to remove might also be lost.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But the tenant does not have to remove tenant’s fixtures unless the lease (or a licence for alterations) directly or indirectly requires it. However, if a tenant lawfully leaves fixtures at the property at the end of the lease, it could be exposed to a claim for damages if they have not been left in repair.</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If the tenant has introduced fixtures when it ought not to have done or has failed to remove fixtures when it should have done, the tenant will be exposed to a claim for damages (in the latter case, for introducing them in the first place). Equally, if the tenant removes fixtures it ought not to have, it will be exposed to a claim in damages. (If the landlord becomes aware of an intention to unlawfully remove fixtures before they have been removed, then it could seek an injunction preventing removal.)</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If the tenant has an obligation to remove fixtures or is entitled to do so and in doing so causes damage, then it is exposed to a claim by the landlord unless the damage is made good.</w:t>
      </w:r>
    </w:p>
    <w:tbl>
      <w:tblPr>
        <w:tblW w:w="11430" w:type="dxa"/>
        <w:tblCellMar>
          <w:top w:w="15" w:type="dxa"/>
          <w:left w:w="15" w:type="dxa"/>
          <w:bottom w:w="15" w:type="dxa"/>
          <w:right w:w="15" w:type="dxa"/>
        </w:tblCellMar>
        <w:tblLook w:val="04A0" w:firstRow="1" w:lastRow="0" w:firstColumn="1" w:lastColumn="0" w:noHBand="0" w:noVBand="1"/>
      </w:tblPr>
      <w:tblGrid>
        <w:gridCol w:w="11430"/>
      </w:tblGrid>
      <w:tr w:rsidR="0078288A" w:rsidRPr="0078288A" w:rsidTr="0078288A">
        <w:tc>
          <w:tcPr>
            <w:tcW w:w="0" w:type="auto"/>
            <w:shd w:val="clear" w:color="auto" w:fill="F4F4F4"/>
            <w:hideMark/>
          </w:tcPr>
          <w:p w:rsidR="0078288A" w:rsidRPr="0078288A" w:rsidRDefault="0078288A" w:rsidP="0078288A">
            <w:pPr>
              <w:spacing w:after="0" w:line="240" w:lineRule="auto"/>
              <w:rPr>
                <w:rFonts w:ascii="Times New Roman" w:eastAsia="Times New Roman" w:hAnsi="Times New Roman" w:cs="Times New Roman"/>
                <w:sz w:val="16"/>
                <w:szCs w:val="16"/>
                <w:lang w:eastAsia="en-GB"/>
              </w:rPr>
            </w:pPr>
            <w:proofErr w:type="spellStart"/>
            <w:r w:rsidRPr="0078288A">
              <w:rPr>
                <w:rFonts w:ascii="Times New Roman" w:eastAsia="Times New Roman" w:hAnsi="Times New Roman" w:cs="Times New Roman"/>
                <w:b/>
                <w:bCs/>
                <w:sz w:val="16"/>
                <w:szCs w:val="16"/>
                <w:lang w:eastAsia="en-GB"/>
              </w:rPr>
              <w:t>Mancetter</w:t>
            </w:r>
            <w:proofErr w:type="spellEnd"/>
            <w:r w:rsidRPr="0078288A">
              <w:rPr>
                <w:rFonts w:ascii="Times New Roman" w:eastAsia="Times New Roman" w:hAnsi="Times New Roman" w:cs="Times New Roman"/>
                <w:b/>
                <w:bCs/>
                <w:sz w:val="16"/>
                <w:szCs w:val="16"/>
                <w:lang w:eastAsia="en-GB"/>
              </w:rPr>
              <w:t xml:space="preserve"> Developments Ltd v </w:t>
            </w:r>
            <w:proofErr w:type="spellStart"/>
            <w:r w:rsidRPr="0078288A">
              <w:rPr>
                <w:rFonts w:ascii="Times New Roman" w:eastAsia="Times New Roman" w:hAnsi="Times New Roman" w:cs="Times New Roman"/>
                <w:b/>
                <w:bCs/>
                <w:sz w:val="16"/>
                <w:szCs w:val="16"/>
                <w:lang w:eastAsia="en-GB"/>
              </w:rPr>
              <w:t>Garmanson</w:t>
            </w:r>
            <w:proofErr w:type="spellEnd"/>
            <w:r w:rsidRPr="0078288A">
              <w:rPr>
                <w:rFonts w:ascii="Times New Roman" w:eastAsia="Times New Roman" w:hAnsi="Times New Roman" w:cs="Times New Roman"/>
                <w:b/>
                <w:bCs/>
                <w:sz w:val="16"/>
                <w:szCs w:val="16"/>
                <w:lang w:eastAsia="en-GB"/>
              </w:rPr>
              <w:t xml:space="preserve"> Ltd and </w:t>
            </w:r>
            <w:proofErr w:type="spellStart"/>
            <w:r w:rsidRPr="0078288A">
              <w:rPr>
                <w:rFonts w:ascii="Times New Roman" w:eastAsia="Times New Roman" w:hAnsi="Times New Roman" w:cs="Times New Roman"/>
                <w:b/>
                <w:bCs/>
                <w:sz w:val="16"/>
                <w:szCs w:val="16"/>
                <w:lang w:eastAsia="en-GB"/>
              </w:rPr>
              <w:t>Givertz</w:t>
            </w:r>
            <w:proofErr w:type="spellEnd"/>
            <w:r w:rsidRPr="0078288A">
              <w:rPr>
                <w:rFonts w:ascii="Times New Roman" w:eastAsia="Times New Roman" w:hAnsi="Times New Roman" w:cs="Times New Roman"/>
                <w:b/>
                <w:bCs/>
                <w:sz w:val="16"/>
                <w:szCs w:val="16"/>
                <w:lang w:eastAsia="en-GB"/>
              </w:rPr>
              <w:t xml:space="preserve"> (1986)</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16"/>
                <w:szCs w:val="16"/>
                <w:lang w:eastAsia="en-GB"/>
              </w:rPr>
              <w:t xml:space="preserve">The liability to make good the damage, or to repair the injury the property may sustain by the act of removal of tenant’s fixtures, must be the liability of the person who removes the fixtures in so far as it is a liability at common law and not under a contract, and not of the person who originally installed the fixtures and left them there. The liability to make good the damage is a condition of the tenant’s right to remove tenant’s fixtures. Therefore, removal of the fixtures without making good the damage, being in excess of the tenant’s right of removal, is waste, actionable in tort, just as much as removal by the tenant of a landlord’s fixture, which the tenant has no right to remove, is waste. The filling of screw holes or nail holes where a fixture is removed which has been screwed or nailed to a wall may be a matter de </w:t>
            </w:r>
            <w:proofErr w:type="spellStart"/>
            <w:r w:rsidRPr="0078288A">
              <w:rPr>
                <w:rFonts w:ascii="Times New Roman" w:eastAsia="Times New Roman" w:hAnsi="Times New Roman" w:cs="Times New Roman"/>
                <w:sz w:val="16"/>
                <w:szCs w:val="16"/>
                <w:lang w:eastAsia="en-GB"/>
              </w:rPr>
              <w:t>minimis</w:t>
            </w:r>
            <w:proofErr w:type="spellEnd"/>
            <w:r w:rsidRPr="0078288A">
              <w:rPr>
                <w:rFonts w:ascii="Times New Roman" w:eastAsia="Times New Roman" w:hAnsi="Times New Roman" w:cs="Times New Roman"/>
                <w:sz w:val="16"/>
                <w:szCs w:val="16"/>
                <w:lang w:eastAsia="en-GB"/>
              </w:rPr>
              <w:t>. But the leaving of holes, such as those in question in this case, affected the structure and was not a matter of mere decoration.</w:t>
            </w:r>
          </w:p>
        </w:tc>
      </w:tr>
    </w:tbl>
    <w:p w:rsidR="0078288A" w:rsidRDefault="0078288A"/>
    <w:p w:rsidR="0078288A" w:rsidRDefault="0078288A"/>
    <w:p w:rsidR="0078288A" w:rsidRPr="0078288A" w:rsidRDefault="0078288A" w:rsidP="0078288A">
      <w:pPr>
        <w:spacing w:before="100" w:beforeAutospacing="1" w:after="100" w:afterAutospacing="1" w:line="240" w:lineRule="auto"/>
        <w:outlineLvl w:val="1"/>
        <w:rPr>
          <w:rFonts w:ascii="Arial" w:eastAsia="Times New Roman" w:hAnsi="Arial" w:cs="Arial"/>
          <w:b/>
          <w:bCs/>
          <w:color w:val="002147"/>
          <w:sz w:val="36"/>
          <w:szCs w:val="36"/>
          <w:lang w:eastAsia="en-GB"/>
        </w:rPr>
      </w:pPr>
      <w:r w:rsidRPr="0078288A">
        <w:rPr>
          <w:rFonts w:ascii="Arial" w:eastAsia="Times New Roman" w:hAnsi="Arial" w:cs="Arial"/>
          <w:b/>
          <w:bCs/>
          <w:color w:val="002147"/>
          <w:sz w:val="36"/>
          <w:szCs w:val="36"/>
          <w:lang w:eastAsia="en-GB"/>
        </w:rPr>
        <w:t>Compliance with statutes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There are many pieces of legislation that, although primarily imposing obligations on occupiers of property and their business, often have an impact in dilapidations claims.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That they do is because most leases contain provisions requiring the tenant to comply with statutes and regulations that, apparently, affect the property.</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Careful consideration needs to be given to the particular statute, regulation or by-law. Some operate if certain notice is given so, if no notice has been given, then the </w:t>
      </w:r>
      <w:r w:rsidRPr="0078288A">
        <w:rPr>
          <w:rFonts w:ascii="Arial" w:eastAsia="Times New Roman" w:hAnsi="Arial" w:cs="Arial"/>
          <w:color w:val="36424A"/>
          <w:sz w:val="24"/>
          <w:szCs w:val="24"/>
          <w:lang w:eastAsia="en-GB"/>
        </w:rPr>
        <w:lastRenderedPageBreak/>
        <w:t>covenant does not bite. Some do not affect property in existence at the time the legislation is introduced, so older properties will be excluded from their ambit. For example, as most building legislation, such as the </w:t>
      </w:r>
      <w:hyperlink r:id="rId70" w:history="1">
        <w:r w:rsidRPr="0078288A">
          <w:rPr>
            <w:rFonts w:ascii="Arial" w:eastAsia="Times New Roman" w:hAnsi="Arial" w:cs="Arial"/>
            <w:color w:val="684F80"/>
            <w:sz w:val="24"/>
            <w:szCs w:val="24"/>
            <w:u w:val="single"/>
            <w:lang w:eastAsia="en-GB"/>
          </w:rPr>
          <w:t>Building Act 1984</w:t>
        </w:r>
      </w:hyperlink>
      <w:r w:rsidRPr="0078288A">
        <w:rPr>
          <w:rFonts w:ascii="Arial" w:eastAsia="Times New Roman" w:hAnsi="Arial" w:cs="Arial"/>
          <w:color w:val="36424A"/>
          <w:sz w:val="24"/>
          <w:szCs w:val="24"/>
          <w:lang w:eastAsia="en-GB"/>
        </w:rPr>
        <w:t>, cannot be retrospectively applied to existing buildings, but only to new construction, it cannot relate to the premises. Codes of practice, such as the regulations of the </w:t>
      </w:r>
      <w:hyperlink r:id="rId71" w:history="1">
        <w:r w:rsidRPr="0078288A">
          <w:rPr>
            <w:rFonts w:ascii="Arial" w:eastAsia="Times New Roman" w:hAnsi="Arial" w:cs="Arial"/>
            <w:color w:val="684F80"/>
            <w:sz w:val="24"/>
            <w:szCs w:val="24"/>
            <w:u w:val="single"/>
            <w:lang w:eastAsia="en-GB"/>
          </w:rPr>
          <w:t>Institute of Engineering and Technology</w:t>
        </w:r>
      </w:hyperlink>
      <w:r w:rsidRPr="0078288A">
        <w:rPr>
          <w:rFonts w:ascii="Arial" w:eastAsia="Times New Roman" w:hAnsi="Arial" w:cs="Arial"/>
          <w:color w:val="36424A"/>
          <w:sz w:val="24"/>
          <w:szCs w:val="24"/>
          <w:lang w:eastAsia="en-GB"/>
        </w:rPr>
        <w:t> or of the </w:t>
      </w:r>
      <w:hyperlink r:id="rId72" w:history="1">
        <w:r w:rsidRPr="0078288A">
          <w:rPr>
            <w:rFonts w:ascii="Arial" w:eastAsia="Times New Roman" w:hAnsi="Arial" w:cs="Arial"/>
            <w:color w:val="684F80"/>
            <w:sz w:val="24"/>
            <w:szCs w:val="24"/>
            <w:u w:val="single"/>
            <w:lang w:eastAsia="en-GB"/>
          </w:rPr>
          <w:t>British Standards Institution</w:t>
        </w:r>
      </w:hyperlink>
      <w:r w:rsidRPr="0078288A">
        <w:rPr>
          <w:rFonts w:ascii="Arial" w:eastAsia="Times New Roman" w:hAnsi="Arial" w:cs="Arial"/>
          <w:color w:val="36424A"/>
          <w:sz w:val="24"/>
          <w:szCs w:val="24"/>
          <w:lang w:eastAsia="en-GB"/>
        </w:rPr>
        <w:t>, are not statutes or by-laws and so are irrelevant in these leases.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Examples of legislation that are regularly considered are: the </w:t>
      </w:r>
      <w:hyperlink r:id="rId73" w:history="1">
        <w:r w:rsidRPr="0078288A">
          <w:rPr>
            <w:rFonts w:ascii="Arial" w:eastAsia="Times New Roman" w:hAnsi="Arial" w:cs="Arial"/>
            <w:color w:val="684F80"/>
            <w:sz w:val="24"/>
            <w:szCs w:val="24"/>
            <w:u w:val="single"/>
            <w:lang w:eastAsia="en-GB"/>
          </w:rPr>
          <w:t>Health and Safety at Work etc. Act 1974</w:t>
        </w:r>
      </w:hyperlink>
      <w:r w:rsidRPr="0078288A">
        <w:rPr>
          <w:rFonts w:ascii="Arial" w:eastAsia="Times New Roman" w:hAnsi="Arial" w:cs="Arial"/>
          <w:color w:val="36424A"/>
          <w:sz w:val="24"/>
          <w:szCs w:val="24"/>
          <w:lang w:eastAsia="en-GB"/>
        </w:rPr>
        <w:t>, the </w:t>
      </w:r>
      <w:hyperlink r:id="rId74" w:history="1">
        <w:r w:rsidRPr="0078288A">
          <w:rPr>
            <w:rFonts w:ascii="Arial" w:eastAsia="Times New Roman" w:hAnsi="Arial" w:cs="Arial"/>
            <w:color w:val="684F80"/>
            <w:sz w:val="24"/>
            <w:szCs w:val="24"/>
            <w:u w:val="single"/>
            <w:lang w:eastAsia="en-GB"/>
          </w:rPr>
          <w:t>Equality Act 2010</w:t>
        </w:r>
      </w:hyperlink>
      <w:r w:rsidRPr="0078288A">
        <w:rPr>
          <w:rFonts w:ascii="Arial" w:eastAsia="Times New Roman" w:hAnsi="Arial" w:cs="Arial"/>
          <w:color w:val="36424A"/>
          <w:sz w:val="24"/>
          <w:szCs w:val="24"/>
          <w:lang w:eastAsia="en-GB"/>
        </w:rPr>
        <w:t> (which supersedes the Disability Discrimination Act 1995) and the </w:t>
      </w:r>
      <w:hyperlink r:id="rId75" w:history="1">
        <w:r w:rsidRPr="0078288A">
          <w:rPr>
            <w:rFonts w:ascii="Arial" w:eastAsia="Times New Roman" w:hAnsi="Arial" w:cs="Arial"/>
            <w:color w:val="684F80"/>
            <w:sz w:val="24"/>
            <w:szCs w:val="24"/>
            <w:u w:val="single"/>
            <w:lang w:eastAsia="en-GB"/>
          </w:rPr>
          <w:t>Control of Asbestos at Work Regulations 2012</w:t>
        </w:r>
      </w:hyperlink>
      <w:r w:rsidRPr="0078288A">
        <w:rPr>
          <w:rFonts w:ascii="Arial" w:eastAsia="Times New Roman" w:hAnsi="Arial" w:cs="Arial"/>
          <w:color w:val="36424A"/>
          <w:sz w:val="24"/>
          <w:szCs w:val="24"/>
          <w:lang w:eastAsia="en-GB"/>
        </w:rPr>
        <w: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In the case of asbestos, for example, although known to be harmful, the fact that it is present in a property does not necessarily mean that there is an obligation to remove it. While the asbestos remains ‘in repair’ or undisturbed, no such obligation arises (although it might as a result of legislation like the Health and Safety at Work etc. Act 1974). But if asbestos-affected parts of the property fall into disrepair or if an area of the property is out of repair and can only be repaired in a manner that, somehow, would cause the asbestos to be disturbed, then, at the very least, the asbestos affected area would have to be isolated or, more likely, removed. In such circumstances, the work to the asbestos-related area should be undertaken in accordance with the relevant guidelines. Equally, if the tenant installed the asbestos contrary to relevant legislation and therefore (in all likelihood) in breach of the lease, the landlord could look to the tenant for the cost of removal. During the currency of the lease there will be duties regarding the management of asbestos arising from the </w:t>
      </w:r>
      <w:hyperlink r:id="rId76" w:history="1">
        <w:r w:rsidRPr="0078288A">
          <w:rPr>
            <w:rFonts w:ascii="Arial" w:eastAsia="Times New Roman" w:hAnsi="Arial" w:cs="Arial"/>
            <w:color w:val="684F80"/>
            <w:sz w:val="24"/>
            <w:szCs w:val="24"/>
            <w:u w:val="single"/>
            <w:lang w:eastAsia="en-GB"/>
          </w:rPr>
          <w:t>Control of Asbestos Regulations 2012</w:t>
        </w:r>
      </w:hyperlink>
      <w:r w:rsidRPr="0078288A">
        <w:rPr>
          <w:rFonts w:ascii="Arial" w:eastAsia="Times New Roman" w:hAnsi="Arial" w:cs="Arial"/>
          <w:color w:val="36424A"/>
          <w:sz w:val="24"/>
          <w:szCs w:val="24"/>
          <w:lang w:eastAsia="en-GB"/>
        </w:rPr>
        <w:t>. (See the </w:t>
      </w:r>
      <w:hyperlink r:id="rId77" w:history="1">
        <w:r w:rsidRPr="0078288A">
          <w:rPr>
            <w:rFonts w:ascii="Arial" w:eastAsia="Times New Roman" w:hAnsi="Arial" w:cs="Arial"/>
            <w:color w:val="684F80"/>
            <w:sz w:val="24"/>
            <w:szCs w:val="24"/>
            <w:u w:val="single"/>
            <w:lang w:eastAsia="en-GB"/>
          </w:rPr>
          <w:t>HSE asbestos campaign</w:t>
        </w:r>
      </w:hyperlink>
      <w:r w:rsidRPr="0078288A">
        <w:rPr>
          <w:rFonts w:ascii="Arial" w:eastAsia="Times New Roman" w:hAnsi="Arial" w:cs="Arial"/>
          <w:color w:val="36424A"/>
          <w:sz w:val="24"/>
          <w:szCs w:val="24"/>
          <w:lang w:eastAsia="en-GB"/>
        </w:rPr>
        <w:t> for more details). (Surveyors should also consult the RICS guidance note, </w:t>
      </w:r>
      <w:hyperlink r:id="rId78" w:history="1">
        <w:r w:rsidRPr="0078288A">
          <w:rPr>
            <w:rFonts w:ascii="Arial" w:eastAsia="Times New Roman" w:hAnsi="Arial" w:cs="Arial"/>
            <w:color w:val="684F80"/>
            <w:sz w:val="24"/>
            <w:szCs w:val="24"/>
            <w:u w:val="single"/>
            <w:lang w:eastAsia="en-GB"/>
          </w:rPr>
          <w:t>Asbestos and its implications for members and their clients</w:t>
        </w:r>
      </w:hyperlink>
      <w:r w:rsidRPr="0078288A">
        <w:rPr>
          <w:rFonts w:ascii="Arial" w:eastAsia="Times New Roman" w:hAnsi="Arial" w:cs="Arial"/>
          <w:color w:val="36424A"/>
          <w:sz w:val="24"/>
          <w:szCs w:val="24"/>
          <w:lang w:eastAsia="en-GB"/>
        </w:rPr>
        <w:t>, 3rd edition, published in 2011).</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In the case of other types of legislation, such as the Health and Safety at Work etc. Act or the Equality Act, and dilapidations claims at the end of the lease, arguably there is limited impact, because the provisions depend on the presence of a workplace or provision of services to the public - which would not apply if the lease has come to an end and the tenant has vacated. During the course of the lease, the position might be different and the legislation may have to be implemented simply to comply with the terms of the lease. More often than not, the decision as to how the legislation is satisfied will be one for the tenant, not the landlord. Although the tenant may be well advised to complete the work for other reasons, such as under the obligations of the </w:t>
      </w:r>
      <w:hyperlink r:id="rId79" w:history="1">
        <w:r w:rsidRPr="0078288A">
          <w:rPr>
            <w:rFonts w:ascii="Arial" w:eastAsia="Times New Roman" w:hAnsi="Arial" w:cs="Arial"/>
            <w:color w:val="684F80"/>
            <w:sz w:val="24"/>
            <w:szCs w:val="24"/>
            <w:u w:val="single"/>
            <w:lang w:eastAsia="en-GB"/>
          </w:rPr>
          <w:t>Occupiers' Liability Act 1957</w:t>
        </w:r>
      </w:hyperlink>
      <w:r w:rsidRPr="0078288A">
        <w:rPr>
          <w:rFonts w:ascii="Arial" w:eastAsia="Times New Roman" w:hAnsi="Arial" w:cs="Arial"/>
          <w:color w:val="36424A"/>
          <w:sz w:val="24"/>
          <w:szCs w:val="24"/>
          <w:lang w:eastAsia="en-GB"/>
        </w:rPr>
        <w:t> (sections 1–3), the landlord cannot insist on this.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In the case of the Health and Safety at Work etc. Act, it is sometimes asserted that the effect of it is to require the introduction of modern lighting that is intended, for example, to reduce eyestrain. But one should note that while certain types of expensive or complicated lighting designs are employed, for the purposes of compliance with the lease and landlord and tenant law, there will often be alternative solutions to give effect to the legislative requirements. They may be cheaper than removing expensive equipment and might be all that the landlord can insist upon. In other words, the existence of the legislation will not necessarily result in expensive works being carried out.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lastRenderedPageBreak/>
        <w:t>One would have thought that similar principles would apply to the Equality Act. In addition, one might imagine that, since the obligations primarily affect the public service provider or an employer, in the case of a letting of the whole of the property, it will be the tenant who has the obligation to comply with the Equality Act and, in the case of multi-let property, it might be the landlord. Again, there may be a variety of ways in which the Equality Act can be satisfied and, in a dilapidations case, it is not necessarily for the landlord to dictate which option should be (or should have been) implemented.</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Under the </w:t>
      </w:r>
      <w:hyperlink r:id="rId80" w:history="1">
        <w:r w:rsidRPr="0078288A">
          <w:rPr>
            <w:rFonts w:ascii="Arial" w:eastAsia="Times New Roman" w:hAnsi="Arial" w:cs="Arial"/>
            <w:color w:val="684F80"/>
            <w:sz w:val="24"/>
            <w:szCs w:val="24"/>
            <w:u w:val="single"/>
            <w:lang w:eastAsia="en-GB"/>
          </w:rPr>
          <w:t>Regulatory Reform (Fire Safety) Order 2005</w:t>
        </w:r>
      </w:hyperlink>
      <w:r w:rsidRPr="0078288A">
        <w:rPr>
          <w:rFonts w:ascii="Arial" w:eastAsia="Times New Roman" w:hAnsi="Arial" w:cs="Arial"/>
          <w:color w:val="36424A"/>
          <w:sz w:val="24"/>
          <w:szCs w:val="24"/>
          <w:lang w:eastAsia="en-GB"/>
        </w:rPr>
        <w:t> there is a duty for occupiers and employers (among others) to carry out a fire risk assessment. For more information see the </w:t>
      </w:r>
      <w:hyperlink r:id="rId81" w:history="1">
        <w:r w:rsidRPr="0078288A">
          <w:rPr>
            <w:rFonts w:ascii="Arial" w:eastAsia="Times New Roman" w:hAnsi="Arial" w:cs="Arial"/>
            <w:color w:val="684F80"/>
            <w:sz w:val="24"/>
            <w:szCs w:val="24"/>
            <w:u w:val="single"/>
            <w:lang w:eastAsia="en-GB"/>
          </w:rPr>
          <w:t>CLG website fire safety pages</w:t>
        </w:r>
      </w:hyperlink>
      <w:r w:rsidRPr="0078288A">
        <w:rPr>
          <w:rFonts w:ascii="Arial" w:eastAsia="Times New Roman" w:hAnsi="Arial" w:cs="Arial"/>
          <w:color w:val="36424A"/>
          <w:sz w:val="24"/>
          <w:szCs w:val="24"/>
          <w:lang w:eastAsia="en-GB"/>
        </w:rPr>
        <w:t>.</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Under </w:t>
      </w:r>
      <w:hyperlink r:id="rId82" w:history="1">
        <w:r w:rsidRPr="0078288A">
          <w:rPr>
            <w:rFonts w:ascii="Arial" w:eastAsia="Times New Roman" w:hAnsi="Arial" w:cs="Arial"/>
            <w:color w:val="684F80"/>
            <w:sz w:val="24"/>
            <w:szCs w:val="24"/>
            <w:u w:val="single"/>
            <w:lang w:eastAsia="en-GB"/>
          </w:rPr>
          <w:t>EU Regulation (EC) No. 1005/2009</w:t>
        </w:r>
      </w:hyperlink>
      <w:r w:rsidRPr="0078288A">
        <w:rPr>
          <w:rFonts w:ascii="Arial" w:eastAsia="Times New Roman" w:hAnsi="Arial" w:cs="Arial"/>
          <w:color w:val="36424A"/>
          <w:sz w:val="24"/>
          <w:szCs w:val="24"/>
          <w:lang w:eastAsia="en-GB"/>
        </w:rPr>
        <w:t> the maintenance and servicing of air-conditioning systems containing an HCFC gas (R22 being the most common) that involves breaking into the refrigerant circuits is prohibited, effectively rendering them obsolete. Additionally, the EU F-gas Regulations (2014) will also similarly phase out the permitted use of HFC refrigerants with a high Global Warming Potential by 2030, including, amongst others, the common R22 replacement, R422D. This raises important dilapidations questions in terms of both ‘repair’ and compliance with statute. In determining whether a tenant has a liability to replace or refurbish/convert an R22/R422D – containing system it must first be determined whether or not the particular lease clauses encompass European regulations. However, even the lease’s coverage does include European regulations there is still doubt as to whether a properly functioning R22 system will be in breach of the ‘compliance with statute’ clause. Given the potentially large sums at stake, court cases are almost inevitable, but should serve to provide greater clarity in this area.</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w:t>
      </w:r>
      <w:hyperlink r:id="rId83" w:history="1">
        <w:r w:rsidRPr="0078288A">
          <w:rPr>
            <w:rFonts w:ascii="Arial" w:eastAsia="Times New Roman" w:hAnsi="Arial" w:cs="Arial"/>
            <w:color w:val="684F80"/>
            <w:sz w:val="24"/>
            <w:szCs w:val="24"/>
            <w:u w:val="single"/>
            <w:lang w:eastAsia="en-GB"/>
          </w:rPr>
          <w:t>Energy Efficiency (Private Rented Property) (England and Wales) Regulations 2015</w:t>
        </w:r>
      </w:hyperlink>
      <w:r w:rsidRPr="0078288A">
        <w:rPr>
          <w:rFonts w:ascii="Arial" w:eastAsia="Times New Roman" w:hAnsi="Arial" w:cs="Arial"/>
          <w:color w:val="36424A"/>
          <w:sz w:val="24"/>
          <w:szCs w:val="24"/>
          <w:lang w:eastAsia="en-GB"/>
        </w:rPr>
        <w:t> will, no doubt, also promote interesting debate from a dilapidations perspective. By 1 April 2018, landlords will not be able to grant a new lease of a property that fails to meet minimum energy efficiency standards (currently set at an EPC ‘E’ rating), unless the landlord has carried out 'relevant energy efficiency improvements'. The legislation will be broadened to encompass existing leases by 2023. There is a great deal of uncertainty as to whether (in the absence of specific disrepair) landlords will be successful in claiming against tenants for failure to ‘comply with statute’ where energy efficiency improvements have not been carried out. More guidance is expected but there can be little doubt that this potentially highly contentious issue will be explored in the courts in the years to come.</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It is advisable that the landlord should address compliance with statute issues during the term of the lease.</w:t>
      </w:r>
    </w:p>
    <w:p w:rsidR="0078288A" w:rsidRPr="0078288A" w:rsidRDefault="0078288A" w:rsidP="0078288A">
      <w:pPr>
        <w:spacing w:before="100" w:beforeAutospacing="1" w:after="100" w:afterAutospacing="1" w:line="240" w:lineRule="auto"/>
        <w:outlineLvl w:val="1"/>
        <w:rPr>
          <w:rFonts w:ascii="Arial" w:eastAsia="Times New Roman" w:hAnsi="Arial" w:cs="Arial"/>
          <w:b/>
          <w:bCs/>
          <w:color w:val="002147"/>
          <w:sz w:val="36"/>
          <w:szCs w:val="36"/>
          <w:lang w:eastAsia="en-GB"/>
        </w:rPr>
      </w:pPr>
      <w:r w:rsidRPr="0078288A">
        <w:rPr>
          <w:rFonts w:ascii="Arial" w:eastAsia="Times New Roman" w:hAnsi="Arial" w:cs="Arial"/>
          <w:b/>
          <w:bCs/>
          <w:color w:val="002147"/>
          <w:sz w:val="36"/>
          <w:szCs w:val="36"/>
          <w:lang w:eastAsia="en-GB"/>
        </w:rPr>
        <w:t>Decoration</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 xml:space="preserve">Most leases contain a specific, separate obligation to decorate the property. Where the lease does not contain a separate covenant to decorate, one will be reliant on the covenant to repair. However, just because the property may be in a poor </w:t>
      </w:r>
      <w:r w:rsidRPr="0078288A">
        <w:rPr>
          <w:rFonts w:ascii="Arial" w:eastAsia="Times New Roman" w:hAnsi="Arial" w:cs="Arial"/>
          <w:color w:val="36424A"/>
          <w:sz w:val="24"/>
          <w:szCs w:val="24"/>
          <w:lang w:eastAsia="en-GB"/>
        </w:rPr>
        <w:lastRenderedPageBreak/>
        <w:t>decorative condition does not mean that it is out of repair and that decoration needs to be undertaken to meet the covenant to repair.</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Under the test in </w:t>
      </w:r>
      <w:r w:rsidRPr="0078288A">
        <w:rPr>
          <w:rFonts w:ascii="Arial" w:eastAsia="Times New Roman" w:hAnsi="Arial" w:cs="Arial"/>
          <w:i/>
          <w:iCs/>
          <w:color w:val="36424A"/>
          <w:sz w:val="24"/>
          <w:szCs w:val="24"/>
          <w:lang w:eastAsia="en-GB"/>
        </w:rPr>
        <w:t>Proudfoot v Hart</w:t>
      </w:r>
      <w:r w:rsidRPr="0078288A">
        <w:rPr>
          <w:rFonts w:ascii="Arial" w:eastAsia="Times New Roman" w:hAnsi="Arial" w:cs="Arial"/>
          <w:color w:val="36424A"/>
          <w:sz w:val="24"/>
          <w:szCs w:val="24"/>
          <w:lang w:eastAsia="en-GB"/>
        </w:rPr>
        <w:t>, if the decorative standard falls below the standard that would be accepted by a reasonably-minded tenant of the type likely lease the property, then decoration may be required under the repairing covenant. The effect of the </w:t>
      </w:r>
      <w:r w:rsidRPr="0078288A">
        <w:rPr>
          <w:rFonts w:ascii="Arial" w:eastAsia="Times New Roman" w:hAnsi="Arial" w:cs="Arial"/>
          <w:i/>
          <w:iCs/>
          <w:color w:val="36424A"/>
          <w:sz w:val="24"/>
          <w:szCs w:val="24"/>
          <w:lang w:eastAsia="en-GB"/>
        </w:rPr>
        <w:t>Proudfoot</w:t>
      </w:r>
      <w:r w:rsidRPr="0078288A">
        <w:rPr>
          <w:rFonts w:ascii="Arial" w:eastAsia="Times New Roman" w:hAnsi="Arial" w:cs="Arial"/>
          <w:color w:val="36424A"/>
          <w:sz w:val="24"/>
          <w:szCs w:val="24"/>
          <w:lang w:eastAsia="en-GB"/>
        </w:rPr>
        <w:t> test is that it is clearly inappropriate to apply the decorating standards of high class executive offices in a major city centre commercial district to the administration offices in an old industrial unit in a secondary location outside a minor provincial town.</w:t>
      </w:r>
    </w:p>
    <w:tbl>
      <w:tblPr>
        <w:tblW w:w="11430" w:type="dxa"/>
        <w:tblCellMar>
          <w:top w:w="15" w:type="dxa"/>
          <w:left w:w="15" w:type="dxa"/>
          <w:bottom w:w="15" w:type="dxa"/>
          <w:right w:w="15" w:type="dxa"/>
        </w:tblCellMar>
        <w:tblLook w:val="04A0" w:firstRow="1" w:lastRow="0" w:firstColumn="1" w:lastColumn="0" w:noHBand="0" w:noVBand="1"/>
      </w:tblPr>
      <w:tblGrid>
        <w:gridCol w:w="11430"/>
      </w:tblGrid>
      <w:tr w:rsidR="0078288A" w:rsidRPr="0078288A" w:rsidTr="0078288A">
        <w:tc>
          <w:tcPr>
            <w:tcW w:w="0" w:type="auto"/>
            <w:shd w:val="clear" w:color="auto" w:fill="F4F4F4"/>
            <w:hideMark/>
          </w:tcPr>
          <w:p w:rsidR="0078288A" w:rsidRPr="0078288A" w:rsidRDefault="0078288A" w:rsidP="0078288A">
            <w:pPr>
              <w:spacing w:before="100" w:beforeAutospacing="1" w:after="100" w:afterAutospacing="1" w:line="240" w:lineRule="auto"/>
              <w:outlineLvl w:val="2"/>
              <w:rPr>
                <w:rFonts w:ascii="Times New Roman" w:eastAsia="Times New Roman" w:hAnsi="Times New Roman" w:cs="Times New Roman"/>
                <w:b/>
                <w:bCs/>
                <w:color w:val="36424A"/>
                <w:sz w:val="27"/>
                <w:szCs w:val="27"/>
                <w:lang w:eastAsia="en-GB"/>
              </w:rPr>
            </w:pPr>
            <w:r w:rsidRPr="0078288A">
              <w:rPr>
                <w:rFonts w:ascii="Times New Roman" w:eastAsia="Times New Roman" w:hAnsi="Times New Roman" w:cs="Times New Roman"/>
                <w:b/>
                <w:bCs/>
                <w:color w:val="36424A"/>
                <w:sz w:val="27"/>
                <w:szCs w:val="27"/>
                <w:lang w:eastAsia="en-GB"/>
              </w:rPr>
              <w:t>Cases with no express covenant to decorate</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b/>
                <w:bCs/>
                <w:sz w:val="24"/>
                <w:szCs w:val="24"/>
                <w:lang w:eastAsia="en-GB"/>
              </w:rPr>
              <w:t>Proudfoot v Hart (1890)</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‘“Good tenantable repair” is such repair as having regard to the age, character and locality of the [property] as would make [it] reasonably fit for the occupation of a reasonably minded tenant of the class who would be likely to take [it] ... [the property] need not be put into the same condition as when the tenant took [it], [it] need not be put in perfect repair.’</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b/>
                <w:bCs/>
                <w:sz w:val="24"/>
                <w:szCs w:val="24"/>
                <w:lang w:eastAsia="en-GB"/>
              </w:rPr>
              <w:t>Irvine v Moran (1991)</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The question in this case was: Did an implied obligation to keep the structure and exterior of a residential property include an obligation to decorate?</w:t>
            </w:r>
          </w:p>
          <w:p w:rsidR="0078288A" w:rsidRPr="0078288A" w:rsidRDefault="0078288A" w:rsidP="0078288A">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Yes, in relation to the exterior because that would involve a ‘degree of protection against the elements and against the processes of rot and the like’.</w:t>
            </w:r>
          </w:p>
          <w:p w:rsidR="0078288A" w:rsidRPr="0078288A" w:rsidRDefault="0078288A" w:rsidP="0078288A">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No, in relation to the purely decorative interior unless work was necessary to fulfil the obligation to repair.</w:t>
            </w:r>
          </w:p>
          <w:p w:rsidR="0078288A" w:rsidRPr="0078288A" w:rsidRDefault="0078288A" w:rsidP="0078288A">
            <w:pPr>
              <w:spacing w:before="100" w:beforeAutospacing="1" w:after="100" w:afterAutospacing="1" w:line="240" w:lineRule="auto"/>
              <w:outlineLvl w:val="2"/>
              <w:rPr>
                <w:rFonts w:ascii="Times New Roman" w:eastAsia="Times New Roman" w:hAnsi="Times New Roman" w:cs="Times New Roman"/>
                <w:b/>
                <w:bCs/>
                <w:color w:val="36424A"/>
                <w:sz w:val="27"/>
                <w:szCs w:val="27"/>
                <w:lang w:eastAsia="en-GB"/>
              </w:rPr>
            </w:pPr>
            <w:r w:rsidRPr="0078288A">
              <w:rPr>
                <w:rFonts w:ascii="Times New Roman" w:eastAsia="Times New Roman" w:hAnsi="Times New Roman" w:cs="Times New Roman"/>
                <w:b/>
                <w:bCs/>
                <w:color w:val="36424A"/>
                <w:sz w:val="27"/>
                <w:szCs w:val="27"/>
                <w:lang w:eastAsia="en-GB"/>
              </w:rPr>
              <w:t>Cases with express covenant to decorate</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b/>
                <w:bCs/>
                <w:sz w:val="24"/>
                <w:szCs w:val="24"/>
                <w:lang w:eastAsia="en-GB"/>
              </w:rPr>
              <w:t>Gemmell v Goldsworthy (1942)</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This was an Australian case. An express covenant to decorate within a specified, recurring, period was absolute and unconditional but the covenant to repair would still apply and decoration in the middle of any such period could still be required if that was the effect of meeting the obligation to repair.</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b/>
                <w:bCs/>
                <w:sz w:val="24"/>
                <w:szCs w:val="24"/>
                <w:lang w:eastAsia="en-GB"/>
              </w:rPr>
              <w:t>Simmons v Dresden (2004)</w:t>
            </w:r>
          </w:p>
          <w:p w:rsidR="0078288A" w:rsidRPr="0078288A" w:rsidRDefault="0078288A" w:rsidP="0078288A">
            <w:pPr>
              <w:spacing w:after="0" w:line="240" w:lineRule="auto"/>
              <w:rPr>
                <w:rFonts w:ascii="Times New Roman" w:eastAsia="Times New Roman" w:hAnsi="Times New Roman" w:cs="Times New Roman"/>
                <w:sz w:val="24"/>
                <w:szCs w:val="24"/>
                <w:lang w:eastAsia="en-GB"/>
              </w:rPr>
            </w:pPr>
            <w:r w:rsidRPr="0078288A">
              <w:rPr>
                <w:rFonts w:ascii="Times New Roman" w:eastAsia="Times New Roman" w:hAnsi="Times New Roman" w:cs="Times New Roman"/>
                <w:sz w:val="24"/>
                <w:szCs w:val="24"/>
                <w:lang w:eastAsia="en-GB"/>
              </w:rPr>
              <w:t>As this case suggests, it does not matter, in terms of assessing performance, whether the property needs decorating - if the covenant says one must decorate and it is not carried out, there is a breach.</w:t>
            </w:r>
          </w:p>
        </w:tc>
      </w:tr>
    </w:tbl>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covenant may dictate how, and how often, the obligation is to be met. For example, it may prescribe the colour scheme or standard of materials to be used, or it may make it a condition that, prior to decoration being carried out, the choice of colour and/or materials be approved by the landlord or its surveyor. What happens in such circumstances very much depends on the specific wording of the lease. The covenant may state that the landlord or its surveyor may not unreasonably withhold consent or it may be that the appointment of the surveyor operates as a condition precedent so that the obligation to decorate does not bite until then.</w:t>
      </w:r>
    </w:p>
    <w:p w:rsidR="0078288A" w:rsidRPr="0078288A" w:rsidRDefault="0078288A" w:rsidP="0078288A">
      <w:pPr>
        <w:spacing w:before="100" w:beforeAutospacing="1" w:after="100" w:afterAutospacing="1" w:line="240" w:lineRule="auto"/>
        <w:outlineLvl w:val="2"/>
        <w:rPr>
          <w:rFonts w:ascii="Arial" w:eastAsia="Times New Roman" w:hAnsi="Arial" w:cs="Arial"/>
          <w:b/>
          <w:bCs/>
          <w:color w:val="36424A"/>
          <w:sz w:val="27"/>
          <w:szCs w:val="27"/>
          <w:lang w:eastAsia="en-GB"/>
        </w:rPr>
      </w:pPr>
      <w:r w:rsidRPr="0078288A">
        <w:rPr>
          <w:rFonts w:ascii="Arial" w:eastAsia="Times New Roman" w:hAnsi="Arial" w:cs="Arial"/>
          <w:b/>
          <w:bCs/>
          <w:color w:val="36424A"/>
          <w:sz w:val="27"/>
          <w:szCs w:val="27"/>
          <w:lang w:eastAsia="en-GB"/>
        </w:rPr>
        <w:t>Law of Property Act 1925, section 147</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By contrast with the entitlement to seek relief from forfeiture where a notice is served under section 146 of the </w:t>
      </w:r>
      <w:hyperlink r:id="rId84" w:history="1">
        <w:r w:rsidRPr="0078288A">
          <w:rPr>
            <w:rFonts w:ascii="Arial" w:eastAsia="Times New Roman" w:hAnsi="Arial" w:cs="Arial"/>
            <w:color w:val="684F80"/>
            <w:sz w:val="24"/>
            <w:szCs w:val="24"/>
            <w:u w:val="single"/>
            <w:lang w:eastAsia="en-GB"/>
          </w:rPr>
          <w:t>Law of Property Act 1925</w:t>
        </w:r>
      </w:hyperlink>
      <w:r w:rsidRPr="0078288A">
        <w:rPr>
          <w:rFonts w:ascii="Arial" w:eastAsia="Times New Roman" w:hAnsi="Arial" w:cs="Arial"/>
          <w:color w:val="36424A"/>
          <w:sz w:val="24"/>
          <w:szCs w:val="24"/>
          <w:lang w:eastAsia="en-GB"/>
        </w:rPr>
        <w:t xml:space="preserve">, after a notice is served on a </w:t>
      </w:r>
      <w:r w:rsidRPr="0078288A">
        <w:rPr>
          <w:rFonts w:ascii="Arial" w:eastAsia="Times New Roman" w:hAnsi="Arial" w:cs="Arial"/>
          <w:color w:val="36424A"/>
          <w:sz w:val="24"/>
          <w:szCs w:val="24"/>
          <w:lang w:eastAsia="en-GB"/>
        </w:rPr>
        <w:lastRenderedPageBreak/>
        <w:t>tenant relating to the internal decorative repairs to a house or other building, under section 147 of the Act the tenant may apply to the court for relief. If, having regard to all the circumstances of the case (including in particular the length of the term or interest remaining unexpired), the court is satisfied that the notice is unreasonable, it may, by order, wholly or partially relieve the tenant from liability for such repairs. In practice, one rarely sees the entitlement under section 147 operated. In part that is due to the exceptions to it, but if one can make an application, it could be of advantage to a tenant because the outcome could be to relieve the tenant altogether from an obligation to perform the covenant in relation to internal decorative repair.</w:t>
      </w:r>
    </w:p>
    <w:p w:rsidR="0078288A" w:rsidRPr="0078288A" w:rsidRDefault="0078288A" w:rsidP="0078288A">
      <w:pPr>
        <w:spacing w:before="100" w:beforeAutospacing="1" w:after="100" w:afterAutospacing="1" w:line="240" w:lineRule="auto"/>
        <w:outlineLvl w:val="1"/>
        <w:rPr>
          <w:rFonts w:ascii="Arial" w:eastAsia="Times New Roman" w:hAnsi="Arial" w:cs="Arial"/>
          <w:b/>
          <w:bCs/>
          <w:color w:val="002147"/>
          <w:sz w:val="36"/>
          <w:szCs w:val="36"/>
          <w:lang w:eastAsia="en-GB"/>
        </w:rPr>
      </w:pPr>
      <w:r w:rsidRPr="0078288A">
        <w:rPr>
          <w:rFonts w:ascii="Arial" w:eastAsia="Times New Roman" w:hAnsi="Arial" w:cs="Arial"/>
          <w:b/>
          <w:bCs/>
          <w:color w:val="002147"/>
          <w:sz w:val="36"/>
          <w:szCs w:val="36"/>
          <w:lang w:eastAsia="en-GB"/>
        </w:rPr>
        <w:t>Implied obligations</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Terms concerning the condition of a building may also be implied into a tenancy. This may happen where there is a gap between the landlord and tenant’s repairing obligations; if this is the case, the court, if asked and if appropriate, may ‘plug’ this by implying the necessary provision. Terms may also be implied by statute, but this tends to apply to residential property only.</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approach that the court will adopt when considering whether to imply a term into a contract (including a lease) was set out in </w:t>
      </w:r>
      <w:hyperlink r:id="rId85" w:history="1">
        <w:r w:rsidRPr="0078288A">
          <w:rPr>
            <w:rFonts w:ascii="Arial" w:eastAsia="Times New Roman" w:hAnsi="Arial" w:cs="Arial"/>
            <w:color w:val="684F80"/>
            <w:sz w:val="24"/>
            <w:szCs w:val="24"/>
            <w:u w:val="single"/>
            <w:lang w:eastAsia="en-GB"/>
          </w:rPr>
          <w:t>BP Refinery (Westernport) Ltd v Shire of Hastings</w:t>
        </w:r>
      </w:hyperlink>
      <w:r w:rsidRPr="0078288A">
        <w:rPr>
          <w:rFonts w:ascii="Arial" w:eastAsia="Times New Roman" w:hAnsi="Arial" w:cs="Arial"/>
          <w:color w:val="36424A"/>
          <w:sz w:val="24"/>
          <w:szCs w:val="24"/>
          <w:lang w:eastAsia="en-GB"/>
        </w:rPr>
        <w:t> [1978] 52 ALJR 20.</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Effectively, there are five strands to the test:</w:t>
      </w:r>
    </w:p>
    <w:p w:rsidR="0078288A" w:rsidRPr="0078288A" w:rsidRDefault="0078288A" w:rsidP="0078288A">
      <w:pPr>
        <w:numPr>
          <w:ilvl w:val="0"/>
          <w:numId w:val="11"/>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term must be reasonable and equitable;</w:t>
      </w:r>
    </w:p>
    <w:p w:rsidR="0078288A" w:rsidRPr="0078288A" w:rsidRDefault="0078288A" w:rsidP="0078288A">
      <w:pPr>
        <w:numPr>
          <w:ilvl w:val="0"/>
          <w:numId w:val="11"/>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term must be necessary to give business efficacy to the lease;</w:t>
      </w:r>
    </w:p>
    <w:p w:rsidR="0078288A" w:rsidRPr="0078288A" w:rsidRDefault="0078288A" w:rsidP="0078288A">
      <w:pPr>
        <w:numPr>
          <w:ilvl w:val="0"/>
          <w:numId w:val="11"/>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term must be an obvious one to imply into the lease;</w:t>
      </w:r>
    </w:p>
    <w:p w:rsidR="0078288A" w:rsidRPr="0078288A" w:rsidRDefault="0078288A" w:rsidP="0078288A">
      <w:pPr>
        <w:numPr>
          <w:ilvl w:val="0"/>
          <w:numId w:val="11"/>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term must be capable of being clearly expressed; and</w:t>
      </w:r>
    </w:p>
    <w:p w:rsidR="0078288A" w:rsidRPr="0078288A" w:rsidRDefault="0078288A" w:rsidP="0078288A">
      <w:pPr>
        <w:numPr>
          <w:ilvl w:val="0"/>
          <w:numId w:val="11"/>
        </w:num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the term must not contradict any express term of the lease. The more comprehensive the scheme for repairs expressly provided for in the lease, the less likely it is that a term will be implied.</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Applying these tests in a situation where, for example, a lease provides for internal repairs but no more, might result in the implication of a covenant on the landlord to repair the structure and exterior of the building.</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An example of a complex case where the terms of the tenancy (including implied terms) had to be construed by the court was </w:t>
      </w:r>
      <w:hyperlink r:id="rId86" w:history="1">
        <w:r w:rsidRPr="0078288A">
          <w:rPr>
            <w:rFonts w:ascii="Arial" w:eastAsia="Times New Roman" w:hAnsi="Arial" w:cs="Arial"/>
            <w:color w:val="1865B2"/>
            <w:sz w:val="24"/>
            <w:szCs w:val="24"/>
            <w:u w:val="single"/>
            <w:lang w:eastAsia="en-GB"/>
          </w:rPr>
          <w:t xml:space="preserve">Holding &amp; Barnes plc v Hill House Hammond Ltd (No. 1) [2001] EWCA </w:t>
        </w:r>
        <w:proofErr w:type="spellStart"/>
        <w:r w:rsidRPr="0078288A">
          <w:rPr>
            <w:rFonts w:ascii="Arial" w:eastAsia="Times New Roman" w:hAnsi="Arial" w:cs="Arial"/>
            <w:color w:val="1865B2"/>
            <w:sz w:val="24"/>
            <w:szCs w:val="24"/>
            <w:u w:val="single"/>
            <w:lang w:eastAsia="en-GB"/>
          </w:rPr>
          <w:t>Civ</w:t>
        </w:r>
        <w:proofErr w:type="spellEnd"/>
        <w:r w:rsidRPr="0078288A">
          <w:rPr>
            <w:rFonts w:ascii="Arial" w:eastAsia="Times New Roman" w:hAnsi="Arial" w:cs="Arial"/>
            <w:color w:val="1865B2"/>
            <w:sz w:val="24"/>
            <w:szCs w:val="24"/>
            <w:u w:val="single"/>
            <w:lang w:eastAsia="en-GB"/>
          </w:rPr>
          <w:t xml:space="preserve"> 1334</w:t>
        </w:r>
      </w:hyperlink>
      <w:r w:rsidRPr="0078288A">
        <w:rPr>
          <w:rFonts w:ascii="Arial" w:eastAsia="Times New Roman" w:hAnsi="Arial" w:cs="Arial"/>
          <w:color w:val="36424A"/>
          <w:sz w:val="24"/>
          <w:szCs w:val="24"/>
          <w:lang w:eastAsia="en-GB"/>
        </w:rPr>
        <w:t>. However, the court will not always seek to ‘plug a gap’ in the repairing obligations in a lease (see </w:t>
      </w:r>
      <w:hyperlink r:id="rId87" w:history="1">
        <w:r w:rsidRPr="0078288A">
          <w:rPr>
            <w:rFonts w:ascii="Arial" w:eastAsia="Times New Roman" w:hAnsi="Arial" w:cs="Arial"/>
            <w:color w:val="684F80"/>
            <w:sz w:val="24"/>
            <w:szCs w:val="24"/>
            <w:u w:val="single"/>
            <w:lang w:eastAsia="en-GB"/>
          </w:rPr>
          <w:t xml:space="preserve">Jacey Property Co. Ltd v Miguel De Sousa and Another [2003] EWCA </w:t>
        </w:r>
        <w:proofErr w:type="spellStart"/>
        <w:r w:rsidRPr="0078288A">
          <w:rPr>
            <w:rFonts w:ascii="Arial" w:eastAsia="Times New Roman" w:hAnsi="Arial" w:cs="Arial"/>
            <w:color w:val="684F80"/>
            <w:sz w:val="24"/>
            <w:szCs w:val="24"/>
            <w:u w:val="single"/>
            <w:lang w:eastAsia="en-GB"/>
          </w:rPr>
          <w:t>Civ</w:t>
        </w:r>
        <w:proofErr w:type="spellEnd"/>
        <w:r w:rsidRPr="0078288A">
          <w:rPr>
            <w:rFonts w:ascii="Arial" w:eastAsia="Times New Roman" w:hAnsi="Arial" w:cs="Arial"/>
            <w:color w:val="684F80"/>
            <w:sz w:val="24"/>
            <w:szCs w:val="24"/>
            <w:u w:val="single"/>
            <w:lang w:eastAsia="en-GB"/>
          </w:rPr>
          <w:t xml:space="preserve"> 510</w:t>
        </w:r>
      </w:hyperlink>
      <w:r w:rsidRPr="0078288A">
        <w:rPr>
          <w:rFonts w:ascii="Arial" w:eastAsia="Times New Roman" w:hAnsi="Arial" w:cs="Arial"/>
          <w:color w:val="36424A"/>
          <w:sz w:val="24"/>
          <w:szCs w:val="24"/>
          <w:lang w:eastAsia="en-GB"/>
        </w:rPr>
        <w:t>) and </w:t>
      </w:r>
      <w:hyperlink r:id="rId88" w:history="1">
        <w:r w:rsidRPr="0078288A">
          <w:rPr>
            <w:rFonts w:ascii="Arial" w:eastAsia="Times New Roman" w:hAnsi="Arial" w:cs="Arial"/>
            <w:color w:val="684F80"/>
            <w:sz w:val="24"/>
            <w:szCs w:val="24"/>
            <w:u w:val="single"/>
            <w:lang w:eastAsia="en-GB"/>
          </w:rPr>
          <w:t xml:space="preserve">Gavin and </w:t>
        </w:r>
        <w:proofErr w:type="spellStart"/>
        <w:r w:rsidRPr="0078288A">
          <w:rPr>
            <w:rFonts w:ascii="Arial" w:eastAsia="Times New Roman" w:hAnsi="Arial" w:cs="Arial"/>
            <w:color w:val="684F80"/>
            <w:sz w:val="24"/>
            <w:szCs w:val="24"/>
            <w:u w:val="single"/>
            <w:lang w:eastAsia="en-GB"/>
          </w:rPr>
          <w:t>anor</w:t>
        </w:r>
        <w:proofErr w:type="spellEnd"/>
        <w:r w:rsidRPr="0078288A">
          <w:rPr>
            <w:rFonts w:ascii="Arial" w:eastAsia="Times New Roman" w:hAnsi="Arial" w:cs="Arial"/>
            <w:color w:val="684F80"/>
            <w:sz w:val="24"/>
            <w:szCs w:val="24"/>
            <w:u w:val="single"/>
            <w:lang w:eastAsia="en-GB"/>
          </w:rPr>
          <w:t xml:space="preserve"> v One Housing Group Ltd [2013]</w:t>
        </w:r>
      </w:hyperlink>
      <w:r w:rsidRPr="0078288A">
        <w:rPr>
          <w:rFonts w:ascii="Arial" w:eastAsia="Times New Roman" w:hAnsi="Arial" w:cs="Arial"/>
          <w:color w:val="36424A"/>
          <w:sz w:val="24"/>
          <w:szCs w:val="24"/>
          <w:lang w:eastAsia="en-GB"/>
        </w:rPr>
        <w:t xml:space="preserve"> EWCA </w:t>
      </w:r>
      <w:proofErr w:type="spellStart"/>
      <w:r w:rsidRPr="0078288A">
        <w:rPr>
          <w:rFonts w:ascii="Arial" w:eastAsia="Times New Roman" w:hAnsi="Arial" w:cs="Arial"/>
          <w:color w:val="36424A"/>
          <w:sz w:val="24"/>
          <w:szCs w:val="24"/>
          <w:lang w:eastAsia="en-GB"/>
        </w:rPr>
        <w:t>Civ</w:t>
      </w:r>
      <w:proofErr w:type="spellEnd"/>
      <w:r w:rsidRPr="0078288A">
        <w:rPr>
          <w:rFonts w:ascii="Arial" w:eastAsia="Times New Roman" w:hAnsi="Arial" w:cs="Arial"/>
          <w:color w:val="36424A"/>
          <w:sz w:val="24"/>
          <w:szCs w:val="24"/>
          <w:lang w:eastAsia="en-GB"/>
        </w:rPr>
        <w:t xml:space="preserve"> 580 ).</w:t>
      </w:r>
    </w:p>
    <w:p w:rsidR="0078288A" w:rsidRPr="0078288A" w:rsidRDefault="0078288A" w:rsidP="0078288A">
      <w:pPr>
        <w:spacing w:before="100" w:beforeAutospacing="1" w:after="100" w:afterAutospacing="1" w:line="240" w:lineRule="auto"/>
        <w:rPr>
          <w:rFonts w:ascii="Arial" w:eastAsia="Times New Roman" w:hAnsi="Arial" w:cs="Arial"/>
          <w:color w:val="36424A"/>
          <w:sz w:val="24"/>
          <w:szCs w:val="24"/>
          <w:lang w:eastAsia="en-GB"/>
        </w:rPr>
      </w:pPr>
      <w:r w:rsidRPr="0078288A">
        <w:rPr>
          <w:rFonts w:ascii="Arial" w:eastAsia="Times New Roman" w:hAnsi="Arial" w:cs="Arial"/>
          <w:color w:val="36424A"/>
          <w:sz w:val="24"/>
          <w:szCs w:val="24"/>
          <w:lang w:eastAsia="en-GB"/>
        </w:rPr>
        <w:t>Terms may also be implied by statute. This is particularly the case with residential property. Of particular note are the provisions of the </w:t>
      </w:r>
      <w:hyperlink r:id="rId89" w:history="1">
        <w:r w:rsidRPr="0078288A">
          <w:rPr>
            <w:rFonts w:ascii="Arial" w:eastAsia="Times New Roman" w:hAnsi="Arial" w:cs="Arial"/>
            <w:color w:val="684F80"/>
            <w:sz w:val="24"/>
            <w:szCs w:val="24"/>
            <w:u w:val="single"/>
            <w:lang w:eastAsia="en-GB"/>
          </w:rPr>
          <w:t>Landlord and Tenant Act 1985</w:t>
        </w:r>
      </w:hyperlink>
      <w:r w:rsidRPr="0078288A">
        <w:rPr>
          <w:rFonts w:ascii="Arial" w:eastAsia="Times New Roman" w:hAnsi="Arial" w:cs="Arial"/>
          <w:color w:val="36424A"/>
          <w:sz w:val="24"/>
          <w:szCs w:val="24"/>
          <w:lang w:eastAsia="en-GB"/>
        </w:rPr>
        <w:t> and the </w:t>
      </w:r>
      <w:hyperlink r:id="rId90" w:history="1">
        <w:r w:rsidRPr="0078288A">
          <w:rPr>
            <w:rFonts w:ascii="Arial" w:eastAsia="Times New Roman" w:hAnsi="Arial" w:cs="Arial"/>
            <w:color w:val="684F80"/>
            <w:sz w:val="24"/>
            <w:szCs w:val="24"/>
            <w:u w:val="single"/>
            <w:lang w:eastAsia="en-GB"/>
          </w:rPr>
          <w:t>Defective Premises Act 1972</w:t>
        </w:r>
      </w:hyperlink>
      <w:r w:rsidRPr="0078288A">
        <w:rPr>
          <w:rFonts w:ascii="Arial" w:eastAsia="Times New Roman" w:hAnsi="Arial" w:cs="Arial"/>
          <w:color w:val="36424A"/>
          <w:sz w:val="24"/>
          <w:szCs w:val="24"/>
          <w:lang w:eastAsia="en-GB"/>
        </w:rPr>
        <w:t>.</w:t>
      </w:r>
    </w:p>
    <w:p w:rsidR="0078288A" w:rsidRDefault="0078288A">
      <w:bookmarkStart w:id="0" w:name="_GoBack"/>
      <w:bookmarkEnd w:id="0"/>
    </w:p>
    <w:sectPr w:rsidR="007828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C7639"/>
    <w:multiLevelType w:val="multilevel"/>
    <w:tmpl w:val="55CAB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66D3C"/>
    <w:multiLevelType w:val="multilevel"/>
    <w:tmpl w:val="E7BE1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25750B"/>
    <w:multiLevelType w:val="multilevel"/>
    <w:tmpl w:val="F768D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D97720"/>
    <w:multiLevelType w:val="multilevel"/>
    <w:tmpl w:val="B53A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FE7C1B"/>
    <w:multiLevelType w:val="multilevel"/>
    <w:tmpl w:val="F7644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7B640A"/>
    <w:multiLevelType w:val="multilevel"/>
    <w:tmpl w:val="5118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BD5138"/>
    <w:multiLevelType w:val="multilevel"/>
    <w:tmpl w:val="3A80D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225CD"/>
    <w:multiLevelType w:val="multilevel"/>
    <w:tmpl w:val="A43A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353868"/>
    <w:multiLevelType w:val="multilevel"/>
    <w:tmpl w:val="3522B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B16B8B"/>
    <w:multiLevelType w:val="multilevel"/>
    <w:tmpl w:val="EFD66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FA6331"/>
    <w:multiLevelType w:val="multilevel"/>
    <w:tmpl w:val="172E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4"/>
  </w:num>
  <w:num w:numId="4">
    <w:abstractNumId w:val="6"/>
  </w:num>
  <w:num w:numId="5">
    <w:abstractNumId w:val="7"/>
  </w:num>
  <w:num w:numId="6">
    <w:abstractNumId w:val="3"/>
  </w:num>
  <w:num w:numId="7">
    <w:abstractNumId w:val="0"/>
  </w:num>
  <w:num w:numId="8">
    <w:abstractNumId w:val="1"/>
  </w:num>
  <w:num w:numId="9">
    <w:abstractNumId w:val="2"/>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88A"/>
    <w:rsid w:val="00782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AB1CC"/>
  <w15:chartTrackingRefBased/>
  <w15:docId w15:val="{2CE9FFC4-FA98-4D50-BDBA-BBAAC0E4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12817">
      <w:bodyDiv w:val="1"/>
      <w:marLeft w:val="0"/>
      <w:marRight w:val="0"/>
      <w:marTop w:val="0"/>
      <w:marBottom w:val="0"/>
      <w:divBdr>
        <w:top w:val="none" w:sz="0" w:space="0" w:color="auto"/>
        <w:left w:val="none" w:sz="0" w:space="0" w:color="auto"/>
        <w:bottom w:val="none" w:sz="0" w:space="0" w:color="auto"/>
        <w:right w:val="none" w:sz="0" w:space="0" w:color="auto"/>
      </w:divBdr>
      <w:divsChild>
        <w:div w:id="691878970">
          <w:marLeft w:val="0"/>
          <w:marRight w:val="0"/>
          <w:marTop w:val="0"/>
          <w:marBottom w:val="0"/>
          <w:divBdr>
            <w:top w:val="none" w:sz="0" w:space="0" w:color="auto"/>
            <w:left w:val="none" w:sz="0" w:space="0" w:color="auto"/>
            <w:bottom w:val="none" w:sz="0" w:space="0" w:color="auto"/>
            <w:right w:val="none" w:sz="0" w:space="0" w:color="auto"/>
          </w:divBdr>
          <w:divsChild>
            <w:div w:id="2146310918">
              <w:marLeft w:val="0"/>
              <w:marRight w:val="0"/>
              <w:marTop w:val="0"/>
              <w:marBottom w:val="0"/>
              <w:divBdr>
                <w:top w:val="none" w:sz="0" w:space="0" w:color="auto"/>
                <w:left w:val="none" w:sz="0" w:space="0" w:color="auto"/>
                <w:bottom w:val="none" w:sz="0" w:space="0" w:color="auto"/>
                <w:right w:val="none" w:sz="0" w:space="0" w:color="auto"/>
              </w:divBdr>
              <w:divsChild>
                <w:div w:id="1000235251">
                  <w:marLeft w:val="0"/>
                  <w:marRight w:val="0"/>
                  <w:marTop w:val="0"/>
                  <w:marBottom w:val="0"/>
                  <w:divBdr>
                    <w:top w:val="none" w:sz="0" w:space="0" w:color="auto"/>
                    <w:left w:val="none" w:sz="0" w:space="0" w:color="auto"/>
                    <w:bottom w:val="none" w:sz="0" w:space="0" w:color="auto"/>
                    <w:right w:val="none" w:sz="0" w:space="0" w:color="auto"/>
                  </w:divBdr>
                </w:div>
              </w:divsChild>
            </w:div>
            <w:div w:id="151605612">
              <w:marLeft w:val="0"/>
              <w:marRight w:val="0"/>
              <w:marTop w:val="0"/>
              <w:marBottom w:val="0"/>
              <w:divBdr>
                <w:top w:val="none" w:sz="0" w:space="0" w:color="auto"/>
                <w:left w:val="none" w:sz="0" w:space="0" w:color="auto"/>
                <w:bottom w:val="none" w:sz="0" w:space="0" w:color="auto"/>
                <w:right w:val="none" w:sz="0" w:space="0" w:color="auto"/>
              </w:divBdr>
              <w:divsChild>
                <w:div w:id="1505785451">
                  <w:marLeft w:val="0"/>
                  <w:marRight w:val="0"/>
                  <w:marTop w:val="0"/>
                  <w:marBottom w:val="0"/>
                  <w:divBdr>
                    <w:top w:val="none" w:sz="0" w:space="0" w:color="auto"/>
                    <w:left w:val="none" w:sz="0" w:space="0" w:color="auto"/>
                    <w:bottom w:val="none" w:sz="0" w:space="0" w:color="auto"/>
                    <w:right w:val="none" w:sz="0" w:space="0" w:color="auto"/>
                  </w:divBdr>
                </w:div>
              </w:divsChild>
            </w:div>
            <w:div w:id="302859110">
              <w:marLeft w:val="0"/>
              <w:marRight w:val="0"/>
              <w:marTop w:val="0"/>
              <w:marBottom w:val="0"/>
              <w:divBdr>
                <w:top w:val="none" w:sz="0" w:space="0" w:color="auto"/>
                <w:left w:val="none" w:sz="0" w:space="0" w:color="auto"/>
                <w:bottom w:val="none" w:sz="0" w:space="0" w:color="auto"/>
                <w:right w:val="none" w:sz="0" w:space="0" w:color="auto"/>
              </w:divBdr>
              <w:divsChild>
                <w:div w:id="180512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62070">
      <w:bodyDiv w:val="1"/>
      <w:marLeft w:val="0"/>
      <w:marRight w:val="0"/>
      <w:marTop w:val="0"/>
      <w:marBottom w:val="0"/>
      <w:divBdr>
        <w:top w:val="none" w:sz="0" w:space="0" w:color="auto"/>
        <w:left w:val="none" w:sz="0" w:space="0" w:color="auto"/>
        <w:bottom w:val="none" w:sz="0" w:space="0" w:color="auto"/>
        <w:right w:val="none" w:sz="0" w:space="0" w:color="auto"/>
      </w:divBdr>
      <w:divsChild>
        <w:div w:id="1018970504">
          <w:marLeft w:val="0"/>
          <w:marRight w:val="0"/>
          <w:marTop w:val="0"/>
          <w:marBottom w:val="0"/>
          <w:divBdr>
            <w:top w:val="none" w:sz="0" w:space="0" w:color="auto"/>
            <w:left w:val="none" w:sz="0" w:space="0" w:color="auto"/>
            <w:bottom w:val="none" w:sz="0" w:space="0" w:color="auto"/>
            <w:right w:val="none" w:sz="0" w:space="0" w:color="auto"/>
          </w:divBdr>
        </w:div>
      </w:divsChild>
    </w:div>
    <w:div w:id="867179917">
      <w:bodyDiv w:val="1"/>
      <w:marLeft w:val="0"/>
      <w:marRight w:val="0"/>
      <w:marTop w:val="0"/>
      <w:marBottom w:val="0"/>
      <w:divBdr>
        <w:top w:val="none" w:sz="0" w:space="0" w:color="auto"/>
        <w:left w:val="none" w:sz="0" w:space="0" w:color="auto"/>
        <w:bottom w:val="none" w:sz="0" w:space="0" w:color="auto"/>
        <w:right w:val="none" w:sz="0" w:space="0" w:color="auto"/>
      </w:divBdr>
      <w:divsChild>
        <w:div w:id="1453282174">
          <w:marLeft w:val="0"/>
          <w:marRight w:val="0"/>
          <w:marTop w:val="0"/>
          <w:marBottom w:val="0"/>
          <w:divBdr>
            <w:top w:val="none" w:sz="0" w:space="0" w:color="auto"/>
            <w:left w:val="none" w:sz="0" w:space="0" w:color="auto"/>
            <w:bottom w:val="none" w:sz="0" w:space="0" w:color="auto"/>
            <w:right w:val="none" w:sz="0" w:space="0" w:color="auto"/>
          </w:divBdr>
        </w:div>
      </w:divsChild>
    </w:div>
    <w:div w:id="1024093788">
      <w:bodyDiv w:val="1"/>
      <w:marLeft w:val="0"/>
      <w:marRight w:val="0"/>
      <w:marTop w:val="0"/>
      <w:marBottom w:val="0"/>
      <w:divBdr>
        <w:top w:val="none" w:sz="0" w:space="0" w:color="auto"/>
        <w:left w:val="none" w:sz="0" w:space="0" w:color="auto"/>
        <w:bottom w:val="none" w:sz="0" w:space="0" w:color="auto"/>
        <w:right w:val="none" w:sz="0" w:space="0" w:color="auto"/>
      </w:divBdr>
      <w:divsChild>
        <w:div w:id="1827012850">
          <w:marLeft w:val="0"/>
          <w:marRight w:val="0"/>
          <w:marTop w:val="0"/>
          <w:marBottom w:val="0"/>
          <w:divBdr>
            <w:top w:val="none" w:sz="0" w:space="0" w:color="auto"/>
            <w:left w:val="none" w:sz="0" w:space="0" w:color="auto"/>
            <w:bottom w:val="none" w:sz="0" w:space="0" w:color="auto"/>
            <w:right w:val="none" w:sz="0" w:space="0" w:color="auto"/>
          </w:divBdr>
        </w:div>
      </w:divsChild>
    </w:div>
    <w:div w:id="1506869792">
      <w:bodyDiv w:val="1"/>
      <w:marLeft w:val="0"/>
      <w:marRight w:val="0"/>
      <w:marTop w:val="0"/>
      <w:marBottom w:val="0"/>
      <w:divBdr>
        <w:top w:val="none" w:sz="0" w:space="0" w:color="auto"/>
        <w:left w:val="none" w:sz="0" w:space="0" w:color="auto"/>
        <w:bottom w:val="none" w:sz="0" w:space="0" w:color="auto"/>
        <w:right w:val="none" w:sz="0" w:space="0" w:color="auto"/>
      </w:divBdr>
      <w:divsChild>
        <w:div w:id="64693510">
          <w:marLeft w:val="0"/>
          <w:marRight w:val="0"/>
          <w:marTop w:val="0"/>
          <w:marBottom w:val="0"/>
          <w:divBdr>
            <w:top w:val="none" w:sz="0" w:space="0" w:color="auto"/>
            <w:left w:val="none" w:sz="0" w:space="0" w:color="auto"/>
            <w:bottom w:val="none" w:sz="0" w:space="0" w:color="auto"/>
            <w:right w:val="none" w:sz="0" w:space="0" w:color="auto"/>
          </w:divBdr>
        </w:div>
      </w:divsChild>
    </w:div>
    <w:div w:id="1749383596">
      <w:bodyDiv w:val="1"/>
      <w:marLeft w:val="0"/>
      <w:marRight w:val="0"/>
      <w:marTop w:val="0"/>
      <w:marBottom w:val="0"/>
      <w:divBdr>
        <w:top w:val="none" w:sz="0" w:space="0" w:color="auto"/>
        <w:left w:val="none" w:sz="0" w:space="0" w:color="auto"/>
        <w:bottom w:val="none" w:sz="0" w:space="0" w:color="auto"/>
        <w:right w:val="none" w:sz="0" w:space="0" w:color="auto"/>
      </w:divBdr>
      <w:divsChild>
        <w:div w:id="1278607840">
          <w:marLeft w:val="0"/>
          <w:marRight w:val="0"/>
          <w:marTop w:val="0"/>
          <w:marBottom w:val="0"/>
          <w:divBdr>
            <w:top w:val="none" w:sz="0" w:space="0" w:color="auto"/>
            <w:left w:val="none" w:sz="0" w:space="0" w:color="auto"/>
            <w:bottom w:val="none" w:sz="0" w:space="0" w:color="auto"/>
            <w:right w:val="none" w:sz="0" w:space="0" w:color="auto"/>
          </w:divBdr>
          <w:divsChild>
            <w:div w:id="282270383">
              <w:marLeft w:val="0"/>
              <w:marRight w:val="0"/>
              <w:marTop w:val="0"/>
              <w:marBottom w:val="0"/>
              <w:divBdr>
                <w:top w:val="none" w:sz="0" w:space="0" w:color="auto"/>
                <w:left w:val="none" w:sz="0" w:space="0" w:color="auto"/>
                <w:bottom w:val="none" w:sz="0" w:space="0" w:color="auto"/>
                <w:right w:val="none" w:sz="0" w:space="0" w:color="auto"/>
              </w:divBdr>
              <w:divsChild>
                <w:div w:id="27193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214284">
      <w:bodyDiv w:val="1"/>
      <w:marLeft w:val="0"/>
      <w:marRight w:val="0"/>
      <w:marTop w:val="0"/>
      <w:marBottom w:val="0"/>
      <w:divBdr>
        <w:top w:val="none" w:sz="0" w:space="0" w:color="auto"/>
        <w:left w:val="none" w:sz="0" w:space="0" w:color="auto"/>
        <w:bottom w:val="none" w:sz="0" w:space="0" w:color="auto"/>
        <w:right w:val="none" w:sz="0" w:space="0" w:color="auto"/>
      </w:divBdr>
      <w:divsChild>
        <w:div w:id="2076973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surv.com/site/scripts/documents_info.aspx?documentID=6790" TargetMode="External"/><Relationship Id="rId18" Type="http://schemas.openxmlformats.org/officeDocument/2006/relationships/hyperlink" Target="https://www.isurv.com/site/scripts/documents_info.aspx?documentID=6302" TargetMode="External"/><Relationship Id="rId26" Type="http://schemas.openxmlformats.org/officeDocument/2006/relationships/hyperlink" Target="https://www.isurv.com/site/scripts/documents_info.aspx?documentID=6817" TargetMode="External"/><Relationship Id="rId39" Type="http://schemas.openxmlformats.org/officeDocument/2006/relationships/hyperlink" Target="https://www.isurv.com/site/scripts/documents_info.aspx?documentID=6810" TargetMode="External"/><Relationship Id="rId21" Type="http://schemas.openxmlformats.org/officeDocument/2006/relationships/hyperlink" Target="http://www.ricsbooks.com/productInfo.asp?product_id=17637" TargetMode="External"/><Relationship Id="rId34" Type="http://schemas.openxmlformats.org/officeDocument/2006/relationships/hyperlink" Target="https://www.isurv.com/site/scripts/documents_info.aspx?documentID=6869" TargetMode="External"/><Relationship Id="rId42" Type="http://schemas.openxmlformats.org/officeDocument/2006/relationships/hyperlink" Target="http://isurv.com/site/scripts/documents_info.aspx?documentID=8851" TargetMode="External"/><Relationship Id="rId47" Type="http://schemas.openxmlformats.org/officeDocument/2006/relationships/hyperlink" Target="http://eur-lex.europa.eu/LexUriServ/LexUriServ.do?uri=OJ:L:2009:286:0001:0030:EN:PDF" TargetMode="External"/><Relationship Id="rId50" Type="http://schemas.openxmlformats.org/officeDocument/2006/relationships/hyperlink" Target="http://www.legislation.gov.uk/uksi/2012/632/contents/made" TargetMode="External"/><Relationship Id="rId55" Type="http://schemas.openxmlformats.org/officeDocument/2006/relationships/hyperlink" Target="http://www.legislation.gov.uk/uksi/2015/51/contents/made" TargetMode="External"/><Relationship Id="rId63" Type="http://schemas.openxmlformats.org/officeDocument/2006/relationships/hyperlink" Target="https://www.isurv.com/site/scripts/documents_info.aspx?documentID=4949&amp;categoryID=39&amp;pageNumber=4" TargetMode="External"/><Relationship Id="rId68" Type="http://schemas.openxmlformats.org/officeDocument/2006/relationships/hyperlink" Target="http://www.bailii.org/cgi-bin/format.cgi?doc=/ew/cases/EWCA/Civ/2016/377.html" TargetMode="External"/><Relationship Id="rId76" Type="http://schemas.openxmlformats.org/officeDocument/2006/relationships/hyperlink" Target="http://www.legislation.gov.uk/uksi/2012/632/contents/made" TargetMode="External"/><Relationship Id="rId84" Type="http://schemas.openxmlformats.org/officeDocument/2006/relationships/hyperlink" Target="http://www.legislation.gov.uk/ukpga/Geo5/15-16/20/contents" TargetMode="External"/><Relationship Id="rId89" Type="http://schemas.openxmlformats.org/officeDocument/2006/relationships/hyperlink" Target="http://www.legislation.gov.uk/ukpga/1985/70/contents" TargetMode="External"/><Relationship Id="rId7" Type="http://schemas.openxmlformats.org/officeDocument/2006/relationships/hyperlink" Target="https://www.isurv.com/site/scripts/documents_info.aspx?documentID=6809" TargetMode="External"/><Relationship Id="rId71" Type="http://schemas.openxmlformats.org/officeDocument/2006/relationships/hyperlink" Target="http://www.theiet.org/" TargetMode="External"/><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surv.com/site/scripts/documents_info.aspx?documentID=6784" TargetMode="External"/><Relationship Id="rId29" Type="http://schemas.openxmlformats.org/officeDocument/2006/relationships/hyperlink" Target="https://www.isurv.com/site/scripts/documents_info.aspx?documentID=6867" TargetMode="External"/><Relationship Id="rId11" Type="http://schemas.openxmlformats.org/officeDocument/2006/relationships/hyperlink" Target="http://isurv.com/site/scripts/documents_info.aspx?categoryID=39&amp;documentID=4937&amp;pageNumber=3" TargetMode="External"/><Relationship Id="rId24" Type="http://schemas.openxmlformats.org/officeDocument/2006/relationships/hyperlink" Target="https://www.isurv.com/site/scripts/documents_info.aspx?documentID=6786" TargetMode="External"/><Relationship Id="rId32" Type="http://schemas.openxmlformats.org/officeDocument/2006/relationships/hyperlink" Target="https://www.isurv.com/site/scripts/documents_info.aspx?documentID=6804" TargetMode="External"/><Relationship Id="rId37" Type="http://schemas.openxmlformats.org/officeDocument/2006/relationships/hyperlink" Target="https://www.isurv.com/site/scripts/documents_info.aspx?documentID=6834" TargetMode="External"/><Relationship Id="rId40" Type="http://schemas.openxmlformats.org/officeDocument/2006/relationships/hyperlink" Target="https://www.isurv.com/site/scripts/documents_info.aspx?documentID=5019" TargetMode="External"/><Relationship Id="rId45" Type="http://schemas.openxmlformats.org/officeDocument/2006/relationships/hyperlink" Target="https://www.isurv.com/site/scripts/documents_info.aspx?documentID=6807" TargetMode="External"/><Relationship Id="rId53" Type="http://schemas.openxmlformats.org/officeDocument/2006/relationships/hyperlink" Target="http://isurv.com/site/scripts/documents_info.aspx?categoryID=39&amp;documentID=4937&amp;pageNumber=6" TargetMode="External"/><Relationship Id="rId58" Type="http://schemas.openxmlformats.org/officeDocument/2006/relationships/hyperlink" Target="http://www.theiet.org/" TargetMode="External"/><Relationship Id="rId66" Type="http://schemas.openxmlformats.org/officeDocument/2006/relationships/hyperlink" Target="http://www.legislation.gov.uk/ukpga/Eliz2/2-3/56/contents" TargetMode="External"/><Relationship Id="rId74" Type="http://schemas.openxmlformats.org/officeDocument/2006/relationships/hyperlink" Target="http://www.legislation.gov.uk/ukpga/2010/15/contents" TargetMode="External"/><Relationship Id="rId79" Type="http://schemas.openxmlformats.org/officeDocument/2006/relationships/hyperlink" Target="http://www.legislation.gov.uk/ukpga/Eliz2/5-6/31/contents" TargetMode="External"/><Relationship Id="rId87" Type="http://schemas.openxmlformats.org/officeDocument/2006/relationships/hyperlink" Target="http://www.bailii.org/cgi-bin/markup.cgi?doc=/ew/cases/EWCA/Civ/2003/510.html&amp;query=title+%28+jacey+%29&amp;method=boolean" TargetMode="External"/><Relationship Id="rId5" Type="http://schemas.openxmlformats.org/officeDocument/2006/relationships/hyperlink" Target="http://www.rics.org/uk/shop/Dilapidations-The-Modern-Law-and-Practice---5th-Edition-19799.aspx" TargetMode="External"/><Relationship Id="rId61" Type="http://schemas.openxmlformats.org/officeDocument/2006/relationships/hyperlink" Target="https://www.isurv.com/site/scripts/documents_info.aspx?documentID=6836" TargetMode="External"/><Relationship Id="rId82" Type="http://schemas.openxmlformats.org/officeDocument/2006/relationships/hyperlink" Target="http://eur-lex.europa.eu/LexUriServ/LexUriServ.do?uri=OJ:L:2009:286:0001:0030:EN:PDF" TargetMode="External"/><Relationship Id="rId90" Type="http://schemas.openxmlformats.org/officeDocument/2006/relationships/hyperlink" Target="http://www.legislation.gov.uk/ukpga/1972/35/contents" TargetMode="External"/><Relationship Id="rId19" Type="http://schemas.openxmlformats.org/officeDocument/2006/relationships/hyperlink" Target="https://www.isurv.com/site/scripts/documents_info.aspx?documentID=6311" TargetMode="External"/><Relationship Id="rId14" Type="http://schemas.openxmlformats.org/officeDocument/2006/relationships/hyperlink" Target="https://www.isurv.com/site/scripts/documents_info.aspx?documentID=6868" TargetMode="External"/><Relationship Id="rId22" Type="http://schemas.openxmlformats.org/officeDocument/2006/relationships/hyperlink" Target="https://www.isurv.com/site/scripts/documents_info.aspx?documentID=6815" TargetMode="External"/><Relationship Id="rId27" Type="http://schemas.openxmlformats.org/officeDocument/2006/relationships/hyperlink" Target="https://www.isurv.com/site/scripts/documents_info.aspx?documentID=6790" TargetMode="External"/><Relationship Id="rId30" Type="http://schemas.openxmlformats.org/officeDocument/2006/relationships/hyperlink" Target="https://www.isurv.com/site/scripts/documents_info.aspx?documentID=5019" TargetMode="External"/><Relationship Id="rId35" Type="http://schemas.openxmlformats.org/officeDocument/2006/relationships/hyperlink" Target="https://www.isurv.com/site/scripts/documents_info.aspx?documentID=6868" TargetMode="External"/><Relationship Id="rId43" Type="http://schemas.openxmlformats.org/officeDocument/2006/relationships/hyperlink" Target="https://www.isurv.com/site/scripts/documents_info.aspx?documentID=5020" TargetMode="External"/><Relationship Id="rId48" Type="http://schemas.openxmlformats.org/officeDocument/2006/relationships/hyperlink" Target="https://www.isurv.com/site/scripts/documents_info.aspx?documentID=4937&amp;categoryID=39&amp;pageNumber=6" TargetMode="External"/><Relationship Id="rId56" Type="http://schemas.openxmlformats.org/officeDocument/2006/relationships/hyperlink" Target="http://isurv.com/site/scripts/download_info.aspx?categoryID=176&amp;downloadID=132" TargetMode="External"/><Relationship Id="rId64" Type="http://schemas.openxmlformats.org/officeDocument/2006/relationships/hyperlink" Target="http://isurv.com/site/scripts/documents_info.aspx?documentID=8850" TargetMode="External"/><Relationship Id="rId69" Type="http://schemas.openxmlformats.org/officeDocument/2006/relationships/hyperlink" Target="https://www.isurv.com/site/scripts/documents_info.aspx?documentID=7588&amp;categoryID=455" TargetMode="External"/><Relationship Id="rId77" Type="http://schemas.openxmlformats.org/officeDocument/2006/relationships/hyperlink" Target="http://www.hse.gov.uk/asbestos/duty.htm" TargetMode="External"/><Relationship Id="rId8" Type="http://schemas.openxmlformats.org/officeDocument/2006/relationships/hyperlink" Target="http://www.ricsbooks.com/productInfo.asp?product_id=17637" TargetMode="External"/><Relationship Id="rId51" Type="http://schemas.openxmlformats.org/officeDocument/2006/relationships/hyperlink" Target="http://isurv.com/site/scripts/documents_info.aspx?categoryID=39&amp;documentID=4937&amp;pageNumber=6" TargetMode="External"/><Relationship Id="rId72" Type="http://schemas.openxmlformats.org/officeDocument/2006/relationships/hyperlink" Target="http://www.bsigroup.com/" TargetMode="External"/><Relationship Id="rId80" Type="http://schemas.openxmlformats.org/officeDocument/2006/relationships/hyperlink" Target="http://www.legislation.gov.uk/uksi/2005/1541/contents/made" TargetMode="External"/><Relationship Id="rId85" Type="http://schemas.openxmlformats.org/officeDocument/2006/relationships/hyperlink" Target="https://www.isurv.com/site/scripts/documents_info.aspx?documentID=6781" TargetMode="External"/><Relationship Id="rId3" Type="http://schemas.openxmlformats.org/officeDocument/2006/relationships/settings" Target="settings.xml"/><Relationship Id="rId12" Type="http://schemas.openxmlformats.org/officeDocument/2006/relationships/hyperlink" Target="https://www.isurv.com/site/scripts/documents_info.aspx?documentID=6832" TargetMode="External"/><Relationship Id="rId17" Type="http://schemas.openxmlformats.org/officeDocument/2006/relationships/hyperlink" Target="http://isurv.com/site/scripts/documents_info.aspx?documentID=8850" TargetMode="External"/><Relationship Id="rId25" Type="http://schemas.openxmlformats.org/officeDocument/2006/relationships/hyperlink" Target="https://www.isurv.com/site/scripts/documents_info.aspx?documentID=6782" TargetMode="External"/><Relationship Id="rId33" Type="http://schemas.openxmlformats.org/officeDocument/2006/relationships/hyperlink" Target="https://www.isurv.com/site/scripts/documents_info.aspx?documentID=6827" TargetMode="External"/><Relationship Id="rId38" Type="http://schemas.openxmlformats.org/officeDocument/2006/relationships/hyperlink" Target="https://www.isurv.com/site/scripts/documents_info.aspx?documentID=6810" TargetMode="External"/><Relationship Id="rId46" Type="http://schemas.openxmlformats.org/officeDocument/2006/relationships/hyperlink" Target="https://www.isurv.com/site/scripts/documents_info.aspx?documentID=6817" TargetMode="External"/><Relationship Id="rId59" Type="http://schemas.openxmlformats.org/officeDocument/2006/relationships/hyperlink" Target="http://www.legislation.gov.uk/ukpga/1980/58/contents" TargetMode="External"/><Relationship Id="rId67" Type="http://schemas.openxmlformats.org/officeDocument/2006/relationships/hyperlink" Target="https://www.isurv.com/site/scripts/documents_info.aspx?documentID=7588&amp;categoryID=455" TargetMode="External"/><Relationship Id="rId20" Type="http://schemas.openxmlformats.org/officeDocument/2006/relationships/hyperlink" Target="http://isurv.com/site/scripts/documents_info.aspx?categoryID=39&amp;documentID=4949" TargetMode="External"/><Relationship Id="rId41" Type="http://schemas.openxmlformats.org/officeDocument/2006/relationships/hyperlink" Target="https://www.isurv.com/site/scripts/documents_info.aspx?documentID=6805" TargetMode="External"/><Relationship Id="rId54" Type="http://schemas.openxmlformats.org/officeDocument/2006/relationships/hyperlink" Target="http://www.legislation.gov.uk/ukpga/1974/37/contents" TargetMode="External"/><Relationship Id="rId62" Type="http://schemas.openxmlformats.org/officeDocument/2006/relationships/hyperlink" Target="http://www.justice.gov.uk/courts/procedure-rules/civil/protocol/pre-action-protocol-for-claims-for-damages-in-relation-to-the-physical-state-of-commercial-property-at-termination-of-a-tenancy-the-dilapidations-protocol" TargetMode="External"/><Relationship Id="rId70" Type="http://schemas.openxmlformats.org/officeDocument/2006/relationships/hyperlink" Target="http://www.legislation.gov.uk/ukpga/1984/55/contents" TargetMode="External"/><Relationship Id="rId75" Type="http://schemas.openxmlformats.org/officeDocument/2006/relationships/hyperlink" Target="http://www.legislation.gov.uk/uksi/2012/632/contents/made" TargetMode="External"/><Relationship Id="rId83" Type="http://schemas.openxmlformats.org/officeDocument/2006/relationships/hyperlink" Target="http://www.legislation.gov.uk/ukdsi/2015/9780111128350/contents" TargetMode="External"/><Relationship Id="rId88" Type="http://schemas.openxmlformats.org/officeDocument/2006/relationships/hyperlink" Target="https://www.isurv.com/site/scripts/documents_info.aspx?documentID=7589&amp;categoryID=455"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isurv.com/site/scripts/documents_info.aspx?documentID=6795" TargetMode="External"/><Relationship Id="rId15" Type="http://schemas.openxmlformats.org/officeDocument/2006/relationships/hyperlink" Target="https://www.isurv.com/site/scripts/documents_info.aspx?documentID=6799" TargetMode="External"/><Relationship Id="rId23" Type="http://schemas.openxmlformats.org/officeDocument/2006/relationships/hyperlink" Target="https://www.isurv.com/site/scripts/documents_info.aspx?documentID=6793" TargetMode="External"/><Relationship Id="rId28" Type="http://schemas.openxmlformats.org/officeDocument/2006/relationships/hyperlink" Target="https://www.isurv.com/site/scripts/documents_info.aspx?documentID=5018" TargetMode="External"/><Relationship Id="rId36" Type="http://schemas.openxmlformats.org/officeDocument/2006/relationships/hyperlink" Target="https://www.isurv.com/site/scripts/documents_info.aspx?documentID=6799" TargetMode="External"/><Relationship Id="rId49" Type="http://schemas.openxmlformats.org/officeDocument/2006/relationships/hyperlink" Target="https://www.isurv.com/site/scripts/documents_info.aspx?documentID=6868" TargetMode="External"/><Relationship Id="rId57" Type="http://schemas.openxmlformats.org/officeDocument/2006/relationships/hyperlink" Target="http://isurv.com/site/scripts/documents_info.aspx?documentID=8851" TargetMode="External"/><Relationship Id="rId10" Type="http://schemas.openxmlformats.org/officeDocument/2006/relationships/hyperlink" Target="https://www.isurv.com/site/scripts/documents_info.aspx?documentID=5019" TargetMode="External"/><Relationship Id="rId31" Type="http://schemas.openxmlformats.org/officeDocument/2006/relationships/hyperlink" Target="https://www.isurv.com/site/scripts/documents_info.aspx?documentID=6810" TargetMode="External"/><Relationship Id="rId44" Type="http://schemas.openxmlformats.org/officeDocument/2006/relationships/hyperlink" Target="http://www.cibse.org/" TargetMode="External"/><Relationship Id="rId52" Type="http://schemas.openxmlformats.org/officeDocument/2006/relationships/hyperlink" Target="http://www.legislation.gov.uk/uksi/2012/632/regulation/4/made" TargetMode="External"/><Relationship Id="rId60" Type="http://schemas.openxmlformats.org/officeDocument/2006/relationships/hyperlink" Target="https://www.isurv.com/site/scripts/documents_info.aspx?documentID=6842" TargetMode="External"/><Relationship Id="rId65" Type="http://schemas.openxmlformats.org/officeDocument/2006/relationships/hyperlink" Target="http://www.bailii.org/cgi-bin/format.cgi?doc=/ew/cases/EWHC/Ch/2016/1313.html" TargetMode="External"/><Relationship Id="rId73" Type="http://schemas.openxmlformats.org/officeDocument/2006/relationships/hyperlink" Target="http://www.legislation.gov.uk/ukpga/1974/37/contents" TargetMode="External"/><Relationship Id="rId78" Type="http://schemas.openxmlformats.org/officeDocument/2006/relationships/hyperlink" Target="https://www.isurv.com/site/scripts/download.aspx?type=downloads&amp;fileID=158" TargetMode="External"/><Relationship Id="rId81" Type="http://schemas.openxmlformats.org/officeDocument/2006/relationships/hyperlink" Target="http://webarchive.nationalarchives.gov.uk/20120919132719/www.communities.gov.uk/fire/firesafety/firesafetylaw/" TargetMode="External"/><Relationship Id="rId86" Type="http://schemas.openxmlformats.org/officeDocument/2006/relationships/hyperlink" Target="http://www.bailii.org/cgi-bin/markup.cgi?doc=/ew/cases/EWCA/Civ/2001/1334.html&amp;query=title+%28+holding+%29+and+title+%28+v+%29+and+title+%28+hill+%29&amp;method=boolean" TargetMode="External"/><Relationship Id="rId4" Type="http://schemas.openxmlformats.org/officeDocument/2006/relationships/webSettings" Target="webSettings.xml"/><Relationship Id="rId9" Type="http://schemas.openxmlformats.org/officeDocument/2006/relationships/hyperlink" Target="https://www.isurv.com/site/scripts/documents_info.aspx?documentID=5020&amp;categoryID=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11652</Words>
  <Characters>66420</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Francis</dc:creator>
  <cp:keywords/>
  <dc:description/>
  <cp:lastModifiedBy>Trevor Francis</cp:lastModifiedBy>
  <cp:revision>2</cp:revision>
  <dcterms:created xsi:type="dcterms:W3CDTF">2017-10-04T21:20:00Z</dcterms:created>
  <dcterms:modified xsi:type="dcterms:W3CDTF">2017-10-04T21:20:00Z</dcterms:modified>
</cp:coreProperties>
</file>