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1A65D312" wp14:textId="10FAEE61">
      <w:r w:rsidRPr="634CE94F" w:rsidR="5CA0D038">
        <w:rPr>
          <w:rFonts w:ascii="Arial" w:hAnsi="Arial" w:eastAsia="Arial" w:cs="Arial"/>
          <w:b w:val="0"/>
          <w:bCs w:val="0"/>
          <w:i w:val="0"/>
          <w:iCs w:val="0"/>
          <w:caps w:val="0"/>
          <w:smallCaps w:val="0"/>
          <w:noProof w:val="0"/>
          <w:color w:val="222222"/>
          <w:sz w:val="22"/>
          <w:szCs w:val="22"/>
          <w:lang w:val="en-US"/>
        </w:rPr>
        <w:t xml:space="preserve">A critical analysis of the article ‘Educational aspirations among UK Young Teenagers: Exploring the role of gender, class and ethnicity’ (Berrington, Roberts and Tammes, 2016). </w:t>
      </w:r>
    </w:p>
    <w:p xmlns:wp14="http://schemas.microsoft.com/office/word/2010/wordml" w14:paraId="26BDB528" wp14:textId="1E0B162A">
      <w:r w:rsidRPr="634CE94F" w:rsidR="5CA0D038">
        <w:rPr>
          <w:rFonts w:ascii="Arial" w:hAnsi="Arial" w:eastAsia="Arial" w:cs="Arial"/>
          <w:b w:val="1"/>
          <w:bCs w:val="1"/>
          <w:i w:val="0"/>
          <w:iCs w:val="0"/>
          <w:caps w:val="0"/>
          <w:smallCaps w:val="0"/>
          <w:noProof w:val="0"/>
          <w:color w:val="222222"/>
          <w:sz w:val="22"/>
          <w:szCs w:val="22"/>
          <w:lang w:val="en-US"/>
        </w:rPr>
        <w:t>1.Introduction</w:t>
      </w:r>
    </w:p>
    <w:p xmlns:wp14="http://schemas.microsoft.com/office/word/2010/wordml" w14:paraId="4164F5CE" wp14:textId="2A108EC7">
      <w:r w:rsidRPr="634CE94F" w:rsidR="5CA0D038">
        <w:rPr>
          <w:rFonts w:ascii="Arial" w:hAnsi="Arial" w:eastAsia="Arial" w:cs="Arial"/>
          <w:b w:val="0"/>
          <w:bCs w:val="0"/>
          <w:i w:val="0"/>
          <w:iCs w:val="0"/>
          <w:caps w:val="0"/>
          <w:smallCaps w:val="0"/>
          <w:noProof w:val="0"/>
          <w:color w:val="222222"/>
          <w:sz w:val="22"/>
          <w:szCs w:val="22"/>
          <w:lang w:val="en-US"/>
        </w:rPr>
        <w:t xml:space="preserve">Most children have developed relevant thoughts about their futures and whether they are likely to apply to universities by the time they enter secondary school. Despite having reduced in recent years, major socioeconomic gaps in participation in higher education (HE) in the United Kingdom (UK) still exist. Numerous studies, particularly traditional economic studies, found that young people from socially disadvantaged families are less likely to aspire to HE because they have accumulated less knowledge and skills throughout their lives (human capital). This has shown the importance of socioeconomic status on decisions about HE (Declercq and Verbroven, 2014). Understanding the gaps in HE participation has proven to be complex with the intersecting roles of gender, class, and ethnicity all impacting the progression to higher education, (Department for Education, 2017). </w:t>
      </w:r>
    </w:p>
    <w:p xmlns:wp14="http://schemas.microsoft.com/office/word/2010/wordml" w14:paraId="7A4A06E0" wp14:textId="3D5BD332">
      <w:r w:rsidRPr="634CE94F" w:rsidR="5CA0D038">
        <w:rPr>
          <w:rFonts w:ascii="Arial" w:hAnsi="Arial" w:eastAsia="Arial" w:cs="Arial"/>
          <w:b w:val="0"/>
          <w:bCs w:val="0"/>
          <w:i w:val="0"/>
          <w:iCs w:val="0"/>
          <w:caps w:val="0"/>
          <w:smallCaps w:val="0"/>
          <w:noProof w:val="0"/>
          <w:color w:val="222222"/>
          <w:sz w:val="22"/>
          <w:szCs w:val="22"/>
          <w:lang w:val="en-US"/>
        </w:rPr>
        <w:t>This research uses an established positivist paradigm to illustrate there are many interconnected impacts on young people. To better understand the roles that various factors play in young people's aspirations for HE, this research article focuses on quantitative research by using surveys and questionnaires with multiple choice answers. This study expands on earlier research by examining the intersections of different factors and the effects they have on teenagers’ aspirations for higher education in the UK.  For example, the (House of Commons Education Committee, 2014) inquiry into the ‘Underachievement in Education by White Working-Class Children’ found that there were greater concerns for the lack of aspirations held particularly by white, working-class boys. This explored the effects that gender, class, and ethnicity all have on a child rather than just focusing on the effect of one factor.</w:t>
      </w:r>
    </w:p>
    <w:p xmlns:wp14="http://schemas.microsoft.com/office/word/2010/wordml" w14:paraId="626C39CF" wp14:textId="58BF932D">
      <w:r w:rsidRPr="634CE94F" w:rsidR="5CA0D038">
        <w:rPr>
          <w:rFonts w:ascii="Arial" w:hAnsi="Arial" w:eastAsia="Arial" w:cs="Arial"/>
          <w:b w:val="0"/>
          <w:bCs w:val="0"/>
          <w:i w:val="0"/>
          <w:iCs w:val="0"/>
          <w:caps w:val="0"/>
          <w:smallCaps w:val="0"/>
          <w:noProof w:val="0"/>
          <w:color w:val="222222"/>
          <w:sz w:val="22"/>
          <w:szCs w:val="22"/>
          <w:lang w:val="en-US"/>
        </w:rPr>
        <w:t xml:space="preserve"> </w:t>
      </w:r>
    </w:p>
    <w:p xmlns:wp14="http://schemas.microsoft.com/office/word/2010/wordml" w14:paraId="77806329" wp14:textId="4EF65FB9">
      <w:r w:rsidRPr="634CE94F" w:rsidR="5CA0D038">
        <w:rPr>
          <w:rFonts w:ascii="Arial" w:hAnsi="Arial" w:eastAsia="Arial" w:cs="Arial"/>
          <w:b w:val="1"/>
          <w:bCs w:val="1"/>
          <w:i w:val="0"/>
          <w:iCs w:val="0"/>
          <w:caps w:val="0"/>
          <w:smallCaps w:val="0"/>
          <w:noProof w:val="0"/>
          <w:color w:val="222222"/>
          <w:sz w:val="22"/>
          <w:szCs w:val="22"/>
          <w:lang w:val="en-US"/>
        </w:rPr>
        <w:t>2.Background</w:t>
      </w:r>
    </w:p>
    <w:p xmlns:wp14="http://schemas.microsoft.com/office/word/2010/wordml" w14:paraId="227C073F" wp14:textId="2726642A">
      <w:r w:rsidRPr="634CE94F" w:rsidR="5CA0D038">
        <w:rPr>
          <w:rFonts w:ascii="Arial" w:hAnsi="Arial" w:eastAsia="Arial" w:cs="Arial"/>
          <w:b w:val="0"/>
          <w:bCs w:val="0"/>
          <w:i w:val="0"/>
          <w:iCs w:val="0"/>
          <w:caps w:val="0"/>
          <w:smallCaps w:val="0"/>
          <w:noProof w:val="0"/>
          <w:color w:val="222222"/>
          <w:sz w:val="22"/>
          <w:szCs w:val="22"/>
          <w:lang w:val="en-US"/>
        </w:rPr>
        <w:t>Uncovering the authors’ credentials is vital in ensuring the article is credible (McGeough and Rudick, 2017). This article has proven to be written by three authors who are all professors in their respective fields of study, with Peter Tammes, a quantitative researcher who has a background in sociology and Ann Berrington, a professor of demography and social statistics. Their experience further validates their credibility as authors because it demonstrates that they have the knowledge around the subject area and can carry out research effectively. Furthermore, this peer-reviewed journal will have been scrutinized by other experts in the field, increasing the authors’ credibility and solidifying the reliability of their research.</w:t>
      </w:r>
    </w:p>
    <w:p xmlns:wp14="http://schemas.microsoft.com/office/word/2010/wordml" w14:paraId="04D92957" wp14:textId="2E8A0DE2">
      <w:r w:rsidRPr="634CE94F" w:rsidR="5CA0D038">
        <w:rPr>
          <w:rFonts w:ascii="Arial" w:hAnsi="Arial" w:eastAsia="Arial" w:cs="Arial"/>
          <w:b w:val="0"/>
          <w:bCs w:val="0"/>
          <w:i w:val="0"/>
          <w:iCs w:val="0"/>
          <w:caps w:val="0"/>
          <w:smallCaps w:val="0"/>
          <w:noProof w:val="0"/>
          <w:color w:val="222222"/>
          <w:sz w:val="22"/>
          <w:szCs w:val="22"/>
          <w:lang w:val="en-US"/>
        </w:rPr>
        <w:t xml:space="preserve">             The focus of this research sets out to certify that there isn’t just one factor which affects the aspirations that young people hold towards higher levels of education, instead there are many factors which contribute, particularly gender, class, and ethnicity. The message is very clear in that it dissects the factors individually, defining the issues and supporting them with policies and evidence. “Educational aspiration” is defined clearly as the reflection of a person’s goals or desires to reach a particular level of education and in this case, their hopes to go on to HE (Gorard et al., 2012). The level of detail in this research with regards to definitions make the hypothesis very clear.</w:t>
      </w:r>
    </w:p>
    <w:p xmlns:wp14="http://schemas.microsoft.com/office/word/2010/wordml" w14:paraId="0C9273BD" wp14:textId="00B5F53E">
      <w:r w:rsidRPr="634CE94F" w:rsidR="5CA0D038">
        <w:rPr>
          <w:rFonts w:ascii="Arial" w:hAnsi="Arial" w:eastAsia="Arial" w:cs="Arial"/>
          <w:b w:val="1"/>
          <w:bCs w:val="1"/>
          <w:i w:val="0"/>
          <w:iCs w:val="0"/>
          <w:caps w:val="0"/>
          <w:smallCaps w:val="0"/>
          <w:noProof w:val="0"/>
          <w:color w:val="222222"/>
          <w:sz w:val="22"/>
          <w:szCs w:val="22"/>
          <w:lang w:val="en-US"/>
        </w:rPr>
        <w:t>3. Methodology</w:t>
      </w:r>
      <w:r w:rsidRPr="634CE94F" w:rsidR="5CA0D038">
        <w:rPr>
          <w:rFonts w:ascii="Arial" w:hAnsi="Arial" w:eastAsia="Arial" w:cs="Arial"/>
          <w:b w:val="0"/>
          <w:bCs w:val="0"/>
          <w:i w:val="0"/>
          <w:iCs w:val="0"/>
          <w:caps w:val="0"/>
          <w:smallCaps w:val="0"/>
          <w:noProof w:val="0"/>
          <w:color w:val="222222"/>
          <w:sz w:val="22"/>
          <w:szCs w:val="22"/>
          <w:lang w:val="en-US"/>
        </w:rPr>
        <w:t xml:space="preserve"> </w:t>
      </w:r>
    </w:p>
    <w:p xmlns:wp14="http://schemas.microsoft.com/office/word/2010/wordml" w14:paraId="6E63D960" wp14:textId="49590059">
      <w:r w:rsidRPr="634CE94F" w:rsidR="5CA0D038">
        <w:rPr>
          <w:rFonts w:ascii="Arial" w:hAnsi="Arial" w:eastAsia="Arial" w:cs="Arial"/>
          <w:b w:val="0"/>
          <w:bCs w:val="0"/>
          <w:i w:val="0"/>
          <w:iCs w:val="0"/>
          <w:caps w:val="0"/>
          <w:smallCaps w:val="0"/>
          <w:noProof w:val="0"/>
          <w:color w:val="222222"/>
          <w:sz w:val="22"/>
          <w:szCs w:val="22"/>
          <w:lang w:val="en-US"/>
        </w:rPr>
        <w:t>Epistemology refers to human knowledge and questioning how we know what we know by understanding what can be acquired through different methods of investigation (Al-saadi (2014). There are two main, broad epistemological positions: positivism and constructivism. According to positivism, social science may validate a set of causes which can be applied to anticipate trends in human behavior by combining logic with detailed observations of individual behavior (Antwi and Hamza, 2015). Researchers who work from this perspective emphasize control and measurement in their processes of research.  The nature of positivist research means that the researchers themselves are uninfluenced by their own agenda and can operate apart from their personal ideas. This removes any bias that the researchers may have in their research.</w:t>
      </w:r>
    </w:p>
    <w:p xmlns:wp14="http://schemas.microsoft.com/office/word/2010/wordml" w14:paraId="30BB2A46" wp14:textId="6E054580">
      <w:r w:rsidRPr="634CE94F" w:rsidR="5CA0D038">
        <w:rPr>
          <w:rFonts w:ascii="Arial" w:hAnsi="Arial" w:eastAsia="Arial" w:cs="Arial"/>
          <w:b w:val="0"/>
          <w:bCs w:val="0"/>
          <w:i w:val="0"/>
          <w:iCs w:val="0"/>
          <w:caps w:val="0"/>
          <w:smallCaps w:val="0"/>
          <w:noProof w:val="0"/>
          <w:color w:val="222222"/>
          <w:sz w:val="22"/>
          <w:szCs w:val="22"/>
          <w:lang w:val="en-US"/>
        </w:rPr>
        <w:t>Through this paradigm, the way in which variables interact, shape events and cause outcomes are explained in quantitative terms. The quantitative data collected relates to measuring the quantities rather than the qualities. Clearly, the researchers have been able to collect quantitative data by carrying out surveys and self-completion, multiple-choice questionnaires. By using multiple choice questions, they produce numerical data that is easy to analyze. One question asked from the survey asked, “What would you most like to do when you are 16?” which had then had five options to which respondent could answer. These included: “get a full-time job”, “study full-time”, “get a job and study”, “do something else”, or “I don’t know”. The data from the questionnaires and surveys is quantified as it has come from a list of possible answers. This makes analyzing data easier and less time consuming as the researchers only must look at how many people answered one question one way and figure out what those numbers mean in terms on answering research questions (Elkatawneh, 2016). The quantitative research focuses on aspects of social behavior which can be quantified and patterned rather than just finding out what those social behaviors are and interpreting their meanings.</w:t>
      </w:r>
    </w:p>
    <w:p xmlns:wp14="http://schemas.microsoft.com/office/word/2010/wordml" w14:paraId="58D25A31" wp14:textId="02BC22D9">
      <w:r w:rsidRPr="634CE94F" w:rsidR="5CA0D038">
        <w:rPr>
          <w:rFonts w:ascii="Arial" w:hAnsi="Arial" w:eastAsia="Arial" w:cs="Arial"/>
          <w:b w:val="0"/>
          <w:bCs w:val="0"/>
          <w:i w:val="0"/>
          <w:iCs w:val="0"/>
          <w:caps w:val="0"/>
          <w:smallCaps w:val="0"/>
          <w:noProof w:val="0"/>
          <w:color w:val="222222"/>
          <w:sz w:val="22"/>
          <w:szCs w:val="22"/>
          <w:lang w:val="en-US"/>
        </w:rPr>
        <w:t xml:space="preserve">            However, quantitative research fails to ascertain deeper meanings and explanations to its findings.  Without the participants’ opinions and emotions, the human experiences and viewpoints cannot be explored. This could be especially important when looking at the effect of ethnicity on educational aspirations as different cultures hold education at different levels of importance. The ‘immigrant paradigm’ thesis (Strand, 2014) finds that the migrants place greater importance on education as it is valued as a route to social mobility. Whereas qualitive data methods would perhaps consider the emotional attachment that some people from more vulnerable backgrounds would hold to education compared to quantitative data which cannot uncover deeper meanings.</w:t>
      </w:r>
    </w:p>
    <w:p xmlns:wp14="http://schemas.microsoft.com/office/word/2010/wordml" w14:paraId="1E6A17D7" wp14:textId="639C8221">
      <w:r w:rsidRPr="634CE94F" w:rsidR="5CA0D038">
        <w:rPr>
          <w:rFonts w:ascii="Arial" w:hAnsi="Arial" w:eastAsia="Arial" w:cs="Arial"/>
          <w:b w:val="0"/>
          <w:bCs w:val="0"/>
          <w:i w:val="0"/>
          <w:iCs w:val="0"/>
          <w:caps w:val="0"/>
          <w:smallCaps w:val="0"/>
          <w:noProof w:val="0"/>
          <w:color w:val="222222"/>
          <w:sz w:val="22"/>
          <w:szCs w:val="22"/>
          <w:lang w:val="en-US"/>
        </w:rPr>
        <w:t xml:space="preserve">               The authors used research from an annual panel survey of over 30,000 UK households which collected information on all residents of the household and included adult questionnaires for those over 16 and youth questionnaires for those aged between 10-15. This research article focuses predominantly on the youth questionnaires as it reflects the attitudes of UK teenagers more appropriately than the adult questionnaire would in terms of looking at current, teenage aspirations. Interestingly, the survey includes an ethnic minority boost for each of the five main ethnic groups. This allows the researchers to explore the relationship between educational aspiration and ethnicity. The research analyses responses from 4,899 10–15-year-old children who completed the questionnaire.</w:t>
      </w:r>
    </w:p>
    <w:p xmlns:wp14="http://schemas.microsoft.com/office/word/2010/wordml" w14:paraId="761CE5BE" wp14:textId="5B01CCDF">
      <w:r w:rsidRPr="634CE94F" w:rsidR="5CA0D038">
        <w:rPr>
          <w:rFonts w:ascii="Arial" w:hAnsi="Arial" w:eastAsia="Arial" w:cs="Arial"/>
          <w:b w:val="0"/>
          <w:bCs w:val="0"/>
          <w:i w:val="0"/>
          <w:iCs w:val="0"/>
          <w:caps w:val="0"/>
          <w:smallCaps w:val="0"/>
          <w:noProof w:val="0"/>
          <w:color w:val="222222"/>
          <w:sz w:val="22"/>
          <w:szCs w:val="22"/>
          <w:lang w:val="en-US"/>
        </w:rPr>
        <w:t xml:space="preserve">               This survey’s large sample size allows the study to detect any relevant and substantial differences and reduces the risk of assumptions or generalizing.  It is contended that the larger the study sample, the more trust-worthy the results will be as they are more likely to depict a truer reflection of the general public (Powers and Powers, 2015). Despite the freedom that participants get to answer questions freely with qualitive research methods, it would be extremely difficult and expensive to carry out qualitative research project on a scale as big as this. Constructivist methods can be critiqued for not being representative and that sampling can sometimes be selective and purposive, Cumming (2001). This could suggest that this research project has been very representative, making the methodology appropriate for the purpose of this research.</w:t>
      </w:r>
    </w:p>
    <w:p xmlns:wp14="http://schemas.microsoft.com/office/word/2010/wordml" w14:paraId="255F2EBE" wp14:textId="1957B78A">
      <w:r w:rsidRPr="634CE94F" w:rsidR="5CA0D038">
        <w:rPr>
          <w:rFonts w:ascii="Arial" w:hAnsi="Arial" w:eastAsia="Arial" w:cs="Arial"/>
          <w:b w:val="0"/>
          <w:bCs w:val="0"/>
          <w:i w:val="0"/>
          <w:iCs w:val="0"/>
          <w:caps w:val="0"/>
          <w:smallCaps w:val="0"/>
          <w:noProof w:val="0"/>
          <w:color w:val="222222"/>
          <w:sz w:val="22"/>
          <w:szCs w:val="22"/>
          <w:lang w:val="en-US"/>
        </w:rPr>
        <w:t xml:space="preserve"> </w:t>
      </w:r>
    </w:p>
    <w:p xmlns:wp14="http://schemas.microsoft.com/office/word/2010/wordml" w14:paraId="7EB1D51A" wp14:textId="4ABC1336">
      <w:r w:rsidRPr="634CE94F" w:rsidR="5CA0D038">
        <w:rPr>
          <w:rFonts w:ascii="Arial" w:hAnsi="Arial" w:eastAsia="Arial" w:cs="Arial"/>
          <w:b w:val="1"/>
          <w:bCs w:val="1"/>
          <w:i w:val="0"/>
          <w:iCs w:val="0"/>
          <w:caps w:val="0"/>
          <w:smallCaps w:val="0"/>
          <w:noProof w:val="0"/>
          <w:color w:val="222222"/>
          <w:sz w:val="22"/>
          <w:szCs w:val="22"/>
          <w:lang w:val="en-US"/>
        </w:rPr>
        <w:t>4.Ethics</w:t>
      </w:r>
    </w:p>
    <w:p xmlns:wp14="http://schemas.microsoft.com/office/word/2010/wordml" w14:paraId="7E0F429F" wp14:textId="2587F7E7">
      <w:r w:rsidRPr="634CE94F" w:rsidR="5CA0D038">
        <w:rPr>
          <w:rFonts w:ascii="Arial" w:hAnsi="Arial" w:eastAsia="Arial" w:cs="Arial"/>
          <w:b w:val="0"/>
          <w:bCs w:val="0"/>
          <w:i w:val="0"/>
          <w:iCs w:val="0"/>
          <w:caps w:val="0"/>
          <w:smallCaps w:val="0"/>
          <w:noProof w:val="0"/>
          <w:color w:val="222222"/>
          <w:sz w:val="22"/>
          <w:szCs w:val="22"/>
          <w:lang w:val="en-US"/>
        </w:rPr>
        <w:t>Ethics are ideas about what is morally right or wrong. Researchers should ensure that risk and harm is minimized, and that adequate protection of children and young people is ensured (Alderson and Morrow, 2011). There are ethical guidelines set which should be applied in any educational research (British Educational Research Association, 2018). These guidelines are in place so that the research remains integral, and that the way in which the researchers conduct themselves is seen to be ethical, justified, and sound.</w:t>
      </w:r>
    </w:p>
    <w:p xmlns:wp14="http://schemas.microsoft.com/office/word/2010/wordml" w14:paraId="0565F9E2" wp14:textId="4F893D62">
      <w:r w:rsidRPr="634CE94F" w:rsidR="5CA0D038">
        <w:rPr>
          <w:rFonts w:ascii="Arial" w:hAnsi="Arial" w:eastAsia="Arial" w:cs="Arial"/>
          <w:b w:val="1"/>
          <w:bCs w:val="1"/>
          <w:i w:val="1"/>
          <w:iCs w:val="1"/>
          <w:caps w:val="0"/>
          <w:smallCaps w:val="0"/>
          <w:noProof w:val="0"/>
          <w:color w:val="222222"/>
          <w:sz w:val="22"/>
          <w:szCs w:val="22"/>
          <w:lang w:val="en-US"/>
        </w:rPr>
        <w:t>Consent vs assent</w:t>
      </w:r>
    </w:p>
    <w:p xmlns:wp14="http://schemas.microsoft.com/office/word/2010/wordml" w14:paraId="02000794" wp14:textId="0B7B9801">
      <w:r w:rsidRPr="634CE94F" w:rsidR="5CA0D038">
        <w:rPr>
          <w:rFonts w:ascii="Arial" w:hAnsi="Arial" w:eastAsia="Arial" w:cs="Arial"/>
          <w:b w:val="0"/>
          <w:bCs w:val="0"/>
          <w:i w:val="0"/>
          <w:iCs w:val="0"/>
          <w:caps w:val="0"/>
          <w:smallCaps w:val="0"/>
          <w:noProof w:val="0"/>
          <w:color w:val="222222"/>
          <w:sz w:val="22"/>
          <w:szCs w:val="22"/>
          <w:lang w:val="en-US"/>
        </w:rPr>
        <w:t>Consent refers to the permission given by parents/appropriate adults for the child to participate whereas assent is the agreement given by the child/young person to participate in the research.  Importantly, assent given by children/young people is needed in addition to parental consent because it is recognized as a fundamental part of research ethics involving children, despite not holding any legal standing.</w:t>
      </w:r>
    </w:p>
    <w:p xmlns:wp14="http://schemas.microsoft.com/office/word/2010/wordml" w14:paraId="5DA71416" wp14:textId="0FDC8A95">
      <w:r w:rsidRPr="634CE94F" w:rsidR="5CA0D038">
        <w:rPr>
          <w:rFonts w:ascii="Arial" w:hAnsi="Arial" w:eastAsia="Arial" w:cs="Arial"/>
          <w:b w:val="0"/>
          <w:bCs w:val="0"/>
          <w:i w:val="0"/>
          <w:iCs w:val="0"/>
          <w:caps w:val="0"/>
          <w:smallCaps w:val="0"/>
          <w:noProof w:val="0"/>
          <w:color w:val="222222"/>
          <w:sz w:val="22"/>
          <w:szCs w:val="22"/>
          <w:lang w:val="en-US"/>
        </w:rPr>
        <w:t xml:space="preserve">            In any research, participants will be asked to give informed consent to confirm that they have understood the information about the study and that they agree to voluntarily participate in the research project, based on the information provided (Robert-Holmes, 2014, p.49). The participants of this research are split into two groups: those over the age of 16 and those aged between 10-15 years. According to NSPCC (2022), any person under the age of 18 is a child. It is essential that the child and the gatekeepers are given full information about the research, that they freely volunteer to participate and that they are made aware that they can withdraw at any time from the research.</w:t>
      </w:r>
    </w:p>
    <w:p xmlns:wp14="http://schemas.microsoft.com/office/word/2010/wordml" w14:paraId="40E15842" wp14:textId="6BA55847">
      <w:r w:rsidRPr="634CE94F" w:rsidR="5CA0D038">
        <w:rPr>
          <w:rFonts w:ascii="Arial" w:hAnsi="Arial" w:eastAsia="Arial" w:cs="Arial"/>
          <w:b w:val="0"/>
          <w:bCs w:val="0"/>
          <w:i w:val="0"/>
          <w:iCs w:val="0"/>
          <w:caps w:val="0"/>
          <w:smallCaps w:val="0"/>
          <w:noProof w:val="0"/>
          <w:color w:val="222222"/>
          <w:sz w:val="22"/>
          <w:szCs w:val="22"/>
          <w:lang w:val="en-US"/>
        </w:rPr>
        <w:t xml:space="preserve">There is very little information on the ethics of this study, however, it is stated that consent was given by parents in 76% of cases and so it can be assumed that parental consent was obtained, and the research was carried out ethically in that sense. It is necessary that explanations and questions use audience-appropriate language to ensure that the meaning of the research isn’t hidden behind any technical jargon. According to Alderson (2012), research without assent could deny children the right to make truly informed decisions and so challenges whether the children who have taken part in the questionnaires of this study have really understood the purpose of it and whether their answers are truly reflective of their aspirations. Contrary to this, some argue that assent is complex and recommend a much-needed individualized approach, considering the children’s age, cognitive ability, and parent views into account (Oulton </w:t>
      </w:r>
      <w:r w:rsidRPr="634CE94F" w:rsidR="5CA0D038">
        <w:rPr>
          <w:rFonts w:ascii="Arial" w:hAnsi="Arial" w:eastAsia="Arial" w:cs="Arial"/>
          <w:b w:val="0"/>
          <w:bCs w:val="0"/>
          <w:i w:val="1"/>
          <w:iCs w:val="1"/>
          <w:caps w:val="0"/>
          <w:smallCaps w:val="0"/>
          <w:noProof w:val="0"/>
          <w:color w:val="222222"/>
          <w:sz w:val="22"/>
          <w:szCs w:val="22"/>
          <w:lang w:val="en-US"/>
        </w:rPr>
        <w:t>et al</w:t>
      </w:r>
      <w:r w:rsidRPr="634CE94F" w:rsidR="5CA0D038">
        <w:rPr>
          <w:rFonts w:ascii="Arial" w:hAnsi="Arial" w:eastAsia="Arial" w:cs="Arial"/>
          <w:b w:val="0"/>
          <w:bCs w:val="0"/>
          <w:i w:val="0"/>
          <w:iCs w:val="0"/>
          <w:caps w:val="0"/>
          <w:smallCaps w:val="0"/>
          <w:noProof w:val="0"/>
          <w:color w:val="222222"/>
          <w:sz w:val="22"/>
          <w:szCs w:val="22"/>
          <w:lang w:val="en-US"/>
        </w:rPr>
        <w:t>, 2016).</w:t>
      </w:r>
    </w:p>
    <w:p xmlns:wp14="http://schemas.microsoft.com/office/word/2010/wordml" w14:paraId="14BB654A" wp14:textId="2AE33276">
      <w:r w:rsidRPr="634CE94F" w:rsidR="5CA0D038">
        <w:rPr>
          <w:rFonts w:ascii="Arial" w:hAnsi="Arial" w:eastAsia="Arial" w:cs="Arial"/>
          <w:b w:val="1"/>
          <w:bCs w:val="1"/>
          <w:i w:val="0"/>
          <w:iCs w:val="0"/>
          <w:caps w:val="0"/>
          <w:smallCaps w:val="0"/>
          <w:noProof w:val="0"/>
          <w:color w:val="222222"/>
          <w:sz w:val="22"/>
          <w:szCs w:val="22"/>
          <w:lang w:val="en-US"/>
        </w:rPr>
        <w:t>5.Findings</w:t>
      </w:r>
    </w:p>
    <w:p xmlns:wp14="http://schemas.microsoft.com/office/word/2010/wordml" w14:paraId="0CCED22E" wp14:textId="1A950A00">
      <w:r w:rsidRPr="634CE94F" w:rsidR="5CA0D038">
        <w:rPr>
          <w:rFonts w:ascii="Arial" w:hAnsi="Arial" w:eastAsia="Arial" w:cs="Arial"/>
          <w:b w:val="0"/>
          <w:bCs w:val="0"/>
          <w:i w:val="0"/>
          <w:iCs w:val="0"/>
          <w:caps w:val="0"/>
          <w:smallCaps w:val="0"/>
          <w:noProof w:val="0"/>
          <w:color w:val="222222"/>
          <w:sz w:val="22"/>
          <w:szCs w:val="22"/>
          <w:lang w:val="en-US"/>
        </w:rPr>
        <w:t xml:space="preserve">This study highlights the importance of evaluating the different variables which effect the aspirations of young people. The study has found that gender, class, and ethnicity all impact educational aspirations and that they all interlink. Overall, boys were much less likely to aspire to higher education (58%) compared to girls (74%). Significantly, 66% of all participants between the age of 10 and 15 hoped to go to college/ university, concluding that young people’s aspirations for higher education remain high.  </w:t>
      </w:r>
    </w:p>
    <w:p xmlns:wp14="http://schemas.microsoft.com/office/word/2010/wordml" w14:paraId="1A71367F" wp14:textId="5B85BE34">
      <w:r w:rsidRPr="634CE94F" w:rsidR="5CA0D038">
        <w:rPr>
          <w:rFonts w:ascii="Arial" w:hAnsi="Arial" w:eastAsia="Arial" w:cs="Arial"/>
          <w:b w:val="0"/>
          <w:bCs w:val="0"/>
          <w:i w:val="0"/>
          <w:iCs w:val="0"/>
          <w:caps w:val="0"/>
          <w:smallCaps w:val="0"/>
          <w:noProof w:val="0"/>
          <w:color w:val="222222"/>
          <w:sz w:val="22"/>
          <w:szCs w:val="22"/>
          <w:lang w:val="en-US"/>
        </w:rPr>
        <w:t>The findings of this study support the UK Governments concerns over the low rates of HE applications from white, working-class males as the effect of these factors appears to work in an additive way to affect the aspirations for higher education that this group has. This is also supported by research carried out by Stahl (2015) who’s data found that working-class boys contend with “reconceptualizing power while maintaining and reaffirming a working-class identity” whilst trying to represent themselves as valuable. It was concluded that work held greater value than post-compulsory education in the opinions of these boy studied.</w:t>
      </w:r>
    </w:p>
    <w:p xmlns:wp14="http://schemas.microsoft.com/office/word/2010/wordml" w14:paraId="53F67572" wp14:textId="622EB04A">
      <w:r w:rsidRPr="634CE94F" w:rsidR="5CA0D038">
        <w:rPr>
          <w:rFonts w:ascii="Arial" w:hAnsi="Arial" w:eastAsia="Arial" w:cs="Arial"/>
          <w:b w:val="0"/>
          <w:bCs w:val="0"/>
          <w:i w:val="0"/>
          <w:iCs w:val="0"/>
          <w:caps w:val="0"/>
          <w:smallCaps w:val="0"/>
          <w:noProof w:val="0"/>
          <w:color w:val="222222"/>
          <w:sz w:val="22"/>
          <w:szCs w:val="22"/>
          <w:lang w:val="en-US"/>
        </w:rPr>
        <w:t xml:space="preserve">            The significant differences in higher educational aspirations by gender, ethnicity and class are highlighted when comparing boys from working class backgrounds with girls from middle-class backgrounds and teenagers from non-white ethnic backgrounds. The findings correspond with research noting similar trends of increasing HE participation among Black-Caribbean teenagers (Crawford &amp; Greaves 2015). There was evidence found consistent with an ethnic-captial effect (Modood and Khattab, 2015) that parents from ethnic minorities had more positive educational aspirations which in turn, influenced their children who were more likely to be interested in higher education and their schooling. Again, the authors support they have found with relevant sources that also argue that parental involvement in children’s education can benefit their aspirations. The importance of providing direct examples of other similar research is paramount and has been successfully done in this article, highlighting the author’s understanding of the topic as they have thoroughly researched the issues.</w:t>
      </w:r>
    </w:p>
    <w:p xmlns:wp14="http://schemas.microsoft.com/office/word/2010/wordml" w14:paraId="5D5B18D2" wp14:textId="6F6E6FB8">
      <w:r w:rsidRPr="634CE94F" w:rsidR="5CA0D038">
        <w:rPr>
          <w:rFonts w:ascii="Arial" w:hAnsi="Arial" w:eastAsia="Arial" w:cs="Arial"/>
          <w:b w:val="0"/>
          <w:bCs w:val="0"/>
          <w:i w:val="0"/>
          <w:iCs w:val="0"/>
          <w:caps w:val="0"/>
          <w:smallCaps w:val="0"/>
          <w:noProof w:val="0"/>
          <w:color w:val="222222"/>
          <w:sz w:val="22"/>
          <w:szCs w:val="22"/>
          <w:lang w:val="en-US"/>
        </w:rPr>
        <w:t>Ultimately, there are limitations within this study and the authors recognize this within the article. Despite the large sample size, they acknowledge that the sample sizes among certain minority ethnic groups of teenagers is relatively small. An ethnic boost was put in place to allow for exploration of whether the relationship between teenager’s educational aspirations differ between ethnicities. With the majority of responding participants being white (3217 out of 4899), it cannot be completely reflective of society. According to (Font and Mendez, 2013, p.18), all social surveys face the problem of high non-response rates, and this is particularly evident with ethnic minorities. They argue this because a person from an ethnic minority background may not trust the survey, particularly if they have faced racism or are limited by their ability to speak English. The response rate could be higher if the questionnaires were translated into ‘minority’ languages. Yet, this would be expensive to carry out and impractical in that the UK is so diverse, that there are many languages spoken, so it would be near impossible to say that all ‘ethnic languages’ had been accounted for.</w:t>
      </w:r>
    </w:p>
    <w:p xmlns:wp14="http://schemas.microsoft.com/office/word/2010/wordml" w14:paraId="586AD96D" wp14:textId="1E697CE4">
      <w:r w:rsidRPr="634CE94F" w:rsidR="5CA0D038">
        <w:rPr>
          <w:rFonts w:ascii="Arial" w:hAnsi="Arial" w:eastAsia="Arial" w:cs="Arial"/>
          <w:b w:val="1"/>
          <w:bCs w:val="1"/>
          <w:i w:val="0"/>
          <w:iCs w:val="0"/>
          <w:caps w:val="0"/>
          <w:smallCaps w:val="0"/>
          <w:noProof w:val="0"/>
          <w:color w:val="222222"/>
          <w:sz w:val="22"/>
          <w:szCs w:val="22"/>
          <w:lang w:val="en-US"/>
        </w:rPr>
        <w:t xml:space="preserve"> </w:t>
      </w:r>
    </w:p>
    <w:p xmlns:wp14="http://schemas.microsoft.com/office/word/2010/wordml" w14:paraId="206BB25E" wp14:textId="4E2F5514">
      <w:r w:rsidRPr="634CE94F" w:rsidR="5CA0D038">
        <w:rPr>
          <w:rFonts w:ascii="Arial" w:hAnsi="Arial" w:eastAsia="Arial" w:cs="Arial"/>
          <w:b w:val="1"/>
          <w:bCs w:val="1"/>
          <w:i w:val="0"/>
          <w:iCs w:val="0"/>
          <w:caps w:val="0"/>
          <w:smallCaps w:val="0"/>
          <w:noProof w:val="0"/>
          <w:color w:val="222222"/>
          <w:sz w:val="22"/>
          <w:szCs w:val="22"/>
          <w:lang w:val="en-US"/>
        </w:rPr>
        <w:t>6.Discussion</w:t>
      </w:r>
    </w:p>
    <w:p xmlns:wp14="http://schemas.microsoft.com/office/word/2010/wordml" w14:paraId="414042DB" wp14:textId="44A7DDB9">
      <w:r w:rsidRPr="634CE94F" w:rsidR="5CA0D038">
        <w:rPr>
          <w:rFonts w:ascii="Arial" w:hAnsi="Arial" w:eastAsia="Arial" w:cs="Arial"/>
          <w:b w:val="0"/>
          <w:bCs w:val="0"/>
          <w:i w:val="0"/>
          <w:iCs w:val="0"/>
          <w:caps w:val="0"/>
          <w:smallCaps w:val="0"/>
          <w:noProof w:val="0"/>
          <w:color w:val="222222"/>
          <w:sz w:val="22"/>
          <w:szCs w:val="22"/>
          <w:lang w:val="en-US"/>
        </w:rPr>
        <w:t>This paper undoubtedly extends and updates existing research on educational aspirations among young people. The title sets this out clearly and sets the tone appropriately for the research that is discussed. As quantitative researchers, the authors haven’t used emotion-provoking language in the title or anywhere throughout the article as they remain unbiased and objective throughout. Despite a lengthy introduction, there are in-depth definitions included and historical context sprinkled throughout. Contextualizing the issues sets the tone of what the purpose of the research is and foreshadows any real impact and value that it will have for this area of study.</w:t>
      </w:r>
    </w:p>
    <w:p xmlns:wp14="http://schemas.microsoft.com/office/word/2010/wordml" w14:paraId="61C1884B" wp14:textId="306DB9A5">
      <w:r w:rsidRPr="634CE94F" w:rsidR="5CA0D038">
        <w:rPr>
          <w:rFonts w:ascii="Arial" w:hAnsi="Arial" w:eastAsia="Arial" w:cs="Arial"/>
          <w:b w:val="0"/>
          <w:bCs w:val="0"/>
          <w:i w:val="0"/>
          <w:iCs w:val="0"/>
          <w:caps w:val="0"/>
          <w:smallCaps w:val="0"/>
          <w:noProof w:val="0"/>
          <w:color w:val="222222"/>
          <w:sz w:val="22"/>
          <w:szCs w:val="22"/>
          <w:lang w:val="en-US"/>
        </w:rPr>
        <w:t xml:space="preserve">            The discussion of the paper is relevant and is supported by a range of literature. Relevant theory and policy have been referenced throughout, most of it being current (for the year 2016), assuring reviewers that an extensive literature review was undertaken when the article was written. The discussion is valuable as it rounds off what the findings are and how they relate to the objective of the research. However, for the survey to provide more evidence on educational aspirations and highlight any initiatives that could be in place to promote social mobility, there should be information collected on aspirations but also expectations. The authors acknowledge that aspirations don’t always translate into expectations or participation. Therefore, there could be information missed which would suggest that there are more/fewer young people partaking in or expected to go to university than there are people wanting to go.</w:t>
      </w:r>
    </w:p>
    <w:p xmlns:wp14="http://schemas.microsoft.com/office/word/2010/wordml" w14:paraId="3461E9C6" wp14:textId="5CFE0EF3">
      <w:r w:rsidRPr="634CE94F" w:rsidR="5CA0D038">
        <w:rPr>
          <w:rFonts w:ascii="Arial" w:hAnsi="Arial" w:eastAsia="Arial" w:cs="Arial"/>
          <w:b w:val="0"/>
          <w:bCs w:val="0"/>
          <w:i w:val="0"/>
          <w:iCs w:val="0"/>
          <w:caps w:val="0"/>
          <w:smallCaps w:val="0"/>
          <w:noProof w:val="0"/>
          <w:color w:val="222222"/>
          <w:sz w:val="22"/>
          <w:szCs w:val="22"/>
          <w:lang w:val="en-US"/>
        </w:rPr>
        <w:t>The use of questionnaires has produced quantitative data which is very limited on understanding the attitudes of young people as the results are based on numerical responses and so there is less of an insight into the thoughts and motivations of the people you study. However, the researchers have looked at different viewpoints and considered different frameworks when conducting this research. The adaptation of the developmental-context approach meant that the whole research project could be based on the objective that there are multiple and interlinked influences on an individual’s life, and this has been explored in relation to aspiration. The analytical approach that has been used in the research method, allowed the authors to break down a complex subject into smaller parts, to better understand it as a whole and understand the intersection of all three factors.</w:t>
      </w:r>
    </w:p>
    <w:p xmlns:wp14="http://schemas.microsoft.com/office/word/2010/wordml" w14:paraId="06EF92FE" wp14:textId="2858C54D">
      <w:r w:rsidRPr="634CE94F" w:rsidR="5CA0D038">
        <w:rPr>
          <w:rFonts w:ascii="Arial" w:hAnsi="Arial" w:eastAsia="Arial" w:cs="Arial"/>
          <w:b w:val="1"/>
          <w:bCs w:val="1"/>
          <w:i w:val="0"/>
          <w:iCs w:val="0"/>
          <w:caps w:val="0"/>
          <w:smallCaps w:val="0"/>
          <w:noProof w:val="0"/>
          <w:color w:val="222222"/>
          <w:sz w:val="22"/>
          <w:szCs w:val="22"/>
          <w:lang w:val="en-US"/>
        </w:rPr>
        <w:t>7.Conclusion</w:t>
      </w:r>
    </w:p>
    <w:p xmlns:wp14="http://schemas.microsoft.com/office/word/2010/wordml" w14:paraId="22B6565D" wp14:textId="2113C298">
      <w:r w:rsidRPr="634CE94F" w:rsidR="5CA0D038">
        <w:rPr>
          <w:rFonts w:ascii="Arial" w:hAnsi="Arial" w:eastAsia="Arial" w:cs="Arial"/>
          <w:b w:val="0"/>
          <w:bCs w:val="0"/>
          <w:i w:val="0"/>
          <w:iCs w:val="0"/>
          <w:caps w:val="0"/>
          <w:smallCaps w:val="0"/>
          <w:noProof w:val="0"/>
          <w:color w:val="222222"/>
          <w:sz w:val="22"/>
          <w:szCs w:val="22"/>
          <w:lang w:val="en-US"/>
        </w:rPr>
        <w:t>Explanations for educational aspirations among UK teenagers based on gender, class or ethnicity do not explain the nuances in the data and interaction between these variables. In conclusion, all three variables are important influences on a young person’s aspirations: especially with college and university. The researchers have successfully shown that by secondary school age, most children have decided whether they would like to go to university. The study has also highlighted the real influence that parental attitudes have on a child and the effect this has on their ambitions. Using relevant theory, policy and sources, the article is well supported and has remained objective throughout. Despite not being revolutionary in its findings, the research has solidified past work by identifying reoccurring patterns to similar research projects. It is important for research like this to be explored further and constantly developed. This would enable government to set up initiatives to develop a greater understanding of factors that may limit the achievement of aspirations. The UK is everchanging and diversifying and so it seems the future of higher educational aspirations will develop too: reflecting societal views. There is sufficient legislation and policies in place to protect children and young people in research projects and it is vital that more research on this subject is continued. Despite diversities and inequalities, the fact that young people’s aspirations for higher education remain high, is something to celebrate.</w:t>
      </w:r>
    </w:p>
    <w:p xmlns:wp14="http://schemas.microsoft.com/office/word/2010/wordml" w:rsidP="634CE94F" w14:paraId="3D01DF64" wp14:textId="44EAB6D8">
      <w:pPr>
        <w:rPr>
          <w:rFonts w:ascii="Arial" w:hAnsi="Arial" w:eastAsia="Arial" w:cs="Arial"/>
          <w:b w:val="0"/>
          <w:bCs w:val="0"/>
          <w:i w:val="0"/>
          <w:iCs w:val="0"/>
          <w:caps w:val="0"/>
          <w:smallCaps w:val="0"/>
          <w:noProof w:val="0"/>
          <w:color w:val="222222"/>
          <w:sz w:val="22"/>
          <w:szCs w:val="22"/>
          <w:lang w:val="en-US"/>
        </w:rPr>
      </w:pPr>
    </w:p>
    <w:p xmlns:wp14="http://schemas.microsoft.com/office/word/2010/wordml" w:rsidP="634CE94F" w14:paraId="684EB42D" wp14:textId="0CDABF73">
      <w:pPr>
        <w:spacing w:line="240" w:lineRule="exact"/>
        <w:jc w:val="both"/>
      </w:pPr>
      <w:r w:rsidRPr="634CE94F" w:rsidR="5CA0D038">
        <w:rPr>
          <w:rFonts w:ascii="Calibri" w:hAnsi="Calibri" w:eastAsia="Calibri" w:cs="Calibri"/>
          <w:noProof w:val="0"/>
          <w:sz w:val="22"/>
          <w:szCs w:val="22"/>
          <w:lang w:val="en-US"/>
        </w:rPr>
        <w:t>References</w:t>
      </w:r>
    </w:p>
    <w:p xmlns:wp14="http://schemas.microsoft.com/office/word/2010/wordml" w:rsidP="634CE94F" w14:paraId="38F3E618" wp14:textId="6B800060">
      <w:pPr>
        <w:spacing w:line="240" w:lineRule="exact"/>
      </w:pPr>
      <w:r w:rsidRPr="634CE94F" w:rsidR="5CA0D038">
        <w:rPr>
          <w:rFonts w:ascii="Calibri" w:hAnsi="Calibri" w:eastAsia="Calibri" w:cs="Calibri"/>
          <w:noProof w:val="0"/>
          <w:sz w:val="22"/>
          <w:szCs w:val="22"/>
          <w:lang w:val="en-US"/>
        </w:rPr>
        <w:t xml:space="preserve">Al-Saadi, H. (2014) ‘Demystifying Ontology and Epistemology in research methods’. </w:t>
      </w:r>
      <w:r w:rsidRPr="634CE94F" w:rsidR="5CA0D038">
        <w:rPr>
          <w:rFonts w:ascii="Calibri" w:hAnsi="Calibri" w:eastAsia="Calibri" w:cs="Calibri"/>
          <w:i w:val="1"/>
          <w:iCs w:val="1"/>
          <w:noProof w:val="0"/>
          <w:sz w:val="22"/>
          <w:szCs w:val="22"/>
          <w:lang w:val="en-US"/>
        </w:rPr>
        <w:t xml:space="preserve">Research gate, </w:t>
      </w:r>
      <w:r w:rsidRPr="634CE94F" w:rsidR="5CA0D038">
        <w:rPr>
          <w:rFonts w:ascii="Calibri" w:hAnsi="Calibri" w:eastAsia="Calibri" w:cs="Calibri"/>
          <w:noProof w:val="0"/>
          <w:sz w:val="22"/>
          <w:szCs w:val="22"/>
          <w:lang w:val="en-US"/>
        </w:rPr>
        <w:t>1(1), pp.1-10.</w:t>
      </w:r>
    </w:p>
    <w:p xmlns:wp14="http://schemas.microsoft.com/office/word/2010/wordml" w:rsidP="634CE94F" w14:paraId="65C651AC" wp14:textId="53191AD8">
      <w:pPr>
        <w:spacing w:line="240" w:lineRule="exact"/>
      </w:pPr>
      <w:r w:rsidRPr="634CE94F" w:rsidR="5CA0D038">
        <w:rPr>
          <w:rFonts w:ascii="Calibri" w:hAnsi="Calibri" w:eastAsia="Calibri" w:cs="Calibri"/>
          <w:noProof w:val="0"/>
          <w:sz w:val="22"/>
          <w:szCs w:val="22"/>
          <w:lang w:val="en-US"/>
        </w:rPr>
        <w:t xml:space="preserve">Alderson, P. (2012) Children’s consent and ‘assent’ to healthcare research. </w:t>
      </w:r>
      <w:r w:rsidRPr="634CE94F" w:rsidR="5CA0D038">
        <w:rPr>
          <w:rFonts w:ascii="Calibri" w:hAnsi="Calibri" w:eastAsia="Calibri" w:cs="Calibri"/>
          <w:i w:val="1"/>
          <w:iCs w:val="1"/>
          <w:noProof w:val="0"/>
          <w:sz w:val="22"/>
          <w:szCs w:val="22"/>
          <w:lang w:val="en-US"/>
        </w:rPr>
        <w:t>Law and Childhood studies: Current Legal Issues</w:t>
      </w:r>
      <w:r w:rsidRPr="634CE94F" w:rsidR="5CA0D038">
        <w:rPr>
          <w:rFonts w:ascii="Calibri" w:hAnsi="Calibri" w:eastAsia="Calibri" w:cs="Calibri"/>
          <w:noProof w:val="0"/>
          <w:sz w:val="22"/>
          <w:szCs w:val="22"/>
          <w:lang w:val="en-US"/>
        </w:rPr>
        <w:t xml:space="preserve">, pp. 174-189. Oxford: Oxford University Press.  </w:t>
      </w:r>
    </w:p>
    <w:p xmlns:wp14="http://schemas.microsoft.com/office/word/2010/wordml" w:rsidP="634CE94F" w14:paraId="3FBC9CFA" wp14:textId="004766CC">
      <w:pPr>
        <w:spacing w:line="240" w:lineRule="exact"/>
      </w:pPr>
      <w:r w:rsidRPr="634CE94F" w:rsidR="5CA0D038">
        <w:rPr>
          <w:rFonts w:ascii="Calibri" w:hAnsi="Calibri" w:eastAsia="Calibri" w:cs="Calibri"/>
          <w:noProof w:val="0"/>
          <w:sz w:val="22"/>
          <w:szCs w:val="22"/>
          <w:lang w:val="en-US"/>
        </w:rPr>
        <w:t xml:space="preserve">Alderson, P. and Morrow, V. (2011) </w:t>
      </w:r>
      <w:r w:rsidRPr="634CE94F" w:rsidR="5CA0D038">
        <w:rPr>
          <w:rFonts w:ascii="Calibri" w:hAnsi="Calibri" w:eastAsia="Calibri" w:cs="Calibri"/>
          <w:i w:val="1"/>
          <w:iCs w:val="1"/>
          <w:noProof w:val="0"/>
          <w:sz w:val="22"/>
          <w:szCs w:val="22"/>
          <w:lang w:val="en-US"/>
        </w:rPr>
        <w:t>The Ethics of Research with Children and Young People.</w:t>
      </w:r>
      <w:r w:rsidRPr="634CE94F" w:rsidR="5CA0D038">
        <w:rPr>
          <w:rFonts w:ascii="Calibri" w:hAnsi="Calibri" w:eastAsia="Calibri" w:cs="Calibri"/>
          <w:noProof w:val="0"/>
          <w:sz w:val="22"/>
          <w:szCs w:val="22"/>
          <w:lang w:val="en-US"/>
        </w:rPr>
        <w:t xml:space="preserve"> London: Sage.</w:t>
      </w:r>
    </w:p>
    <w:p xmlns:wp14="http://schemas.microsoft.com/office/word/2010/wordml" w:rsidP="634CE94F" w14:paraId="1088F586" wp14:textId="57E9CB87">
      <w:pPr>
        <w:spacing w:line="240" w:lineRule="exact"/>
      </w:pPr>
      <w:r w:rsidRPr="634CE94F" w:rsidR="5CA0D038">
        <w:rPr>
          <w:rFonts w:ascii="Calibri" w:hAnsi="Calibri" w:eastAsia="Calibri" w:cs="Calibri"/>
          <w:noProof w:val="0"/>
          <w:sz w:val="22"/>
          <w:szCs w:val="22"/>
          <w:lang w:val="en-US"/>
        </w:rPr>
        <w:t xml:space="preserve">Antwi, S.K. and Hamza, K. (2015) ‘Qualitative and quantitative research paradigms in business research: A philosophical reflection’. </w:t>
      </w:r>
      <w:r w:rsidRPr="634CE94F" w:rsidR="5CA0D038">
        <w:rPr>
          <w:rFonts w:ascii="Calibri" w:hAnsi="Calibri" w:eastAsia="Calibri" w:cs="Calibri"/>
          <w:i w:val="1"/>
          <w:iCs w:val="1"/>
          <w:noProof w:val="0"/>
          <w:sz w:val="22"/>
          <w:szCs w:val="22"/>
          <w:lang w:val="en-US"/>
        </w:rPr>
        <w:t>European journal of business and management</w:t>
      </w:r>
      <w:r w:rsidRPr="634CE94F" w:rsidR="5CA0D038">
        <w:rPr>
          <w:rFonts w:ascii="Calibri" w:hAnsi="Calibri" w:eastAsia="Calibri" w:cs="Calibri"/>
          <w:noProof w:val="0"/>
          <w:sz w:val="22"/>
          <w:szCs w:val="22"/>
          <w:lang w:val="en-US"/>
        </w:rPr>
        <w:t xml:space="preserve">, </w:t>
      </w:r>
      <w:r w:rsidRPr="634CE94F" w:rsidR="5CA0D038">
        <w:rPr>
          <w:rFonts w:ascii="Calibri" w:hAnsi="Calibri" w:eastAsia="Calibri" w:cs="Calibri"/>
          <w:i w:val="1"/>
          <w:iCs w:val="1"/>
          <w:noProof w:val="0"/>
          <w:sz w:val="22"/>
          <w:szCs w:val="22"/>
          <w:lang w:val="en-US"/>
        </w:rPr>
        <w:t>7</w:t>
      </w:r>
      <w:r w:rsidRPr="634CE94F" w:rsidR="5CA0D038">
        <w:rPr>
          <w:rFonts w:ascii="Calibri" w:hAnsi="Calibri" w:eastAsia="Calibri" w:cs="Calibri"/>
          <w:noProof w:val="0"/>
          <w:sz w:val="22"/>
          <w:szCs w:val="22"/>
          <w:lang w:val="en-US"/>
        </w:rPr>
        <w:t>(3), pp.217-225.</w:t>
      </w:r>
    </w:p>
    <w:p xmlns:wp14="http://schemas.microsoft.com/office/word/2010/wordml" w:rsidP="634CE94F" w14:paraId="35B20771" wp14:textId="7D6E7744">
      <w:pPr>
        <w:spacing w:line="240" w:lineRule="exact"/>
      </w:pPr>
      <w:r w:rsidRPr="634CE94F" w:rsidR="5CA0D038">
        <w:rPr>
          <w:rFonts w:ascii="Calibri" w:hAnsi="Calibri" w:eastAsia="Calibri" w:cs="Calibri"/>
          <w:noProof w:val="0"/>
          <w:sz w:val="22"/>
          <w:szCs w:val="22"/>
          <w:lang w:val="en-US"/>
        </w:rPr>
        <w:t xml:space="preserve">Berrington, A., Roberts, S. and Tammes, P. (2016) ‘Educational aspirations among UK Young Teenagers: Exploring the role of gender, class and ethnicity’, </w:t>
      </w:r>
      <w:r w:rsidRPr="634CE94F" w:rsidR="5CA0D038">
        <w:rPr>
          <w:rFonts w:ascii="Calibri" w:hAnsi="Calibri" w:eastAsia="Calibri" w:cs="Calibri"/>
          <w:i w:val="1"/>
          <w:iCs w:val="1"/>
          <w:noProof w:val="0"/>
          <w:sz w:val="22"/>
          <w:szCs w:val="22"/>
          <w:lang w:val="en-US"/>
        </w:rPr>
        <w:t xml:space="preserve">British Educational Research journal, </w:t>
      </w:r>
      <w:r w:rsidRPr="634CE94F" w:rsidR="5CA0D038">
        <w:rPr>
          <w:rFonts w:ascii="Calibri" w:hAnsi="Calibri" w:eastAsia="Calibri" w:cs="Calibri"/>
          <w:noProof w:val="0"/>
          <w:sz w:val="22"/>
          <w:szCs w:val="22"/>
          <w:lang w:val="en-US"/>
        </w:rPr>
        <w:t xml:space="preserve">42(5), pp. 729-755. </w:t>
      </w:r>
    </w:p>
    <w:p xmlns:wp14="http://schemas.microsoft.com/office/word/2010/wordml" w:rsidP="634CE94F" w14:paraId="6C5A7E78" wp14:textId="2B1ECAC9">
      <w:pPr>
        <w:spacing w:line="240" w:lineRule="exact"/>
      </w:pPr>
      <w:r w:rsidRPr="634CE94F" w:rsidR="5CA0D038">
        <w:rPr>
          <w:rFonts w:ascii="Calibri" w:hAnsi="Calibri" w:eastAsia="Calibri" w:cs="Calibri"/>
          <w:noProof w:val="0"/>
          <w:sz w:val="22"/>
          <w:szCs w:val="22"/>
          <w:lang w:val="en-US"/>
        </w:rPr>
        <w:t xml:space="preserve">British Education Research Association (2018) </w:t>
      </w:r>
      <w:r w:rsidRPr="634CE94F" w:rsidR="5CA0D038">
        <w:rPr>
          <w:rFonts w:ascii="Calibri" w:hAnsi="Calibri" w:eastAsia="Calibri" w:cs="Calibri"/>
          <w:i w:val="1"/>
          <w:iCs w:val="1"/>
          <w:noProof w:val="0"/>
          <w:sz w:val="22"/>
          <w:szCs w:val="22"/>
          <w:lang w:val="en-US"/>
        </w:rPr>
        <w:t>Ethical Guidelines for Educatioanl Research, fourth edition.</w:t>
      </w:r>
      <w:r w:rsidRPr="634CE94F" w:rsidR="5CA0D038">
        <w:rPr>
          <w:rFonts w:ascii="Calibri" w:hAnsi="Calibri" w:eastAsia="Calibri" w:cs="Calibri"/>
          <w:noProof w:val="0"/>
          <w:sz w:val="22"/>
          <w:szCs w:val="22"/>
          <w:lang w:val="en-US"/>
        </w:rPr>
        <w:t xml:space="preserve"> Available at: </w:t>
      </w:r>
      <w:hyperlink r:id="R75d281c2bb494ad8">
        <w:r w:rsidRPr="634CE94F" w:rsidR="5CA0D038">
          <w:rPr>
            <w:rStyle w:val="Hyperlink"/>
            <w:rFonts w:ascii="Calibri" w:hAnsi="Calibri" w:eastAsia="Calibri" w:cs="Calibri"/>
            <w:noProof w:val="0"/>
            <w:sz w:val="22"/>
            <w:szCs w:val="22"/>
            <w:lang w:val="en-US"/>
          </w:rPr>
          <w:t>https://www.bera.ac.uk/publication/ethical-guidelines-for-educational-research-2018</w:t>
        </w:r>
      </w:hyperlink>
      <w:r w:rsidRPr="634CE94F" w:rsidR="5CA0D038">
        <w:rPr>
          <w:rFonts w:ascii="Calibri" w:hAnsi="Calibri" w:eastAsia="Calibri" w:cs="Calibri"/>
          <w:noProof w:val="0"/>
          <w:sz w:val="22"/>
          <w:szCs w:val="22"/>
          <w:lang w:val="en-US"/>
        </w:rPr>
        <w:t>. (Accessed: 28 October 2022).</w:t>
      </w:r>
    </w:p>
    <w:p xmlns:wp14="http://schemas.microsoft.com/office/word/2010/wordml" w:rsidP="634CE94F" w14:paraId="4044513A" wp14:textId="1516F487">
      <w:pPr>
        <w:spacing w:line="240" w:lineRule="exact"/>
      </w:pPr>
      <w:r w:rsidRPr="634CE94F" w:rsidR="5CA0D038">
        <w:rPr>
          <w:rFonts w:ascii="Calibri" w:hAnsi="Calibri" w:eastAsia="Calibri" w:cs="Calibri"/>
          <w:noProof w:val="0"/>
          <w:sz w:val="22"/>
          <w:szCs w:val="22"/>
          <w:lang w:val="en-US"/>
        </w:rPr>
        <w:t xml:space="preserve">Crawford, C. and Greaves, E. (2015) </w:t>
      </w:r>
      <w:r w:rsidRPr="634CE94F" w:rsidR="5CA0D038">
        <w:rPr>
          <w:rFonts w:ascii="Calibri" w:hAnsi="Calibri" w:eastAsia="Calibri" w:cs="Calibri"/>
          <w:i w:val="1"/>
          <w:iCs w:val="1"/>
          <w:noProof w:val="0"/>
          <w:sz w:val="22"/>
          <w:szCs w:val="22"/>
          <w:lang w:val="en-US"/>
        </w:rPr>
        <w:t>Socio-econmic, ethnic and gender differences in HE participation.</w:t>
      </w:r>
      <w:r w:rsidRPr="634CE94F" w:rsidR="5CA0D038">
        <w:rPr>
          <w:rFonts w:ascii="Calibri" w:hAnsi="Calibri" w:eastAsia="Calibri" w:cs="Calibri"/>
          <w:noProof w:val="0"/>
          <w:sz w:val="22"/>
          <w:szCs w:val="22"/>
          <w:lang w:val="en-US"/>
        </w:rPr>
        <w:t xml:space="preserve"> Available at: </w:t>
      </w:r>
      <w:hyperlink r:id="R31495ebad8de4033">
        <w:r w:rsidRPr="634CE94F" w:rsidR="5CA0D038">
          <w:rPr>
            <w:rStyle w:val="Hyperlink"/>
            <w:rFonts w:ascii="Calibri" w:hAnsi="Calibri" w:eastAsia="Calibri" w:cs="Calibri"/>
            <w:noProof w:val="0"/>
            <w:sz w:val="22"/>
            <w:szCs w:val="22"/>
            <w:lang w:val="en-US"/>
          </w:rPr>
          <w:t>https://www.gov.uk/government/publications/higher-education-participation-socio-economic-ethnic-and-gender-differences</w:t>
        </w:r>
      </w:hyperlink>
      <w:r w:rsidRPr="634CE94F" w:rsidR="5CA0D038">
        <w:rPr>
          <w:rFonts w:ascii="Calibri" w:hAnsi="Calibri" w:eastAsia="Calibri" w:cs="Calibri"/>
          <w:noProof w:val="0"/>
          <w:sz w:val="22"/>
          <w:szCs w:val="22"/>
          <w:lang w:val="en-US"/>
        </w:rPr>
        <w:t>. (Accessed: 1 November 2022)</w:t>
      </w:r>
    </w:p>
    <w:p xmlns:wp14="http://schemas.microsoft.com/office/word/2010/wordml" w:rsidP="634CE94F" w14:paraId="08D4DC52" wp14:textId="07E6464D">
      <w:pPr>
        <w:spacing w:line="240" w:lineRule="exact"/>
      </w:pPr>
      <w:r w:rsidRPr="634CE94F" w:rsidR="5CA0D038">
        <w:rPr>
          <w:rFonts w:ascii="Calibri" w:hAnsi="Calibri" w:eastAsia="Calibri" w:cs="Calibri"/>
          <w:noProof w:val="0"/>
          <w:sz w:val="22"/>
          <w:szCs w:val="22"/>
          <w:lang w:val="en-US"/>
        </w:rPr>
        <w:t xml:space="preserve">Cumming, A. (2001). ‘ESL/EFL instructors’ practices for writing assessment: Specific purposes or general purposes?’ </w:t>
      </w:r>
      <w:r w:rsidRPr="634CE94F" w:rsidR="5CA0D038">
        <w:rPr>
          <w:rFonts w:ascii="Calibri" w:hAnsi="Calibri" w:eastAsia="Calibri" w:cs="Calibri"/>
          <w:i w:val="1"/>
          <w:iCs w:val="1"/>
          <w:noProof w:val="0"/>
          <w:sz w:val="22"/>
          <w:szCs w:val="22"/>
          <w:lang w:val="en-US"/>
        </w:rPr>
        <w:t>Language testing</w:t>
      </w:r>
      <w:r w:rsidRPr="634CE94F" w:rsidR="5CA0D038">
        <w:rPr>
          <w:rFonts w:ascii="Calibri" w:hAnsi="Calibri" w:eastAsia="Calibri" w:cs="Calibri"/>
          <w:noProof w:val="0"/>
          <w:sz w:val="22"/>
          <w:szCs w:val="22"/>
          <w:lang w:val="en-US"/>
        </w:rPr>
        <w:t>, 18(2), 207-224.</w:t>
      </w:r>
    </w:p>
    <w:p xmlns:wp14="http://schemas.microsoft.com/office/word/2010/wordml" w:rsidP="634CE94F" w14:paraId="316D8C6A" wp14:textId="49F7110D">
      <w:pPr>
        <w:spacing w:line="240" w:lineRule="exact"/>
      </w:pPr>
      <w:r w:rsidRPr="634CE94F" w:rsidR="5CA0D038">
        <w:rPr>
          <w:rFonts w:ascii="Calibri" w:hAnsi="Calibri" w:eastAsia="Calibri" w:cs="Calibri"/>
          <w:noProof w:val="0"/>
          <w:sz w:val="22"/>
          <w:szCs w:val="22"/>
          <w:lang w:val="en-US"/>
        </w:rPr>
        <w:t xml:space="preserve">Declercq, K. and Verboven, F. (2014). ‘Socio-economic status and participation in higher education: Do costs matter?’ </w:t>
      </w:r>
      <w:r w:rsidRPr="634CE94F" w:rsidR="5CA0D038">
        <w:rPr>
          <w:rFonts w:ascii="Calibri" w:hAnsi="Calibri" w:eastAsia="Calibri" w:cs="Calibri"/>
          <w:i w:val="1"/>
          <w:iCs w:val="1"/>
          <w:noProof w:val="0"/>
          <w:sz w:val="22"/>
          <w:szCs w:val="22"/>
          <w:lang w:val="en-US"/>
        </w:rPr>
        <w:t xml:space="preserve">Education Economics, </w:t>
      </w:r>
      <w:r w:rsidRPr="634CE94F" w:rsidR="5CA0D038">
        <w:rPr>
          <w:rFonts w:ascii="Calibri" w:hAnsi="Calibri" w:eastAsia="Calibri" w:cs="Calibri"/>
          <w:noProof w:val="0"/>
          <w:sz w:val="22"/>
          <w:szCs w:val="22"/>
          <w:lang w:val="en-US"/>
        </w:rPr>
        <w:t xml:space="preserve">23 (5), pp. 532-556. </w:t>
      </w:r>
    </w:p>
    <w:p xmlns:wp14="http://schemas.microsoft.com/office/word/2010/wordml" w:rsidP="634CE94F" w14:paraId="19623FBF" wp14:textId="7B749709">
      <w:pPr>
        <w:spacing w:line="240" w:lineRule="exact"/>
      </w:pPr>
      <w:r w:rsidRPr="634CE94F" w:rsidR="5CA0D038">
        <w:rPr>
          <w:rFonts w:ascii="Calibri" w:hAnsi="Calibri" w:eastAsia="Calibri" w:cs="Calibri"/>
          <w:noProof w:val="0"/>
          <w:sz w:val="22"/>
          <w:szCs w:val="22"/>
          <w:lang w:val="en-US"/>
        </w:rPr>
        <w:t xml:space="preserve">Department for Education (2017) </w:t>
      </w:r>
      <w:r w:rsidRPr="634CE94F" w:rsidR="5CA0D038">
        <w:rPr>
          <w:rFonts w:ascii="Calibri" w:hAnsi="Calibri" w:eastAsia="Calibri" w:cs="Calibri"/>
          <w:i w:val="1"/>
          <w:iCs w:val="1"/>
          <w:noProof w:val="0"/>
          <w:sz w:val="22"/>
          <w:szCs w:val="22"/>
          <w:lang w:val="en-US"/>
        </w:rPr>
        <w:t xml:space="preserve">Understanding the changing gaps in higher education participation in different regions of England. </w:t>
      </w:r>
      <w:r w:rsidRPr="634CE94F" w:rsidR="5CA0D038">
        <w:rPr>
          <w:rFonts w:ascii="Calibri" w:hAnsi="Calibri" w:eastAsia="Calibri" w:cs="Calibri"/>
          <w:noProof w:val="0"/>
          <w:sz w:val="22"/>
          <w:szCs w:val="22"/>
          <w:lang w:val="en-US"/>
        </w:rPr>
        <w:t xml:space="preserve">Available at: </w:t>
      </w:r>
      <w:hyperlink r:id="R3830dd5cf0574dd8">
        <w:r w:rsidRPr="634CE94F" w:rsidR="5CA0D038">
          <w:rPr>
            <w:rStyle w:val="Hyperlink"/>
            <w:rFonts w:ascii="Calibri" w:hAnsi="Calibri" w:eastAsia="Calibri" w:cs="Calibri"/>
            <w:noProof w:val="0"/>
            <w:sz w:val="22"/>
            <w:szCs w:val="22"/>
            <w:lang w:val="en-US"/>
          </w:rPr>
          <w:t>https://assets.publishing.service.gov.uk/government/uploads/system/uploads/attachment_data/file/604393/Higher_education_understanding_participation_gaps.pdf</w:t>
        </w:r>
      </w:hyperlink>
      <w:r w:rsidRPr="634CE94F" w:rsidR="5CA0D038">
        <w:rPr>
          <w:rFonts w:ascii="Calibri" w:hAnsi="Calibri" w:eastAsia="Calibri" w:cs="Calibri"/>
          <w:noProof w:val="0"/>
          <w:sz w:val="22"/>
          <w:szCs w:val="22"/>
          <w:lang w:val="en-US"/>
        </w:rPr>
        <w:t xml:space="preserve"> </w:t>
      </w:r>
    </w:p>
    <w:p xmlns:wp14="http://schemas.microsoft.com/office/word/2010/wordml" w:rsidP="634CE94F" w14:paraId="68C52A9E" wp14:textId="5EA53761">
      <w:pPr>
        <w:spacing w:line="240" w:lineRule="exact"/>
      </w:pPr>
      <w:r w:rsidRPr="634CE94F" w:rsidR="5CA0D038">
        <w:rPr>
          <w:rFonts w:ascii="Calibri" w:hAnsi="Calibri" w:eastAsia="Calibri" w:cs="Calibri"/>
          <w:noProof w:val="0"/>
          <w:sz w:val="22"/>
          <w:szCs w:val="22"/>
          <w:lang w:val="en-US"/>
        </w:rPr>
        <w:t xml:space="preserve">Elkatawneh, H.H. (2016) </w:t>
      </w:r>
      <w:r w:rsidRPr="634CE94F" w:rsidR="5CA0D038">
        <w:rPr>
          <w:rFonts w:ascii="Calibri" w:hAnsi="Calibri" w:eastAsia="Calibri" w:cs="Calibri"/>
          <w:i w:val="1"/>
          <w:iCs w:val="1"/>
          <w:noProof w:val="0"/>
          <w:sz w:val="22"/>
          <w:szCs w:val="22"/>
          <w:lang w:val="en-US"/>
        </w:rPr>
        <w:t xml:space="preserve">Comparing qualitative and quantitative approaches. </w:t>
      </w:r>
      <w:r w:rsidRPr="634CE94F" w:rsidR="5CA0D038">
        <w:rPr>
          <w:rFonts w:ascii="Calibri" w:hAnsi="Calibri" w:eastAsia="Calibri" w:cs="Calibri"/>
          <w:noProof w:val="0"/>
          <w:sz w:val="22"/>
          <w:szCs w:val="22"/>
          <w:lang w:val="en-US"/>
        </w:rPr>
        <w:t>Walden University, pp.3-4.</w:t>
      </w:r>
    </w:p>
    <w:p xmlns:wp14="http://schemas.microsoft.com/office/word/2010/wordml" w:rsidP="634CE94F" w14:paraId="26184BC9" wp14:textId="14712F9E">
      <w:pPr>
        <w:spacing w:line="240" w:lineRule="exact"/>
      </w:pPr>
      <w:r w:rsidRPr="634CE94F" w:rsidR="5CA0D038">
        <w:rPr>
          <w:rFonts w:ascii="Calibri" w:hAnsi="Calibri" w:eastAsia="Calibri" w:cs="Calibri"/>
          <w:noProof w:val="0"/>
          <w:sz w:val="22"/>
          <w:szCs w:val="22"/>
          <w:lang w:val="en-US"/>
        </w:rPr>
        <w:t>Font, J. and Mendez, M. (2013)</w:t>
      </w:r>
      <w:r w:rsidRPr="634CE94F" w:rsidR="5CA0D038">
        <w:rPr>
          <w:rFonts w:ascii="Calibri" w:hAnsi="Calibri" w:eastAsia="Calibri" w:cs="Calibri"/>
          <w:i w:val="1"/>
          <w:iCs w:val="1"/>
          <w:noProof w:val="0"/>
          <w:sz w:val="22"/>
          <w:szCs w:val="22"/>
          <w:lang w:val="en-US"/>
        </w:rPr>
        <w:t xml:space="preserve"> Surveying Ethnic Minorities and Immigrant Populations: Methodological Challenges and research Strategies. </w:t>
      </w:r>
      <w:r w:rsidRPr="634CE94F" w:rsidR="5CA0D038">
        <w:rPr>
          <w:rFonts w:ascii="Calibri" w:hAnsi="Calibri" w:eastAsia="Calibri" w:cs="Calibri"/>
          <w:noProof w:val="0"/>
          <w:sz w:val="22"/>
          <w:szCs w:val="22"/>
          <w:lang w:val="en-US"/>
        </w:rPr>
        <w:t>Amsterdam: University Press.</w:t>
      </w:r>
    </w:p>
    <w:p xmlns:wp14="http://schemas.microsoft.com/office/word/2010/wordml" w:rsidP="634CE94F" w14:paraId="066F710F" wp14:textId="58F617C6">
      <w:pPr>
        <w:spacing w:line="240" w:lineRule="exact"/>
      </w:pPr>
      <w:r w:rsidRPr="634CE94F" w:rsidR="5CA0D038">
        <w:rPr>
          <w:rFonts w:ascii="Calibri" w:hAnsi="Calibri" w:eastAsia="Calibri" w:cs="Calibri"/>
          <w:noProof w:val="0"/>
          <w:sz w:val="22"/>
          <w:szCs w:val="22"/>
          <w:lang w:val="en-US"/>
        </w:rPr>
        <w:t xml:space="preserve">Gorard, S., See, B.H. and Davies, P. (2012) The impact of attitudes and aspirations on educational attainment and participation. </w:t>
      </w:r>
      <w:r w:rsidRPr="634CE94F" w:rsidR="5CA0D038">
        <w:rPr>
          <w:rFonts w:ascii="Calibri" w:hAnsi="Calibri" w:eastAsia="Calibri" w:cs="Calibri"/>
          <w:i w:val="1"/>
          <w:iCs w:val="1"/>
          <w:noProof w:val="0"/>
          <w:sz w:val="22"/>
          <w:szCs w:val="22"/>
          <w:lang w:val="en-US"/>
        </w:rPr>
        <w:t>York, Joseph Rowntree Foundation.</w:t>
      </w:r>
    </w:p>
    <w:p xmlns:wp14="http://schemas.microsoft.com/office/word/2010/wordml" w:rsidP="634CE94F" w14:paraId="6AA91670" wp14:textId="76BDBB06">
      <w:pPr>
        <w:spacing w:line="240" w:lineRule="exact"/>
      </w:pPr>
      <w:r w:rsidRPr="634CE94F" w:rsidR="5CA0D038">
        <w:rPr>
          <w:rFonts w:ascii="Calibri" w:hAnsi="Calibri" w:eastAsia="Calibri" w:cs="Calibri"/>
          <w:noProof w:val="0"/>
          <w:sz w:val="22"/>
          <w:szCs w:val="22"/>
          <w:lang w:val="en-US"/>
        </w:rPr>
        <w:t xml:space="preserve">House of Commons Education Committee (2014) </w:t>
      </w:r>
      <w:r w:rsidRPr="634CE94F" w:rsidR="5CA0D038">
        <w:rPr>
          <w:rFonts w:ascii="Calibri" w:hAnsi="Calibri" w:eastAsia="Calibri" w:cs="Calibri"/>
          <w:i w:val="1"/>
          <w:iCs w:val="1"/>
          <w:noProof w:val="0"/>
          <w:sz w:val="22"/>
          <w:szCs w:val="22"/>
          <w:lang w:val="en-US"/>
        </w:rPr>
        <w:t>Underachievement in education by white working class children: First report of 2014-15.</w:t>
      </w:r>
      <w:r w:rsidRPr="634CE94F" w:rsidR="5CA0D038">
        <w:rPr>
          <w:rFonts w:ascii="Calibri" w:hAnsi="Calibri" w:eastAsia="Calibri" w:cs="Calibri"/>
          <w:noProof w:val="0"/>
          <w:sz w:val="22"/>
          <w:szCs w:val="22"/>
          <w:lang w:val="en-US"/>
        </w:rPr>
        <w:t xml:space="preserve"> Available at: </w:t>
      </w:r>
      <w:hyperlink r:id="Ra0a8ae29a003477c">
        <w:r w:rsidRPr="634CE94F" w:rsidR="5CA0D038">
          <w:rPr>
            <w:rStyle w:val="Hyperlink"/>
            <w:rFonts w:ascii="Calibri" w:hAnsi="Calibri" w:eastAsia="Calibri" w:cs="Calibri"/>
            <w:noProof w:val="0"/>
            <w:sz w:val="22"/>
            <w:szCs w:val="22"/>
            <w:lang w:val="en-US"/>
          </w:rPr>
          <w:t>https://publications.parliament.uk/pa/cm201415/cmselect/cmeduc/142/142.pdf</w:t>
        </w:r>
      </w:hyperlink>
      <w:r w:rsidRPr="634CE94F" w:rsidR="5CA0D038">
        <w:rPr>
          <w:rFonts w:ascii="Calibri" w:hAnsi="Calibri" w:eastAsia="Calibri" w:cs="Calibri"/>
          <w:noProof w:val="0"/>
          <w:sz w:val="22"/>
          <w:szCs w:val="22"/>
          <w:lang w:val="en-US"/>
        </w:rPr>
        <w:t xml:space="preserve"> (Accessed: 1 November 2022).</w:t>
      </w:r>
    </w:p>
    <w:p xmlns:wp14="http://schemas.microsoft.com/office/word/2010/wordml" w:rsidP="634CE94F" w14:paraId="7EC43533" wp14:textId="15309C03">
      <w:pPr>
        <w:spacing w:line="240" w:lineRule="exact"/>
      </w:pPr>
      <w:r w:rsidRPr="634CE94F" w:rsidR="5CA0D038">
        <w:rPr>
          <w:rFonts w:ascii="Calibri" w:hAnsi="Calibri" w:eastAsia="Calibri" w:cs="Calibri"/>
          <w:noProof w:val="0"/>
          <w:sz w:val="22"/>
          <w:szCs w:val="22"/>
          <w:lang w:val="en-US"/>
        </w:rPr>
        <w:t xml:space="preserve">McGeough, R. and Rudick, K. (2017) ‘“It was at the library; therefore, it must be credible”: Mapping patterns of undergraduate heuristic decision-making' </w:t>
      </w:r>
      <w:r w:rsidRPr="634CE94F" w:rsidR="5CA0D038">
        <w:rPr>
          <w:rFonts w:ascii="Calibri" w:hAnsi="Calibri" w:eastAsia="Calibri" w:cs="Calibri"/>
          <w:i w:val="1"/>
          <w:iCs w:val="1"/>
          <w:noProof w:val="0"/>
          <w:sz w:val="22"/>
          <w:szCs w:val="22"/>
          <w:lang w:val="en-US"/>
        </w:rPr>
        <w:t xml:space="preserve">Communication Education, </w:t>
      </w:r>
      <w:r w:rsidRPr="634CE94F" w:rsidR="5CA0D038">
        <w:rPr>
          <w:rFonts w:ascii="Calibri" w:hAnsi="Calibri" w:eastAsia="Calibri" w:cs="Calibri"/>
          <w:noProof w:val="0"/>
          <w:sz w:val="22"/>
          <w:szCs w:val="22"/>
          <w:lang w:val="en-US"/>
        </w:rPr>
        <w:t xml:space="preserve">67 (2), pp. 165-184. </w:t>
      </w:r>
    </w:p>
    <w:p xmlns:wp14="http://schemas.microsoft.com/office/word/2010/wordml" w:rsidP="634CE94F" w14:paraId="772F4409" wp14:textId="19AFCED4">
      <w:pPr>
        <w:spacing w:line="240" w:lineRule="exact"/>
      </w:pPr>
      <w:r w:rsidRPr="634CE94F" w:rsidR="5CA0D038">
        <w:rPr>
          <w:rFonts w:ascii="Calibri" w:hAnsi="Calibri" w:eastAsia="Calibri" w:cs="Calibri"/>
          <w:noProof w:val="0"/>
          <w:sz w:val="22"/>
          <w:szCs w:val="22"/>
          <w:lang w:val="en-US"/>
        </w:rPr>
        <w:t xml:space="preserve">Modood, T. and Khattab, N. (2015) Explaining ethnic differences: Can ethnic minority strategies reduce the effects of ethnic penalties? </w:t>
      </w:r>
      <w:r w:rsidRPr="634CE94F" w:rsidR="5CA0D038">
        <w:rPr>
          <w:rFonts w:ascii="Calibri" w:hAnsi="Calibri" w:eastAsia="Calibri" w:cs="Calibri"/>
          <w:i w:val="1"/>
          <w:iCs w:val="1"/>
          <w:noProof w:val="0"/>
          <w:sz w:val="22"/>
          <w:szCs w:val="22"/>
          <w:lang w:val="en-US"/>
        </w:rPr>
        <w:t>Sociology.</w:t>
      </w:r>
      <w:r w:rsidRPr="634CE94F" w:rsidR="5CA0D038">
        <w:rPr>
          <w:rFonts w:ascii="Calibri" w:hAnsi="Calibri" w:eastAsia="Calibri" w:cs="Calibri"/>
          <w:noProof w:val="0"/>
          <w:sz w:val="22"/>
          <w:szCs w:val="22"/>
          <w:lang w:val="en-US"/>
        </w:rPr>
        <w:t xml:space="preserve"> Available at: </w:t>
      </w:r>
      <w:hyperlink>
        <w:r w:rsidRPr="634CE94F" w:rsidR="5CA0D038">
          <w:rPr>
            <w:rStyle w:val="Hyperlink"/>
            <w:rFonts w:ascii="Calibri" w:hAnsi="Calibri" w:eastAsia="Calibri" w:cs="Calibri"/>
            <w:noProof w:val="0"/>
            <w:sz w:val="22"/>
            <w:szCs w:val="22"/>
            <w:lang w:val="en-US"/>
          </w:rPr>
          <w:t>http://soc.sagepub.-com/content/early/2015/05/12/0038038515575858.abstract</w:t>
        </w:r>
      </w:hyperlink>
      <w:r w:rsidRPr="634CE94F" w:rsidR="5CA0D038">
        <w:rPr>
          <w:rFonts w:ascii="Calibri" w:hAnsi="Calibri" w:eastAsia="Calibri" w:cs="Calibri"/>
          <w:noProof w:val="0"/>
          <w:sz w:val="22"/>
          <w:szCs w:val="22"/>
          <w:lang w:val="en-US"/>
        </w:rPr>
        <w:t xml:space="preserve"> (Accessed: 1 November 2022).</w:t>
      </w:r>
    </w:p>
    <w:p xmlns:wp14="http://schemas.microsoft.com/office/word/2010/wordml" w:rsidP="634CE94F" w14:paraId="45A019F2" wp14:textId="729331B1">
      <w:pPr>
        <w:spacing w:line="240" w:lineRule="exact"/>
      </w:pPr>
      <w:r w:rsidRPr="634CE94F" w:rsidR="5CA0D038">
        <w:rPr>
          <w:rFonts w:ascii="Calibri" w:hAnsi="Calibri" w:eastAsia="Calibri" w:cs="Calibri"/>
          <w:noProof w:val="0"/>
          <w:sz w:val="22"/>
          <w:szCs w:val="22"/>
          <w:lang w:val="en-US"/>
        </w:rPr>
        <w:t xml:space="preserve">NSPCC (2022) </w:t>
      </w:r>
      <w:r w:rsidRPr="634CE94F" w:rsidR="5CA0D038">
        <w:rPr>
          <w:rFonts w:ascii="Calibri" w:hAnsi="Calibri" w:eastAsia="Calibri" w:cs="Calibri"/>
          <w:i w:val="1"/>
          <w:iCs w:val="1"/>
          <w:noProof w:val="0"/>
          <w:sz w:val="22"/>
          <w:szCs w:val="22"/>
          <w:lang w:val="en-US"/>
        </w:rPr>
        <w:t>Children and the law.</w:t>
      </w:r>
      <w:r w:rsidRPr="634CE94F" w:rsidR="5CA0D038">
        <w:rPr>
          <w:rFonts w:ascii="Calibri" w:hAnsi="Calibri" w:eastAsia="Calibri" w:cs="Calibri"/>
          <w:noProof w:val="0"/>
          <w:sz w:val="22"/>
          <w:szCs w:val="22"/>
          <w:lang w:val="en-US"/>
        </w:rPr>
        <w:t xml:space="preserve"> Available at: </w:t>
      </w:r>
      <w:hyperlink r:id="R0571bb5376e94e54">
        <w:r w:rsidRPr="634CE94F" w:rsidR="5CA0D038">
          <w:rPr>
            <w:rStyle w:val="Hyperlink"/>
            <w:rFonts w:ascii="Calibri" w:hAnsi="Calibri" w:eastAsia="Calibri" w:cs="Calibri"/>
            <w:noProof w:val="0"/>
            <w:sz w:val="22"/>
            <w:szCs w:val="22"/>
            <w:lang w:val="en-US"/>
          </w:rPr>
          <w:t>https://learning.nspcc.org.uk/child-protection-system/children-the-law</w:t>
        </w:r>
      </w:hyperlink>
      <w:r w:rsidRPr="634CE94F" w:rsidR="5CA0D038">
        <w:rPr>
          <w:rFonts w:ascii="Calibri" w:hAnsi="Calibri" w:eastAsia="Calibri" w:cs="Calibri"/>
          <w:noProof w:val="0"/>
          <w:sz w:val="22"/>
          <w:szCs w:val="22"/>
          <w:lang w:val="en-US"/>
        </w:rPr>
        <w:t xml:space="preserve"> (Accessed: 28 October 2022).</w:t>
      </w:r>
    </w:p>
    <w:p xmlns:wp14="http://schemas.microsoft.com/office/word/2010/wordml" w:rsidP="634CE94F" w14:paraId="2055193C" wp14:textId="626E8000">
      <w:pPr>
        <w:spacing w:line="240" w:lineRule="exact"/>
      </w:pPr>
      <w:r w:rsidRPr="634CE94F" w:rsidR="5CA0D038">
        <w:rPr>
          <w:rFonts w:ascii="Calibri" w:hAnsi="Calibri" w:eastAsia="Calibri" w:cs="Calibri"/>
          <w:noProof w:val="0"/>
          <w:sz w:val="22"/>
          <w:szCs w:val="22"/>
          <w:lang w:val="en-US"/>
        </w:rPr>
        <w:t xml:space="preserve">Oulton, K. </w:t>
      </w:r>
      <w:r w:rsidRPr="634CE94F" w:rsidR="5CA0D038">
        <w:rPr>
          <w:rFonts w:ascii="Calibri" w:hAnsi="Calibri" w:eastAsia="Calibri" w:cs="Calibri"/>
          <w:i w:val="1"/>
          <w:iCs w:val="1"/>
          <w:noProof w:val="0"/>
          <w:sz w:val="22"/>
          <w:szCs w:val="22"/>
          <w:lang w:val="en-US"/>
        </w:rPr>
        <w:t>et al</w:t>
      </w:r>
      <w:r w:rsidRPr="634CE94F" w:rsidR="5CA0D038">
        <w:rPr>
          <w:rFonts w:ascii="Calibri" w:hAnsi="Calibri" w:eastAsia="Calibri" w:cs="Calibri"/>
          <w:noProof w:val="0"/>
          <w:sz w:val="22"/>
          <w:szCs w:val="22"/>
          <w:lang w:val="en-US"/>
        </w:rPr>
        <w:t xml:space="preserve">. (2016) ‘Assent for children’s participation in research: why it matters and making it meaningful, </w:t>
      </w:r>
      <w:r w:rsidRPr="634CE94F" w:rsidR="5CA0D038">
        <w:rPr>
          <w:rFonts w:ascii="Calibri" w:hAnsi="Calibri" w:eastAsia="Calibri" w:cs="Calibri"/>
          <w:i w:val="1"/>
          <w:iCs w:val="1"/>
          <w:noProof w:val="0"/>
          <w:sz w:val="22"/>
          <w:szCs w:val="22"/>
          <w:lang w:val="en-US"/>
        </w:rPr>
        <w:t xml:space="preserve">Child: care, health &amp; development, </w:t>
      </w:r>
      <w:r w:rsidRPr="634CE94F" w:rsidR="5CA0D038">
        <w:rPr>
          <w:rFonts w:ascii="Calibri" w:hAnsi="Calibri" w:eastAsia="Calibri" w:cs="Calibri"/>
          <w:noProof w:val="0"/>
          <w:sz w:val="22"/>
          <w:szCs w:val="22"/>
          <w:lang w:val="en-US"/>
        </w:rPr>
        <w:t xml:space="preserve">42(40, pp.588-597. Available at: </w:t>
      </w:r>
      <w:hyperlink r:id="R8f91989183244597">
        <w:r w:rsidRPr="634CE94F" w:rsidR="5CA0D038">
          <w:rPr>
            <w:rStyle w:val="Hyperlink"/>
            <w:rFonts w:ascii="Calibri" w:hAnsi="Calibri" w:eastAsia="Calibri" w:cs="Calibri"/>
            <w:noProof w:val="0"/>
            <w:sz w:val="22"/>
            <w:szCs w:val="22"/>
            <w:lang w:val="en-US"/>
          </w:rPr>
          <w:t>https://doi.org/10.1111/cch.12344</w:t>
        </w:r>
      </w:hyperlink>
    </w:p>
    <w:p xmlns:wp14="http://schemas.microsoft.com/office/word/2010/wordml" w:rsidP="634CE94F" w14:paraId="07AE118C" wp14:textId="0EB2AF79">
      <w:pPr>
        <w:spacing w:line="240" w:lineRule="exact"/>
      </w:pPr>
      <w:r w:rsidRPr="634CE94F" w:rsidR="5CA0D038">
        <w:rPr>
          <w:rFonts w:ascii="Calibri" w:hAnsi="Calibri" w:eastAsia="Calibri" w:cs="Calibri"/>
          <w:noProof w:val="0"/>
          <w:sz w:val="22"/>
          <w:szCs w:val="22"/>
          <w:lang w:val="en-US"/>
        </w:rPr>
        <w:t>Powers, D.E. and Powers. (2015) ‘The incremental contribution of TOEIC® Listening, Reading, Speaking and Writing tests to predicting performance on real-life English language tasks’.</w:t>
      </w:r>
      <w:r w:rsidRPr="634CE94F" w:rsidR="5CA0D038">
        <w:rPr>
          <w:rFonts w:ascii="Calibri" w:hAnsi="Calibri" w:eastAsia="Calibri" w:cs="Calibri"/>
          <w:i w:val="1"/>
          <w:iCs w:val="1"/>
          <w:noProof w:val="0"/>
          <w:sz w:val="22"/>
          <w:szCs w:val="22"/>
          <w:lang w:val="en-US"/>
        </w:rPr>
        <w:t xml:space="preserve"> Language Testing, 32(2),</w:t>
      </w:r>
      <w:r w:rsidRPr="634CE94F" w:rsidR="5CA0D038">
        <w:rPr>
          <w:rFonts w:ascii="Calibri" w:hAnsi="Calibri" w:eastAsia="Calibri" w:cs="Calibri"/>
          <w:noProof w:val="0"/>
          <w:sz w:val="22"/>
          <w:szCs w:val="22"/>
          <w:lang w:val="en-US"/>
        </w:rPr>
        <w:t xml:space="preserve"> pp.151-167.</w:t>
      </w:r>
    </w:p>
    <w:p xmlns:wp14="http://schemas.microsoft.com/office/word/2010/wordml" w:rsidP="634CE94F" w14:paraId="0E80401A" wp14:textId="5E61F6F5">
      <w:pPr>
        <w:spacing w:line="240" w:lineRule="exact"/>
      </w:pPr>
      <w:r w:rsidRPr="634CE94F" w:rsidR="5CA0D038">
        <w:rPr>
          <w:rFonts w:ascii="Calibri" w:hAnsi="Calibri" w:eastAsia="Calibri" w:cs="Calibri"/>
          <w:noProof w:val="0"/>
          <w:sz w:val="22"/>
          <w:szCs w:val="22"/>
          <w:lang w:val="en-US"/>
        </w:rPr>
        <w:t xml:space="preserve">Robert-Holmes, G. (2014) </w:t>
      </w:r>
      <w:r w:rsidRPr="634CE94F" w:rsidR="5CA0D038">
        <w:rPr>
          <w:rFonts w:ascii="Calibri" w:hAnsi="Calibri" w:eastAsia="Calibri" w:cs="Calibri"/>
          <w:i w:val="1"/>
          <w:iCs w:val="1"/>
          <w:noProof w:val="0"/>
          <w:sz w:val="22"/>
          <w:szCs w:val="22"/>
          <w:lang w:val="en-US"/>
        </w:rPr>
        <w:t xml:space="preserve">Doing Your Early Years Research Project: A step by step guide. </w:t>
      </w:r>
      <w:r w:rsidRPr="634CE94F" w:rsidR="5CA0D038">
        <w:rPr>
          <w:rFonts w:ascii="Calibri" w:hAnsi="Calibri" w:eastAsia="Calibri" w:cs="Calibri"/>
          <w:noProof w:val="0"/>
          <w:sz w:val="22"/>
          <w:szCs w:val="22"/>
          <w:lang w:val="en-US"/>
        </w:rPr>
        <w:t>London: Sage.</w:t>
      </w:r>
    </w:p>
    <w:p xmlns:wp14="http://schemas.microsoft.com/office/word/2010/wordml" w:rsidP="634CE94F" w14:paraId="00E2CF41" wp14:textId="02A78506">
      <w:pPr>
        <w:spacing w:line="240" w:lineRule="exact"/>
      </w:pPr>
      <w:r w:rsidRPr="634CE94F" w:rsidR="5CA0D038">
        <w:rPr>
          <w:rFonts w:ascii="Calibri" w:hAnsi="Calibri" w:eastAsia="Calibri" w:cs="Calibri"/>
          <w:noProof w:val="0"/>
          <w:sz w:val="22"/>
          <w:szCs w:val="22"/>
          <w:lang w:val="en-US"/>
        </w:rPr>
        <w:t xml:space="preserve">Stahl, G. (2018) ‘Aspiration paradoxes: working-class student conceptions of power in “engines of social mobility”, </w:t>
      </w:r>
      <w:r w:rsidRPr="634CE94F" w:rsidR="5CA0D038">
        <w:rPr>
          <w:rFonts w:ascii="Calibri" w:hAnsi="Calibri" w:eastAsia="Calibri" w:cs="Calibri"/>
          <w:i w:val="1"/>
          <w:iCs w:val="1"/>
          <w:noProof w:val="0"/>
          <w:sz w:val="22"/>
          <w:szCs w:val="22"/>
          <w:lang w:val="en-US"/>
        </w:rPr>
        <w:t xml:space="preserve">International journal of qualitative studies in education, </w:t>
      </w:r>
      <w:r w:rsidRPr="634CE94F" w:rsidR="5CA0D038">
        <w:rPr>
          <w:rFonts w:ascii="Calibri" w:hAnsi="Calibri" w:eastAsia="Calibri" w:cs="Calibri"/>
          <w:noProof w:val="0"/>
          <w:sz w:val="22"/>
          <w:szCs w:val="22"/>
          <w:lang w:val="en-US"/>
        </w:rPr>
        <w:t xml:space="preserve">31(7), pp.557-751. Available at: </w:t>
      </w:r>
      <w:hyperlink r:id="R34272360efd143d6">
        <w:r w:rsidRPr="634CE94F" w:rsidR="5CA0D038">
          <w:rPr>
            <w:rStyle w:val="Hyperlink"/>
            <w:rFonts w:ascii="Calibri" w:hAnsi="Calibri" w:eastAsia="Calibri" w:cs="Calibri"/>
            <w:noProof w:val="0"/>
            <w:sz w:val="22"/>
            <w:szCs w:val="22"/>
            <w:lang w:val="en-US"/>
          </w:rPr>
          <w:t>https://doi.org/10.1080/09518398.2017.1286404</w:t>
        </w:r>
      </w:hyperlink>
      <w:r w:rsidRPr="634CE94F" w:rsidR="5CA0D038">
        <w:rPr>
          <w:rFonts w:ascii="Calibri" w:hAnsi="Calibri" w:eastAsia="Calibri" w:cs="Calibri"/>
          <w:noProof w:val="0"/>
          <w:sz w:val="22"/>
          <w:szCs w:val="22"/>
          <w:lang w:val="en-US"/>
        </w:rPr>
        <w:t>.</w:t>
      </w:r>
    </w:p>
    <w:p xmlns:wp14="http://schemas.microsoft.com/office/word/2010/wordml" w:rsidP="634CE94F" w14:paraId="154C3EDE" wp14:textId="0CA58710">
      <w:pPr>
        <w:spacing w:line="240" w:lineRule="exact"/>
      </w:pPr>
      <w:r w:rsidRPr="634CE94F" w:rsidR="5CA0D038">
        <w:rPr>
          <w:rFonts w:ascii="Calibri" w:hAnsi="Calibri" w:eastAsia="Calibri" w:cs="Calibri"/>
          <w:noProof w:val="0"/>
          <w:sz w:val="22"/>
          <w:szCs w:val="22"/>
          <w:lang w:val="en-US"/>
        </w:rPr>
        <w:t xml:space="preserve">Strand, S. (2014) ‘School effects and ethnic, gender and socio-economic gaps in educational achievement aged 11’. </w:t>
      </w:r>
      <w:r w:rsidRPr="634CE94F" w:rsidR="5CA0D038">
        <w:rPr>
          <w:rFonts w:ascii="Calibri" w:hAnsi="Calibri" w:eastAsia="Calibri" w:cs="Calibri"/>
          <w:i w:val="1"/>
          <w:iCs w:val="1"/>
          <w:noProof w:val="0"/>
          <w:sz w:val="22"/>
          <w:szCs w:val="22"/>
          <w:lang w:val="en-US"/>
        </w:rPr>
        <w:t>Oxford Review of Education</w:t>
      </w:r>
    </w:p>
    <w:p xmlns:wp14="http://schemas.microsoft.com/office/word/2010/wordml" w14:paraId="6424775B" wp14:textId="2911DE79">
      <w:r>
        <w:br/>
      </w:r>
    </w:p>
    <w:p xmlns:wp14="http://schemas.microsoft.com/office/word/2010/wordml" w:rsidP="634CE94F" w14:paraId="2C078E63" wp14:textId="048C08C9">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D18C11"/>
    <w:rsid w:val="001ABBF5"/>
    <w:rsid w:val="14D18C11"/>
    <w:rsid w:val="5CA0D038"/>
    <w:rsid w:val="634CE9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18C11"/>
  <w15:chartTrackingRefBased/>
  <w15:docId w15:val="{400184D6-86CA-4DAC-8E38-F79323F6C9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era.ac.uk/publication/ethical-guidelines-for-educational-research-2018" TargetMode="External" Id="R75d281c2bb494ad8" /><Relationship Type="http://schemas.openxmlformats.org/officeDocument/2006/relationships/hyperlink" Target="https://www.gov.uk/government/publications/higher-education-participation-socio-economic-ethnic-and-gender-differences" TargetMode="External" Id="R31495ebad8de4033" /><Relationship Type="http://schemas.openxmlformats.org/officeDocument/2006/relationships/hyperlink" Target="https://assets.publishing.service.gov.uk/government/uploads/system/uploads/attachment_data/file/604393/Higher_education_understanding_participation_gaps.pdf" TargetMode="External" Id="R3830dd5cf0574dd8" /><Relationship Type="http://schemas.openxmlformats.org/officeDocument/2006/relationships/hyperlink" Target="https://publications.parliament.uk/pa/cm201415/cmselect/cmeduc/142/142.pdf" TargetMode="External" Id="Ra0a8ae29a003477c" /><Relationship Type="http://schemas.openxmlformats.org/officeDocument/2006/relationships/hyperlink" Target="https://learning.nspcc.org.uk/child-protection-system/children-the-law" TargetMode="External" Id="R0571bb5376e94e54" /><Relationship Type="http://schemas.openxmlformats.org/officeDocument/2006/relationships/hyperlink" Target="https://doi.org/10.1111/cch.12344" TargetMode="External" Id="R8f91989183244597" /><Relationship Type="http://schemas.openxmlformats.org/officeDocument/2006/relationships/hyperlink" Target="https://doi.org/10.1080/09518398.2017.1286404" TargetMode="External" Id="R34272360efd143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2022-11-04T22:01:18.2636029Z</dcterms:created>
  <dcterms:modified xsi:type="dcterms:W3CDTF">2022-11-04T22:02:16.7422274Z</dcterms:modified>
  <dc:creator>Chloe Evans (2105814)</dc:creator>
  <lastModifiedBy>Chloe Evans (2105814)</lastModifiedBy>
</coreProperties>
</file>