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7E77D" w14:textId="670C38AB" w:rsidR="00F24A09" w:rsidRDefault="00A05A3D" w:rsidP="00F978F1">
      <w:pPr>
        <w:jc w:val="center"/>
        <w:rPr>
          <w:rFonts w:ascii="Arial" w:eastAsia="Arial Nova" w:hAnsi="Arial" w:cs="Arial"/>
          <w:sz w:val="56"/>
          <w:szCs w:val="56"/>
        </w:rPr>
      </w:pPr>
      <w:r w:rsidRPr="00A406E5">
        <w:rPr>
          <w:rFonts w:ascii="Arial" w:hAnsi="Arial" w:cs="Arial"/>
          <w:noProof/>
        </w:rPr>
        <w:drawing>
          <wp:anchor distT="0" distB="0" distL="114300" distR="114300" simplePos="0" relativeHeight="251659264" behindDoc="0" locked="0" layoutInCell="1" allowOverlap="1" wp14:anchorId="5AE6DFD2" wp14:editId="5148118E">
            <wp:simplePos x="0" y="0"/>
            <wp:positionH relativeFrom="column">
              <wp:posOffset>-502285</wp:posOffset>
            </wp:positionH>
            <wp:positionV relativeFrom="paragraph">
              <wp:posOffset>0</wp:posOffset>
            </wp:positionV>
            <wp:extent cx="2240915" cy="14033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40915" cy="140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5B8EBF" w14:textId="77777777" w:rsidR="00F24A09" w:rsidRDefault="00F24A09" w:rsidP="00F978F1">
      <w:pPr>
        <w:jc w:val="center"/>
        <w:rPr>
          <w:rFonts w:ascii="Arial" w:eastAsia="Arial Nova" w:hAnsi="Arial" w:cs="Arial"/>
          <w:sz w:val="56"/>
          <w:szCs w:val="56"/>
        </w:rPr>
      </w:pPr>
    </w:p>
    <w:p w14:paraId="100FA3BB" w14:textId="77777777" w:rsidR="00F24A09" w:rsidRDefault="00F24A09" w:rsidP="00F978F1">
      <w:pPr>
        <w:jc w:val="center"/>
        <w:rPr>
          <w:rFonts w:ascii="Arial" w:eastAsia="Arial Nova" w:hAnsi="Arial" w:cs="Arial"/>
          <w:sz w:val="56"/>
          <w:szCs w:val="56"/>
        </w:rPr>
      </w:pPr>
    </w:p>
    <w:p w14:paraId="5412BD37" w14:textId="77777777" w:rsidR="00AD2960" w:rsidRDefault="00AD2960" w:rsidP="00F978F1">
      <w:pPr>
        <w:jc w:val="center"/>
        <w:rPr>
          <w:rFonts w:ascii="Arial" w:eastAsia="Arial Nova" w:hAnsi="Arial" w:cs="Arial"/>
          <w:sz w:val="56"/>
          <w:szCs w:val="56"/>
        </w:rPr>
      </w:pPr>
    </w:p>
    <w:p w14:paraId="6D7C5599" w14:textId="77777777" w:rsidR="00AD2960" w:rsidRDefault="00AD2960" w:rsidP="00F978F1">
      <w:pPr>
        <w:jc w:val="center"/>
        <w:rPr>
          <w:rFonts w:ascii="Arial" w:eastAsia="Arial Nova" w:hAnsi="Arial" w:cs="Arial"/>
          <w:sz w:val="56"/>
          <w:szCs w:val="56"/>
        </w:rPr>
      </w:pPr>
    </w:p>
    <w:p w14:paraId="2763D8ED" w14:textId="77777777" w:rsidR="00AD2960" w:rsidRDefault="00AD2960" w:rsidP="00F978F1">
      <w:pPr>
        <w:jc w:val="center"/>
        <w:rPr>
          <w:rFonts w:ascii="Arial" w:eastAsia="Arial Nova" w:hAnsi="Arial" w:cs="Arial"/>
          <w:sz w:val="56"/>
          <w:szCs w:val="56"/>
        </w:rPr>
      </w:pPr>
    </w:p>
    <w:p w14:paraId="479FED77" w14:textId="77777777" w:rsidR="00F24A09" w:rsidRDefault="00F24A09" w:rsidP="00F978F1">
      <w:pPr>
        <w:jc w:val="center"/>
        <w:rPr>
          <w:rFonts w:ascii="Arial" w:eastAsia="Arial Nova" w:hAnsi="Arial" w:cs="Arial"/>
          <w:sz w:val="56"/>
          <w:szCs w:val="56"/>
        </w:rPr>
      </w:pPr>
    </w:p>
    <w:p w14:paraId="422DE827" w14:textId="4308E758" w:rsidR="00F978F1" w:rsidRPr="00E44717" w:rsidRDefault="00F978F1" w:rsidP="007B1E4B">
      <w:pPr>
        <w:spacing w:line="360" w:lineRule="auto"/>
        <w:jc w:val="center"/>
        <w:rPr>
          <w:rFonts w:ascii="Arial" w:eastAsia="Arial Nova" w:hAnsi="Arial" w:cs="Arial"/>
          <w:b/>
          <w:bCs/>
          <w:sz w:val="56"/>
          <w:szCs w:val="56"/>
        </w:rPr>
      </w:pPr>
      <w:r w:rsidRPr="00E44717">
        <w:rPr>
          <w:rFonts w:ascii="Arial" w:eastAsia="Arial Nova" w:hAnsi="Arial" w:cs="Arial"/>
          <w:b/>
          <w:bCs/>
          <w:sz w:val="56"/>
          <w:szCs w:val="56"/>
        </w:rPr>
        <w:t>Cover Page</w:t>
      </w:r>
    </w:p>
    <w:p w14:paraId="763009E4" w14:textId="77777777"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Name - Sameena Shahban</w:t>
      </w:r>
    </w:p>
    <w:p w14:paraId="2BF854FC" w14:textId="77777777"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Student number – 2325941</w:t>
      </w:r>
    </w:p>
    <w:p w14:paraId="402063D7" w14:textId="600B7856"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Digital Transformation in Health and care professions</w:t>
      </w:r>
    </w:p>
    <w:p w14:paraId="034718A1" w14:textId="11C77CFC"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BMHP6026</w:t>
      </w:r>
    </w:p>
    <w:p w14:paraId="5988928E" w14:textId="0AE898B6"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Component 1</w:t>
      </w:r>
      <w:r w:rsidR="007A05A4">
        <w:rPr>
          <w:rFonts w:ascii="Arial" w:eastAsia="Arial Nova" w:hAnsi="Arial" w:cs="Arial"/>
          <w:b/>
          <w:bCs/>
          <w:sz w:val="52"/>
          <w:szCs w:val="52"/>
        </w:rPr>
        <w:t xml:space="preserve"> written report </w:t>
      </w:r>
    </w:p>
    <w:p w14:paraId="676B4906" w14:textId="1525D5C2" w:rsidR="00F978F1" w:rsidRPr="00E44717" w:rsidRDefault="00F978F1" w:rsidP="007B1E4B">
      <w:pPr>
        <w:spacing w:line="360" w:lineRule="auto"/>
        <w:jc w:val="center"/>
        <w:rPr>
          <w:rFonts w:ascii="Arial" w:eastAsia="Arial Nova" w:hAnsi="Arial" w:cs="Arial"/>
          <w:b/>
          <w:bCs/>
          <w:sz w:val="52"/>
          <w:szCs w:val="52"/>
        </w:rPr>
      </w:pPr>
      <w:r w:rsidRPr="00E44717">
        <w:rPr>
          <w:rFonts w:ascii="Arial" w:eastAsia="Arial Nova" w:hAnsi="Arial" w:cs="Arial"/>
          <w:b/>
          <w:bCs/>
          <w:sz w:val="52"/>
          <w:szCs w:val="52"/>
        </w:rPr>
        <w:t>Lecturer – Joanne Davies</w:t>
      </w:r>
    </w:p>
    <w:p w14:paraId="73F927DD" w14:textId="77777777" w:rsidR="007974EE" w:rsidRPr="00E44717" w:rsidRDefault="007974EE">
      <w:pPr>
        <w:rPr>
          <w:b/>
          <w:bCs/>
        </w:rPr>
      </w:pPr>
    </w:p>
    <w:p w14:paraId="24A50D1E" w14:textId="77777777" w:rsidR="00F24A09" w:rsidRPr="00E44717" w:rsidRDefault="00F24A09">
      <w:pPr>
        <w:rPr>
          <w:b/>
          <w:bCs/>
        </w:rPr>
      </w:pPr>
    </w:p>
    <w:p w14:paraId="55380288" w14:textId="77777777" w:rsidR="00F24A09" w:rsidRPr="00E44717" w:rsidRDefault="00F24A09">
      <w:pPr>
        <w:rPr>
          <w:b/>
          <w:bCs/>
        </w:rPr>
      </w:pPr>
    </w:p>
    <w:p w14:paraId="26F67132" w14:textId="77777777" w:rsidR="00F24A09" w:rsidRPr="00E44717" w:rsidRDefault="00F24A09">
      <w:pPr>
        <w:rPr>
          <w:b/>
          <w:bCs/>
        </w:rPr>
      </w:pPr>
    </w:p>
    <w:p w14:paraId="3A0DA7A8" w14:textId="77777777" w:rsidR="00F24A09" w:rsidRDefault="00F24A09">
      <w:pPr>
        <w:rPr>
          <w:b/>
          <w:bCs/>
        </w:rPr>
      </w:pPr>
    </w:p>
    <w:p w14:paraId="03913981" w14:textId="77777777" w:rsidR="004605A0" w:rsidRPr="00E44717" w:rsidRDefault="004605A0">
      <w:pPr>
        <w:rPr>
          <w:b/>
          <w:bCs/>
        </w:rPr>
      </w:pPr>
    </w:p>
    <w:p w14:paraId="5C44E7F2" w14:textId="77777777" w:rsidR="00F24A09" w:rsidRPr="00E44717" w:rsidRDefault="00F24A09">
      <w:pPr>
        <w:rPr>
          <w:b/>
          <w:bCs/>
        </w:rPr>
      </w:pPr>
    </w:p>
    <w:p w14:paraId="70AB9D81" w14:textId="53D3E9F4" w:rsidR="00F24A09" w:rsidRPr="00CE0CBE" w:rsidRDefault="00F24A09" w:rsidP="00AD2960">
      <w:pPr>
        <w:jc w:val="both"/>
        <w:rPr>
          <w:rFonts w:ascii="Arial" w:hAnsi="Arial" w:cs="Arial"/>
          <w:b/>
          <w:bCs/>
          <w:sz w:val="40"/>
          <w:szCs w:val="40"/>
        </w:rPr>
      </w:pPr>
      <w:r w:rsidRPr="00CE0CBE">
        <w:rPr>
          <w:rFonts w:ascii="Arial" w:hAnsi="Arial" w:cs="Arial"/>
          <w:b/>
          <w:bCs/>
          <w:sz w:val="40"/>
          <w:szCs w:val="40"/>
        </w:rPr>
        <w:lastRenderedPageBreak/>
        <w:t xml:space="preserve">Contents page </w:t>
      </w:r>
    </w:p>
    <w:p w14:paraId="202763EA" w14:textId="71B31964"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Introduction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677DD4">
        <w:rPr>
          <w:rStyle w:val="Strong"/>
          <w:rFonts w:ascii="Arial" w:eastAsiaTheme="majorEastAsia" w:hAnsi="Arial" w:cs="Arial"/>
          <w:b w:val="0"/>
          <w:bCs w:val="0"/>
          <w:color w:val="0F1115"/>
          <w:sz w:val="22"/>
          <w:szCs w:val="22"/>
        </w:rPr>
        <w:t>.</w:t>
      </w:r>
      <w:r w:rsidR="00DA0D98">
        <w:rPr>
          <w:rStyle w:val="Strong"/>
          <w:rFonts w:ascii="Arial" w:eastAsiaTheme="majorEastAsia" w:hAnsi="Arial" w:cs="Arial"/>
          <w:b w:val="0"/>
          <w:bCs w:val="0"/>
          <w:color w:val="0F1115"/>
          <w:sz w:val="22"/>
          <w:szCs w:val="22"/>
        </w:rPr>
        <w:t>.</w:t>
      </w:r>
      <w:r w:rsidR="00283CBF">
        <w:rPr>
          <w:rStyle w:val="Strong"/>
          <w:rFonts w:ascii="Arial" w:eastAsiaTheme="majorEastAsia" w:hAnsi="Arial" w:cs="Arial"/>
          <w:b w:val="0"/>
          <w:bCs w:val="0"/>
          <w:color w:val="0F1115"/>
          <w:sz w:val="22"/>
          <w:szCs w:val="22"/>
        </w:rPr>
        <w:t>3</w:t>
      </w:r>
      <w:r w:rsidR="00394FE2">
        <w:rPr>
          <w:rStyle w:val="Strong"/>
          <w:rFonts w:ascii="Arial" w:eastAsiaTheme="majorEastAsia" w:hAnsi="Arial" w:cs="Arial"/>
          <w:b w:val="0"/>
          <w:bCs w:val="0"/>
          <w:color w:val="0F1115"/>
          <w:sz w:val="22"/>
          <w:szCs w:val="22"/>
        </w:rPr>
        <w:t>-4</w:t>
      </w:r>
    </w:p>
    <w:p w14:paraId="2230D855" w14:textId="3BED2848"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Impact on Patients / Service Users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394FE2">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394FE2">
        <w:rPr>
          <w:rStyle w:val="Strong"/>
          <w:rFonts w:ascii="Arial" w:eastAsiaTheme="majorEastAsia" w:hAnsi="Arial" w:cs="Arial"/>
          <w:b w:val="0"/>
          <w:bCs w:val="0"/>
          <w:color w:val="0F1115"/>
          <w:sz w:val="22"/>
          <w:szCs w:val="22"/>
        </w:rPr>
        <w:t>4-</w:t>
      </w:r>
      <w:r w:rsidR="00283CBF">
        <w:rPr>
          <w:rStyle w:val="Strong"/>
          <w:rFonts w:ascii="Arial" w:eastAsiaTheme="majorEastAsia" w:hAnsi="Arial" w:cs="Arial"/>
          <w:b w:val="0"/>
          <w:bCs w:val="0"/>
          <w:color w:val="0F1115"/>
          <w:sz w:val="22"/>
          <w:szCs w:val="22"/>
        </w:rPr>
        <w:t>5</w:t>
      </w:r>
    </w:p>
    <w:p w14:paraId="46E803EE" w14:textId="43A036E6"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Impact on Workforce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677DD4">
        <w:rPr>
          <w:rStyle w:val="Strong"/>
          <w:rFonts w:ascii="Arial" w:eastAsiaTheme="majorEastAsia" w:hAnsi="Arial" w:cs="Arial"/>
          <w:b w:val="0"/>
          <w:bCs w:val="0"/>
          <w:color w:val="0F1115"/>
          <w:sz w:val="22"/>
          <w:szCs w:val="22"/>
        </w:rPr>
        <w:t>.</w:t>
      </w:r>
      <w:r w:rsidR="00E35139">
        <w:rPr>
          <w:rStyle w:val="Strong"/>
          <w:rFonts w:ascii="Arial" w:eastAsiaTheme="majorEastAsia" w:hAnsi="Arial" w:cs="Arial"/>
          <w:b w:val="0"/>
          <w:bCs w:val="0"/>
          <w:color w:val="0F1115"/>
          <w:sz w:val="22"/>
          <w:szCs w:val="22"/>
        </w:rPr>
        <w:t>6</w:t>
      </w:r>
      <w:r w:rsidR="00283CBF">
        <w:rPr>
          <w:rStyle w:val="Strong"/>
          <w:rFonts w:ascii="Arial" w:eastAsiaTheme="majorEastAsia" w:hAnsi="Arial" w:cs="Arial"/>
          <w:b w:val="0"/>
          <w:bCs w:val="0"/>
          <w:color w:val="0F1115"/>
          <w:sz w:val="22"/>
          <w:szCs w:val="22"/>
        </w:rPr>
        <w:t>-7</w:t>
      </w:r>
    </w:p>
    <w:p w14:paraId="4DEB8D23" w14:textId="008EDCDD"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Barriers to Implementation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1C0599">
        <w:rPr>
          <w:rStyle w:val="Strong"/>
          <w:rFonts w:ascii="Arial" w:eastAsiaTheme="majorEastAsia" w:hAnsi="Arial" w:cs="Arial"/>
          <w:b w:val="0"/>
          <w:bCs w:val="0"/>
          <w:color w:val="0F1115"/>
          <w:sz w:val="22"/>
          <w:szCs w:val="22"/>
        </w:rPr>
        <w:t>.</w:t>
      </w:r>
      <w:r w:rsidR="00677DD4">
        <w:rPr>
          <w:rStyle w:val="Strong"/>
          <w:rFonts w:ascii="Arial" w:eastAsiaTheme="majorEastAsia" w:hAnsi="Arial" w:cs="Arial"/>
          <w:b w:val="0"/>
          <w:bCs w:val="0"/>
          <w:color w:val="0F1115"/>
          <w:sz w:val="22"/>
          <w:szCs w:val="22"/>
        </w:rPr>
        <w:t>.</w:t>
      </w:r>
      <w:r w:rsidR="00F8588F">
        <w:rPr>
          <w:rStyle w:val="Strong"/>
          <w:rFonts w:ascii="Arial" w:eastAsiaTheme="majorEastAsia" w:hAnsi="Arial" w:cs="Arial"/>
          <w:b w:val="0"/>
          <w:bCs w:val="0"/>
          <w:color w:val="0F1115"/>
          <w:sz w:val="22"/>
          <w:szCs w:val="22"/>
        </w:rPr>
        <w:t>8</w:t>
      </w:r>
      <w:r w:rsidR="00976CA9">
        <w:rPr>
          <w:rStyle w:val="Strong"/>
          <w:rFonts w:ascii="Arial" w:eastAsiaTheme="majorEastAsia" w:hAnsi="Arial" w:cs="Arial"/>
          <w:b w:val="0"/>
          <w:bCs w:val="0"/>
          <w:color w:val="0F1115"/>
          <w:sz w:val="22"/>
          <w:szCs w:val="22"/>
        </w:rPr>
        <w:t>-9</w:t>
      </w:r>
    </w:p>
    <w:p w14:paraId="60926316" w14:textId="6AF26F54"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Conclusion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4605A0">
        <w:rPr>
          <w:rStyle w:val="Strong"/>
          <w:rFonts w:ascii="Arial" w:eastAsiaTheme="majorEastAsia" w:hAnsi="Arial" w:cs="Arial"/>
          <w:b w:val="0"/>
          <w:bCs w:val="0"/>
          <w:color w:val="0F1115"/>
          <w:sz w:val="22"/>
          <w:szCs w:val="22"/>
        </w:rPr>
        <w:t>9</w:t>
      </w:r>
    </w:p>
    <w:p w14:paraId="6AF027FE" w14:textId="3BAB3CD4"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Recommendations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DA0D98">
        <w:rPr>
          <w:rStyle w:val="Strong"/>
          <w:rFonts w:ascii="Arial" w:eastAsiaTheme="majorEastAsia" w:hAnsi="Arial" w:cs="Arial"/>
          <w:b w:val="0"/>
          <w:bCs w:val="0"/>
          <w:color w:val="0F1115"/>
          <w:sz w:val="22"/>
          <w:szCs w:val="22"/>
        </w:rPr>
        <w:t>.</w:t>
      </w:r>
      <w:r w:rsidR="006063BD">
        <w:rPr>
          <w:rStyle w:val="Strong"/>
          <w:rFonts w:ascii="Arial" w:eastAsiaTheme="majorEastAsia" w:hAnsi="Arial" w:cs="Arial"/>
          <w:b w:val="0"/>
          <w:bCs w:val="0"/>
          <w:color w:val="0F1115"/>
          <w:sz w:val="22"/>
          <w:szCs w:val="22"/>
        </w:rPr>
        <w:t>10</w:t>
      </w:r>
    </w:p>
    <w:p w14:paraId="1A3B35C9" w14:textId="212815A8" w:rsidR="00215ACA" w:rsidRPr="00CE0CBE" w:rsidRDefault="00215ACA" w:rsidP="00AD2960">
      <w:pPr>
        <w:pStyle w:val="ds-markdown-paragraph"/>
        <w:spacing w:before="240" w:beforeAutospacing="0" w:after="240" w:afterAutospacing="0" w:line="360" w:lineRule="auto"/>
        <w:jc w:val="both"/>
        <w:rPr>
          <w:rFonts w:ascii="Arial" w:hAnsi="Arial" w:cs="Arial"/>
          <w:color w:val="0F1115"/>
          <w:sz w:val="22"/>
          <w:szCs w:val="22"/>
        </w:rPr>
      </w:pPr>
      <w:r w:rsidRPr="00CE0CBE">
        <w:rPr>
          <w:rStyle w:val="Strong"/>
          <w:rFonts w:ascii="Arial" w:eastAsiaTheme="majorEastAsia" w:hAnsi="Arial" w:cs="Arial"/>
          <w:b w:val="0"/>
          <w:bCs w:val="0"/>
          <w:color w:val="0F1115"/>
          <w:sz w:val="22"/>
          <w:szCs w:val="22"/>
        </w:rPr>
        <w:t>Reference List .........................................................................................................</w:t>
      </w:r>
      <w:r w:rsidR="00BF505B">
        <w:rPr>
          <w:rStyle w:val="Strong"/>
          <w:rFonts w:ascii="Arial" w:eastAsiaTheme="majorEastAsia" w:hAnsi="Arial" w:cs="Arial"/>
          <w:b w:val="0"/>
          <w:bCs w:val="0"/>
          <w:color w:val="0F1115"/>
          <w:sz w:val="22"/>
          <w:szCs w:val="22"/>
        </w:rPr>
        <w:t>....</w:t>
      </w:r>
      <w:r w:rsidRPr="00CE0CBE">
        <w:rPr>
          <w:rStyle w:val="Strong"/>
          <w:rFonts w:ascii="Arial" w:eastAsiaTheme="majorEastAsia" w:hAnsi="Arial" w:cs="Arial"/>
          <w:b w:val="0"/>
          <w:bCs w:val="0"/>
          <w:color w:val="0F1115"/>
          <w:sz w:val="22"/>
          <w:szCs w:val="22"/>
        </w:rPr>
        <w:t>...</w:t>
      </w:r>
      <w:r w:rsidR="00DA0D98">
        <w:rPr>
          <w:rStyle w:val="Strong"/>
          <w:rFonts w:ascii="Arial" w:eastAsiaTheme="majorEastAsia" w:hAnsi="Arial" w:cs="Arial"/>
          <w:b w:val="0"/>
          <w:bCs w:val="0"/>
          <w:color w:val="0F1115"/>
          <w:sz w:val="22"/>
          <w:szCs w:val="22"/>
        </w:rPr>
        <w:t>.</w:t>
      </w:r>
      <w:r w:rsidR="00741B65">
        <w:rPr>
          <w:rStyle w:val="Strong"/>
          <w:rFonts w:ascii="Arial" w:eastAsiaTheme="majorEastAsia" w:hAnsi="Arial" w:cs="Arial"/>
          <w:b w:val="0"/>
          <w:bCs w:val="0"/>
          <w:color w:val="0F1115"/>
          <w:sz w:val="22"/>
          <w:szCs w:val="22"/>
        </w:rPr>
        <w:t>1</w:t>
      </w:r>
      <w:r w:rsidR="006063BD">
        <w:rPr>
          <w:rStyle w:val="Strong"/>
          <w:rFonts w:ascii="Arial" w:eastAsiaTheme="majorEastAsia" w:hAnsi="Arial" w:cs="Arial"/>
          <w:b w:val="0"/>
          <w:bCs w:val="0"/>
          <w:color w:val="0F1115"/>
          <w:sz w:val="22"/>
          <w:szCs w:val="22"/>
        </w:rPr>
        <w:t>1</w:t>
      </w:r>
      <w:r w:rsidR="00741B65">
        <w:rPr>
          <w:rStyle w:val="Strong"/>
          <w:rFonts w:ascii="Arial" w:eastAsiaTheme="majorEastAsia" w:hAnsi="Arial" w:cs="Arial"/>
          <w:b w:val="0"/>
          <w:bCs w:val="0"/>
          <w:color w:val="0F1115"/>
          <w:sz w:val="22"/>
          <w:szCs w:val="22"/>
        </w:rPr>
        <w:t>-</w:t>
      </w:r>
      <w:r w:rsidR="00C77709">
        <w:rPr>
          <w:rStyle w:val="Strong"/>
          <w:rFonts w:ascii="Arial" w:eastAsiaTheme="majorEastAsia" w:hAnsi="Arial" w:cs="Arial"/>
          <w:b w:val="0"/>
          <w:bCs w:val="0"/>
          <w:color w:val="0F1115"/>
          <w:sz w:val="22"/>
          <w:szCs w:val="22"/>
        </w:rPr>
        <w:t>1</w:t>
      </w:r>
      <w:r w:rsidR="00FF382E">
        <w:rPr>
          <w:rStyle w:val="Strong"/>
          <w:rFonts w:ascii="Arial" w:eastAsiaTheme="majorEastAsia" w:hAnsi="Arial" w:cs="Arial"/>
          <w:b w:val="0"/>
          <w:bCs w:val="0"/>
          <w:color w:val="0F1115"/>
          <w:sz w:val="22"/>
          <w:szCs w:val="22"/>
        </w:rPr>
        <w:t>3</w:t>
      </w:r>
    </w:p>
    <w:p w14:paraId="52BBCFC1" w14:textId="77777777" w:rsidR="00215ACA" w:rsidRPr="00CE0CBE" w:rsidRDefault="00215ACA" w:rsidP="00AD2960">
      <w:pPr>
        <w:spacing w:line="360" w:lineRule="auto"/>
        <w:jc w:val="both"/>
        <w:rPr>
          <w:rFonts w:ascii="Arial" w:hAnsi="Arial" w:cs="Arial"/>
          <w:sz w:val="22"/>
          <w:szCs w:val="22"/>
        </w:rPr>
      </w:pPr>
    </w:p>
    <w:p w14:paraId="6BE5627C" w14:textId="77777777" w:rsidR="00F24A09" w:rsidRDefault="00F24A09" w:rsidP="00AD2960">
      <w:pPr>
        <w:jc w:val="both"/>
        <w:rPr>
          <w:rFonts w:ascii="Arial" w:hAnsi="Arial" w:cs="Arial"/>
          <w:sz w:val="40"/>
          <w:szCs w:val="40"/>
        </w:rPr>
      </w:pPr>
    </w:p>
    <w:p w14:paraId="5194F947" w14:textId="77777777" w:rsidR="00F24A09" w:rsidRDefault="00F24A09">
      <w:pPr>
        <w:rPr>
          <w:rFonts w:ascii="Arial" w:hAnsi="Arial" w:cs="Arial"/>
          <w:sz w:val="40"/>
          <w:szCs w:val="40"/>
        </w:rPr>
      </w:pPr>
    </w:p>
    <w:p w14:paraId="422D09D3" w14:textId="77777777" w:rsidR="00F24A09" w:rsidRDefault="00F24A09">
      <w:pPr>
        <w:rPr>
          <w:rFonts w:ascii="Arial" w:hAnsi="Arial" w:cs="Arial"/>
          <w:sz w:val="40"/>
          <w:szCs w:val="40"/>
        </w:rPr>
      </w:pPr>
    </w:p>
    <w:p w14:paraId="7D0D5F7D" w14:textId="77777777" w:rsidR="00F24A09" w:rsidRDefault="00F24A09">
      <w:pPr>
        <w:rPr>
          <w:rFonts w:ascii="Arial" w:hAnsi="Arial" w:cs="Arial"/>
          <w:sz w:val="40"/>
          <w:szCs w:val="40"/>
        </w:rPr>
      </w:pPr>
    </w:p>
    <w:p w14:paraId="1BA2781D" w14:textId="77777777" w:rsidR="00F24A09" w:rsidRDefault="00F24A09">
      <w:pPr>
        <w:rPr>
          <w:rFonts w:ascii="Arial" w:hAnsi="Arial" w:cs="Arial"/>
          <w:sz w:val="40"/>
          <w:szCs w:val="40"/>
        </w:rPr>
      </w:pPr>
    </w:p>
    <w:p w14:paraId="281D1702" w14:textId="77777777" w:rsidR="00F24A09" w:rsidRDefault="00F24A09">
      <w:pPr>
        <w:rPr>
          <w:rFonts w:ascii="Arial" w:hAnsi="Arial" w:cs="Arial"/>
          <w:sz w:val="40"/>
          <w:szCs w:val="40"/>
        </w:rPr>
      </w:pPr>
    </w:p>
    <w:p w14:paraId="04178C96" w14:textId="77777777" w:rsidR="00F24A09" w:rsidRDefault="00F24A09">
      <w:pPr>
        <w:rPr>
          <w:rFonts w:ascii="Arial" w:hAnsi="Arial" w:cs="Arial"/>
          <w:sz w:val="40"/>
          <w:szCs w:val="40"/>
        </w:rPr>
      </w:pPr>
    </w:p>
    <w:p w14:paraId="3AA3163C" w14:textId="77777777" w:rsidR="00F24A09" w:rsidRDefault="00F24A09">
      <w:pPr>
        <w:rPr>
          <w:rFonts w:ascii="Arial" w:hAnsi="Arial" w:cs="Arial"/>
          <w:sz w:val="40"/>
          <w:szCs w:val="40"/>
        </w:rPr>
      </w:pPr>
    </w:p>
    <w:p w14:paraId="0A402BCA" w14:textId="77777777" w:rsidR="00F24A09" w:rsidRDefault="00F24A09">
      <w:pPr>
        <w:rPr>
          <w:rFonts w:ascii="Arial" w:hAnsi="Arial" w:cs="Arial"/>
          <w:sz w:val="40"/>
          <w:szCs w:val="40"/>
        </w:rPr>
      </w:pPr>
    </w:p>
    <w:p w14:paraId="041616B0" w14:textId="536F5A59" w:rsidR="00F24A09" w:rsidRDefault="00F24A09">
      <w:pPr>
        <w:rPr>
          <w:rFonts w:ascii="Arial" w:hAnsi="Arial" w:cs="Arial"/>
          <w:sz w:val="40"/>
          <w:szCs w:val="40"/>
        </w:rPr>
      </w:pPr>
    </w:p>
    <w:p w14:paraId="2465D79B" w14:textId="77777777" w:rsidR="00AD2960" w:rsidRDefault="00AD2960" w:rsidP="006F23BB">
      <w:pPr>
        <w:rPr>
          <w:rFonts w:ascii="Segoe UI" w:hAnsi="Segoe UI" w:cs="Segoe UI"/>
          <w:color w:val="0F1115"/>
        </w:rPr>
      </w:pPr>
    </w:p>
    <w:p w14:paraId="3F0526F0" w14:textId="77777777" w:rsidR="004605A0" w:rsidRDefault="004605A0" w:rsidP="006F23BB">
      <w:pPr>
        <w:rPr>
          <w:rFonts w:ascii="Segoe UI" w:hAnsi="Segoe UI" w:cs="Segoe UI"/>
          <w:color w:val="0F1115"/>
        </w:rPr>
      </w:pPr>
    </w:p>
    <w:p w14:paraId="5BA0EFF5" w14:textId="77777777" w:rsidR="004605A0" w:rsidRDefault="004605A0" w:rsidP="006F23BB">
      <w:pPr>
        <w:rPr>
          <w:rFonts w:ascii="Segoe UI" w:hAnsi="Segoe UI" w:cs="Segoe UI"/>
          <w:color w:val="0F1115"/>
        </w:rPr>
      </w:pPr>
    </w:p>
    <w:p w14:paraId="6BB6179F" w14:textId="77777777" w:rsidR="004605A0" w:rsidRDefault="004605A0" w:rsidP="006F23BB">
      <w:pPr>
        <w:rPr>
          <w:rFonts w:ascii="Segoe UI" w:hAnsi="Segoe UI" w:cs="Segoe UI"/>
          <w:color w:val="0F1115"/>
        </w:rPr>
      </w:pPr>
    </w:p>
    <w:p w14:paraId="54ED5202" w14:textId="77777777" w:rsidR="0030296F" w:rsidRDefault="0030296F" w:rsidP="006F23BB">
      <w:pPr>
        <w:rPr>
          <w:rFonts w:ascii="Segoe UI" w:hAnsi="Segoe UI" w:cs="Segoe UI"/>
          <w:color w:val="0F1115"/>
        </w:rPr>
      </w:pPr>
    </w:p>
    <w:p w14:paraId="13A7873B" w14:textId="77777777" w:rsidR="004605A0" w:rsidRDefault="004605A0" w:rsidP="006F23BB">
      <w:pPr>
        <w:rPr>
          <w:rFonts w:ascii="Segoe UI" w:hAnsi="Segoe UI" w:cs="Segoe UI"/>
          <w:color w:val="0F1115"/>
        </w:rPr>
      </w:pPr>
    </w:p>
    <w:p w14:paraId="798ACAA2" w14:textId="77777777" w:rsidR="004605A0" w:rsidRDefault="004605A0" w:rsidP="006F23BB">
      <w:pPr>
        <w:rPr>
          <w:rFonts w:ascii="Segoe UI" w:hAnsi="Segoe UI" w:cs="Segoe UI"/>
          <w:color w:val="0F1115"/>
        </w:rPr>
      </w:pPr>
    </w:p>
    <w:p w14:paraId="1B8BEC45" w14:textId="77777777" w:rsidR="004605A0" w:rsidRDefault="004605A0" w:rsidP="006F23BB">
      <w:pPr>
        <w:rPr>
          <w:rFonts w:ascii="Segoe UI" w:hAnsi="Segoe UI" w:cs="Segoe UI"/>
          <w:color w:val="0F1115"/>
        </w:rPr>
      </w:pPr>
    </w:p>
    <w:p w14:paraId="358B794F" w14:textId="77777777" w:rsidR="00F24A09" w:rsidRDefault="00F24A09">
      <w:pPr>
        <w:rPr>
          <w:rFonts w:ascii="Arial" w:hAnsi="Arial" w:cs="Arial"/>
          <w:sz w:val="40"/>
          <w:szCs w:val="40"/>
        </w:rPr>
      </w:pPr>
    </w:p>
    <w:p w14:paraId="3A98AD13" w14:textId="77777777" w:rsidR="00950AC2" w:rsidRPr="0030296F" w:rsidRDefault="00950AC2" w:rsidP="00AF7115">
      <w:pPr>
        <w:spacing w:before="100" w:beforeAutospacing="1" w:after="100" w:afterAutospacing="1" w:line="360" w:lineRule="auto"/>
        <w:jc w:val="both"/>
        <w:outlineLvl w:val="0"/>
        <w:rPr>
          <w:rFonts w:ascii="Arial" w:hAnsi="Arial" w:cs="Arial"/>
          <w:b/>
          <w:bCs/>
          <w:color w:val="000000"/>
          <w:kern w:val="36"/>
          <w:sz w:val="36"/>
          <w:szCs w:val="36"/>
        </w:rPr>
      </w:pPr>
      <w:proofErr w:type="spellStart"/>
      <w:r w:rsidRPr="0030296F">
        <w:rPr>
          <w:rFonts w:ascii="Arial" w:hAnsi="Arial" w:cs="Arial"/>
          <w:b/>
          <w:bCs/>
          <w:color w:val="000000"/>
          <w:kern w:val="36"/>
          <w:sz w:val="36"/>
          <w:szCs w:val="36"/>
        </w:rPr>
        <w:lastRenderedPageBreak/>
        <w:t>Oxevision</w:t>
      </w:r>
      <w:proofErr w:type="spellEnd"/>
      <w:r w:rsidRPr="0030296F">
        <w:rPr>
          <w:rFonts w:ascii="Arial" w:hAnsi="Arial" w:cs="Arial"/>
          <w:b/>
          <w:bCs/>
          <w:color w:val="000000"/>
          <w:kern w:val="36"/>
          <w:sz w:val="36"/>
          <w:szCs w:val="36"/>
        </w:rPr>
        <w:t>: A Critical Evaluation of its Impact on Patients and Workforce</w:t>
      </w:r>
    </w:p>
    <w:p w14:paraId="0E348899" w14:textId="77777777" w:rsidR="00950AC2" w:rsidRPr="0030296F"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30296F">
        <w:rPr>
          <w:rFonts w:ascii="Arial" w:hAnsi="Arial" w:cs="Arial"/>
          <w:b/>
          <w:bCs/>
          <w:color w:val="000000"/>
          <w:sz w:val="32"/>
          <w:szCs w:val="32"/>
        </w:rPr>
        <w:t>Introduction</w:t>
      </w:r>
    </w:p>
    <w:p w14:paraId="7073ACC2" w14:textId="750C3971" w:rsidR="00ED4BC5" w:rsidRPr="00AF7115" w:rsidRDefault="00950AC2" w:rsidP="00AF7115">
      <w:pPr>
        <w:spacing w:before="100" w:beforeAutospacing="1" w:after="100" w:afterAutospacing="1" w:line="360" w:lineRule="auto"/>
        <w:jc w:val="both"/>
        <w:rPr>
          <w:rFonts w:ascii="Arial" w:hAnsi="Arial" w:cs="Arial"/>
          <w:color w:val="000000"/>
          <w:sz w:val="22"/>
          <w:szCs w:val="22"/>
        </w:rPr>
      </w:pP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is a contact-free patient monitoring system developed by </w:t>
      </w:r>
      <w:proofErr w:type="spellStart"/>
      <w:r w:rsidRPr="00AF7115">
        <w:rPr>
          <w:rFonts w:ascii="Arial" w:hAnsi="Arial" w:cs="Arial"/>
          <w:color w:val="000000"/>
          <w:sz w:val="22"/>
          <w:szCs w:val="22"/>
        </w:rPr>
        <w:t>Oxehealth</w:t>
      </w:r>
      <w:proofErr w:type="spellEnd"/>
      <w:r w:rsidRPr="00AF7115">
        <w:rPr>
          <w:rFonts w:ascii="Arial" w:hAnsi="Arial" w:cs="Arial"/>
          <w:color w:val="000000"/>
          <w:sz w:val="22"/>
          <w:szCs w:val="22"/>
        </w:rPr>
        <w:t xml:space="preserve"> and introduced into UK mental health inpatient services within the last decade. Using infrared and digital imaging technology, it measures respiratory rate, pulse rate and movement without requiring wearable devices or direct contact</w:t>
      </w:r>
      <w:r w:rsidR="00F9304C" w:rsidRPr="00AF7115">
        <w:rPr>
          <w:rFonts w:ascii="Arial" w:hAnsi="Arial" w:cs="Arial"/>
          <w:color w:val="000000"/>
          <w:sz w:val="22"/>
          <w:szCs w:val="22"/>
        </w:rPr>
        <w:t xml:space="preserve"> (</w:t>
      </w:r>
      <w:proofErr w:type="spellStart"/>
      <w:r w:rsidR="00F9304C" w:rsidRPr="00AF7115">
        <w:rPr>
          <w:rFonts w:ascii="Arial" w:hAnsi="Arial" w:cs="Arial"/>
          <w:color w:val="000000"/>
          <w:sz w:val="22"/>
          <w:szCs w:val="22"/>
        </w:rPr>
        <w:t>Oxehealth</w:t>
      </w:r>
      <w:proofErr w:type="spellEnd"/>
      <w:r w:rsidR="00F9304C" w:rsidRPr="00AF7115">
        <w:rPr>
          <w:rFonts w:ascii="Arial" w:hAnsi="Arial" w:cs="Arial"/>
          <w:color w:val="000000"/>
          <w:sz w:val="22"/>
          <w:szCs w:val="22"/>
        </w:rPr>
        <w:t>, 2024).</w:t>
      </w:r>
      <w:r w:rsidR="005E7D2A" w:rsidRPr="00AF7115">
        <w:rPr>
          <w:rFonts w:ascii="Arial" w:hAnsi="Arial" w:cs="Arial"/>
          <w:color w:val="000000"/>
          <w:sz w:val="22"/>
          <w:szCs w:val="22"/>
        </w:rPr>
        <w:t xml:space="preserve"> </w:t>
      </w:r>
      <w:r w:rsidRPr="00AF7115">
        <w:rPr>
          <w:rFonts w:ascii="Arial" w:hAnsi="Arial" w:cs="Arial"/>
          <w:color w:val="000000"/>
          <w:sz w:val="22"/>
          <w:szCs w:val="22"/>
        </w:rPr>
        <w:t>The system is primarily implemented in mental health wards, where traditional night-time observations can disturb sleep and escalate distress.</w:t>
      </w:r>
    </w:p>
    <w:p w14:paraId="0B0CC5A9" w14:textId="77777777" w:rsidR="00A85694" w:rsidRPr="00AF7115" w:rsidRDefault="00ED4BC5"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noProof/>
          <w:sz w:val="22"/>
          <w:szCs w:val="22"/>
        </w:rPr>
        <w:drawing>
          <wp:inline distT="0" distB="0" distL="0" distR="0" wp14:anchorId="4BB9E8B0" wp14:editId="62644B83">
            <wp:extent cx="2369713" cy="1788634"/>
            <wp:effectExtent l="0" t="0" r="5715" b="2540"/>
            <wp:docPr id="789628157" name="Picture 1" descr="A purple wall with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28157" name="Picture 1" descr="A purple wall with lights&#10;&#10;AI-generated content may be incorrect."/>
                    <pic:cNvPicPr/>
                  </pic:nvPicPr>
                  <pic:blipFill>
                    <a:blip r:embed="rId9"/>
                    <a:stretch>
                      <a:fillRect/>
                    </a:stretch>
                  </pic:blipFill>
                  <pic:spPr>
                    <a:xfrm>
                      <a:off x="0" y="0"/>
                      <a:ext cx="2369713" cy="1788634"/>
                    </a:xfrm>
                    <a:prstGeom prst="rect">
                      <a:avLst/>
                    </a:prstGeom>
                  </pic:spPr>
                </pic:pic>
              </a:graphicData>
            </a:graphic>
          </wp:inline>
        </w:drawing>
      </w:r>
    </w:p>
    <w:p w14:paraId="714BDBE5" w14:textId="47CA346F" w:rsidR="00A85694" w:rsidRPr="00AF7115" w:rsidRDefault="00A85694" w:rsidP="00AF7115">
      <w:pPr>
        <w:spacing w:before="100" w:beforeAutospacing="1" w:after="100" w:afterAutospacing="1" w:line="360" w:lineRule="auto"/>
        <w:jc w:val="both"/>
        <w:rPr>
          <w:rFonts w:ascii="Arial" w:hAnsi="Arial" w:cs="Arial"/>
          <w:color w:val="0F1115"/>
          <w:sz w:val="22"/>
          <w:szCs w:val="22"/>
        </w:rPr>
      </w:pPr>
      <w:r w:rsidRPr="00AF7115">
        <w:rPr>
          <w:rFonts w:ascii="Arial" w:hAnsi="Arial" w:cs="Arial"/>
          <w:color w:val="0F1115"/>
          <w:sz w:val="22"/>
          <w:szCs w:val="22"/>
        </w:rPr>
        <w:t xml:space="preserve">Figure 1: </w:t>
      </w:r>
      <w:proofErr w:type="spellStart"/>
      <w:r w:rsidRPr="00AF7115">
        <w:rPr>
          <w:rFonts w:ascii="Arial" w:hAnsi="Arial" w:cs="Arial"/>
          <w:color w:val="0F1115"/>
          <w:sz w:val="22"/>
          <w:szCs w:val="22"/>
        </w:rPr>
        <w:t>Oxevision</w:t>
      </w:r>
      <w:proofErr w:type="spellEnd"/>
      <w:r w:rsidRPr="00AF7115">
        <w:rPr>
          <w:rFonts w:ascii="Arial" w:hAnsi="Arial" w:cs="Arial"/>
          <w:color w:val="0F1115"/>
          <w:sz w:val="22"/>
          <w:szCs w:val="22"/>
        </w:rPr>
        <w:t xml:space="preserve"> Monitor View (</w:t>
      </w:r>
      <w:r w:rsidR="00D23110" w:rsidRPr="00AF7115">
        <w:rPr>
          <w:rFonts w:ascii="Arial" w:hAnsi="Arial" w:cs="Arial"/>
          <w:color w:val="0F1115"/>
          <w:sz w:val="22"/>
          <w:szCs w:val="22"/>
        </w:rPr>
        <w:t>source</w:t>
      </w:r>
      <w:r w:rsidR="00AA1F0B" w:rsidRPr="00AF7115">
        <w:rPr>
          <w:rFonts w:ascii="Arial" w:hAnsi="Arial" w:cs="Arial"/>
          <w:color w:val="0F1115"/>
          <w:sz w:val="22"/>
          <w:szCs w:val="22"/>
        </w:rPr>
        <w:t xml:space="preserve">: </w:t>
      </w:r>
      <w:r w:rsidRPr="00AF7115">
        <w:rPr>
          <w:rFonts w:ascii="Arial" w:hAnsi="Arial" w:cs="Arial"/>
          <w:color w:val="0F1115"/>
          <w:sz w:val="22"/>
          <w:szCs w:val="22"/>
        </w:rPr>
        <w:t>Oxford Health NHS Foundation Trust, 2025)</w:t>
      </w:r>
    </w:p>
    <w:p w14:paraId="565BAB59" w14:textId="45166ACF" w:rsidR="007B1E4B" w:rsidRPr="00AF7115" w:rsidRDefault="00DC4264"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Style w:val="Strong"/>
          <w:rFonts w:ascii="Arial" w:eastAsiaTheme="majorEastAsia" w:hAnsi="Arial" w:cs="Arial"/>
          <w:b w:val="0"/>
          <w:bCs w:val="0"/>
          <w:color w:val="0F1115"/>
          <w:sz w:val="22"/>
          <w:szCs w:val="22"/>
        </w:rPr>
        <w:t>As shown in Figure 1, when staff respond to an alert, the image is intentionally blurred to protect patient privacy. This design feature attempts to balance the need for continuous safety monitoring with respect for patient dignity</w:t>
      </w:r>
      <w:r w:rsidR="004A20CD" w:rsidRPr="00AF7115">
        <w:rPr>
          <w:rStyle w:val="Strong"/>
          <w:rFonts w:ascii="Arial" w:eastAsiaTheme="majorEastAsia" w:hAnsi="Arial" w:cs="Arial"/>
          <w:b w:val="0"/>
          <w:bCs w:val="0"/>
          <w:color w:val="0F1115"/>
          <w:sz w:val="22"/>
          <w:szCs w:val="22"/>
        </w:rPr>
        <w:t xml:space="preserve">, </w:t>
      </w:r>
      <w:r w:rsidRPr="00AF7115">
        <w:rPr>
          <w:rStyle w:val="Strong"/>
          <w:rFonts w:ascii="Arial" w:eastAsiaTheme="majorEastAsia" w:hAnsi="Arial" w:cs="Arial"/>
          <w:b w:val="0"/>
          <w:bCs w:val="0"/>
          <w:color w:val="0F1115"/>
          <w:sz w:val="22"/>
          <w:szCs w:val="22"/>
        </w:rPr>
        <w:t>a central tension explored throughout this report.</w:t>
      </w:r>
    </w:p>
    <w:p w14:paraId="29762BA6" w14:textId="184B38B3"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The introduction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reflects broader NHS digital transformation policy. </w:t>
      </w:r>
      <w:r w:rsidRPr="00AF7115">
        <w:rPr>
          <w:rFonts w:ascii="Arial" w:hAnsi="Arial" w:cs="Arial"/>
          <w:i/>
          <w:iCs/>
          <w:color w:val="000000"/>
          <w:sz w:val="22"/>
          <w:szCs w:val="22"/>
        </w:rPr>
        <w:t>A plan for digital health and social care</w:t>
      </w:r>
      <w:r w:rsidR="00EE1DC6" w:rsidRPr="00AF7115">
        <w:rPr>
          <w:rFonts w:ascii="Arial" w:hAnsi="Arial" w:cs="Arial"/>
          <w:i/>
          <w:iCs/>
          <w:color w:val="000000"/>
          <w:sz w:val="22"/>
          <w:szCs w:val="22"/>
        </w:rPr>
        <w:t xml:space="preserve"> </w:t>
      </w:r>
      <w:r w:rsidRPr="00AF7115">
        <w:rPr>
          <w:rFonts w:ascii="Arial" w:hAnsi="Arial" w:cs="Arial"/>
          <w:color w:val="000000"/>
          <w:sz w:val="22"/>
          <w:szCs w:val="22"/>
        </w:rPr>
        <w:t>outlines ambitions to embed digital technologies to improve safety, productivity and personalised care (Department of Health and Social Care, 2022). This aligns with </w:t>
      </w:r>
      <w:r w:rsidRPr="00AF7115">
        <w:rPr>
          <w:rFonts w:ascii="Arial" w:hAnsi="Arial" w:cs="Arial"/>
          <w:i/>
          <w:iCs/>
          <w:color w:val="000000"/>
          <w:sz w:val="22"/>
          <w:szCs w:val="22"/>
        </w:rPr>
        <w:t>The NHS long term plan</w:t>
      </w:r>
      <w:r w:rsidRPr="00AF7115">
        <w:rPr>
          <w:rFonts w:ascii="Arial" w:hAnsi="Arial" w:cs="Arial"/>
          <w:color w:val="000000"/>
          <w:sz w:val="22"/>
          <w:szCs w:val="22"/>
        </w:rPr>
        <w:t>, which positions data and digital infrastructure as central to service sustainability (NHS England, 2019).</w:t>
      </w:r>
    </w:p>
    <w:p w14:paraId="35753DCC" w14:textId="51EEA62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can also be understood through the lens of Industry 4.0 and cyber-physical systems. Cyber-physical systems integrate physical environments with digital monitoring and real-time analytics. In this case, patient physiological states are digitally captured and </w:t>
      </w:r>
      <w:r w:rsidRPr="00AF7115">
        <w:rPr>
          <w:rFonts w:ascii="Arial" w:hAnsi="Arial" w:cs="Arial"/>
          <w:color w:val="000000"/>
          <w:sz w:val="22"/>
          <w:szCs w:val="22"/>
        </w:rPr>
        <w:lastRenderedPageBreak/>
        <w:t xml:space="preserve">processed to generate alerts for clinicians. This reflects the smart hospital model described by </w:t>
      </w:r>
      <w:proofErr w:type="spellStart"/>
      <w:r w:rsidRPr="00AF7115">
        <w:rPr>
          <w:rFonts w:ascii="Arial" w:hAnsi="Arial" w:cs="Arial"/>
          <w:color w:val="000000"/>
          <w:sz w:val="22"/>
          <w:szCs w:val="22"/>
        </w:rPr>
        <w:t>Kaldoudi</w:t>
      </w:r>
      <w:proofErr w:type="spellEnd"/>
      <w:r w:rsidRPr="00AF7115">
        <w:rPr>
          <w:rFonts w:ascii="Arial" w:hAnsi="Arial" w:cs="Arial"/>
          <w:color w:val="000000"/>
          <w:sz w:val="22"/>
          <w:szCs w:val="22"/>
        </w:rPr>
        <w:t xml:space="preserve"> (2024), where automation and analytics reshape healthcare delivery.</w:t>
      </w:r>
    </w:p>
    <w:p w14:paraId="6DD08151"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This report critically evaluates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by examining its impact on patient/service users and the workforce, while exploring ethical, legal and implementation barriers.</w:t>
      </w:r>
    </w:p>
    <w:p w14:paraId="10CD8751" w14:textId="77777777" w:rsidR="00950AC2" w:rsidRPr="0030296F"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30296F">
        <w:rPr>
          <w:rFonts w:ascii="Arial" w:hAnsi="Arial" w:cs="Arial"/>
          <w:b/>
          <w:bCs/>
          <w:color w:val="000000"/>
          <w:sz w:val="32"/>
          <w:szCs w:val="32"/>
        </w:rPr>
        <w:t>Impact on Patient / Service Users</w:t>
      </w:r>
    </w:p>
    <w:p w14:paraId="20B6A405" w14:textId="77777777" w:rsidR="00DC0E59" w:rsidRPr="00AF7115" w:rsidRDefault="00DC0E59" w:rsidP="00AF7115">
      <w:pPr>
        <w:spacing w:before="100" w:beforeAutospacing="1" w:after="100" w:afterAutospacing="1" w:line="360" w:lineRule="auto"/>
        <w:jc w:val="both"/>
        <w:rPr>
          <w:rFonts w:ascii="Arial" w:hAnsi="Arial" w:cs="Arial"/>
          <w:color w:val="000000"/>
          <w:sz w:val="22"/>
          <w:szCs w:val="22"/>
        </w:rPr>
      </w:pP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aims to enhance patient safety by enabling continuous monitoring without physical intrusion. Evidence suggests that vision-based monitoring can accurately measure physiological parameters in acute settings, supporting the potential for earlier detection of deterioration (Lewis et al., 2024). However, evidence specific to mental health inpatient contexts remains comparatively limited, highlighting the need for cautious generalisation. In mental health settings, where suicide and self-harm risk can fluctuate rapidly, continuous monitoring may support timely intervention.</w:t>
      </w:r>
    </w:p>
    <w:p w14:paraId="19BF269D" w14:textId="77777777"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The introduction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has also altered how observation practices are experienced by service users. Traditionally, night-time observations involve physical entry into bedrooms, use of torches and direct visual checks. While intended to enhance safety, these practices can interrupt sleep, heighten anxiety and reinforce a sense of restriction. Contact-free monitoring may therefore improve convenience and comfort by reducing repeated disturbance, particularly for patients admitted during periods of acute distress. Improved sleep quality is associated with better emotional regulation and recovery, suggesting potential indirect benefits for overall care quality.</w:t>
      </w:r>
    </w:p>
    <w:p w14:paraId="553923DC" w14:textId="5FE1ECCF"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In terms of access,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does not require patients to operate devices, apps or wearable </w:t>
      </w:r>
      <w:proofErr w:type="spellStart"/>
      <w:proofErr w:type="gramStart"/>
      <w:r w:rsidRPr="00AF7115">
        <w:rPr>
          <w:rFonts w:ascii="Arial" w:hAnsi="Arial" w:cs="Arial"/>
          <w:color w:val="000000"/>
          <w:sz w:val="22"/>
          <w:szCs w:val="22"/>
        </w:rPr>
        <w:t>technologies.This</w:t>
      </w:r>
      <w:proofErr w:type="spellEnd"/>
      <w:proofErr w:type="gramEnd"/>
      <w:r w:rsidRPr="00AF7115">
        <w:rPr>
          <w:rFonts w:ascii="Arial" w:hAnsi="Arial" w:cs="Arial"/>
          <w:color w:val="000000"/>
          <w:sz w:val="22"/>
          <w:szCs w:val="22"/>
        </w:rPr>
        <w:t xml:space="preserve"> is significant in mental health settings where digital literacy and engagement with digital technologies varies considerably (Lupton, 2017). Unlike many digital health tools that depend on patient interaction,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functions passively in the background. This reduces barriers linked to age, cognitive capacity or technological confidence. However, because the system operates without active patient control, it may also limit perceived agency. Service users may have minimal opportunity to influence how or when monitoring occurs, which raises questions regarding autonomy and informed participation in care.</w:t>
      </w:r>
    </w:p>
    <w:p w14:paraId="0C218C10" w14:textId="77777777"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Economic analysis across NHS trusts suggests potential cost savings and improved resource allocation (Buckley et al., 2024). However, as this evaluation was industry-funded, independent replication would strengthen confidence in the generalisability of the economic </w:t>
      </w:r>
      <w:r w:rsidRPr="00AF7115">
        <w:rPr>
          <w:rFonts w:ascii="Arial" w:hAnsi="Arial" w:cs="Arial"/>
          <w:color w:val="000000"/>
          <w:sz w:val="22"/>
          <w:szCs w:val="22"/>
        </w:rPr>
        <w:lastRenderedPageBreak/>
        <w:t>findings. For families and carers, enhanced monitoring may provide reassurance that inpatient safety is prioritised.</w:t>
      </w:r>
    </w:p>
    <w:p w14:paraId="7E06ECD1" w14:textId="1D7189AA"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However, continuous monitoring also raises ethical concerns. Under the Data Protection Act 2018, health data are classified as special category data requiring enhanced protection. The seven GDPR principles including lawfulness, fairness, transparency, purpose limitation, data minimisation, accuracy, storage limitation, integrity and confidentiality, and </w:t>
      </w:r>
      <w:r w:rsidR="009C2909" w:rsidRPr="00AF7115">
        <w:rPr>
          <w:rFonts w:ascii="Arial" w:hAnsi="Arial" w:cs="Arial"/>
          <w:color w:val="000000"/>
          <w:sz w:val="22"/>
          <w:szCs w:val="22"/>
        </w:rPr>
        <w:t>accountability are</w:t>
      </w:r>
      <w:r w:rsidRPr="00AF7115">
        <w:rPr>
          <w:rFonts w:ascii="Arial" w:hAnsi="Arial" w:cs="Arial"/>
          <w:color w:val="000000"/>
          <w:sz w:val="22"/>
          <w:szCs w:val="22"/>
        </w:rPr>
        <w:t xml:space="preserve"> directly relevant.</w:t>
      </w:r>
    </w:p>
    <w:p w14:paraId="6AB8182B" w14:textId="77777777"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Continuous data capture within private spaces may alter perceptions of dignity and autonomy. Digital technologies can reinforce surveillance cultures if implemented without sensitivity (Lupton, 2017). In psychiatric contexts, where patients may already experience reduced control, invisible monitoring may intensify vulnerability.</w:t>
      </w:r>
    </w:p>
    <w:p w14:paraId="33840868" w14:textId="43CF25FC"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Trust is therefore central. Jeyakumar et al. (2023) emphasise that patient engagement is critical when implementing AI technologies. </w:t>
      </w:r>
      <w:proofErr w:type="spellStart"/>
      <w:r w:rsidRPr="00AF7115">
        <w:rPr>
          <w:rFonts w:ascii="Arial" w:hAnsi="Arial" w:cs="Arial"/>
          <w:color w:val="000000"/>
          <w:sz w:val="22"/>
          <w:szCs w:val="22"/>
        </w:rPr>
        <w:t>Kerasidou</w:t>
      </w:r>
      <w:proofErr w:type="spellEnd"/>
      <w:r w:rsidRPr="00AF7115">
        <w:rPr>
          <w:rFonts w:ascii="Arial" w:hAnsi="Arial" w:cs="Arial"/>
          <w:color w:val="000000"/>
          <w:sz w:val="22"/>
          <w:szCs w:val="22"/>
        </w:rPr>
        <w:t xml:space="preserve"> (2021) argues that empathy and human connection remain fundamental to ethical healthcare. If patients perceive technology as replacing relational care, trust may weaken.</w:t>
      </w:r>
    </w:p>
    <w:p w14:paraId="6B434F00" w14:textId="5F6169BE"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Machine learning systems may also operate as black boxes (Sidey-Gibbons and Sidey-Gibbons, 2019). Limited transparency may complicate informed dialogue between staff and patients.</w:t>
      </w:r>
    </w:p>
    <w:p w14:paraId="103AAF4F" w14:textId="77777777" w:rsidR="00DC0E59" w:rsidRPr="00AF7115"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From a service user perspective,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may alter the lived experience of inpatient care. While some patients may feel reassured by enhanced safety, others may perceive continuous monitoring as intrusive or depersonalising. The impact therefore depends not only on clinical effectiveness but on how transparently and sensitively the system is implemented.</w:t>
      </w:r>
    </w:p>
    <w:p w14:paraId="1C6D46B6" w14:textId="06EF852C" w:rsidR="000E1483" w:rsidRDefault="00DC0E59"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In addition, the acceptability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may vary depending on individual diagnosis and capacity. Patients experiencing paranoia, trauma histories or heightened sensitivity to surveillance may interpret continuous monitoring differently from those who prioritise safety reassurance. This highlights the importance of informed consent processes and clear communication. Transparent explanation of how data are collected, stored and used is essential to maintaining dignity and ensuring that monitoring is perceived as supportive rather than coercive.</w:t>
      </w:r>
    </w:p>
    <w:p w14:paraId="2FD99FD3" w14:textId="77777777" w:rsidR="00D20D60" w:rsidRPr="00AF7115" w:rsidRDefault="00D20D60" w:rsidP="00AF7115">
      <w:pPr>
        <w:spacing w:before="100" w:beforeAutospacing="1" w:after="100" w:afterAutospacing="1" w:line="360" w:lineRule="auto"/>
        <w:jc w:val="both"/>
        <w:rPr>
          <w:rFonts w:ascii="Arial" w:hAnsi="Arial" w:cs="Arial"/>
          <w:color w:val="000000"/>
          <w:sz w:val="22"/>
          <w:szCs w:val="22"/>
        </w:rPr>
      </w:pPr>
    </w:p>
    <w:p w14:paraId="443BB059" w14:textId="535398E2" w:rsidR="00950AC2" w:rsidRPr="0030296F"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30296F">
        <w:rPr>
          <w:rFonts w:ascii="Arial" w:hAnsi="Arial" w:cs="Arial"/>
          <w:b/>
          <w:bCs/>
          <w:color w:val="000000"/>
          <w:sz w:val="32"/>
          <w:szCs w:val="32"/>
        </w:rPr>
        <w:lastRenderedPageBreak/>
        <w:t>Impact on Workforce</w:t>
      </w:r>
    </w:p>
    <w:p w14:paraId="5066A960" w14:textId="61B99A92"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Digital transformation reshapes professional roles and responsibilities (</w:t>
      </w:r>
      <w:proofErr w:type="spellStart"/>
      <w:r w:rsidR="00D75476" w:rsidRPr="00AF7115">
        <w:rPr>
          <w:rFonts w:ascii="Arial" w:hAnsi="Arial" w:cs="Arial"/>
          <w:color w:val="000000"/>
          <w:sz w:val="22"/>
          <w:szCs w:val="22"/>
        </w:rPr>
        <w:t>C</w:t>
      </w:r>
      <w:r w:rsidRPr="00AF7115">
        <w:rPr>
          <w:rFonts w:ascii="Arial" w:hAnsi="Arial" w:cs="Arial"/>
          <w:color w:val="000000"/>
          <w:sz w:val="22"/>
          <w:szCs w:val="22"/>
        </w:rPr>
        <w:t>wiklicki</w:t>
      </w:r>
      <w:proofErr w:type="spellEnd"/>
      <w:r w:rsidRPr="00AF7115">
        <w:rPr>
          <w:rFonts w:ascii="Arial" w:hAnsi="Arial" w:cs="Arial"/>
          <w:color w:val="000000"/>
          <w:sz w:val="22"/>
          <w:szCs w:val="22"/>
        </w:rPr>
        <w:t xml:space="preserve">, Duplaga and Klich, 2022).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reduces the need for routine physical night-time checks, potentially allowing staff to focus more on therapeutic engagement rather than repetitive observational tasks. Traditionally, inpatient mental health staff conduct intermittent physical observations at fixed intervals. The introduction of continuous digital monitoring shifts this model from reactive observation to data-informed oversight. This represents a subtle but important redesign of clinical workflow. Rather than physically verifying patient presence at set intervals, staff increasingly interpret physiological trends and respond to automated alerts. In theory, this may improve job satisfaction by enabling nurses and healthcare assistants to spend more time on relational and recovery-oriented care.</w:t>
      </w:r>
    </w:p>
    <w:p w14:paraId="0D7C9B93" w14:textId="77777777"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Workforce shortages remain a global challenge (Boniol et al., 2022), making automation attractive within overstretched mental health services. In inpatient settings where staffing ratios are often under pressure, technologies that reduce the need for one-to-one observations or repeated night-time checks may alleviate workload intensity. The economic modelling by Buckley et al. (2024) suggests that reductions in observation-related labour may create opportunities for cost savings and more efficient resource allocation. However, it is important to critically consider whether time saved is genuinely reallocated to therapeutic </w:t>
      </w:r>
      <w:proofErr w:type="gramStart"/>
      <w:r w:rsidRPr="00AF7115">
        <w:rPr>
          <w:rFonts w:ascii="Arial" w:hAnsi="Arial" w:cs="Arial"/>
          <w:color w:val="000000"/>
          <w:sz w:val="22"/>
          <w:szCs w:val="22"/>
        </w:rPr>
        <w:t>activity, or</w:t>
      </w:r>
      <w:proofErr w:type="gramEnd"/>
      <w:r w:rsidRPr="00AF7115">
        <w:rPr>
          <w:rFonts w:ascii="Arial" w:hAnsi="Arial" w:cs="Arial"/>
          <w:color w:val="000000"/>
          <w:sz w:val="22"/>
          <w:szCs w:val="22"/>
        </w:rPr>
        <w:t xml:space="preserve"> absorbed by other systemic pressures within the ward environment. Efficiency gains do not automatically translate into improved care quality unless organisational structures support redistribution of time.</w:t>
      </w:r>
    </w:p>
    <w:p w14:paraId="006905C3" w14:textId="77777777"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The introduction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also requires new competencies. Staff must be able to interpret physiological trend data, understand alert systems, and recognise the limitations of algorithmic outputs. The</w:t>
      </w:r>
      <w:r w:rsidRPr="00AF7115">
        <w:rPr>
          <w:rStyle w:val="apple-converted-space"/>
          <w:rFonts w:ascii="Arial" w:eastAsiaTheme="majorEastAsia" w:hAnsi="Arial" w:cs="Arial"/>
          <w:color w:val="000000"/>
          <w:sz w:val="22"/>
          <w:szCs w:val="22"/>
        </w:rPr>
        <w:t> </w:t>
      </w:r>
      <w:r w:rsidRPr="00AF7115">
        <w:rPr>
          <w:rStyle w:val="Emphasis"/>
          <w:rFonts w:ascii="Arial" w:eastAsiaTheme="majorEastAsia" w:hAnsi="Arial" w:cs="Arial"/>
          <w:color w:val="000000"/>
          <w:sz w:val="22"/>
          <w:szCs w:val="22"/>
        </w:rPr>
        <w:t>What Good Looks Like</w:t>
      </w:r>
      <w:r w:rsidRPr="00AF7115">
        <w:rPr>
          <w:rStyle w:val="apple-converted-space"/>
          <w:rFonts w:ascii="Arial" w:eastAsiaTheme="majorEastAsia" w:hAnsi="Arial" w:cs="Arial"/>
          <w:color w:val="000000"/>
          <w:sz w:val="22"/>
          <w:szCs w:val="22"/>
        </w:rPr>
        <w:t> </w:t>
      </w:r>
      <w:r w:rsidRPr="00AF7115">
        <w:rPr>
          <w:rFonts w:ascii="Arial" w:hAnsi="Arial" w:cs="Arial"/>
          <w:color w:val="000000"/>
          <w:sz w:val="22"/>
          <w:szCs w:val="22"/>
        </w:rPr>
        <w:t>framework emphasises digital capability and data literacy as essential components of modern NHS practice (NHS England, 2021). This shift requires structured training, ongoing supervision and clearly defined role competencies. Without adequate preparation, digital systems may increase cognitive workload rather than reduce it. Interpreting alerts, troubleshooting technical issues and documenting digital outputs can add layers of responsibility. Kumar, Chauhan and Awasthi (2023) highlight that AI integration often demands hybrid skill sets combining clinical judgement with technological literacy, which may require redefinition of professional competency frameworks.</w:t>
      </w:r>
    </w:p>
    <w:p w14:paraId="580EB586" w14:textId="0BA0AA4F"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AI-enabled monitoring systems may also generate tensions between professional judgement and algorithmic output (Kumar, Chauhan and Awasthi, 2023). </w:t>
      </w:r>
      <w:r w:rsidR="001B7BDD" w:rsidRPr="00AF7115">
        <w:rPr>
          <w:rFonts w:ascii="Arial" w:hAnsi="Arial" w:cs="Arial"/>
          <w:color w:val="000000"/>
          <w:sz w:val="22"/>
          <w:szCs w:val="22"/>
        </w:rPr>
        <w:t xml:space="preserve">Recent literature in mental </w:t>
      </w:r>
      <w:r w:rsidR="001B7BDD" w:rsidRPr="00AF7115">
        <w:rPr>
          <w:rFonts w:ascii="Arial" w:hAnsi="Arial" w:cs="Arial"/>
          <w:color w:val="000000"/>
          <w:sz w:val="22"/>
          <w:szCs w:val="22"/>
        </w:rPr>
        <w:lastRenderedPageBreak/>
        <w:t>healthcare similarly highlights that AI integration must remain collaborative rather than substitutive, ensuring that human clinical oversight remains central to decision-making processes (</w:t>
      </w:r>
      <w:proofErr w:type="spellStart"/>
      <w:r w:rsidR="001B7BDD" w:rsidRPr="00AF7115">
        <w:rPr>
          <w:rFonts w:ascii="Arial" w:hAnsi="Arial" w:cs="Arial"/>
          <w:color w:val="000000"/>
          <w:sz w:val="22"/>
          <w:szCs w:val="22"/>
        </w:rPr>
        <w:t>Alhuwaydi</w:t>
      </w:r>
      <w:proofErr w:type="spellEnd"/>
      <w:r w:rsidR="001B7BDD" w:rsidRPr="00AF7115">
        <w:rPr>
          <w:rFonts w:ascii="Arial" w:hAnsi="Arial" w:cs="Arial"/>
          <w:color w:val="000000"/>
          <w:sz w:val="22"/>
          <w:szCs w:val="22"/>
        </w:rPr>
        <w:t>, 2024). This</w:t>
      </w:r>
      <w:r w:rsidRPr="00AF7115">
        <w:rPr>
          <w:rFonts w:ascii="Arial" w:hAnsi="Arial" w:cs="Arial"/>
          <w:color w:val="000000"/>
          <w:sz w:val="22"/>
          <w:szCs w:val="22"/>
        </w:rPr>
        <w:t xml:space="preserve"> raises important questions about who holds decision-making authority when digital systems influence observation frequency or risk assessment. While clinicians remain legally accountable under the Data Protection Act 2018, algorithmic systems increasingly shape clinical workflows. Over-reliance may contribute to automation bias, where staff defer to technological outputs even when clinical intuition suggests otherwise. Conversely, scepticism toward digital tools may limit potential benefits. Topol (2019) argues that AI should augment rather than replace clinical expertise; however, achieving this balance requires active governance and reflective practice.</w:t>
      </w:r>
    </w:p>
    <w:p w14:paraId="4756AB8D" w14:textId="77777777"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Change management represents another significant workforce challenge. Greenhalgh et al. (2017) argue that digital innovations often fail not because of technical flaws, but due to poor integration within organisational culture. In mental health settings, where therapeutic relationships are central, staff may express concern that technology could depersonalise care. Resistance may therefore stem not only from technical anxiety but from professional identity and values. Wachter (2015) similarly notes that digital health transformation can disrupt established routines and generate unintended consequences if implemented without frontline engagement.</w:t>
      </w:r>
    </w:p>
    <w:p w14:paraId="6300083A" w14:textId="79CD61DA" w:rsidR="00E34EFB" w:rsidRPr="00AF7115"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There are also potential benefits in terms of accuracy and standardisation. Unlike manual respiratory </w:t>
      </w:r>
      <w:proofErr w:type="gramStart"/>
      <w:r w:rsidRPr="00AF7115">
        <w:rPr>
          <w:rFonts w:ascii="Arial" w:hAnsi="Arial" w:cs="Arial"/>
          <w:color w:val="000000"/>
          <w:sz w:val="22"/>
          <w:szCs w:val="22"/>
        </w:rPr>
        <w:t>counting  which</w:t>
      </w:r>
      <w:proofErr w:type="gramEnd"/>
      <w:r w:rsidRPr="00AF7115">
        <w:rPr>
          <w:rFonts w:ascii="Arial" w:hAnsi="Arial" w:cs="Arial"/>
          <w:color w:val="000000"/>
          <w:sz w:val="22"/>
          <w:szCs w:val="22"/>
        </w:rPr>
        <w:t xml:space="preserve"> has been shown to be inconsistently recorded in clinical settings (Lewis et al., 2024)</w:t>
      </w:r>
      <w:r w:rsidR="00D325B6" w:rsidRPr="00AF7115">
        <w:rPr>
          <w:rFonts w:ascii="Arial" w:hAnsi="Arial" w:cs="Arial"/>
          <w:color w:val="000000"/>
          <w:sz w:val="22"/>
          <w:szCs w:val="22"/>
        </w:rPr>
        <w:t xml:space="preserve">, </w:t>
      </w:r>
      <w:r w:rsidRPr="00AF7115">
        <w:rPr>
          <w:rFonts w:ascii="Arial" w:hAnsi="Arial" w:cs="Arial"/>
          <w:color w:val="000000"/>
          <w:sz w:val="22"/>
          <w:szCs w:val="22"/>
        </w:rPr>
        <w:t>automated monitoring may reduce human error and variability. Continuous measurement may identify subtle physiological changes that intermittent checks could miss. However, technology is not infallible. System errors, false positives or alert fatigue may undermine confidence and contribute to workload strain if not carefully managed.</w:t>
      </w:r>
    </w:p>
    <w:p w14:paraId="4D683723" w14:textId="75B2352F" w:rsidR="000E1483" w:rsidRDefault="00E34EFB"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Finally, the presence of continuous monitoring technology may subtly alter staff-patient dynamics. If physical checks decrease, opportunities for informal relational contact during night-time observations may also reduce. While this may decrease patient disturbance, it may also reduce moments of reassurance and human presence. This illustrates the broader workforce tension between efficiency and relational care. Therefore, the successful integration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depends not solely on technological capability, but on sustained workforce engagement, ethical reflection and structured organisational support.</w:t>
      </w:r>
    </w:p>
    <w:p w14:paraId="7232989D" w14:textId="77777777" w:rsidR="00D20D60" w:rsidRDefault="00D20D60" w:rsidP="00AF7115">
      <w:pPr>
        <w:pStyle w:val="NormalWeb"/>
        <w:spacing w:line="360" w:lineRule="auto"/>
        <w:jc w:val="both"/>
        <w:rPr>
          <w:rFonts w:ascii="Arial" w:hAnsi="Arial" w:cs="Arial"/>
          <w:color w:val="000000"/>
          <w:sz w:val="22"/>
          <w:szCs w:val="22"/>
        </w:rPr>
      </w:pPr>
    </w:p>
    <w:p w14:paraId="4E53A48C" w14:textId="77777777" w:rsidR="00D20D60" w:rsidRPr="00AF7115" w:rsidRDefault="00D20D60" w:rsidP="00AF7115">
      <w:pPr>
        <w:pStyle w:val="NormalWeb"/>
        <w:spacing w:line="360" w:lineRule="auto"/>
        <w:jc w:val="both"/>
        <w:rPr>
          <w:rFonts w:ascii="Arial" w:hAnsi="Arial" w:cs="Arial"/>
          <w:color w:val="000000"/>
          <w:sz w:val="22"/>
          <w:szCs w:val="22"/>
        </w:rPr>
      </w:pPr>
    </w:p>
    <w:p w14:paraId="33D0D485" w14:textId="1BBE6DE9" w:rsidR="00950AC2" w:rsidRPr="00407767"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407767">
        <w:rPr>
          <w:rFonts w:ascii="Arial" w:hAnsi="Arial" w:cs="Arial"/>
          <w:b/>
          <w:bCs/>
          <w:color w:val="000000"/>
          <w:sz w:val="32"/>
          <w:szCs w:val="32"/>
        </w:rPr>
        <w:lastRenderedPageBreak/>
        <w:t>Barriers to Implementation</w:t>
      </w:r>
    </w:p>
    <w:p w14:paraId="6CC1073C" w14:textId="77777777" w:rsidR="00B94897" w:rsidRPr="00AF7115" w:rsidRDefault="00B94897"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Implementation barriers include funding constraints, cybersecurity requirements and interoperability challenges. Digital innovation requires sustained infrastructure investment, and innovations often fail when not embedded within organisational culture and workflow integration (Greenhalgh et al., 2017).</w:t>
      </w:r>
    </w:p>
    <w:p w14:paraId="443F69FB" w14:textId="77777777" w:rsidR="00B94897" w:rsidRPr="00AF7115" w:rsidRDefault="00B94897"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Beyond installation costs, NHS trusts must consider ongoing expenses such as software licences, maintenance contracts, hardware upgrades and technical support staff. For cash-strapped mental health trusts, these recurrent costs may divert resources from frontline staffing or therapeutic services. Buckley et al. (2024) suggested potential long-term savings, but significant upfront investment remains a barrier for many trusts, particularly those in underfunded areas. Without ring-fenced digital transformation budgets, adoption may widen inequalities between well-resourced and struggling trusts.</w:t>
      </w:r>
    </w:p>
    <w:p w14:paraId="4FD18C49" w14:textId="77777777" w:rsidR="00B94897" w:rsidRPr="00AF7115" w:rsidRDefault="00B94897"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 xml:space="preserve">Mapping of NHS data flows highlights transparency and privacy risks within complex digital ecosystems (Zhang et al., 2023). In mental health settings, continuous monitoring may be perceived as surveillance rather than safety. Under the Data Protection Act 2018, </w:t>
      </w:r>
      <w:proofErr w:type="spellStart"/>
      <w:r w:rsidRPr="00AF7115">
        <w:rPr>
          <w:rFonts w:ascii="Arial" w:hAnsi="Arial" w:cs="Arial"/>
          <w:color w:val="0F1115"/>
          <w:sz w:val="22"/>
          <w:szCs w:val="22"/>
        </w:rPr>
        <w:t>Oxevision's</w:t>
      </w:r>
      <w:proofErr w:type="spellEnd"/>
      <w:r w:rsidRPr="00AF7115">
        <w:rPr>
          <w:rFonts w:ascii="Arial" w:hAnsi="Arial" w:cs="Arial"/>
          <w:color w:val="0F1115"/>
          <w:sz w:val="22"/>
          <w:szCs w:val="22"/>
        </w:rPr>
        <w:t xml:space="preserve"> continuous collection of physiological data engages several GDPR principles:</w:t>
      </w:r>
    </w:p>
    <w:p w14:paraId="34FFBF03" w14:textId="77777777" w:rsidR="00B94897" w:rsidRPr="00AF7115" w:rsidRDefault="00B94897" w:rsidP="00AF7115">
      <w:pPr>
        <w:pStyle w:val="ds-markdown-paragraph"/>
        <w:numPr>
          <w:ilvl w:val="0"/>
          <w:numId w:val="1"/>
        </w:numPr>
        <w:spacing w:before="0" w:beforeAutospacing="0" w:after="0" w:afterAutospacing="0" w:line="360" w:lineRule="auto"/>
        <w:jc w:val="both"/>
        <w:rPr>
          <w:rFonts w:ascii="Arial" w:hAnsi="Arial" w:cs="Arial"/>
          <w:color w:val="0F1115"/>
          <w:sz w:val="22"/>
          <w:szCs w:val="22"/>
        </w:rPr>
      </w:pPr>
      <w:r w:rsidRPr="00AF7115">
        <w:rPr>
          <w:rStyle w:val="Strong"/>
          <w:rFonts w:ascii="Arial" w:eastAsiaTheme="majorEastAsia" w:hAnsi="Arial" w:cs="Arial"/>
          <w:color w:val="0F1115"/>
          <w:sz w:val="22"/>
          <w:szCs w:val="22"/>
        </w:rPr>
        <w:t>Data minimisation</w:t>
      </w:r>
      <w:r w:rsidRPr="00AF7115">
        <w:rPr>
          <w:rStyle w:val="apple-converted-space"/>
          <w:rFonts w:ascii="Arial" w:eastAsiaTheme="majorEastAsia" w:hAnsi="Arial" w:cs="Arial"/>
          <w:color w:val="0F1115"/>
          <w:sz w:val="22"/>
          <w:szCs w:val="22"/>
        </w:rPr>
        <w:t> </w:t>
      </w:r>
      <w:r w:rsidRPr="00AF7115">
        <w:rPr>
          <w:rFonts w:ascii="Arial" w:hAnsi="Arial" w:cs="Arial"/>
          <w:color w:val="0F1115"/>
          <w:sz w:val="22"/>
          <w:szCs w:val="22"/>
        </w:rPr>
        <w:t>requires that only data necessary for patient safety be collected, yet continuous monitoring risks capturing more information than is clinically justified.</w:t>
      </w:r>
    </w:p>
    <w:p w14:paraId="524F9E8B" w14:textId="77777777" w:rsidR="00B94897" w:rsidRPr="00AF7115" w:rsidRDefault="00B94897" w:rsidP="00AF7115">
      <w:pPr>
        <w:pStyle w:val="ds-markdown-paragraph"/>
        <w:numPr>
          <w:ilvl w:val="0"/>
          <w:numId w:val="1"/>
        </w:numPr>
        <w:spacing w:before="0" w:beforeAutospacing="0" w:after="0" w:afterAutospacing="0" w:line="360" w:lineRule="auto"/>
        <w:jc w:val="both"/>
        <w:rPr>
          <w:rFonts w:ascii="Arial" w:hAnsi="Arial" w:cs="Arial"/>
          <w:color w:val="0F1115"/>
          <w:sz w:val="22"/>
          <w:szCs w:val="22"/>
        </w:rPr>
      </w:pPr>
      <w:r w:rsidRPr="00AF7115">
        <w:rPr>
          <w:rStyle w:val="Strong"/>
          <w:rFonts w:ascii="Arial" w:eastAsiaTheme="majorEastAsia" w:hAnsi="Arial" w:cs="Arial"/>
          <w:color w:val="0F1115"/>
          <w:sz w:val="22"/>
          <w:szCs w:val="22"/>
        </w:rPr>
        <w:t>Transparency</w:t>
      </w:r>
      <w:r w:rsidRPr="00AF7115">
        <w:rPr>
          <w:rStyle w:val="apple-converted-space"/>
          <w:rFonts w:ascii="Arial" w:eastAsiaTheme="majorEastAsia" w:hAnsi="Arial" w:cs="Arial"/>
          <w:color w:val="0F1115"/>
          <w:sz w:val="22"/>
          <w:szCs w:val="22"/>
        </w:rPr>
        <w:t> </w:t>
      </w:r>
      <w:r w:rsidRPr="00AF7115">
        <w:rPr>
          <w:rFonts w:ascii="Arial" w:hAnsi="Arial" w:cs="Arial"/>
          <w:color w:val="0F1115"/>
          <w:sz w:val="22"/>
          <w:szCs w:val="22"/>
        </w:rPr>
        <w:t>demands that patients understand what data is collected, how it is used and who has access - a particular challenge in mental health settings where capacity may fluctuate.</w:t>
      </w:r>
    </w:p>
    <w:p w14:paraId="53822D23" w14:textId="77777777" w:rsidR="00B94897" w:rsidRPr="00AF7115" w:rsidRDefault="00B94897" w:rsidP="00AF7115">
      <w:pPr>
        <w:pStyle w:val="ds-markdown-paragraph"/>
        <w:numPr>
          <w:ilvl w:val="0"/>
          <w:numId w:val="1"/>
        </w:numPr>
        <w:spacing w:before="0" w:beforeAutospacing="0" w:after="0" w:afterAutospacing="0" w:line="360" w:lineRule="auto"/>
        <w:jc w:val="both"/>
        <w:rPr>
          <w:rFonts w:ascii="Arial" w:hAnsi="Arial" w:cs="Arial"/>
          <w:color w:val="0F1115"/>
          <w:sz w:val="22"/>
          <w:szCs w:val="22"/>
        </w:rPr>
      </w:pPr>
      <w:r w:rsidRPr="00AF7115">
        <w:rPr>
          <w:rStyle w:val="Strong"/>
          <w:rFonts w:ascii="Arial" w:eastAsiaTheme="majorEastAsia" w:hAnsi="Arial" w:cs="Arial"/>
          <w:color w:val="0F1115"/>
          <w:sz w:val="22"/>
          <w:szCs w:val="22"/>
        </w:rPr>
        <w:t>Storage limitation</w:t>
      </w:r>
      <w:r w:rsidRPr="00AF7115">
        <w:rPr>
          <w:rStyle w:val="apple-converted-space"/>
          <w:rFonts w:ascii="Arial" w:eastAsiaTheme="majorEastAsia" w:hAnsi="Arial" w:cs="Arial"/>
          <w:color w:val="0F1115"/>
          <w:sz w:val="22"/>
          <w:szCs w:val="22"/>
        </w:rPr>
        <w:t> </w:t>
      </w:r>
      <w:r w:rsidRPr="00AF7115">
        <w:rPr>
          <w:rFonts w:ascii="Arial" w:hAnsi="Arial" w:cs="Arial"/>
          <w:color w:val="0F1115"/>
          <w:sz w:val="22"/>
          <w:szCs w:val="22"/>
        </w:rPr>
        <w:t>requires data not be kept longer than necessary, yet continuous monitoring generates large volumes of sensitive data requiring careful retention policies.</w:t>
      </w:r>
    </w:p>
    <w:p w14:paraId="440A6E1B" w14:textId="77777777" w:rsidR="00B94897" w:rsidRPr="00AF7115" w:rsidRDefault="00B94897"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Failure to address these principles risks undermining patient trust and may lead to regulatory action under UK data protection law.</w:t>
      </w:r>
    </w:p>
    <w:p w14:paraId="5F2EEC35" w14:textId="77777777" w:rsidR="00B94897" w:rsidRPr="00AF7115" w:rsidRDefault="00B94897" w:rsidP="00AF7115">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 xml:space="preserve">Another barrier relates to reduced visible human presence. While </w:t>
      </w:r>
      <w:proofErr w:type="spellStart"/>
      <w:r w:rsidRPr="00AF7115">
        <w:rPr>
          <w:rFonts w:ascii="Arial" w:hAnsi="Arial" w:cs="Arial"/>
          <w:color w:val="0F1115"/>
          <w:sz w:val="22"/>
          <w:szCs w:val="22"/>
        </w:rPr>
        <w:t>Oxevision</w:t>
      </w:r>
      <w:proofErr w:type="spellEnd"/>
      <w:r w:rsidRPr="00AF7115">
        <w:rPr>
          <w:rFonts w:ascii="Arial" w:hAnsi="Arial" w:cs="Arial"/>
          <w:color w:val="0F1115"/>
          <w:sz w:val="22"/>
          <w:szCs w:val="22"/>
        </w:rPr>
        <w:t xml:space="preserve"> reduces physical intrusion and sleep disturbance, it may also reduce opportunities for relational interaction. For some patients, particularly those experiencing paranoia or isolation, invisible monitoring may intensify distress. This illustrates the tension between efficiency and relational care.</w:t>
      </w:r>
    </w:p>
    <w:p w14:paraId="6374A655" w14:textId="4B666419" w:rsidR="00407767" w:rsidRPr="00D20D60" w:rsidRDefault="00B94897" w:rsidP="00D20D60">
      <w:pPr>
        <w:pStyle w:val="ds-markdown-paragraph"/>
        <w:spacing w:before="240" w:beforeAutospacing="0" w:after="240" w:afterAutospacing="0" w:line="360" w:lineRule="auto"/>
        <w:jc w:val="both"/>
        <w:rPr>
          <w:rFonts w:ascii="Arial" w:hAnsi="Arial" w:cs="Arial"/>
          <w:color w:val="0F1115"/>
          <w:sz w:val="22"/>
          <w:szCs w:val="22"/>
        </w:rPr>
      </w:pPr>
      <w:r w:rsidRPr="00AF7115">
        <w:rPr>
          <w:rFonts w:ascii="Arial" w:hAnsi="Arial" w:cs="Arial"/>
          <w:color w:val="0F1115"/>
          <w:sz w:val="22"/>
          <w:szCs w:val="22"/>
        </w:rPr>
        <w:t xml:space="preserve">Broader critiques caution against technological solutionism (Wachter, 2015). While AI holds potential, it must remain aligned with human-centred care principles (Topol, 2019). If these </w:t>
      </w:r>
      <w:r w:rsidRPr="00AF7115">
        <w:rPr>
          <w:rFonts w:ascii="Arial" w:hAnsi="Arial" w:cs="Arial"/>
          <w:color w:val="0F1115"/>
          <w:sz w:val="22"/>
          <w:szCs w:val="22"/>
        </w:rPr>
        <w:lastRenderedPageBreak/>
        <w:t>barriers are not carefully addressed, technological innovation may erode patient trust, widen digital inequalities and undermine the therapeutic ethos central to mental health care.</w:t>
      </w:r>
    </w:p>
    <w:p w14:paraId="09CECBF8" w14:textId="77777777" w:rsidR="00950AC2" w:rsidRPr="00407767"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407767">
        <w:rPr>
          <w:rFonts w:ascii="Arial" w:hAnsi="Arial" w:cs="Arial"/>
          <w:b/>
          <w:bCs/>
          <w:color w:val="000000"/>
          <w:sz w:val="32"/>
          <w:szCs w:val="32"/>
        </w:rPr>
        <w:t>Conclusion</w:t>
      </w:r>
    </w:p>
    <w:p w14:paraId="5D7394ED" w14:textId="6A06DFD0" w:rsidR="00950AC2" w:rsidRPr="00AF7115" w:rsidRDefault="00950AC2" w:rsidP="00AF7115">
      <w:pPr>
        <w:spacing w:before="100" w:beforeAutospacing="1" w:after="100" w:afterAutospacing="1" w:line="360" w:lineRule="auto"/>
        <w:jc w:val="both"/>
        <w:rPr>
          <w:rFonts w:ascii="Arial" w:hAnsi="Arial" w:cs="Arial"/>
          <w:color w:val="000000"/>
          <w:sz w:val="22"/>
          <w:szCs w:val="22"/>
        </w:rPr>
      </w:pP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represents a significant digital innovation introduced within the last decade in UK mental health services. </w:t>
      </w:r>
      <w:r w:rsidR="002111CA" w:rsidRPr="00AF7115">
        <w:rPr>
          <w:rFonts w:ascii="Arial" w:hAnsi="Arial" w:cs="Arial"/>
          <w:color w:val="000000"/>
          <w:sz w:val="22"/>
          <w:szCs w:val="22"/>
        </w:rPr>
        <w:t xml:space="preserve">Evaluating innovations introduced within the last decade is particularly important, as they operate within contemporary NHS digital strategy and current data protection legislation, ensuring relevance to present policy and practice </w:t>
      </w:r>
      <w:proofErr w:type="gramStart"/>
      <w:r w:rsidR="002111CA" w:rsidRPr="00AF7115">
        <w:rPr>
          <w:rFonts w:ascii="Arial" w:hAnsi="Arial" w:cs="Arial"/>
          <w:color w:val="000000"/>
          <w:sz w:val="22"/>
          <w:szCs w:val="22"/>
        </w:rPr>
        <w:t>contexts.</w:t>
      </w:r>
      <w:r w:rsidRPr="00AF7115">
        <w:rPr>
          <w:rFonts w:ascii="Arial" w:hAnsi="Arial" w:cs="Arial"/>
          <w:color w:val="000000"/>
          <w:sz w:val="22"/>
          <w:szCs w:val="22"/>
        </w:rPr>
        <w:t>It</w:t>
      </w:r>
      <w:proofErr w:type="gramEnd"/>
      <w:r w:rsidRPr="00AF7115">
        <w:rPr>
          <w:rFonts w:ascii="Arial" w:hAnsi="Arial" w:cs="Arial"/>
          <w:color w:val="000000"/>
          <w:sz w:val="22"/>
          <w:szCs w:val="22"/>
        </w:rPr>
        <w:t xml:space="preserve"> aligns with national digital transformation policy and reflects broader Industry 4.0 models of cyber-physical healthcare systems. By integrating contact-free physiological monitoring with real-time analytics, the system seeks to enhance patient safety and modernise observation practices.</w:t>
      </w:r>
    </w:p>
    <w:p w14:paraId="36252BE7"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The evidence suggests that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may reduce sleep disturbance, improve early detection of deterioration and support workforce efficiency. However, these benefits must be critically balanced against concerns regarding privacy, autonomy and surveillance. Continuous processing of special category health data requires strict compliance with the Data Protection Act 2018 and adherence to the seven GDPR principles, particularly transparency, data minimisation and accountability.</w:t>
      </w:r>
    </w:p>
    <w:p w14:paraId="7D2B3B72" w14:textId="77777777" w:rsidR="00A12708" w:rsidRPr="00AF7115" w:rsidRDefault="00950AC2" w:rsidP="00AF7115">
      <w:pPr>
        <w:pStyle w:val="NormalWeb"/>
        <w:spacing w:line="360" w:lineRule="auto"/>
        <w:jc w:val="both"/>
        <w:rPr>
          <w:rFonts w:ascii="Arial" w:hAnsi="Arial" w:cs="Arial"/>
          <w:color w:val="000000"/>
          <w:sz w:val="22"/>
          <w:szCs w:val="22"/>
        </w:rPr>
      </w:pPr>
      <w:r w:rsidRPr="00AF7115">
        <w:rPr>
          <w:rFonts w:ascii="Arial" w:hAnsi="Arial" w:cs="Arial"/>
          <w:color w:val="000000"/>
          <w:sz w:val="22"/>
          <w:szCs w:val="22"/>
        </w:rPr>
        <w:t xml:space="preserve">Importantly, the adoption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illustrates a wider tension within contemporary healthcare: the drive toward technological optimisation versus the preservation of relational, human-centred care. </w:t>
      </w:r>
      <w:r w:rsidR="00A12708" w:rsidRPr="00AF7115">
        <w:rPr>
          <w:rFonts w:ascii="Arial" w:hAnsi="Arial" w:cs="Arial"/>
          <w:color w:val="000000"/>
          <w:sz w:val="22"/>
          <w:szCs w:val="22"/>
        </w:rPr>
        <w:t>While digital systems may enhance safety metrics, their long-term success depends on sustaining patient trust and therapeutic engagement, supporting the argument that technology should augment rather than replace human-centred care (Topol, 2019).</w:t>
      </w:r>
    </w:p>
    <w:p w14:paraId="00C3E6CB" w14:textId="79A92AA0" w:rsidR="00B045FF"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 xml:space="preserve">Therefore,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should be understood not merely as a technical solution, but as a socio-technical intervention requiring continuous evaluation, transparency and reflective practice. As such, the success of </w:t>
      </w:r>
      <w:proofErr w:type="spellStart"/>
      <w:r w:rsidRPr="00AF7115">
        <w:rPr>
          <w:rFonts w:ascii="Arial" w:hAnsi="Arial" w:cs="Arial"/>
          <w:color w:val="000000"/>
          <w:sz w:val="22"/>
          <w:szCs w:val="22"/>
        </w:rPr>
        <w:t>Oxevision</w:t>
      </w:r>
      <w:proofErr w:type="spellEnd"/>
      <w:r w:rsidRPr="00AF7115">
        <w:rPr>
          <w:rFonts w:ascii="Arial" w:hAnsi="Arial" w:cs="Arial"/>
          <w:color w:val="000000"/>
          <w:sz w:val="22"/>
          <w:szCs w:val="22"/>
        </w:rPr>
        <w:t xml:space="preserve"> is not solely determined by technological capability, but by the extent to which ethical governance, patient trust and professional accountability are actively maintained.</w:t>
      </w:r>
    </w:p>
    <w:p w14:paraId="556C78C4" w14:textId="77777777" w:rsidR="00D20D60" w:rsidRPr="00AF7115" w:rsidRDefault="00D20D60" w:rsidP="00AF7115">
      <w:pPr>
        <w:spacing w:before="100" w:beforeAutospacing="1" w:after="100" w:afterAutospacing="1" w:line="360" w:lineRule="auto"/>
        <w:jc w:val="both"/>
        <w:rPr>
          <w:rFonts w:ascii="Arial" w:hAnsi="Arial" w:cs="Arial"/>
          <w:color w:val="000000"/>
          <w:sz w:val="22"/>
          <w:szCs w:val="22"/>
        </w:rPr>
      </w:pPr>
    </w:p>
    <w:p w14:paraId="60E85B23" w14:textId="77777777" w:rsidR="00AF7115" w:rsidRPr="00AF7115" w:rsidRDefault="00AF7115" w:rsidP="00AF7115">
      <w:pPr>
        <w:spacing w:before="100" w:beforeAutospacing="1" w:after="100" w:afterAutospacing="1" w:line="360" w:lineRule="auto"/>
        <w:jc w:val="both"/>
        <w:rPr>
          <w:rFonts w:ascii="Arial" w:hAnsi="Arial" w:cs="Arial"/>
          <w:color w:val="000000"/>
          <w:sz w:val="22"/>
          <w:szCs w:val="22"/>
        </w:rPr>
      </w:pPr>
    </w:p>
    <w:p w14:paraId="56E01041" w14:textId="77777777" w:rsidR="00950AC2" w:rsidRPr="00D20D60" w:rsidRDefault="00950AC2" w:rsidP="00AF7115">
      <w:pPr>
        <w:spacing w:before="100" w:beforeAutospacing="1" w:after="100" w:afterAutospacing="1" w:line="360" w:lineRule="auto"/>
        <w:jc w:val="both"/>
        <w:outlineLvl w:val="1"/>
        <w:rPr>
          <w:rFonts w:ascii="Arial" w:hAnsi="Arial" w:cs="Arial"/>
          <w:b/>
          <w:bCs/>
          <w:color w:val="000000"/>
          <w:sz w:val="32"/>
          <w:szCs w:val="32"/>
        </w:rPr>
      </w:pPr>
      <w:r w:rsidRPr="00D20D60">
        <w:rPr>
          <w:rFonts w:ascii="Arial" w:hAnsi="Arial" w:cs="Arial"/>
          <w:b/>
          <w:bCs/>
          <w:color w:val="000000"/>
          <w:sz w:val="32"/>
          <w:szCs w:val="32"/>
        </w:rPr>
        <w:lastRenderedPageBreak/>
        <w:t>Recommendations</w:t>
      </w:r>
    </w:p>
    <w:p w14:paraId="6CDC77B6"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Given concerns regarding surveillance and autonomy, NHS trusts should strengthen transparency by clearly explaining data collection and processing practices, aligning with principles of lawful and fair processing under the Data Protection Act 2018.</w:t>
      </w:r>
    </w:p>
    <w:p w14:paraId="60E962BF"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Regular Data Protection Impact Assessments should demonstrate compliance with GDPR principles, particularly data minimisation and integrity.</w:t>
      </w:r>
    </w:p>
    <w:p w14:paraId="39A661D4" w14:textId="3C16A27A" w:rsidR="00F47EA0" w:rsidRPr="00AF7115" w:rsidRDefault="001B2920"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Structured workforce training in digital literacy and AI ethics should accompany implementation in order to address risks of automation bias and resistance to change identified within this evaluation, ensuring that technology augments rather than replaces clinical judgement (NHS England, 2021).</w:t>
      </w:r>
    </w:p>
    <w:p w14:paraId="279CBCBD"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Independent longitudinal evaluation should assess long-term patient experience, responding to concerns about technological solutionism (Wachter, 2015).</w:t>
      </w:r>
    </w:p>
    <w:p w14:paraId="4301695D" w14:textId="77777777" w:rsidR="00950AC2" w:rsidRPr="00AF7115" w:rsidRDefault="00950AC2" w:rsidP="00AF7115">
      <w:pPr>
        <w:spacing w:before="100" w:beforeAutospacing="1" w:after="100" w:afterAutospacing="1" w:line="360" w:lineRule="auto"/>
        <w:jc w:val="both"/>
        <w:rPr>
          <w:rFonts w:ascii="Arial" w:hAnsi="Arial" w:cs="Arial"/>
          <w:color w:val="000000"/>
          <w:sz w:val="22"/>
          <w:szCs w:val="22"/>
        </w:rPr>
      </w:pPr>
      <w:r w:rsidRPr="00AF7115">
        <w:rPr>
          <w:rFonts w:ascii="Arial" w:hAnsi="Arial" w:cs="Arial"/>
          <w:color w:val="000000"/>
          <w:sz w:val="22"/>
          <w:szCs w:val="22"/>
        </w:rPr>
        <w:t>Sustainable funding and infrastructure investment are essential to prevent widening digital inequalities (Greenhalgh et al., 2017).</w:t>
      </w:r>
    </w:p>
    <w:p w14:paraId="5C1884C9" w14:textId="77777777" w:rsidR="00F24A09" w:rsidRPr="00AF7115" w:rsidRDefault="00F24A09" w:rsidP="00AF7115">
      <w:pPr>
        <w:spacing w:line="360" w:lineRule="auto"/>
        <w:jc w:val="both"/>
        <w:rPr>
          <w:rFonts w:ascii="Arial" w:hAnsi="Arial" w:cs="Arial"/>
          <w:sz w:val="22"/>
          <w:szCs w:val="22"/>
        </w:rPr>
      </w:pPr>
    </w:p>
    <w:p w14:paraId="326E36E3" w14:textId="77777777" w:rsidR="00B56D1B" w:rsidRPr="00AF7115" w:rsidRDefault="00B56D1B" w:rsidP="00AF7115">
      <w:pPr>
        <w:spacing w:line="360" w:lineRule="auto"/>
        <w:jc w:val="both"/>
        <w:rPr>
          <w:rFonts w:ascii="Arial" w:hAnsi="Arial" w:cs="Arial"/>
          <w:sz w:val="22"/>
          <w:szCs w:val="22"/>
        </w:rPr>
      </w:pPr>
    </w:p>
    <w:p w14:paraId="76A15D35" w14:textId="77777777" w:rsidR="00B7754B" w:rsidRPr="00AF7115" w:rsidRDefault="00B7754B" w:rsidP="00AF7115">
      <w:pPr>
        <w:spacing w:line="360" w:lineRule="auto"/>
        <w:jc w:val="both"/>
        <w:rPr>
          <w:rFonts w:ascii="Arial" w:hAnsi="Arial" w:cs="Arial"/>
          <w:sz w:val="22"/>
          <w:szCs w:val="22"/>
        </w:rPr>
      </w:pPr>
    </w:p>
    <w:p w14:paraId="550F9E06" w14:textId="77777777" w:rsidR="00FF5DE5" w:rsidRDefault="00FF5DE5" w:rsidP="00256E7F">
      <w:pPr>
        <w:spacing w:line="360" w:lineRule="auto"/>
        <w:jc w:val="both"/>
        <w:rPr>
          <w:rFonts w:ascii="Arial" w:hAnsi="Arial" w:cs="Arial"/>
          <w:sz w:val="22"/>
          <w:szCs w:val="22"/>
        </w:rPr>
      </w:pPr>
    </w:p>
    <w:p w14:paraId="2F947B89" w14:textId="77777777" w:rsidR="00FF5DE5" w:rsidRDefault="00FF5DE5" w:rsidP="00256E7F">
      <w:pPr>
        <w:spacing w:line="360" w:lineRule="auto"/>
        <w:jc w:val="both"/>
        <w:rPr>
          <w:rFonts w:ascii="Arial" w:hAnsi="Arial" w:cs="Arial"/>
          <w:sz w:val="22"/>
          <w:szCs w:val="22"/>
        </w:rPr>
      </w:pPr>
    </w:p>
    <w:p w14:paraId="2AC5FA12" w14:textId="77777777" w:rsidR="00FF5DE5" w:rsidRDefault="00FF5DE5" w:rsidP="00256E7F">
      <w:pPr>
        <w:spacing w:line="360" w:lineRule="auto"/>
        <w:jc w:val="both"/>
        <w:rPr>
          <w:rFonts w:ascii="Arial" w:hAnsi="Arial" w:cs="Arial"/>
          <w:sz w:val="22"/>
          <w:szCs w:val="22"/>
        </w:rPr>
      </w:pPr>
    </w:p>
    <w:p w14:paraId="7E737B9F" w14:textId="77777777" w:rsidR="00FF5DE5" w:rsidRDefault="00FF5DE5" w:rsidP="00256E7F">
      <w:pPr>
        <w:spacing w:line="360" w:lineRule="auto"/>
        <w:jc w:val="both"/>
        <w:rPr>
          <w:rFonts w:ascii="Arial" w:hAnsi="Arial" w:cs="Arial"/>
          <w:sz w:val="22"/>
          <w:szCs w:val="22"/>
        </w:rPr>
      </w:pPr>
    </w:p>
    <w:p w14:paraId="3CFA9F84" w14:textId="77777777" w:rsidR="00FF5DE5" w:rsidRDefault="00FF5DE5" w:rsidP="00256E7F">
      <w:pPr>
        <w:spacing w:line="360" w:lineRule="auto"/>
        <w:jc w:val="both"/>
        <w:rPr>
          <w:rFonts w:ascii="Arial" w:hAnsi="Arial" w:cs="Arial"/>
          <w:sz w:val="22"/>
          <w:szCs w:val="22"/>
        </w:rPr>
      </w:pPr>
    </w:p>
    <w:p w14:paraId="5427532C" w14:textId="77777777" w:rsidR="00FF5DE5" w:rsidRDefault="00FF5DE5" w:rsidP="00256E7F">
      <w:pPr>
        <w:spacing w:line="360" w:lineRule="auto"/>
        <w:jc w:val="both"/>
        <w:rPr>
          <w:rFonts w:ascii="Arial" w:hAnsi="Arial" w:cs="Arial"/>
          <w:sz w:val="22"/>
          <w:szCs w:val="22"/>
        </w:rPr>
      </w:pPr>
    </w:p>
    <w:p w14:paraId="5C51E683" w14:textId="77777777" w:rsidR="00FF5DE5" w:rsidRDefault="00FF5DE5" w:rsidP="00256E7F">
      <w:pPr>
        <w:spacing w:line="360" w:lineRule="auto"/>
        <w:jc w:val="both"/>
        <w:rPr>
          <w:rFonts w:ascii="Arial" w:hAnsi="Arial" w:cs="Arial"/>
          <w:sz w:val="22"/>
          <w:szCs w:val="22"/>
        </w:rPr>
      </w:pPr>
    </w:p>
    <w:p w14:paraId="5810728F" w14:textId="77777777" w:rsidR="00FF5DE5" w:rsidRDefault="00FF5DE5" w:rsidP="00256E7F">
      <w:pPr>
        <w:spacing w:line="360" w:lineRule="auto"/>
        <w:jc w:val="both"/>
        <w:rPr>
          <w:rFonts w:ascii="Arial" w:hAnsi="Arial" w:cs="Arial"/>
          <w:sz w:val="22"/>
          <w:szCs w:val="22"/>
        </w:rPr>
      </w:pPr>
    </w:p>
    <w:p w14:paraId="663C0D08" w14:textId="77777777" w:rsidR="00FF5DE5" w:rsidRDefault="00FF5DE5" w:rsidP="00256E7F">
      <w:pPr>
        <w:spacing w:line="360" w:lineRule="auto"/>
        <w:jc w:val="both"/>
        <w:rPr>
          <w:rFonts w:ascii="Arial" w:hAnsi="Arial" w:cs="Arial"/>
          <w:sz w:val="22"/>
          <w:szCs w:val="22"/>
        </w:rPr>
      </w:pPr>
    </w:p>
    <w:p w14:paraId="57C748A3" w14:textId="77777777" w:rsidR="00FF5DE5" w:rsidRDefault="00FF5DE5" w:rsidP="00256E7F">
      <w:pPr>
        <w:spacing w:line="360" w:lineRule="auto"/>
        <w:jc w:val="both"/>
        <w:rPr>
          <w:rFonts w:ascii="Arial" w:hAnsi="Arial" w:cs="Arial"/>
          <w:sz w:val="22"/>
          <w:szCs w:val="22"/>
        </w:rPr>
      </w:pPr>
    </w:p>
    <w:p w14:paraId="45726A5C" w14:textId="77777777" w:rsidR="00FF5DE5" w:rsidRDefault="00FF5DE5" w:rsidP="00256E7F">
      <w:pPr>
        <w:spacing w:line="360" w:lineRule="auto"/>
        <w:jc w:val="both"/>
        <w:rPr>
          <w:rFonts w:ascii="Arial" w:hAnsi="Arial" w:cs="Arial"/>
          <w:sz w:val="22"/>
          <w:szCs w:val="22"/>
        </w:rPr>
      </w:pPr>
    </w:p>
    <w:p w14:paraId="7C555549" w14:textId="77777777" w:rsidR="00FF5DE5" w:rsidRDefault="00FF5DE5" w:rsidP="00256E7F">
      <w:pPr>
        <w:spacing w:line="360" w:lineRule="auto"/>
        <w:jc w:val="both"/>
        <w:rPr>
          <w:rFonts w:ascii="Arial" w:hAnsi="Arial" w:cs="Arial"/>
          <w:sz w:val="22"/>
          <w:szCs w:val="22"/>
        </w:rPr>
      </w:pPr>
    </w:p>
    <w:p w14:paraId="09724103" w14:textId="77777777" w:rsidR="00FF5DE5" w:rsidRDefault="00FF5DE5" w:rsidP="00256E7F">
      <w:pPr>
        <w:spacing w:line="360" w:lineRule="auto"/>
        <w:jc w:val="both"/>
        <w:rPr>
          <w:rFonts w:ascii="Arial" w:hAnsi="Arial" w:cs="Arial"/>
          <w:sz w:val="22"/>
          <w:szCs w:val="22"/>
        </w:rPr>
      </w:pPr>
    </w:p>
    <w:p w14:paraId="247937C8" w14:textId="77777777" w:rsidR="00FF5DE5" w:rsidRDefault="00FF5DE5" w:rsidP="00256E7F">
      <w:pPr>
        <w:spacing w:line="360" w:lineRule="auto"/>
        <w:jc w:val="both"/>
        <w:rPr>
          <w:rFonts w:ascii="Arial" w:hAnsi="Arial" w:cs="Arial"/>
          <w:sz w:val="22"/>
          <w:szCs w:val="22"/>
        </w:rPr>
      </w:pPr>
    </w:p>
    <w:p w14:paraId="7E67D564" w14:textId="77777777" w:rsidR="00FF5DE5" w:rsidRDefault="00FF5DE5" w:rsidP="00256E7F">
      <w:pPr>
        <w:spacing w:line="360" w:lineRule="auto"/>
        <w:jc w:val="both"/>
        <w:rPr>
          <w:rFonts w:ascii="Arial" w:hAnsi="Arial" w:cs="Arial"/>
          <w:sz w:val="22"/>
          <w:szCs w:val="22"/>
        </w:rPr>
      </w:pPr>
    </w:p>
    <w:p w14:paraId="6F443319" w14:textId="77777777" w:rsidR="00FF5DE5" w:rsidRDefault="00FF5DE5" w:rsidP="00256E7F">
      <w:pPr>
        <w:spacing w:line="360" w:lineRule="auto"/>
        <w:jc w:val="both"/>
        <w:rPr>
          <w:rFonts w:ascii="Arial" w:hAnsi="Arial" w:cs="Arial"/>
          <w:sz w:val="22"/>
          <w:szCs w:val="22"/>
        </w:rPr>
      </w:pPr>
    </w:p>
    <w:p w14:paraId="17C4645F" w14:textId="77777777" w:rsidR="00B56D1B" w:rsidRDefault="00B56D1B" w:rsidP="00771729">
      <w:pPr>
        <w:spacing w:line="360" w:lineRule="auto"/>
        <w:rPr>
          <w:rFonts w:ascii="Arial" w:hAnsi="Arial" w:cs="Arial"/>
          <w:sz w:val="22"/>
          <w:szCs w:val="22"/>
        </w:rPr>
      </w:pPr>
    </w:p>
    <w:p w14:paraId="37BE0419" w14:textId="73158F56" w:rsidR="00B56D1B" w:rsidRDefault="00B56D1B" w:rsidP="00771729">
      <w:pPr>
        <w:spacing w:line="360" w:lineRule="auto"/>
        <w:rPr>
          <w:rFonts w:ascii="Arial" w:hAnsi="Arial" w:cs="Arial"/>
          <w:b/>
          <w:bCs/>
          <w:sz w:val="32"/>
          <w:szCs w:val="32"/>
        </w:rPr>
      </w:pPr>
      <w:r w:rsidRPr="00B56D1B">
        <w:rPr>
          <w:rFonts w:ascii="Arial" w:hAnsi="Arial" w:cs="Arial"/>
          <w:b/>
          <w:bCs/>
          <w:sz w:val="32"/>
          <w:szCs w:val="32"/>
        </w:rPr>
        <w:t>References</w:t>
      </w:r>
    </w:p>
    <w:p w14:paraId="5F3A9D53" w14:textId="77777777" w:rsidR="00FB3904" w:rsidRPr="00FB3904" w:rsidRDefault="00FB3904" w:rsidP="00FB3904">
      <w:pPr>
        <w:spacing w:line="360" w:lineRule="auto"/>
        <w:jc w:val="both"/>
        <w:rPr>
          <w:rFonts w:ascii="Arial" w:hAnsi="Arial" w:cs="Arial"/>
          <w:sz w:val="22"/>
          <w:szCs w:val="22"/>
        </w:rPr>
      </w:pPr>
    </w:p>
    <w:p w14:paraId="66B2601A"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Alhuwaydi, A.M. (2024) 'Exploring the role of artificial intelligence in mental healthcare: Current trends and future directions', *Risk Management and Healthcare Policy*, **17**, pp. 1339–1348. </w:t>
      </w:r>
      <w:proofErr w:type="spellStart"/>
      <w:r w:rsidRPr="00FB3904">
        <w:rPr>
          <w:rFonts w:ascii="Arial" w:hAnsi="Arial" w:cs="Arial"/>
          <w:sz w:val="22"/>
          <w:szCs w:val="22"/>
        </w:rPr>
        <w:t>doi</w:t>
      </w:r>
      <w:proofErr w:type="spellEnd"/>
      <w:r w:rsidRPr="00FB3904">
        <w:rPr>
          <w:rFonts w:ascii="Arial" w:hAnsi="Arial" w:cs="Arial"/>
          <w:sz w:val="22"/>
          <w:szCs w:val="22"/>
        </w:rPr>
        <w:t>: 10.2147/RMHP.S461562.</w:t>
      </w:r>
    </w:p>
    <w:p w14:paraId="641DB550" w14:textId="77777777" w:rsidR="00FB3904" w:rsidRPr="00FB3904" w:rsidRDefault="00FB3904" w:rsidP="00FB3904">
      <w:pPr>
        <w:spacing w:line="360" w:lineRule="auto"/>
        <w:jc w:val="both"/>
        <w:rPr>
          <w:rFonts w:ascii="Arial" w:hAnsi="Arial" w:cs="Arial"/>
          <w:sz w:val="22"/>
          <w:szCs w:val="22"/>
        </w:rPr>
      </w:pPr>
    </w:p>
    <w:p w14:paraId="62C19F2B"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Boniol, M., </w:t>
      </w:r>
      <w:proofErr w:type="spellStart"/>
      <w:r w:rsidRPr="00FB3904">
        <w:rPr>
          <w:rFonts w:ascii="Arial" w:hAnsi="Arial" w:cs="Arial"/>
          <w:sz w:val="22"/>
          <w:szCs w:val="22"/>
        </w:rPr>
        <w:t>Kunjumen</w:t>
      </w:r>
      <w:proofErr w:type="spellEnd"/>
      <w:r w:rsidRPr="00FB3904">
        <w:rPr>
          <w:rFonts w:ascii="Arial" w:hAnsi="Arial" w:cs="Arial"/>
          <w:sz w:val="22"/>
          <w:szCs w:val="22"/>
        </w:rPr>
        <w:t xml:space="preserve">, T., Nair, T.S., Siyam, A., Campbell, J. and Diallo, K. (2022) 'The global health workforce stock and distribution in 2020 and 2030: A threat to equity and universal health coverage?', *BMJ Global Health*, **7**, e009316. </w:t>
      </w:r>
      <w:proofErr w:type="spellStart"/>
      <w:r w:rsidRPr="00FB3904">
        <w:rPr>
          <w:rFonts w:ascii="Arial" w:hAnsi="Arial" w:cs="Arial"/>
          <w:sz w:val="22"/>
          <w:szCs w:val="22"/>
        </w:rPr>
        <w:t>doi</w:t>
      </w:r>
      <w:proofErr w:type="spellEnd"/>
      <w:r w:rsidRPr="00FB3904">
        <w:rPr>
          <w:rFonts w:ascii="Arial" w:hAnsi="Arial" w:cs="Arial"/>
          <w:sz w:val="22"/>
          <w:szCs w:val="22"/>
        </w:rPr>
        <w:t>: 10.1136/bmjgh-2022-009316.</w:t>
      </w:r>
    </w:p>
    <w:p w14:paraId="39041E0C" w14:textId="77777777" w:rsidR="00FB3904" w:rsidRPr="00FB3904" w:rsidRDefault="00FB3904" w:rsidP="00FB3904">
      <w:pPr>
        <w:spacing w:line="360" w:lineRule="auto"/>
        <w:jc w:val="both"/>
        <w:rPr>
          <w:rFonts w:ascii="Arial" w:hAnsi="Arial" w:cs="Arial"/>
          <w:sz w:val="22"/>
          <w:szCs w:val="22"/>
        </w:rPr>
      </w:pPr>
    </w:p>
    <w:p w14:paraId="6E017BA3"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Buckley, C., Malcolm, R. and Hanlon, J. (2024) 'Economic impact of a vision-based patient monitoring system across five NHS mental health trusts', *PLOS Digital Health*, **3**(9), e0000559. </w:t>
      </w:r>
      <w:proofErr w:type="spellStart"/>
      <w:r w:rsidRPr="00FB3904">
        <w:rPr>
          <w:rFonts w:ascii="Arial" w:hAnsi="Arial" w:cs="Arial"/>
          <w:sz w:val="22"/>
          <w:szCs w:val="22"/>
        </w:rPr>
        <w:t>doi</w:t>
      </w:r>
      <w:proofErr w:type="spellEnd"/>
      <w:r w:rsidRPr="00FB3904">
        <w:rPr>
          <w:rFonts w:ascii="Arial" w:hAnsi="Arial" w:cs="Arial"/>
          <w:sz w:val="22"/>
          <w:szCs w:val="22"/>
        </w:rPr>
        <w:t>: 10.1371/journal.pdig.0000559.</w:t>
      </w:r>
    </w:p>
    <w:p w14:paraId="49F10EC8" w14:textId="77777777" w:rsidR="00FB3904" w:rsidRPr="00FB3904" w:rsidRDefault="00FB3904" w:rsidP="00FB3904">
      <w:pPr>
        <w:spacing w:line="360" w:lineRule="auto"/>
        <w:jc w:val="both"/>
        <w:rPr>
          <w:rFonts w:ascii="Arial" w:hAnsi="Arial" w:cs="Arial"/>
          <w:sz w:val="22"/>
          <w:szCs w:val="22"/>
        </w:rPr>
      </w:pPr>
    </w:p>
    <w:p w14:paraId="3FD0DE28"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Ćwiklicki, M., Duplaga, M. and Klich, J. (2022) *The Digital Transformation of Healthcare: Health 4.0*. Abingdon: Routledge.</w:t>
      </w:r>
    </w:p>
    <w:p w14:paraId="4AE773A8" w14:textId="77777777" w:rsidR="00FB3904" w:rsidRPr="00FB3904" w:rsidRDefault="00FB3904" w:rsidP="00FB3904">
      <w:pPr>
        <w:spacing w:line="360" w:lineRule="auto"/>
        <w:jc w:val="both"/>
        <w:rPr>
          <w:rFonts w:ascii="Arial" w:hAnsi="Arial" w:cs="Arial"/>
          <w:sz w:val="22"/>
          <w:szCs w:val="22"/>
        </w:rPr>
      </w:pPr>
    </w:p>
    <w:p w14:paraId="2C4CC6AE"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Department of Health and Social Care (2022) *A plan for digital health and social care*. Available at: https://www.gov.uk/government/publications/a-plan-for-digital-health-and-social-care (Accessed: 25 February 2026).</w:t>
      </w:r>
    </w:p>
    <w:p w14:paraId="186EC21A" w14:textId="77777777" w:rsidR="00FB3904" w:rsidRPr="00FB3904" w:rsidRDefault="00FB3904" w:rsidP="00FB3904">
      <w:pPr>
        <w:spacing w:line="360" w:lineRule="auto"/>
        <w:jc w:val="both"/>
        <w:rPr>
          <w:rFonts w:ascii="Arial" w:hAnsi="Arial" w:cs="Arial"/>
          <w:sz w:val="22"/>
          <w:szCs w:val="22"/>
        </w:rPr>
      </w:pPr>
    </w:p>
    <w:p w14:paraId="6C191E75"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Greenhalgh, T., </w:t>
      </w:r>
      <w:proofErr w:type="spellStart"/>
      <w:r w:rsidRPr="00FB3904">
        <w:rPr>
          <w:rFonts w:ascii="Arial" w:hAnsi="Arial" w:cs="Arial"/>
          <w:sz w:val="22"/>
          <w:szCs w:val="22"/>
        </w:rPr>
        <w:t>Wherton</w:t>
      </w:r>
      <w:proofErr w:type="spellEnd"/>
      <w:r w:rsidRPr="00FB3904">
        <w:rPr>
          <w:rFonts w:ascii="Arial" w:hAnsi="Arial" w:cs="Arial"/>
          <w:sz w:val="22"/>
          <w:szCs w:val="22"/>
        </w:rPr>
        <w:t xml:space="preserve">, J., Papoutsi, C., Lynch, J., Hughes, G., A'Court, C., Hinder, S., Fahy, N., Procter, R. and Shaw, S. (2017) 'Beyond adoption: A new framework for theorising and evaluating </w:t>
      </w:r>
      <w:proofErr w:type="spellStart"/>
      <w:r w:rsidRPr="00FB3904">
        <w:rPr>
          <w:rFonts w:ascii="Arial" w:hAnsi="Arial" w:cs="Arial"/>
          <w:sz w:val="22"/>
          <w:szCs w:val="22"/>
        </w:rPr>
        <w:t>nonadoption</w:t>
      </w:r>
      <w:proofErr w:type="spellEnd"/>
      <w:r w:rsidRPr="00FB3904">
        <w:rPr>
          <w:rFonts w:ascii="Arial" w:hAnsi="Arial" w:cs="Arial"/>
          <w:sz w:val="22"/>
          <w:szCs w:val="22"/>
        </w:rPr>
        <w:t xml:space="preserve">, abandonment, scale-up, spread, and sustainability of health and care technologies', *Journal of Medical Internet Research*, **19**(11), e367. </w:t>
      </w:r>
      <w:proofErr w:type="spellStart"/>
      <w:r w:rsidRPr="00FB3904">
        <w:rPr>
          <w:rFonts w:ascii="Arial" w:hAnsi="Arial" w:cs="Arial"/>
          <w:sz w:val="22"/>
          <w:szCs w:val="22"/>
        </w:rPr>
        <w:t>doi</w:t>
      </w:r>
      <w:proofErr w:type="spellEnd"/>
      <w:r w:rsidRPr="00FB3904">
        <w:rPr>
          <w:rFonts w:ascii="Arial" w:hAnsi="Arial" w:cs="Arial"/>
          <w:sz w:val="22"/>
          <w:szCs w:val="22"/>
        </w:rPr>
        <w:t>: 10.2196/jmir.8775.</w:t>
      </w:r>
    </w:p>
    <w:p w14:paraId="1AB2657E" w14:textId="77777777" w:rsidR="00FB3904" w:rsidRPr="00FB3904" w:rsidRDefault="00FB3904" w:rsidP="00FB3904">
      <w:pPr>
        <w:spacing w:line="360" w:lineRule="auto"/>
        <w:jc w:val="both"/>
        <w:rPr>
          <w:rFonts w:ascii="Arial" w:hAnsi="Arial" w:cs="Arial"/>
          <w:sz w:val="22"/>
          <w:szCs w:val="22"/>
        </w:rPr>
      </w:pPr>
    </w:p>
    <w:p w14:paraId="48EC5755"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Jeyakumar, T., Younus, S., Zhang, M., Clare, M., </w:t>
      </w:r>
      <w:proofErr w:type="spellStart"/>
      <w:r w:rsidRPr="00FB3904">
        <w:rPr>
          <w:rFonts w:ascii="Arial" w:hAnsi="Arial" w:cs="Arial"/>
          <w:sz w:val="22"/>
          <w:szCs w:val="22"/>
        </w:rPr>
        <w:t>Charow</w:t>
      </w:r>
      <w:proofErr w:type="spellEnd"/>
      <w:r w:rsidRPr="00FB3904">
        <w:rPr>
          <w:rFonts w:ascii="Arial" w:hAnsi="Arial" w:cs="Arial"/>
          <w:sz w:val="22"/>
          <w:szCs w:val="22"/>
        </w:rPr>
        <w:t>, R., Karsan, I., Dhalla, A., Al-</w:t>
      </w:r>
      <w:proofErr w:type="spellStart"/>
      <w:r w:rsidRPr="00FB3904">
        <w:rPr>
          <w:rFonts w:ascii="Arial" w:hAnsi="Arial" w:cs="Arial"/>
          <w:sz w:val="22"/>
          <w:szCs w:val="22"/>
        </w:rPr>
        <w:t>Mouaswas</w:t>
      </w:r>
      <w:proofErr w:type="spellEnd"/>
      <w:r w:rsidRPr="00FB3904">
        <w:rPr>
          <w:rFonts w:ascii="Arial" w:hAnsi="Arial" w:cs="Arial"/>
          <w:sz w:val="22"/>
          <w:szCs w:val="22"/>
        </w:rPr>
        <w:t xml:space="preserve">, D., Scandiffio, J., Aling, J., </w:t>
      </w:r>
      <w:proofErr w:type="spellStart"/>
      <w:r w:rsidRPr="00FB3904">
        <w:rPr>
          <w:rFonts w:ascii="Arial" w:hAnsi="Arial" w:cs="Arial"/>
          <w:sz w:val="22"/>
          <w:szCs w:val="22"/>
        </w:rPr>
        <w:t>Salhia</w:t>
      </w:r>
      <w:proofErr w:type="spellEnd"/>
      <w:r w:rsidRPr="00FB3904">
        <w:rPr>
          <w:rFonts w:ascii="Arial" w:hAnsi="Arial" w:cs="Arial"/>
          <w:sz w:val="22"/>
          <w:szCs w:val="22"/>
        </w:rPr>
        <w:t xml:space="preserve">, M., Lalani, N., Overholt, S. and </w:t>
      </w:r>
      <w:proofErr w:type="spellStart"/>
      <w:r w:rsidRPr="00FB3904">
        <w:rPr>
          <w:rFonts w:ascii="Arial" w:hAnsi="Arial" w:cs="Arial"/>
          <w:sz w:val="22"/>
          <w:szCs w:val="22"/>
        </w:rPr>
        <w:t>Wiljer</w:t>
      </w:r>
      <w:proofErr w:type="spellEnd"/>
      <w:r w:rsidRPr="00FB3904">
        <w:rPr>
          <w:rFonts w:ascii="Arial" w:hAnsi="Arial" w:cs="Arial"/>
          <w:sz w:val="22"/>
          <w:szCs w:val="22"/>
        </w:rPr>
        <w:t xml:space="preserve">, D. (2023) 'Preparing for an artificial intelligence–enabled future: Patient perspectives on engagement and health care professional training', *JMIR AI*, **2**, e40973. </w:t>
      </w:r>
      <w:proofErr w:type="spellStart"/>
      <w:r w:rsidRPr="00FB3904">
        <w:rPr>
          <w:rFonts w:ascii="Arial" w:hAnsi="Arial" w:cs="Arial"/>
          <w:sz w:val="22"/>
          <w:szCs w:val="22"/>
        </w:rPr>
        <w:t>doi</w:t>
      </w:r>
      <w:proofErr w:type="spellEnd"/>
      <w:r w:rsidRPr="00FB3904">
        <w:rPr>
          <w:rFonts w:ascii="Arial" w:hAnsi="Arial" w:cs="Arial"/>
          <w:sz w:val="22"/>
          <w:szCs w:val="22"/>
        </w:rPr>
        <w:t>: 10.2196/40973.</w:t>
      </w:r>
    </w:p>
    <w:p w14:paraId="2DDF3970" w14:textId="77777777" w:rsidR="00FB3904" w:rsidRPr="00FB3904" w:rsidRDefault="00FB3904" w:rsidP="00FB3904">
      <w:pPr>
        <w:spacing w:line="360" w:lineRule="auto"/>
        <w:jc w:val="both"/>
        <w:rPr>
          <w:rFonts w:ascii="Arial" w:hAnsi="Arial" w:cs="Arial"/>
          <w:sz w:val="22"/>
          <w:szCs w:val="22"/>
        </w:rPr>
      </w:pPr>
    </w:p>
    <w:p w14:paraId="67AB4431" w14:textId="77777777" w:rsidR="00FB3904" w:rsidRPr="00FB3904" w:rsidRDefault="00FB3904" w:rsidP="00FB3904">
      <w:pPr>
        <w:spacing w:line="360" w:lineRule="auto"/>
        <w:jc w:val="both"/>
        <w:rPr>
          <w:rFonts w:ascii="Arial" w:hAnsi="Arial" w:cs="Arial"/>
          <w:sz w:val="22"/>
          <w:szCs w:val="22"/>
        </w:rPr>
      </w:pPr>
      <w:proofErr w:type="spellStart"/>
      <w:r w:rsidRPr="00FB3904">
        <w:rPr>
          <w:rFonts w:ascii="Arial" w:hAnsi="Arial" w:cs="Arial"/>
          <w:sz w:val="22"/>
          <w:szCs w:val="22"/>
        </w:rPr>
        <w:t>Kaldoudi</w:t>
      </w:r>
      <w:proofErr w:type="spellEnd"/>
      <w:r w:rsidRPr="00FB3904">
        <w:rPr>
          <w:rFonts w:ascii="Arial" w:hAnsi="Arial" w:cs="Arial"/>
          <w:sz w:val="22"/>
          <w:szCs w:val="22"/>
        </w:rPr>
        <w:t>, E</w:t>
      </w:r>
      <w:proofErr w:type="spellStart"/>
      <w:r w:rsidRPr="00FB3904">
        <w:rPr>
          <w:rFonts w:ascii="Arial" w:hAnsi="Arial" w:cs="Arial"/>
          <w:sz w:val="22"/>
          <w:szCs w:val="22"/>
        </w:rPr>
        <w:t>. (2024)</w:t>
      </w:r>
      <w:proofErr w:type="spellEnd"/>
      <w:r w:rsidRPr="00FB3904">
        <w:rPr>
          <w:rFonts w:ascii="Arial" w:hAnsi="Arial" w:cs="Arial"/>
          <w:sz w:val="22"/>
          <w:szCs w:val="22"/>
        </w:rPr>
        <w:t xml:space="preserve"> 'Smart hospital: The future of healthcare', *Computational and Structural Biotechnology Journal*, **24**, pp. 87–88. </w:t>
      </w:r>
      <w:proofErr w:type="spellStart"/>
      <w:r w:rsidRPr="00FB3904">
        <w:rPr>
          <w:rFonts w:ascii="Arial" w:hAnsi="Arial" w:cs="Arial"/>
          <w:sz w:val="22"/>
          <w:szCs w:val="22"/>
        </w:rPr>
        <w:t>doi</w:t>
      </w:r>
      <w:proofErr w:type="spellEnd"/>
      <w:r w:rsidRPr="00FB3904">
        <w:rPr>
          <w:rFonts w:ascii="Arial" w:hAnsi="Arial" w:cs="Arial"/>
          <w:sz w:val="22"/>
          <w:szCs w:val="22"/>
        </w:rPr>
        <w:t>: 10.1016/j.csbj.2023.12.011.</w:t>
      </w:r>
    </w:p>
    <w:p w14:paraId="30640915" w14:textId="77777777" w:rsidR="00FB3904" w:rsidRPr="00FB3904" w:rsidRDefault="00FB3904" w:rsidP="00FB3904">
      <w:pPr>
        <w:spacing w:line="360" w:lineRule="auto"/>
        <w:jc w:val="both"/>
        <w:rPr>
          <w:rFonts w:ascii="Arial" w:hAnsi="Arial" w:cs="Arial"/>
          <w:sz w:val="22"/>
          <w:szCs w:val="22"/>
        </w:rPr>
      </w:pPr>
    </w:p>
    <w:p w14:paraId="08BD3915" w14:textId="77777777" w:rsidR="00FB3904" w:rsidRPr="00FB3904" w:rsidRDefault="00FB3904" w:rsidP="00FB3904">
      <w:pPr>
        <w:spacing w:line="360" w:lineRule="auto"/>
        <w:jc w:val="both"/>
        <w:rPr>
          <w:rFonts w:ascii="Arial" w:hAnsi="Arial" w:cs="Arial"/>
          <w:sz w:val="22"/>
          <w:szCs w:val="22"/>
        </w:rPr>
      </w:pPr>
      <w:proofErr w:type="spellStart"/>
      <w:r w:rsidRPr="00FB3904">
        <w:rPr>
          <w:rFonts w:ascii="Arial" w:hAnsi="Arial" w:cs="Arial"/>
          <w:sz w:val="22"/>
          <w:szCs w:val="22"/>
        </w:rPr>
        <w:t>Kerasidou</w:t>
      </w:r>
      <w:proofErr w:type="spellEnd"/>
      <w:r w:rsidRPr="00FB3904">
        <w:rPr>
          <w:rFonts w:ascii="Arial" w:hAnsi="Arial" w:cs="Arial"/>
          <w:sz w:val="22"/>
          <w:szCs w:val="22"/>
        </w:rPr>
        <w:t xml:space="preserve">, A. (2021) 'Artificial intelligence and the ongoing need for empathy, compassion and trust in healthcare', *Bulletin of the World Health Organization*, **99**(4), pp. 245–246. </w:t>
      </w:r>
      <w:proofErr w:type="spellStart"/>
      <w:r w:rsidRPr="00FB3904">
        <w:rPr>
          <w:rFonts w:ascii="Arial" w:hAnsi="Arial" w:cs="Arial"/>
          <w:sz w:val="22"/>
          <w:szCs w:val="22"/>
        </w:rPr>
        <w:t>doi</w:t>
      </w:r>
      <w:proofErr w:type="spellEnd"/>
      <w:r w:rsidRPr="00FB3904">
        <w:rPr>
          <w:rFonts w:ascii="Arial" w:hAnsi="Arial" w:cs="Arial"/>
          <w:sz w:val="22"/>
          <w:szCs w:val="22"/>
        </w:rPr>
        <w:t>: 10.2471/BLT.20.253757.</w:t>
      </w:r>
    </w:p>
    <w:p w14:paraId="5E4394EC" w14:textId="77777777" w:rsidR="00FB3904" w:rsidRPr="00FB3904" w:rsidRDefault="00FB3904" w:rsidP="00FB3904">
      <w:pPr>
        <w:spacing w:line="360" w:lineRule="auto"/>
        <w:jc w:val="both"/>
        <w:rPr>
          <w:rFonts w:ascii="Arial" w:hAnsi="Arial" w:cs="Arial"/>
          <w:sz w:val="22"/>
          <w:szCs w:val="22"/>
        </w:rPr>
      </w:pPr>
    </w:p>
    <w:p w14:paraId="61B507B6"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Kumar, P., Chauhan, S. and Awasthi, L.K. (2023) 'Artificial intelligence in healthcare: Review, ethics, trust challenges and future research directions', *Engineering Applications of Artificial Intelligence*, **120**, 105894. </w:t>
      </w:r>
      <w:proofErr w:type="spellStart"/>
      <w:r w:rsidRPr="00FB3904">
        <w:rPr>
          <w:rFonts w:ascii="Arial" w:hAnsi="Arial" w:cs="Arial"/>
          <w:sz w:val="22"/>
          <w:szCs w:val="22"/>
        </w:rPr>
        <w:t>doi</w:t>
      </w:r>
      <w:proofErr w:type="spellEnd"/>
      <w:r w:rsidRPr="00FB3904">
        <w:rPr>
          <w:rFonts w:ascii="Arial" w:hAnsi="Arial" w:cs="Arial"/>
          <w:sz w:val="22"/>
          <w:szCs w:val="22"/>
        </w:rPr>
        <w:t>: 10.1016/j.engappai.2023.105894.</w:t>
      </w:r>
    </w:p>
    <w:p w14:paraId="78F5B31F" w14:textId="77777777" w:rsidR="00FB3904" w:rsidRPr="00FB3904" w:rsidRDefault="00FB3904" w:rsidP="00FB3904">
      <w:pPr>
        <w:spacing w:line="360" w:lineRule="auto"/>
        <w:jc w:val="both"/>
        <w:rPr>
          <w:rFonts w:ascii="Arial" w:hAnsi="Arial" w:cs="Arial"/>
          <w:sz w:val="22"/>
          <w:szCs w:val="22"/>
        </w:rPr>
      </w:pPr>
    </w:p>
    <w:p w14:paraId="04E59C95"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Lewis, A., Venugopal, B., Gandhi, V., Gibson, O., Swanton, L., Green, M., Bowen, J. and Polkey, M.I. (2024) 'Remote vision-based digital patient monitoring of pulse and respiratory rates in acute medical wards', *Thorax*, **79**, pp. 363–365. </w:t>
      </w:r>
      <w:proofErr w:type="spellStart"/>
      <w:r w:rsidRPr="00FB3904">
        <w:rPr>
          <w:rFonts w:ascii="Arial" w:hAnsi="Arial" w:cs="Arial"/>
          <w:sz w:val="22"/>
          <w:szCs w:val="22"/>
        </w:rPr>
        <w:t>doi</w:t>
      </w:r>
      <w:proofErr w:type="spellEnd"/>
      <w:r w:rsidRPr="00FB3904">
        <w:rPr>
          <w:rFonts w:ascii="Arial" w:hAnsi="Arial" w:cs="Arial"/>
          <w:sz w:val="22"/>
          <w:szCs w:val="22"/>
        </w:rPr>
        <w:t>: 10.1136/thorax-2023-220968.</w:t>
      </w:r>
    </w:p>
    <w:p w14:paraId="77B4BE64" w14:textId="77777777" w:rsidR="00FB3904" w:rsidRPr="00FB3904" w:rsidRDefault="00FB3904" w:rsidP="00FB3904">
      <w:pPr>
        <w:spacing w:line="360" w:lineRule="auto"/>
        <w:jc w:val="both"/>
        <w:rPr>
          <w:rFonts w:ascii="Arial" w:hAnsi="Arial" w:cs="Arial"/>
          <w:sz w:val="22"/>
          <w:szCs w:val="22"/>
        </w:rPr>
      </w:pPr>
    </w:p>
    <w:p w14:paraId="6BF9005B"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Lupton, D. (2017) *Digital health: Critical and cross-disciplinary perspectives*. London: Routledge.</w:t>
      </w:r>
    </w:p>
    <w:p w14:paraId="4A8F90D4" w14:textId="77777777" w:rsidR="00FB3904" w:rsidRPr="00FB3904" w:rsidRDefault="00FB3904" w:rsidP="00FB3904">
      <w:pPr>
        <w:spacing w:line="360" w:lineRule="auto"/>
        <w:jc w:val="both"/>
        <w:rPr>
          <w:rFonts w:ascii="Arial" w:hAnsi="Arial" w:cs="Arial"/>
          <w:sz w:val="22"/>
          <w:szCs w:val="22"/>
        </w:rPr>
      </w:pPr>
    </w:p>
    <w:p w14:paraId="00B3F2E8"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NHS England (2019) *The NHS long term plan*. Available at: https://www.longtermplan.nhs.uk (Accessed: 25 February 2026).</w:t>
      </w:r>
    </w:p>
    <w:p w14:paraId="127A5240" w14:textId="77777777" w:rsidR="00FB3904" w:rsidRPr="00FB3904" w:rsidRDefault="00FB3904" w:rsidP="00FB3904">
      <w:pPr>
        <w:spacing w:line="360" w:lineRule="auto"/>
        <w:jc w:val="both"/>
        <w:rPr>
          <w:rFonts w:ascii="Arial" w:hAnsi="Arial" w:cs="Arial"/>
          <w:sz w:val="22"/>
          <w:szCs w:val="22"/>
        </w:rPr>
      </w:pPr>
    </w:p>
    <w:p w14:paraId="79B21BEB"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NHS England (2021) *What good looks like: A framework for digital transformation*. Available at: https://www.england.nhs.uk/digitaltechnology/what-good-looks-like/ (Accessed: 25 February 2026).</w:t>
      </w:r>
    </w:p>
    <w:p w14:paraId="40E5F454" w14:textId="77777777" w:rsidR="00FB3904" w:rsidRPr="00FB3904" w:rsidRDefault="00FB3904" w:rsidP="00FB3904">
      <w:pPr>
        <w:spacing w:line="360" w:lineRule="auto"/>
        <w:jc w:val="both"/>
        <w:rPr>
          <w:rFonts w:ascii="Arial" w:hAnsi="Arial" w:cs="Arial"/>
          <w:sz w:val="22"/>
          <w:szCs w:val="22"/>
        </w:rPr>
      </w:pPr>
    </w:p>
    <w:p w14:paraId="50DB169A"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Oxford Health NHS Foundation Trust (2025) *</w:t>
      </w:r>
      <w:proofErr w:type="spellStart"/>
      <w:r w:rsidRPr="00FB3904">
        <w:rPr>
          <w:rFonts w:ascii="Arial" w:hAnsi="Arial" w:cs="Arial"/>
          <w:sz w:val="22"/>
          <w:szCs w:val="22"/>
        </w:rPr>
        <w:t>Oxevision</w:t>
      </w:r>
      <w:proofErr w:type="spellEnd"/>
      <w:r w:rsidRPr="00FB3904">
        <w:rPr>
          <w:rFonts w:ascii="Arial" w:hAnsi="Arial" w:cs="Arial"/>
          <w:sz w:val="22"/>
          <w:szCs w:val="22"/>
        </w:rPr>
        <w:t xml:space="preserve"> camera-sensors and the care in your room*. Available at: https://oxfordhealth.nhs.uk/leaflets/title/oxevision-camera-sensors-and-the-care-in-your-room/ (Accessed: 25 February 2026).</w:t>
      </w:r>
    </w:p>
    <w:p w14:paraId="7FFEF4D9" w14:textId="77777777" w:rsidR="00FB3904" w:rsidRPr="00FB3904" w:rsidRDefault="00FB3904" w:rsidP="00FB3904">
      <w:pPr>
        <w:spacing w:line="360" w:lineRule="auto"/>
        <w:jc w:val="both"/>
        <w:rPr>
          <w:rFonts w:ascii="Arial" w:hAnsi="Arial" w:cs="Arial"/>
          <w:sz w:val="22"/>
          <w:szCs w:val="22"/>
        </w:rPr>
      </w:pPr>
    </w:p>
    <w:p w14:paraId="7304200A" w14:textId="77777777" w:rsidR="00FB3904" w:rsidRPr="00FB3904" w:rsidRDefault="00FB3904" w:rsidP="00FB3904">
      <w:pPr>
        <w:spacing w:line="360" w:lineRule="auto"/>
        <w:jc w:val="both"/>
        <w:rPr>
          <w:rFonts w:ascii="Arial" w:hAnsi="Arial" w:cs="Arial"/>
          <w:sz w:val="22"/>
          <w:szCs w:val="22"/>
        </w:rPr>
      </w:pPr>
      <w:proofErr w:type="spellStart"/>
      <w:r w:rsidRPr="00FB3904">
        <w:rPr>
          <w:rFonts w:ascii="Arial" w:hAnsi="Arial" w:cs="Arial"/>
          <w:sz w:val="22"/>
          <w:szCs w:val="22"/>
        </w:rPr>
        <w:t>Oxehealth</w:t>
      </w:r>
      <w:proofErr w:type="spellEnd"/>
      <w:r w:rsidRPr="00FB3904">
        <w:rPr>
          <w:rFonts w:ascii="Arial" w:hAnsi="Arial" w:cs="Arial"/>
          <w:sz w:val="22"/>
          <w:szCs w:val="22"/>
        </w:rPr>
        <w:t xml:space="preserve"> (2024) *</w:t>
      </w:r>
      <w:proofErr w:type="spellStart"/>
      <w:r w:rsidRPr="00FB3904">
        <w:rPr>
          <w:rFonts w:ascii="Arial" w:hAnsi="Arial" w:cs="Arial"/>
          <w:sz w:val="22"/>
          <w:szCs w:val="22"/>
        </w:rPr>
        <w:t>Oxevision</w:t>
      </w:r>
      <w:proofErr w:type="spellEnd"/>
      <w:r w:rsidRPr="00FB3904">
        <w:rPr>
          <w:rFonts w:ascii="Arial" w:hAnsi="Arial" w:cs="Arial"/>
          <w:sz w:val="22"/>
          <w:szCs w:val="22"/>
        </w:rPr>
        <w:t>: Contact-free patient monitoring*. Available at: https://www.oxehealth.com (Accessed: 25 February 2026).</w:t>
      </w:r>
    </w:p>
    <w:p w14:paraId="004E1F8A" w14:textId="77777777" w:rsidR="00FB3904" w:rsidRPr="00FB3904" w:rsidRDefault="00FB3904" w:rsidP="00FB3904">
      <w:pPr>
        <w:spacing w:line="360" w:lineRule="auto"/>
        <w:jc w:val="both"/>
        <w:rPr>
          <w:rFonts w:ascii="Arial" w:hAnsi="Arial" w:cs="Arial"/>
          <w:sz w:val="22"/>
          <w:szCs w:val="22"/>
        </w:rPr>
      </w:pPr>
    </w:p>
    <w:p w14:paraId="501CA701"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Sidey-Gibbons, J.A.M. and Sidey-Gibbons, C.J. (2019) 'Machine learning in medicine: A practical introduction', *BMC Medical Research Methodology*, **19**, 64. </w:t>
      </w:r>
      <w:proofErr w:type="spellStart"/>
      <w:r w:rsidRPr="00FB3904">
        <w:rPr>
          <w:rFonts w:ascii="Arial" w:hAnsi="Arial" w:cs="Arial"/>
          <w:sz w:val="22"/>
          <w:szCs w:val="22"/>
        </w:rPr>
        <w:t>doi</w:t>
      </w:r>
      <w:proofErr w:type="spellEnd"/>
      <w:r w:rsidRPr="00FB3904">
        <w:rPr>
          <w:rFonts w:ascii="Arial" w:hAnsi="Arial" w:cs="Arial"/>
          <w:sz w:val="22"/>
          <w:szCs w:val="22"/>
        </w:rPr>
        <w:t>: 10.1186/s12874-019-0681-4.</w:t>
      </w:r>
    </w:p>
    <w:p w14:paraId="763FC234" w14:textId="77777777" w:rsidR="00FB3904" w:rsidRPr="00FB3904" w:rsidRDefault="00FB3904" w:rsidP="00FB3904">
      <w:pPr>
        <w:spacing w:line="360" w:lineRule="auto"/>
        <w:jc w:val="both"/>
        <w:rPr>
          <w:rFonts w:ascii="Arial" w:hAnsi="Arial" w:cs="Arial"/>
          <w:sz w:val="22"/>
          <w:szCs w:val="22"/>
        </w:rPr>
      </w:pPr>
    </w:p>
    <w:p w14:paraId="070A4240"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Topol, E. (2019) *Deep medicine: How artificial intelligence can make healthcare human again*. New York: Basic Books.</w:t>
      </w:r>
    </w:p>
    <w:p w14:paraId="2F9C4062" w14:textId="77777777" w:rsidR="00FB3904" w:rsidRPr="00FB3904" w:rsidRDefault="00FB3904" w:rsidP="00FB3904">
      <w:pPr>
        <w:spacing w:line="360" w:lineRule="auto"/>
        <w:jc w:val="both"/>
        <w:rPr>
          <w:rFonts w:ascii="Arial" w:hAnsi="Arial" w:cs="Arial"/>
          <w:sz w:val="22"/>
          <w:szCs w:val="22"/>
        </w:rPr>
      </w:pPr>
    </w:p>
    <w:p w14:paraId="185EACBF"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UK Government (2018) *Data Protection Act 2018*. Available at: https://www.legislation.gov.uk/ukpga/2018/12/contents/enacted (Accessed: 25 February 2026).</w:t>
      </w:r>
    </w:p>
    <w:p w14:paraId="0315D742" w14:textId="77777777" w:rsidR="00FB3904" w:rsidRPr="00FB3904" w:rsidRDefault="00FB3904" w:rsidP="00FB3904">
      <w:pPr>
        <w:spacing w:line="360" w:lineRule="auto"/>
        <w:jc w:val="both"/>
        <w:rPr>
          <w:rFonts w:ascii="Arial" w:hAnsi="Arial" w:cs="Arial"/>
          <w:sz w:val="22"/>
          <w:szCs w:val="22"/>
        </w:rPr>
      </w:pPr>
    </w:p>
    <w:p w14:paraId="77EFB778" w14:textId="77777777" w:rsidR="00FB3904" w:rsidRPr="00FB3904" w:rsidRDefault="00FB3904" w:rsidP="00FB3904">
      <w:pPr>
        <w:spacing w:line="360" w:lineRule="auto"/>
        <w:jc w:val="both"/>
        <w:rPr>
          <w:rFonts w:ascii="Arial" w:hAnsi="Arial" w:cs="Arial"/>
          <w:sz w:val="22"/>
          <w:szCs w:val="22"/>
        </w:rPr>
      </w:pPr>
      <w:r w:rsidRPr="00FB3904">
        <w:rPr>
          <w:rFonts w:ascii="Arial" w:hAnsi="Arial" w:cs="Arial"/>
          <w:sz w:val="22"/>
          <w:szCs w:val="22"/>
        </w:rPr>
        <w:t>Wachter, R. (2015) *The digital doctor: Hope, hype, and harm at the dawn of medicine's computer age*. New York: McGraw-Hill.</w:t>
      </w:r>
    </w:p>
    <w:p w14:paraId="425E7526" w14:textId="77777777" w:rsidR="00FB3904" w:rsidRPr="00FB3904" w:rsidRDefault="00FB3904" w:rsidP="00FB3904">
      <w:pPr>
        <w:spacing w:line="360" w:lineRule="auto"/>
        <w:jc w:val="both"/>
        <w:rPr>
          <w:rFonts w:ascii="Arial" w:hAnsi="Arial" w:cs="Arial"/>
          <w:sz w:val="22"/>
          <w:szCs w:val="22"/>
        </w:rPr>
      </w:pPr>
    </w:p>
    <w:p w14:paraId="1CAAF7D3" w14:textId="3CC11BA1" w:rsidR="00B56D1B" w:rsidRPr="00964F62" w:rsidRDefault="00FB3904" w:rsidP="00FB3904">
      <w:pPr>
        <w:spacing w:line="360" w:lineRule="auto"/>
        <w:jc w:val="both"/>
        <w:rPr>
          <w:rFonts w:ascii="Arial" w:hAnsi="Arial" w:cs="Arial"/>
          <w:sz w:val="22"/>
          <w:szCs w:val="22"/>
        </w:rPr>
      </w:pPr>
      <w:r w:rsidRPr="00FB3904">
        <w:rPr>
          <w:rFonts w:ascii="Arial" w:hAnsi="Arial" w:cs="Arial"/>
          <w:sz w:val="22"/>
          <w:szCs w:val="22"/>
        </w:rPr>
        <w:t xml:space="preserve">Zhang, J., Morley, J., </w:t>
      </w:r>
      <w:proofErr w:type="spellStart"/>
      <w:r w:rsidRPr="00FB3904">
        <w:rPr>
          <w:rFonts w:ascii="Arial" w:hAnsi="Arial" w:cs="Arial"/>
          <w:sz w:val="22"/>
          <w:szCs w:val="22"/>
        </w:rPr>
        <w:t>Gallifant</w:t>
      </w:r>
      <w:proofErr w:type="spellEnd"/>
      <w:r w:rsidRPr="00FB3904">
        <w:rPr>
          <w:rFonts w:ascii="Arial" w:hAnsi="Arial" w:cs="Arial"/>
          <w:sz w:val="22"/>
          <w:szCs w:val="22"/>
        </w:rPr>
        <w:t xml:space="preserve">, J., Oddy, C., Teo, J.T., Ashrafian, H., Delaney, B. and Darzi, A. (2023) 'Mapping and evaluating national data flows: Transparency, privacy, and guiding infrastructural transformation', *The Lancet Digital Health*, **5**(10), pp. e666–e673. </w:t>
      </w:r>
      <w:proofErr w:type="spellStart"/>
      <w:r w:rsidRPr="00FB3904">
        <w:rPr>
          <w:rFonts w:ascii="Arial" w:hAnsi="Arial" w:cs="Arial"/>
          <w:sz w:val="22"/>
          <w:szCs w:val="22"/>
        </w:rPr>
        <w:t>doi</w:t>
      </w:r>
      <w:proofErr w:type="spellEnd"/>
      <w:r w:rsidRPr="00FB3904">
        <w:rPr>
          <w:rFonts w:ascii="Arial" w:hAnsi="Arial" w:cs="Arial"/>
          <w:sz w:val="22"/>
          <w:szCs w:val="22"/>
        </w:rPr>
        <w:t>: 10.1016/S2589-7500(23)00157-7.</w:t>
      </w:r>
    </w:p>
    <w:sectPr w:rsidR="00B56D1B" w:rsidRPr="00964F62">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27476" w14:textId="77777777" w:rsidR="00405150" w:rsidRDefault="00405150" w:rsidP="003D5826">
      <w:r>
        <w:separator/>
      </w:r>
    </w:p>
  </w:endnote>
  <w:endnote w:type="continuationSeparator" w:id="0">
    <w:p w14:paraId="1C8B25D0" w14:textId="77777777" w:rsidR="00405150" w:rsidRDefault="00405150" w:rsidP="003D58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8698554"/>
      <w:docPartObj>
        <w:docPartGallery w:val="Page Numbers (Bottom of Page)"/>
        <w:docPartUnique/>
      </w:docPartObj>
    </w:sdtPr>
    <w:sdtContent>
      <w:p w14:paraId="5F1D89E8" w14:textId="407DAA0E" w:rsidR="003D5826" w:rsidRDefault="003D5826" w:rsidP="00410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5ADFF07" w14:textId="77777777" w:rsidR="003D5826" w:rsidRDefault="003D5826" w:rsidP="003D58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1096354"/>
      <w:docPartObj>
        <w:docPartGallery w:val="Page Numbers (Bottom of Page)"/>
        <w:docPartUnique/>
      </w:docPartObj>
    </w:sdtPr>
    <w:sdtContent>
      <w:p w14:paraId="352F6AE8" w14:textId="76BDF53D" w:rsidR="003D5826" w:rsidRDefault="003D5826" w:rsidP="00410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AD053E6" w14:textId="77777777" w:rsidR="003D5826" w:rsidRDefault="003D5826" w:rsidP="003D58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05D84" w14:textId="77777777" w:rsidR="00405150" w:rsidRDefault="00405150" w:rsidP="003D5826">
      <w:r>
        <w:separator/>
      </w:r>
    </w:p>
  </w:footnote>
  <w:footnote w:type="continuationSeparator" w:id="0">
    <w:p w14:paraId="5B4A8887" w14:textId="77777777" w:rsidR="00405150" w:rsidRDefault="00405150" w:rsidP="003D58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BF480D"/>
    <w:multiLevelType w:val="multilevel"/>
    <w:tmpl w:val="B0FA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73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8F1"/>
    <w:rsid w:val="00047F09"/>
    <w:rsid w:val="00064B77"/>
    <w:rsid w:val="000C3480"/>
    <w:rsid w:val="000D78ED"/>
    <w:rsid w:val="000E1483"/>
    <w:rsid w:val="00131CF5"/>
    <w:rsid w:val="00140849"/>
    <w:rsid w:val="0018344A"/>
    <w:rsid w:val="001B2920"/>
    <w:rsid w:val="001B7BDD"/>
    <w:rsid w:val="001C0599"/>
    <w:rsid w:val="001D5C1D"/>
    <w:rsid w:val="002111CA"/>
    <w:rsid w:val="00215ACA"/>
    <w:rsid w:val="00256E7F"/>
    <w:rsid w:val="00283CBF"/>
    <w:rsid w:val="00293B48"/>
    <w:rsid w:val="002A3C44"/>
    <w:rsid w:val="002B0D45"/>
    <w:rsid w:val="002D332D"/>
    <w:rsid w:val="0030296F"/>
    <w:rsid w:val="00394FE2"/>
    <w:rsid w:val="003B20BC"/>
    <w:rsid w:val="003D5826"/>
    <w:rsid w:val="003D716F"/>
    <w:rsid w:val="00401A54"/>
    <w:rsid w:val="00405150"/>
    <w:rsid w:val="00407767"/>
    <w:rsid w:val="00427852"/>
    <w:rsid w:val="004605A0"/>
    <w:rsid w:val="004A20CD"/>
    <w:rsid w:val="004D6DD4"/>
    <w:rsid w:val="00504418"/>
    <w:rsid w:val="00521D61"/>
    <w:rsid w:val="0055616A"/>
    <w:rsid w:val="005E7D2A"/>
    <w:rsid w:val="006063BD"/>
    <w:rsid w:val="006117CF"/>
    <w:rsid w:val="00630C1E"/>
    <w:rsid w:val="00677DD4"/>
    <w:rsid w:val="0069021F"/>
    <w:rsid w:val="006F23BB"/>
    <w:rsid w:val="00741B65"/>
    <w:rsid w:val="00756FD7"/>
    <w:rsid w:val="00760F72"/>
    <w:rsid w:val="00771729"/>
    <w:rsid w:val="007974EE"/>
    <w:rsid w:val="007A05A4"/>
    <w:rsid w:val="007B1E4B"/>
    <w:rsid w:val="0087666E"/>
    <w:rsid w:val="008C2B62"/>
    <w:rsid w:val="00950AC2"/>
    <w:rsid w:val="00964F62"/>
    <w:rsid w:val="00976CA9"/>
    <w:rsid w:val="009C2909"/>
    <w:rsid w:val="009E287C"/>
    <w:rsid w:val="00A045CA"/>
    <w:rsid w:val="00A05A3D"/>
    <w:rsid w:val="00A12708"/>
    <w:rsid w:val="00A76519"/>
    <w:rsid w:val="00A85694"/>
    <w:rsid w:val="00AA1F0B"/>
    <w:rsid w:val="00AD2960"/>
    <w:rsid w:val="00AF220F"/>
    <w:rsid w:val="00AF7115"/>
    <w:rsid w:val="00B045FF"/>
    <w:rsid w:val="00B20844"/>
    <w:rsid w:val="00B56D1B"/>
    <w:rsid w:val="00B7754B"/>
    <w:rsid w:val="00B94897"/>
    <w:rsid w:val="00BA0814"/>
    <w:rsid w:val="00BF505B"/>
    <w:rsid w:val="00C77709"/>
    <w:rsid w:val="00CB359E"/>
    <w:rsid w:val="00CE0CBE"/>
    <w:rsid w:val="00D20D60"/>
    <w:rsid w:val="00D23110"/>
    <w:rsid w:val="00D325B6"/>
    <w:rsid w:val="00D65D7D"/>
    <w:rsid w:val="00D75476"/>
    <w:rsid w:val="00DA0D98"/>
    <w:rsid w:val="00DC0E59"/>
    <w:rsid w:val="00DC4264"/>
    <w:rsid w:val="00DD4A4D"/>
    <w:rsid w:val="00E34EFB"/>
    <w:rsid w:val="00E35139"/>
    <w:rsid w:val="00E44717"/>
    <w:rsid w:val="00E600D3"/>
    <w:rsid w:val="00ED4BC5"/>
    <w:rsid w:val="00EE1DC6"/>
    <w:rsid w:val="00F24A09"/>
    <w:rsid w:val="00F47EA0"/>
    <w:rsid w:val="00F8588F"/>
    <w:rsid w:val="00F900CB"/>
    <w:rsid w:val="00F9304C"/>
    <w:rsid w:val="00F978F1"/>
    <w:rsid w:val="00FB19ED"/>
    <w:rsid w:val="00FB3904"/>
    <w:rsid w:val="00FE67B6"/>
    <w:rsid w:val="00FF382E"/>
    <w:rsid w:val="00FF5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41FF6"/>
  <w15:chartTrackingRefBased/>
  <w15:docId w15:val="{9FA28A9B-3E33-3246-B682-16E2FD85A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F6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978F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978F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978F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978F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978F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978F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978F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978F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978F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8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78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8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8F1"/>
    <w:rPr>
      <w:rFonts w:eastAsiaTheme="majorEastAsia" w:cstheme="majorBidi"/>
      <w:color w:val="272727" w:themeColor="text1" w:themeTint="D8"/>
    </w:rPr>
  </w:style>
  <w:style w:type="paragraph" w:styleId="Title">
    <w:name w:val="Title"/>
    <w:basedOn w:val="Normal"/>
    <w:next w:val="Normal"/>
    <w:link w:val="TitleChar"/>
    <w:uiPriority w:val="10"/>
    <w:qFormat/>
    <w:rsid w:val="00F978F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97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8F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97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8F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978F1"/>
    <w:rPr>
      <w:i/>
      <w:iCs/>
      <w:color w:val="404040" w:themeColor="text1" w:themeTint="BF"/>
    </w:rPr>
  </w:style>
  <w:style w:type="paragraph" w:styleId="ListParagraph">
    <w:name w:val="List Paragraph"/>
    <w:basedOn w:val="Normal"/>
    <w:uiPriority w:val="34"/>
    <w:qFormat/>
    <w:rsid w:val="00F978F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978F1"/>
    <w:rPr>
      <w:i/>
      <w:iCs/>
      <w:color w:val="0F4761" w:themeColor="accent1" w:themeShade="BF"/>
    </w:rPr>
  </w:style>
  <w:style w:type="paragraph" w:styleId="IntenseQuote">
    <w:name w:val="Intense Quote"/>
    <w:basedOn w:val="Normal"/>
    <w:next w:val="Normal"/>
    <w:link w:val="IntenseQuoteChar"/>
    <w:uiPriority w:val="30"/>
    <w:qFormat/>
    <w:rsid w:val="00F978F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978F1"/>
    <w:rPr>
      <w:i/>
      <w:iCs/>
      <w:color w:val="0F4761" w:themeColor="accent1" w:themeShade="BF"/>
    </w:rPr>
  </w:style>
  <w:style w:type="character" w:styleId="IntenseReference">
    <w:name w:val="Intense Reference"/>
    <w:basedOn w:val="DefaultParagraphFont"/>
    <w:uiPriority w:val="32"/>
    <w:qFormat/>
    <w:rsid w:val="00F978F1"/>
    <w:rPr>
      <w:b/>
      <w:bCs/>
      <w:smallCaps/>
      <w:color w:val="0F4761" w:themeColor="accent1" w:themeShade="BF"/>
      <w:spacing w:val="5"/>
    </w:rPr>
  </w:style>
  <w:style w:type="paragraph" w:styleId="NormalWeb">
    <w:name w:val="Normal (Web)"/>
    <w:basedOn w:val="Normal"/>
    <w:uiPriority w:val="99"/>
    <w:unhideWhenUsed/>
    <w:rsid w:val="00950AC2"/>
    <w:pPr>
      <w:spacing w:before="100" w:beforeAutospacing="1" w:after="100" w:afterAutospacing="1"/>
    </w:pPr>
  </w:style>
  <w:style w:type="character" w:customStyle="1" w:styleId="apple-converted-space">
    <w:name w:val="apple-converted-space"/>
    <w:basedOn w:val="DefaultParagraphFont"/>
    <w:rsid w:val="00950AC2"/>
  </w:style>
  <w:style w:type="character" w:styleId="Emphasis">
    <w:name w:val="Emphasis"/>
    <w:basedOn w:val="DefaultParagraphFont"/>
    <w:uiPriority w:val="20"/>
    <w:qFormat/>
    <w:rsid w:val="00950AC2"/>
    <w:rPr>
      <w:i/>
      <w:iCs/>
    </w:rPr>
  </w:style>
  <w:style w:type="paragraph" w:styleId="Footer">
    <w:name w:val="footer"/>
    <w:basedOn w:val="Normal"/>
    <w:link w:val="FooterChar"/>
    <w:uiPriority w:val="99"/>
    <w:unhideWhenUsed/>
    <w:rsid w:val="003D5826"/>
    <w:pPr>
      <w:tabs>
        <w:tab w:val="center" w:pos="4513"/>
        <w:tab w:val="right" w:pos="9026"/>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rsid w:val="003D5826"/>
    <w:rPr>
      <w:rFonts w:eastAsiaTheme="minorEastAsia"/>
      <w:kern w:val="0"/>
      <w:lang w:val="en-US" w:eastAsia="ja-JP"/>
      <w14:ligatures w14:val="none"/>
    </w:rPr>
  </w:style>
  <w:style w:type="character" w:styleId="PageNumber">
    <w:name w:val="page number"/>
    <w:basedOn w:val="DefaultParagraphFont"/>
    <w:uiPriority w:val="99"/>
    <w:semiHidden/>
    <w:unhideWhenUsed/>
    <w:rsid w:val="003D5826"/>
  </w:style>
  <w:style w:type="paragraph" w:customStyle="1" w:styleId="ds-markdown-paragraph">
    <w:name w:val="ds-markdown-paragraph"/>
    <w:basedOn w:val="Normal"/>
    <w:rsid w:val="00215ACA"/>
    <w:pPr>
      <w:spacing w:before="100" w:beforeAutospacing="1" w:after="100" w:afterAutospacing="1"/>
    </w:pPr>
  </w:style>
  <w:style w:type="character" w:styleId="Strong">
    <w:name w:val="Strong"/>
    <w:basedOn w:val="DefaultParagraphFont"/>
    <w:uiPriority w:val="22"/>
    <w:qFormat/>
    <w:rsid w:val="00215ACA"/>
    <w:rPr>
      <w:b/>
      <w:bCs/>
    </w:rPr>
  </w:style>
  <w:style w:type="character" w:styleId="Hyperlink">
    <w:name w:val="Hyperlink"/>
    <w:basedOn w:val="DefaultParagraphFont"/>
    <w:uiPriority w:val="99"/>
    <w:semiHidden/>
    <w:unhideWhenUsed/>
    <w:rsid w:val="00964F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13</Pages>
  <Words>3420</Words>
  <Characters>19838</Characters>
  <Application>Microsoft Office Word</Application>
  <DocSecurity>0</DocSecurity>
  <Lines>583</Lines>
  <Paragraphs>484</Paragraphs>
  <ScaleCrop>false</ScaleCrop>
  <Company/>
  <LinksUpToDate>false</LinksUpToDate>
  <CharactersWithSpaces>22774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92</cp:revision>
  <dcterms:created xsi:type="dcterms:W3CDTF">2026-01-19T10:49:00Z</dcterms:created>
  <dcterms:modified xsi:type="dcterms:W3CDTF">2026-02-28T08:31:00Z</dcterms:modified>
</cp:coreProperties>
</file>