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618EAF8" wp14:paraId="2663894A" wp14:textId="5565AE45">
      <w:pPr>
        <w:spacing w:before="0" w:beforeAutospacing="off" w:after="24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0962AC0C">
        <w:rPr>
          <w:rFonts w:ascii="Arial" w:hAnsi="Arial" w:eastAsia="Arial" w:cs="Arial"/>
          <w:b w:val="1"/>
          <w:bCs w:val="1"/>
          <w:i w:val="0"/>
          <w:iCs w:val="0"/>
          <w:caps w:val="0"/>
          <w:smallCaps w:val="0"/>
          <w:noProof w:val="0"/>
          <w:color w:val="000000" w:themeColor="text1" w:themeTint="FF" w:themeShade="FF"/>
          <w:sz w:val="22"/>
          <w:szCs w:val="22"/>
          <w:lang w:val="en-GB"/>
        </w:rPr>
        <w:t>Bachelor of Science (BSc</w:t>
      </w:r>
      <w:r w:rsidRPr="6618EAF8" w:rsidR="0962AC0C">
        <w:rPr>
          <w:rFonts w:ascii="Arial" w:hAnsi="Arial" w:eastAsia="Arial" w:cs="Arial"/>
          <w:b w:val="1"/>
          <w:bCs w:val="1"/>
          <w:i w:val="0"/>
          <w:iCs w:val="0"/>
          <w:caps w:val="0"/>
          <w:smallCaps w:val="0"/>
          <w:noProof w:val="0"/>
          <w:color w:val="000000" w:themeColor="text1" w:themeTint="FF" w:themeShade="FF"/>
          <w:sz w:val="22"/>
          <w:szCs w:val="22"/>
          <w:lang w:val="en-GB"/>
        </w:rPr>
        <w:t>)</w:t>
      </w: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 xml:space="preserve"> Health &amp; Social Care</w:t>
      </w:r>
    </w:p>
    <w:p xmlns:wp14="http://schemas.microsoft.com/office/word/2010/wordml" w:rsidP="6618EAF8" wp14:paraId="59ACB833" wp14:textId="7F4BD107">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6618EAF8" wp14:paraId="71BF4A34" wp14:textId="39DDEC52">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6618EAF8" w:rsidR="134DC166">
        <w:rPr>
          <w:rFonts w:ascii="Arial" w:hAnsi="Arial" w:eastAsia="Arial" w:cs="Arial"/>
          <w:b w:val="1"/>
          <w:bCs w:val="1"/>
          <w:i w:val="0"/>
          <w:iCs w:val="0"/>
          <w:caps w:val="0"/>
          <w:smallCaps w:val="0"/>
          <w:noProof w:val="0"/>
          <w:color w:val="000000" w:themeColor="text1" w:themeTint="FF" w:themeShade="FF"/>
          <w:sz w:val="22"/>
          <w:szCs w:val="22"/>
          <w:lang w:val="en-GB"/>
        </w:rPr>
        <w:t>BMHP</w:t>
      </w: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 xml:space="preserve">5023 </w:t>
      </w:r>
      <w:r w:rsidRPr="6618EAF8" w:rsidR="41751EA2">
        <w:rPr>
          <w:rFonts w:ascii="Arial" w:hAnsi="Arial" w:eastAsia="Arial" w:cs="Arial"/>
          <w:b w:val="1"/>
          <w:bCs w:val="1"/>
          <w:i w:val="0"/>
          <w:iCs w:val="0"/>
          <w:caps w:val="0"/>
          <w:smallCaps w:val="0"/>
          <w:noProof w:val="0"/>
          <w:color w:val="000000" w:themeColor="text1" w:themeTint="FF" w:themeShade="FF"/>
          <w:sz w:val="22"/>
          <w:szCs w:val="22"/>
          <w:lang w:val="en-GB"/>
        </w:rPr>
        <w:t>Introduction to Physiology</w:t>
      </w:r>
    </w:p>
    <w:p xmlns:wp14="http://schemas.microsoft.com/office/word/2010/wordml" w:rsidP="6618EAF8" wp14:paraId="2FC13149" wp14:textId="723E69DC">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6618EAF8" wp14:paraId="29F5952B" wp14:textId="18AE5888">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Student Number: 2215608</w:t>
      </w:r>
    </w:p>
    <w:p xmlns:wp14="http://schemas.microsoft.com/office/word/2010/wordml" w:rsidP="6618EAF8" wp14:paraId="0461C196" wp14:textId="6125DB65">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618EAF8" wp14:paraId="33CFE5EE" wp14:textId="4E67CDE9">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Student Name: Mohammed Ousman</w:t>
      </w:r>
    </w:p>
    <w:p xmlns:wp14="http://schemas.microsoft.com/office/word/2010/wordml" w:rsidP="6618EAF8" wp14:paraId="0DC8C142" wp14:textId="15B482CE">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6618EAF8" wp14:paraId="00B1E128" wp14:textId="72E8DCAC">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6618EAF8" w:rsidR="0328E8C4">
        <w:rPr>
          <w:rFonts w:ascii="Arial" w:hAnsi="Arial" w:eastAsia="Arial" w:cs="Arial"/>
          <w:b w:val="1"/>
          <w:bCs w:val="1"/>
          <w:i w:val="0"/>
          <w:iCs w:val="0"/>
          <w:caps w:val="0"/>
          <w:smallCaps w:val="0"/>
          <w:noProof w:val="0"/>
          <w:color w:val="000000" w:themeColor="text1" w:themeTint="FF" w:themeShade="FF"/>
          <w:sz w:val="22"/>
          <w:szCs w:val="22"/>
          <w:lang w:val="en-GB"/>
        </w:rPr>
        <w:t xml:space="preserve">Robert </w:t>
      </w:r>
      <w:r w:rsidRPr="6618EAF8" w:rsidR="0328E8C4">
        <w:rPr>
          <w:rFonts w:ascii="Arial" w:hAnsi="Arial" w:eastAsia="Arial" w:cs="Arial"/>
          <w:b w:val="1"/>
          <w:bCs w:val="1"/>
          <w:i w:val="0"/>
          <w:iCs w:val="0"/>
          <w:caps w:val="0"/>
          <w:smallCaps w:val="0"/>
          <w:noProof w:val="0"/>
          <w:color w:val="000000" w:themeColor="text1" w:themeTint="FF" w:themeShade="FF"/>
          <w:sz w:val="22"/>
          <w:szCs w:val="22"/>
          <w:lang w:val="en-GB"/>
        </w:rPr>
        <w:t>Nartowski</w:t>
      </w:r>
    </w:p>
    <w:p xmlns:wp14="http://schemas.microsoft.com/office/word/2010/wordml" w:rsidP="6618EAF8" wp14:paraId="3921CB14" wp14:textId="582DA4B0">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6618EAF8" wp14:paraId="5B42AEA6" wp14:textId="6A2022B6">
      <w:pPr>
        <w:spacing w:before="0" w:beforeAutospacing="off" w:after="160" w:afterAutospacing="off" w:line="257"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Assignment Title:</w:t>
      </w:r>
      <w:r w:rsidRPr="6618EAF8" w:rsidR="47B65AC4">
        <w:rPr>
          <w:rFonts w:ascii="Arial" w:hAnsi="Arial" w:eastAsia="Arial" w:cs="Arial"/>
          <w:b w:val="1"/>
          <w:bCs w:val="1"/>
          <w:i w:val="0"/>
          <w:iCs w:val="0"/>
          <w:caps w:val="0"/>
          <w:smallCaps w:val="0"/>
          <w:noProof w:val="0"/>
          <w:color w:val="000000" w:themeColor="text1" w:themeTint="FF" w:themeShade="FF"/>
          <w:sz w:val="22"/>
          <w:szCs w:val="22"/>
          <w:lang w:val="en-GB"/>
        </w:rPr>
        <w:t xml:space="preserve"> Written</w:t>
      </w:r>
      <w:r w:rsidRPr="6618EAF8" w:rsidR="4B0E9778">
        <w:rPr>
          <w:rFonts w:ascii="Arial" w:hAnsi="Arial" w:eastAsia="Arial" w:cs="Arial"/>
          <w:b w:val="1"/>
          <w:bCs w:val="1"/>
          <w:i w:val="0"/>
          <w:iCs w:val="0"/>
          <w:caps w:val="0"/>
          <w:smallCaps w:val="0"/>
          <w:noProof w:val="0"/>
          <w:color w:val="000000" w:themeColor="text1" w:themeTint="FF" w:themeShade="FF"/>
          <w:sz w:val="22"/>
          <w:szCs w:val="22"/>
          <w:lang w:val="en-GB"/>
        </w:rPr>
        <w:t xml:space="preserve"> Assignment</w:t>
      </w:r>
    </w:p>
    <w:p xmlns:wp14="http://schemas.microsoft.com/office/word/2010/wordml" w:rsidP="6618EAF8" wp14:paraId="195C03F5" wp14:textId="42E39BAE">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720719D2" wp14:textId="2417F4F2">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47076F9C" wp14:textId="5E7D98B0">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67134B06" wp14:textId="57C06EA7">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35215EBC" wp14:textId="5BB8F859">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7B395D6F" wp14:textId="008CA034">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3F55E0FA" wp14:textId="5D1BE707">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3B760582" wp14:textId="01E1FE56">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4BB9168D" wp14:textId="549AA568">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016EA188" wp14:textId="094BE868">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79F6CF03" wp14:textId="2D004177">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63A9E6C9" wp14:textId="32A0F456">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48317B2A" wp14:textId="712C7FF6">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3F7158CE" wp14:textId="18EEEB9B">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0B8DDA54" wp14:textId="63D8F062">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194EBF2D" wp14:textId="0D172179">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6A57AB6A" wp14:textId="02A80AD4">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2929B5B0" wp14:textId="5E1ED897">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05B5B987" wp14:textId="5A2F9A87">
      <w:pPr>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11387FA2" wp14:textId="69081CD1">
      <w:pPr>
        <w:pStyle w:val="Normal"/>
        <w:spacing w:before="0" w:beforeAutospacing="off" w:after="160" w:afterAutospacing="off" w:line="257"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xmlns:wp14="http://schemas.microsoft.com/office/word/2010/wordml" w:rsidP="6618EAF8" wp14:paraId="3DB43D55" wp14:textId="6A4F0E7A">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r w:rsidRPr="6618EAF8" w:rsidR="0BD29C04">
        <w:rPr>
          <w:rFonts w:ascii="Arial" w:hAnsi="Arial" w:eastAsia="Arial" w:cs="Arial"/>
          <w:b w:val="1"/>
          <w:bCs w:val="1"/>
          <w:i w:val="0"/>
          <w:iCs w:val="0"/>
          <w:caps w:val="0"/>
          <w:smallCaps w:val="0"/>
          <w:noProof w:val="0"/>
          <w:color w:val="242424"/>
          <w:sz w:val="22"/>
          <w:szCs w:val="22"/>
          <w:lang w:val="en-GB"/>
        </w:rPr>
        <w:t>C</w:t>
      </w:r>
      <w:r w:rsidRPr="6618EAF8" w:rsidR="18A5E030">
        <w:rPr>
          <w:rFonts w:ascii="Arial" w:hAnsi="Arial" w:eastAsia="Arial" w:cs="Arial"/>
          <w:b w:val="1"/>
          <w:bCs w:val="1"/>
          <w:i w:val="0"/>
          <w:iCs w:val="0"/>
          <w:caps w:val="0"/>
          <w:smallCaps w:val="0"/>
          <w:noProof w:val="0"/>
          <w:color w:val="242424"/>
          <w:sz w:val="22"/>
          <w:szCs w:val="22"/>
          <w:lang w:val="en-GB"/>
        </w:rPr>
        <w:t>ONTENT</w:t>
      </w:r>
    </w:p>
    <w:p xmlns:wp14="http://schemas.microsoft.com/office/word/2010/wordml" w:rsidP="6618EAF8" wp14:paraId="5B250A9F" wp14:textId="6EA1843B">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67945038" wp14:textId="079BEF78">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r w:rsidRPr="6618EAF8" w:rsidR="2E1784A7">
        <w:rPr>
          <w:rFonts w:ascii="Arial" w:hAnsi="Arial" w:eastAsia="Arial" w:cs="Arial"/>
          <w:b w:val="0"/>
          <w:bCs w:val="0"/>
          <w:i w:val="0"/>
          <w:iCs w:val="0"/>
          <w:caps w:val="0"/>
          <w:smallCaps w:val="0"/>
          <w:noProof w:val="0"/>
          <w:color w:val="242424"/>
          <w:sz w:val="22"/>
          <w:szCs w:val="22"/>
          <w:lang w:val="en-GB"/>
        </w:rPr>
        <w:t>REPORT: TYPE 2 DIABETES MANAGEMENT – INTEGRATING PHYSIOLOGICAL UNDERSTANDING WITH LIFESTYLE INTERVENTION</w:t>
      </w:r>
    </w:p>
    <w:p xmlns:wp14="http://schemas.microsoft.com/office/word/2010/wordml" w:rsidP="6618EAF8" wp14:paraId="21EE594E" wp14:textId="59229D5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2A7E1D3E" wp14:textId="56E8A8A2">
      <w:pPr>
        <w:pStyle w:val="Normal"/>
        <w:shd w:val="clear" w:color="auto" w:fill="FFFFFF" w:themeFill="background1"/>
        <w:spacing w:before="0" w:beforeAutospacing="off" w:after="0" w:afterAutospacing="off"/>
        <w:jc w:val="left"/>
        <w:rPr>
          <w:rFonts w:ascii="Arial" w:hAnsi="Arial" w:eastAsia="Arial" w:cs="Arial"/>
          <w:noProof w:val="0"/>
          <w:sz w:val="22"/>
          <w:szCs w:val="22"/>
          <w:lang w:val="en-GB"/>
        </w:rPr>
      </w:pPr>
      <w:r w:rsidRPr="6618EAF8" w:rsidR="49E8D862">
        <w:rPr>
          <w:rFonts w:ascii="Arial" w:hAnsi="Arial" w:eastAsia="Arial" w:cs="Arial"/>
          <w:noProof w:val="0"/>
          <w:sz w:val="22"/>
          <w:szCs w:val="22"/>
          <w:lang w:val="en-GB"/>
        </w:rPr>
        <w:t>INTRODUCTION: DIABETES MELLITUS AND RISK FACTORS</w:t>
      </w:r>
    </w:p>
    <w:p xmlns:wp14="http://schemas.microsoft.com/office/word/2010/wordml" w:rsidP="6618EAF8" wp14:paraId="57AA8017" wp14:textId="31DAD0E9">
      <w:pPr>
        <w:pStyle w:val="Normal"/>
        <w:shd w:val="clear" w:color="auto" w:fill="FFFFFF" w:themeFill="background1"/>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74AD9421" wp14:textId="234CBA8C">
      <w:pPr>
        <w:spacing w:before="0" w:beforeAutospacing="off" w:after="0" w:afterAutospacing="off"/>
        <w:jc w:val="left"/>
        <w:rPr>
          <w:rFonts w:ascii="Arial" w:hAnsi="Arial" w:eastAsia="Arial" w:cs="Arial"/>
          <w:noProof w:val="0"/>
          <w:sz w:val="22"/>
          <w:szCs w:val="22"/>
          <w:lang w:val="en-GB"/>
        </w:rPr>
      </w:pPr>
      <w:r w:rsidRPr="6618EAF8" w:rsidR="49E8D862">
        <w:rPr>
          <w:rFonts w:ascii="Arial" w:hAnsi="Arial" w:eastAsia="Arial" w:cs="Arial"/>
          <w:noProof w:val="0"/>
          <w:sz w:val="22"/>
          <w:szCs w:val="22"/>
          <w:lang w:val="en-GB"/>
        </w:rPr>
        <w:t>MAINTENANCE OF BLOOD GLUCOSE HOMEOSTASIS</w:t>
      </w:r>
    </w:p>
    <w:p xmlns:wp14="http://schemas.microsoft.com/office/word/2010/wordml" w:rsidP="6618EAF8" wp14:paraId="267639B0" wp14:textId="5E965B4D">
      <w:pPr>
        <w:pStyle w:val="Normal"/>
        <w:shd w:val="clear" w:color="auto" w:fill="FFFFFF" w:themeFill="background1"/>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59AC9878" wp14:textId="1C4A196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49E8D862">
        <w:rPr>
          <w:rFonts w:ascii="Arial" w:hAnsi="Arial" w:eastAsia="Arial" w:cs="Arial"/>
          <w:b w:val="0"/>
          <w:bCs w:val="0"/>
          <w:i w:val="0"/>
          <w:iCs w:val="0"/>
          <w:caps w:val="0"/>
          <w:smallCaps w:val="0"/>
          <w:noProof w:val="0"/>
          <w:color w:val="242424"/>
          <w:sz w:val="22"/>
          <w:szCs w:val="22"/>
          <w:lang w:val="en-GB"/>
        </w:rPr>
        <w:t>THE DIGESTIVE SYSTEM: ANATOMICAL STRUCTURE AND GLUCOSE REGULATION</w:t>
      </w:r>
    </w:p>
    <w:p xmlns:wp14="http://schemas.microsoft.com/office/word/2010/wordml" w:rsidP="6618EAF8" wp14:paraId="53F06B22" wp14:textId="0F3D40C6">
      <w:pPr>
        <w:pStyle w:val="Normal"/>
        <w:shd w:val="clear" w:color="auto" w:fill="FFFFFF" w:themeFill="background1"/>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143312EA" wp14:textId="31AE0DF7">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49E8D862">
        <w:rPr>
          <w:rFonts w:ascii="Arial" w:hAnsi="Arial" w:eastAsia="Arial" w:cs="Arial"/>
          <w:b w:val="0"/>
          <w:bCs w:val="0"/>
          <w:i w:val="0"/>
          <w:iCs w:val="0"/>
          <w:caps w:val="0"/>
          <w:smallCaps w:val="0"/>
          <w:noProof w:val="0"/>
          <w:color w:val="242424"/>
          <w:sz w:val="22"/>
          <w:szCs w:val="22"/>
          <w:lang w:val="en-GB"/>
        </w:rPr>
        <w:t>CELLULAR METABOLISM: GLUCOSE AND OXYGEN UTILISATION FOR ENERGY PRODUCTION</w:t>
      </w:r>
    </w:p>
    <w:p xmlns:wp14="http://schemas.microsoft.com/office/word/2010/wordml" w:rsidP="6618EAF8" wp14:paraId="02351109" wp14:textId="782F99EC">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45D4DE3B" wp14:textId="3E7899E0">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1E147DAD">
        <w:rPr>
          <w:rFonts w:ascii="Arial" w:hAnsi="Arial" w:eastAsia="Arial" w:cs="Arial"/>
          <w:b w:val="0"/>
          <w:bCs w:val="0"/>
          <w:i w:val="0"/>
          <w:iCs w:val="0"/>
          <w:caps w:val="0"/>
          <w:smallCaps w:val="0"/>
          <w:noProof w:val="0"/>
          <w:color w:val="242424"/>
          <w:sz w:val="22"/>
          <w:szCs w:val="22"/>
          <w:lang w:val="en-GB"/>
        </w:rPr>
        <w:t>SELF-MONITORING OF BLOOD GLUCOSE IN TYPE 2 DIABETES MANAGEMENT</w:t>
      </w:r>
    </w:p>
    <w:p xmlns:wp14="http://schemas.microsoft.com/office/word/2010/wordml" w:rsidP="6618EAF8" wp14:paraId="5D02FF18" wp14:textId="43B6679C">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747927BF" wp14:textId="3BFC8A4B">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3DB9BB41">
        <w:rPr>
          <w:rFonts w:ascii="Arial" w:hAnsi="Arial" w:eastAsia="Arial" w:cs="Arial"/>
          <w:b w:val="0"/>
          <w:bCs w:val="0"/>
          <w:i w:val="0"/>
          <w:iCs w:val="0"/>
          <w:caps w:val="0"/>
          <w:smallCaps w:val="0"/>
          <w:noProof w:val="0"/>
          <w:color w:val="242424"/>
          <w:sz w:val="22"/>
          <w:szCs w:val="22"/>
          <w:lang w:val="en-GB"/>
        </w:rPr>
        <w:t>EVIDENCE-BASED LIFESTYLE RECOMMENDATIONS</w:t>
      </w:r>
    </w:p>
    <w:p xmlns:wp14="http://schemas.microsoft.com/office/word/2010/wordml" w:rsidP="6618EAF8" wp14:paraId="149994A6" wp14:textId="23A76C4C">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03EEB579" wp14:textId="250D4BC5">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3DB9BB41">
        <w:rPr>
          <w:rFonts w:ascii="Arial" w:hAnsi="Arial" w:eastAsia="Arial" w:cs="Arial"/>
          <w:b w:val="0"/>
          <w:bCs w:val="0"/>
          <w:i w:val="0"/>
          <w:iCs w:val="0"/>
          <w:caps w:val="0"/>
          <w:smallCaps w:val="0"/>
          <w:noProof w:val="0"/>
          <w:color w:val="242424"/>
          <w:sz w:val="22"/>
          <w:szCs w:val="22"/>
          <w:lang w:val="en-GB"/>
        </w:rPr>
        <w:t>CONCLUSION</w:t>
      </w:r>
    </w:p>
    <w:p xmlns:wp14="http://schemas.microsoft.com/office/word/2010/wordml" w:rsidP="6618EAF8" wp14:paraId="4ACB6612" wp14:textId="1FC17EB3">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600A9651" wp14:textId="22FC8C39">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3DB9BB41">
        <w:rPr>
          <w:rFonts w:ascii="Arial" w:hAnsi="Arial" w:eastAsia="Arial" w:cs="Arial"/>
          <w:b w:val="0"/>
          <w:bCs w:val="0"/>
          <w:i w:val="0"/>
          <w:iCs w:val="0"/>
          <w:caps w:val="0"/>
          <w:smallCaps w:val="0"/>
          <w:noProof w:val="0"/>
          <w:color w:val="242424"/>
          <w:sz w:val="22"/>
          <w:szCs w:val="22"/>
          <w:lang w:val="en-GB"/>
        </w:rPr>
        <w:t>REFERENCE LIST</w:t>
      </w:r>
    </w:p>
    <w:p xmlns:wp14="http://schemas.microsoft.com/office/word/2010/wordml" w:rsidP="6618EAF8" wp14:paraId="6FB3E89C" wp14:textId="76EA0210">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3CE52F76" wp14:textId="2219C753">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364160DA" wp14:textId="6536682E">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6808712C" wp14:textId="19A28D06">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3EDB7453" wp14:textId="2AD6AF72">
      <w:pPr>
        <w:pStyle w:val="Normal"/>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p>
    <w:p xmlns:wp14="http://schemas.microsoft.com/office/word/2010/wordml" w:rsidP="6618EAF8" wp14:paraId="1B051A8F" wp14:textId="7CAF4F11">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76CF60EE" wp14:textId="0415F8B8">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5B68BCCE" wp14:textId="057D828B">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000A719E" wp14:textId="5DC650A6">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24767600" wp14:textId="592D59AA">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04807614" wp14:textId="21BABD85">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448AAB85" wp14:textId="4C597A89">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62CAEE42" wp14:textId="49B47247">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6641F0DD" wp14:textId="66F602B2">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37A0B6C8" wp14:textId="34F16103">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045379FC" wp14:textId="0DF30663">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39AF75BF" wp14:textId="7C9A4DFB">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4424F148" wp14:textId="6B14BA7A">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32A2D891" wp14:textId="52B7A573">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38A85242" wp14:textId="45331E0C">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70014BF5" wp14:textId="659AA963">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1FA69600" wp14:textId="1813E746">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p>
    <w:p xmlns:wp14="http://schemas.microsoft.com/office/word/2010/wordml" w:rsidP="6618EAF8" wp14:paraId="415787EE" wp14:textId="079BEF78">
      <w:pPr>
        <w:shd w:val="clear" w:color="auto" w:fill="FFFFFF" w:themeFill="background1"/>
        <w:spacing w:before="0" w:beforeAutospacing="off" w:after="0" w:afterAutospacing="off"/>
        <w:jc w:val="left"/>
        <w:rPr>
          <w:rFonts w:ascii="Arial" w:hAnsi="Arial" w:eastAsia="Arial" w:cs="Arial"/>
          <w:b w:val="1"/>
          <w:bCs w:val="1"/>
          <w:i w:val="0"/>
          <w:iCs w:val="0"/>
          <w:caps w:val="0"/>
          <w:smallCaps w:val="0"/>
          <w:noProof w:val="0"/>
          <w:color w:val="242424"/>
          <w:sz w:val="22"/>
          <w:szCs w:val="22"/>
          <w:lang w:val="en-GB"/>
        </w:rPr>
      </w:pPr>
      <w:r w:rsidRPr="6618EAF8" w:rsidR="3B3AA9D1">
        <w:rPr>
          <w:rFonts w:ascii="Arial" w:hAnsi="Arial" w:eastAsia="Arial" w:cs="Arial"/>
          <w:b w:val="1"/>
          <w:bCs w:val="1"/>
          <w:i w:val="0"/>
          <w:iCs w:val="0"/>
          <w:caps w:val="0"/>
          <w:smallCaps w:val="0"/>
          <w:noProof w:val="0"/>
          <w:color w:val="242424"/>
          <w:sz w:val="22"/>
          <w:szCs w:val="22"/>
          <w:lang w:val="en-GB"/>
        </w:rPr>
        <w:t>REPORT: TYPE 2 DIABETES MANAGEMENT – INTEGRATING PHYSIOLOGICAL UNDERSTANDING WITH LIFESTYLE INTERVENTION</w:t>
      </w:r>
    </w:p>
    <w:p xmlns:wp14="http://schemas.microsoft.com/office/word/2010/wordml" w:rsidP="6618EAF8" wp14:paraId="15E9D3D9" wp14:textId="052A98DA">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39A5426" wp14:textId="4F69180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3B3AA9D1">
        <w:rPr>
          <w:rFonts w:ascii="Arial" w:hAnsi="Arial" w:eastAsia="Arial" w:cs="Arial"/>
          <w:b w:val="0"/>
          <w:bCs w:val="0"/>
          <w:i w:val="0"/>
          <w:iCs w:val="0"/>
          <w:caps w:val="0"/>
          <w:smallCaps w:val="0"/>
          <w:noProof w:val="0"/>
          <w:color w:val="242424"/>
          <w:sz w:val="22"/>
          <w:szCs w:val="22"/>
          <w:lang w:val="en-GB"/>
        </w:rPr>
        <w:t>Prepared by: Practice Nurse, GP Surgery</w:t>
      </w:r>
    </w:p>
    <w:p xmlns:wp14="http://schemas.microsoft.com/office/word/2010/wordml" w:rsidP="6618EAF8" wp14:paraId="6C53A9B2" wp14:textId="281E6BE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3B3AA9D1">
        <w:rPr>
          <w:rFonts w:ascii="Arial" w:hAnsi="Arial" w:eastAsia="Arial" w:cs="Arial"/>
          <w:b w:val="0"/>
          <w:bCs w:val="0"/>
          <w:i w:val="0"/>
          <w:iCs w:val="0"/>
          <w:caps w:val="0"/>
          <w:smallCaps w:val="0"/>
          <w:noProof w:val="0"/>
          <w:color w:val="242424"/>
          <w:sz w:val="22"/>
          <w:szCs w:val="22"/>
          <w:lang w:val="en-GB"/>
        </w:rPr>
        <w:t>Date: February 2026</w:t>
      </w:r>
    </w:p>
    <w:p xmlns:wp14="http://schemas.microsoft.com/office/word/2010/wordml" w:rsidP="6618EAF8" wp14:paraId="60BBD0EE" wp14:textId="55DA495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3B3AA9D1">
        <w:rPr>
          <w:rFonts w:ascii="Arial" w:hAnsi="Arial" w:eastAsia="Arial" w:cs="Arial"/>
          <w:b w:val="0"/>
          <w:bCs w:val="0"/>
          <w:i w:val="0"/>
          <w:iCs w:val="0"/>
          <w:caps w:val="0"/>
          <w:smallCaps w:val="0"/>
          <w:noProof w:val="0"/>
          <w:color w:val="242424"/>
          <w:sz w:val="22"/>
          <w:szCs w:val="22"/>
          <w:lang w:val="en-GB"/>
        </w:rPr>
        <w:t>Purpose: To gather evidence-based information for patient education and enhanced engagement in diabetes self-management</w:t>
      </w:r>
    </w:p>
    <w:p xmlns:wp14="http://schemas.microsoft.com/office/word/2010/wordml" w:rsidP="6618EAF8" wp14:paraId="6707482B" wp14:textId="48027F55">
      <w:pPr>
        <w:pStyle w:val="Normal"/>
        <w:spacing w:before="0" w:beforeAutospacing="off" w:after="160" w:afterAutospacing="off" w:line="257" w:lineRule="auto"/>
        <w:jc w:val="left"/>
        <w:rPr>
          <w:rFonts w:ascii="Arial" w:hAnsi="Arial" w:eastAsia="Arial" w:cs="Arial"/>
          <w:noProof w:val="0"/>
          <w:sz w:val="22"/>
          <w:szCs w:val="22"/>
          <w:lang w:val="en-GB"/>
        </w:rPr>
      </w:pPr>
    </w:p>
    <w:p xmlns:wp14="http://schemas.microsoft.com/office/word/2010/wordml" w:rsidP="6618EAF8" wp14:paraId="30BCAD9D" wp14:textId="31CF4131">
      <w:pPr>
        <w:pStyle w:val="Normal"/>
        <w:spacing w:before="0" w:beforeAutospacing="off" w:after="160" w:afterAutospacing="off" w:line="257" w:lineRule="auto"/>
        <w:jc w:val="left"/>
        <w:rPr>
          <w:rFonts w:ascii="Arial" w:hAnsi="Arial" w:eastAsia="Arial" w:cs="Arial"/>
          <w:noProof w:val="0"/>
          <w:sz w:val="22"/>
          <w:szCs w:val="22"/>
          <w:lang w:val="en-GB"/>
        </w:rPr>
      </w:pPr>
    </w:p>
    <w:p xmlns:wp14="http://schemas.microsoft.com/office/word/2010/wordml" w:rsidP="6618EAF8" wp14:paraId="0EC2F839" wp14:textId="133E66E6">
      <w:pPr>
        <w:pStyle w:val="Normal"/>
        <w:spacing w:before="0" w:beforeAutospacing="off" w:after="160" w:afterAutospacing="off" w:line="257" w:lineRule="auto"/>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a) INTRODUCTION: DIABETES MELLITUS AND RISK FACTORS</w:t>
      </w:r>
    </w:p>
    <w:p xmlns:wp14="http://schemas.microsoft.com/office/word/2010/wordml" w:rsidP="6618EAF8" wp14:paraId="54A66C2D" wp14:textId="5ADECC09">
      <w:pPr>
        <w:spacing w:before="0" w:beforeAutospacing="off" w:after="0" w:afterAutospacing="off"/>
        <w:jc w:val="left"/>
        <w:rPr>
          <w:rFonts w:ascii="Arial" w:hAnsi="Arial" w:eastAsia="Arial" w:cs="Arial"/>
          <w:sz w:val="22"/>
          <w:szCs w:val="22"/>
        </w:rPr>
      </w:pPr>
    </w:p>
    <w:p xmlns:wp14="http://schemas.microsoft.com/office/word/2010/wordml" w:rsidP="6618EAF8" wp14:paraId="3B0F4738" wp14:textId="1148BDAA">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 xml:space="preserve">Diabetes mellitus is a chronic metabolic disorder characterised by persistent hyperglycaemia, resulting from defects in insulin secretion, insulin action, or both (American Diabetes Association, 2023). Type 2 diabetes mellitus (T2DM) </w:t>
      </w:r>
      <w:r w:rsidRPr="6618EAF8" w:rsidR="6E729054">
        <w:rPr>
          <w:rFonts w:ascii="Arial" w:hAnsi="Arial" w:eastAsia="Arial" w:cs="Arial"/>
          <w:noProof w:val="0"/>
          <w:sz w:val="22"/>
          <w:szCs w:val="22"/>
          <w:lang w:val="en-GB"/>
        </w:rPr>
        <w:t>comprises</w:t>
      </w:r>
      <w:r w:rsidRPr="6618EAF8" w:rsidR="6E729054">
        <w:rPr>
          <w:rFonts w:ascii="Arial" w:hAnsi="Arial" w:eastAsia="Arial" w:cs="Arial"/>
          <w:noProof w:val="0"/>
          <w:sz w:val="22"/>
          <w:szCs w:val="22"/>
          <w:lang w:val="en-GB"/>
        </w:rPr>
        <w:t xml:space="preserve"> 90–95% of all diabetes cases and is distinguished by progressive loss of adequate beta-cell insulin secretion </w:t>
      </w:r>
      <w:r w:rsidRPr="6618EAF8" w:rsidR="6E729054">
        <w:rPr>
          <w:rFonts w:ascii="Arial" w:hAnsi="Arial" w:eastAsia="Arial" w:cs="Arial"/>
          <w:noProof w:val="0"/>
          <w:sz w:val="22"/>
          <w:szCs w:val="22"/>
          <w:lang w:val="en-GB"/>
        </w:rPr>
        <w:t>frequently</w:t>
      </w:r>
      <w:r w:rsidRPr="6618EAF8" w:rsidR="6E729054">
        <w:rPr>
          <w:rFonts w:ascii="Arial" w:hAnsi="Arial" w:eastAsia="Arial" w:cs="Arial"/>
          <w:noProof w:val="0"/>
          <w:sz w:val="22"/>
          <w:szCs w:val="22"/>
          <w:lang w:val="en-GB"/>
        </w:rPr>
        <w:t xml:space="preserve"> occurring on a background of insulin resistance (</w:t>
      </w:r>
      <w:r w:rsidRPr="6618EAF8" w:rsidR="6E729054">
        <w:rPr>
          <w:rFonts w:ascii="Arial" w:hAnsi="Arial" w:eastAsia="Arial" w:cs="Arial"/>
          <w:noProof w:val="0"/>
          <w:sz w:val="22"/>
          <w:szCs w:val="22"/>
          <w:lang w:val="en-GB"/>
        </w:rPr>
        <w:t>Forouhi</w:t>
      </w:r>
      <w:r w:rsidRPr="6618EAF8" w:rsidR="6E729054">
        <w:rPr>
          <w:rFonts w:ascii="Arial" w:hAnsi="Arial" w:eastAsia="Arial" w:cs="Arial"/>
          <w:noProof w:val="0"/>
          <w:sz w:val="22"/>
          <w:szCs w:val="22"/>
          <w:lang w:val="en-GB"/>
        </w:rPr>
        <w:t xml:space="preserve"> and Wareham, 2022).</w:t>
      </w:r>
    </w:p>
    <w:p xmlns:wp14="http://schemas.microsoft.com/office/word/2010/wordml" w:rsidP="6618EAF8" wp14:paraId="0432F7F9" wp14:textId="0B8E38AF">
      <w:pPr>
        <w:spacing w:before="0" w:beforeAutospacing="off" w:after="0" w:afterAutospacing="off"/>
        <w:jc w:val="left"/>
        <w:rPr>
          <w:rFonts w:ascii="Arial" w:hAnsi="Arial" w:eastAsia="Arial" w:cs="Arial"/>
          <w:sz w:val="22"/>
          <w:szCs w:val="22"/>
        </w:rPr>
      </w:pPr>
    </w:p>
    <w:p xmlns:wp14="http://schemas.microsoft.com/office/word/2010/wordml" w:rsidP="6618EAF8" wp14:paraId="2355FFF7" wp14:textId="2A6B9CA0">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 xml:space="preserve">The global prevalence of diabetes has more than doubled over the past four decades, with T2DM now recognised as a defining disease of the twenty-first century due to its strong association with obesity and sedentary lifestyles (Rosenfeld et al., 2025). In China alone, rapid ecological and lifestyle shifts have dramatically altered diabetes epidemiology, with unique risk factors </w:t>
      </w:r>
      <w:r w:rsidRPr="6618EAF8" w:rsidR="6E729054">
        <w:rPr>
          <w:rFonts w:ascii="Arial" w:hAnsi="Arial" w:eastAsia="Arial" w:cs="Arial"/>
          <w:noProof w:val="0"/>
          <w:sz w:val="22"/>
          <w:szCs w:val="22"/>
          <w:lang w:val="en-GB"/>
        </w:rPr>
        <w:t>emerging</w:t>
      </w:r>
      <w:r w:rsidRPr="6618EAF8" w:rsidR="6E729054">
        <w:rPr>
          <w:rFonts w:ascii="Arial" w:hAnsi="Arial" w:eastAsia="Arial" w:cs="Arial"/>
          <w:noProof w:val="0"/>
          <w:sz w:val="22"/>
          <w:szCs w:val="22"/>
          <w:lang w:val="en-GB"/>
        </w:rPr>
        <w:t xml:space="preserve"> from interactions between genetic susceptibility and environmental exposures (Zhang et al., 2025).</w:t>
      </w:r>
    </w:p>
    <w:p xmlns:wp14="http://schemas.microsoft.com/office/word/2010/wordml" w:rsidP="6618EAF8" wp14:paraId="1DFF6177" wp14:textId="17B05438">
      <w:pPr>
        <w:spacing w:before="0" w:beforeAutospacing="off" w:after="0" w:afterAutospacing="off"/>
        <w:jc w:val="left"/>
        <w:rPr>
          <w:rFonts w:ascii="Arial" w:hAnsi="Arial" w:eastAsia="Arial" w:cs="Arial"/>
          <w:sz w:val="22"/>
          <w:szCs w:val="22"/>
        </w:rPr>
      </w:pPr>
    </w:p>
    <w:p xmlns:wp14="http://schemas.microsoft.com/office/word/2010/wordml" w:rsidP="6618EAF8" wp14:paraId="58E0C14A" wp14:textId="5213E8D2">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Risk factors for Type 2 diabetes are categorised as non-modifiable and modifiable:</w:t>
      </w:r>
    </w:p>
    <w:p xmlns:wp14="http://schemas.microsoft.com/office/word/2010/wordml" w:rsidP="6618EAF8" wp14:paraId="3B7E39E2" wp14:textId="65F1D209">
      <w:pPr>
        <w:spacing w:before="0" w:beforeAutospacing="off" w:after="0" w:afterAutospacing="off"/>
        <w:jc w:val="left"/>
        <w:rPr>
          <w:rFonts w:ascii="Arial" w:hAnsi="Arial" w:eastAsia="Arial" w:cs="Arial"/>
          <w:sz w:val="22"/>
          <w:szCs w:val="22"/>
        </w:rPr>
      </w:pPr>
    </w:p>
    <w:p xmlns:wp14="http://schemas.microsoft.com/office/word/2010/wordml" w:rsidP="6618EAF8" wp14:paraId="14E03A51" wp14:textId="169CED29">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 xml:space="preserve">Non-modifiable risk factors include advancing age, male sex, family history, and ethnicity, with South Asian, African-Caribbean, and Chinese populations </w:t>
      </w:r>
      <w:r w:rsidRPr="6618EAF8" w:rsidR="6E729054">
        <w:rPr>
          <w:rFonts w:ascii="Arial" w:hAnsi="Arial" w:eastAsia="Arial" w:cs="Arial"/>
          <w:noProof w:val="0"/>
          <w:sz w:val="22"/>
          <w:szCs w:val="22"/>
          <w:lang w:val="en-GB"/>
        </w:rPr>
        <w:t>exhibiting</w:t>
      </w:r>
      <w:r w:rsidRPr="6618EAF8" w:rsidR="6E729054">
        <w:rPr>
          <w:rFonts w:ascii="Arial" w:hAnsi="Arial" w:eastAsia="Arial" w:cs="Arial"/>
          <w:noProof w:val="0"/>
          <w:sz w:val="22"/>
          <w:szCs w:val="22"/>
          <w:lang w:val="en-GB"/>
        </w:rPr>
        <w:t xml:space="preserve"> disproportionately higher risk (Zhang et al., 2025).</w:t>
      </w:r>
    </w:p>
    <w:p xmlns:wp14="http://schemas.microsoft.com/office/word/2010/wordml" w:rsidP="6618EAF8" wp14:paraId="73D885A4" wp14:textId="49B782F7">
      <w:pPr>
        <w:spacing w:before="0" w:beforeAutospacing="off" w:after="0" w:afterAutospacing="off"/>
        <w:jc w:val="left"/>
        <w:rPr>
          <w:rFonts w:ascii="Arial" w:hAnsi="Arial" w:eastAsia="Arial" w:cs="Arial"/>
          <w:sz w:val="22"/>
          <w:szCs w:val="22"/>
        </w:rPr>
      </w:pPr>
    </w:p>
    <w:p xmlns:wp14="http://schemas.microsoft.com/office/word/2010/wordml" w:rsidP="6618EAF8" wp14:paraId="34FBF7FA" wp14:textId="671DD9FD">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Modifiable lifestyle risk factors are the primary drivers of the current epidemic. Excess adiposity, particularly visceral adipose tissue, secretes pro-inflammatory adipokines that impair insulin receptor signalling (Kahn et al., 2021). Dietary patterns characterised by high glycaemic load cause repeated postprandial glucose excursions, contributing to beta-cell exhaustion. Physical inactivity reduces GLUT4 transporter expression in skeletal muscle, diminishing glucose uptake capacity (Richter and Hargreaves, 2023). Smoking induces sympathetic nervous system overactivity and increased cortisol secretion, directly antagonising insulin action (</w:t>
      </w:r>
      <w:r w:rsidRPr="6618EAF8" w:rsidR="6E729054">
        <w:rPr>
          <w:rFonts w:ascii="Arial" w:hAnsi="Arial" w:eastAsia="Arial" w:cs="Arial"/>
          <w:noProof w:val="0"/>
          <w:sz w:val="22"/>
          <w:szCs w:val="22"/>
          <w:lang w:val="en-GB"/>
        </w:rPr>
        <w:t>Maddatu</w:t>
      </w:r>
      <w:r w:rsidRPr="6618EAF8" w:rsidR="6E729054">
        <w:rPr>
          <w:rFonts w:ascii="Arial" w:hAnsi="Arial" w:eastAsia="Arial" w:cs="Arial"/>
          <w:noProof w:val="0"/>
          <w:sz w:val="22"/>
          <w:szCs w:val="22"/>
          <w:lang w:val="en-GB"/>
        </w:rPr>
        <w:t>, Anderson and Sood, 2021).</w:t>
      </w:r>
    </w:p>
    <w:p xmlns:wp14="http://schemas.microsoft.com/office/word/2010/wordml" w:rsidP="6618EAF8" wp14:paraId="0E06FF06" wp14:textId="54CF365D">
      <w:pPr>
        <w:spacing w:before="0" w:beforeAutospacing="off" w:after="0" w:afterAutospacing="off"/>
        <w:jc w:val="left"/>
        <w:rPr>
          <w:rFonts w:ascii="Arial" w:hAnsi="Arial" w:eastAsia="Arial" w:cs="Arial"/>
          <w:sz w:val="22"/>
          <w:szCs w:val="22"/>
        </w:rPr>
      </w:pPr>
    </w:p>
    <w:p xmlns:wp14="http://schemas.microsoft.com/office/word/2010/wordml" w:rsidP="6618EAF8" wp14:paraId="7D3E1D69" wp14:textId="414AD268">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A landmark meta-analysis by Li et al. (2023) demonstrated that adherence to five low-risk lifestyle behaviours—healthy body weight, nutritious diet, regular physical activity, smoking abstinence, and light alcohol consumption—is associated with an 80% lower risk of developing T2DM (RR 0.20; 95% CI 0.17–0.23), underscoring the critical importance of lifestyle modification in both prevention and management.</w:t>
      </w:r>
    </w:p>
    <w:p xmlns:wp14="http://schemas.microsoft.com/office/word/2010/wordml" w:rsidP="6618EAF8" wp14:paraId="55FB6AF1" wp14:textId="16644C04">
      <w:pPr>
        <w:spacing w:before="0" w:beforeAutospacing="off" w:after="0" w:afterAutospacing="off"/>
        <w:jc w:val="left"/>
        <w:rPr>
          <w:rFonts w:ascii="Arial" w:hAnsi="Arial" w:eastAsia="Arial" w:cs="Arial"/>
          <w:sz w:val="22"/>
          <w:szCs w:val="22"/>
        </w:rPr>
      </w:pPr>
    </w:p>
    <w:p xmlns:wp14="http://schemas.microsoft.com/office/word/2010/wordml" w:rsidP="6618EAF8" wp14:paraId="241BCE0D" wp14:textId="012C640A">
      <w:pPr>
        <w:spacing w:before="0" w:beforeAutospacing="off" w:after="0" w:afterAutospacing="off"/>
        <w:jc w:val="left"/>
        <w:rPr>
          <w:rFonts w:ascii="Arial" w:hAnsi="Arial" w:eastAsia="Arial" w:cs="Arial"/>
          <w:sz w:val="22"/>
          <w:szCs w:val="22"/>
        </w:rPr>
      </w:pPr>
    </w:p>
    <w:p xmlns:wp14="http://schemas.microsoft.com/office/word/2010/wordml" w:rsidP="6618EAF8" wp14:paraId="5B13FF07" wp14:textId="475C90E8">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b) MAINTENANCE OF BLOOD GLUCOSE HOMEOSTASIS</w:t>
      </w:r>
    </w:p>
    <w:p xmlns:wp14="http://schemas.microsoft.com/office/word/2010/wordml" w:rsidP="6618EAF8" wp14:paraId="058D414A" wp14:textId="53EF55CC">
      <w:pPr>
        <w:spacing w:before="0" w:beforeAutospacing="off" w:after="0" w:afterAutospacing="off"/>
        <w:jc w:val="left"/>
        <w:rPr>
          <w:rFonts w:ascii="Arial" w:hAnsi="Arial" w:eastAsia="Arial" w:cs="Arial"/>
          <w:sz w:val="22"/>
          <w:szCs w:val="22"/>
        </w:rPr>
      </w:pPr>
    </w:p>
    <w:p xmlns:wp14="http://schemas.microsoft.com/office/word/2010/wordml" w:rsidP="6618EAF8" wp14:paraId="66949377" wp14:textId="1270AB63">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 xml:space="preserve">Blood glucose concentration is </w:t>
      </w:r>
      <w:r w:rsidRPr="6618EAF8" w:rsidR="6E729054">
        <w:rPr>
          <w:rFonts w:ascii="Arial" w:hAnsi="Arial" w:eastAsia="Arial" w:cs="Arial"/>
          <w:noProof w:val="0"/>
          <w:sz w:val="22"/>
          <w:szCs w:val="22"/>
          <w:lang w:val="en-GB"/>
        </w:rPr>
        <w:t>maintained</w:t>
      </w:r>
      <w:r w:rsidRPr="6618EAF8" w:rsidR="6E729054">
        <w:rPr>
          <w:rFonts w:ascii="Arial" w:hAnsi="Arial" w:eastAsia="Arial" w:cs="Arial"/>
          <w:noProof w:val="0"/>
          <w:sz w:val="22"/>
          <w:szCs w:val="22"/>
          <w:lang w:val="en-GB"/>
        </w:rPr>
        <w:t xml:space="preserve"> within a narrow physiological range (fasting: 4.0–5.9 mmol/L; postprandial: &lt;7.8 mmol/L) through an integrated neuroendocrine feedback system that extends well beyond the pancreatic islets (Smyth, </w:t>
      </w:r>
      <w:r w:rsidRPr="6618EAF8" w:rsidR="6E729054">
        <w:rPr>
          <w:rFonts w:ascii="Arial" w:hAnsi="Arial" w:eastAsia="Arial" w:cs="Arial"/>
          <w:noProof w:val="0"/>
          <w:sz w:val="22"/>
          <w:szCs w:val="22"/>
          <w:lang w:val="en-GB"/>
        </w:rPr>
        <w:t>Varghese</w:t>
      </w:r>
      <w:r w:rsidRPr="6618EAF8" w:rsidR="6E729054">
        <w:rPr>
          <w:rFonts w:ascii="Arial" w:hAnsi="Arial" w:eastAsia="Arial" w:cs="Arial"/>
          <w:noProof w:val="0"/>
          <w:sz w:val="22"/>
          <w:szCs w:val="22"/>
          <w:lang w:val="en-GB"/>
        </w:rPr>
        <w:t xml:space="preserve"> and Fisher, 2024).</w:t>
      </w:r>
    </w:p>
    <w:p xmlns:wp14="http://schemas.microsoft.com/office/word/2010/wordml" w:rsidP="6618EAF8" wp14:paraId="2BBFE275" wp14:textId="36BA2114">
      <w:pPr>
        <w:spacing w:before="0" w:beforeAutospacing="off" w:after="0" w:afterAutospacing="off"/>
        <w:jc w:val="left"/>
        <w:rPr>
          <w:rFonts w:ascii="Arial" w:hAnsi="Arial" w:eastAsia="Arial" w:cs="Arial"/>
          <w:sz w:val="22"/>
          <w:szCs w:val="22"/>
        </w:rPr>
      </w:pPr>
    </w:p>
    <w:p xmlns:wp14="http://schemas.microsoft.com/office/word/2010/wordml" w:rsidP="6618EAF8" wp14:paraId="7CCD37C9" wp14:textId="1372312F">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 xml:space="preserve">Classical endocrine regulation: Following meal ingestion, rising blood glucose is detected by pancreatic beta-cells via glucose transporter 2 (GLUT2)-mediated uptake and </w:t>
      </w:r>
      <w:r w:rsidRPr="6618EAF8" w:rsidR="6E729054">
        <w:rPr>
          <w:rFonts w:ascii="Arial" w:hAnsi="Arial" w:eastAsia="Arial" w:cs="Arial"/>
          <w:noProof w:val="0"/>
          <w:sz w:val="22"/>
          <w:szCs w:val="22"/>
          <w:lang w:val="en-GB"/>
        </w:rPr>
        <w:t>subsequent</w:t>
      </w:r>
      <w:r w:rsidRPr="6618EAF8" w:rsidR="6E729054">
        <w:rPr>
          <w:rFonts w:ascii="Arial" w:hAnsi="Arial" w:eastAsia="Arial" w:cs="Arial"/>
          <w:noProof w:val="0"/>
          <w:sz w:val="22"/>
          <w:szCs w:val="22"/>
          <w:lang w:val="en-GB"/>
        </w:rPr>
        <w:t xml:space="preserve"> glycolysis, increasing the ATP:ADP ratio. This closes ATP-sensitive potassium channels, depolarising the cell membrane and triggering voltage-gated calcium channel opening. The resultant calcium influx stimulates insulin granule exocytosis (Röder et al., 2016). Insulin binds to receptor tyrosine kinases on skeletal myocytes and adipocytes, </w:t>
      </w:r>
      <w:r w:rsidRPr="6618EAF8" w:rsidR="6E729054">
        <w:rPr>
          <w:rFonts w:ascii="Arial" w:hAnsi="Arial" w:eastAsia="Arial" w:cs="Arial"/>
          <w:noProof w:val="0"/>
          <w:sz w:val="22"/>
          <w:szCs w:val="22"/>
          <w:lang w:val="en-GB"/>
        </w:rPr>
        <w:t>initiating</w:t>
      </w:r>
      <w:r w:rsidRPr="6618EAF8" w:rsidR="6E729054">
        <w:rPr>
          <w:rFonts w:ascii="Arial" w:hAnsi="Arial" w:eastAsia="Arial" w:cs="Arial"/>
          <w:noProof w:val="0"/>
          <w:sz w:val="22"/>
          <w:szCs w:val="22"/>
          <w:lang w:val="en-GB"/>
        </w:rPr>
        <w:t xml:space="preserve"> a signalling cascade that </w:t>
      </w:r>
      <w:r w:rsidRPr="6618EAF8" w:rsidR="6E729054">
        <w:rPr>
          <w:rFonts w:ascii="Arial" w:hAnsi="Arial" w:eastAsia="Arial" w:cs="Arial"/>
          <w:noProof w:val="0"/>
          <w:sz w:val="22"/>
          <w:szCs w:val="22"/>
          <w:lang w:val="en-GB"/>
        </w:rPr>
        <w:t>translocates</w:t>
      </w:r>
      <w:r w:rsidRPr="6618EAF8" w:rsidR="6E729054">
        <w:rPr>
          <w:rFonts w:ascii="Arial" w:hAnsi="Arial" w:eastAsia="Arial" w:cs="Arial"/>
          <w:noProof w:val="0"/>
          <w:sz w:val="22"/>
          <w:szCs w:val="22"/>
          <w:lang w:val="en-GB"/>
        </w:rPr>
        <w:t xml:space="preserve"> GLUT4 vesicles from intracellular pools to the plasma membrane, </w:t>
      </w:r>
      <w:r w:rsidRPr="6618EAF8" w:rsidR="6E729054">
        <w:rPr>
          <w:rFonts w:ascii="Arial" w:hAnsi="Arial" w:eastAsia="Arial" w:cs="Arial"/>
          <w:noProof w:val="0"/>
          <w:sz w:val="22"/>
          <w:szCs w:val="22"/>
          <w:lang w:val="en-GB"/>
        </w:rPr>
        <w:t>facilitating</w:t>
      </w:r>
      <w:r w:rsidRPr="6618EAF8" w:rsidR="6E729054">
        <w:rPr>
          <w:rFonts w:ascii="Arial" w:hAnsi="Arial" w:eastAsia="Arial" w:cs="Arial"/>
          <w:noProof w:val="0"/>
          <w:sz w:val="22"/>
          <w:szCs w:val="22"/>
          <w:lang w:val="en-GB"/>
        </w:rPr>
        <w:t xml:space="preserve"> glucose entry (Richter and Hargreaves, 2023). Concurrently, insulin suppresses hepatic gluconeogenesis and glycogenolysis.</w:t>
      </w:r>
    </w:p>
    <w:p xmlns:wp14="http://schemas.microsoft.com/office/word/2010/wordml" w:rsidP="6618EAF8" wp14:paraId="6B4DE327" wp14:textId="08B4062B">
      <w:pPr>
        <w:spacing w:before="0" w:beforeAutospacing="off" w:after="0" w:afterAutospacing="off"/>
        <w:jc w:val="left"/>
        <w:rPr>
          <w:rFonts w:ascii="Arial" w:hAnsi="Arial" w:eastAsia="Arial" w:cs="Arial"/>
          <w:sz w:val="22"/>
          <w:szCs w:val="22"/>
        </w:rPr>
      </w:pPr>
    </w:p>
    <w:p xmlns:wp14="http://schemas.microsoft.com/office/word/2010/wordml" w:rsidP="6618EAF8" wp14:paraId="126EE25E" wp14:textId="7EF7FD20">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 xml:space="preserve">Metabolism-independent glucose sensing: Contemporary research has revolutionised our understanding of glucose homeostasis by </w:t>
      </w:r>
      <w:r w:rsidRPr="6618EAF8" w:rsidR="6E729054">
        <w:rPr>
          <w:rFonts w:ascii="Arial" w:hAnsi="Arial" w:eastAsia="Arial" w:cs="Arial"/>
          <w:noProof w:val="0"/>
          <w:sz w:val="22"/>
          <w:szCs w:val="22"/>
          <w:lang w:val="en-GB"/>
        </w:rPr>
        <w:t>identifying</w:t>
      </w:r>
      <w:r w:rsidRPr="6618EAF8" w:rsidR="6E729054">
        <w:rPr>
          <w:rFonts w:ascii="Arial" w:hAnsi="Arial" w:eastAsia="Arial" w:cs="Arial"/>
          <w:noProof w:val="0"/>
          <w:sz w:val="22"/>
          <w:szCs w:val="22"/>
          <w:lang w:val="en-GB"/>
        </w:rPr>
        <w:t xml:space="preserve"> glucose-sensing mechanisms that </w:t>
      </w:r>
      <w:r w:rsidRPr="6618EAF8" w:rsidR="6E729054">
        <w:rPr>
          <w:rFonts w:ascii="Arial" w:hAnsi="Arial" w:eastAsia="Arial" w:cs="Arial"/>
          <w:noProof w:val="0"/>
          <w:sz w:val="22"/>
          <w:szCs w:val="22"/>
          <w:lang w:val="en-GB"/>
        </w:rPr>
        <w:t>operate</w:t>
      </w:r>
      <w:r w:rsidRPr="6618EAF8" w:rsidR="6E729054">
        <w:rPr>
          <w:rFonts w:ascii="Arial" w:hAnsi="Arial" w:eastAsia="Arial" w:cs="Arial"/>
          <w:noProof w:val="0"/>
          <w:sz w:val="22"/>
          <w:szCs w:val="22"/>
          <w:lang w:val="en-GB"/>
        </w:rPr>
        <w:t xml:space="preserve"> independently of glucose metabolism (Chhabra et al., 2025). Glucose transporters, including GLUT2 and sodium-glucose co-transporter 2 (SGLT2), function not merely as passive carriers but as authentic glucose sensors. These transporters detect extracellular glucose concentrations and </w:t>
      </w:r>
      <w:r w:rsidRPr="6618EAF8" w:rsidR="6E729054">
        <w:rPr>
          <w:rFonts w:ascii="Arial" w:hAnsi="Arial" w:eastAsia="Arial" w:cs="Arial"/>
          <w:noProof w:val="0"/>
          <w:sz w:val="22"/>
          <w:szCs w:val="22"/>
          <w:lang w:val="en-GB"/>
        </w:rPr>
        <w:t>initiate</w:t>
      </w:r>
      <w:r w:rsidRPr="6618EAF8" w:rsidR="6E729054">
        <w:rPr>
          <w:rFonts w:ascii="Arial" w:hAnsi="Arial" w:eastAsia="Arial" w:cs="Arial"/>
          <w:noProof w:val="0"/>
          <w:sz w:val="22"/>
          <w:szCs w:val="22"/>
          <w:lang w:val="en-GB"/>
        </w:rPr>
        <w:t xml:space="preserve"> intracellular signalling cascades through interorgan molecular crosstalk, independent of glucose oxidation. Furthermore, G protein-coupled receptors (GPCRs), particularly adhesion GPCR L1, bind glucose directly via lectin domains, regulating energy homeostasis through non-metabolic pathways (Chhabra et al., 2025).</w:t>
      </w:r>
    </w:p>
    <w:p xmlns:wp14="http://schemas.microsoft.com/office/word/2010/wordml" w:rsidP="6618EAF8" wp14:paraId="46227617" wp14:textId="0488A57D">
      <w:pPr>
        <w:spacing w:before="0" w:beforeAutospacing="off" w:after="0" w:afterAutospacing="off"/>
        <w:jc w:val="left"/>
        <w:rPr>
          <w:rFonts w:ascii="Arial" w:hAnsi="Arial" w:eastAsia="Arial" w:cs="Arial"/>
          <w:sz w:val="22"/>
          <w:szCs w:val="22"/>
        </w:rPr>
      </w:pPr>
    </w:p>
    <w:p xmlns:wp14="http://schemas.microsoft.com/office/word/2010/wordml" w:rsidP="6618EAF8" wp14:paraId="451AAF9A" wp14:textId="3C62E67B">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 xml:space="preserve">Central nervous system regulation: The hypothalamus and hindbrain </w:t>
      </w:r>
      <w:r w:rsidRPr="6618EAF8" w:rsidR="6E729054">
        <w:rPr>
          <w:rFonts w:ascii="Arial" w:hAnsi="Arial" w:eastAsia="Arial" w:cs="Arial"/>
          <w:noProof w:val="0"/>
          <w:sz w:val="22"/>
          <w:szCs w:val="22"/>
          <w:lang w:val="en-GB"/>
        </w:rPr>
        <w:t>contain</w:t>
      </w:r>
      <w:r w:rsidRPr="6618EAF8" w:rsidR="6E729054">
        <w:rPr>
          <w:rFonts w:ascii="Arial" w:hAnsi="Arial" w:eastAsia="Arial" w:cs="Arial"/>
          <w:noProof w:val="0"/>
          <w:sz w:val="22"/>
          <w:szCs w:val="22"/>
          <w:lang w:val="en-GB"/>
        </w:rPr>
        <w:t xml:space="preserve"> glucose-sensing neurons that directly innervate peripheral glucose effectors—the liver, pancreatic islets, and adrenal medulla—via the autonomic nervous system. This neural circuitry enables anticipatory adjustments to glucose production and secretion before circulating glucose levels change (Smyth, </w:t>
      </w:r>
      <w:r w:rsidRPr="6618EAF8" w:rsidR="6E729054">
        <w:rPr>
          <w:rFonts w:ascii="Arial" w:hAnsi="Arial" w:eastAsia="Arial" w:cs="Arial"/>
          <w:noProof w:val="0"/>
          <w:sz w:val="22"/>
          <w:szCs w:val="22"/>
          <w:lang w:val="en-GB"/>
        </w:rPr>
        <w:t>Varghese</w:t>
      </w:r>
      <w:r w:rsidRPr="6618EAF8" w:rsidR="6E729054">
        <w:rPr>
          <w:rFonts w:ascii="Arial" w:hAnsi="Arial" w:eastAsia="Arial" w:cs="Arial"/>
          <w:noProof w:val="0"/>
          <w:sz w:val="22"/>
          <w:szCs w:val="22"/>
          <w:lang w:val="en-GB"/>
        </w:rPr>
        <w:t xml:space="preserve"> and Fisher, 2024). The brain </w:t>
      </w:r>
      <w:r w:rsidRPr="6618EAF8" w:rsidR="6E729054">
        <w:rPr>
          <w:rFonts w:ascii="Arial" w:hAnsi="Arial" w:eastAsia="Arial" w:cs="Arial"/>
          <w:noProof w:val="0"/>
          <w:sz w:val="22"/>
          <w:szCs w:val="22"/>
          <w:lang w:val="en-GB"/>
        </w:rPr>
        <w:t>maintains</w:t>
      </w:r>
      <w:r w:rsidRPr="6618EAF8" w:rsidR="6E729054">
        <w:rPr>
          <w:rFonts w:ascii="Arial" w:hAnsi="Arial" w:eastAsia="Arial" w:cs="Arial"/>
          <w:noProof w:val="0"/>
          <w:sz w:val="22"/>
          <w:szCs w:val="22"/>
          <w:lang w:val="en-GB"/>
        </w:rPr>
        <w:t xml:space="preserve"> a "biologically defended level of glycaemia"; in T2DM, this defended level is pathologically elevated, meaning the neuroendocrine system actively defends hyperglycaemia as if it were normal, creating significant physiological resistance to glucose-lowering interventions.</w:t>
      </w:r>
    </w:p>
    <w:p xmlns:wp14="http://schemas.microsoft.com/office/word/2010/wordml" w:rsidP="6618EAF8" wp14:paraId="3C9F59AB" wp14:textId="3B42A876">
      <w:pPr>
        <w:spacing w:before="0" w:beforeAutospacing="off" w:after="0" w:afterAutospacing="off"/>
        <w:jc w:val="left"/>
        <w:rPr>
          <w:rFonts w:ascii="Arial" w:hAnsi="Arial" w:eastAsia="Arial" w:cs="Arial"/>
          <w:sz w:val="22"/>
          <w:szCs w:val="22"/>
        </w:rPr>
      </w:pPr>
    </w:p>
    <w:p xmlns:wp14="http://schemas.microsoft.com/office/word/2010/wordml" w:rsidP="6618EAF8" wp14:paraId="5530C3E3" wp14:textId="72B7A6F3">
      <w:pPr>
        <w:spacing w:before="0" w:beforeAutospacing="off" w:after="0" w:afterAutospacing="off"/>
        <w:jc w:val="left"/>
        <w:rPr>
          <w:rFonts w:ascii="Arial" w:hAnsi="Arial" w:eastAsia="Arial" w:cs="Arial"/>
          <w:noProof w:val="0"/>
          <w:sz w:val="22"/>
          <w:szCs w:val="22"/>
          <w:lang w:val="en-GB"/>
        </w:rPr>
      </w:pPr>
      <w:r w:rsidRPr="6618EAF8" w:rsidR="6E729054">
        <w:rPr>
          <w:rFonts w:ascii="Arial" w:hAnsi="Arial" w:eastAsia="Arial" w:cs="Arial"/>
          <w:noProof w:val="0"/>
          <w:sz w:val="22"/>
          <w:szCs w:val="22"/>
          <w:lang w:val="en-GB"/>
        </w:rPr>
        <w:t xml:space="preserve">Counter-regulatory responses: When glucose falls below the defended threshold, pancreatic alpha-cells secrete glucagon, stimulating hepatic glucose production. Simultaneously, sympathetic outflow increases catecholamine release, and the hypothalamic-pituitary-adrenal axis secretes cortisol and growth hormone, collectively restoring </w:t>
      </w:r>
      <w:r w:rsidRPr="6618EAF8" w:rsidR="6E729054">
        <w:rPr>
          <w:rFonts w:ascii="Arial" w:hAnsi="Arial" w:eastAsia="Arial" w:cs="Arial"/>
          <w:noProof w:val="0"/>
          <w:sz w:val="22"/>
          <w:szCs w:val="22"/>
          <w:lang w:val="en-GB"/>
        </w:rPr>
        <w:t>euglycaemia</w:t>
      </w:r>
      <w:r w:rsidRPr="6618EAF8" w:rsidR="6E729054">
        <w:rPr>
          <w:rFonts w:ascii="Arial" w:hAnsi="Arial" w:eastAsia="Arial" w:cs="Arial"/>
          <w:noProof w:val="0"/>
          <w:sz w:val="22"/>
          <w:szCs w:val="22"/>
          <w:lang w:val="en-GB"/>
        </w:rPr>
        <w:t xml:space="preserve"> (Smyth, </w:t>
      </w:r>
      <w:r w:rsidRPr="6618EAF8" w:rsidR="6E729054">
        <w:rPr>
          <w:rFonts w:ascii="Arial" w:hAnsi="Arial" w:eastAsia="Arial" w:cs="Arial"/>
          <w:noProof w:val="0"/>
          <w:sz w:val="22"/>
          <w:szCs w:val="22"/>
          <w:lang w:val="en-GB"/>
        </w:rPr>
        <w:t>Varghese</w:t>
      </w:r>
      <w:r w:rsidRPr="6618EAF8" w:rsidR="6E729054">
        <w:rPr>
          <w:rFonts w:ascii="Arial" w:hAnsi="Arial" w:eastAsia="Arial" w:cs="Arial"/>
          <w:noProof w:val="0"/>
          <w:sz w:val="22"/>
          <w:szCs w:val="22"/>
          <w:lang w:val="en-GB"/>
        </w:rPr>
        <w:t xml:space="preserve"> and Fisher, 2024).</w:t>
      </w:r>
    </w:p>
    <w:p xmlns:wp14="http://schemas.microsoft.com/office/word/2010/wordml" w:rsidP="6618EAF8" wp14:paraId="273235CC" wp14:textId="786E82D6">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7B2CE989" wp14:textId="3419C3E7">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4737F5F7" wp14:textId="0C098A5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6A43DC15">
        <w:rPr>
          <w:rFonts w:ascii="Arial" w:hAnsi="Arial" w:eastAsia="Arial" w:cs="Arial"/>
          <w:b w:val="0"/>
          <w:bCs w:val="0"/>
          <w:i w:val="0"/>
          <w:iCs w:val="0"/>
          <w:caps w:val="0"/>
          <w:smallCaps w:val="0"/>
          <w:noProof w:val="0"/>
          <w:color w:val="242424"/>
          <w:sz w:val="22"/>
          <w:szCs w:val="22"/>
          <w:lang w:val="en-GB"/>
        </w:rPr>
        <w:t>c) THE DIGESTIVE SYSTEM: ANATOMICAL STRUCTURE AND GLUCOSE REGULATION</w:t>
      </w:r>
    </w:p>
    <w:p xmlns:wp14="http://schemas.microsoft.com/office/word/2010/wordml" w:rsidP="6618EAF8" wp14:paraId="58C26A50" wp14:textId="272F47AA">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4984902B" wp14:textId="5D275F2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6A43DC15">
        <w:rPr>
          <w:rFonts w:ascii="Arial" w:hAnsi="Arial" w:eastAsia="Arial" w:cs="Arial"/>
          <w:b w:val="0"/>
          <w:bCs w:val="0"/>
          <w:i w:val="0"/>
          <w:iCs w:val="0"/>
          <w:caps w:val="0"/>
          <w:smallCaps w:val="0"/>
          <w:noProof w:val="0"/>
          <w:color w:val="242424"/>
          <w:sz w:val="22"/>
          <w:szCs w:val="22"/>
          <w:lang w:val="en-GB"/>
        </w:rPr>
        <w:t xml:space="preserve">The digestive system is not merely a conduit for nutrient absorption but functions as the largest endocrine organ in glucose regulation, </w:t>
      </w:r>
      <w:r w:rsidRPr="6618EAF8" w:rsidR="6A43DC15">
        <w:rPr>
          <w:rFonts w:ascii="Arial" w:hAnsi="Arial" w:eastAsia="Arial" w:cs="Arial"/>
          <w:b w:val="0"/>
          <w:bCs w:val="0"/>
          <w:i w:val="0"/>
          <w:iCs w:val="0"/>
          <w:caps w:val="0"/>
          <w:smallCaps w:val="0"/>
          <w:noProof w:val="0"/>
          <w:color w:val="242424"/>
          <w:sz w:val="22"/>
          <w:szCs w:val="22"/>
          <w:lang w:val="en-GB"/>
        </w:rPr>
        <w:t>possessing</w:t>
      </w:r>
      <w:r w:rsidRPr="6618EAF8" w:rsidR="6A43DC15">
        <w:rPr>
          <w:rFonts w:ascii="Arial" w:hAnsi="Arial" w:eastAsia="Arial" w:cs="Arial"/>
          <w:b w:val="0"/>
          <w:bCs w:val="0"/>
          <w:i w:val="0"/>
          <w:iCs w:val="0"/>
          <w:caps w:val="0"/>
          <w:smallCaps w:val="0"/>
          <w:noProof w:val="0"/>
          <w:color w:val="242424"/>
          <w:sz w:val="22"/>
          <w:szCs w:val="22"/>
          <w:lang w:val="en-GB"/>
        </w:rPr>
        <w:t xml:space="preserve"> specialised anatomical structures precisely adapted for nutrient sensing, hormone secretion, and interorgan communication (Chen et al., 2025).</w:t>
      </w:r>
    </w:p>
    <w:p xmlns:wp14="http://schemas.microsoft.com/office/word/2010/wordml" w:rsidP="6618EAF8" wp14:paraId="43A8BB05" wp14:textId="3A0C052B">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F1EC06A" wp14:textId="07A81D7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6A43DC15">
        <w:rPr>
          <w:rFonts w:ascii="Arial" w:hAnsi="Arial" w:eastAsia="Arial" w:cs="Arial"/>
          <w:b w:val="0"/>
          <w:bCs w:val="0"/>
          <w:i w:val="0"/>
          <w:iCs w:val="0"/>
          <w:caps w:val="0"/>
          <w:smallCaps w:val="0"/>
          <w:noProof w:val="0"/>
          <w:color w:val="242424"/>
          <w:sz w:val="22"/>
          <w:szCs w:val="22"/>
          <w:lang w:val="en-GB"/>
        </w:rPr>
        <w:t xml:space="preserve">Gross and microscopic anatomy: The small intestine, measuring </w:t>
      </w:r>
      <w:r w:rsidRPr="6618EAF8" w:rsidR="6A43DC15">
        <w:rPr>
          <w:rFonts w:ascii="Arial" w:hAnsi="Arial" w:eastAsia="Arial" w:cs="Arial"/>
          <w:b w:val="0"/>
          <w:bCs w:val="0"/>
          <w:i w:val="0"/>
          <w:iCs w:val="0"/>
          <w:caps w:val="0"/>
          <w:smallCaps w:val="0"/>
          <w:noProof w:val="0"/>
          <w:color w:val="242424"/>
          <w:sz w:val="22"/>
          <w:szCs w:val="22"/>
          <w:lang w:val="en-GB"/>
        </w:rPr>
        <w:t>approximately 6</w:t>
      </w:r>
      <w:r w:rsidRPr="6618EAF8" w:rsidR="6A43DC15">
        <w:rPr>
          <w:rFonts w:ascii="Arial" w:hAnsi="Arial" w:eastAsia="Arial" w:cs="Arial"/>
          <w:b w:val="0"/>
          <w:bCs w:val="0"/>
          <w:i w:val="0"/>
          <w:iCs w:val="0"/>
          <w:caps w:val="0"/>
          <w:smallCaps w:val="0"/>
          <w:noProof w:val="0"/>
          <w:color w:val="242424"/>
          <w:sz w:val="22"/>
          <w:szCs w:val="22"/>
          <w:lang w:val="en-GB"/>
        </w:rPr>
        <w:t xml:space="preserve">–7 metres in length, is divided into three anatomical regions: duodenum, jejunum, and ileum. Its internal surface area is amplified </w:t>
      </w:r>
      <w:r w:rsidRPr="6618EAF8" w:rsidR="6A43DC15">
        <w:rPr>
          <w:rFonts w:ascii="Arial" w:hAnsi="Arial" w:eastAsia="Arial" w:cs="Arial"/>
          <w:b w:val="0"/>
          <w:bCs w:val="0"/>
          <w:i w:val="0"/>
          <w:iCs w:val="0"/>
          <w:caps w:val="0"/>
          <w:smallCaps w:val="0"/>
          <w:noProof w:val="0"/>
          <w:color w:val="242424"/>
          <w:sz w:val="22"/>
          <w:szCs w:val="22"/>
          <w:lang w:val="en-GB"/>
        </w:rPr>
        <w:t>approximately 600-fold</w:t>
      </w:r>
      <w:r w:rsidRPr="6618EAF8" w:rsidR="6A43DC15">
        <w:rPr>
          <w:rFonts w:ascii="Arial" w:hAnsi="Arial" w:eastAsia="Arial" w:cs="Arial"/>
          <w:b w:val="0"/>
          <w:bCs w:val="0"/>
          <w:i w:val="0"/>
          <w:iCs w:val="0"/>
          <w:caps w:val="0"/>
          <w:smallCaps w:val="0"/>
          <w:noProof w:val="0"/>
          <w:color w:val="242424"/>
          <w:sz w:val="22"/>
          <w:szCs w:val="22"/>
          <w:lang w:val="en-GB"/>
        </w:rPr>
        <w:t xml:space="preserve"> to 30 m² through three structural adaptations: macroscopic plicae circulares (circular folds), microscopic villi (finger-like projections 0.5–1.5 mm in length), and ultramicroscopic microvilli forming the brush border on individual enterocytes. Each enterocyte </w:t>
      </w:r>
      <w:r w:rsidRPr="6618EAF8" w:rsidR="6A43DC15">
        <w:rPr>
          <w:rFonts w:ascii="Arial" w:hAnsi="Arial" w:eastAsia="Arial" w:cs="Arial"/>
          <w:b w:val="0"/>
          <w:bCs w:val="0"/>
          <w:i w:val="0"/>
          <w:iCs w:val="0"/>
          <w:caps w:val="0"/>
          <w:smallCaps w:val="0"/>
          <w:noProof w:val="0"/>
          <w:color w:val="242424"/>
          <w:sz w:val="22"/>
          <w:szCs w:val="22"/>
          <w:lang w:val="en-GB"/>
        </w:rPr>
        <w:t>possesses</w:t>
      </w:r>
      <w:r w:rsidRPr="6618EAF8" w:rsidR="6A43DC15">
        <w:rPr>
          <w:rFonts w:ascii="Arial" w:hAnsi="Arial" w:eastAsia="Arial" w:cs="Arial"/>
          <w:b w:val="0"/>
          <w:bCs w:val="0"/>
          <w:i w:val="0"/>
          <w:iCs w:val="0"/>
          <w:caps w:val="0"/>
          <w:smallCaps w:val="0"/>
          <w:noProof w:val="0"/>
          <w:color w:val="242424"/>
          <w:sz w:val="22"/>
          <w:szCs w:val="22"/>
          <w:lang w:val="en-GB"/>
        </w:rPr>
        <w:t xml:space="preserve"> approximately 3,000 microvilli, maximising contact with luminal nutrients (</w:t>
      </w:r>
      <w:r w:rsidRPr="6618EAF8" w:rsidR="6A43DC15">
        <w:rPr>
          <w:rFonts w:ascii="Arial" w:hAnsi="Arial" w:eastAsia="Arial" w:cs="Arial"/>
          <w:b w:val="0"/>
          <w:bCs w:val="0"/>
          <w:i w:val="0"/>
          <w:iCs w:val="0"/>
          <w:caps w:val="0"/>
          <w:smallCaps w:val="0"/>
          <w:noProof w:val="0"/>
          <w:color w:val="242424"/>
          <w:sz w:val="22"/>
          <w:szCs w:val="22"/>
          <w:lang w:val="en-GB"/>
        </w:rPr>
        <w:t>Mithieux</w:t>
      </w:r>
      <w:r w:rsidRPr="6618EAF8" w:rsidR="6A43DC15">
        <w:rPr>
          <w:rFonts w:ascii="Arial" w:hAnsi="Arial" w:eastAsia="Arial" w:cs="Arial"/>
          <w:b w:val="0"/>
          <w:bCs w:val="0"/>
          <w:i w:val="0"/>
          <w:iCs w:val="0"/>
          <w:caps w:val="0"/>
          <w:smallCaps w:val="0"/>
          <w:noProof w:val="0"/>
          <w:color w:val="242424"/>
          <w:sz w:val="22"/>
          <w:szCs w:val="22"/>
          <w:lang w:val="en-GB"/>
        </w:rPr>
        <w:t xml:space="preserve"> and Gautier-Stein, 2024).</w:t>
      </w:r>
    </w:p>
    <w:p xmlns:wp14="http://schemas.microsoft.com/office/word/2010/wordml" w:rsidP="6618EAF8" wp14:paraId="25A557C9" wp14:textId="3E411BBE">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2B8D587F" wp14:textId="3C3D9A3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6A43DC15">
        <w:rPr>
          <w:rFonts w:ascii="Arial" w:hAnsi="Arial" w:eastAsia="Arial" w:cs="Arial"/>
          <w:b w:val="0"/>
          <w:bCs w:val="0"/>
          <w:i w:val="0"/>
          <w:iCs w:val="0"/>
          <w:caps w:val="0"/>
          <w:smallCaps w:val="0"/>
          <w:noProof w:val="0"/>
          <w:color w:val="242424"/>
          <w:sz w:val="22"/>
          <w:szCs w:val="22"/>
          <w:lang w:val="en-GB"/>
        </w:rPr>
        <w:t xml:space="preserve">Enteroendocrine cells: Scattered throughout the intestinal epithelium are specialised enteroendocrine cells—open-type epithelial cells with apical microvilli exposed to the lumen and basolateral secretory granules </w:t>
      </w:r>
      <w:r w:rsidRPr="6618EAF8" w:rsidR="6A43DC15">
        <w:rPr>
          <w:rFonts w:ascii="Arial" w:hAnsi="Arial" w:eastAsia="Arial" w:cs="Arial"/>
          <w:b w:val="0"/>
          <w:bCs w:val="0"/>
          <w:i w:val="0"/>
          <w:iCs w:val="0"/>
          <w:caps w:val="0"/>
          <w:smallCaps w:val="0"/>
          <w:noProof w:val="0"/>
          <w:color w:val="242424"/>
          <w:sz w:val="22"/>
          <w:szCs w:val="22"/>
          <w:lang w:val="en-GB"/>
        </w:rPr>
        <w:t>adjacent to</w:t>
      </w:r>
      <w:r w:rsidRPr="6618EAF8" w:rsidR="6A43DC15">
        <w:rPr>
          <w:rFonts w:ascii="Arial" w:hAnsi="Arial" w:eastAsia="Arial" w:cs="Arial"/>
          <w:b w:val="0"/>
          <w:bCs w:val="0"/>
          <w:i w:val="0"/>
          <w:iCs w:val="0"/>
          <w:caps w:val="0"/>
          <w:smallCaps w:val="0"/>
          <w:noProof w:val="0"/>
          <w:color w:val="242424"/>
          <w:sz w:val="22"/>
          <w:szCs w:val="22"/>
          <w:lang w:val="en-GB"/>
        </w:rPr>
        <w:t xml:space="preserve"> capillaries. This anatomical arrangement is specifically designed for sensory-endocrine function. K-cells, </w:t>
      </w:r>
      <w:r w:rsidRPr="6618EAF8" w:rsidR="6A43DC15">
        <w:rPr>
          <w:rFonts w:ascii="Arial" w:hAnsi="Arial" w:eastAsia="Arial" w:cs="Arial"/>
          <w:b w:val="0"/>
          <w:bCs w:val="0"/>
          <w:i w:val="0"/>
          <w:iCs w:val="0"/>
          <w:caps w:val="0"/>
          <w:smallCaps w:val="0"/>
          <w:noProof w:val="0"/>
          <w:color w:val="242424"/>
          <w:sz w:val="22"/>
          <w:szCs w:val="22"/>
          <w:lang w:val="en-GB"/>
        </w:rPr>
        <w:t>predominantly located</w:t>
      </w:r>
      <w:r w:rsidRPr="6618EAF8" w:rsidR="6A43DC15">
        <w:rPr>
          <w:rFonts w:ascii="Arial" w:hAnsi="Arial" w:eastAsia="Arial" w:cs="Arial"/>
          <w:b w:val="0"/>
          <w:bCs w:val="0"/>
          <w:i w:val="0"/>
          <w:iCs w:val="0"/>
          <w:caps w:val="0"/>
          <w:smallCaps w:val="0"/>
          <w:noProof w:val="0"/>
          <w:color w:val="242424"/>
          <w:sz w:val="22"/>
          <w:szCs w:val="22"/>
          <w:lang w:val="en-GB"/>
        </w:rPr>
        <w:t xml:space="preserve"> in the duodenal mucosa, secrete glucose-dependent insulinotropic polypeptide (GIP). L-cells, concentrated in the ileal and colonic mucosa, secrete glucagon-like peptide-1 (GLP-1) and peptide YY (Chen et al., 2025).</w:t>
      </w:r>
    </w:p>
    <w:p xmlns:wp14="http://schemas.microsoft.com/office/word/2010/wordml" w:rsidP="6618EAF8" wp14:paraId="6BD1EB30" wp14:textId="66CFBD50">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419047B6" wp14:textId="3CB466D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6A43DC15">
        <w:rPr>
          <w:rFonts w:ascii="Arial" w:hAnsi="Arial" w:eastAsia="Arial" w:cs="Arial"/>
          <w:b w:val="0"/>
          <w:bCs w:val="0"/>
          <w:i w:val="0"/>
          <w:iCs w:val="0"/>
          <w:caps w:val="0"/>
          <w:smallCaps w:val="0"/>
          <w:noProof w:val="0"/>
          <w:color w:val="242424"/>
          <w:sz w:val="22"/>
          <w:szCs w:val="22"/>
          <w:lang w:val="en-GB"/>
        </w:rPr>
        <w:t xml:space="preserve">The incretin system: The observation that oral glucose stimulates significantly greater insulin secretion than </w:t>
      </w:r>
      <w:r w:rsidRPr="6618EAF8" w:rsidR="6A43DC15">
        <w:rPr>
          <w:rFonts w:ascii="Arial" w:hAnsi="Arial" w:eastAsia="Arial" w:cs="Arial"/>
          <w:b w:val="0"/>
          <w:bCs w:val="0"/>
          <w:i w:val="0"/>
          <w:iCs w:val="0"/>
          <w:caps w:val="0"/>
          <w:smallCaps w:val="0"/>
          <w:noProof w:val="0"/>
          <w:color w:val="242424"/>
          <w:sz w:val="22"/>
          <w:szCs w:val="22"/>
          <w:lang w:val="en-GB"/>
        </w:rPr>
        <w:t>isoglycaemic</w:t>
      </w:r>
      <w:r w:rsidRPr="6618EAF8" w:rsidR="6A43DC15">
        <w:rPr>
          <w:rFonts w:ascii="Arial" w:hAnsi="Arial" w:eastAsia="Arial" w:cs="Arial"/>
          <w:b w:val="0"/>
          <w:bCs w:val="0"/>
          <w:i w:val="0"/>
          <w:iCs w:val="0"/>
          <w:caps w:val="0"/>
          <w:smallCaps w:val="0"/>
          <w:noProof w:val="0"/>
          <w:color w:val="242424"/>
          <w:sz w:val="22"/>
          <w:szCs w:val="22"/>
          <w:lang w:val="en-GB"/>
        </w:rPr>
        <w:t xml:space="preserve"> intravenous glucose—the incretin effect—reveals the digestive system's essential role in glucose homeostasis. GLP-1 and GIP potentiate glucose-stimulated insulin secretion, accounting for </w:t>
      </w:r>
      <w:r w:rsidRPr="6618EAF8" w:rsidR="6A43DC15">
        <w:rPr>
          <w:rFonts w:ascii="Arial" w:hAnsi="Arial" w:eastAsia="Arial" w:cs="Arial"/>
          <w:b w:val="0"/>
          <w:bCs w:val="0"/>
          <w:i w:val="0"/>
          <w:iCs w:val="0"/>
          <w:caps w:val="0"/>
          <w:smallCaps w:val="0"/>
          <w:noProof w:val="0"/>
          <w:color w:val="242424"/>
          <w:sz w:val="22"/>
          <w:szCs w:val="22"/>
          <w:lang w:val="en-GB"/>
        </w:rPr>
        <w:t>approximately 50</w:t>
      </w:r>
      <w:r w:rsidRPr="6618EAF8" w:rsidR="6A43DC15">
        <w:rPr>
          <w:rFonts w:ascii="Arial" w:hAnsi="Arial" w:eastAsia="Arial" w:cs="Arial"/>
          <w:b w:val="0"/>
          <w:bCs w:val="0"/>
          <w:i w:val="0"/>
          <w:iCs w:val="0"/>
          <w:caps w:val="0"/>
          <w:smallCaps w:val="0"/>
          <w:noProof w:val="0"/>
          <w:color w:val="242424"/>
          <w:sz w:val="22"/>
          <w:szCs w:val="22"/>
          <w:lang w:val="en-GB"/>
        </w:rPr>
        <w:t xml:space="preserve">–70% of total postprandial insulin release. GLP-1 exerts </w:t>
      </w:r>
      <w:r w:rsidRPr="6618EAF8" w:rsidR="6A43DC15">
        <w:rPr>
          <w:rFonts w:ascii="Arial" w:hAnsi="Arial" w:eastAsia="Arial" w:cs="Arial"/>
          <w:b w:val="0"/>
          <w:bCs w:val="0"/>
          <w:i w:val="0"/>
          <w:iCs w:val="0"/>
          <w:caps w:val="0"/>
          <w:smallCaps w:val="0"/>
          <w:noProof w:val="0"/>
          <w:color w:val="242424"/>
          <w:sz w:val="22"/>
          <w:szCs w:val="22"/>
          <w:lang w:val="en-GB"/>
        </w:rPr>
        <w:t>additional</w:t>
      </w:r>
      <w:r w:rsidRPr="6618EAF8" w:rsidR="6A43DC15">
        <w:rPr>
          <w:rFonts w:ascii="Arial" w:hAnsi="Arial" w:eastAsia="Arial" w:cs="Arial"/>
          <w:b w:val="0"/>
          <w:bCs w:val="0"/>
          <w:i w:val="0"/>
          <w:iCs w:val="0"/>
          <w:caps w:val="0"/>
          <w:smallCaps w:val="0"/>
          <w:noProof w:val="0"/>
          <w:color w:val="242424"/>
          <w:sz w:val="22"/>
          <w:szCs w:val="22"/>
          <w:lang w:val="en-GB"/>
        </w:rPr>
        <w:t xml:space="preserve"> effects: suppressing glucagon secretion, slowing gastric emptying via vagal inhibition, and inducing satiety through direct hypothalamic action (Levy, 2015). In T2DM, the incretin effect is markedly reduced through combined GLP-1 deficiency and defective GLP-1 signalling, with diminished islet responsiveness to GIP (Levy, 2015).</w:t>
      </w:r>
    </w:p>
    <w:p xmlns:wp14="http://schemas.microsoft.com/office/word/2010/wordml" w:rsidP="6618EAF8" wp14:paraId="32231270" wp14:textId="434143BE">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55B7A5F8" wp14:textId="1BC36B8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6A43DC15">
        <w:rPr>
          <w:rFonts w:ascii="Arial" w:hAnsi="Arial" w:eastAsia="Arial" w:cs="Arial"/>
          <w:b w:val="0"/>
          <w:bCs w:val="0"/>
          <w:i w:val="0"/>
          <w:iCs w:val="0"/>
          <w:caps w:val="0"/>
          <w:smallCaps w:val="0"/>
          <w:noProof w:val="0"/>
          <w:color w:val="242424"/>
          <w:sz w:val="22"/>
          <w:szCs w:val="22"/>
          <w:lang w:val="en-GB"/>
        </w:rPr>
        <w:t>Intestinal gluconeogenesis (IGN): A recently characterised digestive function, IGN is the endogenous production and release of glucose from the intestinal wall into the portal vein (</w:t>
      </w:r>
      <w:r w:rsidRPr="6618EAF8" w:rsidR="6A43DC15">
        <w:rPr>
          <w:rFonts w:ascii="Arial" w:hAnsi="Arial" w:eastAsia="Arial" w:cs="Arial"/>
          <w:b w:val="0"/>
          <w:bCs w:val="0"/>
          <w:i w:val="0"/>
          <w:iCs w:val="0"/>
          <w:caps w:val="0"/>
          <w:smallCaps w:val="0"/>
          <w:noProof w:val="0"/>
          <w:color w:val="242424"/>
          <w:sz w:val="22"/>
          <w:szCs w:val="22"/>
          <w:lang w:val="en-GB"/>
        </w:rPr>
        <w:t>Mithieux</w:t>
      </w:r>
      <w:r w:rsidRPr="6618EAF8" w:rsidR="6A43DC15">
        <w:rPr>
          <w:rFonts w:ascii="Arial" w:hAnsi="Arial" w:eastAsia="Arial" w:cs="Arial"/>
          <w:b w:val="0"/>
          <w:bCs w:val="0"/>
          <w:i w:val="0"/>
          <w:iCs w:val="0"/>
          <w:caps w:val="0"/>
          <w:smallCaps w:val="0"/>
          <w:noProof w:val="0"/>
          <w:color w:val="242424"/>
          <w:sz w:val="22"/>
          <w:szCs w:val="22"/>
          <w:lang w:val="en-GB"/>
        </w:rPr>
        <w:t xml:space="preserve"> and Gautier-Stein, 2024). The enzyme glucose-6-phosphatase (G6Pase</w:t>
      </w:r>
      <w:r w:rsidRPr="6618EAF8" w:rsidR="6A43DC15">
        <w:rPr>
          <w:rFonts w:ascii="Arial" w:hAnsi="Arial" w:eastAsia="Arial" w:cs="Arial"/>
          <w:b w:val="0"/>
          <w:bCs w:val="0"/>
          <w:i w:val="0"/>
          <w:iCs w:val="0"/>
          <w:caps w:val="0"/>
          <w:smallCaps w:val="0"/>
          <w:noProof w:val="0"/>
          <w:color w:val="242424"/>
          <w:sz w:val="22"/>
          <w:szCs w:val="22"/>
          <w:lang w:val="en-GB"/>
        </w:rPr>
        <w:t>),</w:t>
      </w:r>
      <w:r w:rsidRPr="6618EAF8" w:rsidR="6A43DC15">
        <w:rPr>
          <w:rFonts w:ascii="Arial" w:hAnsi="Arial" w:eastAsia="Arial" w:cs="Arial"/>
          <w:b w:val="0"/>
          <w:bCs w:val="0"/>
          <w:i w:val="0"/>
          <w:iCs w:val="0"/>
          <w:caps w:val="0"/>
          <w:smallCaps w:val="0"/>
          <w:noProof w:val="0"/>
          <w:color w:val="242424"/>
          <w:sz w:val="22"/>
          <w:szCs w:val="22"/>
          <w:lang w:val="en-GB"/>
        </w:rPr>
        <w:t xml:space="preserve"> the rate-limiting enzyme for glucose release, is expressed in jejunal and proximal ileal epithelial cells. IGN is activated by specific nutrients—particularly dietary fermentable fibre (via short-chain fatty acid fermentation) and dietary protein (via amino acid sensing).</w:t>
      </w:r>
    </w:p>
    <w:p xmlns:wp14="http://schemas.microsoft.com/office/word/2010/wordml" w:rsidP="6618EAF8" wp14:paraId="483C34D7" wp14:textId="06DEE522">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343D26A0" wp14:textId="4CAFFE7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6A43DC15">
        <w:rPr>
          <w:rFonts w:ascii="Arial" w:hAnsi="Arial" w:eastAsia="Arial" w:cs="Arial"/>
          <w:b w:val="0"/>
          <w:bCs w:val="0"/>
          <w:i w:val="0"/>
          <w:iCs w:val="0"/>
          <w:caps w:val="0"/>
          <w:smallCaps w:val="0"/>
          <w:noProof w:val="0"/>
          <w:color w:val="242424"/>
          <w:sz w:val="22"/>
          <w:szCs w:val="22"/>
          <w:lang w:val="en-GB"/>
        </w:rPr>
        <w:t xml:space="preserve">The glucose thus produced is released into the portal vein, where it is detected by portal vein glucose sensors. This detection generates a nervous signal transmitted via the </w:t>
      </w:r>
      <w:r w:rsidRPr="6618EAF8" w:rsidR="6A43DC15">
        <w:rPr>
          <w:rFonts w:ascii="Arial" w:hAnsi="Arial" w:eastAsia="Arial" w:cs="Arial"/>
          <w:b w:val="0"/>
          <w:bCs w:val="0"/>
          <w:i w:val="0"/>
          <w:iCs w:val="0"/>
          <w:caps w:val="0"/>
          <w:smallCaps w:val="0"/>
          <w:noProof w:val="0"/>
          <w:color w:val="242424"/>
          <w:sz w:val="22"/>
          <w:szCs w:val="22"/>
          <w:lang w:val="en-GB"/>
        </w:rPr>
        <w:t>vagus</w:t>
      </w:r>
      <w:r w:rsidRPr="6618EAF8" w:rsidR="6A43DC15">
        <w:rPr>
          <w:rFonts w:ascii="Arial" w:hAnsi="Arial" w:eastAsia="Arial" w:cs="Arial"/>
          <w:b w:val="0"/>
          <w:bCs w:val="0"/>
          <w:i w:val="0"/>
          <w:iCs w:val="0"/>
          <w:caps w:val="0"/>
          <w:smallCaps w:val="0"/>
          <w:noProof w:val="0"/>
          <w:color w:val="242424"/>
          <w:sz w:val="22"/>
          <w:szCs w:val="22"/>
          <w:lang w:val="en-GB"/>
        </w:rPr>
        <w:t xml:space="preserve"> nerve to the nucleus tractus solitarius in the brainstem. This gut-brain-liver circuit induces two clinically significant effects: satiety (reduced food intake) and improved hepatic insulin sensitivity. Critically, the beneficial metabolic effects of high-fibre and high-protein diets are dependent upon IGN; without this portal glucose signal, the metabolic benefits of these dietary patterns are abolished (</w:t>
      </w:r>
      <w:r w:rsidRPr="6618EAF8" w:rsidR="6A43DC15">
        <w:rPr>
          <w:rFonts w:ascii="Arial" w:hAnsi="Arial" w:eastAsia="Arial" w:cs="Arial"/>
          <w:b w:val="0"/>
          <w:bCs w:val="0"/>
          <w:i w:val="0"/>
          <w:iCs w:val="0"/>
          <w:caps w:val="0"/>
          <w:smallCaps w:val="0"/>
          <w:noProof w:val="0"/>
          <w:color w:val="242424"/>
          <w:sz w:val="22"/>
          <w:szCs w:val="22"/>
          <w:lang w:val="en-GB"/>
        </w:rPr>
        <w:t>Mithieux</w:t>
      </w:r>
      <w:r w:rsidRPr="6618EAF8" w:rsidR="6A43DC15">
        <w:rPr>
          <w:rFonts w:ascii="Arial" w:hAnsi="Arial" w:eastAsia="Arial" w:cs="Arial"/>
          <w:b w:val="0"/>
          <w:bCs w:val="0"/>
          <w:i w:val="0"/>
          <w:iCs w:val="0"/>
          <w:caps w:val="0"/>
          <w:smallCaps w:val="0"/>
          <w:noProof w:val="0"/>
          <w:color w:val="242424"/>
          <w:sz w:val="22"/>
          <w:szCs w:val="22"/>
          <w:lang w:val="en-GB"/>
        </w:rPr>
        <w:t xml:space="preserve"> and Gautier-Stein, 2024).</w:t>
      </w:r>
    </w:p>
    <w:p xmlns:wp14="http://schemas.microsoft.com/office/word/2010/wordml" w:rsidP="6618EAF8" wp14:paraId="23038C17" wp14:textId="312705CA">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5D72CD92" wp14:textId="5884ADFC">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783E1815" wp14:textId="4E3C3C4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d) CELLULAR METABOLISM: GLUCOSE AND OXYGEN UTILISATION FOR ENERGY PRODUCTION</w:t>
      </w:r>
    </w:p>
    <w:p xmlns:wp14="http://schemas.microsoft.com/office/word/2010/wordml" w:rsidP="6618EAF8" wp14:paraId="7E1109EB" wp14:textId="43A218D0">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EFB588F" wp14:textId="793951D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Glucose is the primary monosaccharide fuel for cellular respiration, providing chemical energy through sequential oxidation reactions. Oxygen serves as the terminal electron acceptor, without which aerobic metabolism ceases (REB e-Learning Platform, 2023).</w:t>
      </w:r>
    </w:p>
    <w:p xmlns:wp14="http://schemas.microsoft.com/office/word/2010/wordml" w:rsidP="6618EAF8" wp14:paraId="52B81CCD" wp14:textId="3F3F4F25">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2635035C" wp14:textId="473B60B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Glycolysis (cytoplasm): The 10-enzyme glycolytic pathway converts one molecule of glucose (6-carbon) into two molecules of pyruvate (3-carbon). This anaerobic process yields a net gain of 2 ATP (substrate-level phosphorylation) and 2 NADH. Glycolysis occurs with or without oxygen, </w:t>
      </w:r>
      <w:r w:rsidRPr="6618EAF8" w:rsidR="562C1345">
        <w:rPr>
          <w:rFonts w:ascii="Arial" w:hAnsi="Arial" w:eastAsia="Arial" w:cs="Arial"/>
          <w:b w:val="0"/>
          <w:bCs w:val="0"/>
          <w:i w:val="0"/>
          <w:iCs w:val="0"/>
          <w:caps w:val="0"/>
          <w:smallCaps w:val="0"/>
          <w:noProof w:val="0"/>
          <w:color w:val="242424"/>
          <w:sz w:val="22"/>
          <w:szCs w:val="22"/>
          <w:lang w:val="en-GB"/>
        </w:rPr>
        <w:t>representing</w:t>
      </w:r>
      <w:r w:rsidRPr="6618EAF8" w:rsidR="562C1345">
        <w:rPr>
          <w:rFonts w:ascii="Arial" w:hAnsi="Arial" w:eastAsia="Arial" w:cs="Arial"/>
          <w:b w:val="0"/>
          <w:bCs w:val="0"/>
          <w:i w:val="0"/>
          <w:iCs w:val="0"/>
          <w:caps w:val="0"/>
          <w:smallCaps w:val="0"/>
          <w:noProof w:val="0"/>
          <w:color w:val="242424"/>
          <w:sz w:val="22"/>
          <w:szCs w:val="22"/>
          <w:lang w:val="en-GB"/>
        </w:rPr>
        <w:t xml:space="preserve"> the universal entry point for glucose metabolism (Nelson and Cox, 2021).</w:t>
      </w:r>
    </w:p>
    <w:p xmlns:wp14="http://schemas.microsoft.com/office/word/2010/wordml" w:rsidP="6618EAF8" wp14:paraId="7216DBA1" wp14:textId="5CFC6064">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96F1A59" wp14:textId="1224DCD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Pyruvate decarboxylation (mitochondrial matrix): Pyruvate is transported into the mitochondria and oxidatively decarboxylated by the pyruvate dehydrogenase complex, producing acetyl-coenzyme A (acetyl-CoA). Carbon dioxide is released—this </w:t>
      </w:r>
      <w:r w:rsidRPr="6618EAF8" w:rsidR="562C1345">
        <w:rPr>
          <w:rFonts w:ascii="Arial" w:hAnsi="Arial" w:eastAsia="Arial" w:cs="Arial"/>
          <w:b w:val="0"/>
          <w:bCs w:val="0"/>
          <w:i w:val="0"/>
          <w:iCs w:val="0"/>
          <w:caps w:val="0"/>
          <w:smallCaps w:val="0"/>
          <w:noProof w:val="0"/>
          <w:color w:val="242424"/>
          <w:sz w:val="22"/>
          <w:szCs w:val="22"/>
          <w:lang w:val="en-GB"/>
        </w:rPr>
        <w:t>represents</w:t>
      </w:r>
      <w:r w:rsidRPr="6618EAF8" w:rsidR="562C1345">
        <w:rPr>
          <w:rFonts w:ascii="Arial" w:hAnsi="Arial" w:eastAsia="Arial" w:cs="Arial"/>
          <w:b w:val="0"/>
          <w:bCs w:val="0"/>
          <w:i w:val="0"/>
          <w:iCs w:val="0"/>
          <w:caps w:val="0"/>
          <w:smallCaps w:val="0"/>
          <w:noProof w:val="0"/>
          <w:color w:val="242424"/>
          <w:sz w:val="22"/>
          <w:szCs w:val="22"/>
          <w:lang w:val="en-GB"/>
        </w:rPr>
        <w:t xml:space="preserve"> the CO₂ exhaled during respiration.</w:t>
      </w:r>
    </w:p>
    <w:p xmlns:wp14="http://schemas.microsoft.com/office/word/2010/wordml" w:rsidP="6618EAF8" wp14:paraId="0A83D401" wp14:textId="6B5066FA">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E3F18F3" wp14:textId="60AF247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Krebs cycle (mitochondrial matrix): Acetyl-CoA (2-carbon) combines with oxaloacetate (4-carbon) to form citrate (6-carbon). Through eight sequential reactions, the cycle regenerates oxaloacetate while producing per glucose molecule: 2 ATP (or GTP), 6 NADH, and 2 FADH₂, with </w:t>
      </w:r>
      <w:r w:rsidRPr="6618EAF8" w:rsidR="562C1345">
        <w:rPr>
          <w:rFonts w:ascii="Arial" w:hAnsi="Arial" w:eastAsia="Arial" w:cs="Arial"/>
          <w:b w:val="0"/>
          <w:bCs w:val="0"/>
          <w:i w:val="0"/>
          <w:iCs w:val="0"/>
          <w:caps w:val="0"/>
          <w:smallCaps w:val="0"/>
          <w:noProof w:val="0"/>
          <w:color w:val="242424"/>
          <w:sz w:val="22"/>
          <w:szCs w:val="22"/>
          <w:lang w:val="en-GB"/>
        </w:rPr>
        <w:t>additional</w:t>
      </w:r>
      <w:r w:rsidRPr="6618EAF8" w:rsidR="562C1345">
        <w:rPr>
          <w:rFonts w:ascii="Arial" w:hAnsi="Arial" w:eastAsia="Arial" w:cs="Arial"/>
          <w:b w:val="0"/>
          <w:bCs w:val="0"/>
          <w:i w:val="0"/>
          <w:iCs w:val="0"/>
          <w:caps w:val="0"/>
          <w:smallCaps w:val="0"/>
          <w:noProof w:val="0"/>
          <w:color w:val="242424"/>
          <w:sz w:val="22"/>
          <w:szCs w:val="22"/>
          <w:lang w:val="en-GB"/>
        </w:rPr>
        <w:t xml:space="preserve"> CO₂ release.</w:t>
      </w:r>
    </w:p>
    <w:p xmlns:wp14="http://schemas.microsoft.com/office/word/2010/wordml" w:rsidP="6618EAF8" wp14:paraId="3BC57AF1" wp14:textId="5B07F700">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016D630" wp14:textId="2322B98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Oxidative phosphorylation (inner mitochondrial membrane): This is the major ATP-generating process. NADH and FADH₂ donate electrons to the electron transport chain (ETC)—Complexes I-IV embedded in the inner mitochondrial membrane. Electrons traverse the chain through sequential redox reactions, releasing energy that pumps protons from the matrix into the intermembrane space, generating an electrochemical gradient. Oxygen is the terminal electron acceptor at Complex IV, accepting electrons and protons to form water (H₂O</w:t>
      </w:r>
      <w:r w:rsidRPr="6618EAF8" w:rsidR="562C1345">
        <w:rPr>
          <w:rFonts w:ascii="Arial" w:hAnsi="Arial" w:eastAsia="Arial" w:cs="Arial"/>
          <w:b w:val="0"/>
          <w:bCs w:val="0"/>
          <w:i w:val="0"/>
          <w:iCs w:val="0"/>
          <w:caps w:val="0"/>
          <w:smallCaps w:val="0"/>
          <w:noProof w:val="0"/>
          <w:color w:val="242424"/>
          <w:sz w:val="22"/>
          <w:szCs w:val="22"/>
          <w:lang w:val="en-GB"/>
        </w:rPr>
        <w:t>).</w:t>
      </w:r>
      <w:r w:rsidRPr="6618EAF8" w:rsidR="562C1345">
        <w:rPr>
          <w:rFonts w:ascii="Arial" w:hAnsi="Arial" w:eastAsia="Arial" w:cs="Arial"/>
          <w:b w:val="0"/>
          <w:bCs w:val="0"/>
          <w:i w:val="0"/>
          <w:iCs w:val="0"/>
          <w:caps w:val="0"/>
          <w:smallCaps w:val="0"/>
          <w:noProof w:val="0"/>
          <w:color w:val="242424"/>
          <w:sz w:val="22"/>
          <w:szCs w:val="22"/>
          <w:lang w:val="en-GB"/>
        </w:rPr>
        <w:t xml:space="preserve"> Protons re-enter the matrix through ATP synthase, driving phosphorylation of ADP to ATP. The complete oxidation of one glucose molecule yields </w:t>
      </w:r>
      <w:r w:rsidRPr="6618EAF8" w:rsidR="562C1345">
        <w:rPr>
          <w:rFonts w:ascii="Arial" w:hAnsi="Arial" w:eastAsia="Arial" w:cs="Arial"/>
          <w:b w:val="0"/>
          <w:bCs w:val="0"/>
          <w:i w:val="0"/>
          <w:iCs w:val="0"/>
          <w:caps w:val="0"/>
          <w:smallCaps w:val="0"/>
          <w:noProof w:val="0"/>
          <w:color w:val="242424"/>
          <w:sz w:val="22"/>
          <w:szCs w:val="22"/>
          <w:lang w:val="en-GB"/>
        </w:rPr>
        <w:t>approximately 30</w:t>
      </w:r>
      <w:r w:rsidRPr="6618EAF8" w:rsidR="562C1345">
        <w:rPr>
          <w:rFonts w:ascii="Arial" w:hAnsi="Arial" w:eastAsia="Arial" w:cs="Arial"/>
          <w:b w:val="0"/>
          <w:bCs w:val="0"/>
          <w:i w:val="0"/>
          <w:iCs w:val="0"/>
          <w:caps w:val="0"/>
          <w:smallCaps w:val="0"/>
          <w:noProof w:val="0"/>
          <w:color w:val="242424"/>
          <w:sz w:val="22"/>
          <w:szCs w:val="22"/>
          <w:lang w:val="en-GB"/>
        </w:rPr>
        <w:t>–32 ATP (Nelson and Cox, 2021; REB e-Learning Platform, 2023).</w:t>
      </w:r>
    </w:p>
    <w:p xmlns:wp14="http://schemas.microsoft.com/office/word/2010/wordml" w:rsidP="6618EAF8" wp14:paraId="544B54C4" wp14:textId="313834E3">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331D078F" wp14:textId="6B7CBC7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Clinical correlation: The total ATP yield per glucose is theoretically ~2,910 kJ/mol, sufficient for ~65 ATP, but physiological efficiency limits actual production to 30 ATP (</w:t>
      </w:r>
      <w:r w:rsidRPr="6618EAF8" w:rsidR="562C1345">
        <w:rPr>
          <w:rFonts w:ascii="Arial" w:hAnsi="Arial" w:eastAsia="Arial" w:cs="Arial"/>
          <w:b w:val="0"/>
          <w:bCs w:val="0"/>
          <w:i w:val="0"/>
          <w:iCs w:val="0"/>
          <w:caps w:val="0"/>
          <w:smallCaps w:val="0"/>
          <w:noProof w:val="0"/>
          <w:color w:val="242424"/>
          <w:sz w:val="22"/>
          <w:szCs w:val="22"/>
          <w:lang w:val="en-GB"/>
        </w:rPr>
        <w:t>eQuilibrator</w:t>
      </w:r>
      <w:r w:rsidRPr="6618EAF8" w:rsidR="562C1345">
        <w:rPr>
          <w:rFonts w:ascii="Arial" w:hAnsi="Arial" w:eastAsia="Arial" w:cs="Arial"/>
          <w:b w:val="0"/>
          <w:bCs w:val="0"/>
          <w:i w:val="0"/>
          <w:iCs w:val="0"/>
          <w:caps w:val="0"/>
          <w:smallCaps w:val="0"/>
          <w:noProof w:val="0"/>
          <w:color w:val="242424"/>
          <w:sz w:val="22"/>
          <w:szCs w:val="22"/>
          <w:lang w:val="en-GB"/>
        </w:rPr>
        <w:t xml:space="preserve">, 2025). This </w:t>
      </w:r>
      <w:r w:rsidRPr="6618EAF8" w:rsidR="562C1345">
        <w:rPr>
          <w:rFonts w:ascii="Arial" w:hAnsi="Arial" w:eastAsia="Arial" w:cs="Arial"/>
          <w:b w:val="0"/>
          <w:bCs w:val="0"/>
          <w:i w:val="0"/>
          <w:iCs w:val="0"/>
          <w:caps w:val="0"/>
          <w:smallCaps w:val="0"/>
          <w:noProof w:val="0"/>
          <w:color w:val="242424"/>
          <w:sz w:val="22"/>
          <w:szCs w:val="22"/>
          <w:lang w:val="en-GB"/>
        </w:rPr>
        <w:t>demonstrates</w:t>
      </w:r>
      <w:r w:rsidRPr="6618EAF8" w:rsidR="562C1345">
        <w:rPr>
          <w:rFonts w:ascii="Arial" w:hAnsi="Arial" w:eastAsia="Arial" w:cs="Arial"/>
          <w:b w:val="0"/>
          <w:bCs w:val="0"/>
          <w:i w:val="0"/>
          <w:iCs w:val="0"/>
          <w:caps w:val="0"/>
          <w:smallCaps w:val="0"/>
          <w:noProof w:val="0"/>
          <w:color w:val="242424"/>
          <w:sz w:val="22"/>
          <w:szCs w:val="22"/>
          <w:lang w:val="en-GB"/>
        </w:rPr>
        <w:t xml:space="preserve"> why cardiovascular health (oxygen delivery) is inseparable from metabolic health (glucose utilisation). Impaired oxygen delivery—whether from sedentary lifestyle, smoking-related microvascular disease, or </w:t>
      </w:r>
      <w:r w:rsidRPr="6618EAF8" w:rsidR="562C1345">
        <w:rPr>
          <w:rFonts w:ascii="Arial" w:hAnsi="Arial" w:eastAsia="Arial" w:cs="Arial"/>
          <w:b w:val="0"/>
          <w:bCs w:val="0"/>
          <w:i w:val="0"/>
          <w:iCs w:val="0"/>
          <w:caps w:val="0"/>
          <w:smallCaps w:val="0"/>
          <w:noProof w:val="0"/>
          <w:color w:val="242424"/>
          <w:sz w:val="22"/>
          <w:szCs w:val="22"/>
          <w:lang w:val="en-GB"/>
        </w:rPr>
        <w:t>established</w:t>
      </w:r>
      <w:r w:rsidRPr="6618EAF8" w:rsidR="562C1345">
        <w:rPr>
          <w:rFonts w:ascii="Arial" w:hAnsi="Arial" w:eastAsia="Arial" w:cs="Arial"/>
          <w:b w:val="0"/>
          <w:bCs w:val="0"/>
          <w:i w:val="0"/>
          <w:iCs w:val="0"/>
          <w:caps w:val="0"/>
          <w:smallCaps w:val="0"/>
          <w:noProof w:val="0"/>
          <w:color w:val="242424"/>
          <w:sz w:val="22"/>
          <w:szCs w:val="22"/>
          <w:lang w:val="en-GB"/>
        </w:rPr>
        <w:t xml:space="preserve"> cardiovascular disease—directly compromises cellular energy production, contributing to fatigue and reduced functional capacity in T2DM.</w:t>
      </w:r>
    </w:p>
    <w:p xmlns:wp14="http://schemas.microsoft.com/office/word/2010/wordml" w:rsidP="6618EAF8" wp14:paraId="0475600B" wp14:textId="3E5EBEDB">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130FAF33" wp14:textId="05E28D34">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12418E24" wp14:textId="308328F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e) SELF-MONITORING OF BLOOD GLUCOSE IN TYPE 2 DIABETES MANAGEMENT</w:t>
      </w:r>
    </w:p>
    <w:p xmlns:wp14="http://schemas.microsoft.com/office/word/2010/wordml" w:rsidP="6618EAF8" wp14:paraId="1610ACDC" wp14:textId="6E34572E">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218D71AC" wp14:textId="0CC8A6C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Self-monitoring of blood glucose (SMBG) and real-time continuous glucose monitoring (rt-CGM) provide essential physiological feedback that enables individuals with T2DM to engage safely and effectively with their care plans.</w:t>
      </w:r>
    </w:p>
    <w:p xmlns:wp14="http://schemas.microsoft.com/office/word/2010/wordml" w:rsidP="6618EAF8" wp14:paraId="49BE9090" wp14:textId="33E6DCF2">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49C318FA" wp14:textId="498EBAA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Effectiveness evidence: A 2026 systematic review and meta-analysis by Lian et al. examined 11 randomised controlled trials comparing rt-CGM with SMBG in adults with T2DM (rt-CGM: n=437; SMBG: n=352). rt-CGM use was associated with significant improvements across multiple glycaemic parameters: HbA1c reduction (mean difference -0.20%), increased time-in-range (mean difference +7.41%), reduced time-above-range (mean difference -6.93%), and reduced time-below-range (mean difference -0.26%). Glucose variability was significantly lower (mean difference -1.06%). Importantly, rt-CGM users </w:t>
      </w:r>
      <w:r w:rsidRPr="6618EAF8" w:rsidR="562C1345">
        <w:rPr>
          <w:rFonts w:ascii="Arial" w:hAnsi="Arial" w:eastAsia="Arial" w:cs="Arial"/>
          <w:b w:val="0"/>
          <w:bCs w:val="0"/>
          <w:i w:val="0"/>
          <w:iCs w:val="0"/>
          <w:caps w:val="0"/>
          <w:smallCaps w:val="0"/>
          <w:noProof w:val="0"/>
          <w:color w:val="242424"/>
          <w:sz w:val="22"/>
          <w:szCs w:val="22"/>
          <w:lang w:val="en-GB"/>
        </w:rPr>
        <w:t>demonstrated</w:t>
      </w:r>
      <w:r w:rsidRPr="6618EAF8" w:rsidR="562C1345">
        <w:rPr>
          <w:rFonts w:ascii="Arial" w:hAnsi="Arial" w:eastAsia="Arial" w:cs="Arial"/>
          <w:b w:val="0"/>
          <w:bCs w:val="0"/>
          <w:i w:val="0"/>
          <w:iCs w:val="0"/>
          <w:caps w:val="0"/>
          <w:smallCaps w:val="0"/>
          <w:noProof w:val="0"/>
          <w:color w:val="242424"/>
          <w:sz w:val="22"/>
          <w:szCs w:val="22"/>
          <w:lang w:val="en-GB"/>
        </w:rPr>
        <w:t xml:space="preserve"> </w:t>
      </w:r>
      <w:r w:rsidRPr="6618EAF8" w:rsidR="562C1345">
        <w:rPr>
          <w:rFonts w:ascii="Arial" w:hAnsi="Arial" w:eastAsia="Arial" w:cs="Arial"/>
          <w:b w:val="0"/>
          <w:bCs w:val="0"/>
          <w:i w:val="0"/>
          <w:iCs w:val="0"/>
          <w:caps w:val="0"/>
          <w:smallCaps w:val="0"/>
          <w:noProof w:val="0"/>
          <w:color w:val="242424"/>
          <w:sz w:val="22"/>
          <w:szCs w:val="22"/>
          <w:lang w:val="en-GB"/>
        </w:rPr>
        <w:t>substantially greater</w:t>
      </w:r>
      <w:r w:rsidRPr="6618EAF8" w:rsidR="562C1345">
        <w:rPr>
          <w:rFonts w:ascii="Arial" w:hAnsi="Arial" w:eastAsia="Arial" w:cs="Arial"/>
          <w:b w:val="0"/>
          <w:bCs w:val="0"/>
          <w:i w:val="0"/>
          <w:iCs w:val="0"/>
          <w:caps w:val="0"/>
          <w:smallCaps w:val="0"/>
          <w:noProof w:val="0"/>
          <w:color w:val="242424"/>
          <w:sz w:val="22"/>
          <w:szCs w:val="22"/>
          <w:lang w:val="en-GB"/>
        </w:rPr>
        <w:t xml:space="preserve"> improvements in readiness for diabetes self-management (standardised mean difference 0.69), </w:t>
      </w:r>
      <w:r w:rsidRPr="6618EAF8" w:rsidR="562C1345">
        <w:rPr>
          <w:rFonts w:ascii="Arial" w:hAnsi="Arial" w:eastAsia="Arial" w:cs="Arial"/>
          <w:b w:val="0"/>
          <w:bCs w:val="0"/>
          <w:i w:val="0"/>
          <w:iCs w:val="0"/>
          <w:caps w:val="0"/>
          <w:smallCaps w:val="0"/>
          <w:noProof w:val="0"/>
          <w:color w:val="242424"/>
          <w:sz w:val="22"/>
          <w:szCs w:val="22"/>
          <w:lang w:val="en-GB"/>
        </w:rPr>
        <w:t>indicating</w:t>
      </w:r>
      <w:r w:rsidRPr="6618EAF8" w:rsidR="562C1345">
        <w:rPr>
          <w:rFonts w:ascii="Arial" w:hAnsi="Arial" w:eastAsia="Arial" w:cs="Arial"/>
          <w:b w:val="0"/>
          <w:bCs w:val="0"/>
          <w:i w:val="0"/>
          <w:iCs w:val="0"/>
          <w:caps w:val="0"/>
          <w:smallCaps w:val="0"/>
          <w:noProof w:val="0"/>
          <w:color w:val="242424"/>
          <w:sz w:val="22"/>
          <w:szCs w:val="22"/>
          <w:lang w:val="en-GB"/>
        </w:rPr>
        <w:t xml:space="preserve"> enhanced capacity, opportunity, and motivation for behavioural engagement (Lian et al., 2026).</w:t>
      </w:r>
    </w:p>
    <w:p xmlns:wp14="http://schemas.microsoft.com/office/word/2010/wordml" w:rsidP="6618EAF8" wp14:paraId="4728D4D7" wp14:textId="3211D457">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0460572" wp14:textId="45A3AFB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Mechanisms of benefit: SMBG and CGM facilitate safe management through four interconnected mechanisms. First, pattern recognition enables identification of glucose excursions in response to specific meals, activities, medications, or stressors, </w:t>
      </w:r>
      <w:r w:rsidRPr="6618EAF8" w:rsidR="562C1345">
        <w:rPr>
          <w:rFonts w:ascii="Arial" w:hAnsi="Arial" w:eastAsia="Arial" w:cs="Arial"/>
          <w:b w:val="0"/>
          <w:bCs w:val="0"/>
          <w:i w:val="0"/>
          <w:iCs w:val="0"/>
          <w:caps w:val="0"/>
          <w:smallCaps w:val="0"/>
          <w:noProof w:val="0"/>
          <w:color w:val="242424"/>
          <w:sz w:val="22"/>
          <w:szCs w:val="22"/>
          <w:lang w:val="en-GB"/>
        </w:rPr>
        <w:t>permitting</w:t>
      </w:r>
      <w:r w:rsidRPr="6618EAF8" w:rsidR="562C1345">
        <w:rPr>
          <w:rFonts w:ascii="Arial" w:hAnsi="Arial" w:eastAsia="Arial" w:cs="Arial"/>
          <w:b w:val="0"/>
          <w:bCs w:val="0"/>
          <w:i w:val="0"/>
          <w:iCs w:val="0"/>
          <w:caps w:val="0"/>
          <w:smallCaps w:val="0"/>
          <w:noProof w:val="0"/>
          <w:color w:val="242424"/>
          <w:sz w:val="22"/>
          <w:szCs w:val="22"/>
          <w:lang w:val="en-GB"/>
        </w:rPr>
        <w:t xml:space="preserve"> personalised behavioural adjustments (Soh et al., 2024). Second, immediate feedback transforms glucose monitoring from a passive data-collection exercise into an active learning tool, replacing anxiety and guilt with curiosity and informed decision-making. Third, hypoglycaemia avoidance is particularly critical for insulin-treated patients or those on </w:t>
      </w:r>
      <w:r w:rsidRPr="6618EAF8" w:rsidR="562C1345">
        <w:rPr>
          <w:rFonts w:ascii="Arial" w:hAnsi="Arial" w:eastAsia="Arial" w:cs="Arial"/>
          <w:b w:val="0"/>
          <w:bCs w:val="0"/>
          <w:i w:val="0"/>
          <w:iCs w:val="0"/>
          <w:caps w:val="0"/>
          <w:smallCaps w:val="0"/>
          <w:noProof w:val="0"/>
          <w:color w:val="242424"/>
          <w:sz w:val="22"/>
          <w:szCs w:val="22"/>
          <w:lang w:val="en-GB"/>
        </w:rPr>
        <w:t>sulphonylureas</w:t>
      </w:r>
      <w:r w:rsidRPr="6618EAF8" w:rsidR="562C1345">
        <w:rPr>
          <w:rFonts w:ascii="Arial" w:hAnsi="Arial" w:eastAsia="Arial" w:cs="Arial"/>
          <w:b w:val="0"/>
          <w:bCs w:val="0"/>
          <w:i w:val="0"/>
          <w:iCs w:val="0"/>
          <w:caps w:val="0"/>
          <w:smallCaps w:val="0"/>
          <w:noProof w:val="0"/>
          <w:color w:val="242424"/>
          <w:sz w:val="22"/>
          <w:szCs w:val="22"/>
          <w:lang w:val="en-GB"/>
        </w:rPr>
        <w:t xml:space="preserve">; real-time alerts prevent neuroglycopenic events and their associated risks. Fourth, medication titration—whether insulin dose adjustment or deprescribing when lifestyle improvements reduce requirements—is </w:t>
      </w:r>
      <w:r w:rsidRPr="6618EAF8" w:rsidR="562C1345">
        <w:rPr>
          <w:rFonts w:ascii="Arial" w:hAnsi="Arial" w:eastAsia="Arial" w:cs="Arial"/>
          <w:b w:val="0"/>
          <w:bCs w:val="0"/>
          <w:i w:val="0"/>
          <w:iCs w:val="0"/>
          <w:caps w:val="0"/>
          <w:smallCaps w:val="0"/>
          <w:noProof w:val="0"/>
          <w:color w:val="242424"/>
          <w:sz w:val="22"/>
          <w:szCs w:val="22"/>
          <w:lang w:val="en-GB"/>
        </w:rPr>
        <w:t>rendered</w:t>
      </w:r>
      <w:r w:rsidRPr="6618EAF8" w:rsidR="562C1345">
        <w:rPr>
          <w:rFonts w:ascii="Arial" w:hAnsi="Arial" w:eastAsia="Arial" w:cs="Arial"/>
          <w:b w:val="0"/>
          <w:bCs w:val="0"/>
          <w:i w:val="0"/>
          <w:iCs w:val="0"/>
          <w:caps w:val="0"/>
          <w:smallCaps w:val="0"/>
          <w:noProof w:val="0"/>
          <w:color w:val="242424"/>
          <w:sz w:val="22"/>
          <w:szCs w:val="22"/>
          <w:lang w:val="en-GB"/>
        </w:rPr>
        <w:t xml:space="preserve"> precise and evidence-based (Lian et al., 2026; Soh et al., 2024).</w:t>
      </w:r>
    </w:p>
    <w:p xmlns:wp14="http://schemas.microsoft.com/office/word/2010/wordml" w:rsidP="6618EAF8" wp14:paraId="4612429C" wp14:textId="0B68FA0A">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8891E7D" wp14:textId="2061824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Patient communication: For clinical consultations, framing SMBG/CGM as a "physiological feedback loop" rather than a "test" reduces psychological resistance. Patients can be educated that tracking reveals their unique biological responses, transforming guesswork into knowledge and enabling true partnership in care.</w:t>
      </w:r>
    </w:p>
    <w:p xmlns:wp14="http://schemas.microsoft.com/office/word/2010/wordml" w:rsidP="6618EAF8" wp14:paraId="6944D222" wp14:textId="6A5D7F6F">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0C3D1320" wp14:textId="04C8C469">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46C19BC7" wp14:textId="1EBDBF9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f) EVIDENCE-BASED LIFESTYLE RECOMMENDATIONS</w:t>
      </w:r>
    </w:p>
    <w:p xmlns:wp14="http://schemas.microsoft.com/office/word/2010/wordml" w:rsidP="6618EAF8" wp14:paraId="61F18DE4" wp14:textId="2CD2A636">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2E58E915" wp14:textId="7273EC5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The American College of Lifestyle Medicine (ACLM) published comprehensive clinical practice guidelines in 2025, </w:t>
      </w:r>
      <w:r w:rsidRPr="6618EAF8" w:rsidR="562C1345">
        <w:rPr>
          <w:rFonts w:ascii="Arial" w:hAnsi="Arial" w:eastAsia="Arial" w:cs="Arial"/>
          <w:b w:val="0"/>
          <w:bCs w:val="0"/>
          <w:i w:val="0"/>
          <w:iCs w:val="0"/>
          <w:caps w:val="0"/>
          <w:smallCaps w:val="0"/>
          <w:noProof w:val="0"/>
          <w:color w:val="242424"/>
          <w:sz w:val="22"/>
          <w:szCs w:val="22"/>
          <w:lang w:val="en-GB"/>
        </w:rPr>
        <w:t>establishing</w:t>
      </w:r>
      <w:r w:rsidRPr="6618EAF8" w:rsidR="562C1345">
        <w:rPr>
          <w:rFonts w:ascii="Arial" w:hAnsi="Arial" w:eastAsia="Arial" w:cs="Arial"/>
          <w:b w:val="0"/>
          <w:bCs w:val="0"/>
          <w:i w:val="0"/>
          <w:iCs w:val="0"/>
          <w:caps w:val="0"/>
          <w:smallCaps w:val="0"/>
          <w:noProof w:val="0"/>
          <w:color w:val="242424"/>
          <w:sz w:val="22"/>
          <w:szCs w:val="22"/>
          <w:lang w:val="en-GB"/>
        </w:rPr>
        <w:t xml:space="preserve"> lifestyle intervention as first-line treatment for T2DM prevention, management, and remission (Rosenfeld et al., 2025). The guidelines are structured around six pillars of lifestyle medicine.</w:t>
      </w:r>
    </w:p>
    <w:p xmlns:wp14="http://schemas.microsoft.com/office/word/2010/wordml" w:rsidP="6618EAF8" wp14:paraId="0267DC83" wp14:textId="59C09C6B">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F22471D" wp14:textId="5E6AB23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1. Nutrition:</w:t>
      </w:r>
    </w:p>
    <w:p xmlns:wp14="http://schemas.microsoft.com/office/word/2010/wordml" w:rsidP="6618EAF8" wp14:paraId="56B25C90" wp14:textId="15226A5E">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6F9AE8B" wp14:textId="2994A1B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Recommendation: Prescribe a nutrition plan based on whole foods, with emphasis on plant-predominant dietary patterns. </w:t>
      </w:r>
      <w:r w:rsidRPr="6618EAF8" w:rsidR="562C1345">
        <w:rPr>
          <w:rFonts w:ascii="Arial" w:hAnsi="Arial" w:eastAsia="Arial" w:cs="Arial"/>
          <w:b w:val="0"/>
          <w:bCs w:val="0"/>
          <w:i w:val="0"/>
          <w:iCs w:val="0"/>
          <w:caps w:val="0"/>
          <w:smallCaps w:val="0"/>
          <w:noProof w:val="0"/>
          <w:color w:val="242424"/>
          <w:sz w:val="22"/>
          <w:szCs w:val="22"/>
          <w:lang w:val="en-GB"/>
        </w:rPr>
        <w:t>Strong evidence</w:t>
      </w:r>
      <w:r w:rsidRPr="6618EAF8" w:rsidR="562C1345">
        <w:rPr>
          <w:rFonts w:ascii="Arial" w:hAnsi="Arial" w:eastAsia="Arial" w:cs="Arial"/>
          <w:b w:val="0"/>
          <w:bCs w:val="0"/>
          <w:i w:val="0"/>
          <w:iCs w:val="0"/>
          <w:caps w:val="0"/>
          <w:smallCaps w:val="0"/>
          <w:noProof w:val="0"/>
          <w:color w:val="242424"/>
          <w:sz w:val="22"/>
          <w:szCs w:val="22"/>
          <w:lang w:val="en-GB"/>
        </w:rPr>
        <w:t xml:space="preserve"> supports replacing refined carbohydrates with dietary pulses—lentils, chickpeas, beans, and peas (Rosenfeld et al., 2025).</w:t>
      </w:r>
    </w:p>
    <w:p xmlns:wp14="http://schemas.microsoft.com/office/word/2010/wordml" w:rsidP="6618EAF8" wp14:paraId="0747883D" wp14:textId="5D042702">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0E6538F9" wp14:textId="7E7F8DE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Evidence: A systematic umbrella review by </w:t>
      </w:r>
      <w:r w:rsidRPr="6618EAF8" w:rsidR="562C1345">
        <w:rPr>
          <w:rFonts w:ascii="Arial" w:hAnsi="Arial" w:eastAsia="Arial" w:cs="Arial"/>
          <w:b w:val="0"/>
          <w:bCs w:val="0"/>
          <w:i w:val="0"/>
          <w:iCs w:val="0"/>
          <w:caps w:val="0"/>
          <w:smallCaps w:val="0"/>
          <w:noProof w:val="0"/>
          <w:color w:val="242424"/>
          <w:sz w:val="22"/>
          <w:szCs w:val="22"/>
          <w:lang w:val="en-GB"/>
        </w:rPr>
        <w:t>Viguiliouk</w:t>
      </w:r>
      <w:r w:rsidRPr="6618EAF8" w:rsidR="562C1345">
        <w:rPr>
          <w:rFonts w:ascii="Arial" w:hAnsi="Arial" w:eastAsia="Arial" w:cs="Arial"/>
          <w:b w:val="0"/>
          <w:bCs w:val="0"/>
          <w:i w:val="0"/>
          <w:iCs w:val="0"/>
          <w:caps w:val="0"/>
          <w:smallCaps w:val="0"/>
          <w:noProof w:val="0"/>
          <w:color w:val="242424"/>
          <w:sz w:val="22"/>
          <w:szCs w:val="22"/>
          <w:lang w:val="en-GB"/>
        </w:rPr>
        <w:t xml:space="preserve"> et al. (2019) </w:t>
      </w:r>
      <w:r w:rsidRPr="6618EAF8" w:rsidR="562C1345">
        <w:rPr>
          <w:rFonts w:ascii="Arial" w:hAnsi="Arial" w:eastAsia="Arial" w:cs="Arial"/>
          <w:b w:val="0"/>
          <w:bCs w:val="0"/>
          <w:i w:val="0"/>
          <w:iCs w:val="0"/>
          <w:caps w:val="0"/>
          <w:smallCaps w:val="0"/>
          <w:noProof w:val="0"/>
          <w:color w:val="242424"/>
          <w:sz w:val="22"/>
          <w:szCs w:val="22"/>
          <w:lang w:val="en-GB"/>
        </w:rPr>
        <w:t>demonstrated</w:t>
      </w:r>
      <w:r w:rsidRPr="6618EAF8" w:rsidR="562C1345">
        <w:rPr>
          <w:rFonts w:ascii="Arial" w:hAnsi="Arial" w:eastAsia="Arial" w:cs="Arial"/>
          <w:b w:val="0"/>
          <w:bCs w:val="0"/>
          <w:i w:val="0"/>
          <w:iCs w:val="0"/>
          <w:caps w:val="0"/>
          <w:smallCaps w:val="0"/>
          <w:noProof w:val="0"/>
          <w:color w:val="242424"/>
          <w:sz w:val="22"/>
          <w:szCs w:val="22"/>
          <w:lang w:val="en-GB"/>
        </w:rPr>
        <w:t xml:space="preserve"> that higher pulse intake is associated with significant reductions in coronary heart disease (RR 0.90), hypertension (RR 0.91), and obesity (RR 0.87).</w:t>
      </w:r>
    </w:p>
    <w:p xmlns:wp14="http://schemas.microsoft.com/office/word/2010/wordml" w:rsidP="6618EAF8" wp14:paraId="2324368A" wp14:textId="0960F8BB">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A65F604" wp14:textId="0DFE5C3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Physiological mechanism: Dietary pulses resist rapid enzymatic digestion in the small intestine due to intact cell wall structure, delivering fermentable fibre to the colon. This stimulates L-cell GLP-1 secretion and, critically, induces intestinal gluconeogenesis, triggering satiety signals via the portal vagal-brain pathway (</w:t>
      </w:r>
      <w:r w:rsidRPr="6618EAF8" w:rsidR="562C1345">
        <w:rPr>
          <w:rFonts w:ascii="Arial" w:hAnsi="Arial" w:eastAsia="Arial" w:cs="Arial"/>
          <w:b w:val="0"/>
          <w:bCs w:val="0"/>
          <w:i w:val="0"/>
          <w:iCs w:val="0"/>
          <w:caps w:val="0"/>
          <w:smallCaps w:val="0"/>
          <w:noProof w:val="0"/>
          <w:color w:val="242424"/>
          <w:sz w:val="22"/>
          <w:szCs w:val="22"/>
          <w:lang w:val="en-GB"/>
        </w:rPr>
        <w:t>Mithieux</w:t>
      </w:r>
      <w:r w:rsidRPr="6618EAF8" w:rsidR="562C1345">
        <w:rPr>
          <w:rFonts w:ascii="Arial" w:hAnsi="Arial" w:eastAsia="Arial" w:cs="Arial"/>
          <w:b w:val="0"/>
          <w:bCs w:val="0"/>
          <w:i w:val="0"/>
          <w:iCs w:val="0"/>
          <w:caps w:val="0"/>
          <w:smallCaps w:val="0"/>
          <w:noProof w:val="0"/>
          <w:color w:val="242424"/>
          <w:sz w:val="22"/>
          <w:szCs w:val="22"/>
          <w:lang w:val="en-GB"/>
        </w:rPr>
        <w:t xml:space="preserve"> and Gautier-Stein, 2024). Protein-enriched diets similarly improve glucose homeostasis through IGN-dependent mechanisms.</w:t>
      </w:r>
    </w:p>
    <w:p xmlns:wp14="http://schemas.microsoft.com/office/word/2010/wordml" w:rsidP="6618EAF8" wp14:paraId="42DA9A48" wp14:textId="62E6289C">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3B21AFE" wp14:textId="0883633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2. Physical activity:</w:t>
      </w:r>
    </w:p>
    <w:p xmlns:wp14="http://schemas.microsoft.com/office/word/2010/wordml" w:rsidP="6618EAF8" wp14:paraId="5D6C7B4C" wp14:textId="700BBE4A">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8628ADA" wp14:textId="3ED63A0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Recommendation: Prescribe at least 150 minutes of moderate-intensity aerobic activity weekly, supplemented by two or more sessions of muscle-strengthening activities involving major muscle groups (Rosenfeld et al., 2025).</w:t>
      </w:r>
    </w:p>
    <w:p xmlns:wp14="http://schemas.microsoft.com/office/word/2010/wordml" w:rsidP="6618EAF8" wp14:paraId="318F2F99" wp14:textId="044C3324">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590AE10C" wp14:textId="75BE017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Physiological mechanism: Muscle contraction activates AMP-activated protein kinase (AMPK), which stimulates GLUT4 translocation to the sarcolemma independently of insulin signalling. This insulin-independent pathway effectively bypasses the defective insulin signalling characteristic of T2DM, enabling glucose uptake even in the presence of severe insulin resistance (Richter and Hargreaves, 2023).</w:t>
      </w:r>
    </w:p>
    <w:p xmlns:wp14="http://schemas.microsoft.com/office/word/2010/wordml" w:rsidP="6618EAF8" wp14:paraId="396118F9" wp14:textId="00794DA2">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74AA6F3" wp14:textId="378B08A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3. Sleep:</w:t>
      </w:r>
    </w:p>
    <w:p xmlns:wp14="http://schemas.microsoft.com/office/word/2010/wordml" w:rsidP="6618EAF8" wp14:paraId="2215C30E" wp14:textId="7A1A5E59">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C55E8EB" wp14:textId="39E0CAD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Recommendation: Assess for sleep disorders; recommend 7–9 hours of quality sleep per night for adults (Rosenfeld et al., 2025).</w:t>
      </w:r>
    </w:p>
    <w:p xmlns:wp14="http://schemas.microsoft.com/office/word/2010/wordml" w:rsidP="6618EAF8" wp14:paraId="5B022095" wp14:textId="0E0FE3AA">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F1AF6E6" wp14:textId="0176116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Physiological impact: Sleep restriction reduces hypothalamic insulin sensitivity, elevates nocturnal cortisol and growth hormone, and induces morning insulin resistance. Chronic sleep insufficiency disrupts the biologically defended level of glycaemia (Smyth, </w:t>
      </w:r>
      <w:r w:rsidRPr="6618EAF8" w:rsidR="562C1345">
        <w:rPr>
          <w:rFonts w:ascii="Arial" w:hAnsi="Arial" w:eastAsia="Arial" w:cs="Arial"/>
          <w:b w:val="0"/>
          <w:bCs w:val="0"/>
          <w:i w:val="0"/>
          <w:iCs w:val="0"/>
          <w:caps w:val="0"/>
          <w:smallCaps w:val="0"/>
          <w:noProof w:val="0"/>
          <w:color w:val="242424"/>
          <w:sz w:val="22"/>
          <w:szCs w:val="22"/>
          <w:lang w:val="en-GB"/>
        </w:rPr>
        <w:t>Varghese</w:t>
      </w:r>
      <w:r w:rsidRPr="6618EAF8" w:rsidR="562C1345">
        <w:rPr>
          <w:rFonts w:ascii="Arial" w:hAnsi="Arial" w:eastAsia="Arial" w:cs="Arial"/>
          <w:b w:val="0"/>
          <w:bCs w:val="0"/>
          <w:i w:val="0"/>
          <w:iCs w:val="0"/>
          <w:caps w:val="0"/>
          <w:smallCaps w:val="0"/>
          <w:noProof w:val="0"/>
          <w:color w:val="242424"/>
          <w:sz w:val="22"/>
          <w:szCs w:val="22"/>
          <w:lang w:val="en-GB"/>
        </w:rPr>
        <w:t xml:space="preserve"> and Fisher, 2024).</w:t>
      </w:r>
    </w:p>
    <w:p xmlns:wp14="http://schemas.microsoft.com/office/word/2010/wordml" w:rsidP="6618EAF8" wp14:paraId="05AFF320" wp14:textId="5D5E3F2D">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0F93DF85" wp14:textId="0AC0DEA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4. Stress management:</w:t>
      </w:r>
    </w:p>
    <w:p xmlns:wp14="http://schemas.microsoft.com/office/word/2010/wordml" w:rsidP="6618EAF8" wp14:paraId="0FC6E7F6" wp14:textId="1B5604D4">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7FFAE66" wp14:textId="54BFF34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Recommendation: </w:t>
      </w:r>
      <w:r w:rsidRPr="6618EAF8" w:rsidR="562C1345">
        <w:rPr>
          <w:rFonts w:ascii="Arial" w:hAnsi="Arial" w:eastAsia="Arial" w:cs="Arial"/>
          <w:b w:val="0"/>
          <w:bCs w:val="0"/>
          <w:i w:val="0"/>
          <w:iCs w:val="0"/>
          <w:caps w:val="0"/>
          <w:smallCaps w:val="0"/>
          <w:noProof w:val="0"/>
          <w:color w:val="242424"/>
          <w:sz w:val="22"/>
          <w:szCs w:val="22"/>
          <w:lang w:val="en-GB"/>
        </w:rPr>
        <w:t>Identify</w:t>
      </w:r>
      <w:r w:rsidRPr="6618EAF8" w:rsidR="562C1345">
        <w:rPr>
          <w:rFonts w:ascii="Arial" w:hAnsi="Arial" w:eastAsia="Arial" w:cs="Arial"/>
          <w:b w:val="0"/>
          <w:bCs w:val="0"/>
          <w:i w:val="0"/>
          <w:iCs w:val="0"/>
          <w:caps w:val="0"/>
          <w:smallCaps w:val="0"/>
          <w:noProof w:val="0"/>
          <w:color w:val="242424"/>
          <w:sz w:val="22"/>
          <w:szCs w:val="22"/>
          <w:lang w:val="en-GB"/>
        </w:rPr>
        <w:t xml:space="preserve"> need for psychological interventions; refer for cognitive behavioural therapy or mindfulness-based stress reduction when </w:t>
      </w:r>
      <w:r w:rsidRPr="6618EAF8" w:rsidR="562C1345">
        <w:rPr>
          <w:rFonts w:ascii="Arial" w:hAnsi="Arial" w:eastAsia="Arial" w:cs="Arial"/>
          <w:b w:val="0"/>
          <w:bCs w:val="0"/>
          <w:i w:val="0"/>
          <w:iCs w:val="0"/>
          <w:caps w:val="0"/>
          <w:smallCaps w:val="0"/>
          <w:noProof w:val="0"/>
          <w:color w:val="242424"/>
          <w:sz w:val="22"/>
          <w:szCs w:val="22"/>
          <w:lang w:val="en-GB"/>
        </w:rPr>
        <w:t>indicated</w:t>
      </w:r>
      <w:r w:rsidRPr="6618EAF8" w:rsidR="562C1345">
        <w:rPr>
          <w:rFonts w:ascii="Arial" w:hAnsi="Arial" w:eastAsia="Arial" w:cs="Arial"/>
          <w:b w:val="0"/>
          <w:bCs w:val="0"/>
          <w:i w:val="0"/>
          <w:iCs w:val="0"/>
          <w:caps w:val="0"/>
          <w:smallCaps w:val="0"/>
          <w:noProof w:val="0"/>
          <w:color w:val="242424"/>
          <w:sz w:val="22"/>
          <w:szCs w:val="22"/>
          <w:lang w:val="en-GB"/>
        </w:rPr>
        <w:t xml:space="preserve"> (Rosenfeld et al., 2025).</w:t>
      </w:r>
    </w:p>
    <w:p xmlns:wp14="http://schemas.microsoft.com/office/word/2010/wordml" w:rsidP="6618EAF8" wp14:paraId="11E663E1" wp14:textId="6D03E3F8">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4BE37ADD" wp14:textId="3BCB84C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Physiological impact: Chronic sympathetic nervous system activation directly innervates pancreatic islets; sustained overactivity remodels islet architecture, reduces beta-cell mass, and impairs insulin secretion capacity (Smyth, </w:t>
      </w:r>
      <w:r w:rsidRPr="6618EAF8" w:rsidR="562C1345">
        <w:rPr>
          <w:rFonts w:ascii="Arial" w:hAnsi="Arial" w:eastAsia="Arial" w:cs="Arial"/>
          <w:b w:val="0"/>
          <w:bCs w:val="0"/>
          <w:i w:val="0"/>
          <w:iCs w:val="0"/>
          <w:caps w:val="0"/>
          <w:smallCaps w:val="0"/>
          <w:noProof w:val="0"/>
          <w:color w:val="242424"/>
          <w:sz w:val="22"/>
          <w:szCs w:val="22"/>
          <w:lang w:val="en-GB"/>
        </w:rPr>
        <w:t>Varghese</w:t>
      </w:r>
      <w:r w:rsidRPr="6618EAF8" w:rsidR="562C1345">
        <w:rPr>
          <w:rFonts w:ascii="Arial" w:hAnsi="Arial" w:eastAsia="Arial" w:cs="Arial"/>
          <w:b w:val="0"/>
          <w:bCs w:val="0"/>
          <w:i w:val="0"/>
          <w:iCs w:val="0"/>
          <w:caps w:val="0"/>
          <w:smallCaps w:val="0"/>
          <w:noProof w:val="0"/>
          <w:color w:val="242424"/>
          <w:sz w:val="22"/>
          <w:szCs w:val="22"/>
          <w:lang w:val="en-GB"/>
        </w:rPr>
        <w:t xml:space="preserve"> and Fisher, 2024).</w:t>
      </w:r>
    </w:p>
    <w:p xmlns:wp14="http://schemas.microsoft.com/office/word/2010/wordml" w:rsidP="6618EAF8" wp14:paraId="179F196E" wp14:textId="61518ED3">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24F2BCD5" wp14:textId="2B546AC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5. Avoidance of risky substances – smoking:</w:t>
      </w:r>
    </w:p>
    <w:p xmlns:wp14="http://schemas.microsoft.com/office/word/2010/wordml" w:rsidP="6618EAF8" wp14:paraId="4E7F1DD6" wp14:textId="16197F1E">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E20C878" wp14:textId="3A0D1E6F">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Recommendation: Counsel </w:t>
      </w:r>
      <w:r w:rsidRPr="6618EAF8" w:rsidR="562C1345">
        <w:rPr>
          <w:rFonts w:ascii="Arial" w:hAnsi="Arial" w:eastAsia="Arial" w:cs="Arial"/>
          <w:b w:val="0"/>
          <w:bCs w:val="0"/>
          <w:i w:val="0"/>
          <w:iCs w:val="0"/>
          <w:caps w:val="0"/>
          <w:smallCaps w:val="0"/>
          <w:noProof w:val="0"/>
          <w:color w:val="242424"/>
          <w:sz w:val="22"/>
          <w:szCs w:val="22"/>
          <w:lang w:val="en-GB"/>
        </w:rPr>
        <w:t>regarding</w:t>
      </w:r>
      <w:r w:rsidRPr="6618EAF8" w:rsidR="562C1345">
        <w:rPr>
          <w:rFonts w:ascii="Arial" w:hAnsi="Arial" w:eastAsia="Arial" w:cs="Arial"/>
          <w:b w:val="0"/>
          <w:bCs w:val="0"/>
          <w:i w:val="0"/>
          <w:iCs w:val="0"/>
          <w:caps w:val="0"/>
          <w:smallCaps w:val="0"/>
          <w:noProof w:val="0"/>
          <w:color w:val="242424"/>
          <w:sz w:val="22"/>
          <w:szCs w:val="22"/>
          <w:lang w:val="en-GB"/>
        </w:rPr>
        <w:t xml:space="preserve"> tobacco cessation; </w:t>
      </w:r>
      <w:r w:rsidRPr="6618EAF8" w:rsidR="562C1345">
        <w:rPr>
          <w:rFonts w:ascii="Arial" w:hAnsi="Arial" w:eastAsia="Arial" w:cs="Arial"/>
          <w:b w:val="0"/>
          <w:bCs w:val="0"/>
          <w:i w:val="0"/>
          <w:iCs w:val="0"/>
          <w:caps w:val="0"/>
          <w:smallCaps w:val="0"/>
          <w:noProof w:val="0"/>
          <w:color w:val="242424"/>
          <w:sz w:val="22"/>
          <w:szCs w:val="22"/>
          <w:lang w:val="en-GB"/>
        </w:rPr>
        <w:t>advise</w:t>
      </w:r>
      <w:r w:rsidRPr="6618EAF8" w:rsidR="562C1345">
        <w:rPr>
          <w:rFonts w:ascii="Arial" w:hAnsi="Arial" w:eastAsia="Arial" w:cs="Arial"/>
          <w:b w:val="0"/>
          <w:bCs w:val="0"/>
          <w:i w:val="0"/>
          <w:iCs w:val="0"/>
          <w:caps w:val="0"/>
          <w:smallCaps w:val="0"/>
          <w:noProof w:val="0"/>
          <w:color w:val="242424"/>
          <w:sz w:val="22"/>
          <w:szCs w:val="22"/>
          <w:lang w:val="en-GB"/>
        </w:rPr>
        <w:t xml:space="preserve"> complete abstinence (Rosenfeld et al., 2025).</w:t>
      </w:r>
    </w:p>
    <w:p xmlns:wp14="http://schemas.microsoft.com/office/word/2010/wordml" w:rsidP="6618EAF8" wp14:paraId="36E2162E" wp14:textId="7036AC3D">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93C97E9" wp14:textId="354DD66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Evidence: A 2024 study by Park et al. examined smoking cessation using varenicline in patients with T2DM and prediabetes. Successful cessation was achieved without significant weight gain or glycaemic deterioration. Importantly, smoking cessation significantly increased plasma GLP-1 levels (from 39.6 to 45.8 </w:t>
      </w:r>
      <w:r w:rsidRPr="6618EAF8" w:rsidR="562C1345">
        <w:rPr>
          <w:rFonts w:ascii="Arial" w:hAnsi="Arial" w:eastAsia="Arial" w:cs="Arial"/>
          <w:b w:val="0"/>
          <w:bCs w:val="0"/>
          <w:i w:val="0"/>
          <w:iCs w:val="0"/>
          <w:caps w:val="0"/>
          <w:smallCaps w:val="0"/>
          <w:noProof w:val="0"/>
          <w:color w:val="242424"/>
          <w:sz w:val="22"/>
          <w:szCs w:val="22"/>
          <w:lang w:val="en-GB"/>
        </w:rPr>
        <w:t>pM</w:t>
      </w:r>
      <w:r w:rsidRPr="6618EAF8" w:rsidR="562C1345">
        <w:rPr>
          <w:rFonts w:ascii="Arial" w:hAnsi="Arial" w:eastAsia="Arial" w:cs="Arial"/>
          <w:b w:val="0"/>
          <w:bCs w:val="0"/>
          <w:i w:val="0"/>
          <w:iCs w:val="0"/>
          <w:caps w:val="0"/>
          <w:smallCaps w:val="0"/>
          <w:noProof w:val="0"/>
          <w:color w:val="242424"/>
          <w:sz w:val="22"/>
          <w:szCs w:val="22"/>
          <w:lang w:val="en-GB"/>
        </w:rPr>
        <w:t>, p=0.016) and improved lipid profiles (total cholesterol 168→156 mg/dL, p=0.013; LDL-C 96→83 mg/dL, p=0.013). Physical activity increased, with moderate-intensity activity rising from 28% to 56% of participants (Park et al., 2024).</w:t>
      </w:r>
    </w:p>
    <w:p xmlns:wp14="http://schemas.microsoft.com/office/word/2010/wordml" w:rsidP="6618EAF8" wp14:paraId="3B27C594" wp14:textId="5D634B4F">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00C1C47A" wp14:textId="5EE7DE8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Physiological mechanism: Nicotine activates sympathetic outflow, increasing hepatic glucose production and reducing insulin sensitivity. Smoking cessation removes this sympathetic stimulus and restores endogenous GLP-1 secretion, directly improving the incretin response (Park et al., 2024).</w:t>
      </w:r>
    </w:p>
    <w:p xmlns:wp14="http://schemas.microsoft.com/office/word/2010/wordml" w:rsidP="6618EAF8" wp14:paraId="203CF26E" wp14:textId="4120DA00">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5C18F394" wp14:textId="1670514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6. Social connectedness:</w:t>
      </w:r>
    </w:p>
    <w:p xmlns:wp14="http://schemas.microsoft.com/office/word/2010/wordml" w:rsidP="6618EAF8" wp14:paraId="1B3986B1" wp14:textId="4E29DC75">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6A8FE70" wp14:textId="07FD091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Recommendation: Promote peer, family, and community support; </w:t>
      </w:r>
      <w:r w:rsidRPr="6618EAF8" w:rsidR="562C1345">
        <w:rPr>
          <w:rFonts w:ascii="Arial" w:hAnsi="Arial" w:eastAsia="Arial" w:cs="Arial"/>
          <w:b w:val="0"/>
          <w:bCs w:val="0"/>
          <w:i w:val="0"/>
          <w:iCs w:val="0"/>
          <w:caps w:val="0"/>
          <w:smallCaps w:val="0"/>
          <w:noProof w:val="0"/>
          <w:color w:val="242424"/>
          <w:sz w:val="22"/>
          <w:szCs w:val="22"/>
          <w:lang w:val="en-GB"/>
        </w:rPr>
        <w:t>facilitate</w:t>
      </w:r>
      <w:r w:rsidRPr="6618EAF8" w:rsidR="562C1345">
        <w:rPr>
          <w:rFonts w:ascii="Arial" w:hAnsi="Arial" w:eastAsia="Arial" w:cs="Arial"/>
          <w:b w:val="0"/>
          <w:bCs w:val="0"/>
          <w:i w:val="0"/>
          <w:iCs w:val="0"/>
          <w:caps w:val="0"/>
          <w:smallCaps w:val="0"/>
          <w:noProof w:val="0"/>
          <w:color w:val="242424"/>
          <w:sz w:val="22"/>
          <w:szCs w:val="22"/>
          <w:lang w:val="en-GB"/>
        </w:rPr>
        <w:t xml:space="preserve"> social connections that support health behaviour change (Rosenfeld et al., 2025).</w:t>
      </w:r>
    </w:p>
    <w:p xmlns:wp14="http://schemas.microsoft.com/office/word/2010/wordml" w:rsidP="6618EAF8" wp14:paraId="2BFC49C1" wp14:textId="095BB02E">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658318CD" wp14:textId="77584F73">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6E394ECF" wp14:textId="1DA49299">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g) CONCLUSION</w:t>
      </w:r>
    </w:p>
    <w:p xmlns:wp14="http://schemas.microsoft.com/office/word/2010/wordml" w:rsidP="6618EAF8" wp14:paraId="45B29812" wp14:textId="61364374">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7232519" wp14:textId="1498AD1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This report has synthesised current evidence </w:t>
      </w:r>
      <w:r w:rsidRPr="6618EAF8" w:rsidR="562C1345">
        <w:rPr>
          <w:rFonts w:ascii="Arial" w:hAnsi="Arial" w:eastAsia="Arial" w:cs="Arial"/>
          <w:b w:val="0"/>
          <w:bCs w:val="0"/>
          <w:i w:val="0"/>
          <w:iCs w:val="0"/>
          <w:caps w:val="0"/>
          <w:smallCaps w:val="0"/>
          <w:noProof w:val="0"/>
          <w:color w:val="242424"/>
          <w:sz w:val="22"/>
          <w:szCs w:val="22"/>
          <w:lang w:val="en-GB"/>
        </w:rPr>
        <w:t>demonstrating</w:t>
      </w:r>
      <w:r w:rsidRPr="6618EAF8" w:rsidR="562C1345">
        <w:rPr>
          <w:rFonts w:ascii="Arial" w:hAnsi="Arial" w:eastAsia="Arial" w:cs="Arial"/>
          <w:b w:val="0"/>
          <w:bCs w:val="0"/>
          <w:i w:val="0"/>
          <w:iCs w:val="0"/>
          <w:caps w:val="0"/>
          <w:smallCaps w:val="0"/>
          <w:noProof w:val="0"/>
          <w:color w:val="242424"/>
          <w:sz w:val="22"/>
          <w:szCs w:val="22"/>
          <w:lang w:val="en-GB"/>
        </w:rPr>
        <w:t xml:space="preserve"> that effective T2DM management requires integrated understanding of the digestive system's specialised anatomical structures and their physiological functions. The small intestine—through its villi, microvilli, and enteroendocrine K-cells and L-cells—is not merely an absorptive surface but a sophisticated glucose-sensing endocrine organ. The incretin system and intestinal gluconeogenesis represent specific anatomical-physiological relationships whereby nutrient detection is translated into hormonal and neural signals that regulate pancreatic function, hepatic glucose production, and satiety.</w:t>
      </w:r>
    </w:p>
    <w:p xmlns:wp14="http://schemas.microsoft.com/office/word/2010/wordml" w:rsidP="6618EAF8" wp14:paraId="72FC27A4" wp14:textId="74A0A14B">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26B0491" wp14:textId="75EDEE4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Critically, the beneficial metabolic effects of high-fibre and high-protein diets are dependent upon intestinal gluconeogenesis and the portal glucose-vagal-brain signalling pathway. This </w:t>
      </w:r>
      <w:r w:rsidRPr="6618EAF8" w:rsidR="562C1345">
        <w:rPr>
          <w:rFonts w:ascii="Arial" w:hAnsi="Arial" w:eastAsia="Arial" w:cs="Arial"/>
          <w:b w:val="0"/>
          <w:bCs w:val="0"/>
          <w:i w:val="0"/>
          <w:iCs w:val="0"/>
          <w:caps w:val="0"/>
          <w:smallCaps w:val="0"/>
          <w:noProof w:val="0"/>
          <w:color w:val="242424"/>
          <w:sz w:val="22"/>
          <w:szCs w:val="22"/>
          <w:lang w:val="en-GB"/>
        </w:rPr>
        <w:t>represents</w:t>
      </w:r>
      <w:r w:rsidRPr="6618EAF8" w:rsidR="562C1345">
        <w:rPr>
          <w:rFonts w:ascii="Arial" w:hAnsi="Arial" w:eastAsia="Arial" w:cs="Arial"/>
          <w:b w:val="0"/>
          <w:bCs w:val="0"/>
          <w:i w:val="0"/>
          <w:iCs w:val="0"/>
          <w:caps w:val="0"/>
          <w:smallCaps w:val="0"/>
          <w:noProof w:val="0"/>
          <w:color w:val="242424"/>
          <w:sz w:val="22"/>
          <w:szCs w:val="22"/>
          <w:lang w:val="en-GB"/>
        </w:rPr>
        <w:t xml:space="preserve"> a direct structure-function relationship: dietary patterns influence digestive system physiology, which in turn </w:t>
      </w:r>
      <w:r w:rsidRPr="6618EAF8" w:rsidR="562C1345">
        <w:rPr>
          <w:rFonts w:ascii="Arial" w:hAnsi="Arial" w:eastAsia="Arial" w:cs="Arial"/>
          <w:b w:val="0"/>
          <w:bCs w:val="0"/>
          <w:i w:val="0"/>
          <w:iCs w:val="0"/>
          <w:caps w:val="0"/>
          <w:smallCaps w:val="0"/>
          <w:noProof w:val="0"/>
          <w:color w:val="242424"/>
          <w:sz w:val="22"/>
          <w:szCs w:val="22"/>
          <w:lang w:val="en-GB"/>
        </w:rPr>
        <w:t>determines</w:t>
      </w:r>
      <w:r w:rsidRPr="6618EAF8" w:rsidR="562C1345">
        <w:rPr>
          <w:rFonts w:ascii="Arial" w:hAnsi="Arial" w:eastAsia="Arial" w:cs="Arial"/>
          <w:b w:val="0"/>
          <w:bCs w:val="0"/>
          <w:i w:val="0"/>
          <w:iCs w:val="0"/>
          <w:caps w:val="0"/>
          <w:smallCaps w:val="0"/>
          <w:noProof w:val="0"/>
          <w:color w:val="242424"/>
          <w:sz w:val="22"/>
          <w:szCs w:val="22"/>
          <w:lang w:val="en-GB"/>
        </w:rPr>
        <w:t xml:space="preserve"> systemic glucose homeostasis. Similarly, smoking cessation increases endogenous GLP-1 secretion, </w:t>
      </w:r>
      <w:r w:rsidRPr="6618EAF8" w:rsidR="562C1345">
        <w:rPr>
          <w:rFonts w:ascii="Arial" w:hAnsi="Arial" w:eastAsia="Arial" w:cs="Arial"/>
          <w:b w:val="0"/>
          <w:bCs w:val="0"/>
          <w:i w:val="0"/>
          <w:iCs w:val="0"/>
          <w:caps w:val="0"/>
          <w:smallCaps w:val="0"/>
          <w:noProof w:val="0"/>
          <w:color w:val="242424"/>
          <w:sz w:val="22"/>
          <w:szCs w:val="22"/>
          <w:lang w:val="en-GB"/>
        </w:rPr>
        <w:t>demonstrating</w:t>
      </w:r>
      <w:r w:rsidRPr="6618EAF8" w:rsidR="562C1345">
        <w:rPr>
          <w:rFonts w:ascii="Arial" w:hAnsi="Arial" w:eastAsia="Arial" w:cs="Arial"/>
          <w:b w:val="0"/>
          <w:bCs w:val="0"/>
          <w:i w:val="0"/>
          <w:iCs w:val="0"/>
          <w:caps w:val="0"/>
          <w:smallCaps w:val="0"/>
          <w:noProof w:val="0"/>
          <w:color w:val="242424"/>
          <w:sz w:val="22"/>
          <w:szCs w:val="22"/>
          <w:lang w:val="en-GB"/>
        </w:rPr>
        <w:t xml:space="preserve"> bidirectional interaction between lifestyle behaviour and digestive endocrine function.</w:t>
      </w:r>
    </w:p>
    <w:p xmlns:wp14="http://schemas.microsoft.com/office/word/2010/wordml" w:rsidP="6618EAF8" wp14:paraId="5772877F" wp14:textId="1B1888EF">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CA6B601" wp14:textId="500EF2D0">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 xml:space="preserve">Self-monitoring technologies—both SMBG and rt-CGM—provide the essential feedback loop enabling patients to </w:t>
      </w:r>
      <w:r w:rsidRPr="6618EAF8" w:rsidR="562C1345">
        <w:rPr>
          <w:rFonts w:ascii="Arial" w:hAnsi="Arial" w:eastAsia="Arial" w:cs="Arial"/>
          <w:b w:val="0"/>
          <w:bCs w:val="0"/>
          <w:i w:val="0"/>
          <w:iCs w:val="0"/>
          <w:caps w:val="0"/>
          <w:smallCaps w:val="0"/>
          <w:noProof w:val="0"/>
          <w:color w:val="242424"/>
          <w:sz w:val="22"/>
          <w:szCs w:val="22"/>
          <w:lang w:val="en-GB"/>
        </w:rPr>
        <w:t>observe</w:t>
      </w:r>
      <w:r w:rsidRPr="6618EAF8" w:rsidR="562C1345">
        <w:rPr>
          <w:rFonts w:ascii="Arial" w:hAnsi="Arial" w:eastAsia="Arial" w:cs="Arial"/>
          <w:b w:val="0"/>
          <w:bCs w:val="0"/>
          <w:i w:val="0"/>
          <w:iCs w:val="0"/>
          <w:caps w:val="0"/>
          <w:smallCaps w:val="0"/>
          <w:noProof w:val="0"/>
          <w:color w:val="242424"/>
          <w:sz w:val="22"/>
          <w:szCs w:val="22"/>
          <w:lang w:val="en-GB"/>
        </w:rPr>
        <w:t xml:space="preserve"> their own physiological responses, transforming abstract clinical advice into personally meaningful, evidence-based behavioural adjustments. When patients understand why their gut communicates with their pancreas, how muscle contraction bypasses insulin resistance, and why sleep and stress matter at a cellular level, they are equipped to engage as informed partners in their care.</w:t>
      </w:r>
    </w:p>
    <w:p xmlns:wp14="http://schemas.microsoft.com/office/word/2010/wordml" w:rsidP="6618EAF8" wp14:paraId="3FD76A67" wp14:textId="2AF23089">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23C9A3C0" wp14:textId="7562171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562C1345">
        <w:rPr>
          <w:rFonts w:ascii="Arial" w:hAnsi="Arial" w:eastAsia="Arial" w:cs="Arial"/>
          <w:b w:val="0"/>
          <w:bCs w:val="0"/>
          <w:i w:val="0"/>
          <w:iCs w:val="0"/>
          <w:caps w:val="0"/>
          <w:smallCaps w:val="0"/>
          <w:noProof w:val="0"/>
          <w:color w:val="242424"/>
          <w:sz w:val="22"/>
          <w:szCs w:val="22"/>
          <w:lang w:val="en-GB"/>
        </w:rPr>
        <w:t>The evidence is unequivocal: lifestyle interventions targeting nutrition, physical activity, sleep, stress, and smoking cessation are not adjunctive "soft" advice but mechanism-targeted therapies addressing the root neuroendocrine and metabolic dysfunction in T2DM. For the practice nurse, integrating this physiological knowledge into routine consultations offers a powerful means of enhancing patient understanding, engagement, and clinical outcomes.</w:t>
      </w:r>
    </w:p>
    <w:p xmlns:wp14="http://schemas.microsoft.com/office/word/2010/wordml" w:rsidP="6618EAF8" wp14:paraId="69C3F223" wp14:textId="13B952D4">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15EEF565" wp14:textId="52DB762A">
      <w:pPr>
        <w:spacing w:before="0" w:beforeAutospacing="off" w:after="0" w:afterAutospacing="off"/>
        <w:jc w:val="left"/>
        <w:rPr>
          <w:rFonts w:ascii="Arial" w:hAnsi="Arial" w:eastAsia="Arial" w:cs="Arial"/>
          <w:noProof w:val="0"/>
          <w:sz w:val="22"/>
          <w:szCs w:val="22"/>
          <w:lang w:val="en-GB"/>
        </w:rPr>
      </w:pPr>
    </w:p>
    <w:p xmlns:wp14="http://schemas.microsoft.com/office/word/2010/wordml" w:rsidP="6618EAF8" wp14:paraId="53FCA3E3" wp14:textId="3B51511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h) REFERENCE LIST</w:t>
      </w:r>
    </w:p>
    <w:p xmlns:wp14="http://schemas.microsoft.com/office/word/2010/wordml" w:rsidP="6618EAF8" wp14:paraId="4F7768BF" wp14:textId="3D3E536E">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56F9170F" wp14:textId="107CFAC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American Diabetes Association (2023) '2. Classification and diagnosis of diabetes: standards of care in diabetes—2023', Diabetes Care, 46(Supplement 1), pp. S19–S40.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10.2337/dc23-S002.</w:t>
      </w:r>
    </w:p>
    <w:p xmlns:wp14="http://schemas.microsoft.com/office/word/2010/wordml" w:rsidP="6618EAF8" wp14:paraId="15D8F453" wp14:textId="1D6179F0">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732E261" wp14:textId="6B8ED1F7">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Chen, Q., Gao, Y., Li, </w:t>
      </w:r>
      <w:r w:rsidRPr="6618EAF8" w:rsidR="263A29BE">
        <w:rPr>
          <w:rFonts w:ascii="Arial" w:hAnsi="Arial" w:eastAsia="Arial" w:cs="Arial"/>
          <w:b w:val="0"/>
          <w:bCs w:val="0"/>
          <w:i w:val="0"/>
          <w:iCs w:val="0"/>
          <w:caps w:val="0"/>
          <w:smallCaps w:val="0"/>
          <w:noProof w:val="0"/>
          <w:color w:val="242424"/>
          <w:sz w:val="22"/>
          <w:szCs w:val="22"/>
          <w:lang w:val="en-GB"/>
        </w:rPr>
        <w:t>F.</w:t>
      </w:r>
      <w:r w:rsidRPr="6618EAF8" w:rsidR="263A29BE">
        <w:rPr>
          <w:rFonts w:ascii="Arial" w:hAnsi="Arial" w:eastAsia="Arial" w:cs="Arial"/>
          <w:b w:val="0"/>
          <w:bCs w:val="0"/>
          <w:i w:val="0"/>
          <w:iCs w:val="0"/>
          <w:caps w:val="0"/>
          <w:smallCaps w:val="0"/>
          <w:noProof w:val="0"/>
          <w:color w:val="242424"/>
          <w:sz w:val="22"/>
          <w:szCs w:val="22"/>
          <w:lang w:val="en-GB"/>
        </w:rPr>
        <w:t xml:space="preserve"> and Yuan, L. (2025) 'The role of gut–islet axis in pancreatic islet function and glucose homeostasis', Diabetes, Obesity and Metabolism, 27(4), pp. 1676–1692.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10.1111/dom.16225.</w:t>
      </w:r>
    </w:p>
    <w:p xmlns:wp14="http://schemas.microsoft.com/office/word/2010/wordml" w:rsidP="6618EAF8" wp14:paraId="134C08A7" wp14:textId="1486E4B6">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33E72575" wp14:textId="5BF2118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Chhabra, K.H., Lee, J.M. and Herman, M.A. (2025) 'Contribution of metabolism-independent glucose sensing to metabolic homeostasis', Molecular and Cellular Endocrinology, 602, 112458.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10.1016/j.mce.2025.112458.</w:t>
      </w:r>
    </w:p>
    <w:p xmlns:wp14="http://schemas.microsoft.com/office/word/2010/wordml" w:rsidP="6618EAF8" wp14:paraId="39368E3E" wp14:textId="060A058A">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C2523CE" wp14:textId="4CE0119D">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eQuilibrator</w:t>
      </w:r>
      <w:r w:rsidRPr="6618EAF8" w:rsidR="263A29BE">
        <w:rPr>
          <w:rFonts w:ascii="Arial" w:hAnsi="Arial" w:eastAsia="Arial" w:cs="Arial"/>
          <w:b w:val="0"/>
          <w:bCs w:val="0"/>
          <w:i w:val="0"/>
          <w:iCs w:val="0"/>
          <w:caps w:val="0"/>
          <w:smallCaps w:val="0"/>
          <w:noProof w:val="0"/>
          <w:color w:val="242424"/>
          <w:sz w:val="22"/>
          <w:szCs w:val="22"/>
          <w:lang w:val="en-GB"/>
        </w:rPr>
        <w:t xml:space="preserve"> (2025) The oxidation of glucose. Weizmann Institute of Science. Available at: </w:t>
      </w:r>
      <w:hyperlink r:id="Ra3f24684af8c4180">
        <w:r w:rsidRPr="6618EAF8" w:rsidR="263A29BE">
          <w:rPr>
            <w:rStyle w:val="Hyperlink"/>
            <w:rFonts w:ascii="Arial" w:hAnsi="Arial" w:eastAsia="Arial" w:cs="Arial"/>
            <w:b w:val="0"/>
            <w:bCs w:val="0"/>
            <w:i w:val="0"/>
            <w:iCs w:val="0"/>
            <w:caps w:val="0"/>
            <w:smallCaps w:val="0"/>
            <w:noProof w:val="0"/>
            <w:sz w:val="22"/>
            <w:szCs w:val="22"/>
            <w:lang w:val="en-GB"/>
          </w:rPr>
          <w:t>https://equilibrator.weizmann.ac.il/</w:t>
        </w:r>
      </w:hyperlink>
      <w:r w:rsidRPr="6618EAF8" w:rsidR="263A29BE">
        <w:rPr>
          <w:rFonts w:ascii="Arial" w:hAnsi="Arial" w:eastAsia="Arial" w:cs="Arial"/>
          <w:b w:val="0"/>
          <w:bCs w:val="0"/>
          <w:i w:val="0"/>
          <w:iCs w:val="0"/>
          <w:caps w:val="0"/>
          <w:smallCaps w:val="0"/>
          <w:noProof w:val="0"/>
          <w:color w:val="242424"/>
          <w:sz w:val="22"/>
          <w:szCs w:val="22"/>
          <w:lang w:val="en-GB"/>
        </w:rPr>
        <w:t xml:space="preserve"> (Accessed: 1</w:t>
      </w:r>
      <w:r w:rsidRPr="6618EAF8" w:rsidR="4FB0EBF2">
        <w:rPr>
          <w:rFonts w:ascii="Arial" w:hAnsi="Arial" w:eastAsia="Arial" w:cs="Arial"/>
          <w:b w:val="0"/>
          <w:bCs w:val="0"/>
          <w:i w:val="0"/>
          <w:iCs w:val="0"/>
          <w:caps w:val="0"/>
          <w:smallCaps w:val="0"/>
          <w:noProof w:val="0"/>
          <w:color w:val="242424"/>
          <w:sz w:val="22"/>
          <w:szCs w:val="22"/>
          <w:lang w:val="en-GB"/>
        </w:rPr>
        <w:t>9</w:t>
      </w:r>
      <w:r w:rsidRPr="6618EAF8" w:rsidR="263A29BE">
        <w:rPr>
          <w:rFonts w:ascii="Arial" w:hAnsi="Arial" w:eastAsia="Arial" w:cs="Arial"/>
          <w:b w:val="0"/>
          <w:bCs w:val="0"/>
          <w:i w:val="0"/>
          <w:iCs w:val="0"/>
          <w:caps w:val="0"/>
          <w:smallCaps w:val="0"/>
          <w:noProof w:val="0"/>
          <w:color w:val="242424"/>
          <w:sz w:val="22"/>
          <w:szCs w:val="22"/>
          <w:lang w:val="en-GB"/>
        </w:rPr>
        <w:t xml:space="preserve"> February 2026).</w:t>
      </w:r>
    </w:p>
    <w:p xmlns:wp14="http://schemas.microsoft.com/office/word/2010/wordml" w:rsidP="6618EAF8" wp14:paraId="7620B68F" wp14:textId="14942175">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83E64CF" wp14:textId="431E273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Forouhi</w:t>
      </w:r>
      <w:r w:rsidRPr="6618EAF8" w:rsidR="263A29BE">
        <w:rPr>
          <w:rFonts w:ascii="Arial" w:hAnsi="Arial" w:eastAsia="Arial" w:cs="Arial"/>
          <w:b w:val="0"/>
          <w:bCs w:val="0"/>
          <w:i w:val="0"/>
          <w:iCs w:val="0"/>
          <w:caps w:val="0"/>
          <w:smallCaps w:val="0"/>
          <w:noProof w:val="0"/>
          <w:color w:val="242424"/>
          <w:sz w:val="22"/>
          <w:szCs w:val="22"/>
          <w:lang w:val="en-GB"/>
        </w:rPr>
        <w:t xml:space="preserve">, N.G. and Wareham, N.J. (2022) 'Epidemiology of diabetes', Medicine, 50(12), pp. 756–761.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10.1016/j.mpmed.2022.09.008.</w:t>
      </w:r>
    </w:p>
    <w:p xmlns:wp14="http://schemas.microsoft.com/office/word/2010/wordml" w:rsidP="6618EAF8" wp14:paraId="02D82D91" wp14:textId="004CCB72">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5CA0810C" wp14:textId="2A45BEB3">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Kahn, S.E., Chen, Y.C., Esser, N., Taylor, A.R., et al. (2021) 'The β cell in diabetes: integrating biomarkers with functional measures', Endocrine Reviews, 42(5), pp. 529–572.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10.1210/</w:t>
      </w:r>
      <w:r w:rsidRPr="6618EAF8" w:rsidR="263A29BE">
        <w:rPr>
          <w:rFonts w:ascii="Arial" w:hAnsi="Arial" w:eastAsia="Arial" w:cs="Arial"/>
          <w:b w:val="0"/>
          <w:bCs w:val="0"/>
          <w:i w:val="0"/>
          <w:iCs w:val="0"/>
          <w:caps w:val="0"/>
          <w:smallCaps w:val="0"/>
          <w:noProof w:val="0"/>
          <w:color w:val="242424"/>
          <w:sz w:val="22"/>
          <w:szCs w:val="22"/>
          <w:lang w:val="en-GB"/>
        </w:rPr>
        <w:t>endrev</w:t>
      </w:r>
      <w:r w:rsidRPr="6618EAF8" w:rsidR="263A29BE">
        <w:rPr>
          <w:rFonts w:ascii="Arial" w:hAnsi="Arial" w:eastAsia="Arial" w:cs="Arial"/>
          <w:b w:val="0"/>
          <w:bCs w:val="0"/>
          <w:i w:val="0"/>
          <w:iCs w:val="0"/>
          <w:caps w:val="0"/>
          <w:smallCaps w:val="0"/>
          <w:noProof w:val="0"/>
          <w:color w:val="242424"/>
          <w:sz w:val="22"/>
          <w:szCs w:val="22"/>
          <w:lang w:val="en-GB"/>
        </w:rPr>
        <w:t>/bnab021.</w:t>
      </w:r>
    </w:p>
    <w:p xmlns:wp14="http://schemas.microsoft.com/office/word/2010/wordml" w:rsidP="6618EAF8" wp14:paraId="36BF3B4E" wp14:textId="18907328">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35BCC4D2" wp14:textId="366ED05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Levy, D. (2015) 'Drugs acting on the incretin system (entero-insular axis)', in Practical Diabetes Care, 3rd </w:t>
      </w:r>
      <w:r w:rsidRPr="6618EAF8" w:rsidR="263A29BE">
        <w:rPr>
          <w:rFonts w:ascii="Arial" w:hAnsi="Arial" w:eastAsia="Arial" w:cs="Arial"/>
          <w:b w:val="0"/>
          <w:bCs w:val="0"/>
          <w:i w:val="0"/>
          <w:iCs w:val="0"/>
          <w:caps w:val="0"/>
          <w:smallCaps w:val="0"/>
          <w:noProof w:val="0"/>
          <w:color w:val="242424"/>
          <w:sz w:val="22"/>
          <w:szCs w:val="22"/>
          <w:lang w:val="en-GB"/>
        </w:rPr>
        <w:t>edn</w:t>
      </w:r>
      <w:r w:rsidRPr="6618EAF8" w:rsidR="263A29BE">
        <w:rPr>
          <w:rFonts w:ascii="Arial" w:hAnsi="Arial" w:eastAsia="Arial" w:cs="Arial"/>
          <w:b w:val="0"/>
          <w:bCs w:val="0"/>
          <w:i w:val="0"/>
          <w:iCs w:val="0"/>
          <w:caps w:val="0"/>
          <w:smallCaps w:val="0"/>
          <w:noProof w:val="0"/>
          <w:color w:val="242424"/>
          <w:sz w:val="22"/>
          <w:szCs w:val="22"/>
          <w:lang w:val="en-GB"/>
        </w:rPr>
        <w:t xml:space="preserve">. Available at: </w:t>
      </w:r>
      <w:hyperlink r:id="Ra6c0e3eba7e14c4e">
        <w:r w:rsidRPr="6618EAF8" w:rsidR="263A29BE">
          <w:rPr>
            <w:rStyle w:val="Hyperlink"/>
            <w:rFonts w:ascii="Arial" w:hAnsi="Arial" w:eastAsia="Arial" w:cs="Arial"/>
            <w:b w:val="0"/>
            <w:bCs w:val="0"/>
            <w:i w:val="0"/>
            <w:iCs w:val="0"/>
            <w:caps w:val="0"/>
            <w:smallCaps w:val="0"/>
            <w:noProof w:val="0"/>
            <w:sz w:val="22"/>
            <w:szCs w:val="22"/>
            <w:lang w:val="en-GB"/>
          </w:rPr>
          <w:t>https://www.diabetesincontrol.com</w:t>
        </w:r>
      </w:hyperlink>
      <w:r w:rsidRPr="6618EAF8" w:rsidR="263A29BE">
        <w:rPr>
          <w:rFonts w:ascii="Arial" w:hAnsi="Arial" w:eastAsia="Arial" w:cs="Arial"/>
          <w:b w:val="0"/>
          <w:bCs w:val="0"/>
          <w:i w:val="0"/>
          <w:iCs w:val="0"/>
          <w:caps w:val="0"/>
          <w:smallCaps w:val="0"/>
          <w:noProof w:val="0"/>
          <w:color w:val="242424"/>
          <w:sz w:val="22"/>
          <w:szCs w:val="22"/>
          <w:lang w:val="en-GB"/>
        </w:rPr>
        <w:t xml:space="preserve"> (Accessed: 1</w:t>
      </w:r>
      <w:r w:rsidRPr="6618EAF8" w:rsidR="1531E864">
        <w:rPr>
          <w:rFonts w:ascii="Arial" w:hAnsi="Arial" w:eastAsia="Arial" w:cs="Arial"/>
          <w:b w:val="0"/>
          <w:bCs w:val="0"/>
          <w:i w:val="0"/>
          <w:iCs w:val="0"/>
          <w:caps w:val="0"/>
          <w:smallCaps w:val="0"/>
          <w:noProof w:val="0"/>
          <w:color w:val="242424"/>
          <w:sz w:val="22"/>
          <w:szCs w:val="22"/>
          <w:lang w:val="en-GB"/>
        </w:rPr>
        <w:t>9</w:t>
      </w:r>
      <w:r w:rsidRPr="6618EAF8" w:rsidR="263A29BE">
        <w:rPr>
          <w:rFonts w:ascii="Arial" w:hAnsi="Arial" w:eastAsia="Arial" w:cs="Arial"/>
          <w:b w:val="0"/>
          <w:bCs w:val="0"/>
          <w:i w:val="0"/>
          <w:iCs w:val="0"/>
          <w:caps w:val="0"/>
          <w:smallCaps w:val="0"/>
          <w:noProof w:val="0"/>
          <w:color w:val="242424"/>
          <w:sz w:val="22"/>
          <w:szCs w:val="22"/>
          <w:lang w:val="en-GB"/>
        </w:rPr>
        <w:t xml:space="preserve"> February 2026).</w:t>
      </w:r>
    </w:p>
    <w:p xmlns:wp14="http://schemas.microsoft.com/office/word/2010/wordml" w:rsidP="6618EAF8" wp14:paraId="2DC1622A" wp14:textId="5B3FC7A1">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3D69A66B" wp14:textId="0950958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Li, R., Wang, Y., Chen, </w:t>
      </w:r>
      <w:r w:rsidRPr="6618EAF8" w:rsidR="263A29BE">
        <w:rPr>
          <w:rFonts w:ascii="Arial" w:hAnsi="Arial" w:eastAsia="Arial" w:cs="Arial"/>
          <w:b w:val="0"/>
          <w:bCs w:val="0"/>
          <w:i w:val="0"/>
          <w:iCs w:val="0"/>
          <w:caps w:val="0"/>
          <w:smallCaps w:val="0"/>
          <w:noProof w:val="0"/>
          <w:color w:val="242424"/>
          <w:sz w:val="22"/>
          <w:szCs w:val="22"/>
          <w:lang w:val="en-GB"/>
        </w:rPr>
        <w:t>L.</w:t>
      </w:r>
      <w:r w:rsidRPr="6618EAF8" w:rsidR="263A29BE">
        <w:rPr>
          <w:rFonts w:ascii="Arial" w:hAnsi="Arial" w:eastAsia="Arial" w:cs="Arial"/>
          <w:b w:val="0"/>
          <w:bCs w:val="0"/>
          <w:i w:val="0"/>
          <w:iCs w:val="0"/>
          <w:caps w:val="0"/>
          <w:smallCaps w:val="0"/>
          <w:noProof w:val="0"/>
          <w:color w:val="242424"/>
          <w:sz w:val="22"/>
          <w:szCs w:val="22"/>
          <w:lang w:val="en-GB"/>
        </w:rPr>
        <w:t xml:space="preserve"> and Zhang, P. (2023) 'Combined low-risk lifestyle </w:t>
      </w:r>
      <w:r w:rsidRPr="6618EAF8" w:rsidR="263A29BE">
        <w:rPr>
          <w:rFonts w:ascii="Arial" w:hAnsi="Arial" w:eastAsia="Arial" w:cs="Arial"/>
          <w:b w:val="0"/>
          <w:bCs w:val="0"/>
          <w:i w:val="0"/>
          <w:iCs w:val="0"/>
          <w:caps w:val="0"/>
          <w:smallCaps w:val="0"/>
          <w:noProof w:val="0"/>
          <w:color w:val="242424"/>
          <w:sz w:val="22"/>
          <w:szCs w:val="22"/>
          <w:lang w:val="en-GB"/>
        </w:rPr>
        <w:t>behaviors</w:t>
      </w:r>
      <w:r w:rsidRPr="6618EAF8" w:rsidR="263A29BE">
        <w:rPr>
          <w:rFonts w:ascii="Arial" w:hAnsi="Arial" w:eastAsia="Arial" w:cs="Arial"/>
          <w:b w:val="0"/>
          <w:bCs w:val="0"/>
          <w:i w:val="0"/>
          <w:iCs w:val="0"/>
          <w:caps w:val="0"/>
          <w:smallCaps w:val="0"/>
          <w:noProof w:val="0"/>
          <w:color w:val="242424"/>
          <w:sz w:val="22"/>
          <w:szCs w:val="22"/>
          <w:lang w:val="en-GB"/>
        </w:rPr>
        <w:t xml:space="preserve"> are associated with 80% lower risk of type 2 diabetes: an updated meta-analysis', Diabetes Care, 46(3), pp. 643–656.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10.2337/dc22-1185.</w:t>
      </w:r>
    </w:p>
    <w:p xmlns:wp14="http://schemas.microsoft.com/office/word/2010/wordml" w:rsidP="6618EAF8" wp14:paraId="33069D77" wp14:textId="55A49258">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75A25E67" wp14:textId="20869D5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Lian, X., Wang, Y., Chen, J., Liu, H., et al. (2026) 'Impact of real-time continuous glucose monitoring on glycaemic control in adults with type 2 diabetes: systematic review and meta-analysis', Frontiers in Endocrinology, 16, 1761579.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10.3389/fendo.2025.1761579.</w:t>
      </w:r>
    </w:p>
    <w:p xmlns:wp14="http://schemas.microsoft.com/office/word/2010/wordml" w:rsidP="6618EAF8" wp14:paraId="3D47560E" wp14:textId="6355097B">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06B94AF9" wp14:textId="4406073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Maddatu</w:t>
      </w:r>
      <w:r w:rsidRPr="6618EAF8" w:rsidR="263A29BE">
        <w:rPr>
          <w:rFonts w:ascii="Arial" w:hAnsi="Arial" w:eastAsia="Arial" w:cs="Arial"/>
          <w:b w:val="0"/>
          <w:bCs w:val="0"/>
          <w:i w:val="0"/>
          <w:iCs w:val="0"/>
          <w:caps w:val="0"/>
          <w:smallCaps w:val="0"/>
          <w:noProof w:val="0"/>
          <w:color w:val="242424"/>
          <w:sz w:val="22"/>
          <w:szCs w:val="22"/>
          <w:lang w:val="en-GB"/>
        </w:rPr>
        <w:t xml:space="preserve">, J., Anderson, E.M. and Sood, A. (2021) 'Smoking and diabetes: an updated review of the literature', Current Diabetes Reports, 21(12), 61.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10.1007/s11892-021-01424-5.</w:t>
      </w:r>
    </w:p>
    <w:p xmlns:wp14="http://schemas.microsoft.com/office/word/2010/wordml" w:rsidP="6618EAF8" wp14:paraId="28541DDC" wp14:textId="2005AD88">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6CA391A2" wp14:textId="2A874D78">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Mithieux</w:t>
      </w:r>
      <w:r w:rsidRPr="6618EAF8" w:rsidR="263A29BE">
        <w:rPr>
          <w:rFonts w:ascii="Arial" w:hAnsi="Arial" w:eastAsia="Arial" w:cs="Arial"/>
          <w:b w:val="0"/>
          <w:bCs w:val="0"/>
          <w:i w:val="0"/>
          <w:iCs w:val="0"/>
          <w:caps w:val="0"/>
          <w:smallCaps w:val="0"/>
          <w:noProof w:val="0"/>
          <w:color w:val="242424"/>
          <w:sz w:val="22"/>
          <w:szCs w:val="22"/>
          <w:lang w:val="en-GB"/>
        </w:rPr>
        <w:t xml:space="preserve">, G. and Gautier-Stein, A. (2024) 'Intestinal gluconeogenesis: a translator of nutritional information needed for </w:t>
      </w:r>
      <w:r w:rsidRPr="6618EAF8" w:rsidR="263A29BE">
        <w:rPr>
          <w:rFonts w:ascii="Arial" w:hAnsi="Arial" w:eastAsia="Arial" w:cs="Arial"/>
          <w:b w:val="0"/>
          <w:bCs w:val="0"/>
          <w:i w:val="0"/>
          <w:iCs w:val="0"/>
          <w:caps w:val="0"/>
          <w:smallCaps w:val="0"/>
          <w:noProof w:val="0"/>
          <w:color w:val="242424"/>
          <w:sz w:val="22"/>
          <w:szCs w:val="22"/>
          <w:lang w:val="en-GB"/>
        </w:rPr>
        <w:t>glycemic</w:t>
      </w:r>
      <w:r w:rsidRPr="6618EAF8" w:rsidR="263A29BE">
        <w:rPr>
          <w:rFonts w:ascii="Arial" w:hAnsi="Arial" w:eastAsia="Arial" w:cs="Arial"/>
          <w:b w:val="0"/>
          <w:bCs w:val="0"/>
          <w:i w:val="0"/>
          <w:iCs w:val="0"/>
          <w:caps w:val="0"/>
          <w:smallCaps w:val="0"/>
          <w:noProof w:val="0"/>
          <w:color w:val="242424"/>
          <w:sz w:val="22"/>
          <w:szCs w:val="22"/>
          <w:lang w:val="en-GB"/>
        </w:rPr>
        <w:t xml:space="preserve"> and emotional balance', </w:t>
      </w:r>
      <w:r w:rsidRPr="6618EAF8" w:rsidR="263A29BE">
        <w:rPr>
          <w:rFonts w:ascii="Arial" w:hAnsi="Arial" w:eastAsia="Arial" w:cs="Arial"/>
          <w:b w:val="0"/>
          <w:bCs w:val="0"/>
          <w:i w:val="0"/>
          <w:iCs w:val="0"/>
          <w:caps w:val="0"/>
          <w:smallCaps w:val="0"/>
          <w:noProof w:val="0"/>
          <w:color w:val="242424"/>
          <w:sz w:val="22"/>
          <w:szCs w:val="22"/>
          <w:lang w:val="en-GB"/>
        </w:rPr>
        <w:t>Biochimie</w:t>
      </w:r>
      <w:r w:rsidRPr="6618EAF8" w:rsidR="263A29BE">
        <w:rPr>
          <w:rFonts w:ascii="Arial" w:hAnsi="Arial" w:eastAsia="Arial" w:cs="Arial"/>
          <w:b w:val="0"/>
          <w:bCs w:val="0"/>
          <w:i w:val="0"/>
          <w:iCs w:val="0"/>
          <w:caps w:val="0"/>
          <w:smallCaps w:val="0"/>
          <w:noProof w:val="0"/>
          <w:color w:val="242424"/>
          <w:sz w:val="22"/>
          <w:szCs w:val="22"/>
          <w:lang w:val="en-GB"/>
        </w:rPr>
        <w:t xml:space="preserve">, 223, pp. 206–214.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10.1016/j.biochi.2023.11.013.</w:t>
      </w:r>
    </w:p>
    <w:p xmlns:wp14="http://schemas.microsoft.com/office/word/2010/wordml" w:rsidP="6618EAF8" wp14:paraId="19A80F60" wp14:textId="15E4991F">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28DC240A" wp14:textId="5CCF2804">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Nelson, D.L. and Cox, M.M. (2021) </w:t>
      </w:r>
      <w:r w:rsidRPr="6618EAF8" w:rsidR="263A29BE">
        <w:rPr>
          <w:rFonts w:ascii="Arial" w:hAnsi="Arial" w:eastAsia="Arial" w:cs="Arial"/>
          <w:b w:val="0"/>
          <w:bCs w:val="0"/>
          <w:i w:val="0"/>
          <w:iCs w:val="0"/>
          <w:caps w:val="0"/>
          <w:smallCaps w:val="0"/>
          <w:noProof w:val="0"/>
          <w:color w:val="242424"/>
          <w:sz w:val="22"/>
          <w:szCs w:val="22"/>
          <w:lang w:val="en-GB"/>
        </w:rPr>
        <w:t>Lehninger</w:t>
      </w:r>
      <w:r w:rsidRPr="6618EAF8" w:rsidR="263A29BE">
        <w:rPr>
          <w:rFonts w:ascii="Arial" w:hAnsi="Arial" w:eastAsia="Arial" w:cs="Arial"/>
          <w:b w:val="0"/>
          <w:bCs w:val="0"/>
          <w:i w:val="0"/>
          <w:iCs w:val="0"/>
          <w:caps w:val="0"/>
          <w:smallCaps w:val="0"/>
          <w:noProof w:val="0"/>
          <w:color w:val="242424"/>
          <w:sz w:val="22"/>
          <w:szCs w:val="22"/>
          <w:lang w:val="en-GB"/>
        </w:rPr>
        <w:t xml:space="preserve"> Principles of Biochemistry. 8th </w:t>
      </w:r>
      <w:r w:rsidRPr="6618EAF8" w:rsidR="263A29BE">
        <w:rPr>
          <w:rFonts w:ascii="Arial" w:hAnsi="Arial" w:eastAsia="Arial" w:cs="Arial"/>
          <w:b w:val="0"/>
          <w:bCs w:val="0"/>
          <w:i w:val="0"/>
          <w:iCs w:val="0"/>
          <w:caps w:val="0"/>
          <w:smallCaps w:val="0"/>
          <w:noProof w:val="0"/>
          <w:color w:val="242424"/>
          <w:sz w:val="22"/>
          <w:szCs w:val="22"/>
          <w:lang w:val="en-GB"/>
        </w:rPr>
        <w:t>edn</w:t>
      </w:r>
      <w:r w:rsidRPr="6618EAF8" w:rsidR="263A29BE">
        <w:rPr>
          <w:rFonts w:ascii="Arial" w:hAnsi="Arial" w:eastAsia="Arial" w:cs="Arial"/>
          <w:b w:val="0"/>
          <w:bCs w:val="0"/>
          <w:i w:val="0"/>
          <w:iCs w:val="0"/>
          <w:caps w:val="0"/>
          <w:smallCaps w:val="0"/>
          <w:noProof w:val="0"/>
          <w:color w:val="242424"/>
          <w:sz w:val="22"/>
          <w:szCs w:val="22"/>
          <w:lang w:val="en-GB"/>
        </w:rPr>
        <w:t>. New York: Macmillan.</w:t>
      </w:r>
    </w:p>
    <w:p xmlns:wp14="http://schemas.microsoft.com/office/word/2010/wordml" w:rsidP="6618EAF8" wp14:paraId="1577AFF2" wp14:textId="10BC2668">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3B7D6CF8" wp14:textId="3C89979E">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Park, J., Lee, H., Kim, </w:t>
      </w:r>
      <w:r w:rsidRPr="6618EAF8" w:rsidR="263A29BE">
        <w:rPr>
          <w:rFonts w:ascii="Arial" w:hAnsi="Arial" w:eastAsia="Arial" w:cs="Arial"/>
          <w:b w:val="0"/>
          <w:bCs w:val="0"/>
          <w:i w:val="0"/>
          <w:iCs w:val="0"/>
          <w:caps w:val="0"/>
          <w:smallCaps w:val="0"/>
          <w:noProof w:val="0"/>
          <w:color w:val="242424"/>
          <w:sz w:val="22"/>
          <w:szCs w:val="22"/>
          <w:lang w:val="en-GB"/>
        </w:rPr>
        <w:t>S.</w:t>
      </w:r>
      <w:r w:rsidRPr="6618EAF8" w:rsidR="263A29BE">
        <w:rPr>
          <w:rFonts w:ascii="Arial" w:hAnsi="Arial" w:eastAsia="Arial" w:cs="Arial"/>
          <w:b w:val="0"/>
          <w:bCs w:val="0"/>
          <w:i w:val="0"/>
          <w:iCs w:val="0"/>
          <w:caps w:val="0"/>
          <w:smallCaps w:val="0"/>
          <w:noProof w:val="0"/>
          <w:color w:val="242424"/>
          <w:sz w:val="22"/>
          <w:szCs w:val="22"/>
          <w:lang w:val="en-GB"/>
        </w:rPr>
        <w:t xml:space="preserve"> and Cho, Y. (2024) 'Metabolic changes following smoking cessation in patients with type 2 diabetes mellitus', Biomedicines, 12(8), 1882.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10.3390/biomedicines12081882.</w:t>
      </w:r>
    </w:p>
    <w:p xmlns:wp14="http://schemas.microsoft.com/office/word/2010/wordml" w:rsidP="6618EAF8" wp14:paraId="60651F9B" wp14:textId="5F4B1687">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5B9708B2" wp14:textId="4D7A8ACB">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REB e-Learning Platform (2023) Unit 6: Cellular respiration. Rwanda Education Board. Available at: </w:t>
      </w:r>
      <w:hyperlink r:id="R6d18016725b34d78">
        <w:r w:rsidRPr="6618EAF8" w:rsidR="263A29BE">
          <w:rPr>
            <w:rStyle w:val="Hyperlink"/>
            <w:rFonts w:ascii="Arial" w:hAnsi="Arial" w:eastAsia="Arial" w:cs="Arial"/>
            <w:b w:val="0"/>
            <w:bCs w:val="0"/>
            <w:i w:val="0"/>
            <w:iCs w:val="0"/>
            <w:caps w:val="0"/>
            <w:smallCaps w:val="0"/>
            <w:noProof w:val="0"/>
            <w:sz w:val="22"/>
            <w:szCs w:val="22"/>
            <w:lang w:val="en-GB"/>
          </w:rPr>
          <w:t>https://elearning.reb.rw</w:t>
        </w:r>
      </w:hyperlink>
      <w:r w:rsidRPr="6618EAF8" w:rsidR="263A29BE">
        <w:rPr>
          <w:rFonts w:ascii="Arial" w:hAnsi="Arial" w:eastAsia="Arial" w:cs="Arial"/>
          <w:b w:val="0"/>
          <w:bCs w:val="0"/>
          <w:i w:val="0"/>
          <w:iCs w:val="0"/>
          <w:caps w:val="0"/>
          <w:smallCaps w:val="0"/>
          <w:noProof w:val="0"/>
          <w:color w:val="242424"/>
          <w:sz w:val="22"/>
          <w:szCs w:val="22"/>
          <w:lang w:val="en-GB"/>
        </w:rPr>
        <w:t xml:space="preserve"> (Accessed: 1</w:t>
      </w:r>
      <w:r w:rsidRPr="6618EAF8" w:rsidR="13B5DF19">
        <w:rPr>
          <w:rFonts w:ascii="Arial" w:hAnsi="Arial" w:eastAsia="Arial" w:cs="Arial"/>
          <w:b w:val="0"/>
          <w:bCs w:val="0"/>
          <w:i w:val="0"/>
          <w:iCs w:val="0"/>
          <w:caps w:val="0"/>
          <w:smallCaps w:val="0"/>
          <w:noProof w:val="0"/>
          <w:color w:val="242424"/>
          <w:sz w:val="22"/>
          <w:szCs w:val="22"/>
          <w:lang w:val="en-GB"/>
        </w:rPr>
        <w:t>9</w:t>
      </w:r>
      <w:r w:rsidRPr="6618EAF8" w:rsidR="263A29BE">
        <w:rPr>
          <w:rFonts w:ascii="Arial" w:hAnsi="Arial" w:eastAsia="Arial" w:cs="Arial"/>
          <w:b w:val="0"/>
          <w:bCs w:val="0"/>
          <w:i w:val="0"/>
          <w:iCs w:val="0"/>
          <w:caps w:val="0"/>
          <w:smallCaps w:val="0"/>
          <w:noProof w:val="0"/>
          <w:color w:val="242424"/>
          <w:sz w:val="22"/>
          <w:szCs w:val="22"/>
          <w:lang w:val="en-GB"/>
        </w:rPr>
        <w:t xml:space="preserve"> February 2026).</w:t>
      </w:r>
    </w:p>
    <w:p xmlns:wp14="http://schemas.microsoft.com/office/word/2010/wordml" w:rsidP="6618EAF8" wp14:paraId="32AE5099" wp14:textId="5D6E6CA8">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25A0F95" wp14:textId="669278AA">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Richter, E.A. and Hargreaves, M. (2023) 'Exercise, GLUT4, and skeletal muscle glucose uptake', Physiological Reviews, 103(3), pp. 2133–2211.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10.1152/physrev.00038.2022.</w:t>
      </w:r>
    </w:p>
    <w:p xmlns:wp14="http://schemas.microsoft.com/office/word/2010/wordml" w:rsidP="6618EAF8" wp14:paraId="37D544AE" wp14:textId="4143D060">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389A82A5" wp14:textId="467DBF7C">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Röder, P.V., Wu, B., Liu, </w:t>
      </w:r>
      <w:r w:rsidRPr="6618EAF8" w:rsidR="263A29BE">
        <w:rPr>
          <w:rFonts w:ascii="Arial" w:hAnsi="Arial" w:eastAsia="Arial" w:cs="Arial"/>
          <w:b w:val="0"/>
          <w:bCs w:val="0"/>
          <w:i w:val="0"/>
          <w:iCs w:val="0"/>
          <w:caps w:val="0"/>
          <w:smallCaps w:val="0"/>
          <w:noProof w:val="0"/>
          <w:color w:val="242424"/>
          <w:sz w:val="22"/>
          <w:szCs w:val="22"/>
          <w:lang w:val="en-GB"/>
        </w:rPr>
        <w:t>Y.</w:t>
      </w:r>
      <w:r w:rsidRPr="6618EAF8" w:rsidR="263A29BE">
        <w:rPr>
          <w:rFonts w:ascii="Arial" w:hAnsi="Arial" w:eastAsia="Arial" w:cs="Arial"/>
          <w:b w:val="0"/>
          <w:bCs w:val="0"/>
          <w:i w:val="0"/>
          <w:iCs w:val="0"/>
          <w:caps w:val="0"/>
          <w:smallCaps w:val="0"/>
          <w:noProof w:val="0"/>
          <w:color w:val="242424"/>
          <w:sz w:val="22"/>
          <w:szCs w:val="22"/>
          <w:lang w:val="en-GB"/>
        </w:rPr>
        <w:t xml:space="preserve"> and Han, W. (2016) 'Pancreatic regulation of glucose homeostasis', Experimental and Molecular Medicine, 48(3), e219.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10.1038/emm.2016.6.</w:t>
      </w:r>
    </w:p>
    <w:p xmlns:wp14="http://schemas.microsoft.com/office/word/2010/wordml" w:rsidP="6618EAF8" wp14:paraId="437D7F81" wp14:textId="4250EA73">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454E412B" wp14:textId="575D19C6">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Rosenfeld, R.M., Bonnet, J.P., Kapustin, J.F., Karlsen, M.C., et al. (2025) 'Lifestyle interventions for treatment and remission of type 2 diabetes and prediabetes in adults: a clinical practice guideline from the American College of Lifestyle Medicine', American Journal of Lifestyle Medicine, 19(2 </w:t>
      </w:r>
      <w:r w:rsidRPr="6618EAF8" w:rsidR="263A29BE">
        <w:rPr>
          <w:rFonts w:ascii="Arial" w:hAnsi="Arial" w:eastAsia="Arial" w:cs="Arial"/>
          <w:b w:val="0"/>
          <w:bCs w:val="0"/>
          <w:i w:val="0"/>
          <w:iCs w:val="0"/>
          <w:caps w:val="0"/>
          <w:smallCaps w:val="0"/>
          <w:noProof w:val="0"/>
          <w:color w:val="242424"/>
          <w:sz w:val="22"/>
          <w:szCs w:val="22"/>
          <w:lang w:val="en-GB"/>
        </w:rPr>
        <w:t>Suppl</w:t>
      </w:r>
      <w:r w:rsidRPr="6618EAF8" w:rsidR="263A29BE">
        <w:rPr>
          <w:rFonts w:ascii="Arial" w:hAnsi="Arial" w:eastAsia="Arial" w:cs="Arial"/>
          <w:b w:val="0"/>
          <w:bCs w:val="0"/>
          <w:i w:val="0"/>
          <w:iCs w:val="0"/>
          <w:caps w:val="0"/>
          <w:smallCaps w:val="0"/>
          <w:noProof w:val="0"/>
          <w:color w:val="242424"/>
          <w:sz w:val="22"/>
          <w:szCs w:val="22"/>
          <w:lang w:val="en-GB"/>
        </w:rPr>
        <w:t xml:space="preserve">), pp. 10S–131S.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10.1177/15598276251325488.</w:t>
      </w:r>
    </w:p>
    <w:p xmlns:wp14="http://schemas.microsoft.com/office/word/2010/wordml" w:rsidP="6618EAF8" wp14:paraId="4248235E" wp14:textId="3A9BA45F">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1D5A62EA" wp14:textId="599F0ED2">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Smyth, S., Varghese, R.T. and Fisher, S.J. (2024) 'Brain </w:t>
      </w:r>
      <w:r w:rsidRPr="6618EAF8" w:rsidR="263A29BE">
        <w:rPr>
          <w:rFonts w:ascii="Arial" w:hAnsi="Arial" w:eastAsia="Arial" w:cs="Arial"/>
          <w:b w:val="0"/>
          <w:bCs w:val="0"/>
          <w:i w:val="0"/>
          <w:iCs w:val="0"/>
          <w:caps w:val="0"/>
          <w:smallCaps w:val="0"/>
          <w:noProof w:val="0"/>
          <w:color w:val="242424"/>
          <w:sz w:val="22"/>
          <w:szCs w:val="22"/>
          <w:lang w:val="en-GB"/>
        </w:rPr>
        <w:t>defense</w:t>
      </w:r>
      <w:r w:rsidRPr="6618EAF8" w:rsidR="263A29BE">
        <w:rPr>
          <w:rFonts w:ascii="Arial" w:hAnsi="Arial" w:eastAsia="Arial" w:cs="Arial"/>
          <w:b w:val="0"/>
          <w:bCs w:val="0"/>
          <w:i w:val="0"/>
          <w:iCs w:val="0"/>
          <w:caps w:val="0"/>
          <w:smallCaps w:val="0"/>
          <w:noProof w:val="0"/>
          <w:color w:val="242424"/>
          <w:sz w:val="22"/>
          <w:szCs w:val="22"/>
          <w:lang w:val="en-GB"/>
        </w:rPr>
        <w:t xml:space="preserve"> of glycemia in health and diabetes', Diabetes, 73(12), pp. 1952–1966.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10.2337/dbi24-0001.</w:t>
      </w:r>
    </w:p>
    <w:p xmlns:wp14="http://schemas.microsoft.com/office/word/2010/wordml" w:rsidP="6618EAF8" wp14:paraId="5CF8C3C3" wp14:textId="0383C100">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3FA3B104" wp14:textId="5FD79B3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Soh, H.S.T., Yee, K.M., Tan, W.Y., Wong, Z.J., et al. (2024) 'The efficacy of self-monitoring of blood glucose intervention package among type 2 diabetes mellitus in Malaysia: a preliminary trial', Diabetology and Metabolic Syndrome, 16, 135.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10.1186/s13098-024-01379-9.</w:t>
      </w:r>
    </w:p>
    <w:p xmlns:wp14="http://schemas.microsoft.com/office/word/2010/wordml" w:rsidP="6618EAF8" wp14:paraId="2A0FC00F" wp14:textId="3A0864A1">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5361E10F" wp14:textId="4C2F7631">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Viguiliouk</w:t>
      </w:r>
      <w:r w:rsidRPr="6618EAF8" w:rsidR="263A29BE">
        <w:rPr>
          <w:rFonts w:ascii="Arial" w:hAnsi="Arial" w:eastAsia="Arial" w:cs="Arial"/>
          <w:b w:val="0"/>
          <w:bCs w:val="0"/>
          <w:i w:val="0"/>
          <w:iCs w:val="0"/>
          <w:caps w:val="0"/>
          <w:smallCaps w:val="0"/>
          <w:noProof w:val="0"/>
          <w:color w:val="242424"/>
          <w:sz w:val="22"/>
          <w:szCs w:val="22"/>
          <w:lang w:val="en-GB"/>
        </w:rPr>
        <w:t xml:space="preserve">, E., Kendall, C.W.C., </w:t>
      </w:r>
      <w:r w:rsidRPr="6618EAF8" w:rsidR="263A29BE">
        <w:rPr>
          <w:rFonts w:ascii="Arial" w:hAnsi="Arial" w:eastAsia="Arial" w:cs="Arial"/>
          <w:b w:val="0"/>
          <w:bCs w:val="0"/>
          <w:i w:val="0"/>
          <w:iCs w:val="0"/>
          <w:caps w:val="0"/>
          <w:smallCaps w:val="0"/>
          <w:noProof w:val="0"/>
          <w:color w:val="242424"/>
          <w:sz w:val="22"/>
          <w:szCs w:val="22"/>
          <w:lang w:val="en-GB"/>
        </w:rPr>
        <w:t>Kahleová</w:t>
      </w:r>
      <w:r w:rsidRPr="6618EAF8" w:rsidR="263A29BE">
        <w:rPr>
          <w:rFonts w:ascii="Arial" w:hAnsi="Arial" w:eastAsia="Arial" w:cs="Arial"/>
          <w:b w:val="0"/>
          <w:bCs w:val="0"/>
          <w:i w:val="0"/>
          <w:iCs w:val="0"/>
          <w:caps w:val="0"/>
          <w:smallCaps w:val="0"/>
          <w:noProof w:val="0"/>
          <w:color w:val="242424"/>
          <w:sz w:val="22"/>
          <w:szCs w:val="22"/>
          <w:lang w:val="en-GB"/>
        </w:rPr>
        <w:t xml:space="preserve">, H., </w:t>
      </w:r>
      <w:r w:rsidRPr="6618EAF8" w:rsidR="263A29BE">
        <w:rPr>
          <w:rFonts w:ascii="Arial" w:hAnsi="Arial" w:eastAsia="Arial" w:cs="Arial"/>
          <w:b w:val="0"/>
          <w:bCs w:val="0"/>
          <w:i w:val="0"/>
          <w:iCs w:val="0"/>
          <w:caps w:val="0"/>
          <w:smallCaps w:val="0"/>
          <w:noProof w:val="0"/>
          <w:color w:val="242424"/>
          <w:sz w:val="22"/>
          <w:szCs w:val="22"/>
          <w:lang w:val="en-GB"/>
        </w:rPr>
        <w:t>Rahelić</w:t>
      </w:r>
      <w:r w:rsidRPr="6618EAF8" w:rsidR="263A29BE">
        <w:rPr>
          <w:rFonts w:ascii="Arial" w:hAnsi="Arial" w:eastAsia="Arial" w:cs="Arial"/>
          <w:b w:val="0"/>
          <w:bCs w:val="0"/>
          <w:i w:val="0"/>
          <w:iCs w:val="0"/>
          <w:caps w:val="0"/>
          <w:smallCaps w:val="0"/>
          <w:noProof w:val="0"/>
          <w:color w:val="242424"/>
          <w:sz w:val="22"/>
          <w:szCs w:val="22"/>
          <w:lang w:val="en-GB"/>
        </w:rPr>
        <w:t xml:space="preserve">, D., et al. (2019) 'Effect of dietary pulses on cardiometabolic disease outcomes: an umbrella review and updated systematic review and meta-analysis of prospective cohort studies', Advances in Nutrition, 10(Supplement_4), pp. S308–S319.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10.1093/advances/nmz113.</w:t>
      </w:r>
    </w:p>
    <w:p xmlns:wp14="http://schemas.microsoft.com/office/word/2010/wordml" w:rsidP="6618EAF8" wp14:paraId="042011C0" wp14:textId="71F44D9C">
      <w:pPr>
        <w:shd w:val="clear" w:color="auto" w:fill="FFFFFF" w:themeFill="background1"/>
        <w:spacing w:before="0" w:beforeAutospacing="off" w:after="0" w:afterAutospacing="off"/>
        <w:jc w:val="left"/>
        <w:rPr>
          <w:rFonts w:ascii="Arial" w:hAnsi="Arial" w:eastAsia="Arial" w:cs="Arial"/>
          <w:sz w:val="22"/>
          <w:szCs w:val="22"/>
        </w:rPr>
      </w:pPr>
    </w:p>
    <w:p xmlns:wp14="http://schemas.microsoft.com/office/word/2010/wordml" w:rsidP="6618EAF8" wp14:paraId="0D934543" wp14:textId="20661E95">
      <w:pPr>
        <w:shd w:val="clear" w:color="auto" w:fill="FFFFFF" w:themeFill="background1"/>
        <w:spacing w:before="0" w:beforeAutospacing="off" w:after="0" w:afterAutospacing="off"/>
        <w:jc w:val="left"/>
        <w:rPr>
          <w:rFonts w:ascii="Arial" w:hAnsi="Arial" w:eastAsia="Arial" w:cs="Arial"/>
          <w:b w:val="0"/>
          <w:bCs w:val="0"/>
          <w:i w:val="0"/>
          <w:iCs w:val="0"/>
          <w:caps w:val="0"/>
          <w:smallCaps w:val="0"/>
          <w:noProof w:val="0"/>
          <w:color w:val="242424"/>
          <w:sz w:val="22"/>
          <w:szCs w:val="22"/>
          <w:lang w:val="en-GB"/>
        </w:rPr>
      </w:pPr>
      <w:r w:rsidRPr="6618EAF8" w:rsidR="263A29BE">
        <w:rPr>
          <w:rFonts w:ascii="Arial" w:hAnsi="Arial" w:eastAsia="Arial" w:cs="Arial"/>
          <w:b w:val="0"/>
          <w:bCs w:val="0"/>
          <w:i w:val="0"/>
          <w:iCs w:val="0"/>
          <w:caps w:val="0"/>
          <w:smallCaps w:val="0"/>
          <w:noProof w:val="0"/>
          <w:color w:val="242424"/>
          <w:sz w:val="22"/>
          <w:szCs w:val="22"/>
          <w:lang w:val="en-GB"/>
        </w:rPr>
        <w:t xml:space="preserve">Zhang, Y., Luk, A.O.Y., Chow, E., Kong, A.P.S., et al. (2025) 'Diabetes in China: epidemiology, pathophysiology and multi-omics', Nature Metabolism, 7(1), pp. 16–34. </w:t>
      </w:r>
      <w:r w:rsidRPr="6618EAF8" w:rsidR="263A29BE">
        <w:rPr>
          <w:rFonts w:ascii="Arial" w:hAnsi="Arial" w:eastAsia="Arial" w:cs="Arial"/>
          <w:b w:val="0"/>
          <w:bCs w:val="0"/>
          <w:i w:val="0"/>
          <w:iCs w:val="0"/>
          <w:caps w:val="0"/>
          <w:smallCaps w:val="0"/>
          <w:noProof w:val="0"/>
          <w:color w:val="242424"/>
          <w:sz w:val="22"/>
          <w:szCs w:val="22"/>
          <w:lang w:val="en-GB"/>
        </w:rPr>
        <w:t>doi</w:t>
      </w:r>
      <w:r w:rsidRPr="6618EAF8" w:rsidR="263A29BE">
        <w:rPr>
          <w:rFonts w:ascii="Arial" w:hAnsi="Arial" w:eastAsia="Arial" w:cs="Arial"/>
          <w:b w:val="0"/>
          <w:bCs w:val="0"/>
          <w:i w:val="0"/>
          <w:iCs w:val="0"/>
          <w:caps w:val="0"/>
          <w:smallCaps w:val="0"/>
          <w:noProof w:val="0"/>
          <w:color w:val="242424"/>
          <w:sz w:val="22"/>
          <w:szCs w:val="22"/>
          <w:lang w:val="en-GB"/>
        </w:rPr>
        <w:t>: 10.1038/s42255-024-01196-6.</w:t>
      </w:r>
    </w:p>
    <w:p xmlns:wp14="http://schemas.microsoft.com/office/word/2010/wordml" w:rsidP="6618EAF8" wp14:paraId="5E5787A5" wp14:textId="2F64831E">
      <w:pPr>
        <w:pStyle w:val="Normal"/>
        <w:spacing w:before="0" w:beforeAutospacing="off" w:after="0" w:afterAutospacing="off"/>
        <w:jc w:val="left"/>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headerReference w:type="default" r:id="R96eddd1389e9432e"/>
      <w:footerReference w:type="default" r:id="R6d65888c4d654b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618EAF8" w:rsidTr="6618EAF8" w14:paraId="1B09A03E">
      <w:trPr>
        <w:trHeight w:val="300"/>
      </w:trPr>
      <w:tc>
        <w:tcPr>
          <w:tcW w:w="3005" w:type="dxa"/>
          <w:tcMar/>
        </w:tcPr>
        <w:p w:rsidR="6618EAF8" w:rsidP="6618EAF8" w:rsidRDefault="6618EAF8" w14:paraId="3A6F2DB9" w14:textId="5B975C79">
          <w:pPr>
            <w:pStyle w:val="Header"/>
            <w:bidi w:val="0"/>
            <w:ind w:left="-115"/>
            <w:jc w:val="left"/>
          </w:pPr>
        </w:p>
      </w:tc>
      <w:tc>
        <w:tcPr>
          <w:tcW w:w="3005" w:type="dxa"/>
          <w:tcMar/>
        </w:tcPr>
        <w:p w:rsidR="6618EAF8" w:rsidP="6618EAF8" w:rsidRDefault="6618EAF8" w14:paraId="15632530" w14:textId="002F9D89">
          <w:pPr>
            <w:pStyle w:val="Header"/>
            <w:bidi w:val="0"/>
            <w:jc w:val="center"/>
          </w:pPr>
        </w:p>
      </w:tc>
      <w:tc>
        <w:tcPr>
          <w:tcW w:w="3005" w:type="dxa"/>
          <w:tcMar/>
        </w:tcPr>
        <w:p w:rsidR="6618EAF8" w:rsidP="6618EAF8" w:rsidRDefault="6618EAF8" w14:paraId="5F302B81" w14:textId="52F87784">
          <w:pPr>
            <w:pStyle w:val="Header"/>
            <w:bidi w:val="0"/>
            <w:ind w:right="-115"/>
            <w:jc w:val="right"/>
          </w:pPr>
          <w:r>
            <w:fldChar w:fldCharType="begin"/>
          </w:r>
          <w:r>
            <w:instrText xml:space="preserve">PAGE</w:instrText>
          </w:r>
          <w:r>
            <w:fldChar w:fldCharType="separate"/>
          </w:r>
          <w:r>
            <w:fldChar w:fldCharType="end"/>
          </w:r>
          <w:r w:rsidR="6618EAF8">
            <w:rPr/>
            <w:t xml:space="preserve"> of </w:t>
          </w:r>
          <w:r>
            <w:fldChar w:fldCharType="begin"/>
          </w:r>
          <w:r>
            <w:instrText xml:space="preserve">NUMPAGES</w:instrText>
          </w:r>
          <w:r>
            <w:fldChar w:fldCharType="separate"/>
          </w:r>
          <w:r>
            <w:fldChar w:fldCharType="end"/>
          </w:r>
        </w:p>
      </w:tc>
    </w:tr>
  </w:tbl>
  <w:p w:rsidR="6618EAF8" w:rsidP="6618EAF8" w:rsidRDefault="6618EAF8" w14:paraId="00CC0EA3" w14:textId="57CD03F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618EAF8" w:rsidTr="6618EAF8" w14:paraId="217403EE">
      <w:trPr>
        <w:trHeight w:val="300"/>
      </w:trPr>
      <w:tc>
        <w:tcPr>
          <w:tcW w:w="3005" w:type="dxa"/>
          <w:tcMar/>
        </w:tcPr>
        <w:p w:rsidR="6618EAF8" w:rsidP="6618EAF8" w:rsidRDefault="6618EAF8" w14:paraId="2034FDB8" w14:textId="765C5FA2">
          <w:pPr>
            <w:pStyle w:val="Header"/>
            <w:bidi w:val="0"/>
            <w:ind w:left="-115"/>
            <w:jc w:val="left"/>
          </w:pPr>
          <w:r>
            <w:fldChar w:fldCharType="begin"/>
          </w:r>
          <w:r>
            <w:instrText xml:space="preserve">PAGE</w:instrText>
          </w:r>
          <w:r>
            <w:fldChar w:fldCharType="separate"/>
          </w:r>
          <w:r>
            <w:fldChar w:fldCharType="end"/>
          </w:r>
        </w:p>
      </w:tc>
      <w:tc>
        <w:tcPr>
          <w:tcW w:w="3005" w:type="dxa"/>
          <w:tcMar/>
        </w:tcPr>
        <w:p w:rsidR="6618EAF8" w:rsidP="6618EAF8" w:rsidRDefault="6618EAF8" w14:paraId="1441317F" w14:textId="22EFAFD0">
          <w:pPr>
            <w:pStyle w:val="Header"/>
            <w:bidi w:val="0"/>
            <w:jc w:val="center"/>
          </w:pPr>
        </w:p>
      </w:tc>
      <w:tc>
        <w:tcPr>
          <w:tcW w:w="3005" w:type="dxa"/>
          <w:tcMar/>
        </w:tcPr>
        <w:p w:rsidR="6618EAF8" w:rsidP="6618EAF8" w:rsidRDefault="6618EAF8" w14:paraId="7B5C62C2" w14:textId="0AE1CCE0">
          <w:pPr>
            <w:pStyle w:val="Header"/>
            <w:bidi w:val="0"/>
            <w:ind w:right="-115"/>
            <w:jc w:val="right"/>
          </w:pPr>
        </w:p>
      </w:tc>
    </w:tr>
  </w:tbl>
  <w:p w:rsidR="6618EAF8" w:rsidP="6618EAF8" w:rsidRDefault="6618EAF8" w14:paraId="49570F72" w14:textId="01CAAB5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D66AA4"/>
    <w:rsid w:val="015B73CC"/>
    <w:rsid w:val="01FE79D5"/>
    <w:rsid w:val="0328E8C4"/>
    <w:rsid w:val="06A210F9"/>
    <w:rsid w:val="075F99AB"/>
    <w:rsid w:val="08664C1B"/>
    <w:rsid w:val="0962AC0C"/>
    <w:rsid w:val="0AC2B029"/>
    <w:rsid w:val="0BD29C04"/>
    <w:rsid w:val="0C0205A4"/>
    <w:rsid w:val="0C9C6C42"/>
    <w:rsid w:val="134DC166"/>
    <w:rsid w:val="13B5DF19"/>
    <w:rsid w:val="1531E864"/>
    <w:rsid w:val="18A5E030"/>
    <w:rsid w:val="1B5C0701"/>
    <w:rsid w:val="1B7D38C0"/>
    <w:rsid w:val="1D5C2674"/>
    <w:rsid w:val="1E147DAD"/>
    <w:rsid w:val="20C1D5AA"/>
    <w:rsid w:val="2446E025"/>
    <w:rsid w:val="263A29BE"/>
    <w:rsid w:val="2C834906"/>
    <w:rsid w:val="2E16696C"/>
    <w:rsid w:val="2E1784A7"/>
    <w:rsid w:val="30178D1C"/>
    <w:rsid w:val="301BB942"/>
    <w:rsid w:val="30219172"/>
    <w:rsid w:val="328A7D03"/>
    <w:rsid w:val="33A46838"/>
    <w:rsid w:val="377B77C7"/>
    <w:rsid w:val="38FB7740"/>
    <w:rsid w:val="3B3AA9D1"/>
    <w:rsid w:val="3C9186D6"/>
    <w:rsid w:val="3D72FD99"/>
    <w:rsid w:val="3DB9BB41"/>
    <w:rsid w:val="40299795"/>
    <w:rsid w:val="41751EA2"/>
    <w:rsid w:val="47B65AC4"/>
    <w:rsid w:val="48FFFEB5"/>
    <w:rsid w:val="49E8D862"/>
    <w:rsid w:val="4B0E9778"/>
    <w:rsid w:val="4CFA3F32"/>
    <w:rsid w:val="4D366EC6"/>
    <w:rsid w:val="4D9A2CDD"/>
    <w:rsid w:val="4DB4A38A"/>
    <w:rsid w:val="4FB0EBF2"/>
    <w:rsid w:val="51F35C46"/>
    <w:rsid w:val="542D4F94"/>
    <w:rsid w:val="55B07556"/>
    <w:rsid w:val="562C1345"/>
    <w:rsid w:val="563FF6D1"/>
    <w:rsid w:val="5A6BF509"/>
    <w:rsid w:val="5B4CA05F"/>
    <w:rsid w:val="5B794A77"/>
    <w:rsid w:val="61BD099C"/>
    <w:rsid w:val="6618EAF8"/>
    <w:rsid w:val="68B35CC5"/>
    <w:rsid w:val="6A43DC15"/>
    <w:rsid w:val="6A9CD173"/>
    <w:rsid w:val="6CA7D5FC"/>
    <w:rsid w:val="6E729054"/>
    <w:rsid w:val="6F64EEEA"/>
    <w:rsid w:val="702BA640"/>
    <w:rsid w:val="70CA7325"/>
    <w:rsid w:val="70D07B16"/>
    <w:rsid w:val="76A46B91"/>
    <w:rsid w:val="76D66AA4"/>
    <w:rsid w:val="7E5D469D"/>
    <w:rsid w:val="7FA74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66AA4"/>
  <w15:chartTrackingRefBased/>
  <w15:docId w15:val="{68ED268E-6FB8-412B-AD65-75F852208A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618EAF8"/>
    <w:rPr>
      <w:color w:val="467886"/>
      <w:u w:val="single"/>
    </w:rPr>
  </w:style>
  <w:style w:type="paragraph" w:styleId="Header">
    <w:uiPriority w:val="99"/>
    <w:name w:val="header"/>
    <w:basedOn w:val="Normal"/>
    <w:unhideWhenUsed/>
    <w:rsid w:val="6618EAF8"/>
    <w:pPr>
      <w:tabs>
        <w:tab w:val="center" w:leader="none" w:pos="4680"/>
        <w:tab w:val="right" w:leader="none" w:pos="9360"/>
      </w:tabs>
      <w:spacing w:after="0" w:line="240" w:lineRule="auto"/>
    </w:pPr>
  </w:style>
  <w:style w:type="paragraph" w:styleId="Footer">
    <w:uiPriority w:val="99"/>
    <w:name w:val="footer"/>
    <w:basedOn w:val="Normal"/>
    <w:unhideWhenUsed/>
    <w:rsid w:val="6618EAF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quilibrator.weizmann.ac.il/" TargetMode="External" Id="Ra3f24684af8c4180" /><Relationship Type="http://schemas.openxmlformats.org/officeDocument/2006/relationships/hyperlink" Target="https://www.diabetesincontrol.com" TargetMode="External" Id="Ra6c0e3eba7e14c4e" /><Relationship Type="http://schemas.openxmlformats.org/officeDocument/2006/relationships/hyperlink" Target="https://elearning.reb.rw" TargetMode="External" Id="R6d18016725b34d78" /><Relationship Type="http://schemas.openxmlformats.org/officeDocument/2006/relationships/header" Target="/word/header.xml" Id="R96eddd1389e9432e" /><Relationship Type="http://schemas.openxmlformats.org/officeDocument/2006/relationships/footer" Target="/word/footer.xml" Id="R6d65888c4d654b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Mohammed Ousman (2215608)</dc:creator>
  <keywords/>
  <dc:description/>
  <lastModifiedBy>Mohammed Ousman (2215608)</lastModifiedBy>
  <revision>2</revision>
  <dcterms:created xsi:type="dcterms:W3CDTF">2026-02-19T14:30:27.2728285Z</dcterms:created>
  <dcterms:modified xsi:type="dcterms:W3CDTF">2026-02-19T15:53:36.0681802Z</dcterms:modified>
</coreProperties>
</file>